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Override PartName="/word/glossary/document.xml" ContentType="application/vnd.openxmlformats-officedocument.wordprocessingml.document.glossary+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297AA8" w:rsidR="00297AA8" w:rsidP="00297AA8" w:rsidRDefault="00120449" w14:paraId="24FF5929" w14:textId="77777777">
      <w:pPr>
        <w:autoSpaceDE w:val="0"/>
        <w:autoSpaceDN w:val="0"/>
        <w:adjustRightInd w:val="0"/>
        <w:jc w:val="center"/>
        <w:rPr>
          <w:b/>
          <w:lang w:val="es-ES_tradnl"/>
        </w:rPr>
      </w:pPr>
      <w:r w:rsidRPr="00064D10">
        <w:rPr>
          <w:b/>
          <w:lang w:val="es-ES_tradnl"/>
        </w:rPr>
        <w:t xml:space="preserve">Análisis </w:t>
      </w:r>
      <w:r w:rsidRPr="00064D10" w:rsidR="00BD0CCA">
        <w:rPr>
          <w:b/>
          <w:lang w:val="es-ES_tradnl"/>
        </w:rPr>
        <w:t xml:space="preserve">del cumplimiento del </w:t>
      </w:r>
      <w:r w:rsidRPr="00297AA8" w:rsidR="00297AA8">
        <w:rPr>
          <w:b/>
          <w:lang w:val="es-ES_tradnl"/>
        </w:rPr>
        <w:t>Programa de Segunda Generación de Reformas de los</w:t>
      </w:r>
    </w:p>
    <w:p w:rsidRPr="00064D10" w:rsidR="00813650" w:rsidP="7A153561" w:rsidRDefault="00297AA8" w14:paraId="730C4EA3" w14:textId="11B3612B">
      <w:pPr>
        <w:autoSpaceDE w:val="0"/>
        <w:autoSpaceDN w:val="0"/>
        <w:adjustRightInd w:val="0"/>
        <w:jc w:val="center"/>
        <w:rPr>
          <w:b w:val="1"/>
          <w:bCs w:val="1"/>
          <w:lang w:val="es-ES"/>
        </w:rPr>
      </w:pPr>
      <w:r w:rsidRPr="7A153561" w:rsidR="7A153561">
        <w:rPr>
          <w:b w:val="1"/>
          <w:bCs w:val="1"/>
          <w:lang w:val="es-ES"/>
        </w:rPr>
        <w:t>Sectores de Agua, Saneamiento, Residuos Sólidos y de Recursos Hídricos en Bolivia (BO-L1200) con la Política de Servicios Públicos Domiciliarios (GN-2716-6)</w:t>
      </w:r>
    </w:p>
    <w:p w:rsidRPr="00064D10" w:rsidR="00813650" w:rsidP="00BD68A5" w:rsidRDefault="00813650" w14:paraId="3A31ADC3" w14:textId="77777777">
      <w:pPr>
        <w:jc w:val="center"/>
        <w:rPr>
          <w:b/>
          <w:lang w:val="es-ES_tradnl"/>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07"/>
        <w:gridCol w:w="3203"/>
        <w:gridCol w:w="3746"/>
      </w:tblGrid>
      <w:tr w:rsidRPr="00064D10" w:rsidR="00813650" w:rsidTr="00D06EBC" w14:paraId="5E7A64D1" w14:textId="77777777">
        <w:trPr>
          <w:jc w:val="center"/>
        </w:trPr>
        <w:tc>
          <w:tcPr>
            <w:tcW w:w="2129" w:type="dxa"/>
            <w:shd w:val="clear" w:color="auto" w:fill="C0C0C0"/>
            <w:vAlign w:val="center"/>
          </w:tcPr>
          <w:p w:rsidRPr="00064D10" w:rsidR="00813650" w:rsidP="00D06EBC" w:rsidRDefault="00813650" w14:paraId="1EE3F712" w14:textId="77777777">
            <w:pPr>
              <w:spacing w:before="120" w:after="120"/>
              <w:jc w:val="center"/>
              <w:rPr>
                <w:b/>
                <w:sz w:val="18"/>
                <w:szCs w:val="18"/>
                <w:lang w:val="es-ES_tradnl"/>
              </w:rPr>
            </w:pPr>
            <w:r w:rsidRPr="00064D10">
              <w:rPr>
                <w:b/>
                <w:sz w:val="18"/>
                <w:szCs w:val="18"/>
                <w:lang w:val="es-ES_tradnl"/>
              </w:rPr>
              <w:t>Condiciones de la Política</w:t>
            </w:r>
          </w:p>
        </w:tc>
        <w:tc>
          <w:tcPr>
            <w:tcW w:w="3799" w:type="dxa"/>
            <w:shd w:val="clear" w:color="auto" w:fill="C0C0C0"/>
            <w:vAlign w:val="center"/>
          </w:tcPr>
          <w:p w:rsidRPr="00064D10" w:rsidR="00813650" w:rsidP="00064D10" w:rsidRDefault="00813650" w14:paraId="2A8A303A" w14:textId="77777777">
            <w:pPr>
              <w:spacing w:before="120" w:after="120"/>
              <w:jc w:val="both"/>
              <w:rPr>
                <w:b/>
                <w:sz w:val="18"/>
                <w:szCs w:val="18"/>
                <w:lang w:val="es-ES_tradnl"/>
              </w:rPr>
            </w:pPr>
            <w:r w:rsidRPr="00064D10">
              <w:rPr>
                <w:b/>
                <w:sz w:val="18"/>
                <w:szCs w:val="18"/>
                <w:lang w:val="es-ES_tradnl"/>
              </w:rPr>
              <w:t>Descripción</w:t>
            </w:r>
          </w:p>
        </w:tc>
        <w:tc>
          <w:tcPr>
            <w:tcW w:w="4307" w:type="dxa"/>
            <w:shd w:val="clear" w:color="auto" w:fill="C0C0C0"/>
            <w:vAlign w:val="center"/>
          </w:tcPr>
          <w:p w:rsidRPr="00064D10" w:rsidR="00813650" w:rsidP="00D06EBC" w:rsidRDefault="00813650" w14:paraId="1268EDE0" w14:textId="77777777">
            <w:pPr>
              <w:spacing w:before="120" w:after="120"/>
              <w:jc w:val="center"/>
              <w:rPr>
                <w:b/>
                <w:sz w:val="18"/>
                <w:szCs w:val="18"/>
                <w:lang w:val="es-ES_tradnl"/>
              </w:rPr>
            </w:pPr>
            <w:r w:rsidRPr="00064D10">
              <w:rPr>
                <w:b/>
                <w:sz w:val="18"/>
                <w:szCs w:val="18"/>
                <w:lang w:val="es-ES_tradnl"/>
              </w:rPr>
              <w:t>Comentarios</w:t>
            </w:r>
          </w:p>
        </w:tc>
      </w:tr>
      <w:tr w:rsidRPr="004E480D" w:rsidR="00813650" w:rsidTr="00352A60" w14:paraId="66FF9F9D" w14:textId="77777777">
        <w:trPr>
          <w:jc w:val="center"/>
        </w:trPr>
        <w:tc>
          <w:tcPr>
            <w:tcW w:w="2129" w:type="dxa"/>
            <w:shd w:val="clear" w:color="auto" w:fill="auto"/>
          </w:tcPr>
          <w:p w:rsidRPr="00064D10" w:rsidR="00813650" w:rsidP="00CE33C6" w:rsidRDefault="00813650" w14:paraId="187A99D8" w14:textId="77777777">
            <w:pPr>
              <w:rPr>
                <w:sz w:val="18"/>
                <w:szCs w:val="18"/>
                <w:lang w:val="es-ES_tradnl"/>
              </w:rPr>
            </w:pPr>
            <w:r w:rsidRPr="00064D10">
              <w:rPr>
                <w:bCs/>
                <w:sz w:val="18"/>
                <w:szCs w:val="18"/>
                <w:lang w:val="es-ES_tradnl"/>
              </w:rPr>
              <w:t>1. Sostenibilidad Financiera</w:t>
            </w:r>
          </w:p>
        </w:tc>
        <w:tc>
          <w:tcPr>
            <w:tcW w:w="3799" w:type="dxa"/>
            <w:shd w:val="clear" w:color="auto" w:fill="auto"/>
          </w:tcPr>
          <w:p w:rsidRPr="00064D10" w:rsidR="00813650" w:rsidP="00064D10" w:rsidRDefault="00813650" w14:paraId="326CA6DF" w14:textId="77777777">
            <w:pPr>
              <w:autoSpaceDE w:val="0"/>
              <w:autoSpaceDN w:val="0"/>
              <w:adjustRightInd w:val="0"/>
              <w:jc w:val="both"/>
              <w:rPr>
                <w:sz w:val="18"/>
                <w:szCs w:val="18"/>
                <w:lang w:val="es-ES_tradnl"/>
              </w:rPr>
            </w:pPr>
            <w:r w:rsidRPr="00064D10">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307" w:type="dxa"/>
            <w:shd w:val="clear" w:color="auto" w:fill="auto"/>
          </w:tcPr>
          <w:p w:rsidRPr="00064D10" w:rsidR="008163DB" w:rsidP="00FE4F90" w:rsidRDefault="005863ED" w14:paraId="0D4A83B8" w14:textId="77777777">
            <w:pPr>
              <w:autoSpaceDE w:val="0"/>
              <w:autoSpaceDN w:val="0"/>
              <w:adjustRightInd w:val="0"/>
              <w:jc w:val="both"/>
              <w:rPr>
                <w:b/>
                <w:sz w:val="18"/>
                <w:szCs w:val="18"/>
                <w:lang w:val="es-ES_tradnl"/>
              </w:rPr>
            </w:pPr>
            <w:r w:rsidRPr="00064D10">
              <w:rPr>
                <w:rFonts w:eastAsiaTheme="minorHAnsi"/>
                <w:sz w:val="18"/>
                <w:szCs w:val="18"/>
                <w:lang w:val="es-ES_tradnl"/>
              </w:rPr>
              <w:t>Según el relevamiento de la AAPS del año 201</w:t>
            </w:r>
            <w:r w:rsidR="00A20BF0">
              <w:rPr>
                <w:rFonts w:eastAsiaTheme="minorHAnsi"/>
                <w:sz w:val="18"/>
                <w:szCs w:val="18"/>
                <w:lang w:val="es-ES_tradnl"/>
              </w:rPr>
              <w:t>7</w:t>
            </w:r>
            <w:r w:rsidRPr="00064D10">
              <w:rPr>
                <w:rFonts w:eastAsiaTheme="minorHAnsi"/>
                <w:sz w:val="18"/>
                <w:szCs w:val="18"/>
                <w:vertAlign w:val="superscript"/>
                <w:lang w:val="es-ES_tradnl"/>
              </w:rPr>
              <w:footnoteReference w:id="1"/>
            </w:r>
            <w:r w:rsidRPr="00064D10">
              <w:rPr>
                <w:rFonts w:eastAsiaTheme="minorHAnsi"/>
                <w:sz w:val="18"/>
                <w:szCs w:val="18"/>
                <w:lang w:val="es-ES_tradnl"/>
              </w:rPr>
              <w:t xml:space="preserve">, que incluyó a </w:t>
            </w:r>
            <w:r w:rsidR="005120D0">
              <w:rPr>
                <w:rFonts w:eastAsiaTheme="minorHAnsi"/>
                <w:sz w:val="18"/>
                <w:szCs w:val="18"/>
                <w:lang w:val="es-ES_tradnl"/>
              </w:rPr>
              <w:t>70</w:t>
            </w:r>
            <w:r w:rsidRPr="00064D10">
              <w:rPr>
                <w:rFonts w:eastAsiaTheme="minorHAnsi"/>
                <w:sz w:val="18"/>
                <w:szCs w:val="18"/>
                <w:lang w:val="es-ES_tradnl"/>
              </w:rPr>
              <w:t xml:space="preserve"> EPSAS las cuales atienden a </w:t>
            </w:r>
            <w:r w:rsidR="005120D0">
              <w:rPr>
                <w:rFonts w:eastAsiaTheme="minorHAnsi"/>
                <w:sz w:val="18"/>
                <w:szCs w:val="18"/>
                <w:lang w:val="es-ES_tradnl"/>
              </w:rPr>
              <w:t>7</w:t>
            </w:r>
            <w:r w:rsidRPr="00064D10">
              <w:rPr>
                <w:rFonts w:eastAsiaTheme="minorHAnsi"/>
                <w:sz w:val="18"/>
                <w:szCs w:val="18"/>
                <w:lang w:val="es-ES_tradnl"/>
              </w:rPr>
              <w:t>.</w:t>
            </w:r>
            <w:r w:rsidR="005120D0">
              <w:rPr>
                <w:rFonts w:eastAsiaTheme="minorHAnsi"/>
                <w:sz w:val="18"/>
                <w:szCs w:val="18"/>
                <w:lang w:val="es-ES_tradnl"/>
              </w:rPr>
              <w:t>6</w:t>
            </w:r>
            <w:r w:rsidRPr="00064D10">
              <w:rPr>
                <w:rFonts w:eastAsiaTheme="minorHAnsi"/>
                <w:sz w:val="18"/>
                <w:szCs w:val="18"/>
                <w:lang w:val="es-ES_tradnl"/>
              </w:rPr>
              <w:t xml:space="preserve"> millones de habitantes</w:t>
            </w:r>
            <w:r w:rsidRPr="00064D10">
              <w:rPr>
                <w:rFonts w:eastAsiaTheme="minorHAnsi"/>
                <w:sz w:val="18"/>
                <w:szCs w:val="18"/>
                <w:vertAlign w:val="superscript"/>
                <w:lang w:val="es-ES_tradnl"/>
              </w:rPr>
              <w:footnoteReference w:id="2"/>
            </w:r>
            <w:r w:rsidRPr="00064D10">
              <w:rPr>
                <w:rFonts w:eastAsiaTheme="minorHAnsi"/>
                <w:sz w:val="18"/>
                <w:szCs w:val="18"/>
                <w:lang w:val="es-ES_tradnl"/>
              </w:rPr>
              <w:t>,</w:t>
            </w:r>
            <w:r w:rsidR="002642C7">
              <w:rPr>
                <w:rFonts w:eastAsiaTheme="minorHAnsi"/>
                <w:sz w:val="18"/>
                <w:szCs w:val="18"/>
                <w:lang w:val="es-ES_tradnl"/>
              </w:rPr>
              <w:t xml:space="preserve"> es destacable que </w:t>
            </w:r>
            <w:r w:rsidRPr="002642C7" w:rsidR="002642C7">
              <w:rPr>
                <w:rFonts w:eastAsiaTheme="minorHAnsi"/>
                <w:sz w:val="18"/>
                <w:szCs w:val="18"/>
                <w:lang w:val="es-ES_tradnl"/>
              </w:rPr>
              <w:t>EPSAS (La Paz, El Alto y alrededores),</w:t>
            </w:r>
            <w:r w:rsidR="002642C7">
              <w:rPr>
                <w:rFonts w:eastAsiaTheme="minorHAnsi"/>
                <w:sz w:val="18"/>
                <w:szCs w:val="18"/>
                <w:lang w:val="es-ES_tradnl"/>
              </w:rPr>
              <w:t xml:space="preserve"> </w:t>
            </w:r>
            <w:r w:rsidRPr="002642C7" w:rsidR="002642C7">
              <w:rPr>
                <w:rFonts w:eastAsiaTheme="minorHAnsi"/>
                <w:sz w:val="18"/>
                <w:szCs w:val="18"/>
                <w:lang w:val="es-ES_tradnl"/>
              </w:rPr>
              <w:t>SAGUAPAC (Santa Cruz), SEMAPA (Cochabamba), ELAPAS</w:t>
            </w:r>
            <w:r w:rsidR="002642C7">
              <w:rPr>
                <w:rFonts w:eastAsiaTheme="minorHAnsi"/>
                <w:sz w:val="18"/>
                <w:szCs w:val="18"/>
                <w:lang w:val="es-ES_tradnl"/>
              </w:rPr>
              <w:t xml:space="preserve"> </w:t>
            </w:r>
            <w:r w:rsidRPr="002642C7" w:rsidR="002642C7">
              <w:rPr>
                <w:rFonts w:eastAsiaTheme="minorHAnsi"/>
                <w:sz w:val="18"/>
                <w:szCs w:val="18"/>
                <w:lang w:val="es-ES_tradnl"/>
              </w:rPr>
              <w:t xml:space="preserve">(Sucre), </w:t>
            </w:r>
            <w:proofErr w:type="spellStart"/>
            <w:r w:rsidRPr="002642C7" w:rsidR="002642C7">
              <w:rPr>
                <w:rFonts w:eastAsiaTheme="minorHAnsi"/>
                <w:sz w:val="18"/>
                <w:szCs w:val="18"/>
                <w:lang w:val="es-ES_tradnl"/>
              </w:rPr>
              <w:t>SeLA</w:t>
            </w:r>
            <w:proofErr w:type="spellEnd"/>
            <w:r w:rsidRPr="002642C7" w:rsidR="002642C7">
              <w:rPr>
                <w:rFonts w:eastAsiaTheme="minorHAnsi"/>
                <w:sz w:val="18"/>
                <w:szCs w:val="18"/>
                <w:lang w:val="es-ES_tradnl"/>
              </w:rPr>
              <w:t xml:space="preserve"> (Oruro) y COSFAL (Pailón) hayan logrado niveles</w:t>
            </w:r>
            <w:r w:rsidR="002642C7">
              <w:rPr>
                <w:rFonts w:eastAsiaTheme="minorHAnsi"/>
                <w:sz w:val="18"/>
                <w:szCs w:val="18"/>
                <w:lang w:val="es-ES_tradnl"/>
              </w:rPr>
              <w:t xml:space="preserve"> </w:t>
            </w:r>
            <w:r w:rsidRPr="002642C7" w:rsidR="002642C7">
              <w:rPr>
                <w:rFonts w:eastAsiaTheme="minorHAnsi"/>
                <w:sz w:val="18"/>
                <w:szCs w:val="18"/>
                <w:lang w:val="es-ES_tradnl"/>
              </w:rPr>
              <w:t>de sostenibilidad operativa dentro del rango óptimo</w:t>
            </w:r>
            <w:r w:rsidR="002642C7">
              <w:rPr>
                <w:rFonts w:eastAsiaTheme="minorHAnsi"/>
                <w:sz w:val="18"/>
                <w:szCs w:val="18"/>
                <w:lang w:val="es-ES_tradnl"/>
              </w:rPr>
              <w:t xml:space="preserve"> del Índice de operación Eficiente</w:t>
            </w:r>
            <w:r w:rsidR="002642C7">
              <w:rPr>
                <w:rStyle w:val="FootnoteReference"/>
                <w:rFonts w:eastAsiaTheme="minorHAnsi"/>
                <w:sz w:val="18"/>
                <w:szCs w:val="18"/>
                <w:lang w:val="es-ES_tradnl"/>
              </w:rPr>
              <w:footnoteReference w:id="3"/>
            </w:r>
            <w:r w:rsidRPr="002642C7" w:rsidR="002642C7">
              <w:rPr>
                <w:rFonts w:eastAsiaTheme="minorHAnsi"/>
                <w:sz w:val="18"/>
                <w:szCs w:val="18"/>
                <w:lang w:val="es-ES_tradnl"/>
              </w:rPr>
              <w:t>.</w:t>
            </w:r>
            <w:r w:rsidR="0095286A">
              <w:rPr>
                <w:rFonts w:eastAsiaTheme="minorHAnsi"/>
                <w:sz w:val="18"/>
                <w:szCs w:val="18"/>
                <w:lang w:val="es-ES_tradnl"/>
              </w:rPr>
              <w:t xml:space="preserve"> </w:t>
            </w:r>
            <w:r w:rsidRPr="002642C7" w:rsidR="002642C7">
              <w:rPr>
                <w:rFonts w:eastAsiaTheme="minorHAnsi"/>
                <w:sz w:val="18"/>
                <w:szCs w:val="18"/>
                <w:lang w:val="es-ES_tradnl"/>
              </w:rPr>
              <w:t>Respecto a las 27 EPSA con resultados en el rango entre el</w:t>
            </w:r>
            <w:r w:rsidR="0095286A">
              <w:rPr>
                <w:rFonts w:eastAsiaTheme="minorHAnsi"/>
                <w:sz w:val="18"/>
                <w:szCs w:val="18"/>
                <w:lang w:val="es-ES_tradnl"/>
              </w:rPr>
              <w:t xml:space="preserve"> </w:t>
            </w:r>
            <w:r w:rsidRPr="002642C7" w:rsidR="002642C7">
              <w:rPr>
                <w:rFonts w:eastAsiaTheme="minorHAnsi"/>
                <w:sz w:val="18"/>
                <w:szCs w:val="18"/>
                <w:lang w:val="es-ES_tradnl"/>
              </w:rPr>
              <w:t>75% y el 99%, en general mantienen un comportamiento</w:t>
            </w:r>
            <w:r w:rsidR="0095286A">
              <w:rPr>
                <w:rFonts w:eastAsiaTheme="minorHAnsi"/>
                <w:sz w:val="18"/>
                <w:szCs w:val="18"/>
                <w:lang w:val="es-ES_tradnl"/>
              </w:rPr>
              <w:t xml:space="preserve"> </w:t>
            </w:r>
            <w:r w:rsidRPr="002642C7" w:rsidR="002642C7">
              <w:rPr>
                <w:rFonts w:eastAsiaTheme="minorHAnsi"/>
                <w:sz w:val="18"/>
                <w:szCs w:val="18"/>
                <w:lang w:val="es-ES_tradnl"/>
              </w:rPr>
              <w:t>histórico recurrente, con limitaciones para la generación de</w:t>
            </w:r>
            <w:r w:rsidR="0095286A">
              <w:rPr>
                <w:rFonts w:eastAsiaTheme="minorHAnsi"/>
                <w:sz w:val="18"/>
                <w:szCs w:val="18"/>
                <w:lang w:val="es-ES_tradnl"/>
              </w:rPr>
              <w:t xml:space="preserve"> </w:t>
            </w:r>
            <w:r w:rsidRPr="002642C7" w:rsidR="002642C7">
              <w:rPr>
                <w:rFonts w:eastAsiaTheme="minorHAnsi"/>
                <w:sz w:val="18"/>
                <w:szCs w:val="18"/>
                <w:lang w:val="es-ES_tradnl"/>
              </w:rPr>
              <w:t>recursos para inversiones, renovaciones, ampliaciones o para</w:t>
            </w:r>
            <w:r w:rsidR="0095286A">
              <w:rPr>
                <w:rFonts w:eastAsiaTheme="minorHAnsi"/>
                <w:sz w:val="18"/>
                <w:szCs w:val="18"/>
                <w:lang w:val="es-ES_tradnl"/>
              </w:rPr>
              <w:t xml:space="preserve"> </w:t>
            </w:r>
            <w:r w:rsidRPr="002642C7" w:rsidR="002642C7">
              <w:rPr>
                <w:rFonts w:eastAsiaTheme="minorHAnsi"/>
                <w:sz w:val="18"/>
                <w:szCs w:val="18"/>
                <w:lang w:val="es-ES_tradnl"/>
              </w:rPr>
              <w:t>enfrentar posibles contingencias, debiendo recurrir a otros</w:t>
            </w:r>
            <w:r w:rsidR="0095286A">
              <w:rPr>
                <w:rFonts w:eastAsiaTheme="minorHAnsi"/>
                <w:sz w:val="18"/>
                <w:szCs w:val="18"/>
                <w:lang w:val="es-ES_tradnl"/>
              </w:rPr>
              <w:t xml:space="preserve"> </w:t>
            </w:r>
            <w:r w:rsidRPr="002642C7" w:rsidR="002642C7">
              <w:rPr>
                <w:rFonts w:eastAsiaTheme="minorHAnsi"/>
                <w:sz w:val="18"/>
                <w:szCs w:val="18"/>
                <w:lang w:val="es-ES_tradnl"/>
              </w:rPr>
              <w:t>niveles de gobierno (Municipal, Departamental o Central) para</w:t>
            </w:r>
            <w:r w:rsidR="0095286A">
              <w:rPr>
                <w:rFonts w:eastAsiaTheme="minorHAnsi"/>
                <w:sz w:val="18"/>
                <w:szCs w:val="18"/>
                <w:lang w:val="es-ES_tradnl"/>
              </w:rPr>
              <w:t xml:space="preserve"> </w:t>
            </w:r>
            <w:r w:rsidRPr="002642C7" w:rsidR="002642C7">
              <w:rPr>
                <w:rFonts w:eastAsiaTheme="minorHAnsi"/>
                <w:sz w:val="18"/>
                <w:szCs w:val="18"/>
                <w:lang w:val="es-ES_tradnl"/>
              </w:rPr>
              <w:t>la gestión de financiamiento.</w:t>
            </w:r>
            <w:r w:rsidR="0095286A">
              <w:rPr>
                <w:rFonts w:eastAsiaTheme="minorHAnsi"/>
                <w:sz w:val="18"/>
                <w:szCs w:val="18"/>
                <w:lang w:val="es-ES_tradnl"/>
              </w:rPr>
              <w:t xml:space="preserve"> </w:t>
            </w:r>
            <w:r w:rsidRPr="002642C7" w:rsidR="002642C7">
              <w:rPr>
                <w:rFonts w:eastAsiaTheme="minorHAnsi"/>
                <w:sz w:val="18"/>
                <w:szCs w:val="18"/>
                <w:lang w:val="es-ES_tradnl"/>
              </w:rPr>
              <w:t>Al contrario, 31 EPSA tienen un valor mayor a 100% y, de</w:t>
            </w:r>
            <w:r w:rsidR="0095286A">
              <w:rPr>
                <w:rFonts w:eastAsiaTheme="minorHAnsi"/>
                <w:sz w:val="18"/>
                <w:szCs w:val="18"/>
                <w:lang w:val="es-ES_tradnl"/>
              </w:rPr>
              <w:t xml:space="preserve"> </w:t>
            </w:r>
            <w:r w:rsidRPr="002642C7" w:rsidR="002642C7">
              <w:rPr>
                <w:rFonts w:eastAsiaTheme="minorHAnsi"/>
                <w:sz w:val="18"/>
                <w:szCs w:val="18"/>
                <w:lang w:val="es-ES_tradnl"/>
              </w:rPr>
              <w:t>éstas, 17 presentan una situación recurrente de insostenibilidad</w:t>
            </w:r>
            <w:r w:rsidR="0095286A">
              <w:rPr>
                <w:rFonts w:eastAsiaTheme="minorHAnsi"/>
                <w:sz w:val="18"/>
                <w:szCs w:val="18"/>
                <w:lang w:val="es-ES_tradnl"/>
              </w:rPr>
              <w:t xml:space="preserve"> </w:t>
            </w:r>
            <w:r w:rsidRPr="002642C7" w:rsidR="002642C7">
              <w:rPr>
                <w:rFonts w:eastAsiaTheme="minorHAnsi"/>
                <w:sz w:val="18"/>
                <w:szCs w:val="18"/>
                <w:lang w:val="es-ES_tradnl"/>
              </w:rPr>
              <w:t>respecto a gestiones pasadas, identificándose dos</w:t>
            </w:r>
            <w:r w:rsidR="0095286A">
              <w:rPr>
                <w:rFonts w:eastAsiaTheme="minorHAnsi"/>
                <w:sz w:val="18"/>
                <w:szCs w:val="18"/>
                <w:lang w:val="es-ES_tradnl"/>
              </w:rPr>
              <w:t xml:space="preserve"> </w:t>
            </w:r>
            <w:r w:rsidRPr="0095286A" w:rsidR="0095286A">
              <w:rPr>
                <w:rFonts w:eastAsiaTheme="minorHAnsi"/>
                <w:sz w:val="18"/>
                <w:szCs w:val="18"/>
                <w:lang w:val="es-ES_tradnl"/>
              </w:rPr>
              <w:t>factores comunes que inciden negativamente en su desempeño.</w:t>
            </w:r>
            <w:r w:rsidR="0095286A">
              <w:rPr>
                <w:rFonts w:eastAsiaTheme="minorHAnsi"/>
                <w:sz w:val="18"/>
                <w:szCs w:val="18"/>
                <w:lang w:val="es-ES_tradnl"/>
              </w:rPr>
              <w:t xml:space="preserve"> </w:t>
            </w:r>
            <w:r w:rsidRPr="0095286A" w:rsidR="0095286A">
              <w:rPr>
                <w:rFonts w:eastAsiaTheme="minorHAnsi"/>
                <w:sz w:val="18"/>
                <w:szCs w:val="18"/>
                <w:lang w:val="es-ES_tradnl"/>
              </w:rPr>
              <w:t>Por un lado en los ingresos: altos Índices de Agua no</w:t>
            </w:r>
            <w:r w:rsidR="0095286A">
              <w:rPr>
                <w:rFonts w:eastAsiaTheme="minorHAnsi"/>
                <w:sz w:val="18"/>
                <w:szCs w:val="18"/>
                <w:lang w:val="es-ES_tradnl"/>
              </w:rPr>
              <w:t xml:space="preserve"> </w:t>
            </w:r>
            <w:r w:rsidRPr="0095286A" w:rsidR="0095286A">
              <w:rPr>
                <w:rFonts w:eastAsiaTheme="minorHAnsi"/>
                <w:sz w:val="18"/>
                <w:szCs w:val="18"/>
                <w:lang w:val="es-ES_tradnl"/>
              </w:rPr>
              <w:t>Contabilizada tanto en producción como en la red de distribución;</w:t>
            </w:r>
            <w:r w:rsidR="0095286A">
              <w:rPr>
                <w:rFonts w:eastAsiaTheme="minorHAnsi"/>
                <w:sz w:val="18"/>
                <w:szCs w:val="18"/>
                <w:lang w:val="es-ES_tradnl"/>
              </w:rPr>
              <w:t xml:space="preserve"> </w:t>
            </w:r>
            <w:r w:rsidRPr="0095286A" w:rsidR="0095286A">
              <w:rPr>
                <w:rFonts w:eastAsiaTheme="minorHAnsi"/>
                <w:sz w:val="18"/>
                <w:szCs w:val="18"/>
                <w:lang w:val="es-ES_tradnl"/>
              </w:rPr>
              <w:t>alta mora por concepto de facturación; falta de control</w:t>
            </w:r>
            <w:r w:rsidR="0095286A">
              <w:rPr>
                <w:rFonts w:eastAsiaTheme="minorHAnsi"/>
                <w:sz w:val="18"/>
                <w:szCs w:val="18"/>
                <w:lang w:val="es-ES_tradnl"/>
              </w:rPr>
              <w:t xml:space="preserve"> </w:t>
            </w:r>
            <w:r w:rsidRPr="0095286A" w:rsidR="0095286A">
              <w:rPr>
                <w:rFonts w:eastAsiaTheme="minorHAnsi"/>
                <w:sz w:val="18"/>
                <w:szCs w:val="18"/>
                <w:lang w:val="es-ES_tradnl"/>
              </w:rPr>
              <w:t>en la producción (macro</w:t>
            </w:r>
            <w:r w:rsidR="0095286A">
              <w:rPr>
                <w:rFonts w:eastAsiaTheme="minorHAnsi"/>
                <w:sz w:val="18"/>
                <w:szCs w:val="18"/>
                <w:lang w:val="es-ES_tradnl"/>
              </w:rPr>
              <w:t xml:space="preserve"> </w:t>
            </w:r>
            <w:r w:rsidRPr="0095286A" w:rsidR="0095286A">
              <w:rPr>
                <w:rFonts w:eastAsiaTheme="minorHAnsi"/>
                <w:sz w:val="18"/>
                <w:szCs w:val="18"/>
                <w:lang w:val="es-ES_tradnl"/>
              </w:rPr>
              <w:t>medición); presencia de sistemas de</w:t>
            </w:r>
            <w:r w:rsidR="0095286A">
              <w:rPr>
                <w:rFonts w:eastAsiaTheme="minorHAnsi"/>
                <w:sz w:val="18"/>
                <w:szCs w:val="18"/>
                <w:lang w:val="es-ES_tradnl"/>
              </w:rPr>
              <w:t xml:space="preserve"> </w:t>
            </w:r>
            <w:r w:rsidRPr="0095286A" w:rsidR="0095286A">
              <w:rPr>
                <w:rFonts w:eastAsiaTheme="minorHAnsi"/>
                <w:sz w:val="18"/>
                <w:szCs w:val="18"/>
                <w:lang w:val="es-ES_tradnl"/>
              </w:rPr>
              <w:t>facturación sin medición (tarifas planas)</w:t>
            </w:r>
            <w:r w:rsidR="007A5ED9">
              <w:rPr>
                <w:rFonts w:eastAsiaTheme="minorHAnsi"/>
                <w:sz w:val="18"/>
                <w:szCs w:val="18"/>
                <w:lang w:val="es-ES_tradnl"/>
              </w:rPr>
              <w:t xml:space="preserve"> y sin separación de servicios de agua y saneamiento</w:t>
            </w:r>
            <w:r w:rsidRPr="0095286A" w:rsidR="0095286A">
              <w:rPr>
                <w:rFonts w:eastAsiaTheme="minorHAnsi"/>
                <w:sz w:val="18"/>
                <w:szCs w:val="18"/>
                <w:lang w:val="es-ES_tradnl"/>
              </w:rPr>
              <w:t>; estructuras tarifarias</w:t>
            </w:r>
            <w:r w:rsidR="0095286A">
              <w:rPr>
                <w:rFonts w:eastAsiaTheme="minorHAnsi"/>
                <w:sz w:val="18"/>
                <w:szCs w:val="18"/>
                <w:lang w:val="es-ES_tradnl"/>
              </w:rPr>
              <w:t xml:space="preserve"> </w:t>
            </w:r>
            <w:r w:rsidRPr="0095286A" w:rsidR="0095286A">
              <w:rPr>
                <w:rFonts w:eastAsiaTheme="minorHAnsi"/>
                <w:sz w:val="18"/>
                <w:szCs w:val="18"/>
                <w:lang w:val="es-ES_tradnl"/>
              </w:rPr>
              <w:t>sin categorización o rangos de consumo que limitan obtener</w:t>
            </w:r>
            <w:r w:rsidR="0093770C">
              <w:rPr>
                <w:rFonts w:eastAsiaTheme="minorHAnsi"/>
                <w:sz w:val="18"/>
                <w:szCs w:val="18"/>
                <w:lang w:val="es-ES_tradnl"/>
              </w:rPr>
              <w:t xml:space="preserve"> </w:t>
            </w:r>
            <w:r w:rsidRPr="0095286A" w:rsidR="0095286A">
              <w:rPr>
                <w:rFonts w:eastAsiaTheme="minorHAnsi"/>
                <w:sz w:val="18"/>
                <w:szCs w:val="18"/>
                <w:lang w:val="es-ES_tradnl"/>
              </w:rPr>
              <w:t>subsidios cruzados. Por otro lado, en los costos: gastos por</w:t>
            </w:r>
            <w:r w:rsidR="0095286A">
              <w:rPr>
                <w:rFonts w:eastAsiaTheme="minorHAnsi"/>
                <w:sz w:val="18"/>
                <w:szCs w:val="18"/>
                <w:lang w:val="es-ES_tradnl"/>
              </w:rPr>
              <w:t xml:space="preserve"> </w:t>
            </w:r>
            <w:r w:rsidRPr="0095286A" w:rsidR="0095286A">
              <w:rPr>
                <w:rFonts w:eastAsiaTheme="minorHAnsi"/>
                <w:sz w:val="18"/>
                <w:szCs w:val="18"/>
                <w:lang w:val="es-ES_tradnl"/>
              </w:rPr>
              <w:t>servicios personales elevados, con número de personal excedente</w:t>
            </w:r>
            <w:r w:rsidR="0095286A">
              <w:rPr>
                <w:rFonts w:eastAsiaTheme="minorHAnsi"/>
                <w:sz w:val="18"/>
                <w:szCs w:val="18"/>
                <w:lang w:val="es-ES_tradnl"/>
              </w:rPr>
              <w:t xml:space="preserve"> </w:t>
            </w:r>
            <w:r w:rsidRPr="0095286A" w:rsidR="0095286A">
              <w:rPr>
                <w:rFonts w:eastAsiaTheme="minorHAnsi"/>
                <w:sz w:val="18"/>
                <w:szCs w:val="18"/>
                <w:lang w:val="es-ES_tradnl"/>
              </w:rPr>
              <w:t>respecto al número de conexiones; gastos elevados de</w:t>
            </w:r>
            <w:r w:rsidR="0095286A">
              <w:rPr>
                <w:rFonts w:eastAsiaTheme="minorHAnsi"/>
                <w:sz w:val="18"/>
                <w:szCs w:val="18"/>
                <w:lang w:val="es-ES_tradnl"/>
              </w:rPr>
              <w:t xml:space="preserve"> </w:t>
            </w:r>
            <w:r w:rsidRPr="0095286A" w:rsidR="0095286A">
              <w:rPr>
                <w:rFonts w:eastAsiaTheme="minorHAnsi"/>
                <w:sz w:val="18"/>
                <w:szCs w:val="18"/>
                <w:lang w:val="es-ES_tradnl"/>
              </w:rPr>
              <w:t>directorios y consejos; pérdidas en los resultados de gestión;</w:t>
            </w:r>
            <w:r w:rsidR="0095286A">
              <w:rPr>
                <w:rFonts w:eastAsiaTheme="minorHAnsi"/>
                <w:sz w:val="18"/>
                <w:szCs w:val="18"/>
                <w:lang w:val="es-ES_tradnl"/>
              </w:rPr>
              <w:t xml:space="preserve"> </w:t>
            </w:r>
            <w:r w:rsidRPr="0095286A" w:rsidR="0095286A">
              <w:rPr>
                <w:rFonts w:eastAsiaTheme="minorHAnsi"/>
                <w:sz w:val="18"/>
                <w:szCs w:val="18"/>
                <w:lang w:val="es-ES_tradnl"/>
              </w:rPr>
              <w:t>falta de optimización de procesos y procedimientos; poca innovación</w:t>
            </w:r>
            <w:r w:rsidR="0095286A">
              <w:rPr>
                <w:rFonts w:eastAsiaTheme="minorHAnsi"/>
                <w:sz w:val="18"/>
                <w:szCs w:val="18"/>
                <w:lang w:val="es-ES_tradnl"/>
              </w:rPr>
              <w:t xml:space="preserve"> </w:t>
            </w:r>
            <w:r w:rsidRPr="0095286A" w:rsidR="0095286A">
              <w:rPr>
                <w:rFonts w:eastAsiaTheme="minorHAnsi"/>
                <w:sz w:val="18"/>
                <w:szCs w:val="18"/>
                <w:lang w:val="es-ES_tradnl"/>
              </w:rPr>
              <w:t>tecnológica y ausencia de economías de escala que</w:t>
            </w:r>
            <w:r w:rsidR="0095286A">
              <w:rPr>
                <w:rFonts w:eastAsiaTheme="minorHAnsi"/>
                <w:sz w:val="18"/>
                <w:szCs w:val="18"/>
                <w:lang w:val="es-ES_tradnl"/>
              </w:rPr>
              <w:t xml:space="preserve"> </w:t>
            </w:r>
            <w:r w:rsidRPr="0095286A" w:rsidR="0095286A">
              <w:rPr>
                <w:rFonts w:eastAsiaTheme="minorHAnsi"/>
                <w:sz w:val="18"/>
                <w:szCs w:val="18"/>
                <w:lang w:val="es-ES_tradnl"/>
              </w:rPr>
              <w:t>incentiven la reducción de costos fijos</w:t>
            </w:r>
            <w:r w:rsidR="0095286A">
              <w:rPr>
                <w:rFonts w:eastAsiaTheme="minorHAnsi"/>
                <w:sz w:val="18"/>
                <w:szCs w:val="18"/>
                <w:lang w:val="es-ES_tradnl"/>
              </w:rPr>
              <w:t xml:space="preserve">. </w:t>
            </w:r>
            <w:r w:rsidRPr="00064D10" w:rsidR="00F84DBB">
              <w:rPr>
                <w:rFonts w:eastAsiaTheme="minorHAnsi"/>
                <w:sz w:val="18"/>
                <w:szCs w:val="18"/>
                <w:lang w:val="es-ES_tradnl"/>
              </w:rPr>
              <w:t>Con recursos del programa, se inclu</w:t>
            </w:r>
            <w:r w:rsidR="007D159F">
              <w:rPr>
                <w:rFonts w:eastAsiaTheme="minorHAnsi"/>
                <w:sz w:val="18"/>
                <w:szCs w:val="18"/>
                <w:lang w:val="es-ES_tradnl"/>
              </w:rPr>
              <w:t>yen a</w:t>
            </w:r>
            <w:r w:rsidRPr="00064D10" w:rsidR="00F84DBB">
              <w:rPr>
                <w:rFonts w:eastAsiaTheme="minorHAnsi"/>
                <w:sz w:val="18"/>
                <w:szCs w:val="18"/>
                <w:lang w:val="es-ES_tradnl"/>
              </w:rPr>
              <w:t xml:space="preserve">ctividades </w:t>
            </w:r>
            <w:r w:rsidR="007D159F">
              <w:rPr>
                <w:rFonts w:eastAsiaTheme="minorHAnsi"/>
                <w:sz w:val="18"/>
                <w:szCs w:val="18"/>
                <w:lang w:val="es-ES_tradnl"/>
              </w:rPr>
              <w:t>que promueven</w:t>
            </w:r>
            <w:r w:rsidRPr="00064D10" w:rsidR="00F84DBB">
              <w:rPr>
                <w:rFonts w:eastAsiaTheme="minorHAnsi"/>
                <w:sz w:val="18"/>
                <w:szCs w:val="18"/>
                <w:lang w:val="es-ES_tradnl"/>
              </w:rPr>
              <w:t xml:space="preserve"> la sostenibilidad financiera de l</w:t>
            </w:r>
            <w:r w:rsidR="0093770C">
              <w:rPr>
                <w:rFonts w:eastAsiaTheme="minorHAnsi"/>
                <w:sz w:val="18"/>
                <w:szCs w:val="18"/>
                <w:lang w:val="es-ES_tradnl"/>
              </w:rPr>
              <w:t>o</w:t>
            </w:r>
            <w:r w:rsidRPr="00064D10" w:rsidR="00F84DBB">
              <w:rPr>
                <w:rFonts w:eastAsiaTheme="minorHAnsi"/>
                <w:sz w:val="18"/>
                <w:szCs w:val="18"/>
                <w:lang w:val="es-ES_tradnl"/>
              </w:rPr>
              <w:t>s</w:t>
            </w:r>
            <w:r w:rsidR="0093770C">
              <w:rPr>
                <w:rFonts w:eastAsiaTheme="minorHAnsi"/>
                <w:sz w:val="18"/>
                <w:szCs w:val="18"/>
                <w:lang w:val="es-ES_tradnl"/>
              </w:rPr>
              <w:t xml:space="preserve"> operadores de los servicios públicos incluyendo una g</w:t>
            </w:r>
            <w:r w:rsidRPr="0093770C" w:rsidR="0093770C">
              <w:rPr>
                <w:rFonts w:eastAsiaTheme="minorHAnsi"/>
                <w:sz w:val="18"/>
                <w:szCs w:val="18"/>
                <w:lang w:val="es-ES_tradnl"/>
              </w:rPr>
              <w:t xml:space="preserve">uía metodológica </w:t>
            </w:r>
            <w:r w:rsidR="0093770C">
              <w:rPr>
                <w:rFonts w:eastAsiaTheme="minorHAnsi"/>
                <w:sz w:val="18"/>
                <w:szCs w:val="18"/>
                <w:lang w:val="es-ES_tradnl"/>
              </w:rPr>
              <w:t xml:space="preserve">que permitirá a la </w:t>
            </w:r>
            <w:proofErr w:type="spellStart"/>
            <w:r w:rsidR="0093770C">
              <w:rPr>
                <w:rFonts w:eastAsiaTheme="minorHAnsi"/>
                <w:sz w:val="18"/>
                <w:szCs w:val="18"/>
                <w:lang w:val="es-ES_tradnl"/>
              </w:rPr>
              <w:t>EPSAs</w:t>
            </w:r>
            <w:proofErr w:type="spellEnd"/>
            <w:r w:rsidR="0093770C">
              <w:rPr>
                <w:rFonts w:eastAsiaTheme="minorHAnsi"/>
                <w:sz w:val="18"/>
                <w:szCs w:val="18"/>
                <w:lang w:val="es-ES_tradnl"/>
              </w:rPr>
              <w:t xml:space="preserve"> </w:t>
            </w:r>
            <w:r w:rsidRPr="0093770C" w:rsidR="0093770C">
              <w:rPr>
                <w:rFonts w:eastAsiaTheme="minorHAnsi"/>
                <w:sz w:val="18"/>
                <w:szCs w:val="18"/>
                <w:lang w:val="es-ES_tradnl"/>
              </w:rPr>
              <w:lastRenderedPageBreak/>
              <w:t>determinar la tarifa de alcantarillado</w:t>
            </w:r>
            <w:r w:rsidR="007D159F">
              <w:rPr>
                <w:rFonts w:eastAsiaTheme="minorHAnsi"/>
                <w:sz w:val="18"/>
                <w:szCs w:val="18"/>
                <w:lang w:val="es-ES_tradnl"/>
              </w:rPr>
              <w:t xml:space="preserve"> </w:t>
            </w:r>
            <w:r w:rsidRPr="0093770C" w:rsidR="007D159F">
              <w:rPr>
                <w:rFonts w:eastAsiaTheme="minorHAnsi"/>
                <w:sz w:val="18"/>
                <w:szCs w:val="18"/>
                <w:lang w:val="es-ES_tradnl"/>
              </w:rPr>
              <w:t>y tratamiento</w:t>
            </w:r>
            <w:r w:rsidR="007D159F">
              <w:rPr>
                <w:rFonts w:eastAsiaTheme="minorHAnsi"/>
                <w:sz w:val="18"/>
                <w:szCs w:val="18"/>
                <w:lang w:val="es-ES_tradnl"/>
              </w:rPr>
              <w:t xml:space="preserve"> </w:t>
            </w:r>
            <w:proofErr w:type="spellStart"/>
            <w:r w:rsidR="007D159F">
              <w:rPr>
                <w:rFonts w:eastAsiaTheme="minorHAnsi"/>
                <w:sz w:val="18"/>
                <w:szCs w:val="18"/>
                <w:lang w:val="es-ES_tradnl"/>
              </w:rPr>
              <w:t>ú</w:t>
            </w:r>
            <w:proofErr w:type="spellEnd"/>
            <w:r w:rsidR="007D159F">
              <w:rPr>
                <w:rFonts w:eastAsiaTheme="minorHAnsi"/>
                <w:sz w:val="18"/>
                <w:szCs w:val="18"/>
                <w:lang w:val="es-ES_tradnl"/>
              </w:rPr>
              <w:t xml:space="preserve"> otros mecanismos de recuperación de costos</w:t>
            </w:r>
            <w:r w:rsidRPr="0093770C" w:rsidR="0093770C">
              <w:rPr>
                <w:rFonts w:eastAsiaTheme="minorHAnsi"/>
                <w:sz w:val="18"/>
                <w:szCs w:val="18"/>
                <w:lang w:val="es-ES_tradnl"/>
              </w:rPr>
              <w:t xml:space="preserve"> en áreas metropolitanas</w:t>
            </w:r>
            <w:r w:rsidR="0093770C">
              <w:rPr>
                <w:rFonts w:eastAsiaTheme="minorHAnsi"/>
                <w:sz w:val="18"/>
                <w:szCs w:val="18"/>
                <w:lang w:val="es-ES_tradnl"/>
              </w:rPr>
              <w:t>, así como una g</w:t>
            </w:r>
            <w:r w:rsidRPr="0093770C" w:rsidR="0093770C">
              <w:rPr>
                <w:rFonts w:eastAsiaTheme="minorHAnsi"/>
                <w:sz w:val="18"/>
                <w:szCs w:val="18"/>
                <w:lang w:val="es-ES_tradnl"/>
              </w:rPr>
              <w:t xml:space="preserve">uía </w:t>
            </w:r>
            <w:r w:rsidR="0093770C">
              <w:rPr>
                <w:rFonts w:eastAsiaTheme="minorHAnsi"/>
                <w:sz w:val="18"/>
                <w:szCs w:val="18"/>
                <w:lang w:val="es-ES_tradnl"/>
              </w:rPr>
              <w:t>m</w:t>
            </w:r>
            <w:r w:rsidRPr="0093770C" w:rsidR="0093770C">
              <w:rPr>
                <w:rFonts w:eastAsiaTheme="minorHAnsi"/>
                <w:sz w:val="18"/>
                <w:szCs w:val="18"/>
                <w:lang w:val="es-ES_tradnl"/>
              </w:rPr>
              <w:t xml:space="preserve">etodológica para la </w:t>
            </w:r>
            <w:r w:rsidR="0093770C">
              <w:rPr>
                <w:rFonts w:eastAsiaTheme="minorHAnsi"/>
                <w:sz w:val="18"/>
                <w:szCs w:val="18"/>
                <w:lang w:val="es-ES_tradnl"/>
              </w:rPr>
              <w:t>d</w:t>
            </w:r>
            <w:r w:rsidRPr="0093770C" w:rsidR="0093770C">
              <w:rPr>
                <w:rFonts w:eastAsiaTheme="minorHAnsi"/>
                <w:sz w:val="18"/>
                <w:szCs w:val="18"/>
                <w:lang w:val="es-ES_tradnl"/>
              </w:rPr>
              <w:t xml:space="preserve">eterminación de la </w:t>
            </w:r>
            <w:r w:rsidR="0093770C">
              <w:rPr>
                <w:rFonts w:eastAsiaTheme="minorHAnsi"/>
                <w:sz w:val="18"/>
                <w:szCs w:val="18"/>
                <w:lang w:val="es-ES_tradnl"/>
              </w:rPr>
              <w:t>t</w:t>
            </w:r>
            <w:r w:rsidRPr="0093770C" w:rsidR="0093770C">
              <w:rPr>
                <w:rFonts w:eastAsiaTheme="minorHAnsi"/>
                <w:sz w:val="18"/>
                <w:szCs w:val="18"/>
                <w:lang w:val="es-ES_tradnl"/>
              </w:rPr>
              <w:t xml:space="preserve">asa de </w:t>
            </w:r>
            <w:r w:rsidR="0093770C">
              <w:rPr>
                <w:rFonts w:eastAsiaTheme="minorHAnsi"/>
                <w:sz w:val="18"/>
                <w:szCs w:val="18"/>
                <w:lang w:val="es-ES_tradnl"/>
              </w:rPr>
              <w:t>a</w:t>
            </w:r>
            <w:r w:rsidRPr="0093770C" w:rsidR="0093770C">
              <w:rPr>
                <w:rFonts w:eastAsiaTheme="minorHAnsi"/>
                <w:sz w:val="18"/>
                <w:szCs w:val="18"/>
                <w:lang w:val="es-ES_tradnl"/>
              </w:rPr>
              <w:t xml:space="preserve">seo </w:t>
            </w:r>
            <w:r w:rsidR="0093770C">
              <w:rPr>
                <w:rFonts w:eastAsiaTheme="minorHAnsi"/>
                <w:sz w:val="18"/>
                <w:szCs w:val="18"/>
                <w:lang w:val="es-ES_tradnl"/>
              </w:rPr>
              <w:t>m</w:t>
            </w:r>
            <w:r w:rsidRPr="0093770C" w:rsidR="0093770C">
              <w:rPr>
                <w:rFonts w:eastAsiaTheme="minorHAnsi"/>
                <w:sz w:val="18"/>
                <w:szCs w:val="18"/>
                <w:lang w:val="es-ES_tradnl"/>
              </w:rPr>
              <w:t>unicipal</w:t>
            </w:r>
            <w:r w:rsidR="0093770C">
              <w:rPr>
                <w:rFonts w:eastAsiaTheme="minorHAnsi"/>
                <w:sz w:val="18"/>
                <w:szCs w:val="18"/>
                <w:lang w:val="es-ES_tradnl"/>
              </w:rPr>
              <w:t xml:space="preserve"> por parte d ellos operadores municipales de residuos </w:t>
            </w:r>
            <w:r w:rsidR="00A51F65">
              <w:rPr>
                <w:rFonts w:eastAsiaTheme="minorHAnsi"/>
                <w:sz w:val="18"/>
                <w:szCs w:val="18"/>
                <w:lang w:val="es-ES_tradnl"/>
              </w:rPr>
              <w:t>sólidos</w:t>
            </w:r>
            <w:r w:rsidR="0093770C">
              <w:rPr>
                <w:rFonts w:eastAsiaTheme="minorHAnsi"/>
                <w:sz w:val="18"/>
                <w:szCs w:val="18"/>
                <w:lang w:val="es-ES_tradnl"/>
              </w:rPr>
              <w:t>.</w:t>
            </w:r>
            <w:r w:rsidRPr="003179FD" w:rsidR="003179FD">
              <w:rPr>
                <w:rFonts w:eastAsiaTheme="minorHAnsi"/>
                <w:sz w:val="18"/>
                <w:szCs w:val="18"/>
                <w:lang w:val="es-ES_tradnl"/>
              </w:rPr>
              <w:t xml:space="preserve"> Estas medidas </w:t>
            </w:r>
            <w:r w:rsidR="003179FD">
              <w:rPr>
                <w:rFonts w:eastAsiaTheme="minorHAnsi"/>
                <w:sz w:val="18"/>
                <w:szCs w:val="18"/>
                <w:lang w:val="es-ES_tradnl"/>
              </w:rPr>
              <w:t>van a c</w:t>
            </w:r>
            <w:r w:rsidRPr="003179FD" w:rsidR="003179FD">
              <w:rPr>
                <w:rFonts w:eastAsiaTheme="minorHAnsi"/>
                <w:sz w:val="18"/>
                <w:szCs w:val="18"/>
                <w:lang w:val="es-ES_tradnl"/>
              </w:rPr>
              <w:t>ontribuir</w:t>
            </w:r>
            <w:r w:rsidR="00C460FF">
              <w:rPr>
                <w:rFonts w:eastAsiaTheme="minorHAnsi"/>
                <w:sz w:val="18"/>
                <w:szCs w:val="18"/>
                <w:lang w:val="es-ES_tradnl"/>
              </w:rPr>
              <w:t xml:space="preserve"> tanto</w:t>
            </w:r>
            <w:r w:rsidRPr="003179FD" w:rsidR="003179FD">
              <w:rPr>
                <w:rFonts w:eastAsiaTheme="minorHAnsi"/>
                <w:sz w:val="18"/>
                <w:szCs w:val="18"/>
                <w:lang w:val="es-ES_tradnl"/>
              </w:rPr>
              <w:t xml:space="preserve"> a la sostenibilidad financiera de las </w:t>
            </w:r>
            <w:proofErr w:type="spellStart"/>
            <w:r w:rsidRPr="003179FD" w:rsidR="003179FD">
              <w:rPr>
                <w:rFonts w:eastAsiaTheme="minorHAnsi"/>
                <w:sz w:val="18"/>
                <w:szCs w:val="18"/>
                <w:lang w:val="es-ES_tradnl"/>
              </w:rPr>
              <w:t>EPSA</w:t>
            </w:r>
            <w:r w:rsidR="00C460FF">
              <w:rPr>
                <w:rFonts w:eastAsiaTheme="minorHAnsi"/>
                <w:sz w:val="18"/>
                <w:szCs w:val="18"/>
                <w:lang w:val="es-ES_tradnl"/>
              </w:rPr>
              <w:t>s</w:t>
            </w:r>
            <w:proofErr w:type="spellEnd"/>
            <w:r w:rsidRPr="003179FD" w:rsidR="003179FD">
              <w:rPr>
                <w:rFonts w:eastAsiaTheme="minorHAnsi"/>
                <w:sz w:val="18"/>
                <w:szCs w:val="18"/>
                <w:lang w:val="es-ES_tradnl"/>
              </w:rPr>
              <w:t>, para que estas puedan cubrir sus costos de operación y mantenimiento</w:t>
            </w:r>
            <w:r w:rsidR="00C460FF">
              <w:rPr>
                <w:rFonts w:eastAsiaTheme="minorHAnsi"/>
                <w:sz w:val="18"/>
                <w:szCs w:val="18"/>
                <w:lang w:val="es-ES_tradnl"/>
              </w:rPr>
              <w:t xml:space="preserve"> de todos sus servicios,</w:t>
            </w:r>
            <w:r w:rsidRPr="003179FD" w:rsidR="003179FD">
              <w:rPr>
                <w:rFonts w:eastAsiaTheme="minorHAnsi"/>
                <w:sz w:val="18"/>
                <w:szCs w:val="18"/>
                <w:lang w:val="es-ES_tradnl"/>
              </w:rPr>
              <w:t xml:space="preserve"> asegurando la sostenibilidad de </w:t>
            </w:r>
            <w:proofErr w:type="gramStart"/>
            <w:r w:rsidRPr="003179FD" w:rsidR="003179FD">
              <w:rPr>
                <w:rFonts w:eastAsiaTheme="minorHAnsi"/>
                <w:sz w:val="18"/>
                <w:szCs w:val="18"/>
                <w:lang w:val="es-ES_tradnl"/>
              </w:rPr>
              <w:t xml:space="preserve">los </w:t>
            </w:r>
            <w:r w:rsidR="00C460FF">
              <w:rPr>
                <w:rFonts w:eastAsiaTheme="minorHAnsi"/>
                <w:sz w:val="18"/>
                <w:szCs w:val="18"/>
                <w:lang w:val="es-ES_tradnl"/>
              </w:rPr>
              <w:t>mismos</w:t>
            </w:r>
            <w:proofErr w:type="gramEnd"/>
            <w:r w:rsidR="00C460FF">
              <w:rPr>
                <w:rFonts w:eastAsiaTheme="minorHAnsi"/>
                <w:sz w:val="18"/>
                <w:szCs w:val="18"/>
                <w:lang w:val="es-ES_tradnl"/>
              </w:rPr>
              <w:t xml:space="preserve"> e </w:t>
            </w:r>
            <w:r w:rsidRPr="003179FD" w:rsidR="003179FD">
              <w:rPr>
                <w:rFonts w:eastAsiaTheme="minorHAnsi"/>
                <w:sz w:val="18"/>
                <w:szCs w:val="18"/>
                <w:lang w:val="es-ES_tradnl"/>
              </w:rPr>
              <w:t>incorporando los servicios de tratamiento de aguas residuales en áreas metropolitanas</w:t>
            </w:r>
            <w:r w:rsidR="00C460FF">
              <w:rPr>
                <w:rFonts w:eastAsiaTheme="minorHAnsi"/>
                <w:sz w:val="18"/>
                <w:szCs w:val="18"/>
                <w:lang w:val="es-ES_tradnl"/>
              </w:rPr>
              <w:t xml:space="preserve">, </w:t>
            </w:r>
            <w:r w:rsidR="00FE4F90">
              <w:rPr>
                <w:rFonts w:eastAsiaTheme="minorHAnsi"/>
                <w:sz w:val="18"/>
                <w:szCs w:val="18"/>
                <w:lang w:val="es-ES_tradnl"/>
              </w:rPr>
              <w:t>así</w:t>
            </w:r>
            <w:r w:rsidR="00C460FF">
              <w:rPr>
                <w:rFonts w:eastAsiaTheme="minorHAnsi"/>
                <w:sz w:val="18"/>
                <w:szCs w:val="18"/>
                <w:lang w:val="es-ES_tradnl"/>
              </w:rPr>
              <w:t xml:space="preserve"> como a promover </w:t>
            </w:r>
            <w:r w:rsidRPr="00C460FF" w:rsidR="00C460FF">
              <w:rPr>
                <w:rFonts w:eastAsiaTheme="minorHAnsi"/>
                <w:sz w:val="18"/>
                <w:szCs w:val="18"/>
                <w:lang w:val="es-ES_tradnl"/>
              </w:rPr>
              <w:t xml:space="preserve">la sostenibilidad financiera de los </w:t>
            </w:r>
            <w:r w:rsidR="00FE4F90">
              <w:rPr>
                <w:rFonts w:eastAsiaTheme="minorHAnsi"/>
                <w:sz w:val="18"/>
                <w:szCs w:val="18"/>
                <w:lang w:val="es-ES_tradnl"/>
              </w:rPr>
              <w:t>s</w:t>
            </w:r>
            <w:r w:rsidRPr="00C460FF" w:rsidR="00C460FF">
              <w:rPr>
                <w:rFonts w:eastAsiaTheme="minorHAnsi"/>
                <w:sz w:val="18"/>
                <w:szCs w:val="18"/>
                <w:lang w:val="es-ES_tradnl"/>
              </w:rPr>
              <w:t xml:space="preserve">ervicios de </w:t>
            </w:r>
            <w:r w:rsidR="00FE4F90">
              <w:rPr>
                <w:rFonts w:eastAsiaTheme="minorHAnsi"/>
                <w:sz w:val="18"/>
                <w:szCs w:val="18"/>
                <w:lang w:val="es-ES_tradnl"/>
              </w:rPr>
              <w:t>a</w:t>
            </w:r>
            <w:r w:rsidRPr="00C460FF" w:rsidR="00C460FF">
              <w:rPr>
                <w:rFonts w:eastAsiaTheme="minorHAnsi"/>
                <w:sz w:val="18"/>
                <w:szCs w:val="18"/>
                <w:lang w:val="es-ES_tradnl"/>
              </w:rPr>
              <w:t xml:space="preserve">seo </w:t>
            </w:r>
            <w:r w:rsidR="00FE4F90">
              <w:rPr>
                <w:rFonts w:eastAsiaTheme="minorHAnsi"/>
                <w:sz w:val="18"/>
                <w:szCs w:val="18"/>
                <w:lang w:val="es-ES_tradnl"/>
              </w:rPr>
              <w:t>m</w:t>
            </w:r>
            <w:r w:rsidRPr="00C460FF" w:rsidR="00C460FF">
              <w:rPr>
                <w:rFonts w:eastAsiaTheme="minorHAnsi"/>
                <w:sz w:val="18"/>
                <w:szCs w:val="18"/>
                <w:lang w:val="es-ES_tradnl"/>
              </w:rPr>
              <w:t>unicipal</w:t>
            </w:r>
            <w:r w:rsidR="00FE4F90">
              <w:rPr>
                <w:rFonts w:eastAsiaTheme="minorHAnsi"/>
                <w:sz w:val="18"/>
                <w:szCs w:val="18"/>
                <w:lang w:val="es-ES_tradnl"/>
              </w:rPr>
              <w:t>.</w:t>
            </w:r>
          </w:p>
        </w:tc>
      </w:tr>
      <w:tr w:rsidRPr="004E480D" w:rsidR="009834A9" w:rsidTr="00F97646" w14:paraId="13C6CF3D" w14:textId="77777777">
        <w:trPr>
          <w:jc w:val="center"/>
        </w:trPr>
        <w:tc>
          <w:tcPr>
            <w:tcW w:w="2129" w:type="dxa"/>
            <w:shd w:val="clear" w:color="auto" w:fill="auto"/>
          </w:tcPr>
          <w:p w:rsidRPr="00064D10" w:rsidR="00813650" w:rsidP="00CE33C6" w:rsidRDefault="00813650" w14:paraId="779B4789" w14:textId="77777777">
            <w:pPr>
              <w:rPr>
                <w:sz w:val="18"/>
                <w:szCs w:val="18"/>
                <w:lang w:val="es-ES_tradnl"/>
              </w:rPr>
            </w:pPr>
            <w:r w:rsidRPr="00064D10">
              <w:rPr>
                <w:bCs/>
                <w:sz w:val="18"/>
                <w:szCs w:val="18"/>
                <w:lang w:val="es-ES_tradnl"/>
              </w:rPr>
              <w:lastRenderedPageBreak/>
              <w:t>2. Evaluación Económica</w:t>
            </w:r>
          </w:p>
        </w:tc>
        <w:tc>
          <w:tcPr>
            <w:tcW w:w="3799" w:type="dxa"/>
            <w:shd w:val="clear" w:color="auto" w:fill="auto"/>
          </w:tcPr>
          <w:p w:rsidRPr="00064D10" w:rsidR="00813650" w:rsidP="00064D10" w:rsidRDefault="00813650" w14:paraId="1B145C7E" w14:textId="64D4B5FD">
            <w:pPr>
              <w:jc w:val="both"/>
              <w:rPr>
                <w:sz w:val="18"/>
                <w:szCs w:val="18"/>
                <w:lang w:val="es-ES_tradnl"/>
              </w:rPr>
            </w:pPr>
            <w:r w:rsidRPr="00064D10">
              <w:rPr>
                <w:sz w:val="18"/>
                <w:szCs w:val="18"/>
                <w:lang w:val="es-ES_tradnl"/>
              </w:rPr>
              <w:t xml:space="preserve">Los proyectos de servicios públicos domiciliarios deberán ser económicamente rentables de acuerdo </w:t>
            </w:r>
            <w:r w:rsidR="00EA4896">
              <w:rPr>
                <w:sz w:val="18"/>
                <w:szCs w:val="18"/>
                <w:lang w:val="es-ES_tradnl"/>
              </w:rPr>
              <w:t>con</w:t>
            </w:r>
            <w:r w:rsidRPr="00064D10">
              <w:rPr>
                <w:sz w:val="18"/>
                <w:szCs w:val="18"/>
                <w:lang w:val="es-ES_tradnl"/>
              </w:rPr>
              <w:t xml:space="preserve"> las metodologías de evaluación costo beneficio y costo efectividad utilizadas y aceptadas por el Banco.</w:t>
            </w:r>
          </w:p>
        </w:tc>
        <w:tc>
          <w:tcPr>
            <w:tcW w:w="4307" w:type="dxa"/>
            <w:shd w:val="clear" w:color="auto" w:fill="auto"/>
          </w:tcPr>
          <w:p w:rsidRPr="00F82B21" w:rsidR="00F82B21" w:rsidP="00F82B21" w:rsidRDefault="00F82B21" w14:paraId="46E4FF0E" w14:textId="355CB34C">
            <w:pPr>
              <w:jc w:val="both"/>
              <w:rPr>
                <w:rFonts w:eastAsiaTheme="minorHAnsi"/>
                <w:sz w:val="18"/>
                <w:szCs w:val="18"/>
                <w:lang w:val="es-ES_tradnl"/>
              </w:rPr>
            </w:pPr>
            <w:r w:rsidRPr="00F82B21">
              <w:rPr>
                <w:rFonts w:eastAsiaTheme="minorHAnsi"/>
                <w:sz w:val="18"/>
                <w:szCs w:val="18"/>
                <w:lang w:val="es-ES_tradnl"/>
              </w:rPr>
              <w:t xml:space="preserve">Se realizó una </w:t>
            </w:r>
            <w:hyperlink w:history="1" r:id="rId14">
              <w:r w:rsidRPr="00816922">
                <w:rPr>
                  <w:rStyle w:val="Hyperlink"/>
                  <w:rFonts w:eastAsiaTheme="minorHAnsi"/>
                  <w:sz w:val="18"/>
                  <w:szCs w:val="18"/>
                  <w:lang w:val="es-ES_tradnl"/>
                </w:rPr>
                <w:t>evaluación económica</w:t>
              </w:r>
            </w:hyperlink>
            <w:r w:rsidRPr="00F82B21">
              <w:rPr>
                <w:rFonts w:eastAsiaTheme="minorHAnsi"/>
                <w:sz w:val="18"/>
                <w:szCs w:val="18"/>
                <w:lang w:val="es-ES_tradnl"/>
              </w:rPr>
              <w:t xml:space="preserve"> de los beneficios económicos derivados de las medidas de políticas orientadas al incremento en la</w:t>
            </w:r>
            <w:r>
              <w:rPr>
                <w:rFonts w:eastAsiaTheme="minorHAnsi"/>
                <w:sz w:val="18"/>
                <w:szCs w:val="18"/>
                <w:lang w:val="es-ES_tradnl"/>
              </w:rPr>
              <w:t>s</w:t>
            </w:r>
            <w:r w:rsidRPr="00F82B21">
              <w:rPr>
                <w:rFonts w:eastAsiaTheme="minorHAnsi"/>
                <w:sz w:val="18"/>
                <w:szCs w:val="18"/>
                <w:lang w:val="es-ES_tradnl"/>
              </w:rPr>
              <w:t xml:space="preserve"> </w:t>
            </w:r>
            <w:r>
              <w:rPr>
                <w:rFonts w:eastAsiaTheme="minorHAnsi"/>
                <w:sz w:val="18"/>
                <w:szCs w:val="18"/>
                <w:lang w:val="es-ES_tradnl"/>
              </w:rPr>
              <w:t>coberturas de agua potable y saneamiento básico.</w:t>
            </w:r>
            <w:r w:rsidRPr="00F82B21">
              <w:rPr>
                <w:rFonts w:eastAsiaTheme="minorHAnsi"/>
                <w:sz w:val="18"/>
                <w:szCs w:val="18"/>
                <w:lang w:val="es-ES_tradnl"/>
              </w:rPr>
              <w:t xml:space="preserve"> Para la evaluación económica se estimaron los costos potenciales de la implementación de estas medidas, los cuales no corresponden al financiamiento del Banco para este programa.</w:t>
            </w:r>
          </w:p>
          <w:p w:rsidR="00813650" w:rsidP="00064D10" w:rsidRDefault="00813650" w14:paraId="7464161B" w14:textId="77777777">
            <w:pPr>
              <w:jc w:val="both"/>
              <w:rPr>
                <w:sz w:val="18"/>
                <w:szCs w:val="18"/>
                <w:lang w:val="es-ES_tradnl"/>
              </w:rPr>
            </w:pPr>
          </w:p>
          <w:p w:rsidRPr="00064D10" w:rsidR="006F45E5" w:rsidP="00AE6F36" w:rsidRDefault="006F45E5" w14:paraId="772CFBDA" w14:textId="7055EF6A">
            <w:pPr>
              <w:jc w:val="both"/>
              <w:rPr>
                <w:sz w:val="18"/>
                <w:szCs w:val="18"/>
                <w:lang w:val="es-ES_tradnl"/>
              </w:rPr>
            </w:pPr>
            <w:r w:rsidRPr="00064D10">
              <w:rPr>
                <w:sz w:val="18"/>
                <w:szCs w:val="18"/>
                <w:lang w:val="es-ES_tradnl"/>
              </w:rPr>
              <w:t>Los re</w:t>
            </w:r>
            <w:bookmarkStart w:name="_GoBack" w:id="0"/>
            <w:bookmarkEnd w:id="0"/>
            <w:r w:rsidRPr="00064D10">
              <w:rPr>
                <w:sz w:val="18"/>
                <w:szCs w:val="18"/>
                <w:lang w:val="es-ES_tradnl"/>
              </w:rPr>
              <w:t>sultados del análisis muestran que el programa de ampliación de cobertura es viable y produce beneficios en valor presente por US$ 1,</w:t>
            </w:r>
            <w:r w:rsidR="003A6D31">
              <w:rPr>
                <w:sz w:val="18"/>
                <w:szCs w:val="18"/>
                <w:lang w:val="es-ES_tradnl"/>
              </w:rPr>
              <w:t>3</w:t>
            </w:r>
            <w:r w:rsidRPr="00064D10">
              <w:rPr>
                <w:sz w:val="18"/>
                <w:szCs w:val="18"/>
                <w:lang w:val="es-ES_tradnl"/>
              </w:rPr>
              <w:t xml:space="preserve"> billones, para unas inversiones de US$ </w:t>
            </w:r>
            <w:r w:rsidR="004E480D">
              <w:rPr>
                <w:sz w:val="18"/>
                <w:szCs w:val="18"/>
                <w:lang w:val="es-ES_tradnl"/>
              </w:rPr>
              <w:t>1,03</w:t>
            </w:r>
            <w:r w:rsidRPr="00064D10">
              <w:rPr>
                <w:sz w:val="18"/>
                <w:szCs w:val="18"/>
                <w:lang w:val="es-ES_tradnl"/>
              </w:rPr>
              <w:t xml:space="preserve"> </w:t>
            </w:r>
            <w:r w:rsidR="00A52485">
              <w:rPr>
                <w:sz w:val="18"/>
                <w:szCs w:val="18"/>
                <w:lang w:val="es-ES_tradnl"/>
              </w:rPr>
              <w:t>m</w:t>
            </w:r>
            <w:r w:rsidRPr="00064D10">
              <w:rPr>
                <w:sz w:val="18"/>
                <w:szCs w:val="18"/>
                <w:lang w:val="es-ES_tradnl"/>
              </w:rPr>
              <w:t>illones en valor presente</w:t>
            </w:r>
            <w:r w:rsidR="0070791E">
              <w:rPr>
                <w:sz w:val="18"/>
                <w:szCs w:val="18"/>
                <w:lang w:val="es-ES_tradnl"/>
              </w:rPr>
              <w:t>,</w:t>
            </w:r>
            <w:r w:rsidRPr="00064D10">
              <w:rPr>
                <w:sz w:val="18"/>
                <w:szCs w:val="18"/>
                <w:lang w:val="es-ES_tradnl"/>
              </w:rPr>
              <w:t xml:space="preserve"> con un valor presente neto de US$ </w:t>
            </w:r>
            <w:r w:rsidR="003A6D31">
              <w:rPr>
                <w:sz w:val="18"/>
                <w:szCs w:val="18"/>
                <w:lang w:val="es-ES_tradnl"/>
              </w:rPr>
              <w:t>2</w:t>
            </w:r>
            <w:r w:rsidR="004E480D">
              <w:rPr>
                <w:sz w:val="18"/>
                <w:szCs w:val="18"/>
                <w:lang w:val="es-ES_tradnl"/>
              </w:rPr>
              <w:t>25,9</w:t>
            </w:r>
            <w:r w:rsidRPr="00064D10">
              <w:rPr>
                <w:sz w:val="18"/>
                <w:szCs w:val="18"/>
                <w:lang w:val="es-ES_tradnl"/>
              </w:rPr>
              <w:t xml:space="preserve"> millones con una tasa interna de retorno de </w:t>
            </w:r>
            <w:r w:rsidR="0070791E">
              <w:rPr>
                <w:sz w:val="18"/>
                <w:szCs w:val="18"/>
                <w:lang w:val="es-ES_tradnl"/>
              </w:rPr>
              <w:t>15,</w:t>
            </w:r>
            <w:r w:rsidR="004E480D">
              <w:rPr>
                <w:sz w:val="18"/>
                <w:szCs w:val="18"/>
                <w:lang w:val="es-ES_tradnl"/>
              </w:rPr>
              <w:t>5</w:t>
            </w:r>
            <w:r w:rsidRPr="00064D10">
              <w:rPr>
                <w:sz w:val="18"/>
                <w:szCs w:val="18"/>
                <w:lang w:val="es-ES_tradnl"/>
              </w:rPr>
              <w:t xml:space="preserve">%. </w:t>
            </w:r>
          </w:p>
        </w:tc>
      </w:tr>
      <w:tr w:rsidRPr="00064D10" w:rsidR="000F1306" w:rsidTr="00F97646" w14:paraId="75EAAAFB" w14:textId="77777777">
        <w:trPr>
          <w:jc w:val="center"/>
        </w:trPr>
        <w:tc>
          <w:tcPr>
            <w:tcW w:w="2129" w:type="dxa"/>
            <w:shd w:val="clear" w:color="auto" w:fill="C0C0C0"/>
          </w:tcPr>
          <w:p w:rsidRPr="00064D10" w:rsidR="000F1306" w:rsidP="00064D10" w:rsidRDefault="000F1306" w14:paraId="4D090025" w14:textId="77777777">
            <w:pPr>
              <w:jc w:val="center"/>
              <w:rPr>
                <w:b/>
                <w:sz w:val="18"/>
                <w:szCs w:val="18"/>
                <w:lang w:val="es-ES_tradnl"/>
              </w:rPr>
            </w:pPr>
            <w:r w:rsidRPr="00064D10">
              <w:rPr>
                <w:b/>
                <w:sz w:val="18"/>
                <w:szCs w:val="18"/>
                <w:lang w:val="es-ES_tradnl"/>
              </w:rPr>
              <w:t>Objetivos de la Política</w:t>
            </w:r>
          </w:p>
          <w:p w:rsidRPr="00064D10" w:rsidR="000F1306" w:rsidP="00064D10" w:rsidRDefault="000F1306" w14:paraId="6D5772FD" w14:textId="77777777">
            <w:pPr>
              <w:jc w:val="center"/>
              <w:rPr>
                <w:sz w:val="18"/>
                <w:szCs w:val="18"/>
                <w:lang w:val="es-ES_tradnl"/>
              </w:rPr>
            </w:pPr>
          </w:p>
        </w:tc>
        <w:tc>
          <w:tcPr>
            <w:tcW w:w="3799" w:type="dxa"/>
            <w:shd w:val="clear" w:color="auto" w:fill="C0C0C0"/>
          </w:tcPr>
          <w:p w:rsidRPr="00064D10" w:rsidR="000F1306" w:rsidP="00064D10" w:rsidRDefault="000F1306" w14:paraId="4EE35529" w14:textId="77777777">
            <w:pPr>
              <w:jc w:val="center"/>
              <w:rPr>
                <w:b/>
                <w:sz w:val="18"/>
                <w:szCs w:val="18"/>
                <w:lang w:val="es-ES_tradnl"/>
              </w:rPr>
            </w:pPr>
            <w:r w:rsidRPr="00064D10">
              <w:rPr>
                <w:b/>
                <w:sz w:val="18"/>
                <w:szCs w:val="18"/>
                <w:lang w:val="es-ES_tradnl"/>
              </w:rPr>
              <w:t>Descripción</w:t>
            </w:r>
          </w:p>
        </w:tc>
        <w:tc>
          <w:tcPr>
            <w:tcW w:w="4307" w:type="dxa"/>
            <w:shd w:val="clear" w:color="auto" w:fill="C0C0C0"/>
          </w:tcPr>
          <w:p w:rsidRPr="00064D10" w:rsidR="000F1306" w:rsidP="00064D10" w:rsidRDefault="000F1306" w14:paraId="0246EC7A" w14:textId="77777777">
            <w:pPr>
              <w:jc w:val="center"/>
              <w:rPr>
                <w:b/>
                <w:sz w:val="18"/>
                <w:szCs w:val="18"/>
                <w:lang w:val="es-ES_tradnl"/>
              </w:rPr>
            </w:pPr>
            <w:r w:rsidRPr="00064D10">
              <w:rPr>
                <w:b/>
                <w:sz w:val="18"/>
                <w:szCs w:val="18"/>
                <w:lang w:val="es-ES_tradnl"/>
              </w:rPr>
              <w:t>Comentarios</w:t>
            </w:r>
          </w:p>
        </w:tc>
      </w:tr>
      <w:tr w:rsidRPr="004E480D" w:rsidR="009834A9" w:rsidTr="00F97646" w14:paraId="25689095" w14:textId="77777777">
        <w:trPr>
          <w:jc w:val="center"/>
        </w:trPr>
        <w:tc>
          <w:tcPr>
            <w:tcW w:w="2129" w:type="dxa"/>
            <w:shd w:val="clear" w:color="auto" w:fill="auto"/>
          </w:tcPr>
          <w:p w:rsidRPr="00064D10" w:rsidR="000F1306" w:rsidP="000F1306" w:rsidRDefault="000F1306" w14:paraId="46AE54E6" w14:textId="77777777">
            <w:pPr>
              <w:rPr>
                <w:sz w:val="18"/>
                <w:szCs w:val="18"/>
                <w:lang w:val="es-ES_tradnl"/>
              </w:rPr>
            </w:pPr>
            <w:r w:rsidRPr="00064D10">
              <w:rPr>
                <w:bCs/>
                <w:sz w:val="18"/>
                <w:szCs w:val="18"/>
                <w:lang w:val="es-ES_tradnl"/>
              </w:rPr>
              <w:t>1. Fomentar el Acceso</w:t>
            </w:r>
          </w:p>
        </w:tc>
        <w:tc>
          <w:tcPr>
            <w:tcW w:w="3799" w:type="dxa"/>
            <w:shd w:val="clear" w:color="auto" w:fill="auto"/>
          </w:tcPr>
          <w:p w:rsidRPr="00064D10" w:rsidR="000F1306" w:rsidP="00064D10" w:rsidRDefault="000F1306" w14:paraId="28FBD3BF" w14:textId="77777777">
            <w:pPr>
              <w:jc w:val="both"/>
              <w:rPr>
                <w:sz w:val="18"/>
                <w:szCs w:val="18"/>
                <w:lang w:val="es-ES_tradnl"/>
              </w:rPr>
            </w:pPr>
            <w:r w:rsidRPr="00064D10">
              <w:rPr>
                <w:sz w:val="18"/>
                <w:szCs w:val="18"/>
                <w:lang w:val="es-ES_tradnl"/>
              </w:rPr>
              <w:t>Las políticas deben promover el acceso a todos los usuarios, especialmente a las comunidades y grupos</w:t>
            </w:r>
            <w:r w:rsidR="004E511A">
              <w:rPr>
                <w:sz w:val="18"/>
                <w:szCs w:val="18"/>
                <w:lang w:val="es-ES_tradnl"/>
              </w:rPr>
              <w:t xml:space="preserve"> </w:t>
            </w:r>
            <w:r w:rsidRPr="00064D10">
              <w:rPr>
                <w:sz w:val="18"/>
                <w:szCs w:val="18"/>
                <w:lang w:val="es-ES_tradnl"/>
              </w:rPr>
              <w:t xml:space="preserve">más desfavorecidos. </w:t>
            </w:r>
          </w:p>
        </w:tc>
        <w:tc>
          <w:tcPr>
            <w:tcW w:w="4307" w:type="dxa"/>
            <w:shd w:val="clear" w:color="auto" w:fill="auto"/>
          </w:tcPr>
          <w:p w:rsidRPr="00064D10" w:rsidR="000F1306" w:rsidP="00CA2063" w:rsidRDefault="00CA2063" w14:paraId="5FF71835" w14:textId="77777777">
            <w:pPr>
              <w:autoSpaceDE w:val="0"/>
              <w:autoSpaceDN w:val="0"/>
              <w:adjustRightInd w:val="0"/>
              <w:jc w:val="both"/>
              <w:rPr>
                <w:sz w:val="18"/>
                <w:szCs w:val="18"/>
                <w:lang w:val="es-ES_tradnl"/>
              </w:rPr>
            </w:pPr>
            <w:r w:rsidRPr="00CA2063">
              <w:rPr>
                <w:sz w:val="18"/>
                <w:szCs w:val="18"/>
                <w:lang w:val="es-ES_tradnl"/>
              </w:rPr>
              <w:t>El Estado Plurinacional de Bolivia fue uno de los primeros países en instituir en su Constitución</w:t>
            </w:r>
            <w:r>
              <w:rPr>
                <w:sz w:val="18"/>
                <w:szCs w:val="18"/>
                <w:lang w:val="es-ES_tradnl"/>
              </w:rPr>
              <w:t xml:space="preserve"> </w:t>
            </w:r>
            <w:r w:rsidRPr="00CA2063">
              <w:rPr>
                <w:sz w:val="18"/>
                <w:szCs w:val="18"/>
                <w:lang w:val="es-ES_tradnl"/>
              </w:rPr>
              <w:t>Política del Estado (CPE) el derecho humano de acceso a los servicios de agua y alcantarillado</w:t>
            </w:r>
            <w:r>
              <w:rPr>
                <w:sz w:val="18"/>
                <w:szCs w:val="18"/>
                <w:lang w:val="es-ES_tradnl"/>
              </w:rPr>
              <w:t xml:space="preserve"> </w:t>
            </w:r>
            <w:r w:rsidRPr="00CA2063">
              <w:rPr>
                <w:sz w:val="18"/>
                <w:szCs w:val="18"/>
                <w:lang w:val="es-ES_tradnl"/>
              </w:rPr>
              <w:t>(Arts. 16.I, 20.I y 20.III). La provisión de estos servicios obedece a los criterios de universalidad,</w:t>
            </w:r>
            <w:r>
              <w:rPr>
                <w:sz w:val="18"/>
                <w:szCs w:val="18"/>
                <w:lang w:val="es-ES_tradnl"/>
              </w:rPr>
              <w:t xml:space="preserve"> </w:t>
            </w:r>
            <w:r w:rsidRPr="00CA2063">
              <w:rPr>
                <w:sz w:val="18"/>
                <w:szCs w:val="18"/>
                <w:lang w:val="es-ES_tradnl"/>
              </w:rPr>
              <w:t>responsabilidad, accesibilidad, continuidad, calidad, eficiencia, eficacia, tarifas equitativas,</w:t>
            </w:r>
            <w:r>
              <w:rPr>
                <w:sz w:val="18"/>
                <w:szCs w:val="18"/>
                <w:lang w:val="es-ES_tradnl"/>
              </w:rPr>
              <w:t xml:space="preserve"> </w:t>
            </w:r>
            <w:r w:rsidRPr="00CA2063">
              <w:rPr>
                <w:sz w:val="18"/>
                <w:szCs w:val="18"/>
                <w:lang w:val="es-ES_tradnl"/>
              </w:rPr>
              <w:t>cobertura necesaria, con participación y control social (Art. 20.II)</w:t>
            </w:r>
            <w:r>
              <w:rPr>
                <w:sz w:val="18"/>
                <w:szCs w:val="18"/>
                <w:lang w:val="es-ES_tradnl"/>
              </w:rPr>
              <w:t>.</w:t>
            </w:r>
            <w:r w:rsidRPr="00CA2063">
              <w:rPr>
                <w:sz w:val="18"/>
                <w:szCs w:val="18"/>
                <w:lang w:val="es-ES_tradnl"/>
              </w:rPr>
              <w:t xml:space="preserve"> </w:t>
            </w:r>
            <w:r w:rsidRPr="00064D10" w:rsidR="00AF0BB0">
              <w:rPr>
                <w:sz w:val="18"/>
                <w:szCs w:val="18"/>
                <w:lang w:val="es-ES_tradnl"/>
              </w:rPr>
              <w:t xml:space="preserve">De acuerdo con el Plan Sectorial de Desarrollo de Saneamiento Básico, el sector de Agua y Saneamiento (A&amp;S) tiene como desafíos incrementar las coberturas y mejorar la calidad de los servicios, principalmente en las áreas periurbanas de las ciudades metropolitanas. Las metas fijadas para el 2020 por el Gobierno de Bolivia,  y que fueron </w:t>
            </w:r>
            <w:r w:rsidRPr="00064D10" w:rsidR="00995892">
              <w:rPr>
                <w:sz w:val="18"/>
                <w:szCs w:val="18"/>
                <w:lang w:val="es-ES_tradnl"/>
              </w:rPr>
              <w:t>incorporadas en el PSDSB, son</w:t>
            </w:r>
            <w:r w:rsidRPr="00064D10" w:rsidR="00AF0BB0">
              <w:rPr>
                <w:sz w:val="18"/>
                <w:szCs w:val="18"/>
                <w:lang w:val="es-ES_tradnl"/>
              </w:rPr>
              <w:t>: (i) AP: incrementar la cobertura a 93% en poblaciones mayores a 10.000 habitantes, a 96% entre 2.000 y 10.000 habitantes, y a 90% en poblaciones rurales menores a 2.000 habitantes; y (</w:t>
            </w:r>
            <w:proofErr w:type="spellStart"/>
            <w:r w:rsidRPr="00064D10" w:rsidR="00AF0BB0">
              <w:rPr>
                <w:sz w:val="18"/>
                <w:szCs w:val="18"/>
                <w:lang w:val="es-ES_tradnl"/>
              </w:rPr>
              <w:t>ii</w:t>
            </w:r>
            <w:proofErr w:type="spellEnd"/>
            <w:r w:rsidRPr="00064D10" w:rsidR="00AF0BB0">
              <w:rPr>
                <w:sz w:val="18"/>
                <w:szCs w:val="18"/>
                <w:lang w:val="es-ES_tradnl"/>
              </w:rPr>
              <w:t>) AS: incrementar la cobertura a 80% en poblaciones mayores a 2.000 habitantes, y 70% en poblaciones rurales menores a 2.000 habitantes.</w:t>
            </w:r>
            <w:r w:rsidRPr="00064D10" w:rsidR="00ED5E5B">
              <w:rPr>
                <w:sz w:val="18"/>
                <w:szCs w:val="18"/>
                <w:lang w:val="es-ES_tradnl"/>
              </w:rPr>
              <w:t xml:space="preserve"> La Ley Marco de la Madre Tierra y Desarrollo </w:t>
            </w:r>
            <w:r w:rsidRPr="00064D10" w:rsidR="00ED5E5B">
              <w:rPr>
                <w:sz w:val="18"/>
                <w:szCs w:val="18"/>
                <w:lang w:val="es-ES_tradnl"/>
              </w:rPr>
              <w:lastRenderedPageBreak/>
              <w:t>Integral para Vivir Bien (</w:t>
            </w:r>
            <w:proofErr w:type="spellStart"/>
            <w:r w:rsidRPr="00064D10" w:rsidR="00ED5E5B">
              <w:rPr>
                <w:sz w:val="18"/>
                <w:szCs w:val="18"/>
                <w:lang w:val="es-ES_tradnl"/>
              </w:rPr>
              <w:t>Nº</w:t>
            </w:r>
            <w:proofErr w:type="spellEnd"/>
            <w:r w:rsidRPr="00064D10" w:rsidR="00ED5E5B">
              <w:rPr>
                <w:sz w:val="18"/>
                <w:szCs w:val="18"/>
                <w:lang w:val="es-ES_tradnl"/>
              </w:rPr>
              <w:t xml:space="preserve"> 300), establece como orientación el garantizar el derecho al agua para la vida, priorizando su uso, acceso y aprovechamiento como recurso estratégico en cantidad y calidad suficiente para satisfacer de forma integral e indistinta la conservación de los sistemas de vida, la satisfacción de las necesidades domésticas de las personas, y los procesos productivos para garantizar la soberanía y seguridad alimentaria</w:t>
            </w:r>
            <w:r w:rsidRPr="00064D10" w:rsidR="00DB2723">
              <w:rPr>
                <w:sz w:val="18"/>
                <w:szCs w:val="18"/>
                <w:lang w:val="es-ES_tradnl"/>
              </w:rPr>
              <w:t>.</w:t>
            </w:r>
            <w:r w:rsidRPr="00064D10" w:rsidR="00114E8A">
              <w:rPr>
                <w:sz w:val="18"/>
                <w:szCs w:val="18"/>
                <w:lang w:val="es-ES_tradnl"/>
              </w:rPr>
              <w:t xml:space="preserve"> Los resultados esperados del programa están indicados en la Matriz de Resultados</w:t>
            </w:r>
            <w:r w:rsidR="00823D21">
              <w:rPr>
                <w:sz w:val="18"/>
                <w:szCs w:val="18"/>
                <w:lang w:val="es-ES_tradnl"/>
              </w:rPr>
              <w:t xml:space="preserve"> del programa</w:t>
            </w:r>
            <w:r w:rsidRPr="00064D10" w:rsidR="00114E8A">
              <w:rPr>
                <w:sz w:val="18"/>
                <w:szCs w:val="18"/>
                <w:lang w:val="es-ES_tradnl"/>
              </w:rPr>
              <w:t xml:space="preserve"> e incluyen indicadores de resultado específicos relacionados con el incremento de la   cobertura de agua y de la cobertura de saneamiento en el país.</w:t>
            </w:r>
            <w:r w:rsidR="006C5FCA">
              <w:rPr>
                <w:sz w:val="18"/>
                <w:szCs w:val="18"/>
                <w:lang w:val="es-ES_tradnl"/>
              </w:rPr>
              <w:t xml:space="preserve"> Dentro del componente II del programa, se incluye el compromiso de </w:t>
            </w:r>
            <w:r w:rsidR="00C56B3A">
              <w:rPr>
                <w:sz w:val="18"/>
                <w:szCs w:val="18"/>
                <w:lang w:val="es-ES_tradnl"/>
              </w:rPr>
              <w:t>aprobar</w:t>
            </w:r>
            <w:r w:rsidR="006C5FCA">
              <w:rPr>
                <w:sz w:val="18"/>
                <w:szCs w:val="18"/>
                <w:lang w:val="es-ES_tradnl"/>
              </w:rPr>
              <w:t xml:space="preserve"> </w:t>
            </w:r>
            <w:r w:rsidR="00C56B3A">
              <w:rPr>
                <w:sz w:val="18"/>
                <w:szCs w:val="18"/>
                <w:lang w:val="es-ES_tradnl"/>
              </w:rPr>
              <w:t>una g</w:t>
            </w:r>
            <w:r w:rsidRPr="006C5FCA" w:rsidR="006C5FCA">
              <w:rPr>
                <w:sz w:val="18"/>
                <w:szCs w:val="18"/>
                <w:lang w:val="es-ES_tradnl"/>
              </w:rPr>
              <w:t>uía metodológica y caja de herramientas para incentivar la conectividad a los sistemas de alcantarillado sanitario en áreas urbanas</w:t>
            </w:r>
            <w:r w:rsidR="00C56B3A">
              <w:rPr>
                <w:sz w:val="18"/>
                <w:szCs w:val="18"/>
                <w:lang w:val="es-ES_tradnl"/>
              </w:rPr>
              <w:t>.</w:t>
            </w:r>
          </w:p>
        </w:tc>
      </w:tr>
      <w:tr w:rsidRPr="004E480D" w:rsidR="000F1306" w:rsidTr="00F97646" w14:paraId="039A7165" w14:textId="77777777">
        <w:trPr>
          <w:jc w:val="center"/>
        </w:trPr>
        <w:tc>
          <w:tcPr>
            <w:tcW w:w="2129" w:type="dxa"/>
            <w:shd w:val="clear" w:color="auto" w:fill="auto"/>
          </w:tcPr>
          <w:p w:rsidRPr="00064D10" w:rsidR="000F1306" w:rsidP="00776571" w:rsidRDefault="000F1306" w14:paraId="377F6A1D" w14:textId="77777777">
            <w:pPr>
              <w:jc w:val="both"/>
              <w:rPr>
                <w:sz w:val="18"/>
                <w:szCs w:val="18"/>
                <w:lang w:val="es-ES_tradnl"/>
              </w:rPr>
            </w:pPr>
            <w:r w:rsidRPr="00064D10">
              <w:rPr>
                <w:bCs/>
                <w:sz w:val="18"/>
                <w:szCs w:val="18"/>
                <w:lang w:val="es-ES_tradnl"/>
              </w:rPr>
              <w:lastRenderedPageBreak/>
              <w:t>2. Suministrar el acceso al servicio en condiciones de confiabilidad y calidad adecuadas</w:t>
            </w:r>
          </w:p>
        </w:tc>
        <w:tc>
          <w:tcPr>
            <w:tcW w:w="3799" w:type="dxa"/>
            <w:shd w:val="clear" w:color="auto" w:fill="auto"/>
          </w:tcPr>
          <w:p w:rsidRPr="00064D10" w:rsidR="000F1306" w:rsidP="00064D10" w:rsidRDefault="000F1306" w14:paraId="2E16A70A" w14:textId="77777777">
            <w:pPr>
              <w:jc w:val="both"/>
              <w:rPr>
                <w:sz w:val="18"/>
                <w:szCs w:val="18"/>
                <w:lang w:val="es-ES_tradnl"/>
              </w:rPr>
            </w:pPr>
            <w:r w:rsidRPr="00064D10">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rsidR="00F306A2" w:rsidP="00F306A2" w:rsidRDefault="00CE2AC7" w14:paraId="3612EF91" w14:textId="77777777">
            <w:pPr>
              <w:jc w:val="both"/>
              <w:rPr>
                <w:sz w:val="18"/>
                <w:szCs w:val="18"/>
                <w:lang w:val="es-ES_tradnl"/>
              </w:rPr>
            </w:pPr>
            <w:r w:rsidRPr="00064D10">
              <w:rPr>
                <w:sz w:val="18"/>
                <w:szCs w:val="18"/>
                <w:lang w:val="es-ES_tradnl"/>
              </w:rPr>
              <w:t>La Autoridad de Fiscalización y Control Social de Agua Potable y Saneamiento Básico  (AAPS) tiene asignada desde el 2009 la regulación de los servicios, y la responsabilidad de otorgar los derechos de prestación, de uso y aprovechamiento de fuentes de agua para consumo humano.</w:t>
            </w:r>
            <w:r w:rsidRPr="00064D10" w:rsidR="00E967AF">
              <w:rPr>
                <w:sz w:val="18"/>
                <w:szCs w:val="18"/>
                <w:lang w:val="es-ES_tradnl"/>
              </w:rPr>
              <w:t xml:space="preserve"> </w:t>
            </w:r>
            <w:r w:rsidR="002C794E">
              <w:rPr>
                <w:sz w:val="18"/>
                <w:szCs w:val="18"/>
                <w:lang w:val="es-ES_tradnl"/>
              </w:rPr>
              <w:t>La AAPS</w:t>
            </w:r>
            <w:r w:rsidR="00524113">
              <w:rPr>
                <w:sz w:val="18"/>
                <w:szCs w:val="18"/>
                <w:lang w:val="es-ES_tradnl"/>
              </w:rPr>
              <w:t xml:space="preserve"> </w:t>
            </w:r>
            <w:r w:rsidRPr="00524113" w:rsidR="00524113">
              <w:rPr>
                <w:sz w:val="18"/>
                <w:szCs w:val="18"/>
                <w:lang w:val="es-ES_tradnl"/>
              </w:rPr>
              <w:t>La AAPS ha instruido a las EPSA la elaboración, remisión e implementación de sus respectivos Planes de Contingencias</w:t>
            </w:r>
            <w:r w:rsidR="00524113">
              <w:rPr>
                <w:sz w:val="18"/>
                <w:szCs w:val="18"/>
                <w:lang w:val="es-ES_tradnl"/>
              </w:rPr>
              <w:t xml:space="preserve"> </w:t>
            </w:r>
            <w:r w:rsidRPr="00524113" w:rsidR="00524113">
              <w:rPr>
                <w:sz w:val="18"/>
                <w:szCs w:val="18"/>
                <w:lang w:val="es-ES_tradnl"/>
              </w:rPr>
              <w:t>(</w:t>
            </w:r>
            <w:proofErr w:type="spellStart"/>
            <w:r w:rsidRPr="00524113" w:rsidR="00524113">
              <w:rPr>
                <w:sz w:val="18"/>
                <w:szCs w:val="18"/>
                <w:lang w:val="es-ES_tradnl"/>
              </w:rPr>
              <w:t>PdC</w:t>
            </w:r>
            <w:proofErr w:type="spellEnd"/>
            <w:r w:rsidRPr="00524113" w:rsidR="00524113">
              <w:rPr>
                <w:sz w:val="18"/>
                <w:szCs w:val="18"/>
                <w:lang w:val="es-ES_tradnl"/>
              </w:rPr>
              <w:t>) a partir de la gestión 2015, mediante</w:t>
            </w:r>
            <w:r w:rsidR="00524113">
              <w:rPr>
                <w:sz w:val="18"/>
                <w:szCs w:val="18"/>
                <w:lang w:val="es-ES_tradnl"/>
              </w:rPr>
              <w:t xml:space="preserve"> </w:t>
            </w:r>
            <w:r w:rsidRPr="00524113" w:rsidR="00524113">
              <w:rPr>
                <w:sz w:val="18"/>
                <w:szCs w:val="18"/>
                <w:lang w:val="es-ES_tradnl"/>
              </w:rPr>
              <w:t>los instructivos AAPS/DE/CIR/02/2015</w:t>
            </w:r>
            <w:r w:rsidR="00524113">
              <w:rPr>
                <w:sz w:val="18"/>
                <w:szCs w:val="18"/>
                <w:lang w:val="es-ES_tradnl"/>
              </w:rPr>
              <w:t xml:space="preserve"> </w:t>
            </w:r>
            <w:r w:rsidRPr="00524113" w:rsidR="00524113">
              <w:rPr>
                <w:sz w:val="18"/>
                <w:szCs w:val="18"/>
                <w:lang w:val="es-ES_tradnl"/>
              </w:rPr>
              <w:t>y AAPS/DE/INS/015/2016. El 2017,</w:t>
            </w:r>
            <w:r w:rsidR="00524113">
              <w:rPr>
                <w:sz w:val="18"/>
                <w:szCs w:val="18"/>
                <w:lang w:val="es-ES_tradnl"/>
              </w:rPr>
              <w:t xml:space="preserve"> </w:t>
            </w:r>
            <w:r w:rsidRPr="00524113" w:rsidR="00524113">
              <w:rPr>
                <w:sz w:val="18"/>
                <w:szCs w:val="18"/>
                <w:lang w:val="es-ES_tradnl"/>
              </w:rPr>
              <w:t>considerando las lecciones aprendidas de anteriores gestiones, se adjunta al Instructivo AAPS/DE/INS/003/2017,</w:t>
            </w:r>
            <w:r w:rsidR="00F306A2">
              <w:rPr>
                <w:sz w:val="18"/>
                <w:szCs w:val="18"/>
                <w:lang w:val="es-ES_tradnl"/>
              </w:rPr>
              <w:t xml:space="preserve"> </w:t>
            </w:r>
            <w:r w:rsidRPr="00524113" w:rsidR="00524113">
              <w:rPr>
                <w:sz w:val="18"/>
                <w:szCs w:val="18"/>
                <w:lang w:val="es-ES_tradnl"/>
              </w:rPr>
              <w:t xml:space="preserve">lineamientos para la elaboración de los </w:t>
            </w:r>
            <w:proofErr w:type="spellStart"/>
            <w:r w:rsidRPr="00524113" w:rsidR="00524113">
              <w:rPr>
                <w:sz w:val="18"/>
                <w:szCs w:val="18"/>
                <w:lang w:val="es-ES_tradnl"/>
              </w:rPr>
              <w:t>PdC</w:t>
            </w:r>
            <w:proofErr w:type="spellEnd"/>
            <w:r w:rsidRPr="00524113" w:rsidR="00524113">
              <w:rPr>
                <w:sz w:val="18"/>
                <w:szCs w:val="18"/>
                <w:lang w:val="es-ES_tradnl"/>
              </w:rPr>
              <w:t>. El propósito es que las EPSA reguladas tomen medidas de prevención</w:t>
            </w:r>
            <w:r w:rsidR="00F306A2">
              <w:rPr>
                <w:sz w:val="18"/>
                <w:szCs w:val="18"/>
                <w:lang w:val="es-ES_tradnl"/>
              </w:rPr>
              <w:t xml:space="preserve"> </w:t>
            </w:r>
            <w:r w:rsidRPr="00524113" w:rsidR="00524113">
              <w:rPr>
                <w:sz w:val="18"/>
                <w:szCs w:val="18"/>
                <w:lang w:val="es-ES_tradnl"/>
              </w:rPr>
              <w:t>y, llegado el caso, de reacción ante potenciales efectos del cambio climático o de amenazas de otra índole</w:t>
            </w:r>
            <w:r w:rsidR="00F306A2">
              <w:rPr>
                <w:sz w:val="18"/>
                <w:szCs w:val="18"/>
                <w:lang w:val="es-ES_tradnl"/>
              </w:rPr>
              <w:t>.</w:t>
            </w:r>
            <w:r w:rsidRPr="00F306A2" w:rsidR="00F306A2">
              <w:rPr>
                <w:lang w:val="es-ES_tradnl"/>
              </w:rPr>
              <w:t xml:space="preserve"> </w:t>
            </w:r>
            <w:r w:rsidRPr="00F306A2" w:rsidR="00F306A2">
              <w:rPr>
                <w:sz w:val="18"/>
                <w:szCs w:val="18"/>
                <w:lang w:val="es-ES_tradnl"/>
              </w:rPr>
              <w:t xml:space="preserve">Los resultados más importantes que se esperan luego de la implementación de los respectivos </w:t>
            </w:r>
            <w:proofErr w:type="spellStart"/>
            <w:r w:rsidRPr="00F306A2" w:rsidR="00F306A2">
              <w:rPr>
                <w:sz w:val="18"/>
                <w:szCs w:val="18"/>
                <w:lang w:val="es-ES_tradnl"/>
              </w:rPr>
              <w:t>P</w:t>
            </w:r>
            <w:r w:rsidR="00F306A2">
              <w:rPr>
                <w:sz w:val="18"/>
                <w:szCs w:val="18"/>
                <w:lang w:val="es-ES_tradnl"/>
              </w:rPr>
              <w:t>dC</w:t>
            </w:r>
            <w:proofErr w:type="spellEnd"/>
            <w:r w:rsidR="00F306A2">
              <w:rPr>
                <w:sz w:val="18"/>
                <w:szCs w:val="18"/>
                <w:lang w:val="es-ES_tradnl"/>
              </w:rPr>
              <w:t xml:space="preserve"> </w:t>
            </w:r>
            <w:r w:rsidRPr="00F306A2" w:rsidR="00F306A2">
              <w:rPr>
                <w:sz w:val="18"/>
                <w:szCs w:val="18"/>
                <w:lang w:val="es-ES_tradnl"/>
              </w:rPr>
              <w:t>en las EPSA son: a) mantener en rangos aceptables la disponibilidad del recurso hídrico, b) mantener la calidad</w:t>
            </w:r>
            <w:r w:rsidR="00F306A2">
              <w:rPr>
                <w:sz w:val="18"/>
                <w:szCs w:val="18"/>
                <w:lang w:val="es-ES_tradnl"/>
              </w:rPr>
              <w:t xml:space="preserve"> </w:t>
            </w:r>
            <w:r w:rsidRPr="00F306A2" w:rsidR="00F306A2">
              <w:rPr>
                <w:sz w:val="18"/>
                <w:szCs w:val="18"/>
                <w:lang w:val="es-ES_tradnl"/>
              </w:rPr>
              <w:t>del agua dentro los parámetros de la norma, c) llegar al usuario con abastecimiento de agua potable en caso de</w:t>
            </w:r>
            <w:r w:rsidR="00F306A2">
              <w:rPr>
                <w:sz w:val="18"/>
                <w:szCs w:val="18"/>
                <w:lang w:val="es-ES_tradnl"/>
              </w:rPr>
              <w:t xml:space="preserve"> </w:t>
            </w:r>
            <w:r w:rsidRPr="00F306A2" w:rsidR="00F306A2">
              <w:rPr>
                <w:sz w:val="18"/>
                <w:szCs w:val="18"/>
                <w:lang w:val="es-ES_tradnl"/>
              </w:rPr>
              <w:t>racionamiento extremo y d) evitar potencial contaminación del agua</w:t>
            </w:r>
            <w:r w:rsidR="00F306A2">
              <w:rPr>
                <w:sz w:val="18"/>
                <w:szCs w:val="18"/>
                <w:lang w:val="es-ES_tradnl"/>
              </w:rPr>
              <w:t>.</w:t>
            </w:r>
            <w:r w:rsidR="002C794E">
              <w:rPr>
                <w:sz w:val="18"/>
                <w:szCs w:val="18"/>
                <w:lang w:val="es-ES_tradnl"/>
              </w:rPr>
              <w:t xml:space="preserve"> </w:t>
            </w:r>
          </w:p>
          <w:p w:rsidR="00294D87" w:rsidP="00F306A2" w:rsidRDefault="00F306A2" w14:paraId="0F7D6BB7" w14:textId="77777777">
            <w:pPr>
              <w:jc w:val="both"/>
              <w:rPr>
                <w:sz w:val="18"/>
                <w:szCs w:val="18"/>
                <w:lang w:val="es-ES_tradnl"/>
              </w:rPr>
            </w:pPr>
            <w:r>
              <w:rPr>
                <w:sz w:val="18"/>
                <w:szCs w:val="18"/>
                <w:lang w:val="es-ES_tradnl"/>
              </w:rPr>
              <w:t>Por otro lado, l</w:t>
            </w:r>
            <w:r w:rsidRPr="00064D10" w:rsidR="00DB2723">
              <w:rPr>
                <w:sz w:val="18"/>
                <w:szCs w:val="18"/>
                <w:lang w:val="es-ES_tradnl"/>
              </w:rPr>
              <w:t xml:space="preserve">as principales </w:t>
            </w:r>
            <w:proofErr w:type="spellStart"/>
            <w:r w:rsidRPr="00064D10" w:rsidR="00DB2723">
              <w:rPr>
                <w:sz w:val="18"/>
                <w:szCs w:val="18"/>
                <w:lang w:val="es-ES_tradnl"/>
              </w:rPr>
              <w:t>EPSAs</w:t>
            </w:r>
            <w:proofErr w:type="spellEnd"/>
            <w:r w:rsidRPr="00064D10" w:rsidR="00E967AF">
              <w:rPr>
                <w:sz w:val="18"/>
                <w:szCs w:val="18"/>
                <w:lang w:val="es-ES_tradnl"/>
              </w:rPr>
              <w:t>, cuenta</w:t>
            </w:r>
            <w:r w:rsidRPr="00064D10" w:rsidR="00DB2723">
              <w:rPr>
                <w:sz w:val="18"/>
                <w:szCs w:val="18"/>
                <w:lang w:val="es-ES_tradnl"/>
              </w:rPr>
              <w:t>n</w:t>
            </w:r>
            <w:r w:rsidRPr="00064D10" w:rsidR="00E967AF">
              <w:rPr>
                <w:sz w:val="18"/>
                <w:szCs w:val="18"/>
                <w:lang w:val="es-ES_tradnl"/>
              </w:rPr>
              <w:t xml:space="preserve"> con un Plan</w:t>
            </w:r>
            <w:r w:rsidRPr="00064D10" w:rsidR="00926BBA">
              <w:rPr>
                <w:sz w:val="18"/>
                <w:szCs w:val="18"/>
                <w:lang w:val="es-ES_tradnl"/>
              </w:rPr>
              <w:t>es</w:t>
            </w:r>
            <w:r w:rsidRPr="00064D10" w:rsidR="00E967AF">
              <w:rPr>
                <w:sz w:val="18"/>
                <w:szCs w:val="18"/>
                <w:lang w:val="es-ES_tradnl"/>
              </w:rPr>
              <w:t xml:space="preserve"> Maestro</w:t>
            </w:r>
            <w:r w:rsidRPr="00064D10" w:rsidR="00926BBA">
              <w:rPr>
                <w:sz w:val="18"/>
                <w:szCs w:val="18"/>
                <w:lang w:val="es-ES_tradnl"/>
              </w:rPr>
              <w:t>s y/o Planes Sectoriales Departamentales</w:t>
            </w:r>
            <w:r w:rsidRPr="00064D10" w:rsidR="00E967AF">
              <w:rPr>
                <w:sz w:val="18"/>
                <w:szCs w:val="18"/>
                <w:lang w:val="es-ES_tradnl"/>
              </w:rPr>
              <w:t xml:space="preserve"> de Agua Potable y Saneamiento, que establece</w:t>
            </w:r>
            <w:r w:rsidRPr="00064D10" w:rsidR="00926BBA">
              <w:rPr>
                <w:sz w:val="18"/>
                <w:szCs w:val="18"/>
                <w:lang w:val="es-ES_tradnl"/>
              </w:rPr>
              <w:t>n</w:t>
            </w:r>
            <w:r w:rsidRPr="00064D10" w:rsidR="00E967AF">
              <w:rPr>
                <w:sz w:val="18"/>
                <w:szCs w:val="18"/>
                <w:lang w:val="es-ES_tradnl"/>
              </w:rPr>
              <w:t xml:space="preserve"> metas de cobertura, eficiencia operativa y comercial, medición y sostenibilidad financiera. En este sentido, la estructura sectorial para la provisión de los servicios en dichas áreas separa los roles de definición de políticas, planificación sectorial, regulación, y prestación de los servicios en diferentes instituciones, aspecto que ha permitido la adecuada planificación, ejecución y </w:t>
            </w:r>
            <w:r w:rsidRPr="00064D10" w:rsidR="00E967AF">
              <w:rPr>
                <w:sz w:val="18"/>
                <w:szCs w:val="18"/>
                <w:lang w:val="es-ES_tradnl"/>
              </w:rPr>
              <w:lastRenderedPageBreak/>
              <w:t xml:space="preserve">control de los planes. Estos instrumentos dotan a </w:t>
            </w:r>
            <w:r w:rsidRPr="00064D10" w:rsidR="00DB2723">
              <w:rPr>
                <w:sz w:val="18"/>
                <w:szCs w:val="18"/>
                <w:lang w:val="es-ES_tradnl"/>
              </w:rPr>
              <w:t xml:space="preserve">las </w:t>
            </w:r>
            <w:proofErr w:type="spellStart"/>
            <w:r w:rsidRPr="00064D10" w:rsidR="00DB2723">
              <w:rPr>
                <w:sz w:val="18"/>
                <w:szCs w:val="18"/>
                <w:lang w:val="es-ES_tradnl"/>
              </w:rPr>
              <w:t>EPSAs</w:t>
            </w:r>
            <w:proofErr w:type="spellEnd"/>
            <w:r w:rsidRPr="00064D10" w:rsidR="00E967AF">
              <w:rPr>
                <w:sz w:val="18"/>
                <w:szCs w:val="18"/>
                <w:lang w:val="es-ES_tradnl"/>
              </w:rPr>
              <w:t xml:space="preserve"> de las obligaciones y los derechos necesarios para realizar una adecuada gestión de los sistemas de agua y saneamiento.</w:t>
            </w:r>
            <w:r w:rsidRPr="00064D10" w:rsidR="00926BBA">
              <w:rPr>
                <w:sz w:val="18"/>
                <w:szCs w:val="18"/>
                <w:lang w:val="es-ES_tradnl"/>
              </w:rPr>
              <w:t xml:space="preserve"> </w:t>
            </w:r>
            <w:r w:rsidRPr="00064D10" w:rsidR="00E967AF">
              <w:rPr>
                <w:sz w:val="18"/>
                <w:szCs w:val="18"/>
                <w:lang w:val="es-ES_tradnl"/>
              </w:rPr>
              <w:t xml:space="preserve"> </w:t>
            </w:r>
          </w:p>
          <w:p w:rsidRPr="00064D10" w:rsidR="00902647" w:rsidP="00F306A2" w:rsidRDefault="00902647" w14:paraId="5999FD62" w14:textId="77777777">
            <w:pPr>
              <w:jc w:val="both"/>
              <w:rPr>
                <w:sz w:val="18"/>
                <w:szCs w:val="18"/>
                <w:lang w:val="es-ES_tradnl"/>
              </w:rPr>
            </w:pPr>
            <w:r>
              <w:rPr>
                <w:sz w:val="18"/>
                <w:szCs w:val="18"/>
                <w:lang w:val="es-ES_tradnl"/>
              </w:rPr>
              <w:t xml:space="preserve">Por </w:t>
            </w:r>
            <w:r w:rsidR="007E6C02">
              <w:rPr>
                <w:sz w:val="18"/>
                <w:szCs w:val="18"/>
                <w:lang w:val="es-ES_tradnl"/>
              </w:rPr>
              <w:t>último</w:t>
            </w:r>
            <w:r>
              <w:rPr>
                <w:sz w:val="18"/>
                <w:szCs w:val="18"/>
                <w:lang w:val="es-ES_tradnl"/>
              </w:rPr>
              <w:t xml:space="preserve">, dentro del componente II del programa, se incluye </w:t>
            </w:r>
            <w:r w:rsidR="004340CD">
              <w:rPr>
                <w:sz w:val="18"/>
                <w:szCs w:val="18"/>
                <w:lang w:val="es-ES_tradnl"/>
              </w:rPr>
              <w:t xml:space="preserve">la </w:t>
            </w:r>
            <w:r>
              <w:rPr>
                <w:sz w:val="18"/>
                <w:szCs w:val="18"/>
                <w:lang w:val="es-ES_tradnl"/>
              </w:rPr>
              <w:t>aprobación</w:t>
            </w:r>
            <w:r w:rsidRPr="00902647">
              <w:rPr>
                <w:sz w:val="18"/>
                <w:szCs w:val="18"/>
                <w:lang w:val="es-ES_tradnl"/>
              </w:rPr>
              <w:t xml:space="preserve"> </w:t>
            </w:r>
            <w:r>
              <w:rPr>
                <w:sz w:val="18"/>
                <w:szCs w:val="18"/>
                <w:lang w:val="es-ES_tradnl"/>
              </w:rPr>
              <w:t>d</w:t>
            </w:r>
            <w:r w:rsidRPr="00902647">
              <w:rPr>
                <w:sz w:val="18"/>
                <w:szCs w:val="18"/>
                <w:lang w:val="es-ES_tradnl"/>
              </w:rPr>
              <w:t>el marco normativo para establecer los requisitos, de calidad física, química, microbiológica, organoléptica y radiológica del agua destinada para el consumo humano (NB-512)</w:t>
            </w:r>
            <w:r>
              <w:rPr>
                <w:sz w:val="18"/>
                <w:szCs w:val="18"/>
                <w:lang w:val="es-ES_tradnl"/>
              </w:rPr>
              <w:t>.</w:t>
            </w:r>
          </w:p>
        </w:tc>
      </w:tr>
      <w:tr w:rsidRPr="004E480D" w:rsidR="009834A9" w:rsidTr="00F97646" w14:paraId="774B6CC8" w14:textId="77777777">
        <w:trPr>
          <w:jc w:val="center"/>
        </w:trPr>
        <w:tc>
          <w:tcPr>
            <w:tcW w:w="2129" w:type="dxa"/>
            <w:shd w:val="clear" w:color="auto" w:fill="auto"/>
          </w:tcPr>
          <w:p w:rsidRPr="00064D10" w:rsidR="000F1306" w:rsidP="000F1306" w:rsidRDefault="000F1306" w14:paraId="56FCEC88" w14:textId="77777777">
            <w:pPr>
              <w:rPr>
                <w:bCs/>
                <w:sz w:val="18"/>
                <w:szCs w:val="18"/>
                <w:lang w:val="es-ES_tradnl"/>
              </w:rPr>
            </w:pPr>
            <w:r w:rsidRPr="00064D10">
              <w:rPr>
                <w:bCs/>
                <w:sz w:val="18"/>
                <w:szCs w:val="18"/>
                <w:lang w:val="es-ES_tradnl"/>
              </w:rPr>
              <w:lastRenderedPageBreak/>
              <w:t>3. Suministrar un servicio en condiciones de eficiencia</w:t>
            </w:r>
          </w:p>
        </w:tc>
        <w:tc>
          <w:tcPr>
            <w:tcW w:w="3799" w:type="dxa"/>
            <w:shd w:val="clear" w:color="auto" w:fill="auto"/>
          </w:tcPr>
          <w:p w:rsidRPr="00064D10" w:rsidR="000F1306" w:rsidP="00064D10" w:rsidRDefault="000F1306" w14:paraId="400B0A21" w14:textId="77777777">
            <w:pPr>
              <w:jc w:val="both"/>
              <w:rPr>
                <w:sz w:val="18"/>
                <w:szCs w:val="18"/>
                <w:lang w:val="es-ES_tradnl"/>
              </w:rPr>
            </w:pPr>
            <w:r w:rsidRPr="00064D10">
              <w:rPr>
                <w:sz w:val="18"/>
                <w:szCs w:val="18"/>
                <w:lang w:val="es-ES_tradnl"/>
              </w:rPr>
              <w:t>Debe asegurarse que, desde el punto de vista de la oferta, los servicios se proveen con los menores costos posibles.</w:t>
            </w:r>
          </w:p>
        </w:tc>
        <w:tc>
          <w:tcPr>
            <w:tcW w:w="4307" w:type="dxa"/>
            <w:shd w:val="clear" w:color="auto" w:fill="auto"/>
          </w:tcPr>
          <w:p w:rsidRPr="002B13CB" w:rsidR="000F1306" w:rsidP="00EF7928" w:rsidRDefault="00610D77" w14:paraId="02905CF9" w14:textId="77777777">
            <w:pPr>
              <w:pStyle w:val="ListBullet"/>
              <w:numPr>
                <w:ilvl w:val="0"/>
                <w:numId w:val="0"/>
              </w:numPr>
              <w:rPr>
                <w:rFonts w:ascii="Times New Roman" w:hAnsi="Times New Roman"/>
                <w:sz w:val="18"/>
                <w:szCs w:val="22"/>
                <w:lang w:val="es-ES_tradnl" w:eastAsia="en-US"/>
              </w:rPr>
            </w:pPr>
            <w:r w:rsidRPr="00064D10">
              <w:rPr>
                <w:rFonts w:ascii="Times New Roman" w:hAnsi="Times New Roman"/>
                <w:sz w:val="18"/>
                <w:szCs w:val="22"/>
                <w:lang w:val="es-ES_tradnl" w:eastAsia="en-US"/>
              </w:rPr>
              <w:t xml:space="preserve">La Ley 2066 de 2000, en el artículo 5 determina los principios que rigen la prestación de los servicios entre los cuales se promueve la eficiencia y la sostenibilidad. </w:t>
            </w:r>
            <w:proofErr w:type="gramStart"/>
            <w:r w:rsidRPr="00064D10">
              <w:rPr>
                <w:rFonts w:ascii="Times New Roman" w:hAnsi="Times New Roman"/>
                <w:sz w:val="18"/>
                <w:szCs w:val="22"/>
                <w:lang w:val="es-ES_tradnl" w:eastAsia="en-US"/>
              </w:rPr>
              <w:t>De acuerdo al</w:t>
            </w:r>
            <w:proofErr w:type="gramEnd"/>
            <w:r w:rsidRPr="00064D10">
              <w:rPr>
                <w:rFonts w:ascii="Times New Roman" w:hAnsi="Times New Roman"/>
                <w:sz w:val="18"/>
                <w:szCs w:val="22"/>
                <w:lang w:val="es-ES_tradnl" w:eastAsia="en-US"/>
              </w:rPr>
              <w:t xml:space="preserve"> Decreto Supremo 0071 de 2009, artículo 20, la AAPS es la entidad encargada de fiscalizar, controlar, supervisar y regular la prestación de estos servicios considerando los principios mencionados en la Ley.</w:t>
            </w:r>
            <w:r w:rsidR="002B13CB">
              <w:rPr>
                <w:rFonts w:ascii="Times New Roman" w:hAnsi="Times New Roman"/>
                <w:sz w:val="18"/>
                <w:szCs w:val="22"/>
                <w:lang w:val="es-ES_tradnl" w:eastAsia="en-US"/>
              </w:rPr>
              <w:t xml:space="preserve"> </w:t>
            </w:r>
            <w:r w:rsidRPr="002B13CB" w:rsidR="002B13CB">
              <w:rPr>
                <w:rFonts w:ascii="Times New Roman" w:hAnsi="Times New Roman"/>
                <w:sz w:val="18"/>
                <w:szCs w:val="22"/>
                <w:lang w:val="es-ES_tradnl" w:eastAsia="en-US"/>
              </w:rPr>
              <w:t>Dentro del componente II del programa</w:t>
            </w:r>
            <w:r w:rsidR="002B13CB">
              <w:rPr>
                <w:rFonts w:ascii="Times New Roman" w:hAnsi="Times New Roman"/>
                <w:sz w:val="18"/>
                <w:szCs w:val="22"/>
                <w:lang w:val="es-ES_tradnl" w:eastAsia="en-US"/>
              </w:rPr>
              <w:t xml:space="preserve"> se incluye la aprobación de </w:t>
            </w:r>
            <w:r w:rsidR="000A19DB">
              <w:rPr>
                <w:rFonts w:ascii="Times New Roman" w:hAnsi="Times New Roman"/>
                <w:sz w:val="18"/>
                <w:szCs w:val="22"/>
                <w:lang w:val="es-ES_tradnl" w:eastAsia="en-US"/>
              </w:rPr>
              <w:t xml:space="preserve">una </w:t>
            </w:r>
            <w:r w:rsidRPr="002B13CB" w:rsidR="002B13CB">
              <w:rPr>
                <w:rFonts w:ascii="Times New Roman" w:hAnsi="Times New Roman"/>
                <w:sz w:val="18"/>
                <w:szCs w:val="22"/>
                <w:lang w:val="es-ES_tradnl" w:eastAsia="en-US"/>
              </w:rPr>
              <w:t xml:space="preserve">Guía técnica para la reducción de las aguas no facturadas en </w:t>
            </w:r>
            <w:r w:rsidR="002B13CB">
              <w:rPr>
                <w:rFonts w:ascii="Times New Roman" w:hAnsi="Times New Roman"/>
                <w:sz w:val="18"/>
                <w:szCs w:val="22"/>
                <w:lang w:val="es-ES_tradnl" w:eastAsia="en-US"/>
              </w:rPr>
              <w:t xml:space="preserve">las </w:t>
            </w:r>
            <w:proofErr w:type="spellStart"/>
            <w:r w:rsidRPr="002B13CB" w:rsidR="002B13CB">
              <w:rPr>
                <w:rFonts w:ascii="Times New Roman" w:hAnsi="Times New Roman"/>
                <w:sz w:val="18"/>
                <w:szCs w:val="22"/>
                <w:lang w:val="es-ES_tradnl" w:eastAsia="en-US"/>
              </w:rPr>
              <w:t>EPSA</w:t>
            </w:r>
            <w:r w:rsidR="00531CD3">
              <w:rPr>
                <w:rFonts w:ascii="Times New Roman" w:hAnsi="Times New Roman"/>
                <w:sz w:val="18"/>
                <w:szCs w:val="22"/>
                <w:lang w:val="es-ES_tradnl" w:eastAsia="en-US"/>
              </w:rPr>
              <w:t>s</w:t>
            </w:r>
            <w:proofErr w:type="spellEnd"/>
            <w:r w:rsidR="002B13CB">
              <w:rPr>
                <w:rFonts w:ascii="Times New Roman" w:hAnsi="Times New Roman"/>
                <w:sz w:val="18"/>
                <w:szCs w:val="22"/>
                <w:lang w:val="es-ES_tradnl" w:eastAsia="en-US"/>
              </w:rPr>
              <w:t xml:space="preserve"> que promoverá</w:t>
            </w:r>
            <w:r w:rsidR="00531CD3">
              <w:rPr>
                <w:rFonts w:ascii="Times New Roman" w:hAnsi="Times New Roman"/>
                <w:sz w:val="18"/>
                <w:szCs w:val="22"/>
                <w:lang w:val="es-ES_tradnl" w:eastAsia="en-US"/>
              </w:rPr>
              <w:t xml:space="preserve"> mejorar la eficiencia en la prestación de los servicios</w:t>
            </w:r>
            <w:r w:rsidR="002B13CB">
              <w:rPr>
                <w:rFonts w:ascii="Times New Roman" w:hAnsi="Times New Roman"/>
                <w:sz w:val="18"/>
                <w:szCs w:val="22"/>
                <w:lang w:val="es-ES_tradnl" w:eastAsia="en-US"/>
              </w:rPr>
              <w:t xml:space="preserve"> </w:t>
            </w:r>
            <w:r w:rsidRPr="002B13CB" w:rsidR="002B13CB">
              <w:rPr>
                <w:rFonts w:ascii="Times New Roman" w:hAnsi="Times New Roman"/>
                <w:sz w:val="18"/>
                <w:szCs w:val="22"/>
                <w:lang w:val="es-ES_tradnl" w:eastAsia="en-US"/>
              </w:rPr>
              <w:t>.</w:t>
            </w:r>
          </w:p>
        </w:tc>
      </w:tr>
      <w:tr w:rsidRPr="004E480D" w:rsidR="009834A9" w:rsidTr="00F97646" w14:paraId="52A7EAA5" w14:textId="77777777">
        <w:trPr>
          <w:jc w:val="center"/>
        </w:trPr>
        <w:tc>
          <w:tcPr>
            <w:tcW w:w="2129" w:type="dxa"/>
            <w:tcBorders>
              <w:bottom w:val="single" w:color="auto" w:sz="4" w:space="0"/>
            </w:tcBorders>
            <w:shd w:val="clear" w:color="auto" w:fill="auto"/>
          </w:tcPr>
          <w:p w:rsidRPr="00064D10" w:rsidR="000F1306" w:rsidP="000F1306" w:rsidRDefault="000F1306" w14:paraId="23993AEF" w14:textId="77777777">
            <w:pPr>
              <w:rPr>
                <w:bCs/>
                <w:sz w:val="18"/>
                <w:szCs w:val="18"/>
                <w:lang w:val="es-ES_tradnl"/>
              </w:rPr>
            </w:pPr>
            <w:r w:rsidRPr="00064D10">
              <w:rPr>
                <w:bCs/>
                <w:sz w:val="18"/>
                <w:szCs w:val="18"/>
                <w:lang w:val="es-ES_tradnl"/>
              </w:rPr>
              <w:t>4. Generar incentivos adecuados a la demanda de servicios.</w:t>
            </w:r>
          </w:p>
        </w:tc>
        <w:tc>
          <w:tcPr>
            <w:tcW w:w="3799" w:type="dxa"/>
            <w:tcBorders>
              <w:bottom w:val="single" w:color="auto" w:sz="4" w:space="0"/>
            </w:tcBorders>
            <w:shd w:val="clear" w:color="auto" w:fill="auto"/>
          </w:tcPr>
          <w:p w:rsidRPr="00064D10" w:rsidR="000F1306" w:rsidP="00064D10" w:rsidRDefault="000F1306" w14:paraId="48769A32" w14:textId="77777777">
            <w:pPr>
              <w:jc w:val="both"/>
              <w:rPr>
                <w:sz w:val="18"/>
                <w:szCs w:val="18"/>
                <w:lang w:val="es-ES_tradnl"/>
              </w:rPr>
            </w:pPr>
            <w:r w:rsidRPr="00064D10">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color="auto" w:sz="4" w:space="0"/>
            </w:tcBorders>
            <w:shd w:val="clear" w:color="auto" w:fill="auto"/>
          </w:tcPr>
          <w:p w:rsidRPr="00064D10" w:rsidR="000F1306" w:rsidP="00C76C06" w:rsidRDefault="000A19DB" w14:paraId="090652EC" w14:textId="77777777">
            <w:pPr>
              <w:pStyle w:val="ListBullet"/>
              <w:numPr>
                <w:ilvl w:val="0"/>
                <w:numId w:val="0"/>
              </w:numPr>
              <w:ind w:left="14"/>
              <w:rPr>
                <w:rFonts w:ascii="Times New Roman" w:hAnsi="Times New Roman"/>
                <w:color w:val="FF0000"/>
                <w:sz w:val="18"/>
                <w:szCs w:val="18"/>
                <w:lang w:val="es-ES_tradnl" w:eastAsia="en-US"/>
              </w:rPr>
            </w:pPr>
            <w:r w:rsidRPr="000A19DB">
              <w:rPr>
                <w:rFonts w:ascii="Times New Roman" w:hAnsi="Times New Roman"/>
                <w:sz w:val="18"/>
                <w:szCs w:val="22"/>
                <w:lang w:val="es-ES_tradnl" w:eastAsia="en-US"/>
              </w:rPr>
              <w:t>El programa busca específicamente que: (i) las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instituciones del sector dispongan de políticas, reglamentos, lineamientos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metodológicos, para la gestión eficiente de los servicios y el uso adecuado por</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parte de la población beneficiada; (</w:t>
            </w:r>
            <w:proofErr w:type="spellStart"/>
            <w:r w:rsidRPr="000A19DB">
              <w:rPr>
                <w:rFonts w:ascii="Times New Roman" w:hAnsi="Times New Roman"/>
                <w:sz w:val="18"/>
                <w:szCs w:val="22"/>
                <w:lang w:val="es-ES_tradnl" w:eastAsia="en-US"/>
              </w:rPr>
              <w:t>ii</w:t>
            </w:r>
            <w:proofErr w:type="spellEnd"/>
            <w:r w:rsidRPr="000A19DB">
              <w:rPr>
                <w:rFonts w:ascii="Times New Roman" w:hAnsi="Times New Roman"/>
                <w:sz w:val="18"/>
                <w:szCs w:val="22"/>
                <w:lang w:val="es-ES_tradnl" w:eastAsia="en-US"/>
              </w:rPr>
              <w:t>) el sector disponga de estrategias y planes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para cumplir las políticas y metas del país, en particular para abordar los desafíos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priorizados en el PSDSB 2016-2020 y mejorar la calidad y eficiencia de los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servicios; (</w:t>
            </w:r>
            <w:proofErr w:type="spellStart"/>
            <w:r w:rsidRPr="000A19DB">
              <w:rPr>
                <w:rFonts w:ascii="Times New Roman" w:hAnsi="Times New Roman"/>
                <w:sz w:val="18"/>
                <w:szCs w:val="22"/>
                <w:lang w:val="es-ES_tradnl" w:eastAsia="en-US"/>
              </w:rPr>
              <w:t>iii</w:t>
            </w:r>
            <w:proofErr w:type="spellEnd"/>
            <w:r w:rsidRPr="000A19DB">
              <w:rPr>
                <w:rFonts w:ascii="Times New Roman" w:hAnsi="Times New Roman"/>
                <w:sz w:val="18"/>
                <w:szCs w:val="22"/>
                <w:lang w:val="es-ES_tradnl" w:eastAsia="en-US"/>
              </w:rPr>
              <w:t>) las EPSA y las Entidades Municipales de Aseo Urbano (EMA)</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cuentan con herramientas para mejorar la sostenibilidad financiera de los</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servicios; y (</w:t>
            </w:r>
            <w:proofErr w:type="spellStart"/>
            <w:r w:rsidRPr="000A19DB">
              <w:rPr>
                <w:rFonts w:ascii="Times New Roman" w:hAnsi="Times New Roman"/>
                <w:sz w:val="18"/>
                <w:szCs w:val="22"/>
                <w:lang w:val="es-ES_tradnl" w:eastAsia="en-US"/>
              </w:rPr>
              <w:t>iv</w:t>
            </w:r>
            <w:proofErr w:type="spellEnd"/>
            <w:r w:rsidRPr="000A19DB">
              <w:rPr>
                <w:rFonts w:ascii="Times New Roman" w:hAnsi="Times New Roman"/>
                <w:sz w:val="18"/>
                <w:szCs w:val="22"/>
                <w:lang w:val="es-ES_tradnl" w:eastAsia="en-US"/>
              </w:rPr>
              <w:t>) el sector cuenta con instrumentos para monitorear las metas del</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PSDSB y sistemas de reporte que permitan disponer de información oportuna y</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confiable para la planificación y toma de decisiones sobre desempeño</w:t>
            </w:r>
            <w:r w:rsidR="00C76C06">
              <w:rPr>
                <w:rFonts w:ascii="Times New Roman" w:hAnsi="Times New Roman"/>
                <w:sz w:val="18"/>
                <w:szCs w:val="22"/>
                <w:lang w:val="es-ES_tradnl" w:eastAsia="en-US"/>
              </w:rPr>
              <w:t xml:space="preserve"> </w:t>
            </w:r>
            <w:r w:rsidRPr="000A19DB">
              <w:rPr>
                <w:rFonts w:ascii="Times New Roman" w:hAnsi="Times New Roman"/>
                <w:sz w:val="18"/>
                <w:szCs w:val="22"/>
                <w:lang w:val="es-ES_tradnl" w:eastAsia="en-US"/>
              </w:rPr>
              <w:t xml:space="preserve">institucional, RH y de prestación de servicios de </w:t>
            </w:r>
            <w:proofErr w:type="spellStart"/>
            <w:r w:rsidRPr="000A19DB">
              <w:rPr>
                <w:rFonts w:ascii="Times New Roman" w:hAnsi="Times New Roman"/>
                <w:sz w:val="18"/>
                <w:szCs w:val="22"/>
                <w:lang w:val="es-ES_tradnl" w:eastAsia="en-US"/>
              </w:rPr>
              <w:t>AyP</w:t>
            </w:r>
            <w:proofErr w:type="spellEnd"/>
            <w:r w:rsidRPr="000A19DB">
              <w:rPr>
                <w:rFonts w:ascii="Times New Roman" w:hAnsi="Times New Roman"/>
                <w:sz w:val="18"/>
                <w:szCs w:val="22"/>
                <w:lang w:val="es-ES_tradnl" w:eastAsia="en-US"/>
              </w:rPr>
              <w:t>.</w:t>
            </w:r>
            <w:r w:rsidRPr="00064D10" w:rsidR="007112EB">
              <w:rPr>
                <w:rFonts w:ascii="Times New Roman" w:hAnsi="Times New Roman"/>
                <w:sz w:val="18"/>
                <w:szCs w:val="22"/>
                <w:lang w:val="es-ES_tradnl" w:eastAsia="en-US"/>
              </w:rPr>
              <w:t xml:space="preserve">. </w:t>
            </w:r>
            <w:r w:rsidRPr="00064D10" w:rsidR="0055493B">
              <w:rPr>
                <w:rFonts w:ascii="Times New Roman" w:hAnsi="Times New Roman"/>
                <w:sz w:val="18"/>
                <w:szCs w:val="22"/>
                <w:lang w:val="es-ES_tradnl" w:eastAsia="en-US"/>
              </w:rPr>
              <w:t>De esta forma, las reformas incluidas en el mismo</w:t>
            </w:r>
            <w:r w:rsidRPr="00064D10" w:rsidR="00EE0076">
              <w:rPr>
                <w:rFonts w:ascii="Times New Roman" w:hAnsi="Times New Roman"/>
                <w:sz w:val="18"/>
                <w:szCs w:val="22"/>
                <w:lang w:val="es-ES_tradnl" w:eastAsia="en-US"/>
              </w:rPr>
              <w:t xml:space="preserve"> resultan compatibles con este principio.</w:t>
            </w:r>
            <w:r w:rsidRPr="00064D10" w:rsidR="00A24983">
              <w:rPr>
                <w:rFonts w:ascii="Times New Roman" w:hAnsi="Times New Roman"/>
                <w:color w:val="FF0000"/>
                <w:sz w:val="18"/>
                <w:szCs w:val="18"/>
                <w:lang w:val="es-ES_tradnl" w:eastAsia="en-US"/>
              </w:rPr>
              <w:t xml:space="preserve"> </w:t>
            </w:r>
          </w:p>
        </w:tc>
      </w:tr>
      <w:tr w:rsidRPr="004E480D" w:rsidR="009834A9" w:rsidTr="00F97646" w14:paraId="4D98C9CE" w14:textId="77777777">
        <w:trPr>
          <w:jc w:val="center"/>
        </w:trPr>
        <w:tc>
          <w:tcPr>
            <w:tcW w:w="2129" w:type="dxa"/>
            <w:tcBorders>
              <w:bottom w:val="single" w:color="auto" w:sz="4" w:space="0"/>
            </w:tcBorders>
            <w:shd w:val="clear" w:color="auto" w:fill="auto"/>
          </w:tcPr>
          <w:p w:rsidRPr="00064D10" w:rsidR="000F1306" w:rsidP="002E3C4E" w:rsidRDefault="000F1306" w14:paraId="0EE19DA7" w14:textId="77777777">
            <w:pPr>
              <w:rPr>
                <w:bCs/>
                <w:sz w:val="18"/>
                <w:szCs w:val="18"/>
                <w:lang w:val="es-ES_tradnl"/>
              </w:rPr>
            </w:pPr>
            <w:r w:rsidRPr="00064D10">
              <w:rPr>
                <w:bCs/>
                <w:sz w:val="18"/>
                <w:szCs w:val="18"/>
                <w:lang w:val="es-ES_tradnl"/>
              </w:rPr>
              <w:t>5. Promover la sostenibilidad de los servicios públicos domiciliarios</w:t>
            </w:r>
          </w:p>
        </w:tc>
        <w:tc>
          <w:tcPr>
            <w:tcW w:w="3799" w:type="dxa"/>
            <w:tcBorders>
              <w:bottom w:val="single" w:color="auto" w:sz="4" w:space="0"/>
            </w:tcBorders>
            <w:shd w:val="clear" w:color="auto" w:fill="auto"/>
          </w:tcPr>
          <w:p w:rsidRPr="00064D10" w:rsidR="000F1306" w:rsidP="00064D10" w:rsidRDefault="000F1306" w14:paraId="0069BDC1" w14:textId="77777777">
            <w:pPr>
              <w:jc w:val="both"/>
              <w:rPr>
                <w:sz w:val="18"/>
                <w:szCs w:val="18"/>
                <w:lang w:val="es-ES_tradnl"/>
              </w:rPr>
            </w:pPr>
            <w:r w:rsidRPr="00064D10">
              <w:rPr>
                <w:sz w:val="18"/>
                <w:szCs w:val="18"/>
                <w:lang w:val="es-ES_tradnl"/>
              </w:rPr>
              <w:t>El alcance de la sostenibilidad de los servicios públicos domiciliarios se promoverá en función de tres pilares:</w:t>
            </w:r>
          </w:p>
          <w:p w:rsidRPr="00064D10" w:rsidR="000F1306" w:rsidP="00064D10" w:rsidRDefault="000F1306" w14:paraId="73A13D6C" w14:textId="77777777">
            <w:pPr>
              <w:jc w:val="both"/>
              <w:rPr>
                <w:sz w:val="18"/>
                <w:szCs w:val="18"/>
                <w:lang w:val="es-ES_tradnl"/>
              </w:rPr>
            </w:pPr>
          </w:p>
          <w:p w:rsidRPr="00064D10" w:rsidR="000F1306" w:rsidP="00064D10" w:rsidRDefault="000F1306" w14:paraId="0BBE4DCD" w14:textId="77777777">
            <w:pPr>
              <w:jc w:val="both"/>
              <w:rPr>
                <w:sz w:val="18"/>
                <w:szCs w:val="18"/>
                <w:lang w:val="es-ES_tradnl"/>
              </w:rPr>
            </w:pPr>
            <w:r w:rsidRPr="00064D10">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rsidRPr="00064D10" w:rsidR="000F1306" w:rsidP="00064D10" w:rsidRDefault="000F1306" w14:paraId="1EBB7330" w14:textId="77777777">
            <w:pPr>
              <w:jc w:val="both"/>
              <w:rPr>
                <w:sz w:val="18"/>
                <w:szCs w:val="18"/>
                <w:lang w:val="es-ES_tradnl"/>
              </w:rPr>
            </w:pPr>
          </w:p>
          <w:p w:rsidRPr="00064D10" w:rsidR="000F1306" w:rsidP="00064D10" w:rsidRDefault="000F1306" w14:paraId="183EB761" w14:textId="77777777">
            <w:pPr>
              <w:jc w:val="both"/>
              <w:rPr>
                <w:sz w:val="18"/>
                <w:szCs w:val="18"/>
                <w:lang w:val="es-ES_tradnl"/>
              </w:rPr>
            </w:pPr>
            <w:r w:rsidRPr="00064D10">
              <w:rPr>
                <w:sz w:val="18"/>
                <w:szCs w:val="18"/>
                <w:lang w:val="es-ES_tradnl"/>
              </w:rPr>
              <w:t xml:space="preserve">b. Sostenibilidad ambiental: apoyando que la selección, ejecución, operación y mantenimiento de los proyectos para prestar el servicio cumplan con las </w:t>
            </w:r>
            <w:r w:rsidRPr="00064D10">
              <w:rPr>
                <w:sz w:val="18"/>
                <w:szCs w:val="18"/>
                <w:lang w:val="es-ES_tradnl"/>
              </w:rPr>
              <w:lastRenderedPageBreak/>
              <w:t>salvaguardias ambientales del Banco y contribuyan al desarrollo de una infraestructura con mayor resiliencia, considerando alternativas viables para mitigar el cambio climático.</w:t>
            </w:r>
          </w:p>
          <w:p w:rsidRPr="00064D10" w:rsidR="000F1306" w:rsidP="00064D10" w:rsidRDefault="000F1306" w14:paraId="390DCDE5" w14:textId="77777777">
            <w:pPr>
              <w:jc w:val="both"/>
              <w:rPr>
                <w:sz w:val="18"/>
                <w:szCs w:val="18"/>
                <w:lang w:val="es-ES_tradnl"/>
              </w:rPr>
            </w:pPr>
          </w:p>
          <w:p w:rsidRPr="00064D10" w:rsidR="000F1306" w:rsidP="00064D10" w:rsidRDefault="000F1306" w14:paraId="61A092DF" w14:textId="77777777">
            <w:pPr>
              <w:jc w:val="both"/>
              <w:rPr>
                <w:sz w:val="18"/>
                <w:szCs w:val="18"/>
                <w:lang w:val="es-ES_tradnl"/>
              </w:rPr>
            </w:pPr>
            <w:r w:rsidRPr="00064D10">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color="auto" w:sz="4" w:space="0"/>
            </w:tcBorders>
            <w:shd w:val="clear" w:color="auto" w:fill="auto"/>
          </w:tcPr>
          <w:p w:rsidRPr="00D92F6A" w:rsidR="003D7523" w:rsidP="00311FEE" w:rsidRDefault="000F1306" w14:paraId="682F5631" w14:textId="77777777">
            <w:pPr>
              <w:pStyle w:val="ListBullet"/>
              <w:numPr>
                <w:ilvl w:val="0"/>
                <w:numId w:val="0"/>
              </w:numPr>
              <w:rPr>
                <w:rFonts w:ascii="Times New Roman" w:hAnsi="Times New Roman"/>
                <w:sz w:val="18"/>
                <w:szCs w:val="22"/>
                <w:lang w:val="es-ES_tradnl" w:eastAsia="en-US"/>
              </w:rPr>
            </w:pPr>
            <w:r w:rsidRPr="00A20BF0">
              <w:rPr>
                <w:rFonts w:ascii="Times New Roman" w:hAnsi="Times New Roman"/>
                <w:i/>
                <w:sz w:val="18"/>
                <w:szCs w:val="22"/>
                <w:lang w:val="es-ES_tradnl" w:eastAsia="en-US"/>
              </w:rPr>
              <w:lastRenderedPageBreak/>
              <w:t xml:space="preserve">Sostenibilidad </w:t>
            </w:r>
            <w:r w:rsidR="00A20BF0">
              <w:rPr>
                <w:rFonts w:ascii="Times New Roman" w:hAnsi="Times New Roman"/>
                <w:i/>
                <w:sz w:val="18"/>
                <w:szCs w:val="22"/>
                <w:lang w:val="es-ES_tradnl" w:eastAsia="en-US"/>
              </w:rPr>
              <w:t>f</w:t>
            </w:r>
            <w:r w:rsidRPr="00A20BF0">
              <w:rPr>
                <w:rFonts w:ascii="Times New Roman" w:hAnsi="Times New Roman"/>
                <w:i/>
                <w:sz w:val="18"/>
                <w:szCs w:val="22"/>
                <w:lang w:val="es-ES_tradnl" w:eastAsia="en-US"/>
              </w:rPr>
              <w:t>inanciera</w:t>
            </w:r>
            <w:r w:rsidRPr="00A20BF0" w:rsidR="00A20BF0">
              <w:rPr>
                <w:rFonts w:ascii="Times New Roman" w:hAnsi="Times New Roman"/>
                <w:i/>
                <w:sz w:val="18"/>
                <w:szCs w:val="22"/>
                <w:lang w:val="es-ES_tradnl" w:eastAsia="en-US"/>
              </w:rPr>
              <w:t xml:space="preserve">. </w:t>
            </w:r>
            <w:r w:rsidRPr="00D92F6A" w:rsidR="00D92F6A">
              <w:rPr>
                <w:rFonts w:ascii="Times New Roman" w:hAnsi="Times New Roman"/>
                <w:sz w:val="18"/>
                <w:szCs w:val="22"/>
                <w:lang w:val="es-ES_tradnl" w:eastAsia="en-US"/>
              </w:rPr>
              <w:t xml:space="preserve">Con recursos del programa, se incluirán actividades para promover la sostenibilidad financiera de los operadores de los servicios públicos incluyendo una guía metodológica que permitirá a la </w:t>
            </w:r>
            <w:proofErr w:type="spellStart"/>
            <w:r w:rsidRPr="00D92F6A" w:rsidR="00D92F6A">
              <w:rPr>
                <w:rFonts w:ascii="Times New Roman" w:hAnsi="Times New Roman"/>
                <w:sz w:val="18"/>
                <w:szCs w:val="22"/>
                <w:lang w:val="es-ES_tradnl" w:eastAsia="en-US"/>
              </w:rPr>
              <w:t>EPSAs</w:t>
            </w:r>
            <w:proofErr w:type="spellEnd"/>
            <w:r w:rsidRPr="00D92F6A" w:rsidR="00D92F6A">
              <w:rPr>
                <w:rFonts w:ascii="Times New Roman" w:hAnsi="Times New Roman"/>
                <w:sz w:val="18"/>
                <w:szCs w:val="22"/>
                <w:lang w:val="es-ES_tradnl" w:eastAsia="en-US"/>
              </w:rPr>
              <w:t xml:space="preserve"> determinar la tarifa de alcantarillado y tratamiento en áreas metropolitanas, así como una guía metodológica para la determinación de la tasa de aseo municipal por parte d ellos operadores municipales de residuos sólidos. Estas medidas van a contribuir tanto a la sostenibilidad financiera de las </w:t>
            </w:r>
            <w:proofErr w:type="spellStart"/>
            <w:r w:rsidRPr="00D92F6A" w:rsidR="00D92F6A">
              <w:rPr>
                <w:rFonts w:ascii="Times New Roman" w:hAnsi="Times New Roman"/>
                <w:sz w:val="18"/>
                <w:szCs w:val="22"/>
                <w:lang w:val="es-ES_tradnl" w:eastAsia="en-US"/>
              </w:rPr>
              <w:t>EPSAs</w:t>
            </w:r>
            <w:proofErr w:type="spellEnd"/>
            <w:r w:rsidRPr="00D92F6A" w:rsidR="00D92F6A">
              <w:rPr>
                <w:rFonts w:ascii="Times New Roman" w:hAnsi="Times New Roman"/>
                <w:sz w:val="18"/>
                <w:szCs w:val="22"/>
                <w:lang w:val="es-ES_tradnl" w:eastAsia="en-US"/>
              </w:rPr>
              <w:t xml:space="preserve">, para que estas puedan cubrir sus costos de operación y mantenimiento de todos sus servicios, asegurando la sostenibilidad de </w:t>
            </w:r>
            <w:proofErr w:type="gramStart"/>
            <w:r w:rsidRPr="00D92F6A" w:rsidR="00D92F6A">
              <w:rPr>
                <w:rFonts w:ascii="Times New Roman" w:hAnsi="Times New Roman"/>
                <w:sz w:val="18"/>
                <w:szCs w:val="22"/>
                <w:lang w:val="es-ES_tradnl" w:eastAsia="en-US"/>
              </w:rPr>
              <w:t>los mismos</w:t>
            </w:r>
            <w:proofErr w:type="gramEnd"/>
            <w:r w:rsidRPr="00D92F6A" w:rsidR="00D92F6A">
              <w:rPr>
                <w:rFonts w:ascii="Times New Roman" w:hAnsi="Times New Roman"/>
                <w:sz w:val="18"/>
                <w:szCs w:val="22"/>
                <w:lang w:val="es-ES_tradnl" w:eastAsia="en-US"/>
              </w:rPr>
              <w:t xml:space="preserve"> e incorporando los servicios de tratamiento de </w:t>
            </w:r>
            <w:r w:rsidRPr="00D92F6A" w:rsidR="00D92F6A">
              <w:rPr>
                <w:rFonts w:ascii="Times New Roman" w:hAnsi="Times New Roman"/>
                <w:sz w:val="18"/>
                <w:szCs w:val="22"/>
                <w:lang w:val="es-ES_tradnl" w:eastAsia="en-US"/>
              </w:rPr>
              <w:lastRenderedPageBreak/>
              <w:t>aguas residuales en áreas metropolitanas, así como a promover la sostenibilidad financiera de los servicios de aseo municipal.</w:t>
            </w:r>
          </w:p>
          <w:p w:rsidRPr="00064D10" w:rsidR="00961447" w:rsidP="00961447" w:rsidRDefault="00101141" w14:paraId="7B0A8631" w14:textId="77777777">
            <w:pPr>
              <w:pStyle w:val="Paragraph"/>
              <w:numPr>
                <w:ilvl w:val="0"/>
                <w:numId w:val="0"/>
              </w:numPr>
              <w:rPr>
                <w:sz w:val="18"/>
                <w:szCs w:val="22"/>
                <w:lang w:val="es-ES_tradnl"/>
              </w:rPr>
            </w:pPr>
            <w:r w:rsidRPr="00A20BF0">
              <w:rPr>
                <w:i/>
                <w:sz w:val="18"/>
                <w:szCs w:val="22"/>
                <w:lang w:val="es-ES_tradnl"/>
              </w:rPr>
              <w:t>Sostenibilidad</w:t>
            </w:r>
            <w:r w:rsidRPr="00A20BF0" w:rsidR="008C0E36">
              <w:rPr>
                <w:i/>
                <w:sz w:val="18"/>
                <w:szCs w:val="22"/>
                <w:lang w:val="es-ES_tradnl"/>
              </w:rPr>
              <w:t xml:space="preserve"> </w:t>
            </w:r>
            <w:r w:rsidRPr="00A20BF0" w:rsidR="00F97646">
              <w:rPr>
                <w:i/>
                <w:sz w:val="18"/>
                <w:szCs w:val="22"/>
                <w:lang w:val="es-ES_tradnl"/>
              </w:rPr>
              <w:t>a</w:t>
            </w:r>
            <w:r w:rsidRPr="00A20BF0">
              <w:rPr>
                <w:i/>
                <w:sz w:val="18"/>
                <w:szCs w:val="22"/>
                <w:lang w:val="es-ES_tradnl"/>
              </w:rPr>
              <w:t>mbiental</w:t>
            </w:r>
            <w:r w:rsidRPr="00A20BF0" w:rsidR="005C7BF0">
              <w:rPr>
                <w:i/>
                <w:sz w:val="18"/>
                <w:szCs w:val="22"/>
                <w:lang w:val="es-ES_tradnl"/>
              </w:rPr>
              <w:t xml:space="preserve"> y social</w:t>
            </w:r>
            <w:r w:rsidRPr="00A20BF0" w:rsidR="00A20BF0">
              <w:rPr>
                <w:i/>
                <w:sz w:val="18"/>
                <w:szCs w:val="22"/>
                <w:lang w:val="es-ES_tradnl"/>
              </w:rPr>
              <w:t>.</w:t>
            </w:r>
            <w:r w:rsidRPr="00064D10" w:rsidR="00945E5A">
              <w:rPr>
                <w:sz w:val="18"/>
                <w:szCs w:val="22"/>
                <w:lang w:val="es-ES_tradnl"/>
              </w:rPr>
              <w:t xml:space="preserve"> </w:t>
            </w:r>
            <w:r w:rsidRPr="00064D10" w:rsidR="00961447">
              <w:rPr>
                <w:sz w:val="18"/>
                <w:szCs w:val="22"/>
                <w:lang w:val="es-ES_tradnl"/>
              </w:rPr>
              <w:t>Se espera que las políticas a adoptarse en el marco de esta operación produzcan un efecto positivo en el bienestar de la sociedad, al mejorarse el servicio de agua potable y saneamiento así como el manejo del recurso hídrico mediante la disponibilidad de instrumentos para la gestión de riesgos incluida la adaptación al cambio climático.</w:t>
            </w:r>
          </w:p>
          <w:p w:rsidRPr="00064D10" w:rsidR="00F013D5" w:rsidP="00BD0CCA" w:rsidRDefault="00F013D5" w14:paraId="5DCAF152" w14:textId="77777777">
            <w:pPr>
              <w:pStyle w:val="Paragraph"/>
              <w:numPr>
                <w:ilvl w:val="0"/>
                <w:numId w:val="0"/>
              </w:numPr>
              <w:rPr>
                <w:sz w:val="18"/>
                <w:szCs w:val="22"/>
                <w:lang w:val="es-ES_tradnl"/>
              </w:rPr>
            </w:pPr>
          </w:p>
        </w:tc>
      </w:tr>
    </w:tbl>
    <w:p w:rsidRPr="00064D10" w:rsidR="00064D10" w:rsidP="000F1306" w:rsidRDefault="00064D10" w14:paraId="7982B6B4" w14:textId="77777777">
      <w:pPr>
        <w:rPr>
          <w:lang w:val="es-ES_tradnl"/>
        </w:rPr>
      </w:pPr>
    </w:p>
    <w:p w:rsidRPr="00064D10" w:rsidR="00064D10" w:rsidRDefault="00064D10" w14:paraId="26A8138C" w14:textId="77777777">
      <w:pPr>
        <w:spacing w:after="200" w:line="276" w:lineRule="auto"/>
        <w:rPr>
          <w:lang w:val="es-ES_tradnl"/>
        </w:rPr>
      </w:pPr>
      <w:r w:rsidRPr="00064D10">
        <w:rPr>
          <w:lang w:val="es-ES_tradnl"/>
        </w:rPr>
        <w:br w:type="page"/>
      </w:r>
    </w:p>
    <w:p w:rsidRPr="00064D10" w:rsidR="000F1306" w:rsidP="000F1306" w:rsidRDefault="000F1306" w14:paraId="1902BAF4" w14:textId="77777777">
      <w:pPr>
        <w:rPr>
          <w:lang w:val="es-ES_tradnl"/>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881"/>
        <w:gridCol w:w="3634"/>
        <w:gridCol w:w="3341"/>
      </w:tblGrid>
      <w:tr w:rsidRPr="00064D10" w:rsidR="000F1306" w:rsidTr="00120449" w14:paraId="7AAC2724" w14:textId="77777777">
        <w:trPr>
          <w:trHeight w:val="701"/>
          <w:jc w:val="center"/>
        </w:trPr>
        <w:tc>
          <w:tcPr>
            <w:tcW w:w="1968" w:type="dxa"/>
            <w:shd w:val="clear" w:color="auto" w:fill="C0C0C0"/>
          </w:tcPr>
          <w:p w:rsidRPr="00064D10" w:rsidR="000F1306" w:rsidP="000F1306" w:rsidRDefault="000F1306" w14:paraId="18CAD4FF" w14:textId="77777777">
            <w:pPr>
              <w:rPr>
                <w:b/>
                <w:sz w:val="18"/>
                <w:szCs w:val="18"/>
                <w:lang w:val="es-ES_tradnl"/>
              </w:rPr>
            </w:pPr>
            <w:r w:rsidRPr="00064D10">
              <w:rPr>
                <w:b/>
                <w:sz w:val="18"/>
                <w:szCs w:val="18"/>
                <w:lang w:val="es-ES_tradnl"/>
              </w:rPr>
              <w:t>Principios de la Política que orientan el diseño de las operaciones del Banco</w:t>
            </w:r>
          </w:p>
        </w:tc>
        <w:tc>
          <w:tcPr>
            <w:tcW w:w="4301" w:type="dxa"/>
            <w:shd w:val="clear" w:color="auto" w:fill="C0C0C0"/>
            <w:vAlign w:val="center"/>
          </w:tcPr>
          <w:p w:rsidRPr="00064D10" w:rsidR="000F1306" w:rsidP="000F1306" w:rsidRDefault="000F1306" w14:paraId="3859F083" w14:textId="77777777">
            <w:pPr>
              <w:jc w:val="center"/>
              <w:rPr>
                <w:b/>
                <w:sz w:val="18"/>
                <w:szCs w:val="18"/>
                <w:lang w:val="es-ES_tradnl"/>
              </w:rPr>
            </w:pPr>
            <w:r w:rsidRPr="00064D10">
              <w:rPr>
                <w:b/>
                <w:sz w:val="18"/>
                <w:szCs w:val="18"/>
                <w:lang w:val="es-ES_tradnl"/>
              </w:rPr>
              <w:t>Descripción</w:t>
            </w:r>
          </w:p>
        </w:tc>
        <w:tc>
          <w:tcPr>
            <w:tcW w:w="3966" w:type="dxa"/>
            <w:shd w:val="clear" w:color="auto" w:fill="C0C0C0"/>
            <w:vAlign w:val="center"/>
          </w:tcPr>
          <w:p w:rsidRPr="00064D10" w:rsidR="000F1306" w:rsidP="000F1306" w:rsidRDefault="000F1306" w14:paraId="6D6C9C11" w14:textId="77777777">
            <w:pPr>
              <w:jc w:val="center"/>
              <w:rPr>
                <w:b/>
                <w:sz w:val="18"/>
                <w:szCs w:val="18"/>
                <w:lang w:val="es-ES_tradnl"/>
              </w:rPr>
            </w:pPr>
            <w:r w:rsidRPr="00064D10">
              <w:rPr>
                <w:b/>
                <w:sz w:val="18"/>
                <w:szCs w:val="18"/>
                <w:lang w:val="es-ES_tradnl"/>
              </w:rPr>
              <w:t>Comentarios</w:t>
            </w:r>
          </w:p>
        </w:tc>
      </w:tr>
      <w:tr w:rsidRPr="004E480D" w:rsidR="009834A9" w:rsidTr="00120449" w14:paraId="634E981D" w14:textId="77777777">
        <w:trPr>
          <w:jc w:val="center"/>
        </w:trPr>
        <w:tc>
          <w:tcPr>
            <w:tcW w:w="1968" w:type="dxa"/>
            <w:shd w:val="clear" w:color="auto" w:fill="auto"/>
          </w:tcPr>
          <w:p w:rsidRPr="00064D10" w:rsidR="000F1306" w:rsidP="000F1306" w:rsidRDefault="000F1306" w14:paraId="396690BB" w14:textId="77777777">
            <w:pPr>
              <w:rPr>
                <w:b/>
                <w:bCs/>
                <w:sz w:val="18"/>
                <w:szCs w:val="18"/>
                <w:lang w:val="es-ES_tradnl"/>
              </w:rPr>
            </w:pPr>
            <w:r w:rsidRPr="00064D10">
              <w:rPr>
                <w:b/>
                <w:bCs/>
                <w:sz w:val="18"/>
                <w:szCs w:val="18"/>
                <w:lang w:val="es-ES_tradnl"/>
              </w:rPr>
              <w:t xml:space="preserve">1. Apoyar a los países para atender las necesidades básicas </w:t>
            </w:r>
          </w:p>
        </w:tc>
        <w:tc>
          <w:tcPr>
            <w:tcW w:w="4301" w:type="dxa"/>
            <w:shd w:val="clear" w:color="auto" w:fill="auto"/>
          </w:tcPr>
          <w:p w:rsidRPr="00064D10" w:rsidR="000F1306" w:rsidP="00064D10" w:rsidRDefault="000F1306" w14:paraId="2ECB2B21" w14:textId="77777777">
            <w:pPr>
              <w:jc w:val="both"/>
              <w:rPr>
                <w:sz w:val="18"/>
                <w:szCs w:val="18"/>
                <w:lang w:val="es-ES_tradnl"/>
              </w:rPr>
            </w:pPr>
            <w:r w:rsidRPr="00064D10">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Pr="00064D10" w:rsidR="002D4037" w:rsidP="00560F84" w:rsidRDefault="002D4037" w14:paraId="4342589F" w14:textId="77777777">
            <w:pPr>
              <w:pStyle w:val="Paragraph"/>
              <w:numPr>
                <w:ilvl w:val="0"/>
                <w:numId w:val="0"/>
              </w:numPr>
              <w:rPr>
                <w:sz w:val="18"/>
                <w:szCs w:val="18"/>
                <w:lang w:val="es-ES_tradnl"/>
              </w:rPr>
            </w:pPr>
          </w:p>
        </w:tc>
      </w:tr>
      <w:tr w:rsidRPr="004E480D" w:rsidR="000F1306" w:rsidTr="00120449" w14:paraId="1F530902" w14:textId="77777777">
        <w:trPr>
          <w:jc w:val="center"/>
        </w:trPr>
        <w:tc>
          <w:tcPr>
            <w:tcW w:w="1968" w:type="dxa"/>
            <w:shd w:val="clear" w:color="auto" w:fill="auto"/>
          </w:tcPr>
          <w:p w:rsidRPr="00064D10" w:rsidR="000F1306" w:rsidP="000F1306" w:rsidRDefault="000F1306" w14:paraId="592E6DE5" w14:textId="77777777">
            <w:pPr>
              <w:rPr>
                <w:b/>
                <w:bCs/>
                <w:sz w:val="18"/>
                <w:szCs w:val="18"/>
                <w:lang w:val="es-ES_tradnl"/>
              </w:rPr>
            </w:pPr>
            <w:r w:rsidRPr="00064D10">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shd w:val="clear" w:color="auto" w:fill="auto"/>
          </w:tcPr>
          <w:p w:rsidRPr="00064D10" w:rsidR="000F1306" w:rsidP="00064D10" w:rsidRDefault="000F1306" w14:paraId="653AD077" w14:textId="77777777">
            <w:pPr>
              <w:jc w:val="both"/>
              <w:rPr>
                <w:sz w:val="18"/>
                <w:szCs w:val="18"/>
                <w:lang w:val="es-ES_tradnl"/>
              </w:rPr>
            </w:pPr>
            <w:r w:rsidRPr="00064D10">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rsidRPr="00064D10" w:rsidR="000F1306" w:rsidP="00064D10" w:rsidRDefault="000F1306" w14:paraId="1C5C631D" w14:textId="77777777">
            <w:pPr>
              <w:rPr>
                <w:sz w:val="18"/>
                <w:szCs w:val="18"/>
                <w:highlight w:val="cyan"/>
                <w:lang w:val="es-ES_tradnl"/>
              </w:rPr>
            </w:pPr>
            <w:r w:rsidRPr="00064D10">
              <w:rPr>
                <w:sz w:val="18"/>
                <w:szCs w:val="18"/>
                <w:lang w:val="es-ES_tradnl"/>
              </w:rPr>
              <w:t xml:space="preserve"> Ver </w:t>
            </w:r>
            <w:r w:rsidRPr="00064D10" w:rsidR="007C01B6">
              <w:rPr>
                <w:sz w:val="18"/>
                <w:szCs w:val="18"/>
                <w:lang w:val="es-ES_tradnl"/>
              </w:rPr>
              <w:t xml:space="preserve">comentarios sobre puntos </w:t>
            </w:r>
            <w:r w:rsidRPr="00064D10" w:rsidR="0008127B">
              <w:rPr>
                <w:sz w:val="18"/>
                <w:szCs w:val="18"/>
                <w:lang w:val="es-ES_tradnl"/>
              </w:rPr>
              <w:t>de</w:t>
            </w:r>
            <w:r w:rsidRPr="00064D10" w:rsidR="007C01B6">
              <w:rPr>
                <w:sz w:val="18"/>
                <w:szCs w:val="18"/>
                <w:lang w:val="es-ES_tradnl"/>
              </w:rPr>
              <w:t xml:space="preserve"> abajo.</w:t>
            </w:r>
          </w:p>
        </w:tc>
      </w:tr>
      <w:tr w:rsidRPr="004E480D" w:rsidR="009834A9" w:rsidTr="00120449" w14:paraId="426ADB5F" w14:textId="77777777">
        <w:trPr>
          <w:jc w:val="center"/>
        </w:trPr>
        <w:tc>
          <w:tcPr>
            <w:tcW w:w="1968" w:type="dxa"/>
            <w:shd w:val="clear" w:color="auto" w:fill="auto"/>
          </w:tcPr>
          <w:p w:rsidRPr="00064D10" w:rsidR="000F1306" w:rsidP="000F1306" w:rsidRDefault="000F1306" w14:paraId="4F8D516A" w14:textId="77777777">
            <w:pPr>
              <w:ind w:left="330" w:hanging="150"/>
              <w:rPr>
                <w:b/>
                <w:bCs/>
                <w:i/>
                <w:sz w:val="18"/>
                <w:szCs w:val="18"/>
                <w:lang w:val="es-ES_tradnl"/>
              </w:rPr>
            </w:pPr>
            <w:r w:rsidRPr="00064D10">
              <w:rPr>
                <w:b/>
                <w:bCs/>
                <w:i/>
                <w:sz w:val="18"/>
                <w:szCs w:val="18"/>
                <w:lang w:val="es-ES_tradnl"/>
              </w:rPr>
              <w:t>A. Promover la integridad, la transparencia y la rendición de cuentas</w:t>
            </w:r>
          </w:p>
        </w:tc>
        <w:tc>
          <w:tcPr>
            <w:tcW w:w="4301" w:type="dxa"/>
            <w:shd w:val="clear" w:color="auto" w:fill="auto"/>
          </w:tcPr>
          <w:p w:rsidRPr="00064D10" w:rsidR="000F1306" w:rsidP="00064D10" w:rsidRDefault="000F1306" w14:paraId="7B79387B" w14:textId="77777777">
            <w:pPr>
              <w:jc w:val="both"/>
              <w:rPr>
                <w:sz w:val="18"/>
                <w:szCs w:val="18"/>
                <w:lang w:val="es-ES_tradnl"/>
              </w:rPr>
            </w:pPr>
            <w:r w:rsidRPr="00064D10">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F63A09" w:rsidP="00F63A09" w:rsidRDefault="00ED5E5B" w14:paraId="7478B2E1" w14:textId="77777777">
            <w:pPr>
              <w:jc w:val="both"/>
              <w:rPr>
                <w:sz w:val="18"/>
                <w:szCs w:val="18"/>
                <w:lang w:val="es-ES_tradnl"/>
              </w:rPr>
            </w:pPr>
            <w:r w:rsidRPr="00064D10">
              <w:rPr>
                <w:sz w:val="18"/>
                <w:szCs w:val="18"/>
                <w:lang w:val="es-ES_tradnl"/>
              </w:rPr>
              <w:t xml:space="preserve">La Ley de Autonomías y Descentralización </w:t>
            </w:r>
            <w:proofErr w:type="spellStart"/>
            <w:r w:rsidRPr="00064D10">
              <w:rPr>
                <w:sz w:val="18"/>
                <w:szCs w:val="18"/>
                <w:lang w:val="es-ES_tradnl"/>
              </w:rPr>
              <w:t>Nº</w:t>
            </w:r>
            <w:proofErr w:type="spellEnd"/>
            <w:r w:rsidRPr="00064D10">
              <w:rPr>
                <w:sz w:val="18"/>
                <w:szCs w:val="18"/>
                <w:lang w:val="es-ES_tradnl"/>
              </w:rPr>
              <w:t xml:space="preserve"> 031 de julio de 2010 da un paso importante en establecer la descentralización de poderes a los gobiernos </w:t>
            </w:r>
            <w:proofErr w:type="spellStart"/>
            <w:proofErr w:type="gramStart"/>
            <w:r w:rsidRPr="00064D10">
              <w:rPr>
                <w:sz w:val="18"/>
                <w:szCs w:val="18"/>
                <w:lang w:val="es-ES_tradnl"/>
              </w:rPr>
              <w:t>sub</w:t>
            </w:r>
            <w:r w:rsidR="004B77FA">
              <w:rPr>
                <w:sz w:val="18"/>
                <w:szCs w:val="18"/>
                <w:lang w:val="es-ES_tradnl"/>
              </w:rPr>
              <w:t>-</w:t>
            </w:r>
            <w:r w:rsidRPr="00064D10">
              <w:rPr>
                <w:sz w:val="18"/>
                <w:szCs w:val="18"/>
                <w:lang w:val="es-ES_tradnl"/>
              </w:rPr>
              <w:t>nacionales</w:t>
            </w:r>
            <w:proofErr w:type="spellEnd"/>
            <w:proofErr w:type="gramEnd"/>
            <w:r w:rsidRPr="00064D10">
              <w:rPr>
                <w:sz w:val="18"/>
                <w:szCs w:val="18"/>
                <w:lang w:val="es-ES_tradnl"/>
              </w:rPr>
              <w:t>. Con esta Ley, los Gobiernos Departamentales tienen la facultad no solo de proveer asesoría técnica sino de financiar de manera concurrente proyectos de inversión en Agua y Saneamiento con las entidades nacionales y los Gobiernos Municipales</w:t>
            </w:r>
            <w:r w:rsidRPr="00064D10" w:rsidR="00B41EB9">
              <w:rPr>
                <w:sz w:val="18"/>
                <w:szCs w:val="18"/>
                <w:lang w:val="es-ES_tradnl"/>
              </w:rPr>
              <w:t>. La</w:t>
            </w:r>
            <w:r w:rsidRPr="00064D10" w:rsidR="00971BDF">
              <w:rPr>
                <w:sz w:val="18"/>
                <w:szCs w:val="18"/>
                <w:lang w:val="es-ES_tradnl"/>
              </w:rPr>
              <w:t>s principales</w:t>
            </w:r>
            <w:r w:rsidRPr="00064D10" w:rsidR="00B41EB9">
              <w:rPr>
                <w:sz w:val="18"/>
                <w:szCs w:val="18"/>
                <w:lang w:val="es-ES_tradnl"/>
              </w:rPr>
              <w:t xml:space="preserve"> </w:t>
            </w:r>
            <w:proofErr w:type="spellStart"/>
            <w:r w:rsidRPr="00064D10" w:rsidR="00B41EB9">
              <w:rPr>
                <w:sz w:val="18"/>
                <w:szCs w:val="18"/>
                <w:lang w:val="es-ES_tradnl"/>
              </w:rPr>
              <w:t>EPSA</w:t>
            </w:r>
            <w:r w:rsidRPr="00064D10" w:rsidR="00971BDF">
              <w:rPr>
                <w:sz w:val="18"/>
                <w:szCs w:val="18"/>
                <w:lang w:val="es-ES_tradnl"/>
              </w:rPr>
              <w:t>s</w:t>
            </w:r>
            <w:proofErr w:type="spellEnd"/>
            <w:r w:rsidRPr="00064D10" w:rsidR="00971BDF">
              <w:rPr>
                <w:sz w:val="18"/>
                <w:szCs w:val="18"/>
                <w:lang w:val="es-ES_tradnl"/>
              </w:rPr>
              <w:t xml:space="preserve"> del </w:t>
            </w:r>
            <w:r w:rsidRPr="00064D10" w:rsidR="004825AC">
              <w:rPr>
                <w:sz w:val="18"/>
                <w:szCs w:val="18"/>
                <w:lang w:val="es-ES_tradnl"/>
              </w:rPr>
              <w:t>país</w:t>
            </w:r>
            <w:r w:rsidRPr="00064D10" w:rsidR="00B41EB9">
              <w:rPr>
                <w:sz w:val="18"/>
                <w:szCs w:val="18"/>
                <w:lang w:val="es-ES_tradnl"/>
              </w:rPr>
              <w:t xml:space="preserve"> se encuentra</w:t>
            </w:r>
            <w:r w:rsidRPr="00064D10" w:rsidR="00971BDF">
              <w:rPr>
                <w:sz w:val="18"/>
                <w:szCs w:val="18"/>
                <w:lang w:val="es-ES_tradnl"/>
              </w:rPr>
              <w:t>n</w:t>
            </w:r>
            <w:r w:rsidRPr="00064D10" w:rsidR="00B41EB9">
              <w:rPr>
                <w:sz w:val="18"/>
                <w:szCs w:val="18"/>
                <w:lang w:val="es-ES_tradnl"/>
              </w:rPr>
              <w:t xml:space="preserve"> regulada</w:t>
            </w:r>
            <w:r w:rsidRPr="00064D10" w:rsidR="00971BDF">
              <w:rPr>
                <w:sz w:val="18"/>
                <w:szCs w:val="18"/>
                <w:lang w:val="es-ES_tradnl"/>
              </w:rPr>
              <w:t>s</w:t>
            </w:r>
            <w:r w:rsidRPr="00064D10" w:rsidR="00B41EB9">
              <w:rPr>
                <w:sz w:val="18"/>
                <w:szCs w:val="18"/>
                <w:lang w:val="es-ES_tradnl"/>
              </w:rPr>
              <w:t>, y está</w:t>
            </w:r>
            <w:r w:rsidRPr="00064D10" w:rsidR="00971BDF">
              <w:rPr>
                <w:sz w:val="18"/>
                <w:szCs w:val="18"/>
                <w:lang w:val="es-ES_tradnl"/>
              </w:rPr>
              <w:t>n</w:t>
            </w:r>
            <w:r w:rsidRPr="00064D10" w:rsidR="00B41EB9">
              <w:rPr>
                <w:sz w:val="18"/>
                <w:szCs w:val="18"/>
                <w:lang w:val="es-ES_tradnl"/>
              </w:rPr>
              <w:t xml:space="preserve"> sometida al control de la AAPS, a la que debe</w:t>
            </w:r>
            <w:r w:rsidRPr="00064D10" w:rsidR="00971BDF">
              <w:rPr>
                <w:sz w:val="18"/>
                <w:szCs w:val="18"/>
                <w:lang w:val="es-ES_tradnl"/>
              </w:rPr>
              <w:t>n</w:t>
            </w:r>
            <w:r w:rsidRPr="00064D10" w:rsidR="00B41EB9">
              <w:rPr>
                <w:sz w:val="18"/>
                <w:szCs w:val="18"/>
                <w:lang w:val="es-ES_tradnl"/>
              </w:rPr>
              <w:t xml:space="preserve"> suministrar información operativa y financiera necesaria para la función del regulador, de modo que se puedan ejercer una apropiada rendición de cuentas. Ciertas informaciones son además públicas para facilitar el control social.</w:t>
            </w:r>
            <w:r w:rsidR="00F63A09">
              <w:rPr>
                <w:sz w:val="18"/>
                <w:szCs w:val="18"/>
                <w:lang w:val="es-ES_tradnl"/>
              </w:rPr>
              <w:t xml:space="preserve"> Por ejemplo, </w:t>
            </w:r>
            <w:r w:rsidRPr="00F63A09" w:rsidR="00F63A09">
              <w:rPr>
                <w:sz w:val="18"/>
                <w:szCs w:val="18"/>
                <w:lang w:val="es-ES_tradnl"/>
              </w:rPr>
              <w:t>la AAPS procesa</w:t>
            </w:r>
            <w:r w:rsidR="00F63A09">
              <w:rPr>
                <w:sz w:val="18"/>
                <w:szCs w:val="18"/>
                <w:lang w:val="es-ES_tradnl"/>
              </w:rPr>
              <w:t xml:space="preserve"> anualmente indicadores</w:t>
            </w:r>
            <w:r w:rsidRPr="00F63A09" w:rsidR="00F63A09">
              <w:rPr>
                <w:sz w:val="18"/>
                <w:szCs w:val="18"/>
                <w:lang w:val="es-ES_tradnl"/>
              </w:rPr>
              <w:t xml:space="preserve"> de gestión para la evaluación de desempeño</w:t>
            </w:r>
            <w:r w:rsidR="00F63A09">
              <w:rPr>
                <w:sz w:val="18"/>
                <w:szCs w:val="18"/>
                <w:lang w:val="es-ES_tradnl"/>
              </w:rPr>
              <w:t xml:space="preserve"> </w:t>
            </w:r>
            <w:r w:rsidRPr="00F63A09" w:rsidR="00F63A09">
              <w:rPr>
                <w:sz w:val="18"/>
                <w:szCs w:val="18"/>
                <w:lang w:val="es-ES_tradnl"/>
              </w:rPr>
              <w:t xml:space="preserve">de las </w:t>
            </w:r>
            <w:proofErr w:type="spellStart"/>
            <w:r w:rsidRPr="00F63A09" w:rsidR="00F63A09">
              <w:rPr>
                <w:sz w:val="18"/>
                <w:szCs w:val="18"/>
                <w:lang w:val="es-ES_tradnl"/>
              </w:rPr>
              <w:t>EPSA</w:t>
            </w:r>
            <w:r w:rsidR="00F63A09">
              <w:rPr>
                <w:sz w:val="18"/>
                <w:szCs w:val="18"/>
                <w:lang w:val="es-ES_tradnl"/>
              </w:rPr>
              <w:t>s</w:t>
            </w:r>
            <w:proofErr w:type="spellEnd"/>
            <w:r w:rsidRPr="00F63A09" w:rsidR="00F63A09">
              <w:rPr>
                <w:sz w:val="18"/>
                <w:szCs w:val="18"/>
                <w:lang w:val="es-ES_tradnl"/>
              </w:rPr>
              <w:t>, producto de lo cual pone a consideración</w:t>
            </w:r>
            <w:r w:rsidR="00F63A09">
              <w:rPr>
                <w:sz w:val="18"/>
                <w:szCs w:val="18"/>
                <w:lang w:val="es-ES_tradnl"/>
              </w:rPr>
              <w:t xml:space="preserve"> </w:t>
            </w:r>
            <w:r w:rsidRPr="00F63A09" w:rsidR="00F63A09">
              <w:rPr>
                <w:sz w:val="18"/>
                <w:szCs w:val="18"/>
                <w:lang w:val="es-ES_tradnl"/>
              </w:rPr>
              <w:t>de las instituciones oficiales, empresas operadoras</w:t>
            </w:r>
            <w:r w:rsidR="00F63A09">
              <w:rPr>
                <w:sz w:val="18"/>
                <w:szCs w:val="18"/>
                <w:lang w:val="es-ES_tradnl"/>
              </w:rPr>
              <w:t xml:space="preserve"> </w:t>
            </w:r>
            <w:r w:rsidRPr="00F63A09" w:rsidR="00F63A09">
              <w:rPr>
                <w:sz w:val="18"/>
                <w:szCs w:val="18"/>
                <w:lang w:val="es-ES_tradnl"/>
              </w:rPr>
              <w:t>y público en general, el informe anual de “Indicadores</w:t>
            </w:r>
            <w:r w:rsidR="00F63A09">
              <w:rPr>
                <w:sz w:val="18"/>
                <w:szCs w:val="18"/>
                <w:lang w:val="es-ES_tradnl"/>
              </w:rPr>
              <w:t xml:space="preserve"> </w:t>
            </w:r>
            <w:r w:rsidRPr="00F63A09" w:rsidR="00F63A09">
              <w:rPr>
                <w:sz w:val="18"/>
                <w:szCs w:val="18"/>
                <w:lang w:val="es-ES_tradnl"/>
              </w:rPr>
              <w:t>de Desempeño”</w:t>
            </w:r>
            <w:r w:rsidR="00F63A09">
              <w:rPr>
                <w:sz w:val="18"/>
                <w:szCs w:val="18"/>
                <w:lang w:val="es-ES_tradnl"/>
              </w:rPr>
              <w:t>.</w:t>
            </w:r>
          </w:p>
          <w:p w:rsidRPr="00064D10" w:rsidR="000F1306" w:rsidP="00F63A09" w:rsidRDefault="00B41EB9" w14:paraId="557346AA" w14:textId="4FED05D6">
            <w:pPr>
              <w:jc w:val="both"/>
              <w:rPr>
                <w:sz w:val="18"/>
                <w:szCs w:val="18"/>
                <w:highlight w:val="cyan"/>
                <w:lang w:val="es-ES_tradnl"/>
              </w:rPr>
            </w:pPr>
            <w:r w:rsidRPr="00064D10">
              <w:rPr>
                <w:sz w:val="18"/>
                <w:szCs w:val="18"/>
                <w:lang w:val="es-ES_tradnl"/>
              </w:rPr>
              <w:t xml:space="preserve"> Se exige el uso de procedimientos de licitación pública para obras y equipamientos. </w:t>
            </w:r>
            <w:r w:rsidRPr="00064D10" w:rsidR="00971BDF">
              <w:rPr>
                <w:sz w:val="18"/>
                <w:szCs w:val="18"/>
                <w:lang w:val="es-ES_tradnl"/>
              </w:rPr>
              <w:t>Con las actividades de los componentes III y</w:t>
            </w:r>
            <w:r w:rsidR="006E11AB">
              <w:rPr>
                <w:sz w:val="18"/>
                <w:szCs w:val="18"/>
                <w:lang w:val="es-ES_tradnl"/>
              </w:rPr>
              <w:t xml:space="preserve"> </w:t>
            </w:r>
            <w:r w:rsidR="00A83327">
              <w:rPr>
                <w:sz w:val="18"/>
                <w:szCs w:val="18"/>
                <w:lang w:val="es-ES_tradnl"/>
              </w:rPr>
              <w:t>I</w:t>
            </w:r>
            <w:r w:rsidRPr="00064D10" w:rsidR="00971BDF">
              <w:rPr>
                <w:sz w:val="18"/>
                <w:szCs w:val="18"/>
                <w:lang w:val="es-ES_tradnl"/>
              </w:rPr>
              <w:t>V</w:t>
            </w:r>
            <w:r w:rsidRPr="00064D10" w:rsidR="00BA7541">
              <w:rPr>
                <w:sz w:val="18"/>
                <w:szCs w:val="18"/>
                <w:lang w:val="es-ES_tradnl"/>
              </w:rPr>
              <w:t xml:space="preserve"> del programa</w:t>
            </w:r>
            <w:r w:rsidRPr="00064D10" w:rsidR="00971BDF">
              <w:rPr>
                <w:sz w:val="18"/>
                <w:szCs w:val="18"/>
                <w:lang w:val="es-ES_tradnl"/>
              </w:rPr>
              <w:t xml:space="preserve"> se p</w:t>
            </w:r>
            <w:r w:rsidRPr="00064D10">
              <w:rPr>
                <w:sz w:val="18"/>
                <w:szCs w:val="18"/>
                <w:lang w:val="es-ES_tradnl"/>
              </w:rPr>
              <w:t>romov</w:t>
            </w:r>
            <w:r w:rsidRPr="00064D10" w:rsidR="00971BDF">
              <w:rPr>
                <w:sz w:val="18"/>
                <w:szCs w:val="18"/>
                <w:lang w:val="es-ES_tradnl"/>
              </w:rPr>
              <w:t>erán</w:t>
            </w:r>
            <w:r w:rsidRPr="00064D10">
              <w:rPr>
                <w:sz w:val="18"/>
                <w:szCs w:val="18"/>
                <w:lang w:val="es-ES_tradnl"/>
              </w:rPr>
              <w:t xml:space="preserve"> buenas prácticas en la </w:t>
            </w:r>
            <w:r w:rsidRPr="00064D10" w:rsidR="00261814">
              <w:rPr>
                <w:sz w:val="18"/>
                <w:szCs w:val="18"/>
                <w:lang w:val="es-ES_tradnl"/>
              </w:rPr>
              <w:t xml:space="preserve">transparencia y </w:t>
            </w:r>
            <w:r w:rsidRPr="00064D10">
              <w:rPr>
                <w:sz w:val="18"/>
                <w:szCs w:val="18"/>
                <w:lang w:val="es-ES_tradnl"/>
              </w:rPr>
              <w:t>rendición de cuentas.</w:t>
            </w:r>
            <w:r w:rsidRPr="00064D10" w:rsidR="00261814">
              <w:rPr>
                <w:sz w:val="18"/>
                <w:szCs w:val="18"/>
                <w:lang w:val="es-ES_tradnl"/>
              </w:rPr>
              <w:t xml:space="preserve"> </w:t>
            </w:r>
          </w:p>
        </w:tc>
      </w:tr>
      <w:tr w:rsidRPr="004E480D" w:rsidR="000F1306" w:rsidTr="00120449" w14:paraId="49EB7552" w14:textId="77777777">
        <w:trPr>
          <w:jc w:val="center"/>
        </w:trPr>
        <w:tc>
          <w:tcPr>
            <w:tcW w:w="1968" w:type="dxa"/>
            <w:shd w:val="clear" w:color="auto" w:fill="auto"/>
          </w:tcPr>
          <w:p w:rsidRPr="00064D10" w:rsidR="000F1306" w:rsidP="000F1306" w:rsidRDefault="000F1306" w14:paraId="186EAFC5" w14:textId="77777777">
            <w:pPr>
              <w:ind w:left="330" w:hanging="150"/>
              <w:rPr>
                <w:b/>
                <w:bCs/>
                <w:i/>
                <w:sz w:val="18"/>
                <w:szCs w:val="18"/>
                <w:lang w:val="es-ES_tradnl"/>
              </w:rPr>
            </w:pPr>
            <w:r w:rsidRPr="00064D10">
              <w:rPr>
                <w:b/>
                <w:bCs/>
                <w:i/>
                <w:sz w:val="18"/>
                <w:szCs w:val="18"/>
                <w:lang w:val="es-ES_tradnl"/>
              </w:rPr>
              <w:t xml:space="preserve">B. Analizar las características e </w:t>
            </w:r>
            <w:r w:rsidRPr="00064D10">
              <w:rPr>
                <w:b/>
                <w:bCs/>
                <w:i/>
                <w:sz w:val="18"/>
                <w:szCs w:val="18"/>
                <w:lang w:val="es-ES_tradnl"/>
              </w:rPr>
              <w:lastRenderedPageBreak/>
              <w:t>impactos de los subsidios</w:t>
            </w:r>
          </w:p>
        </w:tc>
        <w:tc>
          <w:tcPr>
            <w:tcW w:w="4301" w:type="dxa"/>
            <w:shd w:val="clear" w:color="auto" w:fill="auto"/>
          </w:tcPr>
          <w:p w:rsidRPr="00064D10" w:rsidR="000F1306" w:rsidP="00064D10" w:rsidRDefault="000F1306" w14:paraId="6959CD63" w14:textId="77777777">
            <w:pPr>
              <w:jc w:val="both"/>
              <w:rPr>
                <w:sz w:val="18"/>
                <w:szCs w:val="18"/>
                <w:lang w:val="es-ES_tradnl"/>
              </w:rPr>
            </w:pPr>
            <w:r w:rsidRPr="00064D10">
              <w:rPr>
                <w:sz w:val="18"/>
                <w:szCs w:val="18"/>
                <w:lang w:val="es-ES_tradnl"/>
              </w:rPr>
              <w:lastRenderedPageBreak/>
              <w:t xml:space="preserve">La operación y financiamiento de los servicios debería lograr la recuperación de costos de </w:t>
            </w:r>
            <w:r w:rsidRPr="00064D10">
              <w:rPr>
                <w:sz w:val="18"/>
                <w:szCs w:val="18"/>
                <w:lang w:val="es-ES_tradnl"/>
              </w:rPr>
              <w:lastRenderedPageBreak/>
              <w:t>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rsidRPr="00064D10" w:rsidR="00D52C0D" w:rsidP="00D52C0D" w:rsidRDefault="00847254" w14:paraId="35295157" w14:textId="77777777">
            <w:pPr>
              <w:pStyle w:val="Default"/>
              <w:jc w:val="both"/>
              <w:rPr>
                <w:sz w:val="18"/>
                <w:szCs w:val="18"/>
                <w:lang w:val="es-ES_tradnl"/>
              </w:rPr>
            </w:pPr>
            <w:r w:rsidRPr="00064D10">
              <w:rPr>
                <w:sz w:val="18"/>
                <w:szCs w:val="18"/>
                <w:lang w:val="es-ES_tradnl"/>
              </w:rPr>
              <w:lastRenderedPageBreak/>
              <w:t>L</w:t>
            </w:r>
            <w:r w:rsidRPr="00064D10" w:rsidR="00D52C0D">
              <w:rPr>
                <w:sz w:val="18"/>
                <w:szCs w:val="18"/>
                <w:lang w:val="es-ES_tradnl"/>
              </w:rPr>
              <w:t>os objetivos</w:t>
            </w:r>
            <w:r w:rsidRPr="00064D10">
              <w:rPr>
                <w:sz w:val="18"/>
                <w:szCs w:val="18"/>
                <w:lang w:val="es-ES_tradnl"/>
              </w:rPr>
              <w:t xml:space="preserve"> principales</w:t>
            </w:r>
            <w:r w:rsidRPr="00064D10" w:rsidR="00D52C0D">
              <w:rPr>
                <w:sz w:val="18"/>
                <w:szCs w:val="18"/>
                <w:lang w:val="es-ES_tradnl"/>
              </w:rPr>
              <w:t xml:space="preserve"> de la Política Tarifaria </w:t>
            </w:r>
            <w:r w:rsidR="005627A9">
              <w:rPr>
                <w:sz w:val="18"/>
                <w:szCs w:val="18"/>
                <w:lang w:val="es-ES_tradnl"/>
              </w:rPr>
              <w:t>nacional</w:t>
            </w:r>
            <w:r w:rsidRPr="00064D10">
              <w:rPr>
                <w:sz w:val="18"/>
                <w:szCs w:val="18"/>
                <w:lang w:val="es-ES_tradnl"/>
              </w:rPr>
              <w:t xml:space="preserve"> incluyen</w:t>
            </w:r>
            <w:r w:rsidRPr="00064D10" w:rsidR="00D52C0D">
              <w:rPr>
                <w:sz w:val="18"/>
                <w:szCs w:val="18"/>
                <w:lang w:val="es-ES_tradnl"/>
              </w:rPr>
              <w:t xml:space="preserve"> </w:t>
            </w:r>
            <w:r w:rsidRPr="00064D10">
              <w:rPr>
                <w:sz w:val="18"/>
                <w:szCs w:val="18"/>
                <w:lang w:val="es-ES_tradnl"/>
              </w:rPr>
              <w:t xml:space="preserve">tanto </w:t>
            </w:r>
            <w:r w:rsidRPr="00064D10" w:rsidR="00D52C0D">
              <w:rPr>
                <w:sz w:val="18"/>
                <w:szCs w:val="18"/>
                <w:lang w:val="es-ES_tradnl"/>
              </w:rPr>
              <w:t xml:space="preserve">propiciar </w:t>
            </w:r>
            <w:r w:rsidRPr="00064D10" w:rsidR="00D52C0D">
              <w:rPr>
                <w:sz w:val="18"/>
                <w:szCs w:val="18"/>
                <w:lang w:val="es-ES_tradnl"/>
              </w:rPr>
              <w:lastRenderedPageBreak/>
              <w:t xml:space="preserve">la universalización al acceso de los servicios, la sustentabilidad y la distribución equitativa de sus costos entre las diferentes categorías de usuarios, considerando los diferentes usos y la capacidad de </w:t>
            </w:r>
            <w:r w:rsidRPr="00064D10">
              <w:rPr>
                <w:sz w:val="18"/>
                <w:szCs w:val="18"/>
                <w:lang w:val="es-ES_tradnl"/>
              </w:rPr>
              <w:t>pago de los usuarios domésticos, como</w:t>
            </w:r>
            <w:r w:rsidRPr="00064D10" w:rsidR="00D52C0D">
              <w:rPr>
                <w:sz w:val="18"/>
                <w:szCs w:val="18"/>
                <w:lang w:val="es-ES_tradnl"/>
              </w:rPr>
              <w:t xml:space="preserve"> promover el uso racional por parte de los usuarios y la eficiencia de las </w:t>
            </w:r>
            <w:proofErr w:type="spellStart"/>
            <w:r w:rsidRPr="00064D10" w:rsidR="00D52C0D">
              <w:rPr>
                <w:sz w:val="18"/>
                <w:szCs w:val="18"/>
                <w:lang w:val="es-ES_tradnl"/>
              </w:rPr>
              <w:t>EPSA</w:t>
            </w:r>
            <w:r w:rsidRPr="00064D10" w:rsidR="00EF7928">
              <w:rPr>
                <w:sz w:val="18"/>
                <w:szCs w:val="18"/>
                <w:lang w:val="es-ES_tradnl"/>
              </w:rPr>
              <w:t>s</w:t>
            </w:r>
            <w:proofErr w:type="spellEnd"/>
            <w:r w:rsidRPr="00064D10" w:rsidR="00D52C0D">
              <w:rPr>
                <w:sz w:val="18"/>
                <w:szCs w:val="18"/>
                <w:lang w:val="es-ES_tradnl"/>
              </w:rPr>
              <w:t xml:space="preserve"> en el control de las pérdidas para la preservación del recurso hídrico en el contexto de vulnerabilidad y agotamiento de las fuentes de agua que está produciendo el cambio climático</w:t>
            </w:r>
            <w:r w:rsidRPr="00064D10" w:rsidR="00C34991">
              <w:rPr>
                <w:sz w:val="18"/>
                <w:szCs w:val="18"/>
                <w:lang w:val="es-ES_tradnl"/>
              </w:rPr>
              <w:t>.</w:t>
            </w:r>
            <w:r w:rsidRPr="00064D10" w:rsidR="00D52C0D">
              <w:rPr>
                <w:sz w:val="18"/>
                <w:szCs w:val="18"/>
                <w:lang w:val="es-ES_tradnl"/>
              </w:rPr>
              <w:t xml:space="preserve"> </w:t>
            </w:r>
            <w:r w:rsidR="00782992">
              <w:rPr>
                <w:sz w:val="18"/>
                <w:szCs w:val="18"/>
                <w:lang w:val="es-ES_tradnl"/>
              </w:rPr>
              <w:t xml:space="preserve">Las principales </w:t>
            </w:r>
            <w:proofErr w:type="spellStart"/>
            <w:r w:rsidR="00782992">
              <w:rPr>
                <w:sz w:val="18"/>
                <w:szCs w:val="18"/>
                <w:lang w:val="es-ES_tradnl"/>
              </w:rPr>
              <w:t>EPSAs</w:t>
            </w:r>
            <w:proofErr w:type="spellEnd"/>
            <w:r w:rsidR="00782992">
              <w:rPr>
                <w:sz w:val="18"/>
                <w:szCs w:val="18"/>
                <w:lang w:val="es-ES_tradnl"/>
              </w:rPr>
              <w:t xml:space="preserve"> del país , disponen de una tarifa social para la población </w:t>
            </w:r>
            <w:proofErr w:type="spellStart"/>
            <w:r w:rsidR="00782992">
              <w:rPr>
                <w:sz w:val="18"/>
                <w:szCs w:val="18"/>
                <w:lang w:val="es-ES_tradnl"/>
              </w:rPr>
              <w:t>mas</w:t>
            </w:r>
            <w:proofErr w:type="spellEnd"/>
            <w:r w:rsidR="00782992">
              <w:rPr>
                <w:sz w:val="18"/>
                <w:szCs w:val="18"/>
                <w:lang w:val="es-ES_tradnl"/>
              </w:rPr>
              <w:t xml:space="preserve"> vulnerable. </w:t>
            </w:r>
          </w:p>
          <w:p w:rsidRPr="00064D10" w:rsidR="002403EC" w:rsidP="009D2FED" w:rsidRDefault="002403EC" w14:paraId="0D22528C" w14:textId="77777777">
            <w:pPr>
              <w:autoSpaceDE w:val="0"/>
              <w:autoSpaceDN w:val="0"/>
              <w:adjustRightInd w:val="0"/>
              <w:jc w:val="both"/>
              <w:rPr>
                <w:rFonts w:eastAsiaTheme="minorHAnsi"/>
                <w:sz w:val="18"/>
                <w:szCs w:val="18"/>
                <w:lang w:val="es-ES_tradnl"/>
              </w:rPr>
            </w:pPr>
          </w:p>
          <w:p w:rsidRPr="00064D10" w:rsidR="006C4BCA" w:rsidP="009D2FED" w:rsidRDefault="006C4BCA" w14:paraId="78C57376" w14:textId="77777777">
            <w:pPr>
              <w:autoSpaceDE w:val="0"/>
              <w:autoSpaceDN w:val="0"/>
              <w:adjustRightInd w:val="0"/>
              <w:jc w:val="both"/>
              <w:rPr>
                <w:rFonts w:eastAsiaTheme="minorHAnsi"/>
                <w:b/>
                <w:color w:val="FF0000"/>
                <w:sz w:val="18"/>
                <w:szCs w:val="18"/>
                <w:lang w:val="es-ES_tradnl"/>
              </w:rPr>
            </w:pPr>
          </w:p>
        </w:tc>
      </w:tr>
      <w:tr w:rsidRPr="004E480D" w:rsidR="007970C9" w:rsidTr="00120449" w14:paraId="3BEBB5F9" w14:textId="77777777">
        <w:trPr>
          <w:jc w:val="center"/>
        </w:trPr>
        <w:tc>
          <w:tcPr>
            <w:tcW w:w="1968" w:type="dxa"/>
            <w:shd w:val="clear" w:color="auto" w:fill="auto"/>
          </w:tcPr>
          <w:p w:rsidRPr="00064D10" w:rsidR="007970C9" w:rsidP="000F1306" w:rsidRDefault="007970C9" w14:paraId="6900A394" w14:textId="77777777">
            <w:pPr>
              <w:ind w:left="330" w:hanging="150"/>
              <w:rPr>
                <w:i/>
                <w:sz w:val="18"/>
                <w:szCs w:val="18"/>
                <w:lang w:val="es-ES_tradnl"/>
              </w:rPr>
            </w:pPr>
            <w:r w:rsidRPr="00064D10">
              <w:rPr>
                <w:b/>
                <w:bCs/>
                <w:i/>
                <w:sz w:val="18"/>
                <w:szCs w:val="18"/>
                <w:lang w:val="es-ES_tradnl"/>
              </w:rPr>
              <w:lastRenderedPageBreak/>
              <w:t>C. Separación de Funciones para mejorar la gobernanza sectorial</w:t>
            </w:r>
          </w:p>
        </w:tc>
        <w:tc>
          <w:tcPr>
            <w:tcW w:w="4301" w:type="dxa"/>
            <w:shd w:val="clear" w:color="auto" w:fill="auto"/>
          </w:tcPr>
          <w:p w:rsidRPr="00064D10" w:rsidR="007970C9" w:rsidP="00064D10" w:rsidRDefault="007970C9" w14:paraId="589047F8" w14:textId="77777777">
            <w:pPr>
              <w:jc w:val="both"/>
              <w:rPr>
                <w:sz w:val="18"/>
                <w:szCs w:val="18"/>
                <w:lang w:val="es-ES_tradnl"/>
              </w:rPr>
            </w:pPr>
            <w:r w:rsidRPr="00064D10">
              <w:rPr>
                <w:sz w:val="18"/>
                <w:szCs w:val="18"/>
                <w:lang w:val="es-ES_tradnl"/>
              </w:rPr>
              <w:t xml:space="preserve">Deben separarse las funciones de </w:t>
            </w:r>
            <w:r w:rsidRPr="00064D10">
              <w:rPr>
                <w:b/>
                <w:bCs/>
                <w:sz w:val="18"/>
                <w:szCs w:val="18"/>
                <w:lang w:val="es-ES_tradnl"/>
              </w:rPr>
              <w:t>formulador de políticas, regulador</w:t>
            </w:r>
            <w:r w:rsidRPr="00064D10">
              <w:rPr>
                <w:sz w:val="18"/>
                <w:szCs w:val="18"/>
                <w:lang w:val="es-ES_tradnl"/>
              </w:rPr>
              <w:t xml:space="preserve"> y </w:t>
            </w:r>
            <w:r w:rsidRPr="00064D10">
              <w:rPr>
                <w:b/>
                <w:bCs/>
                <w:sz w:val="18"/>
                <w:szCs w:val="18"/>
                <w:lang w:val="es-ES_tradnl"/>
              </w:rPr>
              <w:t>empresario</w:t>
            </w:r>
            <w:r w:rsidRPr="00064D10">
              <w:rPr>
                <w:sz w:val="18"/>
                <w:szCs w:val="18"/>
                <w:lang w:val="es-ES_tradnl"/>
              </w:rPr>
              <w:t xml:space="preserve"> y asignarse a instituciones distintas y apropiadas. De esta manera, las autoridades conservarán la responsabilidad de </w:t>
            </w:r>
            <w:r w:rsidRPr="00064D10">
              <w:rPr>
                <w:b/>
                <w:bCs/>
                <w:sz w:val="18"/>
                <w:szCs w:val="18"/>
                <w:lang w:val="es-ES_tradnl"/>
              </w:rPr>
              <w:t>formular la política</w:t>
            </w:r>
            <w:r w:rsidRPr="00064D10">
              <w:rPr>
                <w:sz w:val="18"/>
                <w:szCs w:val="18"/>
                <w:lang w:val="es-ES_tradnl"/>
              </w:rPr>
              <w:t xml:space="preserve">, un ente público separado dictará el </w:t>
            </w:r>
            <w:r w:rsidRPr="00064D10">
              <w:rPr>
                <w:b/>
                <w:bCs/>
                <w:sz w:val="18"/>
                <w:szCs w:val="18"/>
                <w:lang w:val="es-ES_tradnl"/>
              </w:rPr>
              <w:t>régimen reglamentario</w:t>
            </w:r>
            <w:r w:rsidRPr="00064D10">
              <w:rPr>
                <w:sz w:val="18"/>
                <w:szCs w:val="18"/>
                <w:lang w:val="es-ES_tradnl"/>
              </w:rPr>
              <w:t xml:space="preserve"> y se asignará al proveedor del servicio una función exclusivamente </w:t>
            </w:r>
            <w:r w:rsidRPr="00064D10">
              <w:rPr>
                <w:b/>
                <w:bCs/>
                <w:sz w:val="18"/>
                <w:szCs w:val="18"/>
                <w:lang w:val="es-ES_tradnl"/>
              </w:rPr>
              <w:t>empresarial</w:t>
            </w:r>
            <w:r w:rsidRPr="00064D10">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64D10">
              <w:rPr>
                <w:lang w:val="es-ES_tradnl"/>
              </w:rPr>
              <w:t xml:space="preserve"> </w:t>
            </w:r>
            <w:r w:rsidRPr="00064D10">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rsidRPr="00746E3F" w:rsidR="00746E3F" w:rsidP="00746E3F" w:rsidRDefault="009D2FED" w14:paraId="3225E1D1" w14:textId="77777777">
            <w:pPr>
              <w:autoSpaceDE w:val="0"/>
              <w:autoSpaceDN w:val="0"/>
              <w:adjustRightInd w:val="0"/>
              <w:jc w:val="both"/>
              <w:rPr>
                <w:sz w:val="18"/>
                <w:szCs w:val="18"/>
                <w:lang w:val="es-ES_tradnl"/>
              </w:rPr>
            </w:pPr>
            <w:r w:rsidRPr="00064D10">
              <w:rPr>
                <w:sz w:val="18"/>
                <w:szCs w:val="18"/>
                <w:lang w:val="es-ES_tradnl"/>
              </w:rPr>
              <w:t>La planificación estratégica y política del sector de A&amp;S es responsabilidad del Ministerio de Medio Ambiente y Agua (</w:t>
            </w:r>
            <w:proofErr w:type="spellStart"/>
            <w:r w:rsidRPr="00064D10">
              <w:rPr>
                <w:sz w:val="18"/>
                <w:szCs w:val="18"/>
                <w:lang w:val="es-ES_tradnl"/>
              </w:rPr>
              <w:t>MMAyA</w:t>
            </w:r>
            <w:proofErr w:type="spellEnd"/>
            <w:r w:rsidRPr="00064D10">
              <w:rPr>
                <w:sz w:val="18"/>
                <w:szCs w:val="18"/>
                <w:lang w:val="es-ES_tradnl"/>
              </w:rPr>
              <w:t xml:space="preserve">). </w:t>
            </w:r>
            <w:r w:rsidRPr="00FA5FE7" w:rsidR="00FA5FE7">
              <w:rPr>
                <w:sz w:val="18"/>
                <w:szCs w:val="18"/>
                <w:lang w:val="es-ES_tradnl"/>
              </w:rPr>
              <w:t xml:space="preserve">Dentro del </w:t>
            </w:r>
            <w:proofErr w:type="spellStart"/>
            <w:r w:rsidRPr="00FA5FE7" w:rsidR="00FA5FE7">
              <w:rPr>
                <w:sz w:val="18"/>
                <w:szCs w:val="18"/>
                <w:lang w:val="es-ES_tradnl"/>
              </w:rPr>
              <w:t>MMAyA</w:t>
            </w:r>
            <w:proofErr w:type="spellEnd"/>
            <w:r w:rsidRPr="00FA5FE7" w:rsidR="00FA5FE7">
              <w:rPr>
                <w:sz w:val="18"/>
                <w:szCs w:val="18"/>
                <w:lang w:val="es-ES_tradnl"/>
              </w:rPr>
              <w:t>, el Viceministerio de Agua Potable y</w:t>
            </w:r>
            <w:r w:rsidR="00FA5FE7">
              <w:rPr>
                <w:sz w:val="18"/>
                <w:szCs w:val="18"/>
                <w:lang w:val="es-ES_tradnl"/>
              </w:rPr>
              <w:t xml:space="preserve"> </w:t>
            </w:r>
            <w:r w:rsidRPr="00FA5FE7" w:rsidR="00FA5FE7">
              <w:rPr>
                <w:sz w:val="18"/>
                <w:szCs w:val="18"/>
                <w:lang w:val="es-ES_tradnl"/>
              </w:rPr>
              <w:t>Saneamiento Básico (VAPSB) establece la política del sector y planifica las</w:t>
            </w:r>
            <w:r w:rsidR="00FA5FE7">
              <w:rPr>
                <w:sz w:val="18"/>
                <w:szCs w:val="18"/>
                <w:lang w:val="es-ES_tradnl"/>
              </w:rPr>
              <w:t xml:space="preserve"> </w:t>
            </w:r>
            <w:r w:rsidRPr="00FA5FE7" w:rsidR="00FA5FE7">
              <w:rPr>
                <w:sz w:val="18"/>
                <w:szCs w:val="18"/>
                <w:lang w:val="es-ES_tradnl"/>
              </w:rPr>
              <w:t xml:space="preserve">inversiones respectivas. </w:t>
            </w:r>
            <w:r w:rsidRPr="00064D10">
              <w:rPr>
                <w:sz w:val="18"/>
                <w:szCs w:val="18"/>
                <w:lang w:val="es-ES_tradnl"/>
              </w:rPr>
              <w:t xml:space="preserve">La Autoridad de Fiscalización y Control Social de Agua Potable y Saneamiento Básico  (AAPS) tiene asignada desde el 2009 la regulación de los servicios, y la responsabilidad de otorgar los derechos de prestación, de uso y aprovechamiento de fuentes de agua para consumo humano. En 2008 se creó el Servicio Nacional para la Sostenibilidad del Saneamiento Básico (SENASBA), institución pública descentralizada, con autonomía administrativa, financiera, legal y técnica, bajo tuición del </w:t>
            </w:r>
            <w:proofErr w:type="spellStart"/>
            <w:r w:rsidRPr="00064D10">
              <w:rPr>
                <w:sz w:val="18"/>
                <w:szCs w:val="18"/>
                <w:lang w:val="es-ES_tradnl"/>
              </w:rPr>
              <w:t>MMAyA</w:t>
            </w:r>
            <w:proofErr w:type="spellEnd"/>
            <w:r w:rsidRPr="00064D10">
              <w:rPr>
                <w:sz w:val="18"/>
                <w:szCs w:val="18"/>
                <w:lang w:val="es-ES_tradnl"/>
              </w:rPr>
              <w:t xml:space="preserve">, y que tiene la misión de coadyuvar a los procesos de fortalecimiento y sostenibilidad de las Entidades Prestadoras de servicio de agua potable y alcantarillado (EPSA(s)) en el país, mediante la ejecución de procesos de Asistencia Técnica, Fortalecimiento Institucional, Desarrollo Comunitario , capacitación y educación sanitaria e investigación y desarrollo tecnológico. </w:t>
            </w:r>
            <w:r w:rsidRPr="00746E3F" w:rsidR="00746E3F">
              <w:rPr>
                <w:sz w:val="18"/>
                <w:szCs w:val="18"/>
                <w:lang w:val="es-ES_tradnl"/>
              </w:rPr>
              <w:t>Según la Ley de</w:t>
            </w:r>
            <w:r w:rsidR="00746E3F">
              <w:rPr>
                <w:sz w:val="18"/>
                <w:szCs w:val="18"/>
                <w:lang w:val="es-ES_tradnl"/>
              </w:rPr>
              <w:t xml:space="preserve"> </w:t>
            </w:r>
            <w:r w:rsidRPr="00746E3F" w:rsidR="00746E3F">
              <w:rPr>
                <w:sz w:val="18"/>
                <w:szCs w:val="18"/>
                <w:lang w:val="es-ES_tradnl"/>
              </w:rPr>
              <w:t>Prestación y Utilización de Servicios de Agua Potable y Alcantarillado Sanitario es</w:t>
            </w:r>
            <w:r w:rsidR="00746E3F">
              <w:rPr>
                <w:sz w:val="18"/>
                <w:szCs w:val="18"/>
                <w:lang w:val="es-ES_tradnl"/>
              </w:rPr>
              <w:t xml:space="preserve"> </w:t>
            </w:r>
            <w:r w:rsidRPr="00746E3F" w:rsidR="00746E3F">
              <w:rPr>
                <w:sz w:val="18"/>
                <w:szCs w:val="18"/>
                <w:lang w:val="es-ES_tradnl"/>
              </w:rPr>
              <w:t>competencia de los Gobiernos Autónomos Municipales (GAM) asegurar la</w:t>
            </w:r>
            <w:r w:rsidR="00746E3F">
              <w:rPr>
                <w:sz w:val="18"/>
                <w:szCs w:val="18"/>
                <w:lang w:val="es-ES_tradnl"/>
              </w:rPr>
              <w:t xml:space="preserve"> </w:t>
            </w:r>
            <w:r w:rsidRPr="00746E3F" w:rsidR="00746E3F">
              <w:rPr>
                <w:sz w:val="18"/>
                <w:szCs w:val="18"/>
                <w:lang w:val="es-ES_tradnl"/>
              </w:rPr>
              <w:t>provisión de servicios de saneamiento básico, a través de las Entidades</w:t>
            </w:r>
            <w:r w:rsidR="00746E3F">
              <w:rPr>
                <w:sz w:val="18"/>
                <w:szCs w:val="18"/>
                <w:lang w:val="es-ES_tradnl"/>
              </w:rPr>
              <w:t xml:space="preserve"> </w:t>
            </w:r>
            <w:r w:rsidRPr="00746E3F" w:rsidR="00746E3F">
              <w:rPr>
                <w:sz w:val="18"/>
                <w:szCs w:val="18"/>
                <w:lang w:val="es-ES_tradnl"/>
              </w:rPr>
              <w:t>Prestadoras de Servicios de Agua y Saneamiento (EPSA) autorizadas por la</w:t>
            </w:r>
            <w:r w:rsidR="00746E3F">
              <w:rPr>
                <w:sz w:val="18"/>
                <w:szCs w:val="18"/>
                <w:lang w:val="es-ES_tradnl"/>
              </w:rPr>
              <w:t xml:space="preserve"> </w:t>
            </w:r>
            <w:r w:rsidRPr="00746E3F" w:rsidR="00746E3F">
              <w:rPr>
                <w:sz w:val="18"/>
                <w:szCs w:val="18"/>
                <w:lang w:val="es-ES_tradnl"/>
              </w:rPr>
              <w:t>autoridad de monitoreo y control, y proporcionar asistencia técnica a las mismas.</w:t>
            </w:r>
            <w:r w:rsidR="00746E3F">
              <w:rPr>
                <w:sz w:val="18"/>
                <w:szCs w:val="18"/>
                <w:lang w:val="es-ES_tradnl"/>
              </w:rPr>
              <w:t xml:space="preserve"> </w:t>
            </w:r>
            <w:r w:rsidRPr="00746E3F" w:rsidR="00746E3F">
              <w:rPr>
                <w:sz w:val="18"/>
                <w:szCs w:val="18"/>
                <w:lang w:val="es-ES_tradnl"/>
              </w:rPr>
              <w:t xml:space="preserve">Las EPSA presentan diversas formas de organización como entidades </w:t>
            </w:r>
            <w:r w:rsidRPr="00746E3F" w:rsidR="00746E3F">
              <w:rPr>
                <w:sz w:val="18"/>
                <w:szCs w:val="18"/>
                <w:lang w:val="es-ES_tradnl"/>
              </w:rPr>
              <w:lastRenderedPageBreak/>
              <w:t>estatales,</w:t>
            </w:r>
            <w:r w:rsidR="00746E3F">
              <w:rPr>
                <w:sz w:val="18"/>
                <w:szCs w:val="18"/>
                <w:lang w:val="es-ES_tradnl"/>
              </w:rPr>
              <w:t xml:space="preserve"> </w:t>
            </w:r>
            <w:r w:rsidRPr="00746E3F" w:rsidR="00746E3F">
              <w:rPr>
                <w:sz w:val="18"/>
                <w:szCs w:val="18"/>
                <w:lang w:val="es-ES_tradnl"/>
              </w:rPr>
              <w:t>municipales, empresas público-sociales, cooperativas, mancomunidades y</w:t>
            </w:r>
          </w:p>
          <w:p w:rsidRPr="00064D10" w:rsidR="007970C9" w:rsidP="00746E3F" w:rsidRDefault="00746E3F" w14:paraId="7254D7E7" w14:textId="77777777">
            <w:pPr>
              <w:jc w:val="both"/>
              <w:rPr>
                <w:sz w:val="18"/>
                <w:szCs w:val="18"/>
                <w:lang w:val="es-ES_tradnl"/>
              </w:rPr>
            </w:pPr>
            <w:r w:rsidRPr="00746E3F">
              <w:rPr>
                <w:sz w:val="18"/>
                <w:szCs w:val="18"/>
                <w:lang w:val="es-ES_tradnl"/>
              </w:rPr>
              <w:t xml:space="preserve">comités de </w:t>
            </w:r>
            <w:r>
              <w:rPr>
                <w:sz w:val="18"/>
                <w:szCs w:val="18"/>
                <w:lang w:val="es-ES_tradnl"/>
              </w:rPr>
              <w:t>a</w:t>
            </w:r>
            <w:r w:rsidRPr="00746E3F">
              <w:rPr>
                <w:sz w:val="18"/>
                <w:szCs w:val="18"/>
                <w:lang w:val="es-ES_tradnl"/>
              </w:rPr>
              <w:t xml:space="preserve">gua </w:t>
            </w:r>
            <w:r>
              <w:rPr>
                <w:sz w:val="18"/>
                <w:szCs w:val="18"/>
                <w:lang w:val="es-ES_tradnl"/>
              </w:rPr>
              <w:t>p</w:t>
            </w:r>
            <w:r w:rsidRPr="00746E3F">
              <w:rPr>
                <w:sz w:val="18"/>
                <w:szCs w:val="18"/>
                <w:lang w:val="es-ES_tradnl"/>
              </w:rPr>
              <w:t xml:space="preserve">otable y saneamiento. </w:t>
            </w:r>
          </w:p>
        </w:tc>
      </w:tr>
      <w:tr w:rsidRPr="004E480D" w:rsidR="007970C9" w:rsidTr="00120449" w14:paraId="6B8AE4B6" w14:textId="77777777">
        <w:trPr>
          <w:jc w:val="center"/>
        </w:trPr>
        <w:tc>
          <w:tcPr>
            <w:tcW w:w="1968" w:type="dxa"/>
            <w:shd w:val="clear" w:color="auto" w:fill="auto"/>
          </w:tcPr>
          <w:p w:rsidRPr="00064D10" w:rsidR="007970C9" w:rsidP="000F1306" w:rsidRDefault="007970C9" w14:paraId="5CB0F170" w14:textId="77777777">
            <w:pPr>
              <w:ind w:left="330" w:hanging="150"/>
              <w:rPr>
                <w:i/>
                <w:sz w:val="18"/>
                <w:szCs w:val="18"/>
                <w:lang w:val="es-ES_tradnl"/>
              </w:rPr>
            </w:pPr>
            <w:r w:rsidRPr="00064D10">
              <w:rPr>
                <w:b/>
                <w:bCs/>
                <w:i/>
                <w:sz w:val="18"/>
                <w:szCs w:val="18"/>
                <w:lang w:val="es-ES_tradnl"/>
              </w:rPr>
              <w:lastRenderedPageBreak/>
              <w:t>D. Establecer la estructura sectorial más apropiada en el contexto de las características del servicio y los objetivos de la política</w:t>
            </w:r>
          </w:p>
        </w:tc>
        <w:tc>
          <w:tcPr>
            <w:tcW w:w="4301" w:type="dxa"/>
            <w:shd w:val="clear" w:color="auto" w:fill="auto"/>
          </w:tcPr>
          <w:p w:rsidRPr="00064D10" w:rsidR="007970C9" w:rsidP="00064D10" w:rsidRDefault="007970C9" w14:paraId="0B2B49AE" w14:textId="77777777">
            <w:pPr>
              <w:jc w:val="both"/>
              <w:rPr>
                <w:sz w:val="18"/>
                <w:szCs w:val="18"/>
                <w:lang w:val="es-ES_tradnl"/>
              </w:rPr>
            </w:pPr>
            <w:r w:rsidRPr="00064D10">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rsidRPr="00064D10" w:rsidR="007970C9" w:rsidP="004401A8" w:rsidRDefault="0051497D" w14:paraId="16B65295" w14:textId="77777777">
            <w:pPr>
              <w:jc w:val="both"/>
              <w:rPr>
                <w:b/>
                <w:sz w:val="18"/>
                <w:szCs w:val="23"/>
                <w:highlight w:val="yellow"/>
                <w:lang w:val="es-ES_tradnl"/>
              </w:rPr>
            </w:pPr>
            <w:r w:rsidRPr="00064D10">
              <w:rPr>
                <w:sz w:val="18"/>
                <w:szCs w:val="18"/>
                <w:lang w:val="es-ES_tradnl"/>
              </w:rPr>
              <w:t>La planificación estratégica y política del sector de A&amp;S a nivel nacional es responsabilidad del Ministerio de Medio Ambiente y Agua.</w:t>
            </w:r>
            <w:r w:rsidRPr="00064D10" w:rsidR="00124F40">
              <w:rPr>
                <w:sz w:val="18"/>
                <w:szCs w:val="18"/>
                <w:lang w:val="es-ES_tradnl"/>
              </w:rPr>
              <w:t xml:space="preserve"> </w:t>
            </w:r>
            <w:r w:rsidRPr="00064D10">
              <w:rPr>
                <w:sz w:val="18"/>
                <w:szCs w:val="18"/>
                <w:lang w:val="es-ES_tradnl"/>
              </w:rPr>
              <w:t>La Autoridad de Fiscalización y Control Social de Agua Potable y Saneamiento Básico (AAPS) tiene asignada desde el 2009 la regulación de los servicio</w:t>
            </w:r>
            <w:r w:rsidRPr="00064D10" w:rsidR="00124F40">
              <w:rPr>
                <w:sz w:val="18"/>
                <w:szCs w:val="18"/>
                <w:lang w:val="es-ES_tradnl"/>
              </w:rPr>
              <w:t>s</w:t>
            </w:r>
            <w:r w:rsidRPr="00064D10">
              <w:rPr>
                <w:sz w:val="18"/>
                <w:szCs w:val="18"/>
                <w:lang w:val="es-ES_tradnl"/>
              </w:rPr>
              <w:t xml:space="preserve">,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w:t>
            </w:r>
            <w:proofErr w:type="spellStart"/>
            <w:r w:rsidRPr="00064D10">
              <w:rPr>
                <w:sz w:val="18"/>
                <w:szCs w:val="18"/>
                <w:lang w:val="es-ES_tradnl"/>
              </w:rPr>
              <w:t>MMAyA</w:t>
            </w:r>
            <w:proofErr w:type="spellEnd"/>
            <w:r w:rsidRPr="00064D10">
              <w:rPr>
                <w:sz w:val="18"/>
                <w:szCs w:val="18"/>
                <w:lang w:val="es-ES_tradnl"/>
              </w:rPr>
              <w:t xml:space="preserve">, y que tiene la misión de coadyuvar a los procesos de fortalecimiento y sostenibilidad de las entidades operadoras y prestadoras de servicios de </w:t>
            </w:r>
            <w:r w:rsidRPr="00064D10" w:rsidR="00FE7DA0">
              <w:rPr>
                <w:sz w:val="18"/>
                <w:szCs w:val="18"/>
                <w:lang w:val="es-ES_tradnl"/>
              </w:rPr>
              <w:t>agua</w:t>
            </w:r>
            <w:r w:rsidRPr="00064D10">
              <w:rPr>
                <w:sz w:val="18"/>
                <w:szCs w:val="18"/>
                <w:lang w:val="es-ES_tradnl"/>
              </w:rPr>
              <w:t xml:space="preserve"> y saneamiento en el país, mediante la ejecución de procesos de Asistencia Técnica , Fortalecimiento Institucional, Desarrollo Comunitario, capacitación y educación sanitaria e investigación y desarrollo tecnológico..</w:t>
            </w:r>
          </w:p>
        </w:tc>
      </w:tr>
      <w:tr w:rsidRPr="004E480D" w:rsidR="007970C9" w:rsidTr="00120449" w14:paraId="5250CAD8" w14:textId="77777777">
        <w:trPr>
          <w:jc w:val="center"/>
        </w:trPr>
        <w:tc>
          <w:tcPr>
            <w:tcW w:w="1968" w:type="dxa"/>
            <w:shd w:val="clear" w:color="auto" w:fill="auto"/>
          </w:tcPr>
          <w:p w:rsidRPr="00064D10" w:rsidR="007970C9" w:rsidP="00064D10" w:rsidRDefault="007970C9" w14:paraId="4A74F801" w14:textId="77777777">
            <w:pPr>
              <w:ind w:left="150" w:hanging="90"/>
              <w:rPr>
                <w:i/>
                <w:sz w:val="18"/>
                <w:szCs w:val="18"/>
                <w:lang w:val="es-ES_tradnl"/>
              </w:rPr>
            </w:pPr>
            <w:r w:rsidRPr="00064D10">
              <w:rPr>
                <w:b/>
                <w:bCs/>
                <w:i/>
                <w:sz w:val="18"/>
                <w:szCs w:val="18"/>
                <w:lang w:val="es-ES_tradnl"/>
              </w:rPr>
              <w:t>E.</w:t>
            </w:r>
            <w:r w:rsidRPr="00064D10">
              <w:rPr>
                <w:i/>
                <w:lang w:val="es-ES_tradnl"/>
              </w:rPr>
              <w:t xml:space="preserve"> </w:t>
            </w:r>
            <w:r w:rsidRPr="00064D10">
              <w:rPr>
                <w:b/>
                <w:bCs/>
                <w:i/>
                <w:sz w:val="18"/>
                <w:szCs w:val="18"/>
                <w:lang w:val="es-ES_tradnl"/>
              </w:rPr>
              <w:t>El rol de la regulación económica para incentivar la eficiencia, la inversión y proteger los derechos de los usuarios</w:t>
            </w:r>
          </w:p>
        </w:tc>
        <w:tc>
          <w:tcPr>
            <w:tcW w:w="4301" w:type="dxa"/>
            <w:shd w:val="clear" w:color="auto" w:fill="auto"/>
          </w:tcPr>
          <w:p w:rsidRPr="00064D10" w:rsidR="007970C9" w:rsidP="00064D10" w:rsidRDefault="007970C9" w14:paraId="045B08C5" w14:textId="77777777">
            <w:pPr>
              <w:jc w:val="both"/>
              <w:rPr>
                <w:sz w:val="18"/>
                <w:szCs w:val="18"/>
                <w:lang w:val="es-ES_tradnl"/>
              </w:rPr>
            </w:pPr>
            <w:r w:rsidRPr="00064D10">
              <w:rPr>
                <w:bCs/>
                <w:sz w:val="18"/>
                <w:szCs w:val="18"/>
                <w:lang w:val="es-ES_tradnl"/>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rsidRPr="00064D10" w:rsidR="00305235" w:rsidP="00A20FFA" w:rsidRDefault="00305235" w14:paraId="336C2F34" w14:textId="4E024B46">
            <w:pPr>
              <w:autoSpaceDE w:val="0"/>
              <w:autoSpaceDN w:val="0"/>
              <w:adjustRightInd w:val="0"/>
              <w:jc w:val="both"/>
              <w:rPr>
                <w:rFonts w:ascii="Arial" w:hAnsi="Arial" w:cs="Arial"/>
                <w:color w:val="868686"/>
                <w:sz w:val="18"/>
                <w:szCs w:val="18"/>
                <w:lang w:val="es-ES_tradnl"/>
              </w:rPr>
            </w:pPr>
            <w:r w:rsidRPr="00064D10">
              <w:rPr>
                <w:sz w:val="18"/>
                <w:szCs w:val="18"/>
                <w:lang w:val="es-ES_tradnl"/>
              </w:rPr>
              <w:t xml:space="preserve">La Autoridad de Fiscalización y Control Social de Agua Potable y Saneamiento Básico (AAPS) tiene asignada desde el 2009 la regulación de los servicios, y la responsabilidad de otorgar los derechos de prestación, de uso y aprovechamiento de fuentes de agua para consumo humano. La Autoridad de Fiscalización y Control Social de Agua Potable y Saneamiento Básico, es una institución pública técnica y operativa, con personalidad jurídica y patrimonio, independencia administrativa, 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reglamentos, en tanto no contradigan lo dispuesto en la Constitución Política del Estado. </w:t>
            </w:r>
            <w:r w:rsidR="00752455">
              <w:rPr>
                <w:sz w:val="18"/>
                <w:szCs w:val="18"/>
                <w:lang w:val="es-ES_tradnl"/>
              </w:rPr>
              <w:t xml:space="preserve">A </w:t>
            </w:r>
            <w:r w:rsidRPr="00752455" w:rsidR="00752455">
              <w:rPr>
                <w:sz w:val="18"/>
                <w:szCs w:val="18"/>
                <w:lang w:val="es-ES_tradnl"/>
              </w:rPr>
              <w:t>la fecha, son 70 EPSA</w:t>
            </w:r>
            <w:r w:rsidR="00752455">
              <w:rPr>
                <w:sz w:val="18"/>
                <w:szCs w:val="18"/>
                <w:lang w:val="es-ES_tradnl"/>
              </w:rPr>
              <w:t xml:space="preserve"> </w:t>
            </w:r>
            <w:r w:rsidRPr="00752455" w:rsidR="00752455">
              <w:rPr>
                <w:sz w:val="18"/>
                <w:szCs w:val="18"/>
                <w:lang w:val="es-ES_tradnl"/>
              </w:rPr>
              <w:t>las que cuentan con seguimiento</w:t>
            </w:r>
            <w:r w:rsidR="00752455">
              <w:rPr>
                <w:sz w:val="18"/>
                <w:szCs w:val="18"/>
                <w:lang w:val="es-ES_tradnl"/>
              </w:rPr>
              <w:t xml:space="preserve"> </w:t>
            </w:r>
            <w:r w:rsidRPr="00752455" w:rsidR="00752455">
              <w:rPr>
                <w:sz w:val="18"/>
                <w:szCs w:val="18"/>
                <w:lang w:val="es-ES_tradnl"/>
              </w:rPr>
              <w:t>regulatorio a nivel nacional</w:t>
            </w:r>
            <w:r w:rsidR="007F1799">
              <w:rPr>
                <w:sz w:val="18"/>
                <w:szCs w:val="18"/>
                <w:lang w:val="es-ES_tradnl"/>
              </w:rPr>
              <w:t xml:space="preserve"> </w:t>
            </w:r>
            <w:r w:rsidR="00A20FFA">
              <w:rPr>
                <w:sz w:val="18"/>
                <w:szCs w:val="18"/>
                <w:lang w:val="es-ES_tradnl"/>
              </w:rPr>
              <w:t>(</w:t>
            </w:r>
            <w:r w:rsidRPr="00A20FFA" w:rsidR="00A20FFA">
              <w:rPr>
                <w:sz w:val="18"/>
                <w:szCs w:val="18"/>
                <w:lang w:val="es-ES_tradnl"/>
              </w:rPr>
              <w:t>La cobertura regulatoria resulta de la relación entre la sumatoria de las poblaciones dentro de las áreas de</w:t>
            </w:r>
            <w:r w:rsidR="00A20FFA">
              <w:rPr>
                <w:sz w:val="18"/>
                <w:szCs w:val="18"/>
                <w:lang w:val="es-ES_tradnl"/>
              </w:rPr>
              <w:t xml:space="preserve"> </w:t>
            </w:r>
            <w:r w:rsidRPr="00A20FFA" w:rsidR="00A20FFA">
              <w:rPr>
                <w:sz w:val="18"/>
                <w:szCs w:val="18"/>
                <w:lang w:val="es-ES_tradnl"/>
              </w:rPr>
              <w:t xml:space="preserve">servicio autorizadas por la AAPS y la población total del país, dando como </w:t>
            </w:r>
            <w:r w:rsidRPr="00A20FFA" w:rsidR="00A20FFA">
              <w:rPr>
                <w:sz w:val="18"/>
                <w:szCs w:val="18"/>
                <w:lang w:val="es-ES_tradnl"/>
              </w:rPr>
              <w:lastRenderedPageBreak/>
              <w:t>resultado para la gestión 2017 una cobertura</w:t>
            </w:r>
            <w:r w:rsidR="00A20FFA">
              <w:rPr>
                <w:sz w:val="18"/>
                <w:szCs w:val="18"/>
                <w:lang w:val="es-ES_tradnl"/>
              </w:rPr>
              <w:t xml:space="preserve"> </w:t>
            </w:r>
            <w:r w:rsidRPr="00A20FFA" w:rsidR="00A20FFA">
              <w:rPr>
                <w:sz w:val="18"/>
                <w:szCs w:val="18"/>
                <w:lang w:val="es-ES_tradnl"/>
              </w:rPr>
              <w:t>bajo regulación del 6</w:t>
            </w:r>
            <w:r w:rsidR="00A20FFA">
              <w:rPr>
                <w:sz w:val="18"/>
                <w:szCs w:val="18"/>
                <w:lang w:val="es-ES_tradnl"/>
              </w:rPr>
              <w:t>8</w:t>
            </w:r>
            <w:r w:rsidRPr="00A20FFA" w:rsidR="00A20FFA">
              <w:rPr>
                <w:sz w:val="18"/>
                <w:szCs w:val="18"/>
                <w:lang w:val="es-ES_tradnl"/>
              </w:rPr>
              <w:t>%</w:t>
            </w:r>
            <w:r w:rsidR="00A20FFA">
              <w:rPr>
                <w:sz w:val="18"/>
                <w:szCs w:val="18"/>
                <w:lang w:val="es-ES_tradnl"/>
              </w:rPr>
              <w:t>)</w:t>
            </w:r>
            <w:r w:rsidR="00752455">
              <w:rPr>
                <w:sz w:val="18"/>
                <w:szCs w:val="18"/>
                <w:lang w:val="es-ES_tradnl"/>
              </w:rPr>
              <w:t>.</w:t>
            </w:r>
            <w:r w:rsidRPr="00064D10" w:rsidR="00752455">
              <w:rPr>
                <w:sz w:val="18"/>
                <w:szCs w:val="18"/>
                <w:lang w:val="es-ES_tradnl"/>
              </w:rPr>
              <w:t xml:space="preserve"> </w:t>
            </w:r>
            <w:r w:rsidRPr="00064D10">
              <w:rPr>
                <w:sz w:val="18"/>
                <w:szCs w:val="18"/>
                <w:lang w:val="es-ES_tradnl"/>
              </w:rPr>
              <w:t xml:space="preserve">El objetivo de la AAPS es regular las actividades que realizan personas naturales y jurídicas, privadas, comunitarias, públicas, mixtas y cooperativas en el sector agua potable y saneamiento Básico, asegurando que: </w:t>
            </w:r>
            <w:r w:rsidRPr="00064D10" w:rsidR="00064D10">
              <w:rPr>
                <w:sz w:val="18"/>
                <w:szCs w:val="18"/>
                <w:lang w:val="es-ES_tradnl"/>
              </w:rPr>
              <w:t>(</w:t>
            </w:r>
            <w:r w:rsidRPr="00064D10">
              <w:rPr>
                <w:sz w:val="18"/>
                <w:szCs w:val="18"/>
                <w:lang w:val="es-ES_tradnl"/>
              </w:rPr>
              <w:t xml:space="preserve">i) se garanticen los intereses y derechos de los consumidores y usuarios, promoviendo la economía plural prevista en la Constitución Política del Estado  y las leyes en forma efectiva; </w:t>
            </w:r>
            <w:r w:rsidRPr="00064D10" w:rsidR="00064D10">
              <w:rPr>
                <w:sz w:val="18"/>
                <w:szCs w:val="18"/>
                <w:lang w:val="es-ES_tradnl"/>
              </w:rPr>
              <w:t>(</w:t>
            </w:r>
            <w:proofErr w:type="spellStart"/>
            <w:r w:rsidRPr="00064D10">
              <w:rPr>
                <w:sz w:val="18"/>
                <w:szCs w:val="18"/>
                <w:lang w:val="es-ES_tradnl"/>
              </w:rPr>
              <w:t>ii</w:t>
            </w:r>
            <w:proofErr w:type="spellEnd"/>
            <w:r w:rsidRPr="00064D10">
              <w:rPr>
                <w:sz w:val="18"/>
                <w:szCs w:val="18"/>
                <w:lang w:val="es-ES_tradnl"/>
              </w:rPr>
              <w:t xml:space="preserve">) las actividades en los sectores bajo su jurisdicción contribuyan al desarrollo de la economía nacional y tiendan a que todos los habitantes del país puedan acceder a los servicios; y </w:t>
            </w:r>
            <w:r w:rsidRPr="00064D10" w:rsidR="00064D10">
              <w:rPr>
                <w:sz w:val="18"/>
                <w:szCs w:val="18"/>
                <w:lang w:val="es-ES_tradnl"/>
              </w:rPr>
              <w:t>(</w:t>
            </w:r>
            <w:proofErr w:type="spellStart"/>
            <w:r w:rsidRPr="00064D10">
              <w:rPr>
                <w:sz w:val="18"/>
                <w:szCs w:val="18"/>
                <w:lang w:val="es-ES_tradnl"/>
              </w:rPr>
              <w:t>iii</w:t>
            </w:r>
            <w:proofErr w:type="spellEnd"/>
            <w:r w:rsidRPr="00064D10">
              <w:rPr>
                <w:sz w:val="18"/>
                <w:szCs w:val="18"/>
                <w:lang w:val="es-ES_tradnl"/>
              </w:rPr>
              <w:t>) El aprovechamiento de los recursos naturales se ejerza de manera sustentable y estrictamente de acuerdo con Constitución Política del Estado y las leyes.</w:t>
            </w:r>
            <w:r w:rsidRPr="00064D10" w:rsidR="00C63013">
              <w:rPr>
                <w:sz w:val="18"/>
                <w:szCs w:val="18"/>
                <w:lang w:val="es-ES_tradnl"/>
              </w:rPr>
              <w:t xml:space="preserve"> </w:t>
            </w:r>
            <w:r w:rsidR="005E4FBE">
              <w:rPr>
                <w:sz w:val="18"/>
                <w:szCs w:val="18"/>
                <w:lang w:val="es-ES_tradnl"/>
              </w:rPr>
              <w:t>En el programa se</w:t>
            </w:r>
            <w:r w:rsidR="007A5A25">
              <w:rPr>
                <w:sz w:val="18"/>
                <w:szCs w:val="18"/>
                <w:lang w:val="es-ES_tradnl"/>
              </w:rPr>
              <w:t xml:space="preserve"> incluyen actividades para la AAPS que</w:t>
            </w:r>
            <w:r w:rsidRPr="00064D10" w:rsidR="00C63013">
              <w:rPr>
                <w:sz w:val="18"/>
                <w:szCs w:val="18"/>
                <w:lang w:val="es-ES_tradnl"/>
              </w:rPr>
              <w:t xml:space="preserve"> </w:t>
            </w:r>
            <w:r w:rsidRPr="00064D10" w:rsidR="007A5A25">
              <w:rPr>
                <w:sz w:val="18"/>
                <w:szCs w:val="18"/>
                <w:lang w:val="es-ES_tradnl"/>
              </w:rPr>
              <w:t>contribuir</w:t>
            </w:r>
            <w:r w:rsidR="007A5A25">
              <w:rPr>
                <w:sz w:val="18"/>
                <w:szCs w:val="18"/>
                <w:lang w:val="es-ES_tradnl"/>
              </w:rPr>
              <w:t>án</w:t>
            </w:r>
            <w:r w:rsidRPr="00064D10" w:rsidR="00C63013">
              <w:rPr>
                <w:sz w:val="18"/>
                <w:szCs w:val="18"/>
                <w:lang w:val="es-ES_tradnl"/>
              </w:rPr>
              <w:t xml:space="preserve"> a realizar una adecuada planificación de las tareas de fiscalización y regulación de los servicios, para que esta se realice de manera eficaz.</w:t>
            </w:r>
          </w:p>
          <w:p w:rsidRPr="00064D10" w:rsidR="007970C9" w:rsidP="00752455" w:rsidRDefault="007970C9" w14:paraId="585BBC39" w14:textId="77777777">
            <w:pPr>
              <w:jc w:val="both"/>
              <w:rPr>
                <w:rFonts w:eastAsiaTheme="minorHAnsi"/>
                <w:lang w:val="es-ES_tradnl" w:eastAsia="en-NZ"/>
              </w:rPr>
            </w:pPr>
          </w:p>
        </w:tc>
      </w:tr>
      <w:tr w:rsidRPr="004E480D" w:rsidR="007970C9" w:rsidTr="005A019F" w14:paraId="59441B03" w14:textId="77777777">
        <w:trPr>
          <w:trHeight w:val="1772"/>
          <w:jc w:val="center"/>
        </w:trPr>
        <w:tc>
          <w:tcPr>
            <w:tcW w:w="1968" w:type="dxa"/>
            <w:shd w:val="clear" w:color="auto" w:fill="auto"/>
          </w:tcPr>
          <w:p w:rsidRPr="00064D10" w:rsidR="007970C9" w:rsidP="000F1306" w:rsidRDefault="007970C9" w14:paraId="0082AF24" w14:textId="77777777">
            <w:pPr>
              <w:ind w:left="330" w:hanging="150"/>
              <w:rPr>
                <w:b/>
                <w:i/>
                <w:sz w:val="18"/>
                <w:szCs w:val="18"/>
                <w:lang w:val="es-ES_tradnl"/>
              </w:rPr>
            </w:pPr>
            <w:r w:rsidRPr="00064D10">
              <w:rPr>
                <w:b/>
                <w:i/>
                <w:sz w:val="18"/>
                <w:szCs w:val="18"/>
                <w:lang w:val="es-ES_tradnl"/>
              </w:rPr>
              <w:lastRenderedPageBreak/>
              <w:t xml:space="preserve">F. Generar condiciones adecuadas para que la participación privada sea una opción viable para la provisión de servicios públicos </w:t>
            </w:r>
            <w:r w:rsidRPr="00064D10">
              <w:rPr>
                <w:b/>
                <w:bCs/>
                <w:i/>
                <w:sz w:val="18"/>
                <w:szCs w:val="18"/>
                <w:lang w:val="es-ES_tradnl"/>
              </w:rPr>
              <w:t>domiciliarios</w:t>
            </w:r>
          </w:p>
        </w:tc>
        <w:tc>
          <w:tcPr>
            <w:tcW w:w="4301" w:type="dxa"/>
            <w:shd w:val="clear" w:color="auto" w:fill="auto"/>
          </w:tcPr>
          <w:p w:rsidRPr="00064D10" w:rsidR="007970C9" w:rsidP="00064D10" w:rsidRDefault="007970C9" w14:paraId="3085B66B" w14:textId="77777777">
            <w:pPr>
              <w:jc w:val="both"/>
              <w:rPr>
                <w:sz w:val="18"/>
                <w:szCs w:val="18"/>
                <w:lang w:val="es-ES_tradnl"/>
              </w:rPr>
            </w:pPr>
            <w:r w:rsidRPr="00064D10">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rsidRPr="00064D10" w:rsidR="007970C9" w:rsidP="00746E3F" w:rsidRDefault="004A262B" w14:paraId="14B40582" w14:textId="77777777">
            <w:pPr>
              <w:jc w:val="both"/>
              <w:rPr>
                <w:sz w:val="18"/>
                <w:szCs w:val="18"/>
                <w:lang w:val="es-ES_tradnl"/>
              </w:rPr>
            </w:pPr>
            <w:r w:rsidRPr="00064D10">
              <w:rPr>
                <w:sz w:val="18"/>
                <w:szCs w:val="18"/>
                <w:lang w:val="es-ES_tradnl"/>
              </w:rPr>
              <w:t>La Constitución Política del Estado del 2009 establece que el acceso a Agua Potable y Saneamiento es un derecho humano no objeto de privatización o concesión y que es responsabilidad del Estado en todos sus niveles de gobierno</w:t>
            </w:r>
            <w:r w:rsidRPr="00064D10" w:rsidR="00DC2061">
              <w:rPr>
                <w:sz w:val="18"/>
                <w:szCs w:val="18"/>
                <w:lang w:val="es-ES_tradnl"/>
              </w:rPr>
              <w:t xml:space="preserve"> l</w:t>
            </w:r>
            <w:r w:rsidRPr="00064D10">
              <w:rPr>
                <w:sz w:val="18"/>
                <w:szCs w:val="18"/>
                <w:lang w:val="es-ES_tradnl"/>
              </w:rPr>
              <w:t>a provisión de estos servicios a través de entidades públicas, mixtas, comunitarias o cooperativas.</w:t>
            </w:r>
            <w:r w:rsidR="00746E3F">
              <w:rPr>
                <w:sz w:val="18"/>
                <w:szCs w:val="18"/>
                <w:lang w:val="es-ES_tradnl"/>
              </w:rPr>
              <w:t xml:space="preserve"> </w:t>
            </w:r>
            <w:r w:rsidRPr="00746E3F" w:rsidR="00746E3F">
              <w:rPr>
                <w:sz w:val="18"/>
                <w:szCs w:val="18"/>
                <w:lang w:val="es-ES_tradnl"/>
              </w:rPr>
              <w:t xml:space="preserve">Las </w:t>
            </w:r>
            <w:proofErr w:type="spellStart"/>
            <w:r w:rsidRPr="00746E3F" w:rsidR="00746E3F">
              <w:rPr>
                <w:sz w:val="18"/>
                <w:szCs w:val="18"/>
                <w:lang w:val="es-ES_tradnl"/>
              </w:rPr>
              <w:t>EPSA</w:t>
            </w:r>
            <w:r w:rsidR="00746E3F">
              <w:rPr>
                <w:sz w:val="18"/>
                <w:szCs w:val="18"/>
                <w:lang w:val="es-ES_tradnl"/>
              </w:rPr>
              <w:t>s</w:t>
            </w:r>
            <w:proofErr w:type="spellEnd"/>
            <w:r w:rsidRPr="00746E3F" w:rsidR="00746E3F">
              <w:rPr>
                <w:sz w:val="18"/>
                <w:szCs w:val="18"/>
                <w:lang w:val="es-ES_tradnl"/>
              </w:rPr>
              <w:t xml:space="preserve"> presentan diversas formas de organización como entidades estatales, municipales, empresas público-sociales,</w:t>
            </w:r>
            <w:r w:rsidR="00746E3F">
              <w:rPr>
                <w:sz w:val="18"/>
                <w:szCs w:val="18"/>
                <w:lang w:val="es-ES_tradnl"/>
              </w:rPr>
              <w:t xml:space="preserve"> </w:t>
            </w:r>
            <w:r w:rsidRPr="00746E3F" w:rsidR="00746E3F">
              <w:rPr>
                <w:sz w:val="18"/>
                <w:szCs w:val="18"/>
                <w:lang w:val="es-ES_tradnl"/>
              </w:rPr>
              <w:t>cooperativas, mancomunidades y</w:t>
            </w:r>
            <w:r w:rsidR="00746E3F">
              <w:rPr>
                <w:sz w:val="18"/>
                <w:szCs w:val="18"/>
                <w:lang w:val="es-ES_tradnl"/>
              </w:rPr>
              <w:t xml:space="preserve"> </w:t>
            </w:r>
            <w:r w:rsidRPr="00746E3F" w:rsidR="00746E3F">
              <w:rPr>
                <w:sz w:val="18"/>
                <w:szCs w:val="18"/>
                <w:lang w:val="es-ES_tradnl"/>
              </w:rPr>
              <w:t>comités de agua potable y saneamiento</w:t>
            </w:r>
          </w:p>
        </w:tc>
      </w:tr>
      <w:tr w:rsidRPr="004E480D" w:rsidR="007970C9" w:rsidTr="00120449" w14:paraId="345F57AC" w14:textId="77777777">
        <w:trPr>
          <w:jc w:val="center"/>
        </w:trPr>
        <w:tc>
          <w:tcPr>
            <w:tcW w:w="1968" w:type="dxa"/>
            <w:shd w:val="clear" w:color="auto" w:fill="auto"/>
          </w:tcPr>
          <w:p w:rsidRPr="00064D10" w:rsidR="007970C9" w:rsidP="000F1306" w:rsidRDefault="007970C9" w14:paraId="24CD2EED" w14:textId="77777777">
            <w:pPr>
              <w:ind w:left="330" w:hanging="150"/>
              <w:rPr>
                <w:b/>
                <w:i/>
                <w:sz w:val="18"/>
                <w:szCs w:val="18"/>
                <w:lang w:val="es-ES_tradnl"/>
              </w:rPr>
            </w:pPr>
            <w:r w:rsidRPr="00064D10">
              <w:rPr>
                <w:b/>
                <w:i/>
                <w:sz w:val="18"/>
                <w:szCs w:val="18"/>
                <w:lang w:val="es-ES_tradnl"/>
              </w:rPr>
              <w:t xml:space="preserve">G. </w:t>
            </w:r>
            <w:r w:rsidRPr="00064D10">
              <w:rPr>
                <w:b/>
                <w:bCs/>
                <w:i/>
                <w:sz w:val="18"/>
                <w:szCs w:val="18"/>
                <w:lang w:val="es-ES_tradnl"/>
              </w:rPr>
              <w:t>Fortalecer</w:t>
            </w:r>
            <w:r w:rsidRPr="00064D10">
              <w:rPr>
                <w:b/>
                <w:i/>
                <w:sz w:val="18"/>
                <w:szCs w:val="18"/>
                <w:lang w:val="es-ES_tradnl"/>
              </w:rPr>
              <w:t xml:space="preserve"> la gestión de la infraestructura utilizada para la prestación de los servicios públicos domiciliarios.</w:t>
            </w:r>
          </w:p>
        </w:tc>
        <w:tc>
          <w:tcPr>
            <w:tcW w:w="4301" w:type="dxa"/>
            <w:shd w:val="clear" w:color="auto" w:fill="auto"/>
          </w:tcPr>
          <w:p w:rsidRPr="00064D10" w:rsidR="007970C9" w:rsidP="00064D10" w:rsidRDefault="007970C9" w14:paraId="6E8DFA62" w14:textId="77777777">
            <w:pPr>
              <w:jc w:val="both"/>
              <w:rPr>
                <w:sz w:val="18"/>
                <w:szCs w:val="18"/>
                <w:lang w:val="es-ES_tradnl"/>
              </w:rPr>
            </w:pPr>
            <w:r w:rsidRPr="00064D10">
              <w:rPr>
                <w:sz w:val="18"/>
                <w:szCs w:val="18"/>
                <w:lang w:val="es-ES_tradnl"/>
              </w:rPr>
              <w:t xml:space="preserve">Los ámbitos de acción más relevantes para optimizar la gestión de la infraestructura son: </w:t>
            </w:r>
            <w:r w:rsidRPr="00064D10" w:rsidR="00064D10">
              <w:rPr>
                <w:sz w:val="18"/>
                <w:szCs w:val="18"/>
                <w:lang w:val="es-ES_tradnl"/>
              </w:rPr>
              <w:t>(</w:t>
            </w:r>
            <w:r w:rsidRPr="00064D10">
              <w:rPr>
                <w:sz w:val="18"/>
                <w:szCs w:val="18"/>
                <w:lang w:val="es-ES_tradnl"/>
              </w:rPr>
              <w:t xml:space="preserve">i) incentivar la eficiencia en la gestión de las empresas; </w:t>
            </w:r>
            <w:r w:rsidRPr="00064D10" w:rsidR="00064D10">
              <w:rPr>
                <w:sz w:val="18"/>
                <w:szCs w:val="18"/>
                <w:lang w:val="es-ES_tradnl"/>
              </w:rPr>
              <w:t>(</w:t>
            </w:r>
            <w:proofErr w:type="spellStart"/>
            <w:r w:rsidRPr="00064D10">
              <w:rPr>
                <w:sz w:val="18"/>
                <w:szCs w:val="18"/>
                <w:lang w:val="es-ES_tradnl"/>
              </w:rPr>
              <w:t>ii</w:t>
            </w:r>
            <w:proofErr w:type="spellEnd"/>
            <w:r w:rsidRPr="00064D10">
              <w:rPr>
                <w:sz w:val="18"/>
                <w:szCs w:val="18"/>
                <w:lang w:val="es-ES_tradnl"/>
              </w:rPr>
              <w:t xml:space="preserve">) desarrollar e implementar políticas adecuadas y estables de mantenimiento de activos; y </w:t>
            </w:r>
            <w:r w:rsidRPr="00064D10" w:rsidR="00064D10">
              <w:rPr>
                <w:sz w:val="18"/>
                <w:szCs w:val="18"/>
                <w:lang w:val="es-ES_tradnl"/>
              </w:rPr>
              <w:t>(</w:t>
            </w:r>
            <w:proofErr w:type="spellStart"/>
            <w:r w:rsidRPr="00064D10">
              <w:rPr>
                <w:sz w:val="18"/>
                <w:szCs w:val="18"/>
                <w:lang w:val="es-ES_tradnl"/>
              </w:rPr>
              <w:t>iii</w:t>
            </w:r>
            <w:proofErr w:type="spellEnd"/>
            <w:r w:rsidRPr="00064D10">
              <w:rPr>
                <w:sz w:val="18"/>
                <w:szCs w:val="18"/>
                <w:lang w:val="es-ES_tradnl"/>
              </w:rPr>
              <w:t xml:space="preserve">) optimizar el uso de la infraestructura a través de incentivos a la demanda. </w:t>
            </w:r>
          </w:p>
        </w:tc>
        <w:tc>
          <w:tcPr>
            <w:tcW w:w="3966" w:type="dxa"/>
            <w:shd w:val="clear" w:color="auto" w:fill="auto"/>
          </w:tcPr>
          <w:p w:rsidRPr="00064D10" w:rsidR="00E27D8E" w:rsidP="00107F0B" w:rsidRDefault="00BA7541" w14:paraId="57CB7BF5" w14:textId="77777777">
            <w:pPr>
              <w:jc w:val="both"/>
              <w:rPr>
                <w:sz w:val="18"/>
                <w:szCs w:val="18"/>
                <w:lang w:val="es-ES_tradnl"/>
              </w:rPr>
            </w:pPr>
            <w:r w:rsidRPr="00064D10">
              <w:rPr>
                <w:sz w:val="18"/>
                <w:szCs w:val="18"/>
                <w:lang w:val="es-ES_tradnl"/>
              </w:rPr>
              <w:t xml:space="preserve">Con el Componente III de </w:t>
            </w:r>
            <w:r w:rsidR="0014278D">
              <w:rPr>
                <w:sz w:val="18"/>
                <w:szCs w:val="18"/>
                <w:lang w:val="es-ES_tradnl"/>
              </w:rPr>
              <w:t xml:space="preserve">Planificación Sectorial </w:t>
            </w:r>
            <w:r w:rsidRPr="00064D10" w:rsidR="00733B13">
              <w:rPr>
                <w:sz w:val="18"/>
                <w:szCs w:val="18"/>
                <w:lang w:val="es-ES_tradnl"/>
              </w:rPr>
              <w:t>del programa</w:t>
            </w:r>
            <w:r w:rsidRPr="00064D10">
              <w:rPr>
                <w:sz w:val="18"/>
                <w:szCs w:val="18"/>
                <w:lang w:val="es-ES_tradnl"/>
              </w:rPr>
              <w:t xml:space="preserve"> se fortalecerán las capacidades sectoriales para mejorar la eficiencia en la prestación del servicio, mediante el desarrollo de plan</w:t>
            </w:r>
            <w:r w:rsidRPr="00064D10" w:rsidR="00A74E90">
              <w:rPr>
                <w:sz w:val="18"/>
                <w:szCs w:val="18"/>
                <w:lang w:val="es-ES_tradnl"/>
              </w:rPr>
              <w:t>es</w:t>
            </w:r>
            <w:r w:rsidRPr="00064D10">
              <w:rPr>
                <w:sz w:val="18"/>
                <w:szCs w:val="18"/>
                <w:lang w:val="es-ES_tradnl"/>
              </w:rPr>
              <w:t xml:space="preserve"> </w:t>
            </w:r>
            <w:r w:rsidR="00107F0B">
              <w:rPr>
                <w:sz w:val="18"/>
                <w:szCs w:val="18"/>
                <w:lang w:val="es-ES_tradnl"/>
              </w:rPr>
              <w:t>estratégicos, estrategias y marcos conceptuales.</w:t>
            </w:r>
          </w:p>
        </w:tc>
      </w:tr>
      <w:tr w:rsidRPr="007D159F" w:rsidR="007970C9" w:rsidTr="00120449" w14:paraId="7843CC38" w14:textId="77777777">
        <w:trPr>
          <w:jc w:val="center"/>
        </w:trPr>
        <w:tc>
          <w:tcPr>
            <w:tcW w:w="1968" w:type="dxa"/>
            <w:shd w:val="clear" w:color="auto" w:fill="auto"/>
          </w:tcPr>
          <w:p w:rsidRPr="00064D10" w:rsidR="007970C9" w:rsidP="000F1306" w:rsidRDefault="007970C9" w14:paraId="48B32A04" w14:textId="77777777">
            <w:pPr>
              <w:rPr>
                <w:sz w:val="18"/>
                <w:szCs w:val="18"/>
                <w:lang w:val="es-ES_tradnl"/>
              </w:rPr>
            </w:pPr>
            <w:r w:rsidRPr="00064D10">
              <w:rPr>
                <w:b/>
                <w:sz w:val="18"/>
                <w:szCs w:val="18"/>
                <w:lang w:val="es-ES_tradnl"/>
              </w:rPr>
              <w:t>3. Promover la innovación para fomentar la eficiencia, el acceso y la sostenibilidad ambiental</w:t>
            </w:r>
          </w:p>
        </w:tc>
        <w:tc>
          <w:tcPr>
            <w:tcW w:w="4301" w:type="dxa"/>
            <w:shd w:val="clear" w:color="auto" w:fill="auto"/>
          </w:tcPr>
          <w:p w:rsidRPr="00064D10" w:rsidR="007970C9" w:rsidP="00064D10" w:rsidRDefault="007970C9" w14:paraId="1C5FAEB3" w14:textId="77777777">
            <w:pPr>
              <w:jc w:val="both"/>
              <w:rPr>
                <w:sz w:val="18"/>
                <w:szCs w:val="18"/>
                <w:lang w:val="es-ES_tradnl"/>
              </w:rPr>
            </w:pPr>
            <w:r w:rsidRPr="00064D10">
              <w:rPr>
                <w:sz w:val="18"/>
                <w:szCs w:val="18"/>
                <w:lang w:val="es-ES_tradnl"/>
              </w:rPr>
              <w:t xml:space="preserve">Esta Política resalta el rol de la tecnología para incrementar el acceso con soluciones costo-efectivas, reducir los costos de mantenimiento y administrar el consumo, evitando inversiones innecesarias en mayor capacidad. La Política reconoce que se deberá contribuir a diseminar </w:t>
            </w:r>
            <w:r w:rsidRPr="00064D10">
              <w:rPr>
                <w:sz w:val="18"/>
                <w:szCs w:val="18"/>
                <w:lang w:val="es-ES_tradnl"/>
              </w:rPr>
              <w:lastRenderedPageBreak/>
              <w:t>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rsidRPr="00064D10" w:rsidR="00ED0547" w:rsidP="00ED0547" w:rsidRDefault="007112EB" w14:paraId="1DBDDB4D" w14:textId="77777777">
            <w:pPr>
              <w:jc w:val="both"/>
              <w:rPr>
                <w:sz w:val="18"/>
                <w:szCs w:val="18"/>
                <w:lang w:val="es-ES_tradnl"/>
              </w:rPr>
            </w:pPr>
            <w:r w:rsidRPr="00064D10">
              <w:rPr>
                <w:sz w:val="18"/>
                <w:szCs w:val="18"/>
                <w:lang w:val="es-ES_tradnl"/>
              </w:rPr>
              <w:lastRenderedPageBreak/>
              <w:t xml:space="preserve">Como parte de los compromisos de reformas del Programa, se </w:t>
            </w:r>
            <w:r w:rsidR="006D074F">
              <w:rPr>
                <w:sz w:val="18"/>
                <w:szCs w:val="18"/>
                <w:lang w:val="es-ES_tradnl"/>
              </w:rPr>
              <w:t>incluyen</w:t>
            </w:r>
            <w:r w:rsidRPr="00064D10">
              <w:rPr>
                <w:sz w:val="18"/>
                <w:szCs w:val="18"/>
                <w:lang w:val="es-ES_tradnl"/>
              </w:rPr>
              <w:t>, entre otr</w:t>
            </w:r>
            <w:r w:rsidR="00FF024B">
              <w:rPr>
                <w:sz w:val="18"/>
                <w:szCs w:val="18"/>
                <w:lang w:val="es-ES_tradnl"/>
              </w:rPr>
              <w:t>a</w:t>
            </w:r>
            <w:r w:rsidRPr="00064D10">
              <w:rPr>
                <w:sz w:val="18"/>
                <w:szCs w:val="18"/>
                <w:lang w:val="es-ES_tradnl"/>
              </w:rPr>
              <w:t>s</w:t>
            </w:r>
            <w:r w:rsidR="004D3BE0">
              <w:rPr>
                <w:sz w:val="18"/>
                <w:szCs w:val="18"/>
                <w:lang w:val="es-ES_tradnl"/>
              </w:rPr>
              <w:t>,</w:t>
            </w:r>
            <w:r w:rsidR="00FF024B">
              <w:rPr>
                <w:sz w:val="18"/>
                <w:szCs w:val="18"/>
                <w:lang w:val="es-ES_tradnl"/>
              </w:rPr>
              <w:t xml:space="preserve"> las siguientes actividades que promueven la innovación para fomentar la eficiencia, acceso y la sostenibilidad ambiental</w:t>
            </w:r>
            <w:r w:rsidRPr="00064D10">
              <w:rPr>
                <w:sz w:val="18"/>
                <w:szCs w:val="18"/>
                <w:lang w:val="es-ES_tradnl"/>
              </w:rPr>
              <w:t>: i)</w:t>
            </w:r>
            <w:r w:rsidR="006D074F">
              <w:rPr>
                <w:sz w:val="18"/>
                <w:szCs w:val="18"/>
                <w:lang w:val="es-ES_tradnl"/>
              </w:rPr>
              <w:t xml:space="preserve"> d</w:t>
            </w:r>
            <w:r w:rsidRPr="006D074F" w:rsidR="006D074F">
              <w:rPr>
                <w:sz w:val="18"/>
                <w:szCs w:val="18"/>
                <w:lang w:val="es-ES_tradnl"/>
              </w:rPr>
              <w:t xml:space="preserve">iseño conceptual del Centro </w:t>
            </w:r>
            <w:r w:rsidRPr="006D074F" w:rsidR="006D074F">
              <w:rPr>
                <w:sz w:val="18"/>
                <w:szCs w:val="18"/>
                <w:lang w:val="es-ES_tradnl"/>
              </w:rPr>
              <w:lastRenderedPageBreak/>
              <w:t>Internacional de Investigación y Desarrollo en Aguas Residuales (CIIDAR)</w:t>
            </w:r>
            <w:r w:rsidR="006D074F">
              <w:rPr>
                <w:sz w:val="18"/>
                <w:szCs w:val="18"/>
                <w:lang w:val="es-ES_tradnl"/>
              </w:rPr>
              <w:t xml:space="preserve">; </w:t>
            </w:r>
            <w:proofErr w:type="spellStart"/>
            <w:r w:rsidR="006D074F">
              <w:rPr>
                <w:sz w:val="18"/>
                <w:szCs w:val="18"/>
                <w:lang w:val="es-ES_tradnl"/>
              </w:rPr>
              <w:t>ii</w:t>
            </w:r>
            <w:proofErr w:type="spellEnd"/>
            <w:r w:rsidR="006D074F">
              <w:rPr>
                <w:sz w:val="18"/>
                <w:szCs w:val="18"/>
                <w:lang w:val="es-ES_tradnl"/>
              </w:rPr>
              <w:t xml:space="preserve">) </w:t>
            </w:r>
            <w:r w:rsidRPr="004D3BE0" w:rsidR="004D3BE0">
              <w:rPr>
                <w:sz w:val="18"/>
                <w:szCs w:val="18"/>
                <w:lang w:val="es-ES_tradnl"/>
              </w:rPr>
              <w:t xml:space="preserve">Plan de Implementación de </w:t>
            </w:r>
            <w:proofErr w:type="spellStart"/>
            <w:r w:rsidRPr="004D3BE0" w:rsidR="004D3BE0">
              <w:rPr>
                <w:sz w:val="18"/>
                <w:szCs w:val="18"/>
                <w:lang w:val="es-ES_tradnl"/>
              </w:rPr>
              <w:t>HydroBID</w:t>
            </w:r>
            <w:proofErr w:type="spellEnd"/>
            <w:r w:rsidR="004D3BE0">
              <w:rPr>
                <w:sz w:val="18"/>
                <w:szCs w:val="18"/>
                <w:lang w:val="es-ES_tradnl"/>
              </w:rPr>
              <w:t xml:space="preserve"> y piloto en ejecución; </w:t>
            </w:r>
            <w:proofErr w:type="spellStart"/>
            <w:r w:rsidR="004D3BE0">
              <w:rPr>
                <w:sz w:val="18"/>
                <w:szCs w:val="18"/>
                <w:lang w:val="es-ES_tradnl"/>
              </w:rPr>
              <w:t>iii</w:t>
            </w:r>
            <w:proofErr w:type="spellEnd"/>
            <w:r w:rsidR="004D3BE0">
              <w:rPr>
                <w:sz w:val="18"/>
                <w:szCs w:val="18"/>
                <w:lang w:val="es-ES_tradnl"/>
              </w:rPr>
              <w:t xml:space="preserve">) </w:t>
            </w:r>
            <w:r w:rsidR="00B96A37">
              <w:rPr>
                <w:sz w:val="18"/>
                <w:szCs w:val="18"/>
                <w:lang w:val="es-ES_tradnl"/>
              </w:rPr>
              <w:t>d</w:t>
            </w:r>
            <w:r w:rsidRPr="00B96A37" w:rsidR="00B96A37">
              <w:rPr>
                <w:sz w:val="18"/>
                <w:szCs w:val="18"/>
                <w:lang w:val="es-ES_tradnl"/>
              </w:rPr>
              <w:t xml:space="preserve">iseño de proyecto piloto para la gestión de lodos fecales domiciliarios </w:t>
            </w:r>
            <w:r w:rsidR="00B96A37">
              <w:rPr>
                <w:sz w:val="18"/>
                <w:szCs w:val="18"/>
                <w:lang w:val="es-ES_tradnl"/>
              </w:rPr>
              <w:t>;</w:t>
            </w:r>
            <w:r w:rsidR="00B81473">
              <w:rPr>
                <w:sz w:val="18"/>
                <w:szCs w:val="18"/>
                <w:lang w:val="es-ES_tradnl"/>
              </w:rPr>
              <w:t xml:space="preserve"> y</w:t>
            </w:r>
            <w:r w:rsidR="00B96A37">
              <w:rPr>
                <w:sz w:val="18"/>
                <w:szCs w:val="18"/>
                <w:lang w:val="es-ES_tradnl"/>
              </w:rPr>
              <w:t xml:space="preserve"> </w:t>
            </w:r>
            <w:proofErr w:type="spellStart"/>
            <w:r w:rsidR="00B96A37">
              <w:rPr>
                <w:sz w:val="18"/>
                <w:szCs w:val="18"/>
                <w:lang w:val="es-ES_tradnl"/>
              </w:rPr>
              <w:t>iv</w:t>
            </w:r>
            <w:proofErr w:type="spellEnd"/>
            <w:r w:rsidR="00B96A37">
              <w:rPr>
                <w:sz w:val="18"/>
                <w:szCs w:val="18"/>
                <w:lang w:val="es-ES_tradnl"/>
              </w:rPr>
              <w:t xml:space="preserve">) </w:t>
            </w:r>
            <w:r w:rsidRPr="00B81473" w:rsidR="00B81473">
              <w:rPr>
                <w:sz w:val="18"/>
                <w:szCs w:val="18"/>
                <w:lang w:val="es-ES_tradnl"/>
              </w:rPr>
              <w:t>Sistema de medición de indicadores y prácticas de gestión  (</w:t>
            </w:r>
            <w:proofErr w:type="spellStart"/>
            <w:r w:rsidRPr="00B81473" w:rsidR="00B81473">
              <w:rPr>
                <w:sz w:val="18"/>
                <w:szCs w:val="18"/>
                <w:lang w:val="es-ES_tradnl"/>
              </w:rPr>
              <w:t>AquaRating</w:t>
            </w:r>
            <w:proofErr w:type="spellEnd"/>
            <w:r w:rsidRPr="00B81473" w:rsidR="00B81473">
              <w:rPr>
                <w:sz w:val="18"/>
                <w:szCs w:val="18"/>
                <w:lang w:val="es-ES_tradnl"/>
              </w:rPr>
              <w:t>)</w:t>
            </w:r>
            <w:r w:rsidR="00B81473">
              <w:rPr>
                <w:sz w:val="18"/>
                <w:szCs w:val="18"/>
                <w:lang w:val="es-ES_tradnl"/>
              </w:rPr>
              <w:t xml:space="preserve"> implementado.</w:t>
            </w:r>
          </w:p>
          <w:p w:rsidRPr="00064D10" w:rsidR="00CD5A81" w:rsidP="00064D10" w:rsidRDefault="00CD5A81" w14:paraId="1792DD63" w14:textId="77777777">
            <w:pPr>
              <w:jc w:val="both"/>
              <w:rPr>
                <w:sz w:val="18"/>
                <w:szCs w:val="18"/>
                <w:lang w:val="es-ES_tradnl"/>
              </w:rPr>
            </w:pPr>
            <w:r w:rsidRPr="00064D10">
              <w:rPr>
                <w:sz w:val="18"/>
                <w:szCs w:val="18"/>
                <w:lang w:val="es-ES_tradnl"/>
              </w:rPr>
              <w:t xml:space="preserve">. </w:t>
            </w:r>
          </w:p>
        </w:tc>
      </w:tr>
    </w:tbl>
    <w:p w:rsidRPr="00064D10" w:rsidR="003B02C4" w:rsidP="00120449" w:rsidRDefault="003B02C4" w14:paraId="5BFE7575" w14:textId="77777777">
      <w:pPr>
        <w:rPr>
          <w:lang w:val="es-ES_tradnl"/>
        </w:rPr>
      </w:pPr>
    </w:p>
    <w:sectPr w:rsidRPr="00064D10" w:rsidR="003B02C4" w:rsidSect="009B38CC">
      <w:headerReference w:type="default" r:id="rId15"/>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7B3" w:rsidP="00B72604" w:rsidRDefault="00E627B3" w14:paraId="650AC448" w14:textId="77777777">
      <w:r>
        <w:separator/>
      </w:r>
    </w:p>
  </w:endnote>
  <w:endnote w:type="continuationSeparator" w:id="0">
    <w:p w:rsidR="00E627B3" w:rsidP="00B72604" w:rsidRDefault="00E627B3" w14:paraId="7E3948B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7B3" w:rsidP="00B72604" w:rsidRDefault="00E627B3" w14:paraId="4022C8B1" w14:textId="77777777">
      <w:r>
        <w:separator/>
      </w:r>
    </w:p>
  </w:footnote>
  <w:footnote w:type="continuationSeparator" w:id="0">
    <w:p w:rsidR="00E627B3" w:rsidP="00B72604" w:rsidRDefault="00E627B3" w14:paraId="10B408F8" w14:textId="77777777">
      <w:r>
        <w:continuationSeparator/>
      </w:r>
    </w:p>
  </w:footnote>
  <w:footnote w:id="1">
    <w:p w:rsidRPr="00352A60" w:rsidR="005863ED" w:rsidP="00352A60" w:rsidRDefault="005863ED" w14:paraId="69429059" w14:textId="77777777">
      <w:pPr>
        <w:pStyle w:val="FootnoteText"/>
        <w:tabs>
          <w:tab w:val="left" w:pos="360"/>
          <w:tab w:val="left" w:pos="1260"/>
        </w:tabs>
        <w:rPr>
          <w:rFonts w:ascii="Times New Roman" w:hAnsi="Times New Roman" w:cs="Times New Roman"/>
          <w:sz w:val="16"/>
          <w:szCs w:val="16"/>
          <w:lang w:val="es-ES_tradnl"/>
        </w:rPr>
      </w:pPr>
      <w:r w:rsidRPr="00352A60">
        <w:rPr>
          <w:rStyle w:val="FootnoteReference"/>
          <w:rFonts w:ascii="Times New Roman" w:hAnsi="Times New Roman" w:cs="Times New Roman"/>
          <w:sz w:val="16"/>
          <w:szCs w:val="16"/>
        </w:rPr>
        <w:footnoteRef/>
      </w:r>
      <w:r w:rsidRPr="00352A60">
        <w:rPr>
          <w:rFonts w:ascii="Times New Roman" w:hAnsi="Times New Roman" w:cs="Times New Roman"/>
          <w:sz w:val="16"/>
          <w:szCs w:val="16"/>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AAPS, Indicadores de Desempeño Gestión 201</w:t>
      </w:r>
      <w:r w:rsidR="00A20BF0">
        <w:rPr>
          <w:rFonts w:ascii="Times New Roman" w:hAnsi="Times New Roman" w:cs="Times New Roman"/>
          <w:sz w:val="16"/>
          <w:szCs w:val="16"/>
          <w:lang w:val="es-ES_tradnl"/>
        </w:rPr>
        <w:t>7</w:t>
      </w:r>
      <w:r w:rsidRPr="00352A60">
        <w:rPr>
          <w:rFonts w:ascii="Times New Roman" w:hAnsi="Times New Roman" w:cs="Times New Roman"/>
          <w:sz w:val="16"/>
          <w:szCs w:val="16"/>
          <w:lang w:val="es-ES_tradnl"/>
        </w:rPr>
        <w:t>.</w:t>
      </w:r>
    </w:p>
  </w:footnote>
  <w:footnote w:id="2">
    <w:p w:rsidRPr="00352A60" w:rsidR="005863ED" w:rsidP="00352A60" w:rsidRDefault="005863ED" w14:paraId="39A89B98" w14:textId="77777777">
      <w:pPr>
        <w:pStyle w:val="FootnoteText"/>
        <w:tabs>
          <w:tab w:val="left" w:pos="360"/>
          <w:tab w:val="left" w:pos="1260"/>
        </w:tabs>
        <w:rPr>
          <w:rFonts w:ascii="Times New Roman" w:hAnsi="Times New Roman" w:cs="Times New Roman"/>
          <w:sz w:val="16"/>
          <w:szCs w:val="16"/>
          <w:lang w:val="es-ES_tradnl"/>
        </w:rPr>
      </w:pPr>
      <w:r w:rsidRPr="00352A60">
        <w:rPr>
          <w:rStyle w:val="FootnoteReference"/>
          <w:rFonts w:ascii="Times New Roman" w:hAnsi="Times New Roman" w:cs="Times New Roman"/>
          <w:sz w:val="16"/>
          <w:szCs w:val="16"/>
        </w:rPr>
        <w:footnoteRef/>
      </w:r>
      <w:r w:rsidRPr="00352A60">
        <w:rPr>
          <w:rFonts w:ascii="Times New Roman" w:hAnsi="Times New Roman" w:cs="Times New Roman"/>
          <w:sz w:val="16"/>
          <w:szCs w:val="16"/>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Aproximadamente 1.</w:t>
      </w:r>
      <w:r w:rsidR="002C46CF">
        <w:rPr>
          <w:rFonts w:ascii="Times New Roman" w:hAnsi="Times New Roman" w:cs="Times New Roman"/>
          <w:sz w:val="16"/>
          <w:szCs w:val="16"/>
          <w:lang w:val="es-ES_tradnl"/>
        </w:rPr>
        <w:t>281</w:t>
      </w:r>
      <w:r w:rsidRPr="00352A60">
        <w:rPr>
          <w:rFonts w:ascii="Times New Roman" w:hAnsi="Times New Roman" w:cs="Times New Roman"/>
          <w:sz w:val="16"/>
          <w:szCs w:val="16"/>
          <w:lang w:val="es-ES_tradnl"/>
        </w:rPr>
        <w:t>.00</w:t>
      </w:r>
      <w:r w:rsidR="002C46CF">
        <w:rPr>
          <w:rFonts w:ascii="Times New Roman" w:hAnsi="Times New Roman" w:cs="Times New Roman"/>
          <w:sz w:val="16"/>
          <w:szCs w:val="16"/>
          <w:lang w:val="es-ES_tradnl"/>
        </w:rPr>
        <w:t>2</w:t>
      </w:r>
      <w:r w:rsidRPr="00352A60">
        <w:rPr>
          <w:rFonts w:ascii="Times New Roman" w:hAnsi="Times New Roman" w:cs="Times New Roman"/>
          <w:sz w:val="16"/>
          <w:szCs w:val="16"/>
          <w:lang w:val="es-ES_tradnl"/>
        </w:rPr>
        <w:t xml:space="preserve"> conexiones de agua y potable y </w:t>
      </w:r>
      <w:r w:rsidR="002C46CF">
        <w:rPr>
          <w:rFonts w:ascii="Times New Roman" w:hAnsi="Times New Roman" w:cs="Times New Roman"/>
          <w:sz w:val="16"/>
          <w:szCs w:val="16"/>
          <w:lang w:val="es-ES_tradnl"/>
        </w:rPr>
        <w:t>809</w:t>
      </w:r>
      <w:r w:rsidRPr="00352A60">
        <w:rPr>
          <w:rFonts w:ascii="Times New Roman" w:hAnsi="Times New Roman" w:cs="Times New Roman"/>
          <w:sz w:val="16"/>
          <w:szCs w:val="16"/>
          <w:lang w:val="es-ES_tradnl"/>
        </w:rPr>
        <w:t>.</w:t>
      </w:r>
      <w:r w:rsidR="002C46CF">
        <w:rPr>
          <w:rFonts w:ascii="Times New Roman" w:hAnsi="Times New Roman" w:cs="Times New Roman"/>
          <w:sz w:val="16"/>
          <w:szCs w:val="16"/>
          <w:lang w:val="es-ES_tradnl"/>
        </w:rPr>
        <w:t>827</w:t>
      </w:r>
      <w:r w:rsidRPr="00352A60">
        <w:rPr>
          <w:rFonts w:ascii="Times New Roman" w:hAnsi="Times New Roman" w:cs="Times New Roman"/>
          <w:sz w:val="16"/>
          <w:szCs w:val="16"/>
          <w:lang w:val="es-ES_tradnl"/>
        </w:rPr>
        <w:t xml:space="preserve"> conexiones de alcantarillado sanitario</w:t>
      </w:r>
    </w:p>
  </w:footnote>
  <w:footnote w:id="3">
    <w:p w:rsidRPr="002642C7" w:rsidR="002642C7" w:rsidP="002642C7" w:rsidRDefault="002642C7" w14:paraId="1465FA53" w14:textId="77777777">
      <w:pPr>
        <w:pStyle w:val="FootnoteText"/>
        <w:jc w:val="both"/>
        <w:rPr>
          <w:lang w:val="es-ES_tradnl"/>
        </w:rPr>
      </w:pPr>
      <w:r>
        <w:rPr>
          <w:rStyle w:val="FootnoteReference"/>
        </w:rPr>
        <w:footnoteRef/>
      </w:r>
      <w:r w:rsidRPr="002642C7">
        <w:rPr>
          <w:lang w:val="es-ES_tradnl"/>
        </w:rPr>
        <w:t xml:space="preserve"> </w:t>
      </w:r>
      <w:r w:rsidRPr="002642C7">
        <w:rPr>
          <w:rFonts w:ascii="Times New Roman" w:hAnsi="Times New Roman" w:cs="Times New Roman"/>
          <w:sz w:val="16"/>
          <w:szCs w:val="16"/>
          <w:lang w:val="es-ES_tradnl"/>
        </w:rPr>
        <w:t>El indicador mide la sostenibilidad operativa de la EPSA expresada</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en términos de la proporción de ingresos por la prestación</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del servicio, que se destinan a cubrir los costos de operación,</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administración y mantenimiento</w:t>
      </w:r>
      <w:r>
        <w:rPr>
          <w:rFonts w:ascii="Times New Roman" w:hAnsi="Times New Roman" w:cs="Times New Roman"/>
          <w:sz w:val="16"/>
          <w:szCs w:val="16"/>
          <w:lang w:val="es-ES_tradnl"/>
        </w:rPr>
        <w:t xml:space="preserve"> (Costos operativos del servicio/ ingresos operativos del servicio )</w:t>
      </w:r>
      <w:r w:rsidRPr="002642C7">
        <w:rPr>
          <w:rFonts w:ascii="Times New Roman" w:hAnsi="Times New Roman" w:cs="Times New Roman"/>
          <w:sz w:val="16"/>
          <w:szCs w:val="16"/>
          <w:lang w:val="es-ES_tradnl"/>
        </w:rPr>
        <w:t>.</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El resultado debe ser menor al 100%, siendo el rango óptimo</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entre 65% y 75%. Las EPSA que presentan un resultado mayor al 100%, tienen</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 xml:space="preserve">un problema de sostenibilidad en el corto plazo y, </w:t>
      </w:r>
      <w:proofErr w:type="gramStart"/>
      <w:r w:rsidRPr="002642C7">
        <w:rPr>
          <w:rFonts w:ascii="Times New Roman" w:hAnsi="Times New Roman" w:cs="Times New Roman"/>
          <w:sz w:val="16"/>
          <w:szCs w:val="16"/>
          <w:lang w:val="es-ES_tradnl"/>
        </w:rPr>
        <w:t>de acuerdo</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a</w:t>
      </w:r>
      <w:proofErr w:type="gramEnd"/>
      <w:r w:rsidRPr="002642C7">
        <w:rPr>
          <w:rFonts w:ascii="Times New Roman" w:hAnsi="Times New Roman" w:cs="Times New Roman"/>
          <w:sz w:val="16"/>
          <w:szCs w:val="16"/>
          <w:lang w:val="es-ES_tradnl"/>
        </w:rPr>
        <w:t xml:space="preserve"> su recurrencia en períodos anteriores, se presentarán dificultades</w:t>
      </w:r>
      <w:r>
        <w:rPr>
          <w:rFonts w:ascii="Times New Roman" w:hAnsi="Times New Roman" w:cs="Times New Roman"/>
          <w:sz w:val="16"/>
          <w:szCs w:val="16"/>
          <w:lang w:val="es-ES_tradnl"/>
        </w:rPr>
        <w:t xml:space="preserve"> </w:t>
      </w:r>
      <w:r w:rsidRPr="002642C7">
        <w:rPr>
          <w:rFonts w:ascii="Times New Roman" w:hAnsi="Times New Roman" w:cs="Times New Roman"/>
          <w:sz w:val="16"/>
          <w:szCs w:val="16"/>
          <w:lang w:val="es-ES_tradnl"/>
        </w:rPr>
        <w:t>de liquidez, afectando el ciclo del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168209085"/>
      <w:docPartObj>
        <w:docPartGallery w:val="Page Numbers (Top of Page)"/>
        <w:docPartUnique/>
      </w:docPartObj>
    </w:sdtPr>
    <w:sdtEndPr/>
    <w:sdtContent>
      <w:p w:rsidR="00120449" w:rsidP="00F97646" w:rsidRDefault="00C93876" w14:paraId="59507ED9" w14:textId="77777777">
        <w:pPr>
          <w:pStyle w:val="Header"/>
          <w:tabs>
            <w:tab w:val="clear" w:pos="4680"/>
            <w:tab w:val="clear" w:pos="9360"/>
            <w:tab w:val="right" w:pos="8640"/>
          </w:tabs>
          <w:jc w:val="right"/>
          <w:rPr>
            <w:sz w:val="20"/>
            <w:szCs w:val="20"/>
            <w:lang w:val="pt-BR"/>
          </w:rPr>
        </w:pPr>
        <w:r w:rsidRPr="00A874E0">
          <w:rPr>
            <w:sz w:val="20"/>
            <w:szCs w:val="20"/>
            <w:lang w:val="pt-BR"/>
          </w:rPr>
          <w:t>BO-</w:t>
        </w:r>
        <w:r w:rsidR="00BD0CCA">
          <w:rPr>
            <w:sz w:val="20"/>
            <w:szCs w:val="20"/>
            <w:lang w:val="pt-BR"/>
          </w:rPr>
          <w:t>L1</w:t>
        </w:r>
        <w:r w:rsidR="00297AA8">
          <w:rPr>
            <w:sz w:val="20"/>
            <w:szCs w:val="20"/>
            <w:lang w:val="pt-BR"/>
          </w:rPr>
          <w:t>2</w:t>
        </w:r>
        <w:r w:rsidR="00BD0CCA">
          <w:rPr>
            <w:sz w:val="20"/>
            <w:szCs w:val="20"/>
            <w:lang w:val="pt-BR"/>
          </w:rPr>
          <w:t>00</w:t>
        </w:r>
      </w:p>
      <w:p w:rsidRPr="00A874E0" w:rsidR="00120449" w:rsidP="00F97646" w:rsidRDefault="00120449" w14:paraId="001F2A38" w14:textId="77777777">
        <w:pPr>
          <w:pStyle w:val="Header"/>
          <w:tabs>
            <w:tab w:val="clear" w:pos="4680"/>
            <w:tab w:val="clear" w:pos="9360"/>
          </w:tabs>
          <w:ind w:left="7200"/>
          <w:jc w:val="right"/>
          <w:rPr>
            <w:sz w:val="20"/>
            <w:szCs w:val="20"/>
            <w:lang w:val="pt-BR"/>
          </w:rPr>
        </w:pPr>
        <w:r w:rsidRPr="00A874E0">
          <w:rPr>
            <w:sz w:val="20"/>
            <w:szCs w:val="20"/>
            <w:lang w:val="pt-BR"/>
          </w:rPr>
          <w:t xml:space="preserve">Página </w:t>
        </w:r>
        <w:r w:rsidRPr="00812BF8">
          <w:rPr>
            <w:bCs/>
            <w:sz w:val="20"/>
            <w:szCs w:val="20"/>
          </w:rPr>
          <w:fldChar w:fldCharType="begin"/>
        </w:r>
        <w:r w:rsidRPr="00A874E0">
          <w:rPr>
            <w:bCs/>
            <w:sz w:val="20"/>
            <w:szCs w:val="20"/>
            <w:lang w:val="pt-BR"/>
          </w:rPr>
          <w:instrText xml:space="preserve"> PAGE </w:instrText>
        </w:r>
        <w:r w:rsidRPr="00812BF8">
          <w:rPr>
            <w:bCs/>
            <w:sz w:val="20"/>
            <w:szCs w:val="20"/>
          </w:rPr>
          <w:fldChar w:fldCharType="separate"/>
        </w:r>
        <w:r w:rsidR="005D0708">
          <w:rPr>
            <w:bCs/>
            <w:noProof/>
            <w:sz w:val="20"/>
            <w:szCs w:val="20"/>
            <w:lang w:val="pt-BR"/>
          </w:rPr>
          <w:t>1</w:t>
        </w:r>
        <w:r w:rsidRPr="00812BF8">
          <w:rPr>
            <w:bCs/>
            <w:sz w:val="20"/>
            <w:szCs w:val="20"/>
          </w:rPr>
          <w:fldChar w:fldCharType="end"/>
        </w:r>
        <w:r w:rsidRPr="00A874E0">
          <w:rPr>
            <w:bCs/>
            <w:sz w:val="20"/>
            <w:szCs w:val="20"/>
            <w:lang w:val="pt-BR"/>
          </w:rPr>
          <w:t xml:space="preserve"> </w:t>
        </w:r>
        <w:r w:rsidRPr="00A874E0">
          <w:rPr>
            <w:sz w:val="20"/>
            <w:szCs w:val="20"/>
            <w:lang w:val="pt-BR"/>
          </w:rPr>
          <w:t xml:space="preserve">de </w:t>
        </w:r>
        <w:r w:rsidRPr="00812BF8">
          <w:rPr>
            <w:bCs/>
            <w:sz w:val="20"/>
            <w:szCs w:val="20"/>
          </w:rPr>
          <w:fldChar w:fldCharType="begin"/>
        </w:r>
        <w:r w:rsidRPr="00A874E0">
          <w:rPr>
            <w:bCs/>
            <w:sz w:val="20"/>
            <w:szCs w:val="20"/>
            <w:lang w:val="pt-BR"/>
          </w:rPr>
          <w:instrText xml:space="preserve"> NUMPAGES  </w:instrText>
        </w:r>
        <w:r w:rsidRPr="00812BF8">
          <w:rPr>
            <w:bCs/>
            <w:sz w:val="20"/>
            <w:szCs w:val="20"/>
          </w:rPr>
          <w:fldChar w:fldCharType="separate"/>
        </w:r>
        <w:r w:rsidR="005D0708">
          <w:rPr>
            <w:bCs/>
            <w:noProof/>
            <w:sz w:val="20"/>
            <w:szCs w:val="20"/>
            <w:lang w:val="pt-BR"/>
          </w:rPr>
          <w:t>8</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hint="default" w:ascii="Wingdings" w:hAnsi="Wingdings"/>
      </w:rPr>
    </w:lvl>
    <w:lvl w:ilvl="1">
      <w:start w:val="1"/>
      <w:numFmt w:val="bullet"/>
      <w:pStyle w:val="ListBullet2"/>
      <w:lvlText w:val="–"/>
      <w:lvlJc w:val="left"/>
      <w:pPr>
        <w:tabs>
          <w:tab w:val="num" w:pos="1273"/>
        </w:tabs>
        <w:ind w:left="1273" w:hanging="283"/>
      </w:pPr>
      <w:rPr>
        <w:rFonts w:hint="default" w:ascii="Times New Roman" w:hAnsi="Times New Roman" w:cs="Times New Roman"/>
      </w:rPr>
    </w:lvl>
    <w:lvl w:ilvl="2">
      <w:start w:val="1"/>
      <w:numFmt w:val="bullet"/>
      <w:pStyle w:val="ListBullet3"/>
      <w:lvlText w:val=""/>
      <w:lvlJc w:val="left"/>
      <w:pPr>
        <w:tabs>
          <w:tab w:val="num" w:pos="1571"/>
        </w:tabs>
        <w:ind w:left="1571" w:hanging="284"/>
      </w:pPr>
      <w:rPr>
        <w:rFonts w:hint="default" w:ascii="Wingdings 2" w:hAnsi="Wingdings 2"/>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9705FC8"/>
    <w:multiLevelType w:val="hybridMultilevel"/>
    <w:tmpl w:val="93CA1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BF7B21"/>
    <w:multiLevelType w:val="hybridMultilevel"/>
    <w:tmpl w:val="F36400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75C125A"/>
    <w:multiLevelType w:val="hybridMultilevel"/>
    <w:tmpl w:val="64129F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hint="default" w:ascii="Wingdings" w:hAnsi="Wingdings"/>
      </w:rPr>
    </w:lvl>
    <w:lvl w:ilvl="1">
      <w:start w:val="1"/>
      <w:numFmt w:val="bullet"/>
      <w:pStyle w:val="BoxBullet2"/>
      <w:lvlText w:val="–"/>
      <w:lvlJc w:val="left"/>
      <w:pPr>
        <w:tabs>
          <w:tab w:val="num" w:pos="567"/>
        </w:tabs>
        <w:ind w:left="567" w:hanging="283"/>
      </w:pPr>
      <w:rPr>
        <w:rFonts w:hint="default" w:ascii="Times New Roman" w:hAnsi="Times New Roman" w:cs="Times New Roman"/>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4" w15:restartNumberingAfterBreak="0">
    <w:nsid w:val="63742036"/>
    <w:multiLevelType w:val="multilevel"/>
    <w:tmpl w:val="F45C0A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F7A7AFA"/>
    <w:multiLevelType w:val="multilevel"/>
    <w:tmpl w:val="36C226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71C6179D"/>
    <w:multiLevelType w:val="multilevel"/>
    <w:tmpl w:val="49D4A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3"/>
  </w:num>
  <w:num w:numId="9">
    <w:abstractNumId w:val="1"/>
  </w:num>
  <w:num w:numId="10">
    <w:abstractNumId w:val="10"/>
  </w:num>
  <w:num w:numId="11">
    <w:abstractNumId w:val="11"/>
  </w:num>
  <w:num w:numId="12">
    <w:abstractNumId w:val="5"/>
  </w:num>
  <w:num w:numId="13">
    <w:abstractNumId w:val="7"/>
  </w:num>
  <w:num w:numId="14">
    <w:abstractNumId w:val="12"/>
  </w:num>
  <w:num w:numId="15">
    <w:abstractNumId w:val="8"/>
  </w:num>
  <w:num w:numId="16">
    <w:abstractNumId w:val="3"/>
  </w:num>
  <w:num w:numId="17">
    <w:abstractNumId w:val="1"/>
  </w:num>
  <w:num w:numId="18">
    <w:abstractNumId w:val="1"/>
  </w:num>
  <w:num w:numId="19">
    <w:abstractNumId w:val="15"/>
  </w:num>
  <w:num w:numId="20">
    <w:abstractNumId w:val="14"/>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DF1"/>
    <w:rsid w:val="000105E2"/>
    <w:rsid w:val="00010A1E"/>
    <w:rsid w:val="00015D4F"/>
    <w:rsid w:val="00015E46"/>
    <w:rsid w:val="000166EC"/>
    <w:rsid w:val="00036263"/>
    <w:rsid w:val="0004566D"/>
    <w:rsid w:val="0005004D"/>
    <w:rsid w:val="000601DD"/>
    <w:rsid w:val="00060E7F"/>
    <w:rsid w:val="000640A0"/>
    <w:rsid w:val="00064D10"/>
    <w:rsid w:val="00064F88"/>
    <w:rsid w:val="0006549A"/>
    <w:rsid w:val="00066B5B"/>
    <w:rsid w:val="00071A12"/>
    <w:rsid w:val="00074C84"/>
    <w:rsid w:val="0008127B"/>
    <w:rsid w:val="0008572D"/>
    <w:rsid w:val="000878E8"/>
    <w:rsid w:val="000941DD"/>
    <w:rsid w:val="000A19DB"/>
    <w:rsid w:val="000A63D3"/>
    <w:rsid w:val="000A712C"/>
    <w:rsid w:val="000B3484"/>
    <w:rsid w:val="000B6849"/>
    <w:rsid w:val="000C6EE2"/>
    <w:rsid w:val="000D0468"/>
    <w:rsid w:val="000E0C3F"/>
    <w:rsid w:val="000E52E1"/>
    <w:rsid w:val="000F1306"/>
    <w:rsid w:val="000F27BF"/>
    <w:rsid w:val="00101141"/>
    <w:rsid w:val="0010196B"/>
    <w:rsid w:val="00107F0B"/>
    <w:rsid w:val="00114E8A"/>
    <w:rsid w:val="00120449"/>
    <w:rsid w:val="0012165B"/>
    <w:rsid w:val="00122913"/>
    <w:rsid w:val="00124F40"/>
    <w:rsid w:val="00140ECE"/>
    <w:rsid w:val="0014278D"/>
    <w:rsid w:val="00154CC9"/>
    <w:rsid w:val="00156B65"/>
    <w:rsid w:val="001651D9"/>
    <w:rsid w:val="001666EA"/>
    <w:rsid w:val="00186926"/>
    <w:rsid w:val="00191CD4"/>
    <w:rsid w:val="00197176"/>
    <w:rsid w:val="001A6470"/>
    <w:rsid w:val="001C54C7"/>
    <w:rsid w:val="001E47E0"/>
    <w:rsid w:val="002004C3"/>
    <w:rsid w:val="00206462"/>
    <w:rsid w:val="00220396"/>
    <w:rsid w:val="0022142A"/>
    <w:rsid w:val="002403EC"/>
    <w:rsid w:val="00247D79"/>
    <w:rsid w:val="00253849"/>
    <w:rsid w:val="00261814"/>
    <w:rsid w:val="00262F31"/>
    <w:rsid w:val="002642C7"/>
    <w:rsid w:val="0026441F"/>
    <w:rsid w:val="00270A79"/>
    <w:rsid w:val="00280828"/>
    <w:rsid w:val="00294D87"/>
    <w:rsid w:val="00297AA8"/>
    <w:rsid w:val="002B13CB"/>
    <w:rsid w:val="002B229F"/>
    <w:rsid w:val="002B29C2"/>
    <w:rsid w:val="002B5737"/>
    <w:rsid w:val="002B6ABB"/>
    <w:rsid w:val="002B6E68"/>
    <w:rsid w:val="002C115C"/>
    <w:rsid w:val="002C2B2B"/>
    <w:rsid w:val="002C46CF"/>
    <w:rsid w:val="002C794E"/>
    <w:rsid w:val="002D4037"/>
    <w:rsid w:val="002D5CE0"/>
    <w:rsid w:val="002D7AB7"/>
    <w:rsid w:val="002E236F"/>
    <w:rsid w:val="002E3C4E"/>
    <w:rsid w:val="002E53CF"/>
    <w:rsid w:val="002E6D11"/>
    <w:rsid w:val="00304F3B"/>
    <w:rsid w:val="00305235"/>
    <w:rsid w:val="00311FEE"/>
    <w:rsid w:val="003179FD"/>
    <w:rsid w:val="00322542"/>
    <w:rsid w:val="00323893"/>
    <w:rsid w:val="00327F29"/>
    <w:rsid w:val="0033068E"/>
    <w:rsid w:val="00332836"/>
    <w:rsid w:val="00352A60"/>
    <w:rsid w:val="00357537"/>
    <w:rsid w:val="00367261"/>
    <w:rsid w:val="00367E1B"/>
    <w:rsid w:val="0038464A"/>
    <w:rsid w:val="003853F6"/>
    <w:rsid w:val="003865AD"/>
    <w:rsid w:val="00390FB5"/>
    <w:rsid w:val="0039287D"/>
    <w:rsid w:val="00393B22"/>
    <w:rsid w:val="00395138"/>
    <w:rsid w:val="003A14B3"/>
    <w:rsid w:val="003A4AB7"/>
    <w:rsid w:val="003A6D31"/>
    <w:rsid w:val="003B02C4"/>
    <w:rsid w:val="003B5AB2"/>
    <w:rsid w:val="003C00AF"/>
    <w:rsid w:val="003D5B41"/>
    <w:rsid w:val="003D6315"/>
    <w:rsid w:val="003D7523"/>
    <w:rsid w:val="003E0618"/>
    <w:rsid w:val="003E0B21"/>
    <w:rsid w:val="003E0DF0"/>
    <w:rsid w:val="003E1000"/>
    <w:rsid w:val="003E5AC2"/>
    <w:rsid w:val="003F4487"/>
    <w:rsid w:val="003F48CF"/>
    <w:rsid w:val="003F78EE"/>
    <w:rsid w:val="00406C40"/>
    <w:rsid w:val="00407BF0"/>
    <w:rsid w:val="004138F9"/>
    <w:rsid w:val="004173EC"/>
    <w:rsid w:val="00420DA6"/>
    <w:rsid w:val="004320CF"/>
    <w:rsid w:val="0043212B"/>
    <w:rsid w:val="004340CD"/>
    <w:rsid w:val="004359CD"/>
    <w:rsid w:val="004401A8"/>
    <w:rsid w:val="00442C9A"/>
    <w:rsid w:val="00444A98"/>
    <w:rsid w:val="004479AD"/>
    <w:rsid w:val="00447A29"/>
    <w:rsid w:val="00456597"/>
    <w:rsid w:val="00473544"/>
    <w:rsid w:val="0048033F"/>
    <w:rsid w:val="004825AC"/>
    <w:rsid w:val="0048384B"/>
    <w:rsid w:val="004852E7"/>
    <w:rsid w:val="004A262B"/>
    <w:rsid w:val="004B1874"/>
    <w:rsid w:val="004B3077"/>
    <w:rsid w:val="004B77FA"/>
    <w:rsid w:val="004B7961"/>
    <w:rsid w:val="004C1E1E"/>
    <w:rsid w:val="004C2D78"/>
    <w:rsid w:val="004C5831"/>
    <w:rsid w:val="004C5EF6"/>
    <w:rsid w:val="004D3BE0"/>
    <w:rsid w:val="004D6FC0"/>
    <w:rsid w:val="004D7636"/>
    <w:rsid w:val="004D78F0"/>
    <w:rsid w:val="004E0892"/>
    <w:rsid w:val="004E2BFE"/>
    <w:rsid w:val="004E480D"/>
    <w:rsid w:val="004E511A"/>
    <w:rsid w:val="005057ED"/>
    <w:rsid w:val="005120D0"/>
    <w:rsid w:val="005135D7"/>
    <w:rsid w:val="0051497D"/>
    <w:rsid w:val="00524113"/>
    <w:rsid w:val="00527713"/>
    <w:rsid w:val="00531CD3"/>
    <w:rsid w:val="00533433"/>
    <w:rsid w:val="00534BE3"/>
    <w:rsid w:val="005418DF"/>
    <w:rsid w:val="00542B73"/>
    <w:rsid w:val="0055292C"/>
    <w:rsid w:val="00553263"/>
    <w:rsid w:val="00553319"/>
    <w:rsid w:val="0055493B"/>
    <w:rsid w:val="00560F84"/>
    <w:rsid w:val="005627A9"/>
    <w:rsid w:val="005633F6"/>
    <w:rsid w:val="0056359E"/>
    <w:rsid w:val="00563D9C"/>
    <w:rsid w:val="00567085"/>
    <w:rsid w:val="005676D8"/>
    <w:rsid w:val="00575D50"/>
    <w:rsid w:val="0057785A"/>
    <w:rsid w:val="005821B3"/>
    <w:rsid w:val="005863ED"/>
    <w:rsid w:val="00590F44"/>
    <w:rsid w:val="005A019F"/>
    <w:rsid w:val="005C2DF9"/>
    <w:rsid w:val="005C7BBE"/>
    <w:rsid w:val="005C7BF0"/>
    <w:rsid w:val="005D0708"/>
    <w:rsid w:val="005D2F29"/>
    <w:rsid w:val="005E4FBE"/>
    <w:rsid w:val="005F04E3"/>
    <w:rsid w:val="00600BF9"/>
    <w:rsid w:val="00601DF8"/>
    <w:rsid w:val="00605D11"/>
    <w:rsid w:val="00610D77"/>
    <w:rsid w:val="00614E30"/>
    <w:rsid w:val="006256DC"/>
    <w:rsid w:val="00640137"/>
    <w:rsid w:val="0067714B"/>
    <w:rsid w:val="0068015B"/>
    <w:rsid w:val="00690D98"/>
    <w:rsid w:val="00691441"/>
    <w:rsid w:val="006918B4"/>
    <w:rsid w:val="00691F25"/>
    <w:rsid w:val="006925B9"/>
    <w:rsid w:val="0069471F"/>
    <w:rsid w:val="006C23EB"/>
    <w:rsid w:val="006C2B99"/>
    <w:rsid w:val="006C4863"/>
    <w:rsid w:val="006C4BCA"/>
    <w:rsid w:val="006C5FCA"/>
    <w:rsid w:val="006C69F4"/>
    <w:rsid w:val="006D074F"/>
    <w:rsid w:val="006D22E2"/>
    <w:rsid w:val="006D4A79"/>
    <w:rsid w:val="006D7B72"/>
    <w:rsid w:val="006E11AB"/>
    <w:rsid w:val="006E1CE9"/>
    <w:rsid w:val="006E3B5A"/>
    <w:rsid w:val="006E42A2"/>
    <w:rsid w:val="006E5F14"/>
    <w:rsid w:val="006F25CC"/>
    <w:rsid w:val="006F45E5"/>
    <w:rsid w:val="00703D79"/>
    <w:rsid w:val="0070791E"/>
    <w:rsid w:val="007112EB"/>
    <w:rsid w:val="007146AD"/>
    <w:rsid w:val="00720A31"/>
    <w:rsid w:val="007304D3"/>
    <w:rsid w:val="00733B13"/>
    <w:rsid w:val="00735D45"/>
    <w:rsid w:val="00735EDF"/>
    <w:rsid w:val="007437CB"/>
    <w:rsid w:val="00746E3F"/>
    <w:rsid w:val="0075121F"/>
    <w:rsid w:val="00752455"/>
    <w:rsid w:val="007745F0"/>
    <w:rsid w:val="00776571"/>
    <w:rsid w:val="00782992"/>
    <w:rsid w:val="007970C9"/>
    <w:rsid w:val="007A25B9"/>
    <w:rsid w:val="007A2DCC"/>
    <w:rsid w:val="007A5503"/>
    <w:rsid w:val="007A5A25"/>
    <w:rsid w:val="007A5ED9"/>
    <w:rsid w:val="007B6A67"/>
    <w:rsid w:val="007C01B6"/>
    <w:rsid w:val="007C31ED"/>
    <w:rsid w:val="007C72C6"/>
    <w:rsid w:val="007D0E58"/>
    <w:rsid w:val="007D159F"/>
    <w:rsid w:val="007D7650"/>
    <w:rsid w:val="007E2508"/>
    <w:rsid w:val="007E3287"/>
    <w:rsid w:val="007E6C02"/>
    <w:rsid w:val="007F1799"/>
    <w:rsid w:val="00805ABB"/>
    <w:rsid w:val="00812BF8"/>
    <w:rsid w:val="00813650"/>
    <w:rsid w:val="008163DB"/>
    <w:rsid w:val="00816922"/>
    <w:rsid w:val="00823D21"/>
    <w:rsid w:val="00830D4A"/>
    <w:rsid w:val="00847254"/>
    <w:rsid w:val="00847A10"/>
    <w:rsid w:val="00860421"/>
    <w:rsid w:val="00870DB0"/>
    <w:rsid w:val="008751CA"/>
    <w:rsid w:val="00894562"/>
    <w:rsid w:val="00894CCD"/>
    <w:rsid w:val="008957EA"/>
    <w:rsid w:val="0089733E"/>
    <w:rsid w:val="008B0C6D"/>
    <w:rsid w:val="008C0E36"/>
    <w:rsid w:val="008C76A8"/>
    <w:rsid w:val="008E3A32"/>
    <w:rsid w:val="008E4A73"/>
    <w:rsid w:val="008F3683"/>
    <w:rsid w:val="008F4BC6"/>
    <w:rsid w:val="00902647"/>
    <w:rsid w:val="009076BD"/>
    <w:rsid w:val="009120FE"/>
    <w:rsid w:val="00912AE0"/>
    <w:rsid w:val="00923B34"/>
    <w:rsid w:val="00926BBA"/>
    <w:rsid w:val="009276F0"/>
    <w:rsid w:val="00932E99"/>
    <w:rsid w:val="0093770C"/>
    <w:rsid w:val="00945E5A"/>
    <w:rsid w:val="00947EDA"/>
    <w:rsid w:val="0095286A"/>
    <w:rsid w:val="00960729"/>
    <w:rsid w:val="00961277"/>
    <w:rsid w:val="00961447"/>
    <w:rsid w:val="00971BDF"/>
    <w:rsid w:val="009834A9"/>
    <w:rsid w:val="0098758F"/>
    <w:rsid w:val="009876DD"/>
    <w:rsid w:val="00991651"/>
    <w:rsid w:val="009934CD"/>
    <w:rsid w:val="00995892"/>
    <w:rsid w:val="009A016C"/>
    <w:rsid w:val="009A463C"/>
    <w:rsid w:val="009A5C2E"/>
    <w:rsid w:val="009A5ED2"/>
    <w:rsid w:val="009A7122"/>
    <w:rsid w:val="009B38CC"/>
    <w:rsid w:val="009B6098"/>
    <w:rsid w:val="009C5D53"/>
    <w:rsid w:val="009D06C8"/>
    <w:rsid w:val="009D0850"/>
    <w:rsid w:val="009D1F89"/>
    <w:rsid w:val="009D2FED"/>
    <w:rsid w:val="009E274E"/>
    <w:rsid w:val="009E6E3E"/>
    <w:rsid w:val="009F01E4"/>
    <w:rsid w:val="009F1616"/>
    <w:rsid w:val="009F7BD4"/>
    <w:rsid w:val="00A05AB1"/>
    <w:rsid w:val="00A12DF7"/>
    <w:rsid w:val="00A20BF0"/>
    <w:rsid w:val="00A20FFA"/>
    <w:rsid w:val="00A24983"/>
    <w:rsid w:val="00A27D62"/>
    <w:rsid w:val="00A3529B"/>
    <w:rsid w:val="00A44FC9"/>
    <w:rsid w:val="00A468A1"/>
    <w:rsid w:val="00A51F65"/>
    <w:rsid w:val="00A52485"/>
    <w:rsid w:val="00A541BB"/>
    <w:rsid w:val="00A54FF1"/>
    <w:rsid w:val="00A67558"/>
    <w:rsid w:val="00A7477B"/>
    <w:rsid w:val="00A74E90"/>
    <w:rsid w:val="00A83327"/>
    <w:rsid w:val="00A86105"/>
    <w:rsid w:val="00A874E0"/>
    <w:rsid w:val="00A87653"/>
    <w:rsid w:val="00A90601"/>
    <w:rsid w:val="00AA1821"/>
    <w:rsid w:val="00AA1964"/>
    <w:rsid w:val="00AA6446"/>
    <w:rsid w:val="00AB1B2E"/>
    <w:rsid w:val="00AB4A91"/>
    <w:rsid w:val="00AB5324"/>
    <w:rsid w:val="00AB7080"/>
    <w:rsid w:val="00AD0F07"/>
    <w:rsid w:val="00AE022F"/>
    <w:rsid w:val="00AE6F36"/>
    <w:rsid w:val="00AF0BB0"/>
    <w:rsid w:val="00AF45AF"/>
    <w:rsid w:val="00B01479"/>
    <w:rsid w:val="00B029B9"/>
    <w:rsid w:val="00B040CF"/>
    <w:rsid w:val="00B30E53"/>
    <w:rsid w:val="00B34409"/>
    <w:rsid w:val="00B347BD"/>
    <w:rsid w:val="00B41EB9"/>
    <w:rsid w:val="00B45D92"/>
    <w:rsid w:val="00B47D24"/>
    <w:rsid w:val="00B53A4A"/>
    <w:rsid w:val="00B572FF"/>
    <w:rsid w:val="00B676A9"/>
    <w:rsid w:val="00B67C7F"/>
    <w:rsid w:val="00B706F2"/>
    <w:rsid w:val="00B72604"/>
    <w:rsid w:val="00B72D56"/>
    <w:rsid w:val="00B762C9"/>
    <w:rsid w:val="00B81473"/>
    <w:rsid w:val="00B85F52"/>
    <w:rsid w:val="00B94CEF"/>
    <w:rsid w:val="00B96A37"/>
    <w:rsid w:val="00BA063D"/>
    <w:rsid w:val="00BA7541"/>
    <w:rsid w:val="00BC0748"/>
    <w:rsid w:val="00BD0CCA"/>
    <w:rsid w:val="00BD68A5"/>
    <w:rsid w:val="00BE1AD4"/>
    <w:rsid w:val="00BE1B62"/>
    <w:rsid w:val="00BE6737"/>
    <w:rsid w:val="00BF17A0"/>
    <w:rsid w:val="00BF646D"/>
    <w:rsid w:val="00C11B5B"/>
    <w:rsid w:val="00C21A95"/>
    <w:rsid w:val="00C303C1"/>
    <w:rsid w:val="00C34991"/>
    <w:rsid w:val="00C35B56"/>
    <w:rsid w:val="00C42093"/>
    <w:rsid w:val="00C434F3"/>
    <w:rsid w:val="00C460FF"/>
    <w:rsid w:val="00C507CE"/>
    <w:rsid w:val="00C54D22"/>
    <w:rsid w:val="00C56B3A"/>
    <w:rsid w:val="00C571F5"/>
    <w:rsid w:val="00C61E99"/>
    <w:rsid w:val="00C620F8"/>
    <w:rsid w:val="00C63013"/>
    <w:rsid w:val="00C64640"/>
    <w:rsid w:val="00C66FC4"/>
    <w:rsid w:val="00C76C06"/>
    <w:rsid w:val="00C93876"/>
    <w:rsid w:val="00CA2063"/>
    <w:rsid w:val="00CA60A9"/>
    <w:rsid w:val="00CA68E4"/>
    <w:rsid w:val="00CB0D6E"/>
    <w:rsid w:val="00CB77BC"/>
    <w:rsid w:val="00CC0A10"/>
    <w:rsid w:val="00CD5A81"/>
    <w:rsid w:val="00CD6AEC"/>
    <w:rsid w:val="00CE04CC"/>
    <w:rsid w:val="00CE2AC7"/>
    <w:rsid w:val="00CE33C6"/>
    <w:rsid w:val="00CE4C6C"/>
    <w:rsid w:val="00CE5546"/>
    <w:rsid w:val="00CF4BD8"/>
    <w:rsid w:val="00D06EBC"/>
    <w:rsid w:val="00D12643"/>
    <w:rsid w:val="00D17CA1"/>
    <w:rsid w:val="00D20152"/>
    <w:rsid w:val="00D31805"/>
    <w:rsid w:val="00D4736E"/>
    <w:rsid w:val="00D4750B"/>
    <w:rsid w:val="00D52C0D"/>
    <w:rsid w:val="00D5534D"/>
    <w:rsid w:val="00D630FF"/>
    <w:rsid w:val="00D669F5"/>
    <w:rsid w:val="00D66FE8"/>
    <w:rsid w:val="00D756A5"/>
    <w:rsid w:val="00D779BD"/>
    <w:rsid w:val="00D77B05"/>
    <w:rsid w:val="00D802A5"/>
    <w:rsid w:val="00D8138A"/>
    <w:rsid w:val="00D9070D"/>
    <w:rsid w:val="00D92F6A"/>
    <w:rsid w:val="00D974A1"/>
    <w:rsid w:val="00DA08C1"/>
    <w:rsid w:val="00DA7E1A"/>
    <w:rsid w:val="00DB17B7"/>
    <w:rsid w:val="00DB2723"/>
    <w:rsid w:val="00DB5CA2"/>
    <w:rsid w:val="00DC2061"/>
    <w:rsid w:val="00DC2FAD"/>
    <w:rsid w:val="00DC472F"/>
    <w:rsid w:val="00DC50E9"/>
    <w:rsid w:val="00DF688D"/>
    <w:rsid w:val="00E078BC"/>
    <w:rsid w:val="00E130F6"/>
    <w:rsid w:val="00E27D8E"/>
    <w:rsid w:val="00E36E78"/>
    <w:rsid w:val="00E41160"/>
    <w:rsid w:val="00E53E1B"/>
    <w:rsid w:val="00E6100E"/>
    <w:rsid w:val="00E6177B"/>
    <w:rsid w:val="00E627B3"/>
    <w:rsid w:val="00E9650B"/>
    <w:rsid w:val="00E967AF"/>
    <w:rsid w:val="00EA1638"/>
    <w:rsid w:val="00EA4896"/>
    <w:rsid w:val="00EB2E25"/>
    <w:rsid w:val="00EB4D24"/>
    <w:rsid w:val="00EB73C6"/>
    <w:rsid w:val="00EC0DDB"/>
    <w:rsid w:val="00EC6A11"/>
    <w:rsid w:val="00EC725D"/>
    <w:rsid w:val="00ED0547"/>
    <w:rsid w:val="00ED0DF1"/>
    <w:rsid w:val="00ED2980"/>
    <w:rsid w:val="00ED31AC"/>
    <w:rsid w:val="00ED5E5B"/>
    <w:rsid w:val="00EE0076"/>
    <w:rsid w:val="00EF355B"/>
    <w:rsid w:val="00EF4CB1"/>
    <w:rsid w:val="00EF7928"/>
    <w:rsid w:val="00F013C9"/>
    <w:rsid w:val="00F013D5"/>
    <w:rsid w:val="00F06490"/>
    <w:rsid w:val="00F1124F"/>
    <w:rsid w:val="00F17736"/>
    <w:rsid w:val="00F246AF"/>
    <w:rsid w:val="00F306A2"/>
    <w:rsid w:val="00F427E4"/>
    <w:rsid w:val="00F46760"/>
    <w:rsid w:val="00F529C0"/>
    <w:rsid w:val="00F63A09"/>
    <w:rsid w:val="00F66EF7"/>
    <w:rsid w:val="00F71508"/>
    <w:rsid w:val="00F812AA"/>
    <w:rsid w:val="00F82B21"/>
    <w:rsid w:val="00F840D8"/>
    <w:rsid w:val="00F84DBB"/>
    <w:rsid w:val="00F8666A"/>
    <w:rsid w:val="00F9206B"/>
    <w:rsid w:val="00F9446E"/>
    <w:rsid w:val="00F95C7E"/>
    <w:rsid w:val="00F97646"/>
    <w:rsid w:val="00FA5FE7"/>
    <w:rsid w:val="00FA7917"/>
    <w:rsid w:val="00FC0D74"/>
    <w:rsid w:val="00FE2B92"/>
    <w:rsid w:val="00FE4F90"/>
    <w:rsid w:val="00FE7DA0"/>
    <w:rsid w:val="00FF024B"/>
    <w:rsid w:val="00FF16A0"/>
    <w:rsid w:val="00FF1A93"/>
    <w:rsid w:val="00FF6B05"/>
    <w:rsid w:val="7A1535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C39097"/>
  <w15:docId w15:val="{173D5ECB-B0CC-490C-9E01-3AABAE058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D0DF1"/>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styleId="Default" w:customStyle="1">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styleId="CommentTextChar" w:customStyle="1">
    <w:name w:val="Comment Text Char"/>
    <w:basedOn w:val="DefaultParagraphFont"/>
    <w:link w:val="CommentText"/>
    <w:uiPriority w:val="99"/>
    <w:semiHidden/>
    <w:rsid w:val="00D9070D"/>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styleId="CommentSubjectChar" w:customStyle="1">
    <w:name w:val="Comment Subject Char"/>
    <w:basedOn w:val="CommentTextChar"/>
    <w:link w:val="CommentSubject"/>
    <w:uiPriority w:val="99"/>
    <w:semiHidden/>
    <w:rsid w:val="00D9070D"/>
    <w:rPr>
      <w:rFonts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styleId="BalloonTextChar" w:customStyle="1">
    <w:name w:val="Balloon Text Char"/>
    <w:basedOn w:val="DefaultParagraphFont"/>
    <w:link w:val="BalloonText"/>
    <w:uiPriority w:val="99"/>
    <w:semiHidden/>
    <w:rsid w:val="00D9070D"/>
    <w:rPr>
      <w:rFonts w:ascii="Tahoma" w:hAnsi="Tahoma" w:eastAsia="Times New Roman" w:cs="Tahoma"/>
      <w:sz w:val="16"/>
      <w:szCs w:val="16"/>
    </w:rPr>
  </w:style>
  <w:style w:type="paragraph" w:styleId="Chapter" w:customStyle="1">
    <w:name w:val="Chapter"/>
    <w:basedOn w:val="Normal"/>
    <w:next w:val="Normal"/>
    <w:rsid w:val="00B72604"/>
    <w:pPr>
      <w:numPr>
        <w:numId w:val="3"/>
      </w:numPr>
      <w:tabs>
        <w:tab w:val="left" w:pos="1440"/>
      </w:tabs>
      <w:spacing w:after="240"/>
      <w:jc w:val="center"/>
    </w:pPr>
    <w:rPr>
      <w:b/>
      <w:smallCaps/>
      <w:szCs w:val="20"/>
      <w:lang w:val="es-ES"/>
    </w:rPr>
  </w:style>
  <w:style w:type="paragraph" w:styleId="Paragraph" w:customStyle="1">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styleId="subpar" w:customStyle="1">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styleId="SubSubPar" w:customStyle="1">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hAnsiTheme="minorHAnsi" w:eastAsiaTheme="minorEastAsia" w:cstheme="minorBidi"/>
      <w:sz w:val="20"/>
      <w:szCs w:val="20"/>
    </w:rPr>
  </w:style>
  <w:style w:type="character" w:styleId="FootnoteTextChar" w:customStyle="1">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styleId="BodyTextIndentChar" w:customStyle="1">
    <w:name w:val="Body Text Indent Char"/>
    <w:basedOn w:val="DefaultParagraphFont"/>
    <w:link w:val="BodyTextIndent"/>
    <w:uiPriority w:val="99"/>
    <w:semiHidden/>
    <w:rsid w:val="00B72604"/>
    <w:rPr>
      <w:rFonts w:ascii="Times New Roman" w:hAnsi="Times New Roman" w:eastAsia="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B72604"/>
    <w:rPr>
      <w:rFonts w:ascii="Times New Roman" w:hAnsi="Times New Roman" w:eastAsia="Times New Roman" w:cs="Times New Roman"/>
      <w:sz w:val="16"/>
      <w:szCs w:val="16"/>
    </w:rPr>
  </w:style>
  <w:style w:type="character" w:styleId="Heading7Char" w:customStyle="1">
    <w:name w:val="Heading 7 Char"/>
    <w:rsid w:val="006D4A79"/>
    <w:rPr>
      <w:rFonts w:ascii="Arial" w:hAnsi="Arial" w:eastAsia="Times New Roman" w:cs="Times New Roman"/>
      <w:sz w:val="24"/>
      <w:szCs w:val="20"/>
    </w:rPr>
  </w:style>
  <w:style w:type="paragraph" w:styleId="FirstHeading" w:customStyle="1">
    <w:name w:val="FirstHeading"/>
    <w:basedOn w:val="Normal"/>
    <w:rsid w:val="002B6E68"/>
    <w:pPr>
      <w:keepNext/>
      <w:numPr>
        <w:numId w:val="6"/>
      </w:numPr>
      <w:tabs>
        <w:tab w:val="left" w:pos="0"/>
        <w:tab w:val="left" w:pos="86"/>
      </w:tabs>
      <w:spacing w:before="120" w:after="120"/>
    </w:pPr>
    <w:rPr>
      <w:b/>
      <w:lang w:val="es-ES_tradnl"/>
    </w:rPr>
  </w:style>
  <w:style w:type="paragraph" w:styleId="SecHeading" w:customStyle="1">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styleId="SubHeading1" w:customStyle="1">
    <w:name w:val="SubHeading1"/>
    <w:basedOn w:val="SecHeading"/>
    <w:rsid w:val="002B6E68"/>
    <w:pPr>
      <w:numPr>
        <w:ilvl w:val="2"/>
      </w:numPr>
      <w:tabs>
        <w:tab w:val="clear" w:pos="5976"/>
        <w:tab w:val="num" w:pos="1872"/>
      </w:tabs>
      <w:ind w:left="1872"/>
    </w:pPr>
  </w:style>
  <w:style w:type="paragraph" w:styleId="Subheading2" w:customStyle="1">
    <w:name w:val="Subheading2"/>
    <w:basedOn w:val="SecHeading"/>
    <w:rsid w:val="002B6E68"/>
    <w:pPr>
      <w:numPr>
        <w:ilvl w:val="3"/>
      </w:numPr>
      <w:tabs>
        <w:tab w:val="clear" w:pos="6480"/>
        <w:tab w:val="num" w:pos="2376"/>
      </w:tabs>
      <w:ind w:left="2376"/>
    </w:pPr>
  </w:style>
  <w:style w:type="paragraph" w:styleId="BVIfnrCharCharCharCharCharCharChar" w:customStyle="1">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hAnsiTheme="minorHAnsi" w:eastAsiaTheme="minorHAnsi" w:cstheme="minorBidi"/>
      <w:sz w:val="22"/>
      <w:szCs w:val="22"/>
      <w:vertAlign w:val="superscript"/>
    </w:rPr>
  </w:style>
  <w:style w:type="character" w:styleId="ParagraphChar" w:customStyle="1">
    <w:name w:val="Paragraph Char"/>
    <w:link w:val="Paragraph"/>
    <w:locked/>
    <w:rsid w:val="00B47D24"/>
    <w:rPr>
      <w:rFonts w:ascii="Times New Roman" w:hAnsi="Times New Roman" w:eastAsia="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styleId="HeaderChar" w:customStyle="1">
    <w:name w:val="Header Char"/>
    <w:basedOn w:val="DefaultParagraphFont"/>
    <w:link w:val="Header"/>
    <w:uiPriority w:val="99"/>
    <w:rsid w:val="00120449"/>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styleId="FooterChar" w:customStyle="1">
    <w:name w:val="Footer Char"/>
    <w:basedOn w:val="DefaultParagraphFont"/>
    <w:link w:val="Footer"/>
    <w:uiPriority w:val="99"/>
    <w:rsid w:val="00120449"/>
    <w:rPr>
      <w:rFonts w:ascii="Times New Roman" w:hAnsi="Times New Roman" w:eastAsia="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styleId="BodyTextChar" w:customStyle="1">
    <w:name w:val="Body Text Char"/>
    <w:basedOn w:val="DefaultParagraphFont"/>
    <w:uiPriority w:val="99"/>
    <w:semiHidden/>
    <w:rsid w:val="00534BE3"/>
    <w:rPr>
      <w:rFonts w:ascii="Times New Roman" w:hAnsi="Times New Roman" w:eastAsia="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styleId="BoxBullet1" w:customStyle="1">
    <w:name w:val="Box Bullet 1"/>
    <w:basedOn w:val="Normal"/>
    <w:rsid w:val="00534BE3"/>
    <w:pPr>
      <w:numPr>
        <w:numId w:val="8"/>
      </w:numPr>
      <w:spacing w:before="30" w:after="30"/>
      <w:jc w:val="both"/>
    </w:pPr>
    <w:rPr>
      <w:rFonts w:ascii="Garamond" w:hAnsi="Garamond"/>
      <w:sz w:val="22"/>
      <w:lang w:eastAsia="en-NZ"/>
    </w:rPr>
  </w:style>
  <w:style w:type="paragraph" w:styleId="BoxBullet2" w:customStyle="1">
    <w:name w:val="Box Bullet 2"/>
    <w:basedOn w:val="Normal"/>
    <w:rsid w:val="00534BE3"/>
    <w:pPr>
      <w:numPr>
        <w:ilvl w:val="1"/>
        <w:numId w:val="8"/>
      </w:numPr>
      <w:spacing w:before="30" w:after="30"/>
      <w:jc w:val="both"/>
    </w:pPr>
    <w:rPr>
      <w:rFonts w:ascii="Garamond" w:hAnsi="Garamond"/>
      <w:sz w:val="22"/>
      <w:lang w:eastAsia="en-NZ"/>
    </w:rPr>
  </w:style>
  <w:style w:type="character" w:styleId="BodyTextChar1" w:customStyle="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hAnsi="Garamond" w:eastAsia="Times New Roman" w:cs="Times New Roman"/>
      <w:sz w:val="24"/>
      <w:szCs w:val="24"/>
      <w:lang w:eastAsia="en-NZ"/>
    </w:rPr>
  </w:style>
  <w:style w:type="paragraph" w:styleId="CFIJAENB" w:customStyle="1">
    <w:name w:val="( C )  FIJA EN &quot;B&quot;"/>
    <w:basedOn w:val="Normal"/>
    <w:rsid w:val="00262F31"/>
    <w:pPr>
      <w:ind w:left="703"/>
      <w:jc w:val="both"/>
    </w:pPr>
    <w:rPr>
      <w:rFonts w:ascii="Arial" w:hAnsi="Arial"/>
      <w:sz w:val="20"/>
      <w:szCs w:val="20"/>
      <w:lang w:val="es-ES_tradnl" w:eastAsia="es-ES"/>
    </w:rPr>
  </w:style>
  <w:style w:type="paragraph" w:styleId="BoxNumberedText" w:customStyle="1">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304F3B"/>
    <w:rPr>
      <w:rFonts w:asciiTheme="majorHAnsi" w:hAnsiTheme="majorHAnsi" w:eastAsiaTheme="majorEastAsia"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 w:type="character" w:styleId="UnresolvedMention">
    <w:name w:val="Unresolved Mention"/>
    <w:basedOn w:val="DefaultParagraphFont"/>
    <w:uiPriority w:val="99"/>
    <w:semiHidden/>
    <w:unhideWhenUsed/>
    <w:rsid w:val="00816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 w:id="204887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3ce2eed06afd48e6" Type="http://schemas.openxmlformats.org/officeDocument/2006/relationships/glossaryDocument" Target="/word/glossary/document.xml"/><Relationship Id="rId10" Type="http://schemas.openxmlformats.org/officeDocument/2006/relationships/settings" Target="settings.xml"/><Relationship Id="rId19" Type="http://schemas.openxmlformats.org/officeDocument/2006/relationships/customXml" Target="../customXml/item9.xml"/><Relationship Id="rId14" Type="http://schemas.openxmlformats.org/officeDocument/2006/relationships/hyperlink" Target="http://idbdocs.iadb.org/wsdocs/getDocument.aspx?DOCNUM=ezshare-1477247141-409" TargetMode="External"/><Relationship Id="rId9" Type="http://schemas.openxmlformats.org/officeDocument/2006/relationships/styles" Target="styles.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8621e35-328e-4013-bc6d-ba7f8e00a8da}"/>
      </w:docPartPr>
      <w:docPartBody>
        <w:p w14:paraId="4C27E2A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INE/WSA</Division_x0020_or_x0020_Unit>
    <Other_x0020_Author xmlns="cdc7663a-08f0-4737-9e8c-148ce897a09c" xsi:nil="true"/>
    <IDBDocs_x0020_Number xmlns="cdc7663a-08f0-4737-9e8c-148ce897a09c">39955320</IDBDocs_x0020_Number>
    <Document_x0020_Author xmlns="cdc7663a-08f0-4737-9e8c-148ce897a09c">Garzonio, Omar Dario</Document_x0020_Author>
    <Operation_x0020_Type xmlns="cdc7663a-08f0-4737-9e8c-148ce897a09c">Loan Operation</Operation_x0020_Type>
    <TaxCatchAll xmlns="cdc7663a-08f0-4737-9e8c-148ce897a09c">
      <Value>131</Value>
      <Value>39</Value>
      <Value>26</Value>
      <Value>1</Value>
    </TaxCatchAll>
    <Fiscal_x0020_Year_x0020_IDB xmlns="cdc7663a-08f0-4737-9e8c-148ce897a09c">2019</Fiscal_x0020_Year_x0020_IDB>
    <Project_x0020_Number xmlns="cdc7663a-08f0-4737-9e8c-148ce897a09c">BO-L1200</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_dlc_DocId xmlns="cdc7663a-08f0-4737-9e8c-148ce897a09c">EZSHARE-1477247141-223</_dlc_DocId>
    <_dlc_DocIdUrl xmlns="cdc7663a-08f0-4737-9e8c-148ce897a09c">
      <Url>https://idbg.sharepoint.com/teams/EZ-BO-LON/BO-L1200/_layouts/15/DocIdRedir.aspx?ID=EZSHARE-1477247141-223</Url>
      <Description>EZSHARE-1477247141-223</Description>
    </_dlc_DocIdUrl>
    <Disclosure_x0020_Activity xmlns="cdc7663a-08f0-4737-9e8c-148ce897a09c">Electronic Links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C911A302A2C12A49954147A1EFDE8126" ma:contentTypeVersion="1600" ma:contentTypeDescription="The base project type from which other project content types inherit their information." ma:contentTypeScope="" ma:versionID="50c044e34c7712d673d5320a8eeea3aa">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911A302A2C12A49954147A1EFDE8126" ma:contentTypeVersion="1665" ma:contentTypeDescription="The base project type from which other project content types inherit their information." ma:contentTypeScope="" ma:versionID="5f771b47e4a362f32168b5d056367ccf">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4E973BA01209447AA78E9992CB26B92" ma:contentTypeVersion="1839" ma:contentTypeDescription="A content type to manage public (operations) IDB documents" ma:contentTypeScope="" ma:versionID="01325ccab9ad4d3a5f37e4e00fefaeae">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21B8BCF-2C4A-4089-8120-9B27F2384F9C}">
  <ds:schemaRefs>
    <ds:schemaRef ds:uri="http://schemas.microsoft.com/sharepoint/events"/>
  </ds:schemaRefs>
</ds:datastoreItem>
</file>

<file path=customXml/itemProps2.xml><?xml version="1.0" encoding="utf-8"?>
<ds:datastoreItem xmlns:ds="http://schemas.openxmlformats.org/officeDocument/2006/customXml" ds:itemID="{2C221671-C7EE-4A0A-91C4-41560DE10B33}">
  <ds:schemaRefs>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terms/"/>
  </ds:schemaRefs>
</ds:datastoreItem>
</file>

<file path=customXml/itemProps3.xml><?xml version="1.0" encoding="utf-8"?>
<ds:datastoreItem xmlns:ds="http://schemas.openxmlformats.org/officeDocument/2006/customXml" ds:itemID="{63B19160-E1C0-47E1-9A6F-B539FFCF7DCA}"/>
</file>

<file path=customXml/itemProps4.xml><?xml version="1.0" encoding="utf-8"?>
<ds:datastoreItem xmlns:ds="http://schemas.openxmlformats.org/officeDocument/2006/customXml" ds:itemID="{C7F276D9-D5EB-485B-993F-E58C86988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7162A1-D8E6-423F-8FD3-840E17DF0F9A}">
  <ds:schemaRefs>
    <ds:schemaRef ds:uri="http://schemas.microsoft.com/sharepoint/v3/contenttype/forms"/>
  </ds:schemaRefs>
</ds:datastoreItem>
</file>

<file path=customXml/itemProps6.xml><?xml version="1.0" encoding="utf-8"?>
<ds:datastoreItem xmlns:ds="http://schemas.openxmlformats.org/officeDocument/2006/customXml" ds:itemID="{B755DDA0-E472-4C7B-B1E3-79E9C9EA8EF2}"/>
</file>

<file path=customXml/itemProps7.xml><?xml version="1.0" encoding="utf-8"?>
<ds:datastoreItem xmlns:ds="http://schemas.openxmlformats.org/officeDocument/2006/customXml" ds:itemID="{255EC630-8AF3-4575-B878-94B4CC9EFDA3}">
  <ds:schemaRefs>
    <ds:schemaRef ds:uri="http://schemas.openxmlformats.org/officeDocument/2006/bibliography"/>
  </ds:schemaRefs>
</ds:datastoreItem>
</file>

<file path=customXml/itemProps8.xml><?xml version="1.0" encoding="utf-8"?>
<ds:datastoreItem xmlns:ds="http://schemas.openxmlformats.org/officeDocument/2006/customXml" ds:itemID="{7A2E6F41-DCCE-40F5-B4EA-AA175AF2E375}"/>
</file>

<file path=customXml/itemProps9.xml><?xml version="1.0" encoding="utf-8"?>
<ds:datastoreItem xmlns:ds="http://schemas.openxmlformats.org/officeDocument/2006/customXml" ds:itemID="{56B32F9F-A99D-4B4C-9DBE-D81821E7F0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Análisis del Cumplimiento de la PUP</dc:title>
  <dc:creator>Inter-American Development Bank</dc:creator>
  <cp:keywords/>
  <cp:lastModifiedBy>Garcia Merino, Lucio Javier</cp:lastModifiedBy>
  <cp:revision>144</cp:revision>
  <cp:lastPrinted>2015-05-19T15:05:00Z</cp:lastPrinted>
  <dcterms:created xsi:type="dcterms:W3CDTF">2015-10-19T14:06:00Z</dcterms:created>
  <dcterms:modified xsi:type="dcterms:W3CDTF">2019-03-13T16:05:09Z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7" name="Sub-Sector">
    <vt:lpwstr>131;#INTEGRAL MANAGEMENT OF WATER RESOURCES|b6095696-0808-4ea4-b0d5-c9646be8689e</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39;#WATER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32d36040-15f5-4a83-adc6-299d41301404</vt:lpwstr>
  </property>
  <property fmtid="{D5CDD505-2E9C-101B-9397-08002B2CF9AE}" pid="16" name="AuthorIds_UIVersion_4">
    <vt:lpwstr>2144</vt:lpwstr>
  </property>
  <property fmtid="{D5CDD505-2E9C-101B-9397-08002B2CF9AE}" pid="17" name="AuthorIds_UIVersion_6">
    <vt:lpwstr>99</vt:lpwstr>
  </property>
  <property fmtid="{D5CDD505-2E9C-101B-9397-08002B2CF9AE}" pid="18" name="AuthorIds_UIVersion_7">
    <vt:lpwstr>99</vt:lpwstr>
  </property>
  <property fmtid="{D5CDD505-2E9C-101B-9397-08002B2CF9AE}" pid="19" name="ContentTypeId">
    <vt:lpwstr>0x0101001A458A224826124E8B45B1D613300CFC0054E973BA01209447AA78E9992CB26B92</vt:lpwstr>
  </property>
</Properties>
</file>