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word/people.xml" ContentType="application/vnd.openxmlformats-officedocument.wordprocessingml.peopl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21D4" w:rsidRPr="007F4A23" w:rsidRDefault="00F721D4" w:rsidP="003A542A">
      <w:pPr>
        <w:pStyle w:val="SubSubPar"/>
        <w:spacing w:after="0"/>
        <w:jc w:val="center"/>
        <w:rPr>
          <w:rFonts w:ascii="Arial" w:hAnsi="Arial" w:cs="Arial"/>
          <w:smallCaps/>
          <w:sz w:val="22"/>
          <w:szCs w:val="22"/>
          <w:lang w:val="es-ES"/>
        </w:rPr>
      </w:pPr>
      <w:bookmarkStart w:id="0" w:name="_GoBack"/>
      <w:bookmarkEnd w:id="0"/>
      <w:r w:rsidRPr="007F4A23">
        <w:rPr>
          <w:rFonts w:ascii="Arial" w:hAnsi="Arial" w:cs="Arial"/>
          <w:smallCaps/>
          <w:sz w:val="22"/>
          <w:szCs w:val="22"/>
          <w:lang w:val="es-ES"/>
        </w:rPr>
        <w:t>Documento del Banco Interamericano De Desarrollo</w:t>
      </w:r>
    </w:p>
    <w:p w:rsidR="00F721D4" w:rsidRPr="007F4A23" w:rsidRDefault="00F721D4" w:rsidP="003A542A">
      <w:pPr>
        <w:rPr>
          <w:rFonts w:ascii="Arial" w:hAnsi="Arial" w:cs="Arial"/>
          <w:sz w:val="22"/>
          <w:szCs w:val="22"/>
        </w:rPr>
      </w:pPr>
    </w:p>
    <w:p w:rsidR="00F721D4" w:rsidRPr="007F4A23" w:rsidRDefault="00F721D4" w:rsidP="003A542A">
      <w:pPr>
        <w:rPr>
          <w:rFonts w:ascii="Arial" w:hAnsi="Arial" w:cs="Arial"/>
          <w:sz w:val="22"/>
          <w:szCs w:val="22"/>
        </w:rPr>
      </w:pPr>
    </w:p>
    <w:p w:rsidR="00F721D4" w:rsidRPr="007F4A23" w:rsidRDefault="00F721D4" w:rsidP="003A542A">
      <w:pPr>
        <w:rPr>
          <w:rFonts w:ascii="Arial" w:hAnsi="Arial" w:cs="Arial"/>
          <w:sz w:val="22"/>
          <w:szCs w:val="22"/>
        </w:rPr>
      </w:pPr>
    </w:p>
    <w:p w:rsidR="00F721D4" w:rsidRPr="00343AC7" w:rsidRDefault="00E318F9" w:rsidP="003A542A">
      <w:pPr>
        <w:pStyle w:val="SubSubPar"/>
        <w:spacing w:after="0"/>
        <w:jc w:val="center"/>
        <w:rPr>
          <w:rFonts w:ascii="Arial" w:hAnsi="Arial" w:cs="Arial"/>
          <w:b/>
          <w:smallCaps/>
          <w:sz w:val="28"/>
          <w:szCs w:val="28"/>
          <w:lang w:val="es-ES"/>
        </w:rPr>
      </w:pPr>
      <w:r w:rsidRPr="00343AC7">
        <w:rPr>
          <w:rFonts w:ascii="Arial" w:hAnsi="Arial" w:cs="Arial"/>
          <w:b/>
          <w:smallCaps/>
          <w:sz w:val="28"/>
          <w:szCs w:val="28"/>
          <w:lang w:val="es-ES"/>
        </w:rPr>
        <w:t>Chile</w:t>
      </w:r>
    </w:p>
    <w:p w:rsidR="00F721D4" w:rsidRPr="007F4A23" w:rsidRDefault="00F721D4" w:rsidP="003A542A">
      <w:pPr>
        <w:rPr>
          <w:rFonts w:ascii="Arial" w:hAnsi="Arial" w:cs="Arial"/>
          <w:b/>
          <w:sz w:val="22"/>
          <w:szCs w:val="22"/>
        </w:rPr>
      </w:pPr>
    </w:p>
    <w:p w:rsidR="00F721D4" w:rsidRPr="007F4A23" w:rsidRDefault="00F721D4" w:rsidP="003A542A">
      <w:pPr>
        <w:rPr>
          <w:rFonts w:ascii="Arial" w:hAnsi="Arial" w:cs="Arial"/>
          <w:b/>
          <w:sz w:val="22"/>
          <w:szCs w:val="22"/>
        </w:rPr>
      </w:pPr>
    </w:p>
    <w:p w:rsidR="00F721D4" w:rsidRPr="007F4A23" w:rsidRDefault="00F721D4" w:rsidP="003A542A">
      <w:pPr>
        <w:rPr>
          <w:rFonts w:ascii="Arial" w:hAnsi="Arial" w:cs="Arial"/>
          <w:b/>
          <w:sz w:val="22"/>
          <w:szCs w:val="22"/>
        </w:rPr>
      </w:pPr>
    </w:p>
    <w:p w:rsidR="00F721D4" w:rsidRPr="007F4A23" w:rsidRDefault="00F721D4" w:rsidP="003A542A">
      <w:pPr>
        <w:rPr>
          <w:rFonts w:ascii="Arial" w:hAnsi="Arial" w:cs="Arial"/>
          <w:b/>
          <w:sz w:val="22"/>
          <w:szCs w:val="22"/>
        </w:rPr>
      </w:pPr>
    </w:p>
    <w:p w:rsidR="00F721D4" w:rsidRPr="007F4A23" w:rsidRDefault="00F721D4" w:rsidP="003A542A">
      <w:pPr>
        <w:rPr>
          <w:rFonts w:ascii="Arial" w:hAnsi="Arial" w:cs="Arial"/>
          <w:b/>
          <w:sz w:val="22"/>
          <w:szCs w:val="22"/>
        </w:rPr>
      </w:pPr>
    </w:p>
    <w:p w:rsidR="00F721D4" w:rsidRPr="007F4A23" w:rsidRDefault="00F721D4" w:rsidP="003A542A">
      <w:pPr>
        <w:pStyle w:val="SubSubPar"/>
        <w:spacing w:after="0"/>
        <w:jc w:val="center"/>
        <w:rPr>
          <w:rFonts w:ascii="Arial" w:hAnsi="Arial" w:cs="Arial"/>
          <w:b/>
          <w:smallCaps/>
          <w:sz w:val="22"/>
          <w:szCs w:val="22"/>
          <w:lang w:val="es-ES"/>
        </w:rPr>
      </w:pPr>
    </w:p>
    <w:p w:rsidR="00F721D4" w:rsidRPr="007F4A23" w:rsidRDefault="00E318F9" w:rsidP="003A542A">
      <w:pPr>
        <w:pStyle w:val="SubSubPar"/>
        <w:spacing w:after="0"/>
        <w:jc w:val="center"/>
        <w:rPr>
          <w:rFonts w:ascii="Arial" w:hAnsi="Arial" w:cs="Arial"/>
          <w:b/>
          <w:smallCaps/>
          <w:sz w:val="22"/>
          <w:szCs w:val="22"/>
          <w:lang w:val="es-ES"/>
        </w:rPr>
      </w:pPr>
      <w:r w:rsidRPr="007F4A23">
        <w:rPr>
          <w:rFonts w:ascii="Arial" w:hAnsi="Arial" w:cs="Arial"/>
          <w:b/>
          <w:smallCaps/>
          <w:sz w:val="22"/>
          <w:szCs w:val="22"/>
          <w:lang w:val="es-ES"/>
        </w:rPr>
        <w:t xml:space="preserve">PROGRAMA </w:t>
      </w:r>
      <w:r w:rsidR="00211EE7" w:rsidRPr="007F4A23">
        <w:rPr>
          <w:rFonts w:ascii="Arial" w:hAnsi="Arial" w:cs="Arial"/>
          <w:b/>
          <w:smallCaps/>
          <w:sz w:val="22"/>
          <w:szCs w:val="22"/>
          <w:lang w:val="es-ES"/>
        </w:rPr>
        <w:t xml:space="preserve">DE </w:t>
      </w:r>
      <w:r w:rsidRPr="007F4A23">
        <w:rPr>
          <w:rFonts w:ascii="Arial" w:hAnsi="Arial" w:cs="Arial"/>
          <w:b/>
          <w:smallCaps/>
          <w:sz w:val="22"/>
          <w:szCs w:val="22"/>
          <w:lang w:val="es-ES"/>
        </w:rPr>
        <w:t>FORTALECIMIENTO DE LA GESTION DEL SECTOR EDUCATIVO</w:t>
      </w:r>
    </w:p>
    <w:p w:rsidR="00F721D4" w:rsidRPr="007F4A23" w:rsidRDefault="00F721D4" w:rsidP="003A542A">
      <w:pPr>
        <w:pStyle w:val="SubSubPar"/>
        <w:spacing w:after="0"/>
        <w:jc w:val="center"/>
        <w:rPr>
          <w:rFonts w:ascii="Arial" w:hAnsi="Arial" w:cs="Arial"/>
          <w:b/>
          <w:smallCaps/>
          <w:sz w:val="22"/>
          <w:szCs w:val="22"/>
          <w:lang w:val="es-ES"/>
        </w:rPr>
      </w:pPr>
    </w:p>
    <w:p w:rsidR="00F721D4" w:rsidRPr="007F4A23" w:rsidRDefault="00F721D4" w:rsidP="003A542A">
      <w:pPr>
        <w:pStyle w:val="SubSubPar"/>
        <w:spacing w:after="0"/>
        <w:jc w:val="center"/>
        <w:rPr>
          <w:rFonts w:ascii="Arial" w:hAnsi="Arial" w:cs="Arial"/>
          <w:b/>
          <w:smallCaps/>
          <w:sz w:val="22"/>
          <w:szCs w:val="22"/>
          <w:lang w:val="es-ES"/>
        </w:rPr>
      </w:pPr>
    </w:p>
    <w:p w:rsidR="00F721D4" w:rsidRPr="007F4A23" w:rsidRDefault="00F721D4" w:rsidP="003A542A">
      <w:pPr>
        <w:pStyle w:val="SubSubPar"/>
        <w:spacing w:after="0"/>
        <w:jc w:val="center"/>
        <w:rPr>
          <w:rFonts w:ascii="Arial" w:hAnsi="Arial" w:cs="Arial"/>
          <w:smallCaps/>
          <w:sz w:val="22"/>
          <w:szCs w:val="22"/>
          <w:lang w:val="es-ES"/>
        </w:rPr>
      </w:pPr>
      <w:r w:rsidRPr="007F4A23">
        <w:rPr>
          <w:rFonts w:ascii="Arial" w:hAnsi="Arial" w:cs="Arial"/>
          <w:b/>
          <w:smallCaps/>
          <w:sz w:val="22"/>
          <w:szCs w:val="22"/>
          <w:lang w:val="es-ES"/>
        </w:rPr>
        <w:t>(</w:t>
      </w:r>
      <w:r w:rsidR="00E318F9" w:rsidRPr="007F4A23">
        <w:rPr>
          <w:rFonts w:ascii="Arial" w:hAnsi="Arial" w:cs="Arial"/>
          <w:b/>
          <w:smallCaps/>
          <w:sz w:val="22"/>
          <w:szCs w:val="22"/>
          <w:lang w:val="es-ES"/>
        </w:rPr>
        <w:t>CH-L1081</w:t>
      </w:r>
      <w:r w:rsidRPr="007F4A23">
        <w:rPr>
          <w:rFonts w:ascii="Arial" w:hAnsi="Arial" w:cs="Arial"/>
          <w:b/>
          <w:smallCaps/>
          <w:sz w:val="22"/>
          <w:szCs w:val="22"/>
          <w:lang w:val="es-ES"/>
        </w:rPr>
        <w:t>)</w:t>
      </w:r>
    </w:p>
    <w:p w:rsidR="00EB4688" w:rsidRPr="007F4A23" w:rsidRDefault="00EB4688" w:rsidP="003A542A">
      <w:pPr>
        <w:rPr>
          <w:rFonts w:ascii="Arial" w:hAnsi="Arial" w:cs="Arial"/>
          <w:sz w:val="22"/>
          <w:szCs w:val="22"/>
        </w:rPr>
      </w:pPr>
    </w:p>
    <w:p w:rsidR="00F721D4" w:rsidRPr="007F4A23" w:rsidRDefault="00F721D4" w:rsidP="003A542A">
      <w:pPr>
        <w:rPr>
          <w:rFonts w:ascii="Arial" w:hAnsi="Arial" w:cs="Arial"/>
          <w:sz w:val="22"/>
          <w:szCs w:val="22"/>
        </w:rPr>
      </w:pPr>
    </w:p>
    <w:p w:rsidR="00F721D4" w:rsidRPr="007F4A23" w:rsidRDefault="00F721D4" w:rsidP="003A542A">
      <w:pPr>
        <w:rPr>
          <w:rFonts w:ascii="Arial" w:hAnsi="Arial" w:cs="Arial"/>
          <w:sz w:val="22"/>
          <w:szCs w:val="22"/>
        </w:rPr>
      </w:pPr>
    </w:p>
    <w:p w:rsidR="00EB4688" w:rsidRPr="007F4A23" w:rsidRDefault="00EB4688" w:rsidP="003A542A">
      <w:pPr>
        <w:pStyle w:val="SubSubPar"/>
        <w:spacing w:after="0"/>
        <w:jc w:val="center"/>
        <w:rPr>
          <w:rFonts w:ascii="Arial" w:hAnsi="Arial" w:cs="Arial"/>
          <w:b/>
          <w:smallCaps/>
          <w:sz w:val="22"/>
          <w:szCs w:val="22"/>
          <w:lang w:val="es-ES"/>
        </w:rPr>
      </w:pPr>
      <w:r w:rsidRPr="007F4A23">
        <w:rPr>
          <w:rFonts w:ascii="Arial" w:hAnsi="Arial" w:cs="Arial"/>
          <w:b/>
          <w:smallCaps/>
          <w:sz w:val="22"/>
          <w:szCs w:val="22"/>
          <w:lang w:val="es-ES"/>
        </w:rPr>
        <w:t>Análisis Económico</w:t>
      </w:r>
    </w:p>
    <w:p w:rsidR="00EB4688" w:rsidRPr="007F4A23" w:rsidRDefault="00EB4688" w:rsidP="00EA548C">
      <w:pPr>
        <w:pStyle w:val="ListParagraph"/>
        <w:rPr>
          <w:rFonts w:ascii="Arial" w:hAnsi="Arial" w:cs="Arial"/>
        </w:rPr>
      </w:pPr>
    </w:p>
    <w:p w:rsidR="00EB4688" w:rsidRPr="007F4A23" w:rsidRDefault="00EB4688" w:rsidP="003A542A">
      <w:pPr>
        <w:pStyle w:val="ListParagraph"/>
        <w:rPr>
          <w:rFonts w:ascii="Arial" w:hAnsi="Arial" w:cs="Arial"/>
        </w:rPr>
      </w:pPr>
    </w:p>
    <w:p w:rsidR="00EB4688" w:rsidRPr="007F4A23" w:rsidRDefault="00EB4688" w:rsidP="003A542A">
      <w:pPr>
        <w:pStyle w:val="ListParagraph"/>
        <w:rPr>
          <w:rFonts w:ascii="Arial" w:hAnsi="Arial" w:cs="Arial"/>
        </w:rPr>
      </w:pPr>
    </w:p>
    <w:p w:rsidR="00E66B7B" w:rsidRPr="007F4A23" w:rsidRDefault="00E66B7B" w:rsidP="003A542A">
      <w:pPr>
        <w:pStyle w:val="ListParagraph"/>
        <w:rPr>
          <w:rFonts w:ascii="Arial" w:hAnsi="Arial" w:cs="Arial"/>
        </w:rPr>
      </w:pPr>
    </w:p>
    <w:p w:rsidR="00E66B7B" w:rsidRPr="007F4A23" w:rsidRDefault="00E66B7B" w:rsidP="003A542A">
      <w:pPr>
        <w:pStyle w:val="ListParagraph"/>
        <w:rPr>
          <w:rFonts w:ascii="Arial" w:hAnsi="Arial" w:cs="Arial"/>
        </w:rPr>
      </w:pPr>
    </w:p>
    <w:p w:rsidR="00EB4688" w:rsidRPr="007F4A23" w:rsidRDefault="00EB4688" w:rsidP="003A542A">
      <w:pPr>
        <w:rPr>
          <w:rFonts w:ascii="Arial" w:hAnsi="Arial" w:cs="Arial"/>
          <w:sz w:val="22"/>
          <w:szCs w:val="22"/>
        </w:rPr>
      </w:pPr>
    </w:p>
    <w:p w:rsidR="00B457E1" w:rsidRPr="007F4A23" w:rsidRDefault="00B457E1" w:rsidP="003A542A">
      <w:pPr>
        <w:rPr>
          <w:rFonts w:ascii="Arial" w:hAnsi="Arial" w:cs="Arial"/>
          <w:sz w:val="22"/>
          <w:szCs w:val="22"/>
        </w:rPr>
      </w:pPr>
    </w:p>
    <w:p w:rsidR="00B457E1" w:rsidRPr="007F4A23" w:rsidRDefault="00B457E1" w:rsidP="003A542A">
      <w:pPr>
        <w:rPr>
          <w:rFonts w:ascii="Arial" w:hAnsi="Arial" w:cs="Arial"/>
          <w:sz w:val="22"/>
          <w:szCs w:val="22"/>
        </w:rPr>
      </w:pPr>
    </w:p>
    <w:p w:rsidR="00B457E1" w:rsidRPr="007F4A23" w:rsidRDefault="00B457E1" w:rsidP="003A542A">
      <w:pPr>
        <w:rPr>
          <w:rFonts w:ascii="Arial" w:hAnsi="Arial" w:cs="Arial"/>
          <w:sz w:val="22"/>
          <w:szCs w:val="22"/>
        </w:rPr>
      </w:pPr>
    </w:p>
    <w:p w:rsidR="00B457E1" w:rsidRPr="007F4A23" w:rsidRDefault="00B457E1" w:rsidP="003A542A">
      <w:pPr>
        <w:rPr>
          <w:rFonts w:ascii="Arial" w:hAnsi="Arial" w:cs="Arial"/>
          <w:sz w:val="22"/>
          <w:szCs w:val="22"/>
        </w:rPr>
      </w:pPr>
    </w:p>
    <w:p w:rsidR="00B457E1" w:rsidRPr="007F4A23" w:rsidRDefault="00B457E1" w:rsidP="003A542A">
      <w:pPr>
        <w:rPr>
          <w:rFonts w:ascii="Arial" w:hAnsi="Arial" w:cs="Arial"/>
          <w:sz w:val="22"/>
          <w:szCs w:val="22"/>
        </w:rPr>
      </w:pPr>
    </w:p>
    <w:p w:rsidR="00EB4688" w:rsidRPr="007F4A23" w:rsidRDefault="00EB4688" w:rsidP="003A542A">
      <w:pPr>
        <w:rPr>
          <w:rFonts w:ascii="Arial" w:hAnsi="Arial" w:cs="Arial"/>
          <w:sz w:val="22"/>
          <w:szCs w:val="22"/>
        </w:rPr>
      </w:pPr>
    </w:p>
    <w:p w:rsidR="00EB4688" w:rsidRPr="007F4A23" w:rsidRDefault="00EB4688" w:rsidP="00AA1609">
      <w:pPr>
        <w:pStyle w:val="BodyText"/>
        <w:pBdr>
          <w:top w:val="single" w:sz="4" w:space="1" w:color="auto"/>
          <w:left w:val="single" w:sz="4" w:space="4" w:color="auto"/>
          <w:bottom w:val="single" w:sz="4" w:space="1" w:color="auto"/>
          <w:right w:val="single" w:sz="4" w:space="4" w:color="auto"/>
        </w:pBdr>
        <w:rPr>
          <w:rFonts w:ascii="Arial" w:hAnsi="Arial" w:cs="Arial"/>
          <w:b/>
          <w:sz w:val="22"/>
          <w:szCs w:val="22"/>
        </w:rPr>
      </w:pPr>
      <w:r w:rsidRPr="007F4A23">
        <w:rPr>
          <w:rFonts w:ascii="Arial" w:hAnsi="Arial" w:cs="Arial"/>
          <w:sz w:val="22"/>
          <w:szCs w:val="22"/>
        </w:rPr>
        <w:t>Este do</w:t>
      </w:r>
      <w:r w:rsidR="00B40528" w:rsidRPr="007F4A23">
        <w:rPr>
          <w:rFonts w:ascii="Arial" w:hAnsi="Arial" w:cs="Arial"/>
          <w:sz w:val="22"/>
          <w:szCs w:val="22"/>
        </w:rPr>
        <w:t xml:space="preserve">cumento ha sido preparado por: </w:t>
      </w:r>
      <w:r w:rsidR="00E318F9" w:rsidRPr="007F4A23">
        <w:rPr>
          <w:rFonts w:ascii="Arial" w:hAnsi="Arial" w:cs="Arial"/>
          <w:sz w:val="22"/>
          <w:szCs w:val="22"/>
        </w:rPr>
        <w:t>Rodrigo Salas</w:t>
      </w:r>
      <w:r w:rsidR="00B40528" w:rsidRPr="007F4A23">
        <w:rPr>
          <w:rFonts w:ascii="Arial" w:hAnsi="Arial" w:cs="Arial"/>
          <w:sz w:val="22"/>
          <w:szCs w:val="22"/>
        </w:rPr>
        <w:t xml:space="preserve"> (</w:t>
      </w:r>
      <w:r w:rsidRPr="007F4A23">
        <w:rPr>
          <w:rFonts w:ascii="Arial" w:hAnsi="Arial" w:cs="Arial"/>
          <w:sz w:val="22"/>
          <w:szCs w:val="22"/>
        </w:rPr>
        <w:t xml:space="preserve">Consultor) bajo la supervisión de </w:t>
      </w:r>
      <w:r w:rsidR="000C2733" w:rsidRPr="007F4A23">
        <w:rPr>
          <w:rFonts w:ascii="Arial" w:hAnsi="Arial" w:cs="Arial"/>
          <w:sz w:val="22"/>
          <w:szCs w:val="22"/>
        </w:rPr>
        <w:t>Analía Jaimovic</w:t>
      </w:r>
      <w:r w:rsidR="00404076" w:rsidRPr="007F4A23">
        <w:rPr>
          <w:rFonts w:ascii="Arial" w:hAnsi="Arial" w:cs="Arial"/>
          <w:sz w:val="22"/>
          <w:szCs w:val="22"/>
        </w:rPr>
        <w:t>h</w:t>
      </w:r>
      <w:r w:rsidR="000C2733" w:rsidRPr="007F4A23">
        <w:rPr>
          <w:rFonts w:ascii="Arial" w:hAnsi="Arial" w:cs="Arial"/>
          <w:sz w:val="22"/>
          <w:szCs w:val="22"/>
        </w:rPr>
        <w:t xml:space="preserve"> </w:t>
      </w:r>
      <w:r w:rsidRPr="007F4A23">
        <w:rPr>
          <w:rFonts w:ascii="Arial" w:hAnsi="Arial" w:cs="Arial"/>
          <w:sz w:val="22"/>
          <w:szCs w:val="22"/>
        </w:rPr>
        <w:t>(EDU/</w:t>
      </w:r>
      <w:r w:rsidR="00404076" w:rsidRPr="007F4A23">
        <w:rPr>
          <w:rFonts w:ascii="Arial" w:hAnsi="Arial" w:cs="Arial"/>
          <w:sz w:val="22"/>
          <w:szCs w:val="22"/>
        </w:rPr>
        <w:t>CCH</w:t>
      </w:r>
      <w:r w:rsidR="00B40528" w:rsidRPr="007F4A23">
        <w:rPr>
          <w:rFonts w:ascii="Arial" w:hAnsi="Arial" w:cs="Arial"/>
          <w:sz w:val="22"/>
          <w:szCs w:val="22"/>
        </w:rPr>
        <w:t>)</w:t>
      </w:r>
      <w:r w:rsidR="000C2733" w:rsidRPr="007F4A23">
        <w:rPr>
          <w:rFonts w:ascii="Arial" w:hAnsi="Arial" w:cs="Arial"/>
          <w:sz w:val="22"/>
          <w:szCs w:val="22"/>
        </w:rPr>
        <w:t xml:space="preserve"> y Jesús Duarte (EDU/SCL).</w:t>
      </w:r>
    </w:p>
    <w:p w:rsidR="00381F3E" w:rsidRPr="007F4A23" w:rsidRDefault="00F721D4" w:rsidP="00821A0A">
      <w:pPr>
        <w:pStyle w:val="Heading1"/>
        <w:rPr>
          <w:rFonts w:ascii="Arial" w:hAnsi="Arial" w:cs="Arial"/>
          <w:sz w:val="22"/>
          <w:szCs w:val="22"/>
        </w:rPr>
      </w:pPr>
      <w:r w:rsidRPr="007F4A23">
        <w:rPr>
          <w:rFonts w:ascii="Arial" w:hAnsi="Arial" w:cs="Arial"/>
          <w:sz w:val="22"/>
          <w:szCs w:val="22"/>
        </w:rPr>
        <w:br w:type="page"/>
      </w:r>
      <w:r w:rsidR="00C67D0E" w:rsidRPr="007F4A23">
        <w:rPr>
          <w:rFonts w:ascii="Arial" w:hAnsi="Arial" w:cs="Arial"/>
          <w:sz w:val="22"/>
          <w:szCs w:val="22"/>
        </w:rPr>
        <w:lastRenderedPageBreak/>
        <w:t>Introducción</w:t>
      </w:r>
    </w:p>
    <w:p w:rsidR="003A30D0" w:rsidRPr="007F4A23" w:rsidRDefault="006308E2" w:rsidP="003A542A">
      <w:pPr>
        <w:rPr>
          <w:rFonts w:ascii="Arial" w:hAnsi="Arial" w:cs="Arial"/>
          <w:sz w:val="22"/>
          <w:szCs w:val="22"/>
        </w:rPr>
      </w:pPr>
      <w:r w:rsidRPr="007F4A23">
        <w:rPr>
          <w:rFonts w:ascii="Arial" w:hAnsi="Arial" w:cs="Arial"/>
          <w:sz w:val="22"/>
          <w:szCs w:val="22"/>
        </w:rPr>
        <w:t xml:space="preserve">Este documento presenta el análisis económico ex ante del “Programa Fortalecimiento de la Gestión del Sector Educativo” (CH-L1081), cuya ejecución se tiene prevista para el período </w:t>
      </w:r>
      <w:r w:rsidR="000C2733" w:rsidRPr="007F4A23">
        <w:rPr>
          <w:rFonts w:ascii="Arial" w:hAnsi="Arial" w:cs="Arial"/>
          <w:sz w:val="22"/>
          <w:szCs w:val="22"/>
        </w:rPr>
        <w:t>2016</w:t>
      </w:r>
      <w:r w:rsidRPr="007F4A23">
        <w:rPr>
          <w:rFonts w:ascii="Arial" w:hAnsi="Arial" w:cs="Arial"/>
          <w:sz w:val="22"/>
          <w:szCs w:val="22"/>
        </w:rPr>
        <w:t>-</w:t>
      </w:r>
      <w:r w:rsidR="000C2733" w:rsidRPr="007F4A23">
        <w:rPr>
          <w:rFonts w:ascii="Arial" w:hAnsi="Arial" w:cs="Arial"/>
          <w:sz w:val="22"/>
          <w:szCs w:val="22"/>
        </w:rPr>
        <w:t>2019</w:t>
      </w:r>
      <w:r w:rsidRPr="007F4A23">
        <w:rPr>
          <w:rFonts w:ascii="Arial" w:hAnsi="Arial" w:cs="Arial"/>
          <w:sz w:val="22"/>
          <w:szCs w:val="22"/>
        </w:rPr>
        <w:t>. El análisis se lleva a cabo mediante la metodología de costo-beneficio.</w:t>
      </w:r>
    </w:p>
    <w:p w:rsidR="004C514F" w:rsidRPr="007F4A23" w:rsidRDefault="004C514F" w:rsidP="004C514F">
      <w:pPr>
        <w:rPr>
          <w:rFonts w:ascii="Arial" w:hAnsi="Arial" w:cs="Arial"/>
          <w:sz w:val="22"/>
          <w:szCs w:val="22"/>
        </w:rPr>
      </w:pPr>
      <w:r w:rsidRPr="00343AC7">
        <w:rPr>
          <w:rFonts w:ascii="Arial" w:hAnsi="Arial" w:cs="Arial"/>
          <w:sz w:val="22"/>
          <w:szCs w:val="22"/>
        </w:rPr>
        <w:t>El programa tiene como objetivo</w:t>
      </w:r>
      <w:r w:rsidR="006F3125">
        <w:rPr>
          <w:rFonts w:ascii="Arial" w:hAnsi="Arial" w:cs="Arial"/>
          <w:sz w:val="22"/>
          <w:szCs w:val="22"/>
        </w:rPr>
        <w:t xml:space="preserve"> </w:t>
      </w:r>
      <w:r w:rsidR="006F3125" w:rsidRPr="006F3125">
        <w:rPr>
          <w:rFonts w:ascii="Arial" w:hAnsi="Arial" w:cs="Arial"/>
          <w:sz w:val="22"/>
          <w:szCs w:val="22"/>
        </w:rPr>
        <w:t>del programa es mejorar la calidad del sistema de  la educación pública en Chile a través del fortalecimiento y/o creación de capacidades de liderazgo y soporte técnico-pedagógico a nivel central y local de dicho sistema</w:t>
      </w:r>
      <w:r w:rsidRPr="00343AC7">
        <w:rPr>
          <w:rFonts w:ascii="Arial" w:hAnsi="Arial" w:cs="Arial"/>
          <w:sz w:val="22"/>
          <w:szCs w:val="22"/>
        </w:rPr>
        <w:t xml:space="preserve">. </w:t>
      </w:r>
      <w:r w:rsidR="00530876">
        <w:rPr>
          <w:rFonts w:ascii="Arial" w:hAnsi="Arial" w:cs="Arial"/>
          <w:sz w:val="22"/>
          <w:szCs w:val="22"/>
        </w:rPr>
        <w:t xml:space="preserve">El programa tiene una </w:t>
      </w:r>
      <w:r w:rsidR="002B7A0D" w:rsidRPr="00343AC7">
        <w:rPr>
          <w:rFonts w:ascii="Arial" w:hAnsi="Arial" w:cs="Arial"/>
          <w:sz w:val="22"/>
          <w:szCs w:val="22"/>
        </w:rPr>
        <w:t xml:space="preserve">estructura de </w:t>
      </w:r>
      <w:r w:rsidR="00157DE1">
        <w:rPr>
          <w:rFonts w:ascii="Arial" w:hAnsi="Arial" w:cs="Arial"/>
          <w:sz w:val="22"/>
          <w:szCs w:val="22"/>
        </w:rPr>
        <w:t>tres</w:t>
      </w:r>
      <w:r w:rsidR="002B7A0D" w:rsidRPr="00343AC7">
        <w:rPr>
          <w:rFonts w:ascii="Arial" w:hAnsi="Arial" w:cs="Arial"/>
          <w:sz w:val="22"/>
          <w:szCs w:val="22"/>
        </w:rPr>
        <w:t xml:space="preserve"> componentes</w:t>
      </w:r>
      <w:r w:rsidRPr="00343AC7">
        <w:rPr>
          <w:rFonts w:ascii="Arial" w:hAnsi="Arial" w:cs="Arial"/>
          <w:sz w:val="22"/>
          <w:szCs w:val="22"/>
        </w:rPr>
        <w:t>:</w:t>
      </w:r>
      <w:r w:rsidRPr="007F4A23">
        <w:rPr>
          <w:rFonts w:ascii="Arial" w:hAnsi="Arial" w:cs="Arial"/>
          <w:sz w:val="22"/>
          <w:szCs w:val="22"/>
        </w:rPr>
        <w:t xml:space="preserve"> </w:t>
      </w:r>
    </w:p>
    <w:p w:rsidR="002B7A0D" w:rsidRPr="007F4A23" w:rsidRDefault="000C2733" w:rsidP="000C2733">
      <w:pPr>
        <w:numPr>
          <w:ilvl w:val="0"/>
          <w:numId w:val="27"/>
        </w:numPr>
        <w:rPr>
          <w:rFonts w:ascii="Arial" w:hAnsi="Arial" w:cs="Arial"/>
          <w:sz w:val="22"/>
          <w:szCs w:val="22"/>
        </w:rPr>
      </w:pPr>
      <w:r w:rsidRPr="007F4A23">
        <w:rPr>
          <w:rFonts w:ascii="Arial" w:hAnsi="Arial" w:cs="Arial"/>
          <w:sz w:val="22"/>
          <w:szCs w:val="22"/>
        </w:rPr>
        <w:t>Establecimiento de una unidad coordinadora de la implementación de la nueva institucionalidad de la educación pública en el MINEDUC. El objetivo de este componente es mejorar la capacidad del MINEDUC a nivel central para ejercer las funciones de ente rector de las políticas y directrices nacionales en torno a la educación pública y de responsable de supervigilar la gestión educacional en la provisión, los resultados y la gestión administrativa y financiera de los sostenedores públicos locales y de los establecimientos educativos públicos del país.</w:t>
      </w:r>
    </w:p>
    <w:p w:rsidR="002B7A0D" w:rsidRPr="007F4A23" w:rsidRDefault="000C2733" w:rsidP="000C2733">
      <w:pPr>
        <w:numPr>
          <w:ilvl w:val="0"/>
          <w:numId w:val="27"/>
        </w:numPr>
        <w:rPr>
          <w:rFonts w:ascii="Arial" w:hAnsi="Arial" w:cs="Arial"/>
          <w:sz w:val="22"/>
          <w:szCs w:val="22"/>
        </w:rPr>
      </w:pPr>
      <w:r w:rsidRPr="007F4A23">
        <w:rPr>
          <w:rFonts w:ascii="Arial" w:hAnsi="Arial" w:cs="Arial"/>
          <w:sz w:val="22"/>
          <w:szCs w:val="22"/>
        </w:rPr>
        <w:t>Preparación de la transición hacia la nueva institucionalidad a nivel local. Este componente está orientado a preparar el proceso de transición hacia una nueva institucionalidad a nivel local, fortaleciendo capacidades locales e instalando gradualmente los procesos que serán de responsabilidad local en la nueva institucionalidad de la educación pública. El componente diseñará e implementará modelos de gestión local de la educación pública en 31 territorios a lo largo de la vida del programa.</w:t>
      </w:r>
    </w:p>
    <w:p w:rsidR="003A542A" w:rsidRPr="007F4A23" w:rsidRDefault="00EA068F" w:rsidP="00EA068F">
      <w:pPr>
        <w:numPr>
          <w:ilvl w:val="0"/>
          <w:numId w:val="27"/>
        </w:numPr>
        <w:rPr>
          <w:rFonts w:ascii="Arial" w:hAnsi="Arial" w:cs="Arial"/>
          <w:sz w:val="22"/>
          <w:szCs w:val="22"/>
        </w:rPr>
      </w:pPr>
      <w:r w:rsidRPr="007F4A23">
        <w:rPr>
          <w:rFonts w:ascii="Arial" w:hAnsi="Arial" w:cs="Arial"/>
          <w:sz w:val="22"/>
          <w:szCs w:val="22"/>
        </w:rPr>
        <w:t>Fortalecimiento de la coordinación interinstitucional y generación de capacidades para la implementación de la nueva institucionalidad.  Este componente tiene como objetivo fortalecer la coordinación interinstitucional entre el MINEDUC y otras instituciones del Sistema de Aseguramiento de la Calidad (en particular la Agencia de Calidad y la Superintendencia de Educación) para facilitar la implementación de procesos de mejora continua de la educación pública en el marco de la nueva institucionalidad.</w:t>
      </w:r>
    </w:p>
    <w:p w:rsidR="002D4E2A" w:rsidRPr="007F4A23" w:rsidRDefault="002D4E2A" w:rsidP="003A542A">
      <w:pPr>
        <w:rPr>
          <w:rFonts w:ascii="Arial" w:hAnsi="Arial" w:cs="Arial"/>
          <w:sz w:val="22"/>
          <w:szCs w:val="22"/>
        </w:rPr>
      </w:pPr>
      <w:r w:rsidRPr="007F4A23">
        <w:rPr>
          <w:rFonts w:ascii="Arial" w:hAnsi="Arial" w:cs="Arial"/>
          <w:sz w:val="22"/>
          <w:szCs w:val="22"/>
        </w:rPr>
        <w:t xml:space="preserve">Considerando la naturaleza del Programa el análisis de rentabilidad social del Programa que se detalla en las líneas siguientes se efectúa cuantificando </w:t>
      </w:r>
      <w:r w:rsidR="00CB2A37" w:rsidRPr="007F4A23">
        <w:rPr>
          <w:rFonts w:ascii="Arial" w:hAnsi="Arial" w:cs="Arial"/>
          <w:sz w:val="22"/>
          <w:szCs w:val="22"/>
        </w:rPr>
        <w:t xml:space="preserve">sus </w:t>
      </w:r>
      <w:r w:rsidRPr="007F4A23">
        <w:rPr>
          <w:rFonts w:ascii="Arial" w:hAnsi="Arial" w:cs="Arial"/>
          <w:sz w:val="22"/>
          <w:szCs w:val="22"/>
        </w:rPr>
        <w:t>costos y beneficios sin distinguir entre sus componentes ya que se trata de acciones de mejoramiento institucional cuyos beneficiarios finales son la totalidad de los estudiantes de los establecimientos que comiencen a operar bajo la nueva institucionalidad.</w:t>
      </w:r>
    </w:p>
    <w:p w:rsidR="003A30D0" w:rsidRPr="007F4A23" w:rsidRDefault="008D22FC" w:rsidP="003A542A">
      <w:pPr>
        <w:rPr>
          <w:rFonts w:ascii="Arial" w:hAnsi="Arial" w:cs="Arial"/>
          <w:sz w:val="22"/>
          <w:szCs w:val="22"/>
        </w:rPr>
      </w:pPr>
      <w:r w:rsidRPr="00343AC7">
        <w:rPr>
          <w:rFonts w:ascii="Arial" w:hAnsi="Arial" w:cs="Arial"/>
          <w:sz w:val="22"/>
          <w:szCs w:val="22"/>
        </w:rPr>
        <w:t xml:space="preserve">Se espera que </w:t>
      </w:r>
      <w:r w:rsidR="005002EE" w:rsidRPr="00343AC7">
        <w:rPr>
          <w:rFonts w:ascii="Arial" w:hAnsi="Arial" w:cs="Arial"/>
          <w:sz w:val="22"/>
          <w:szCs w:val="22"/>
        </w:rPr>
        <w:t>las mejoras de calidad asociadas al</w:t>
      </w:r>
      <w:r w:rsidRPr="00343AC7">
        <w:rPr>
          <w:rFonts w:ascii="Arial" w:hAnsi="Arial" w:cs="Arial"/>
          <w:sz w:val="22"/>
          <w:szCs w:val="22"/>
        </w:rPr>
        <w:t xml:space="preserve"> cambio en el modelo de gestión de la Educación Pública </w:t>
      </w:r>
      <w:r w:rsidR="00103F0C" w:rsidRPr="00343AC7">
        <w:rPr>
          <w:rFonts w:ascii="Arial" w:hAnsi="Arial" w:cs="Arial"/>
          <w:sz w:val="22"/>
          <w:szCs w:val="22"/>
        </w:rPr>
        <w:t>p</w:t>
      </w:r>
      <w:r w:rsidRPr="00343AC7">
        <w:rPr>
          <w:rFonts w:ascii="Arial" w:hAnsi="Arial" w:cs="Arial"/>
          <w:sz w:val="22"/>
          <w:szCs w:val="22"/>
        </w:rPr>
        <w:t xml:space="preserve">rimaria y </w:t>
      </w:r>
      <w:r w:rsidR="00103F0C" w:rsidRPr="00343AC7">
        <w:rPr>
          <w:rFonts w:ascii="Arial" w:hAnsi="Arial" w:cs="Arial"/>
          <w:sz w:val="22"/>
          <w:szCs w:val="22"/>
        </w:rPr>
        <w:t>s</w:t>
      </w:r>
      <w:r w:rsidRPr="00343AC7">
        <w:rPr>
          <w:rFonts w:ascii="Arial" w:hAnsi="Arial" w:cs="Arial"/>
          <w:sz w:val="22"/>
          <w:szCs w:val="22"/>
        </w:rPr>
        <w:t>ecundaria contribu</w:t>
      </w:r>
      <w:r w:rsidR="00103F0C" w:rsidRPr="00343AC7">
        <w:rPr>
          <w:rFonts w:ascii="Arial" w:hAnsi="Arial" w:cs="Arial"/>
          <w:sz w:val="22"/>
          <w:szCs w:val="22"/>
        </w:rPr>
        <w:t>yan a disminuir las tasas de repitencia, a mejorar las tasas de promoción y a incrementar la tasa de terminación del  ciclo de secundaria. (Repitencia, promoción y terminación de ciclos son variables asociadas con calidad de la enseñanza). Esto a su vez generará dos beneficios. P</w:t>
      </w:r>
      <w:r w:rsidR="002D4E2A" w:rsidRPr="00343AC7">
        <w:rPr>
          <w:rFonts w:ascii="Arial" w:hAnsi="Arial" w:cs="Arial"/>
          <w:sz w:val="22"/>
          <w:szCs w:val="22"/>
        </w:rPr>
        <w:t xml:space="preserve">rimero, un número mayor de individuos que ingresan de la educación terciaria y por consiguiente, de mantenerse las actuales tasas de titulación en dicho nivel educacional, una mayor cantidad de sujetos accediendo a mayores ingresos producto de haber alcanzado </w:t>
      </w:r>
      <w:r w:rsidR="00151074" w:rsidRPr="00343AC7">
        <w:rPr>
          <w:rFonts w:ascii="Arial" w:hAnsi="Arial" w:cs="Arial"/>
          <w:sz w:val="22"/>
          <w:szCs w:val="22"/>
        </w:rPr>
        <w:t xml:space="preserve">un </w:t>
      </w:r>
      <w:r w:rsidR="002D4E2A" w:rsidRPr="00343AC7">
        <w:rPr>
          <w:rFonts w:ascii="Arial" w:hAnsi="Arial" w:cs="Arial"/>
          <w:sz w:val="22"/>
          <w:szCs w:val="22"/>
        </w:rPr>
        <w:t>nivel educacional de educación terciara completa o incompleta.</w:t>
      </w:r>
      <w:r w:rsidR="00D038C0" w:rsidRPr="00343AC7">
        <w:rPr>
          <w:rFonts w:ascii="Arial" w:hAnsi="Arial" w:cs="Arial"/>
          <w:sz w:val="22"/>
          <w:szCs w:val="22"/>
        </w:rPr>
        <w:t xml:space="preserve"> Segundo, por concepto de reducción en las tasas de repetición tanto en educación primaria como secundaria</w:t>
      </w:r>
      <w:r w:rsidR="002831B0" w:rsidRPr="00343AC7">
        <w:rPr>
          <w:rFonts w:ascii="Arial" w:hAnsi="Arial" w:cs="Arial"/>
          <w:sz w:val="22"/>
          <w:szCs w:val="22"/>
        </w:rPr>
        <w:t xml:space="preserve"> y el consiguiente ahorro en costos de operación del sistema para volver a entregar prestaciones educacionales a los repitentes</w:t>
      </w:r>
      <w:r w:rsidR="00D038C0" w:rsidRPr="00343AC7">
        <w:rPr>
          <w:rFonts w:ascii="Arial" w:hAnsi="Arial" w:cs="Arial"/>
          <w:sz w:val="22"/>
          <w:szCs w:val="22"/>
        </w:rPr>
        <w:t>.</w:t>
      </w:r>
    </w:p>
    <w:p w:rsidR="003A2A6A" w:rsidRPr="007F4A23" w:rsidRDefault="00D038C0" w:rsidP="003A542A">
      <w:pPr>
        <w:rPr>
          <w:rFonts w:ascii="Arial" w:hAnsi="Arial" w:cs="Arial"/>
          <w:sz w:val="22"/>
          <w:szCs w:val="22"/>
        </w:rPr>
      </w:pPr>
      <w:r w:rsidRPr="007F4A23">
        <w:rPr>
          <w:rFonts w:ascii="Arial" w:hAnsi="Arial" w:cs="Arial"/>
          <w:sz w:val="22"/>
          <w:szCs w:val="22"/>
        </w:rPr>
        <w:lastRenderedPageBreak/>
        <w:t xml:space="preserve">El análisis de rentabilidad considera tres escenarios </w:t>
      </w:r>
      <w:r w:rsidR="002831B0" w:rsidRPr="007F4A23">
        <w:rPr>
          <w:rFonts w:ascii="Arial" w:hAnsi="Arial" w:cs="Arial"/>
          <w:sz w:val="22"/>
          <w:szCs w:val="22"/>
        </w:rPr>
        <w:t xml:space="preserve">para la estimación de los beneficios directos del programa </w:t>
      </w:r>
      <w:r w:rsidRPr="007F4A23">
        <w:rPr>
          <w:rFonts w:ascii="Arial" w:hAnsi="Arial" w:cs="Arial"/>
          <w:sz w:val="22"/>
          <w:szCs w:val="22"/>
        </w:rPr>
        <w:t>en los cuales se parte del supuesto de una reducción de 0,5% en la tasa de repetición en los niveles de media y básica. Un escenario pesimista en que sólo se produc</w:t>
      </w:r>
      <w:r w:rsidR="003B47DE" w:rsidRPr="007F4A23">
        <w:rPr>
          <w:rFonts w:ascii="Arial" w:hAnsi="Arial" w:cs="Arial"/>
          <w:sz w:val="22"/>
          <w:szCs w:val="22"/>
        </w:rPr>
        <w:t>e un 2</w:t>
      </w:r>
      <w:r w:rsidRPr="007F4A23">
        <w:rPr>
          <w:rFonts w:ascii="Arial" w:hAnsi="Arial" w:cs="Arial"/>
          <w:sz w:val="22"/>
          <w:szCs w:val="22"/>
        </w:rPr>
        <w:t xml:space="preserve">% de aumento en la cantidad de sujetos que ingresa a la educación superior, un escenario moderado en que la misma proporción alcanza un </w:t>
      </w:r>
      <w:r w:rsidR="009715D0" w:rsidRPr="007F4A23">
        <w:rPr>
          <w:rFonts w:ascii="Arial" w:hAnsi="Arial" w:cs="Arial"/>
          <w:sz w:val="22"/>
          <w:szCs w:val="22"/>
        </w:rPr>
        <w:t>5</w:t>
      </w:r>
      <w:r w:rsidRPr="007F4A23">
        <w:rPr>
          <w:rFonts w:ascii="Arial" w:hAnsi="Arial" w:cs="Arial"/>
          <w:sz w:val="22"/>
          <w:szCs w:val="22"/>
        </w:rPr>
        <w:t>% y finalmente un escenario optimista en que se produce un aumento de 1</w:t>
      </w:r>
      <w:r w:rsidR="009715D0" w:rsidRPr="007F4A23">
        <w:rPr>
          <w:rFonts w:ascii="Arial" w:hAnsi="Arial" w:cs="Arial"/>
          <w:sz w:val="22"/>
          <w:szCs w:val="22"/>
        </w:rPr>
        <w:t>0</w:t>
      </w:r>
      <w:r w:rsidRPr="007F4A23">
        <w:rPr>
          <w:rFonts w:ascii="Arial" w:hAnsi="Arial" w:cs="Arial"/>
          <w:sz w:val="22"/>
          <w:szCs w:val="22"/>
        </w:rPr>
        <w:t>% en la cantidad de sujetos de los establecimientos incorporados al programa que ingresan a la educación terciaria.</w:t>
      </w:r>
    </w:p>
    <w:p w:rsidR="003A30D0" w:rsidRPr="007F4A23" w:rsidRDefault="003A30D0" w:rsidP="00821A0A">
      <w:pPr>
        <w:pStyle w:val="Heading1"/>
        <w:rPr>
          <w:rFonts w:ascii="Arial" w:hAnsi="Arial" w:cs="Arial"/>
          <w:sz w:val="22"/>
          <w:szCs w:val="22"/>
        </w:rPr>
      </w:pPr>
      <w:r w:rsidRPr="007F4A23">
        <w:rPr>
          <w:rFonts w:ascii="Arial" w:hAnsi="Arial" w:cs="Arial"/>
          <w:sz w:val="22"/>
          <w:szCs w:val="22"/>
        </w:rPr>
        <w:t>Metodología</w:t>
      </w:r>
    </w:p>
    <w:p w:rsidR="003A30D0" w:rsidRPr="007F4A23" w:rsidRDefault="003A30D0" w:rsidP="003A542A">
      <w:pPr>
        <w:rPr>
          <w:rFonts w:ascii="Arial" w:hAnsi="Arial" w:cs="Arial"/>
          <w:sz w:val="22"/>
          <w:szCs w:val="22"/>
        </w:rPr>
      </w:pPr>
    </w:p>
    <w:p w:rsidR="003A30D0" w:rsidRPr="007F4A23" w:rsidRDefault="003A30D0" w:rsidP="00EA4B83">
      <w:pPr>
        <w:pStyle w:val="Heading2"/>
        <w:rPr>
          <w:rFonts w:ascii="Arial" w:hAnsi="Arial" w:cs="Arial"/>
          <w:sz w:val="22"/>
          <w:szCs w:val="22"/>
        </w:rPr>
      </w:pPr>
      <w:r w:rsidRPr="007F4A23">
        <w:rPr>
          <w:rFonts w:ascii="Arial" w:hAnsi="Arial" w:cs="Arial"/>
          <w:sz w:val="22"/>
          <w:szCs w:val="22"/>
        </w:rPr>
        <w:t xml:space="preserve">Beneficios </w:t>
      </w:r>
      <w:r w:rsidR="00961877" w:rsidRPr="007F4A23">
        <w:rPr>
          <w:rFonts w:ascii="Arial" w:hAnsi="Arial" w:cs="Arial"/>
          <w:sz w:val="22"/>
          <w:szCs w:val="22"/>
        </w:rPr>
        <w:t xml:space="preserve">Económicos </w:t>
      </w:r>
      <w:r w:rsidRPr="007F4A23">
        <w:rPr>
          <w:rFonts w:ascii="Arial" w:hAnsi="Arial" w:cs="Arial"/>
          <w:sz w:val="22"/>
          <w:szCs w:val="22"/>
        </w:rPr>
        <w:t>Directos</w:t>
      </w:r>
    </w:p>
    <w:p w:rsidR="00F70BC2" w:rsidRPr="007F4A23" w:rsidRDefault="00F70BC2" w:rsidP="003A542A">
      <w:pPr>
        <w:numPr>
          <w:ilvl w:val="0"/>
          <w:numId w:val="22"/>
        </w:numPr>
        <w:rPr>
          <w:rFonts w:ascii="Arial" w:hAnsi="Arial" w:cs="Arial"/>
          <w:sz w:val="22"/>
          <w:szCs w:val="22"/>
        </w:rPr>
      </w:pPr>
      <w:r w:rsidRPr="007F4A23">
        <w:rPr>
          <w:rFonts w:ascii="Arial" w:hAnsi="Arial" w:cs="Arial"/>
          <w:sz w:val="22"/>
          <w:szCs w:val="22"/>
        </w:rPr>
        <w:t>Antecedentes</w:t>
      </w:r>
    </w:p>
    <w:p w:rsidR="00CF4C70" w:rsidRPr="007F4A23" w:rsidRDefault="00CF4C70" w:rsidP="00892C7B">
      <w:pPr>
        <w:rPr>
          <w:rFonts w:ascii="Arial" w:hAnsi="Arial" w:cs="Arial"/>
          <w:sz w:val="22"/>
          <w:szCs w:val="22"/>
        </w:rPr>
      </w:pPr>
      <w:r w:rsidRPr="007F4A23">
        <w:rPr>
          <w:rFonts w:ascii="Arial" w:hAnsi="Arial" w:cs="Arial"/>
          <w:sz w:val="22"/>
          <w:szCs w:val="22"/>
        </w:rPr>
        <w:t>Dadas las características específicas del Programa no existe abundante evidencia que permita estimar el efecto de las acciones consideradas por el Programa, de tal manera que dicha evidencia debe encontrarse en investigaciones efectuadas fundamentalmente sobre objetos de estudio de naturaleza comparable</w:t>
      </w:r>
      <w:r w:rsidR="000C2733" w:rsidRPr="007F4A23">
        <w:rPr>
          <w:rFonts w:ascii="Arial" w:hAnsi="Arial" w:cs="Arial"/>
          <w:sz w:val="22"/>
          <w:szCs w:val="22"/>
        </w:rPr>
        <w:t>,</w:t>
      </w:r>
      <w:r w:rsidRPr="007F4A23">
        <w:rPr>
          <w:rFonts w:ascii="Arial" w:hAnsi="Arial" w:cs="Arial"/>
          <w:sz w:val="22"/>
          <w:szCs w:val="22"/>
        </w:rPr>
        <w:t xml:space="preserve"> tales como el efecto de la calidad de la administración territorial (liderazgo de la autoridad distrital) y la investigación en aquellas prácticas específicas que se ha determinado tienen un efecto significativo en el desempeño de los estudiantes.</w:t>
      </w:r>
    </w:p>
    <w:p w:rsidR="00CF4C70" w:rsidRPr="007F4A23" w:rsidRDefault="00D76E17" w:rsidP="00892C7B">
      <w:pPr>
        <w:rPr>
          <w:rFonts w:ascii="Arial" w:hAnsi="Arial" w:cs="Arial"/>
          <w:sz w:val="22"/>
          <w:szCs w:val="22"/>
        </w:rPr>
      </w:pPr>
      <w:r w:rsidRPr="007F4A23">
        <w:rPr>
          <w:rFonts w:ascii="Arial" w:hAnsi="Arial" w:cs="Arial"/>
          <w:sz w:val="22"/>
          <w:szCs w:val="22"/>
        </w:rPr>
        <w:t xml:space="preserve">Respecto al primer conjunto de evidencias son relevantes los hallazgos de </w:t>
      </w:r>
      <w:r w:rsidRPr="007F4A23">
        <w:rPr>
          <w:rFonts w:ascii="Arial" w:hAnsi="Arial" w:cs="Arial"/>
          <w:sz w:val="22"/>
          <w:szCs w:val="22"/>
        </w:rPr>
        <w:fldChar w:fldCharType="begin" w:fldLock="1"/>
      </w:r>
      <w:r w:rsidRPr="007F4A23">
        <w:rPr>
          <w:rFonts w:ascii="Arial" w:hAnsi="Arial" w:cs="Arial"/>
          <w:sz w:val="22"/>
          <w:szCs w:val="22"/>
        </w:rPr>
        <w:instrText>ADDIN CSL_CITATION { "citationItems" : [ { "id" : "ITEM-1", "itemData" : { "author" : [ { "dropping-particle" : "", "family" : "Whitehurst", "given" : "Grover J Russ", "non-dropping-particle" : "", "parse-names" : false, "suffix" : "" }, { "dropping-particle" : "", "family" : "Chingos", "given" : "Matthew M", "non-dropping-particle" : "", "parse-names" : false, "suffix" : "" }, { "dropping-particle" : "", "family" : "Gallaher", "given" : "Michael R", "non-dropping-particle" : "", "parse-names" : false, "suffix" : "" } ], "id" : "ITEM-1", "issue" : "March", "issued" : { "date-parts" : [ [ "2013" ] ] }, "title" : "Do School District Matter?", "type" : "article-journal" }, "uris" : [ "http://www.mendeley.com/documents/?uuid=848a77a7-c758-4c1d-a94b-cb75a14312de" ] } ], "mendeley" : { "formattedCitation" : "(Whitehurst et al. 2013)", "manualFormatting" : "Whitehurst et al. (2013)", "plainTextFormattedCitation" : "(Whitehurst et al. 2013)", "previouslyFormattedCitation" : "(Whitehurst et al. 2013)" }, "properties" : { "noteIndex" : 0 }, "schema" : "https://github.com/citation-style-language/schema/raw/master/csl-citation.json" }</w:instrText>
      </w:r>
      <w:r w:rsidRPr="007F4A23">
        <w:rPr>
          <w:rFonts w:ascii="Arial" w:hAnsi="Arial" w:cs="Arial"/>
          <w:sz w:val="22"/>
          <w:szCs w:val="22"/>
        </w:rPr>
        <w:fldChar w:fldCharType="separate"/>
      </w:r>
      <w:r w:rsidRPr="007F4A23">
        <w:rPr>
          <w:rFonts w:ascii="Arial" w:hAnsi="Arial" w:cs="Arial"/>
          <w:noProof/>
          <w:sz w:val="22"/>
          <w:szCs w:val="22"/>
        </w:rPr>
        <w:t>Whitehurst et al. (2013)</w:t>
      </w:r>
      <w:r w:rsidRPr="007F4A23">
        <w:rPr>
          <w:rFonts w:ascii="Arial" w:hAnsi="Arial" w:cs="Arial"/>
          <w:sz w:val="22"/>
          <w:szCs w:val="22"/>
        </w:rPr>
        <w:fldChar w:fldCharType="end"/>
      </w:r>
      <w:r w:rsidRPr="007F4A23">
        <w:rPr>
          <w:rFonts w:ascii="Arial" w:hAnsi="Arial" w:cs="Arial"/>
          <w:sz w:val="22"/>
          <w:szCs w:val="22"/>
        </w:rPr>
        <w:t>, quienes desarrollan su investigación en Estados Unidos utilizando evidencia administrativa de dos Estados (Florida y Carolina del Norte) intentan</w:t>
      </w:r>
      <w:r w:rsidR="001D7FEA" w:rsidRPr="007F4A23">
        <w:rPr>
          <w:rFonts w:ascii="Arial" w:hAnsi="Arial" w:cs="Arial"/>
          <w:sz w:val="22"/>
          <w:szCs w:val="22"/>
        </w:rPr>
        <w:t>do</w:t>
      </w:r>
      <w:r w:rsidRPr="007F4A23">
        <w:rPr>
          <w:rFonts w:ascii="Arial" w:hAnsi="Arial" w:cs="Arial"/>
          <w:sz w:val="22"/>
          <w:szCs w:val="22"/>
        </w:rPr>
        <w:t xml:space="preserve"> cuantificar la influencia de las características de los Distritos Educativos en el desempeño de los alumnos de los colegios dependientes de dichas divisiones a</w:t>
      </w:r>
      <w:r w:rsidR="001D7FEA" w:rsidRPr="007F4A23">
        <w:rPr>
          <w:rFonts w:ascii="Arial" w:hAnsi="Arial" w:cs="Arial"/>
          <w:sz w:val="22"/>
          <w:szCs w:val="22"/>
        </w:rPr>
        <w:t xml:space="preserve">dministrativas, controlando por </w:t>
      </w:r>
      <w:r w:rsidR="006965E3" w:rsidRPr="007F4A23">
        <w:rPr>
          <w:rFonts w:ascii="Arial" w:hAnsi="Arial" w:cs="Arial"/>
          <w:sz w:val="22"/>
          <w:szCs w:val="22"/>
        </w:rPr>
        <w:t>los atributos de los colegios, profesores y diferencias entre los estudiantes</w:t>
      </w:r>
      <w:r w:rsidR="00344E97" w:rsidRPr="007F4A23">
        <w:rPr>
          <w:rFonts w:ascii="Arial" w:hAnsi="Arial" w:cs="Arial"/>
          <w:sz w:val="22"/>
          <w:szCs w:val="22"/>
        </w:rPr>
        <w:t>. Si bien es cierto los autores destacan el hecho de que los atributos de los distritos logran explicar sólo una pequeña proporción del desempeño de sus estudiantes (menos del 5%)</w:t>
      </w:r>
      <w:r w:rsidR="00201225" w:rsidRPr="007F4A23">
        <w:rPr>
          <w:rFonts w:ascii="Arial" w:hAnsi="Arial" w:cs="Arial"/>
          <w:sz w:val="22"/>
          <w:szCs w:val="22"/>
        </w:rPr>
        <w:t>, siendo la mayor parte de los desempeños explicada por variables sociodemográficas de los individuos</w:t>
      </w:r>
      <w:r w:rsidR="00344E97" w:rsidRPr="007F4A23">
        <w:rPr>
          <w:rFonts w:ascii="Arial" w:hAnsi="Arial" w:cs="Arial"/>
          <w:sz w:val="22"/>
          <w:szCs w:val="22"/>
        </w:rPr>
        <w:t>. Sin embargo, al analizar en mayor detalle l</w:t>
      </w:r>
      <w:r w:rsidR="00201225" w:rsidRPr="007F4A23">
        <w:rPr>
          <w:rFonts w:ascii="Arial" w:hAnsi="Arial" w:cs="Arial"/>
          <w:sz w:val="22"/>
          <w:szCs w:val="22"/>
        </w:rPr>
        <w:t>as estimaciones, al comparar los distritos con mejor y peor desempeño</w:t>
      </w:r>
      <w:r w:rsidR="00F7296E" w:rsidRPr="007F4A23">
        <w:rPr>
          <w:rFonts w:ascii="Arial" w:hAnsi="Arial" w:cs="Arial"/>
          <w:sz w:val="22"/>
          <w:szCs w:val="22"/>
        </w:rPr>
        <w:t>,</w:t>
      </w:r>
      <w:r w:rsidR="00201225" w:rsidRPr="007F4A23">
        <w:rPr>
          <w:rFonts w:ascii="Arial" w:hAnsi="Arial" w:cs="Arial"/>
          <w:sz w:val="22"/>
          <w:szCs w:val="22"/>
        </w:rPr>
        <w:t xml:space="preserve"> las diferencias observadas van más allá de lo que </w:t>
      </w:r>
      <w:r w:rsidR="00174420" w:rsidRPr="007F4A23">
        <w:rPr>
          <w:rFonts w:ascii="Arial" w:hAnsi="Arial" w:cs="Arial"/>
          <w:sz w:val="22"/>
          <w:szCs w:val="22"/>
        </w:rPr>
        <w:t xml:space="preserve">se </w:t>
      </w:r>
      <w:r w:rsidR="00201225" w:rsidRPr="007F4A23">
        <w:rPr>
          <w:rFonts w:ascii="Arial" w:hAnsi="Arial" w:cs="Arial"/>
          <w:sz w:val="22"/>
          <w:szCs w:val="22"/>
        </w:rPr>
        <w:t>esperaría difiriesen producto de las diferencias observadas en sus estudiantes.</w:t>
      </w:r>
      <w:r w:rsidR="00174420" w:rsidRPr="007F4A23">
        <w:rPr>
          <w:rFonts w:ascii="Arial" w:hAnsi="Arial" w:cs="Arial"/>
          <w:sz w:val="22"/>
          <w:szCs w:val="22"/>
        </w:rPr>
        <w:t xml:space="preserve"> Cuantificadas como desviaciones estándar del indicador de desempeño escolar se observa que en Carolina del Norte la diferencia en desempeño entre los peores y mejores se eleva a 0,42 desviaciones estándar. Considerando el logro promedio de un año de educación en el resultado en test de matemáticas (entre 4° y 5°</w:t>
      </w:r>
      <w:r w:rsidR="001F10C8" w:rsidRPr="007F4A23">
        <w:rPr>
          <w:rFonts w:ascii="Arial" w:hAnsi="Arial" w:cs="Arial"/>
          <w:sz w:val="22"/>
          <w:szCs w:val="22"/>
        </w:rPr>
        <w:t xml:space="preserve"> grado</w:t>
      </w:r>
      <w:r w:rsidR="00174420" w:rsidRPr="007F4A23">
        <w:rPr>
          <w:rFonts w:ascii="Arial" w:hAnsi="Arial" w:cs="Arial"/>
          <w:sz w:val="22"/>
          <w:szCs w:val="22"/>
        </w:rPr>
        <w:t>) se puede interpretar la distancia en el desempeño en</w:t>
      </w:r>
      <w:r w:rsidR="001F10C8" w:rsidRPr="007F4A23">
        <w:rPr>
          <w:rFonts w:ascii="Arial" w:hAnsi="Arial" w:cs="Arial"/>
          <w:sz w:val="22"/>
          <w:szCs w:val="22"/>
        </w:rPr>
        <w:t>tre</w:t>
      </w:r>
      <w:r w:rsidR="00174420" w:rsidRPr="007F4A23">
        <w:rPr>
          <w:rFonts w:ascii="Arial" w:hAnsi="Arial" w:cs="Arial"/>
          <w:sz w:val="22"/>
          <w:szCs w:val="22"/>
        </w:rPr>
        <w:t xml:space="preserve"> los mejores y peores distritos como equivalente al logro obtenido en el 80% de un año promedio de formación en dicha materia.</w:t>
      </w:r>
      <w:r w:rsidR="005A4393" w:rsidRPr="007F4A23">
        <w:rPr>
          <w:rFonts w:ascii="Arial" w:hAnsi="Arial" w:cs="Arial"/>
          <w:sz w:val="22"/>
          <w:szCs w:val="22"/>
        </w:rPr>
        <w:t xml:space="preserve"> En esta misma investigación los autores encuentran evidencia contundente del rol del liderazgo de los directores de los colegios en el desempeño de sus alumnos. Este tipo de evidencia también ha sido constatada por otros autores </w:t>
      </w:r>
      <w:r w:rsidR="005A4393" w:rsidRPr="007F4A23">
        <w:rPr>
          <w:rFonts w:ascii="Arial" w:hAnsi="Arial" w:cs="Arial"/>
          <w:sz w:val="22"/>
          <w:szCs w:val="22"/>
        </w:rPr>
        <w:fldChar w:fldCharType="begin" w:fldLock="1"/>
      </w:r>
      <w:r w:rsidR="005A4393" w:rsidRPr="007F4A23">
        <w:rPr>
          <w:rFonts w:ascii="Arial" w:hAnsi="Arial" w:cs="Arial"/>
          <w:sz w:val="22"/>
          <w:szCs w:val="22"/>
        </w:rPr>
        <w:instrText>ADDIN CSL_CITATION { "citationItems" : [ { "id" : "ITEM-1", "itemData" : { "abstract" : "This report summarizes main results from a national study of how leaders in urban school district central offices fundamentally transformed their work and relation- ships with schools to support districtwide teaching and learning improvement. All three study districts had been posting gains in student achievement and credited their progress, in part, to efforts to radically change their work at the central office level. We aimed to understand more specifically what these central offices were doing. The study breaks new ground in educational research by uncovering the daily work practices and activities of central office administrators as they sought not just to make the central office more efficient but also to transform the central office into a support system to help all schools improve the quality of teaching and learning. Our findings reveal that leaders in these systems, first and foremost, understood what decades of experience and research have shown: that districts generally do not see districtwide improvements in teaching and learning without substantial engagement by their central offices in helping all schools build their capacity for improvement. Central offices and the people who work in them are not simply part of the background noise in school improvement. Rather, school district central office administrators exercise essential leadership, in partnership with school leaders, to build capacity throughout public educational systems for teaching and learning improvements. The districts in this study were attempting to heed those lessons by engaging in an approach to central office change we call \u201ccentral office transformation.\u201d Central office transformation is a far cry from central-office-administration-as-usual. This approach to reform", "author" : [ { "dropping-particle" : "", "family" : "Honig", "given" : "Meredith I", "non-dropping-particle" : "", "parse-names" : false, "suffix" : "" }, { "dropping-particle" : "", "family" : "Copland", "given" : "Michael a", "non-dropping-particle" : "", "parse-names" : false, "suffix" : "" }, { "dropping-particle" : "", "family" : "Newton", "given" : "Morena", "non-dropping-particle" : "", "parse-names" : false, "suffix" : "" }, { "dropping-particle" : "", "family" : "Matson", "given" : "Elizabeth", "non-dropping-particle" : "", "parse-names" : false, "suffix" : "" }, { "dropping-particle" : "", "family" : "Rogers", "given" : "Bethany", "non-dropping-particle" : "", "parse-names" : false, "suffix" : "" } ], "id" : "ITEM-1", "issue" : "April", "issued" : { "date-parts" : [ [ "2010" ] ] }, "title" : "Central Office Transformation for District-wide Teaching and Learning Improvement \u2013 Executive Summary The Study of Leadership for Learning Improvement", "type" : "article-journal" }, "uris" : [ "http://www.mendeley.com/documents/?uuid=6e0f3747-e621-4128-a3d3-3a4178673ab2" ] } ], "mendeley" : { "formattedCitation" : "(Honig et al. 2010)", "plainTextFormattedCitation" : "(Honig et al. 2010)", "previouslyFormattedCitation" : "(Honig et al. 2010)" }, "properties" : { "noteIndex" : 0 }, "schema" : "https://github.com/citation-style-language/schema/raw/master/csl-citation.json" }</w:instrText>
      </w:r>
      <w:r w:rsidR="005A4393" w:rsidRPr="007F4A23">
        <w:rPr>
          <w:rFonts w:ascii="Arial" w:hAnsi="Arial" w:cs="Arial"/>
          <w:sz w:val="22"/>
          <w:szCs w:val="22"/>
        </w:rPr>
        <w:fldChar w:fldCharType="separate"/>
      </w:r>
      <w:r w:rsidR="005A4393" w:rsidRPr="007F4A23">
        <w:rPr>
          <w:rFonts w:ascii="Arial" w:hAnsi="Arial" w:cs="Arial"/>
          <w:noProof/>
          <w:sz w:val="22"/>
          <w:szCs w:val="22"/>
        </w:rPr>
        <w:t>(Honig et al. 2010)</w:t>
      </w:r>
      <w:r w:rsidR="005A4393" w:rsidRPr="007F4A23">
        <w:rPr>
          <w:rFonts w:ascii="Arial" w:hAnsi="Arial" w:cs="Arial"/>
          <w:sz w:val="22"/>
          <w:szCs w:val="22"/>
        </w:rPr>
        <w:fldChar w:fldCharType="end"/>
      </w:r>
    </w:p>
    <w:p w:rsidR="00892C7B" w:rsidRPr="007F4A23" w:rsidRDefault="005A4393" w:rsidP="00D76E17">
      <w:pPr>
        <w:rPr>
          <w:rFonts w:ascii="Arial" w:hAnsi="Arial" w:cs="Arial"/>
          <w:sz w:val="22"/>
          <w:szCs w:val="22"/>
        </w:rPr>
      </w:pPr>
      <w:r w:rsidRPr="007F4A23">
        <w:rPr>
          <w:rFonts w:ascii="Arial" w:hAnsi="Arial" w:cs="Arial"/>
          <w:sz w:val="22"/>
          <w:szCs w:val="22"/>
        </w:rPr>
        <w:t>Considerando que la evidencia mencionada no resulta del todo adecuada para la constatación de efectos del Programa, p</w:t>
      </w:r>
      <w:r w:rsidR="00892C7B" w:rsidRPr="007F4A23">
        <w:rPr>
          <w:rFonts w:ascii="Arial" w:hAnsi="Arial" w:cs="Arial"/>
          <w:sz w:val="22"/>
          <w:szCs w:val="22"/>
        </w:rPr>
        <w:t xml:space="preserve">ara </w:t>
      </w:r>
      <w:r w:rsidRPr="007F4A23">
        <w:rPr>
          <w:rFonts w:ascii="Arial" w:hAnsi="Arial" w:cs="Arial"/>
          <w:sz w:val="22"/>
          <w:szCs w:val="22"/>
        </w:rPr>
        <w:t>indagar</w:t>
      </w:r>
      <w:r w:rsidR="00892C7B" w:rsidRPr="007F4A23">
        <w:rPr>
          <w:rFonts w:ascii="Arial" w:hAnsi="Arial" w:cs="Arial"/>
          <w:sz w:val="22"/>
          <w:szCs w:val="22"/>
        </w:rPr>
        <w:t xml:space="preserve"> los eventuales beneficios directos que se estima se producirían producto de la implementación del Programa resulta pertinente </w:t>
      </w:r>
      <w:r w:rsidR="00CF4C70" w:rsidRPr="007F4A23">
        <w:rPr>
          <w:rFonts w:ascii="Arial" w:hAnsi="Arial" w:cs="Arial"/>
          <w:sz w:val="22"/>
          <w:szCs w:val="22"/>
        </w:rPr>
        <w:t>efectuar</w:t>
      </w:r>
      <w:r w:rsidR="00892C7B" w:rsidRPr="007F4A23">
        <w:rPr>
          <w:rFonts w:ascii="Arial" w:hAnsi="Arial" w:cs="Arial"/>
          <w:sz w:val="22"/>
          <w:szCs w:val="22"/>
        </w:rPr>
        <w:t xml:space="preserve"> </w:t>
      </w:r>
      <w:r w:rsidR="00582836" w:rsidRPr="007F4A23">
        <w:rPr>
          <w:rFonts w:ascii="Arial" w:hAnsi="Arial" w:cs="Arial"/>
          <w:sz w:val="22"/>
          <w:szCs w:val="22"/>
        </w:rPr>
        <w:t>el contraste</w:t>
      </w:r>
      <w:r w:rsidR="00892C7B" w:rsidRPr="007F4A23">
        <w:rPr>
          <w:rFonts w:ascii="Arial" w:hAnsi="Arial" w:cs="Arial"/>
          <w:sz w:val="22"/>
          <w:szCs w:val="22"/>
        </w:rPr>
        <w:t xml:space="preserve"> en el desempeño en diversas variables </w:t>
      </w:r>
      <w:r w:rsidR="00CF4C70" w:rsidRPr="007F4A23">
        <w:rPr>
          <w:rFonts w:ascii="Arial" w:hAnsi="Arial" w:cs="Arial"/>
          <w:sz w:val="22"/>
          <w:szCs w:val="22"/>
        </w:rPr>
        <w:t>entre los establecimientos que funcionan bajo la reglamentación y lógica de la administración municipal</w:t>
      </w:r>
      <w:r w:rsidR="00D76E17" w:rsidRPr="007F4A23">
        <w:rPr>
          <w:rFonts w:ascii="Arial" w:hAnsi="Arial" w:cs="Arial"/>
          <w:sz w:val="22"/>
          <w:szCs w:val="22"/>
        </w:rPr>
        <w:t xml:space="preserve"> y otros que funcionan de manera distinta tales como los</w:t>
      </w:r>
      <w:r w:rsidR="00582836" w:rsidRPr="007F4A23">
        <w:rPr>
          <w:rFonts w:ascii="Arial" w:hAnsi="Arial" w:cs="Arial"/>
          <w:sz w:val="22"/>
          <w:szCs w:val="22"/>
        </w:rPr>
        <w:t xml:space="preserve"> </w:t>
      </w:r>
      <w:r w:rsidR="00892C7B" w:rsidRPr="007F4A23">
        <w:rPr>
          <w:rFonts w:ascii="Arial" w:hAnsi="Arial" w:cs="Arial"/>
          <w:sz w:val="22"/>
          <w:szCs w:val="22"/>
        </w:rPr>
        <w:t xml:space="preserve">establecimientos </w:t>
      </w:r>
      <w:r w:rsidR="00582836" w:rsidRPr="007F4A23">
        <w:rPr>
          <w:rFonts w:ascii="Arial" w:hAnsi="Arial" w:cs="Arial"/>
          <w:sz w:val="22"/>
          <w:szCs w:val="22"/>
        </w:rPr>
        <w:t xml:space="preserve">del sector particular subvencionado y del sector privado. En primer lugar se analiza el </w:t>
      </w:r>
      <w:r w:rsidR="00582836" w:rsidRPr="007F4A23">
        <w:rPr>
          <w:rFonts w:ascii="Arial" w:hAnsi="Arial" w:cs="Arial"/>
          <w:sz w:val="22"/>
          <w:szCs w:val="22"/>
        </w:rPr>
        <w:lastRenderedPageBreak/>
        <w:t>desempeño de estos tres tipos de establecimientos desde el punto de vista de su desempeño en las pruebas SIMCE de matemáticas y lenguaje</w:t>
      </w:r>
      <w:r w:rsidR="007B0BC9" w:rsidRPr="007F4A23">
        <w:rPr>
          <w:rFonts w:ascii="Arial" w:hAnsi="Arial" w:cs="Arial"/>
          <w:sz w:val="22"/>
          <w:szCs w:val="22"/>
        </w:rPr>
        <w:t>:</w:t>
      </w:r>
    </w:p>
    <w:p w:rsidR="00582836" w:rsidRPr="00343AC7" w:rsidRDefault="00582836" w:rsidP="00343AC7">
      <w:pPr>
        <w:pStyle w:val="Caption"/>
        <w:keepNext/>
        <w:jc w:val="center"/>
        <w:rPr>
          <w:rFonts w:ascii="Arial" w:hAnsi="Arial" w:cs="Arial"/>
          <w:sz w:val="18"/>
          <w:szCs w:val="18"/>
        </w:rPr>
      </w:pPr>
      <w:r w:rsidRPr="00343AC7">
        <w:rPr>
          <w:rFonts w:ascii="Arial" w:hAnsi="Arial" w:cs="Arial"/>
          <w:sz w:val="18"/>
          <w:szCs w:val="18"/>
        </w:rPr>
        <w:t xml:space="preserve">Tabla </w:t>
      </w:r>
      <w:r w:rsidRPr="00343AC7">
        <w:rPr>
          <w:rFonts w:ascii="Arial" w:hAnsi="Arial" w:cs="Arial"/>
          <w:sz w:val="18"/>
          <w:szCs w:val="18"/>
        </w:rPr>
        <w:fldChar w:fldCharType="begin"/>
      </w:r>
      <w:r w:rsidRPr="00343AC7">
        <w:rPr>
          <w:rFonts w:ascii="Arial" w:hAnsi="Arial" w:cs="Arial"/>
          <w:sz w:val="18"/>
          <w:szCs w:val="18"/>
        </w:rPr>
        <w:instrText xml:space="preserve"> SEQ Tabla \* ARABIC </w:instrText>
      </w:r>
      <w:r w:rsidRPr="00343AC7">
        <w:rPr>
          <w:rFonts w:ascii="Arial" w:hAnsi="Arial" w:cs="Arial"/>
          <w:sz w:val="18"/>
          <w:szCs w:val="18"/>
        </w:rPr>
        <w:fldChar w:fldCharType="separate"/>
      </w:r>
      <w:r w:rsidR="00211EE7" w:rsidRPr="00343AC7">
        <w:rPr>
          <w:rFonts w:ascii="Arial" w:hAnsi="Arial" w:cs="Arial"/>
          <w:noProof/>
          <w:sz w:val="18"/>
          <w:szCs w:val="18"/>
        </w:rPr>
        <w:t>1</w:t>
      </w:r>
      <w:r w:rsidRPr="00343AC7">
        <w:rPr>
          <w:rFonts w:ascii="Arial" w:hAnsi="Arial" w:cs="Arial"/>
          <w:sz w:val="18"/>
          <w:szCs w:val="18"/>
        </w:rPr>
        <w:fldChar w:fldCharType="end"/>
      </w:r>
      <w:r w:rsidRPr="00343AC7">
        <w:rPr>
          <w:rFonts w:ascii="Arial" w:hAnsi="Arial" w:cs="Arial"/>
          <w:sz w:val="18"/>
          <w:szCs w:val="18"/>
        </w:rPr>
        <w:t>: Dese</w:t>
      </w:r>
      <w:r w:rsidR="007B0BC9" w:rsidRPr="00343AC7">
        <w:rPr>
          <w:rFonts w:ascii="Arial" w:hAnsi="Arial" w:cs="Arial"/>
          <w:sz w:val="18"/>
          <w:szCs w:val="18"/>
        </w:rPr>
        <w:t>m</w:t>
      </w:r>
      <w:r w:rsidRPr="00343AC7">
        <w:rPr>
          <w:rFonts w:ascii="Arial" w:hAnsi="Arial" w:cs="Arial"/>
          <w:sz w:val="18"/>
          <w:szCs w:val="18"/>
        </w:rPr>
        <w:t xml:space="preserve">peño académico </w:t>
      </w:r>
      <w:r w:rsidR="007B0BC9" w:rsidRPr="00343AC7">
        <w:rPr>
          <w:rFonts w:ascii="Arial" w:hAnsi="Arial" w:cs="Arial"/>
          <w:sz w:val="18"/>
          <w:szCs w:val="18"/>
        </w:rPr>
        <w:t xml:space="preserve">promedio </w:t>
      </w:r>
      <w:r w:rsidRPr="00343AC7">
        <w:rPr>
          <w:rFonts w:ascii="Arial" w:hAnsi="Arial" w:cs="Arial"/>
          <w:sz w:val="18"/>
          <w:szCs w:val="18"/>
        </w:rPr>
        <w:t>en SIMCE por tipología de establecimiento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1"/>
        <w:gridCol w:w="1196"/>
        <w:gridCol w:w="1427"/>
        <w:gridCol w:w="1418"/>
      </w:tblGrid>
      <w:tr w:rsidR="00DC2DF0" w:rsidRPr="00343AC7" w:rsidTr="00615F44">
        <w:trPr>
          <w:jc w:val="center"/>
        </w:trPr>
        <w:tc>
          <w:tcPr>
            <w:tcW w:w="2881" w:type="dxa"/>
            <w:shd w:val="clear" w:color="auto" w:fill="auto"/>
          </w:tcPr>
          <w:p w:rsidR="00DC2DF0" w:rsidRPr="00343AC7" w:rsidRDefault="00DC2DF0" w:rsidP="00DC2DF0">
            <w:pPr>
              <w:rPr>
                <w:rFonts w:ascii="Arial" w:hAnsi="Arial" w:cs="Arial"/>
                <w:sz w:val="18"/>
                <w:szCs w:val="18"/>
              </w:rPr>
            </w:pPr>
            <w:r w:rsidRPr="00343AC7">
              <w:rPr>
                <w:rFonts w:ascii="Arial" w:hAnsi="Arial" w:cs="Arial"/>
                <w:sz w:val="18"/>
                <w:szCs w:val="18"/>
              </w:rPr>
              <w:t>Tipo de establecimiento</w:t>
            </w:r>
          </w:p>
        </w:tc>
        <w:tc>
          <w:tcPr>
            <w:tcW w:w="1196" w:type="dxa"/>
            <w:shd w:val="clear" w:color="auto" w:fill="auto"/>
          </w:tcPr>
          <w:p w:rsidR="00DC2DF0" w:rsidRPr="00343AC7" w:rsidRDefault="00DC2DF0" w:rsidP="00EA548C">
            <w:pPr>
              <w:jc w:val="center"/>
              <w:rPr>
                <w:rFonts w:ascii="Arial" w:hAnsi="Arial" w:cs="Arial"/>
                <w:sz w:val="18"/>
                <w:szCs w:val="18"/>
              </w:rPr>
            </w:pPr>
            <w:r w:rsidRPr="00343AC7">
              <w:rPr>
                <w:rFonts w:ascii="Arial" w:hAnsi="Arial" w:cs="Arial"/>
                <w:sz w:val="18"/>
                <w:szCs w:val="18"/>
              </w:rPr>
              <w:t>Adm. Municipal</w:t>
            </w:r>
          </w:p>
        </w:tc>
        <w:tc>
          <w:tcPr>
            <w:tcW w:w="1418" w:type="dxa"/>
            <w:shd w:val="clear" w:color="auto" w:fill="auto"/>
          </w:tcPr>
          <w:p w:rsidR="00DC2DF0" w:rsidRPr="00343AC7" w:rsidRDefault="00DC2DF0" w:rsidP="00EA548C">
            <w:pPr>
              <w:jc w:val="center"/>
              <w:rPr>
                <w:rFonts w:ascii="Arial" w:hAnsi="Arial" w:cs="Arial"/>
                <w:sz w:val="18"/>
                <w:szCs w:val="18"/>
              </w:rPr>
            </w:pPr>
            <w:r w:rsidRPr="00343AC7">
              <w:rPr>
                <w:rFonts w:ascii="Arial" w:hAnsi="Arial" w:cs="Arial"/>
                <w:sz w:val="18"/>
                <w:szCs w:val="18"/>
              </w:rPr>
              <w:t>Part. subvencionado</w:t>
            </w:r>
          </w:p>
        </w:tc>
        <w:tc>
          <w:tcPr>
            <w:tcW w:w="1418" w:type="dxa"/>
            <w:shd w:val="clear" w:color="auto" w:fill="auto"/>
          </w:tcPr>
          <w:p w:rsidR="00DC2DF0" w:rsidRPr="00343AC7" w:rsidRDefault="00DC2DF0" w:rsidP="00EA548C">
            <w:pPr>
              <w:jc w:val="center"/>
              <w:rPr>
                <w:rFonts w:ascii="Arial" w:hAnsi="Arial" w:cs="Arial"/>
                <w:sz w:val="18"/>
                <w:szCs w:val="18"/>
              </w:rPr>
            </w:pPr>
            <w:r w:rsidRPr="00343AC7">
              <w:rPr>
                <w:rFonts w:ascii="Arial" w:hAnsi="Arial" w:cs="Arial"/>
                <w:sz w:val="18"/>
                <w:szCs w:val="18"/>
              </w:rPr>
              <w:t>Privado</w:t>
            </w:r>
          </w:p>
        </w:tc>
      </w:tr>
      <w:tr w:rsidR="00DC2DF0" w:rsidRPr="00343AC7" w:rsidTr="00615F44">
        <w:trPr>
          <w:jc w:val="center"/>
        </w:trPr>
        <w:tc>
          <w:tcPr>
            <w:tcW w:w="2881" w:type="dxa"/>
            <w:shd w:val="clear" w:color="auto" w:fill="auto"/>
          </w:tcPr>
          <w:p w:rsidR="00DC2DF0" w:rsidRPr="00343AC7" w:rsidRDefault="00DC2DF0" w:rsidP="00DC2DF0">
            <w:pPr>
              <w:rPr>
                <w:rFonts w:ascii="Arial" w:hAnsi="Arial" w:cs="Arial"/>
                <w:sz w:val="18"/>
                <w:szCs w:val="18"/>
              </w:rPr>
            </w:pPr>
            <w:r w:rsidRPr="00343AC7">
              <w:rPr>
                <w:rFonts w:ascii="Arial" w:hAnsi="Arial" w:cs="Arial"/>
                <w:sz w:val="18"/>
                <w:szCs w:val="18"/>
              </w:rPr>
              <w:t>SIMCE Lenguaje</w:t>
            </w:r>
          </w:p>
        </w:tc>
        <w:tc>
          <w:tcPr>
            <w:tcW w:w="1196" w:type="dxa"/>
            <w:shd w:val="clear" w:color="auto" w:fill="auto"/>
          </w:tcPr>
          <w:p w:rsidR="00DC2DF0" w:rsidRPr="00343AC7" w:rsidRDefault="00DC2DF0" w:rsidP="00EA548C">
            <w:pPr>
              <w:jc w:val="center"/>
              <w:rPr>
                <w:rFonts w:ascii="Arial" w:hAnsi="Arial" w:cs="Arial"/>
                <w:sz w:val="18"/>
                <w:szCs w:val="18"/>
              </w:rPr>
            </w:pPr>
            <w:r w:rsidRPr="00343AC7">
              <w:rPr>
                <w:rFonts w:ascii="Arial" w:hAnsi="Arial" w:cs="Arial"/>
                <w:sz w:val="18"/>
                <w:szCs w:val="18"/>
              </w:rPr>
              <w:t>240,3</w:t>
            </w:r>
          </w:p>
        </w:tc>
        <w:tc>
          <w:tcPr>
            <w:tcW w:w="1418" w:type="dxa"/>
            <w:shd w:val="clear" w:color="auto" w:fill="auto"/>
          </w:tcPr>
          <w:p w:rsidR="00DC2DF0" w:rsidRPr="00343AC7" w:rsidRDefault="00DC2DF0" w:rsidP="00EA548C">
            <w:pPr>
              <w:jc w:val="center"/>
              <w:rPr>
                <w:rFonts w:ascii="Arial" w:hAnsi="Arial" w:cs="Arial"/>
                <w:sz w:val="18"/>
                <w:szCs w:val="18"/>
              </w:rPr>
            </w:pPr>
            <w:r w:rsidRPr="00343AC7">
              <w:rPr>
                <w:rFonts w:ascii="Arial" w:hAnsi="Arial" w:cs="Arial"/>
                <w:sz w:val="18"/>
                <w:szCs w:val="18"/>
              </w:rPr>
              <w:t>256,4</w:t>
            </w:r>
          </w:p>
        </w:tc>
        <w:tc>
          <w:tcPr>
            <w:tcW w:w="1418" w:type="dxa"/>
            <w:shd w:val="clear" w:color="auto" w:fill="auto"/>
          </w:tcPr>
          <w:p w:rsidR="00DC2DF0" w:rsidRPr="00343AC7" w:rsidRDefault="00DC2DF0" w:rsidP="00EA548C">
            <w:pPr>
              <w:jc w:val="center"/>
              <w:rPr>
                <w:rFonts w:ascii="Arial" w:hAnsi="Arial" w:cs="Arial"/>
                <w:sz w:val="18"/>
                <w:szCs w:val="18"/>
              </w:rPr>
            </w:pPr>
            <w:r w:rsidRPr="00343AC7">
              <w:rPr>
                <w:rFonts w:ascii="Arial" w:hAnsi="Arial" w:cs="Arial"/>
                <w:sz w:val="18"/>
                <w:szCs w:val="18"/>
              </w:rPr>
              <w:t>275,9</w:t>
            </w:r>
          </w:p>
        </w:tc>
      </w:tr>
      <w:tr w:rsidR="00DC2DF0" w:rsidRPr="00343AC7" w:rsidTr="00615F44">
        <w:trPr>
          <w:jc w:val="center"/>
        </w:trPr>
        <w:tc>
          <w:tcPr>
            <w:tcW w:w="2881" w:type="dxa"/>
            <w:shd w:val="clear" w:color="auto" w:fill="auto"/>
          </w:tcPr>
          <w:p w:rsidR="00DC2DF0" w:rsidRPr="00343AC7" w:rsidRDefault="00DC2DF0" w:rsidP="00DC2DF0">
            <w:pPr>
              <w:rPr>
                <w:rFonts w:ascii="Arial" w:hAnsi="Arial" w:cs="Arial"/>
                <w:sz w:val="18"/>
                <w:szCs w:val="18"/>
              </w:rPr>
            </w:pPr>
            <w:r w:rsidRPr="00343AC7">
              <w:rPr>
                <w:rFonts w:ascii="Arial" w:hAnsi="Arial" w:cs="Arial"/>
                <w:sz w:val="18"/>
                <w:szCs w:val="18"/>
              </w:rPr>
              <w:t>SIMCE Matemáticas</w:t>
            </w:r>
          </w:p>
        </w:tc>
        <w:tc>
          <w:tcPr>
            <w:tcW w:w="1196" w:type="dxa"/>
            <w:shd w:val="clear" w:color="auto" w:fill="auto"/>
          </w:tcPr>
          <w:p w:rsidR="00DC2DF0" w:rsidRPr="00343AC7" w:rsidRDefault="00DC2DF0" w:rsidP="00EA548C">
            <w:pPr>
              <w:jc w:val="center"/>
              <w:rPr>
                <w:rFonts w:ascii="Arial" w:hAnsi="Arial" w:cs="Arial"/>
                <w:sz w:val="18"/>
                <w:szCs w:val="18"/>
              </w:rPr>
            </w:pPr>
            <w:r w:rsidRPr="00343AC7">
              <w:rPr>
                <w:rFonts w:ascii="Arial" w:hAnsi="Arial" w:cs="Arial"/>
                <w:sz w:val="18"/>
                <w:szCs w:val="18"/>
              </w:rPr>
              <w:t>234,5</w:t>
            </w:r>
          </w:p>
        </w:tc>
        <w:tc>
          <w:tcPr>
            <w:tcW w:w="1418" w:type="dxa"/>
            <w:shd w:val="clear" w:color="auto" w:fill="auto"/>
          </w:tcPr>
          <w:p w:rsidR="00DC2DF0" w:rsidRPr="00343AC7" w:rsidRDefault="00DC2DF0" w:rsidP="00EA548C">
            <w:pPr>
              <w:jc w:val="center"/>
              <w:rPr>
                <w:rFonts w:ascii="Arial" w:hAnsi="Arial" w:cs="Arial"/>
                <w:sz w:val="18"/>
                <w:szCs w:val="18"/>
              </w:rPr>
            </w:pPr>
            <w:r w:rsidRPr="00343AC7">
              <w:rPr>
                <w:rFonts w:ascii="Arial" w:hAnsi="Arial" w:cs="Arial"/>
                <w:sz w:val="18"/>
                <w:szCs w:val="18"/>
              </w:rPr>
              <w:t>250,4</w:t>
            </w:r>
          </w:p>
        </w:tc>
        <w:tc>
          <w:tcPr>
            <w:tcW w:w="1418" w:type="dxa"/>
            <w:shd w:val="clear" w:color="auto" w:fill="auto"/>
          </w:tcPr>
          <w:p w:rsidR="00DC2DF0" w:rsidRPr="00343AC7" w:rsidRDefault="00DC2DF0" w:rsidP="00EA548C">
            <w:pPr>
              <w:jc w:val="center"/>
              <w:rPr>
                <w:rFonts w:ascii="Arial" w:hAnsi="Arial" w:cs="Arial"/>
                <w:sz w:val="18"/>
                <w:szCs w:val="18"/>
              </w:rPr>
            </w:pPr>
            <w:r w:rsidRPr="00343AC7">
              <w:rPr>
                <w:rFonts w:ascii="Arial" w:hAnsi="Arial" w:cs="Arial"/>
                <w:sz w:val="18"/>
                <w:szCs w:val="18"/>
              </w:rPr>
              <w:t>281,3</w:t>
            </w:r>
          </w:p>
        </w:tc>
      </w:tr>
    </w:tbl>
    <w:p w:rsidR="00582836" w:rsidRPr="00343AC7" w:rsidRDefault="00615F44" w:rsidP="00892C7B">
      <w:pPr>
        <w:rPr>
          <w:rFonts w:ascii="Arial" w:hAnsi="Arial" w:cs="Arial"/>
          <w:sz w:val="18"/>
          <w:szCs w:val="18"/>
          <w:lang w:val="es-CL"/>
        </w:rPr>
      </w:pPr>
      <w:r w:rsidRPr="00343AC7">
        <w:rPr>
          <w:rFonts w:ascii="Arial" w:hAnsi="Arial" w:cs="Arial"/>
          <w:sz w:val="18"/>
          <w:szCs w:val="18"/>
          <w:lang w:val="es-CL"/>
        </w:rPr>
        <w:t xml:space="preserve">           </w:t>
      </w:r>
      <w:r w:rsidR="007B0BC9" w:rsidRPr="00343AC7">
        <w:rPr>
          <w:rFonts w:ascii="Arial" w:hAnsi="Arial" w:cs="Arial"/>
          <w:sz w:val="18"/>
          <w:szCs w:val="18"/>
          <w:lang w:val="es-CL"/>
        </w:rPr>
        <w:t xml:space="preserve">Fuente: Tomado de </w:t>
      </w:r>
      <w:r w:rsidR="007B0BC9" w:rsidRPr="00343AC7">
        <w:rPr>
          <w:rFonts w:ascii="Arial" w:hAnsi="Arial" w:cs="Arial"/>
          <w:sz w:val="18"/>
          <w:szCs w:val="18"/>
        </w:rPr>
        <w:fldChar w:fldCharType="begin" w:fldLock="1"/>
      </w:r>
      <w:r w:rsidR="00F4130B" w:rsidRPr="00343AC7">
        <w:rPr>
          <w:rFonts w:ascii="Arial" w:hAnsi="Arial" w:cs="Arial"/>
          <w:sz w:val="18"/>
          <w:szCs w:val="18"/>
          <w:lang w:val="es-CL"/>
        </w:rPr>
        <w:instrText>ADDIN CSL_CITATION { "citationItems" : [ { "id" : "ITEM-1", "itemData" : { "author" : [ { "dropping-particle" : "", "family" : "Contreras", "given" : "Dante", "non-dropping-particle" : "", "parse-names" : false, "suffix" : "" }, { "dropping-particle" : "", "family" : "Rodr", "given" : "Jorge", "non-dropping-particle" : "", "parse-names" : false, "suffix" : "" }, { "dropping-particle" : "", "family" : "Bank", "given" : "Inter-american Development", "non-dropping-particle" : "", "parse-names" : false, "suffix" : "" }, { "dropping-particle" : "", "family" : "Urz", "given" : "Sergio", "non-dropping-particle" : "", "parse-names" : false, "suffix" : "" } ], "id" : "ITEM-1", "issued" : { "date-parts" : [ [ "2012" ] ] }, "page" : "1-36", "title" : "The origins of inequality in chile", "type" : "article-journal" }, "uris" : [ "http://www.mendeley.com/documents/?uuid=beea6aa0-cb26-430e-8421-74b65d4cacbf" ] } ], "mendeley" : { "formattedCitation" : "(Contreras et al. 2012)", "plainTextFormattedCitation" : "(Contreras et al. 2012)", "previouslyFormattedCitation" : "(Contreras et al. 2012)" }, "properties" : { "noteIndex" : 0 }, "schema" : "https://github.com/citation-style-language/schema/raw/master/csl-citation.json" }</w:instrText>
      </w:r>
      <w:r w:rsidR="007B0BC9" w:rsidRPr="00343AC7">
        <w:rPr>
          <w:rFonts w:ascii="Arial" w:hAnsi="Arial" w:cs="Arial"/>
          <w:sz w:val="18"/>
          <w:szCs w:val="18"/>
        </w:rPr>
        <w:fldChar w:fldCharType="separate"/>
      </w:r>
      <w:r w:rsidR="00B46BF1" w:rsidRPr="00343AC7">
        <w:rPr>
          <w:rFonts w:ascii="Arial" w:hAnsi="Arial" w:cs="Arial"/>
          <w:noProof/>
          <w:sz w:val="18"/>
          <w:szCs w:val="18"/>
          <w:lang w:val="es-CL"/>
        </w:rPr>
        <w:t>(Contreras et al. 2012)</w:t>
      </w:r>
      <w:r w:rsidR="007B0BC9" w:rsidRPr="00343AC7">
        <w:rPr>
          <w:rFonts w:ascii="Arial" w:hAnsi="Arial" w:cs="Arial"/>
          <w:sz w:val="18"/>
          <w:szCs w:val="18"/>
        </w:rPr>
        <w:fldChar w:fldCharType="end"/>
      </w:r>
      <w:r w:rsidR="000C2733" w:rsidRPr="00343AC7">
        <w:rPr>
          <w:rFonts w:ascii="Arial" w:hAnsi="Arial" w:cs="Arial"/>
          <w:sz w:val="18"/>
          <w:szCs w:val="18"/>
        </w:rPr>
        <w:t>.</w:t>
      </w:r>
    </w:p>
    <w:p w:rsidR="00615F44" w:rsidRDefault="00615F44" w:rsidP="00892C7B">
      <w:pPr>
        <w:rPr>
          <w:rFonts w:ascii="Arial" w:hAnsi="Arial" w:cs="Arial"/>
          <w:sz w:val="22"/>
          <w:szCs w:val="22"/>
        </w:rPr>
      </w:pPr>
    </w:p>
    <w:p w:rsidR="00DC2DF0" w:rsidRPr="007F4A23" w:rsidRDefault="007B0BC9" w:rsidP="00892C7B">
      <w:pPr>
        <w:rPr>
          <w:rFonts w:ascii="Arial" w:hAnsi="Arial" w:cs="Arial"/>
          <w:sz w:val="22"/>
          <w:szCs w:val="22"/>
        </w:rPr>
      </w:pPr>
      <w:r w:rsidRPr="007F4A23">
        <w:rPr>
          <w:rFonts w:ascii="Arial" w:hAnsi="Arial" w:cs="Arial"/>
          <w:sz w:val="22"/>
          <w:szCs w:val="22"/>
        </w:rPr>
        <w:t xml:space="preserve">Tal como puede observarse los alumnos de establecimientos municipalizados tienen un desempeño inferior </w:t>
      </w:r>
      <w:r w:rsidR="00DC2DF0" w:rsidRPr="007F4A23">
        <w:rPr>
          <w:rFonts w:ascii="Arial" w:hAnsi="Arial" w:cs="Arial"/>
          <w:sz w:val="22"/>
          <w:szCs w:val="22"/>
        </w:rPr>
        <w:t>en alrededor de 15% entre ambos test al ser comparados con los establecimientos de administración privada. Esta heterogeneidad en los desempeños se acrecienta conforme los estudiantes avanzan en su proceso educativo. En particular, si se analiza un conjunto de variables que caracterizan la transición desde la educación secundaria a la terciaria se observan diferencias aún más importantes entre estas tipolog</w:t>
      </w:r>
      <w:r w:rsidR="00B46BF1" w:rsidRPr="007F4A23">
        <w:rPr>
          <w:rFonts w:ascii="Arial" w:hAnsi="Arial" w:cs="Arial"/>
          <w:sz w:val="22"/>
          <w:szCs w:val="22"/>
        </w:rPr>
        <w:t xml:space="preserve">ías. </w:t>
      </w:r>
      <w:r w:rsidR="00D10E93" w:rsidRPr="007F4A23">
        <w:rPr>
          <w:rFonts w:ascii="Arial" w:hAnsi="Arial" w:cs="Arial"/>
          <w:sz w:val="22"/>
          <w:szCs w:val="22"/>
        </w:rPr>
        <w:t>Sobre la base de una cohorte 2006 de alumnos egresados de educación secundaria de una muestra de establecimientos se observa que m</w:t>
      </w:r>
      <w:r w:rsidR="00B46BF1" w:rsidRPr="007F4A23">
        <w:rPr>
          <w:rFonts w:ascii="Arial" w:hAnsi="Arial" w:cs="Arial"/>
          <w:sz w:val="22"/>
          <w:szCs w:val="22"/>
        </w:rPr>
        <w:t xml:space="preserve">ientras el 76,8% de los egresados de establecimientos privados ingresan a la educación superior al año siguiente de su egreso, en el caso de los establecimientos de administración municipal esta cifra alcanza sólo el 28,4%. Si se analiza este mismo dato pero proyectado a 6 años del egreso </w:t>
      </w:r>
      <w:r w:rsidR="00D10E93" w:rsidRPr="007F4A23">
        <w:rPr>
          <w:rFonts w:ascii="Arial" w:hAnsi="Arial" w:cs="Arial"/>
          <w:sz w:val="22"/>
          <w:szCs w:val="22"/>
        </w:rPr>
        <w:t xml:space="preserve">de la cohorte </w:t>
      </w:r>
      <w:r w:rsidR="00B46BF1" w:rsidRPr="007F4A23">
        <w:rPr>
          <w:rFonts w:ascii="Arial" w:hAnsi="Arial" w:cs="Arial"/>
          <w:sz w:val="22"/>
          <w:szCs w:val="22"/>
        </w:rPr>
        <w:t xml:space="preserve">se observa que el 91,7% y el 56,4% de los egresados de colegios particulares y municipalizados respectivamente hacen ingreso a la educación superior </w:t>
      </w:r>
      <w:r w:rsidR="00B46BF1" w:rsidRPr="007F4A23">
        <w:rPr>
          <w:rFonts w:ascii="Arial" w:hAnsi="Arial" w:cs="Arial"/>
          <w:sz w:val="22"/>
          <w:szCs w:val="22"/>
        </w:rPr>
        <w:fldChar w:fldCharType="begin" w:fldLock="1"/>
      </w:r>
      <w:r w:rsidR="00F113D4" w:rsidRPr="007F4A23">
        <w:rPr>
          <w:rFonts w:ascii="Arial" w:hAnsi="Arial" w:cs="Arial"/>
          <w:sz w:val="22"/>
          <w:szCs w:val="22"/>
        </w:rPr>
        <w:instrText>ADDIN CSL_CITATION { "citationItems" : [ { "id" : "ITEM-1", "itemData" : { "author" : [ { "dropping-particle" : "", "family" : "Gonz\u00e1lez", "given" : "Marco", "non-dropping-particle" : "", "parse-names" : false, "suffix" : "" }, { "dropping-particle" : "", "family" : "Elizalde", "given" : "Luna", "non-dropping-particle" : "", "parse-names" : false, "suffix" : "" }, { "dropping-particle" : "", "family" : "Rolando", "given" : "Rodrigo", "non-dropping-particle" : "", "parse-names" : false, "suffix" : "" } ], "id" : "ITEM-1", "issued" : { "date-parts" : [ [ "2014" ] ] }, "page" : "15", "title" : "Transici\u00f3n de a Educaci\u00f3n Superior", "type" : "article-journal" }, "uris" : [ "http://www.mendeley.com/documents/?uuid=dc114c1a-2c5e-4547-9172-85129b3eeee7" ] } ], "mendeley" : { "formattedCitation" : "(Gonz\u00e1lez et al. 2014)", "plainTextFormattedCitation" : "(Gonz\u00e1lez et al. 2014)", "previouslyFormattedCitation" : "(Gonz\u00e1lez et al. 2014)" }, "properties" : { "noteIndex" : 0 }, "schema" : "https://github.com/citation-style-language/schema/raw/master/csl-citation.json" }</w:instrText>
      </w:r>
      <w:r w:rsidR="00B46BF1" w:rsidRPr="007F4A23">
        <w:rPr>
          <w:rFonts w:ascii="Arial" w:hAnsi="Arial" w:cs="Arial"/>
          <w:sz w:val="22"/>
          <w:szCs w:val="22"/>
        </w:rPr>
        <w:fldChar w:fldCharType="separate"/>
      </w:r>
      <w:r w:rsidR="00795AF1" w:rsidRPr="007F4A23">
        <w:rPr>
          <w:rFonts w:ascii="Arial" w:hAnsi="Arial" w:cs="Arial"/>
          <w:noProof/>
          <w:sz w:val="22"/>
          <w:szCs w:val="22"/>
        </w:rPr>
        <w:t>(González et al. 2014)</w:t>
      </w:r>
      <w:r w:rsidR="00B46BF1" w:rsidRPr="007F4A23">
        <w:rPr>
          <w:rFonts w:ascii="Arial" w:hAnsi="Arial" w:cs="Arial"/>
          <w:sz w:val="22"/>
          <w:szCs w:val="22"/>
        </w:rPr>
        <w:fldChar w:fldCharType="end"/>
      </w:r>
      <w:r w:rsidR="00B46BF1" w:rsidRPr="007F4A23">
        <w:rPr>
          <w:rFonts w:ascii="Arial" w:hAnsi="Arial" w:cs="Arial"/>
          <w:sz w:val="22"/>
          <w:szCs w:val="22"/>
        </w:rPr>
        <w:t>.</w:t>
      </w:r>
    </w:p>
    <w:p w:rsidR="004105A3" w:rsidRPr="007F4A23" w:rsidRDefault="004105A3" w:rsidP="00892C7B">
      <w:pPr>
        <w:rPr>
          <w:rFonts w:ascii="Arial" w:hAnsi="Arial" w:cs="Arial"/>
          <w:sz w:val="22"/>
          <w:szCs w:val="22"/>
        </w:rPr>
      </w:pPr>
      <w:r w:rsidRPr="007F4A23">
        <w:rPr>
          <w:rFonts w:ascii="Arial" w:hAnsi="Arial" w:cs="Arial"/>
          <w:sz w:val="22"/>
          <w:szCs w:val="22"/>
        </w:rPr>
        <w:t>Por o</w:t>
      </w:r>
      <w:r w:rsidR="00F7296E" w:rsidRPr="007F4A23">
        <w:rPr>
          <w:rFonts w:ascii="Arial" w:hAnsi="Arial" w:cs="Arial"/>
          <w:sz w:val="22"/>
          <w:szCs w:val="22"/>
        </w:rPr>
        <w:t>tro</w:t>
      </w:r>
      <w:r w:rsidRPr="007F4A23">
        <w:rPr>
          <w:rFonts w:ascii="Arial" w:hAnsi="Arial" w:cs="Arial"/>
          <w:sz w:val="22"/>
          <w:szCs w:val="22"/>
        </w:rPr>
        <w:t xml:space="preserve"> lado, para el caso Chileno </w:t>
      </w:r>
      <w:r w:rsidR="00F7296E" w:rsidRPr="007F4A23">
        <w:rPr>
          <w:rFonts w:ascii="Arial" w:hAnsi="Arial" w:cs="Arial"/>
          <w:sz w:val="22"/>
          <w:szCs w:val="22"/>
        </w:rPr>
        <w:t xml:space="preserve">se </w:t>
      </w:r>
      <w:r w:rsidR="00F4130B" w:rsidRPr="007F4A23">
        <w:rPr>
          <w:rFonts w:ascii="Arial" w:hAnsi="Arial" w:cs="Arial"/>
          <w:sz w:val="22"/>
          <w:szCs w:val="22"/>
        </w:rPr>
        <w:t xml:space="preserve">evidencia </w:t>
      </w:r>
      <w:r w:rsidR="000E04F4" w:rsidRPr="007F4A23">
        <w:rPr>
          <w:rFonts w:ascii="Arial" w:hAnsi="Arial" w:cs="Arial"/>
          <w:sz w:val="22"/>
          <w:szCs w:val="22"/>
        </w:rPr>
        <w:t>e</w:t>
      </w:r>
      <w:r w:rsidR="00F4130B" w:rsidRPr="007F4A23">
        <w:rPr>
          <w:rFonts w:ascii="Arial" w:hAnsi="Arial" w:cs="Arial"/>
          <w:sz w:val="22"/>
          <w:szCs w:val="22"/>
        </w:rPr>
        <w:t>l efecto positivo en los ingresos y salarios de la educación terciaria</w:t>
      </w:r>
      <w:r w:rsidR="00F113D4" w:rsidRPr="007F4A23">
        <w:rPr>
          <w:rFonts w:ascii="Arial" w:hAnsi="Arial" w:cs="Arial"/>
          <w:sz w:val="22"/>
          <w:szCs w:val="22"/>
        </w:rPr>
        <w:t xml:space="preserve">. En efecto, tanto </w:t>
      </w:r>
      <w:r w:rsidR="000E04F4" w:rsidRPr="007F4A23">
        <w:rPr>
          <w:rFonts w:ascii="Arial" w:hAnsi="Arial" w:cs="Arial"/>
          <w:sz w:val="22"/>
          <w:szCs w:val="22"/>
        </w:rPr>
        <w:fldChar w:fldCharType="begin" w:fldLock="1"/>
      </w:r>
      <w:r w:rsidR="00222A4E" w:rsidRPr="007F4A23">
        <w:rPr>
          <w:rFonts w:ascii="Arial" w:hAnsi="Arial" w:cs="Arial"/>
          <w:sz w:val="22"/>
          <w:szCs w:val="22"/>
        </w:rPr>
        <w:instrText>ADDIN CSL_CITATION { "citationItems" : [ { "id" : "ITEM-1", "itemData" : { "DOI" : "10.3386/w18817", "ISBN" : "9781604138795", "author" : [ { "dropping-particle" : "", "family" : "Reyes", "given" : "Loreto", "non-dropping-particle" : "", "parse-names" : false, "suffix" : "" }, { "dropping-particle" : "", "family" : "Rodr\u00edguez", "given" : "Jorge", "non-dropping-particle" : "", "parse-names" : false, "suffix" : "" }, { "dropping-particle" : "", "family" : "Urz\u00faa", "given" : "Sergio", "non-dropping-particle" : "", "parse-names" : false, "suffix" : "" } ], "id" : "ITEM-1", "issued" : { "date-parts" : [ [ "2013", "2" ] ] }, "publisher-place" : "Cambridge, MA", "title" : "Heterogeneous Economic Returns to Postsecondary Degrees: Evidence from Chile", "type" : "report" }, "uris" : [ "http://www.mendeley.com/documents/?uuid=3634f035-540c-4c23-ab0a-7e5734b65c2c" ] } ], "mendeley" : { "formattedCitation" : "(Reyes et al. 2013)", "manualFormatting" : "Reyes et al. (2013)", "plainTextFormattedCitation" : "(Reyes et al. 2013)", "previouslyFormattedCitation" : "(Reyes et al. 2013)" }, "properties" : { "noteIndex" : 0 }, "schema" : "https://github.com/citation-style-language/schema/raw/master/csl-citation.json" }</w:instrText>
      </w:r>
      <w:r w:rsidR="000E04F4" w:rsidRPr="007F4A23">
        <w:rPr>
          <w:rFonts w:ascii="Arial" w:hAnsi="Arial" w:cs="Arial"/>
          <w:sz w:val="22"/>
          <w:szCs w:val="22"/>
        </w:rPr>
        <w:fldChar w:fldCharType="separate"/>
      </w:r>
      <w:r w:rsidR="00795AF1" w:rsidRPr="007F4A23">
        <w:rPr>
          <w:rFonts w:ascii="Arial" w:hAnsi="Arial" w:cs="Arial"/>
          <w:noProof/>
          <w:sz w:val="22"/>
          <w:szCs w:val="22"/>
        </w:rPr>
        <w:t xml:space="preserve">Reyes et al. </w:t>
      </w:r>
      <w:r w:rsidR="001E7A28" w:rsidRPr="007F4A23">
        <w:rPr>
          <w:rFonts w:ascii="Arial" w:hAnsi="Arial" w:cs="Arial"/>
          <w:noProof/>
          <w:sz w:val="22"/>
          <w:szCs w:val="22"/>
        </w:rPr>
        <w:t>(</w:t>
      </w:r>
      <w:r w:rsidR="00795AF1" w:rsidRPr="007F4A23">
        <w:rPr>
          <w:rFonts w:ascii="Arial" w:hAnsi="Arial" w:cs="Arial"/>
          <w:noProof/>
          <w:sz w:val="22"/>
          <w:szCs w:val="22"/>
        </w:rPr>
        <w:t>201</w:t>
      </w:r>
      <w:r w:rsidR="001E7A28" w:rsidRPr="007F4A23">
        <w:rPr>
          <w:rFonts w:ascii="Arial" w:hAnsi="Arial" w:cs="Arial"/>
          <w:noProof/>
          <w:sz w:val="22"/>
          <w:szCs w:val="22"/>
        </w:rPr>
        <w:t>3)</w:t>
      </w:r>
      <w:r w:rsidR="000E04F4" w:rsidRPr="007F4A23">
        <w:rPr>
          <w:rFonts w:ascii="Arial" w:hAnsi="Arial" w:cs="Arial"/>
          <w:sz w:val="22"/>
          <w:szCs w:val="22"/>
        </w:rPr>
        <w:fldChar w:fldCharType="end"/>
      </w:r>
      <w:r w:rsidR="00F4130B" w:rsidRPr="007F4A23">
        <w:rPr>
          <w:rFonts w:ascii="Arial" w:hAnsi="Arial" w:cs="Arial"/>
          <w:sz w:val="22"/>
          <w:szCs w:val="22"/>
        </w:rPr>
        <w:t xml:space="preserve"> </w:t>
      </w:r>
      <w:r w:rsidR="000E04F4" w:rsidRPr="007F4A23">
        <w:rPr>
          <w:rFonts w:ascii="Arial" w:hAnsi="Arial" w:cs="Arial"/>
          <w:sz w:val="22"/>
          <w:szCs w:val="22"/>
        </w:rPr>
        <w:t>,</w:t>
      </w:r>
      <w:r w:rsidR="00795AF1" w:rsidRPr="007F4A23">
        <w:rPr>
          <w:rFonts w:ascii="Arial" w:hAnsi="Arial" w:cs="Arial"/>
          <w:sz w:val="22"/>
          <w:szCs w:val="22"/>
        </w:rPr>
        <w:fldChar w:fldCharType="begin" w:fldLock="1"/>
      </w:r>
      <w:r w:rsidR="001E7A28" w:rsidRPr="007F4A23">
        <w:rPr>
          <w:rFonts w:ascii="Arial" w:hAnsi="Arial" w:cs="Arial"/>
          <w:sz w:val="22"/>
          <w:szCs w:val="22"/>
        </w:rPr>
        <w:instrText>ADDIN CSL_CITATION { "citationItems" : [ { "id" : "ITEM-1", "itemData" : { "abstract" : "Este documento presenta nueva evidencia del rol del sistema de educaci\u00f3n superior como un mecanismo de movilidad social. La visi\u00f3n es s\u00f3lo econ\u00f3mica, poniendo \u00e9nfasis en las condiciones laborales de quienes han pasado por el sistema de educaci\u00f3n superior y la rentabilidad econ\u00f3mica asociada a esta decisi\u00f3n. \u2022 El documento enfatiza la importancia de entregar informaci\u00f3n desagregada (por carrera e instituci\u00f3n) respecto de variables fundamentales que afectan las decisiones de matr\u00edculas de las personas (y sus familias). Se utiliza el caso de las carreras universitarias derecho, psicolog\u00eda, periodismo e ingenier\u00eda comercial como ejemplos. \u2022 Para un porcentaje importante de la poblaci\u00f3n, particularmente aquellos que no se titulan, el paso por el sistema de educaci\u00f3n superior puede no significar mejores condiciones econ\u00f3micas que las que hubiesen tenido en caso de no haber pasado por \u00e9l. Incluso para aquellos titulados de carreras universitarias se documenta la posibilidad emp\u00edrica de retornos negativos. Se propone un ranking en base a la metodolog\u00eda desarrollada en este documento y los datos p\u00fablicos disponibles. \u2022 Se argumenta que m\u00e1s y mejor informaci\u00f3n no solamente asegurar\u00e1 que hogares y personas puedan tomar mejores decisiones, sino que tambi\u00e9n encausar\u00e1 el mejor uso de recursos p\u00fablicos. \u2022 El an\u00e1lisis de este documento demuestra la urgencia de presentar m\u00e1s y mejor evidencia respecto del verdadero rol del sistema de educaci\u00f3n superior como generador de movilidad social. \u00bfContribuye el sistema de educaci\u00f3n superior a la movilidad social? Por supuesto que s\u00ed, toda vez que esta es de calidad y el estudiante tiene la capacidad para aprovecharlo.", "author" : [ { "dropping-particle" : "", "family" : "Urz\u00faa", "given" : "Sergio", "non-dropping-particle" : "", "parse-names" : false, "suffix" : "" } ], "container-title" : "Estudios Publicos - CEP", "id" : "ITEM-1", "issued" : { "date-parts" : [ [ "2012" ] ] }, "page" : "1-43", "title" : "La Rentabilidad de la Educaci\u00f3n Superior en Chile: \u00bf Educacion Superior para todos?", "type" : "article-journal" }, "uris" : [ "http://www.mendeley.com/documents/?uuid=c0c9ecc5-2a46-4be2-bbfd-38307f516239" ] } ], "mendeley" : { "formattedCitation" : "(Urz\u00faa 2012)", "manualFormatting" : "Urz\u00faa (2012)", "plainTextFormattedCitation" : "(Urz\u00faa 2012)", "previouslyFormattedCitation" : "(Urz\u00faa 2012)" }, "properties" : { "noteIndex" : 0 }, "schema" : "https://github.com/citation-style-language/schema/raw/master/csl-citation.json" }</w:instrText>
      </w:r>
      <w:r w:rsidR="00795AF1" w:rsidRPr="007F4A23">
        <w:rPr>
          <w:rFonts w:ascii="Arial" w:hAnsi="Arial" w:cs="Arial"/>
          <w:sz w:val="22"/>
          <w:szCs w:val="22"/>
        </w:rPr>
        <w:fldChar w:fldCharType="separate"/>
      </w:r>
      <w:r w:rsidR="00795AF1" w:rsidRPr="007F4A23">
        <w:rPr>
          <w:rFonts w:ascii="Arial" w:hAnsi="Arial" w:cs="Arial"/>
          <w:noProof/>
          <w:sz w:val="22"/>
          <w:szCs w:val="22"/>
        </w:rPr>
        <w:t xml:space="preserve">Urzúa </w:t>
      </w:r>
      <w:r w:rsidR="001E7A28" w:rsidRPr="007F4A23">
        <w:rPr>
          <w:rFonts w:ascii="Arial" w:hAnsi="Arial" w:cs="Arial"/>
          <w:noProof/>
          <w:sz w:val="22"/>
          <w:szCs w:val="22"/>
        </w:rPr>
        <w:t>(</w:t>
      </w:r>
      <w:r w:rsidR="00795AF1" w:rsidRPr="007F4A23">
        <w:rPr>
          <w:rFonts w:ascii="Arial" w:hAnsi="Arial" w:cs="Arial"/>
          <w:noProof/>
          <w:sz w:val="22"/>
          <w:szCs w:val="22"/>
        </w:rPr>
        <w:t>201</w:t>
      </w:r>
      <w:r w:rsidR="001E7A28" w:rsidRPr="007F4A23">
        <w:rPr>
          <w:rFonts w:ascii="Arial" w:hAnsi="Arial" w:cs="Arial"/>
          <w:noProof/>
          <w:sz w:val="22"/>
          <w:szCs w:val="22"/>
        </w:rPr>
        <w:t>2)</w:t>
      </w:r>
      <w:r w:rsidR="00795AF1" w:rsidRPr="007F4A23">
        <w:rPr>
          <w:rFonts w:ascii="Arial" w:hAnsi="Arial" w:cs="Arial"/>
          <w:sz w:val="22"/>
          <w:szCs w:val="22"/>
        </w:rPr>
        <w:fldChar w:fldCharType="end"/>
      </w:r>
      <w:r w:rsidR="00F113D4" w:rsidRPr="007F4A23">
        <w:rPr>
          <w:rFonts w:ascii="Arial" w:hAnsi="Arial" w:cs="Arial"/>
          <w:sz w:val="22"/>
          <w:szCs w:val="22"/>
        </w:rPr>
        <w:t xml:space="preserve"> como</w:t>
      </w:r>
      <w:r w:rsidR="00795AF1" w:rsidRPr="007F4A23">
        <w:rPr>
          <w:rFonts w:ascii="Arial" w:hAnsi="Arial" w:cs="Arial"/>
          <w:sz w:val="22"/>
          <w:szCs w:val="22"/>
        </w:rPr>
        <w:t xml:space="preserve"> </w:t>
      </w:r>
      <w:r w:rsidR="00795AF1" w:rsidRPr="007F4A23">
        <w:rPr>
          <w:rFonts w:ascii="Arial" w:hAnsi="Arial" w:cs="Arial"/>
          <w:sz w:val="22"/>
          <w:szCs w:val="22"/>
        </w:rPr>
        <w:fldChar w:fldCharType="begin" w:fldLock="1"/>
      </w:r>
      <w:r w:rsidR="001E7A28" w:rsidRPr="007F4A23">
        <w:rPr>
          <w:rFonts w:ascii="Arial" w:hAnsi="Arial" w:cs="Arial"/>
          <w:sz w:val="22"/>
          <w:szCs w:val="22"/>
        </w:rPr>
        <w:instrText>ADDIN CSL_CITATION { "citationItems" : [ { "id" : "ITEM-1", "itemData" : { "author" : [ { "dropping-particle" : "", "family" : "Arellano", "given" : "Soledad", "non-dropping-particle" : "", "parse-names" : false, "suffix" : "" }, { "dropping-particle" : "", "family" : "Braun", "given" : "Matias", "non-dropping-particle" : "", "parse-names" : false, "suffix" : "" } ], "container-title" : "Cuadernos de Economia", "id" : "ITEM-1", "issue" : "107", "issued" : { "date-parts" : [ [ "1999" ] ] }, "page" : "685-724", "title" : "Rentabilidad de la educacion formal en Chile", "type" : "article", "volume" : "36" }, "uris" : [ "http://www.mendeley.com/documents/?uuid=5ac2615f-1884-4d68-a795-fcd7b9920810" ] } ], "mendeley" : { "formattedCitation" : "(Arellano &amp; Braun 1999)", "manualFormatting" : "Arellano &amp; Braun (1999)", "plainTextFormattedCitation" : "(Arellano &amp; Braun 1999)", "previouslyFormattedCitation" : "(Arellano &amp; Braun 1999)" }, "properties" : { "noteIndex" : 0 }, "schema" : "https://github.com/citation-style-language/schema/raw/master/csl-citation.json" }</w:instrText>
      </w:r>
      <w:r w:rsidR="00795AF1" w:rsidRPr="007F4A23">
        <w:rPr>
          <w:rFonts w:ascii="Arial" w:hAnsi="Arial" w:cs="Arial"/>
          <w:sz w:val="22"/>
          <w:szCs w:val="22"/>
        </w:rPr>
        <w:fldChar w:fldCharType="separate"/>
      </w:r>
      <w:r w:rsidR="00795AF1" w:rsidRPr="007F4A23">
        <w:rPr>
          <w:rFonts w:ascii="Arial" w:hAnsi="Arial" w:cs="Arial"/>
          <w:noProof/>
          <w:sz w:val="22"/>
          <w:szCs w:val="22"/>
        </w:rPr>
        <w:t xml:space="preserve">Arellano &amp; Braun </w:t>
      </w:r>
      <w:r w:rsidR="001E7A28" w:rsidRPr="007F4A23">
        <w:rPr>
          <w:rFonts w:ascii="Arial" w:hAnsi="Arial" w:cs="Arial"/>
          <w:noProof/>
          <w:sz w:val="22"/>
          <w:szCs w:val="22"/>
        </w:rPr>
        <w:t>(</w:t>
      </w:r>
      <w:r w:rsidR="00795AF1" w:rsidRPr="007F4A23">
        <w:rPr>
          <w:rFonts w:ascii="Arial" w:hAnsi="Arial" w:cs="Arial"/>
          <w:noProof/>
          <w:sz w:val="22"/>
          <w:szCs w:val="22"/>
        </w:rPr>
        <w:t>199</w:t>
      </w:r>
      <w:r w:rsidR="001E7A28" w:rsidRPr="007F4A23">
        <w:rPr>
          <w:rFonts w:ascii="Arial" w:hAnsi="Arial" w:cs="Arial"/>
          <w:noProof/>
          <w:sz w:val="22"/>
          <w:szCs w:val="22"/>
        </w:rPr>
        <w:t>9)</w:t>
      </w:r>
      <w:r w:rsidR="00795AF1" w:rsidRPr="007F4A23">
        <w:rPr>
          <w:rFonts w:ascii="Arial" w:hAnsi="Arial" w:cs="Arial"/>
          <w:sz w:val="22"/>
          <w:szCs w:val="22"/>
        </w:rPr>
        <w:fldChar w:fldCharType="end"/>
      </w:r>
      <w:r w:rsidR="00F113D4" w:rsidRPr="007F4A23">
        <w:rPr>
          <w:rFonts w:ascii="Arial" w:hAnsi="Arial" w:cs="Arial"/>
          <w:sz w:val="22"/>
          <w:szCs w:val="22"/>
        </w:rPr>
        <w:t xml:space="preserve">, usando distintos métodos y distintos sets de información logran verificar que aquellos sujetos que acceden a educación </w:t>
      </w:r>
      <w:r w:rsidR="002A5329" w:rsidRPr="007F4A23">
        <w:rPr>
          <w:rFonts w:ascii="Arial" w:hAnsi="Arial" w:cs="Arial"/>
          <w:sz w:val="22"/>
          <w:szCs w:val="22"/>
        </w:rPr>
        <w:t xml:space="preserve">terciaria </w:t>
      </w:r>
      <w:r w:rsidR="00F113D4" w:rsidRPr="007F4A23">
        <w:rPr>
          <w:rFonts w:ascii="Arial" w:hAnsi="Arial" w:cs="Arial"/>
          <w:sz w:val="22"/>
          <w:szCs w:val="22"/>
        </w:rPr>
        <w:t xml:space="preserve">presentan, en promedio, mayores niveles de ingreso que los que sólo obtienen niveles de educación menores, </w:t>
      </w:r>
      <w:r w:rsidR="002A5329" w:rsidRPr="007F4A23">
        <w:rPr>
          <w:rFonts w:ascii="Arial" w:hAnsi="Arial" w:cs="Arial"/>
          <w:sz w:val="22"/>
          <w:szCs w:val="22"/>
        </w:rPr>
        <w:t>sea que hayan terminado o no dicho nivel educativo.</w:t>
      </w:r>
    </w:p>
    <w:p w:rsidR="002A5329" w:rsidRPr="007F4A23" w:rsidRDefault="008478DF" w:rsidP="00892C7B">
      <w:pPr>
        <w:rPr>
          <w:rFonts w:ascii="Arial" w:hAnsi="Arial" w:cs="Arial"/>
          <w:sz w:val="22"/>
          <w:szCs w:val="22"/>
        </w:rPr>
      </w:pPr>
      <w:r w:rsidRPr="007F4A23">
        <w:rPr>
          <w:rFonts w:ascii="Arial" w:hAnsi="Arial" w:cs="Arial"/>
          <w:sz w:val="22"/>
          <w:szCs w:val="22"/>
        </w:rPr>
        <w:t>En la misma línea,</w:t>
      </w:r>
      <w:r w:rsidR="002A5329" w:rsidRPr="007F4A23">
        <w:rPr>
          <w:rFonts w:ascii="Arial" w:hAnsi="Arial" w:cs="Arial"/>
          <w:sz w:val="22"/>
          <w:szCs w:val="22"/>
        </w:rPr>
        <w:t xml:space="preserve"> la investigación desarrollada por </w:t>
      </w:r>
      <w:r w:rsidR="002A5329" w:rsidRPr="007F4A23">
        <w:rPr>
          <w:rFonts w:ascii="Arial" w:hAnsi="Arial" w:cs="Arial"/>
          <w:sz w:val="22"/>
          <w:szCs w:val="22"/>
        </w:rPr>
        <w:fldChar w:fldCharType="begin" w:fldLock="1"/>
      </w:r>
      <w:r w:rsidR="002A5329" w:rsidRPr="007F4A23">
        <w:rPr>
          <w:rFonts w:ascii="Arial" w:hAnsi="Arial" w:cs="Arial"/>
          <w:sz w:val="22"/>
          <w:szCs w:val="22"/>
        </w:rPr>
        <w:instrText>ADDIN CSL_CITATION { "citationItems" : [ { "id" : "ITEM-1", "itemData" : { "author" : [ { "dropping-particle" : "", "family" : "Contreras", "given" : "Dante", "non-dropping-particle" : "", "parse-names" : false, "suffix" : "" }, { "dropping-particle" : "", "family" : "Rodr", "given" : "Jorge", "non-dropping-particle" : "", "parse-names" : false, "suffix" : "" }, { "dropping-particle" : "", "family" : "Bank", "given" : "Inter-american Development", "non-dropping-particle" : "", "parse-names" : false, "suffix" : "" }, { "dropping-particle" : "", "family" : "Urz", "given" : "Sergio", "non-dropping-particle" : "", "parse-names" : false, "suffix" : "" } ], "id" : "ITEM-1", "issued" : { "date-parts" : [ [ "2012" ] ] }, "page" : "1-36", "title" : "The origins of inequality in chile", "type" : "article-journal" }, "uris" : [ "http://www.mendeley.com/documents/?uuid=beea6aa0-cb26-430e-8421-74b65d4cacbf" ] } ], "mendeley" : { "formattedCitation" : "(Contreras et al. 2012)", "manualFormatting" : "Contreras et al. 2012", "plainTextFormattedCitation" : "(Contreras et al. 2012)", "previouslyFormattedCitation" : "(Contreras et al. 2012)" }, "properties" : { "noteIndex" : 0 }, "schema" : "https://github.com/citation-style-language/schema/raw/master/csl-citation.json" }</w:instrText>
      </w:r>
      <w:r w:rsidR="002A5329" w:rsidRPr="007F4A23">
        <w:rPr>
          <w:rFonts w:ascii="Arial" w:hAnsi="Arial" w:cs="Arial"/>
          <w:sz w:val="22"/>
          <w:szCs w:val="22"/>
        </w:rPr>
        <w:fldChar w:fldCharType="separate"/>
      </w:r>
      <w:r w:rsidR="002A5329" w:rsidRPr="007F4A23">
        <w:rPr>
          <w:rFonts w:ascii="Arial" w:hAnsi="Arial" w:cs="Arial"/>
          <w:noProof/>
          <w:sz w:val="22"/>
          <w:szCs w:val="22"/>
        </w:rPr>
        <w:t>Contreras et al. 2012</w:t>
      </w:r>
      <w:r w:rsidR="002A5329" w:rsidRPr="007F4A23">
        <w:rPr>
          <w:rFonts w:ascii="Arial" w:hAnsi="Arial" w:cs="Arial"/>
          <w:sz w:val="22"/>
          <w:szCs w:val="22"/>
        </w:rPr>
        <w:fldChar w:fldCharType="end"/>
      </w:r>
      <w:r w:rsidR="002A5329" w:rsidRPr="007F4A23">
        <w:rPr>
          <w:rFonts w:ascii="Arial" w:hAnsi="Arial" w:cs="Arial"/>
          <w:sz w:val="22"/>
          <w:szCs w:val="22"/>
        </w:rPr>
        <w:t xml:space="preserve"> permite conjugar simultáneamente el efecto de haber estudiado en establecimientos de distinta dependencia (municipales y privados) y el haber alcanzado distintos niveles de educación, observ</w:t>
      </w:r>
      <w:r w:rsidRPr="007F4A23">
        <w:rPr>
          <w:rFonts w:ascii="Arial" w:hAnsi="Arial" w:cs="Arial"/>
          <w:sz w:val="22"/>
          <w:szCs w:val="22"/>
        </w:rPr>
        <w:t>ándose que los sujetos que estudiaron en establecimientos municipalizados presentan en promedio menores niveles de ingreso que aquellos que estudiaron en establecimientos privados y que dicha diferencia se debe en parte a una menor proporción de los primeros que ingresan y que finalizan la educación superior.</w:t>
      </w:r>
    </w:p>
    <w:p w:rsidR="00244D72" w:rsidRPr="007F4A23" w:rsidRDefault="008478DF" w:rsidP="00892C7B">
      <w:pPr>
        <w:rPr>
          <w:rFonts w:ascii="Arial" w:hAnsi="Arial" w:cs="Arial"/>
          <w:sz w:val="22"/>
          <w:szCs w:val="22"/>
        </w:rPr>
      </w:pPr>
      <w:r w:rsidRPr="007F4A23">
        <w:rPr>
          <w:rFonts w:ascii="Arial" w:hAnsi="Arial" w:cs="Arial"/>
          <w:sz w:val="22"/>
          <w:szCs w:val="22"/>
        </w:rPr>
        <w:t xml:space="preserve">Finalmente resulta necesario determinar en </w:t>
      </w:r>
      <w:r w:rsidR="00F01BCC" w:rsidRPr="007F4A23">
        <w:rPr>
          <w:rFonts w:ascii="Arial" w:hAnsi="Arial" w:cs="Arial"/>
          <w:sz w:val="22"/>
          <w:szCs w:val="22"/>
        </w:rPr>
        <w:t>qué</w:t>
      </w:r>
      <w:r w:rsidRPr="007F4A23">
        <w:rPr>
          <w:rFonts w:ascii="Arial" w:hAnsi="Arial" w:cs="Arial"/>
          <w:sz w:val="22"/>
          <w:szCs w:val="22"/>
        </w:rPr>
        <w:t xml:space="preserve"> medida programas de naturaleza similar al Programa de Fortalecimiento de la Gestión del Sector Educativo contribuyen a mejorar el desempeño de dichos establecimientos. </w:t>
      </w:r>
    </w:p>
    <w:p w:rsidR="00DC2DF0" w:rsidRPr="007F4A23" w:rsidRDefault="00DC2DF0" w:rsidP="00892C7B">
      <w:pPr>
        <w:rPr>
          <w:rFonts w:ascii="Arial" w:hAnsi="Arial" w:cs="Arial"/>
          <w:sz w:val="22"/>
          <w:szCs w:val="22"/>
        </w:rPr>
      </w:pPr>
      <w:r w:rsidRPr="007F4A23">
        <w:rPr>
          <w:rFonts w:ascii="Arial" w:hAnsi="Arial" w:cs="Arial"/>
          <w:sz w:val="22"/>
          <w:szCs w:val="22"/>
        </w:rPr>
        <w:t xml:space="preserve"> </w:t>
      </w:r>
    </w:p>
    <w:p w:rsidR="00F70BC2" w:rsidRPr="007F4A23" w:rsidRDefault="00F70BC2" w:rsidP="003A542A">
      <w:pPr>
        <w:numPr>
          <w:ilvl w:val="0"/>
          <w:numId w:val="22"/>
        </w:numPr>
        <w:rPr>
          <w:rFonts w:ascii="Arial" w:hAnsi="Arial" w:cs="Arial"/>
          <w:sz w:val="22"/>
          <w:szCs w:val="22"/>
        </w:rPr>
      </w:pPr>
      <w:r w:rsidRPr="007F4A23">
        <w:rPr>
          <w:rFonts w:ascii="Arial" w:hAnsi="Arial" w:cs="Arial"/>
          <w:sz w:val="22"/>
          <w:szCs w:val="22"/>
        </w:rPr>
        <w:t>Supuestos</w:t>
      </w:r>
    </w:p>
    <w:p w:rsidR="001E7A28" w:rsidRPr="007F4A23" w:rsidRDefault="001E7A28" w:rsidP="00802ADB">
      <w:pPr>
        <w:rPr>
          <w:rFonts w:ascii="Arial" w:hAnsi="Arial" w:cs="Arial"/>
          <w:sz w:val="22"/>
          <w:szCs w:val="22"/>
        </w:rPr>
      </w:pPr>
      <w:r w:rsidRPr="007F4A23">
        <w:rPr>
          <w:rFonts w:ascii="Arial" w:hAnsi="Arial" w:cs="Arial"/>
          <w:sz w:val="22"/>
          <w:szCs w:val="22"/>
        </w:rPr>
        <w:t>Dada la no existencia de evidencia que permita vincular directamente la implementación de acciones como las contempladas en el programa con efectos tales como el aumento en los ingresos de los sujetos que estudian en establecimientos en los que se implementa este tipo de transformaciones una vez que se incorporen a la fuerza de trabajo, para efectos de la estimación de los beneficios directos del Programa se establecen los siguientes supuestos:</w:t>
      </w:r>
    </w:p>
    <w:p w:rsidR="001E7A28" w:rsidRPr="007F4A23" w:rsidRDefault="001E7A28" w:rsidP="001E7A28">
      <w:pPr>
        <w:numPr>
          <w:ilvl w:val="1"/>
          <w:numId w:val="22"/>
        </w:numPr>
        <w:rPr>
          <w:rFonts w:ascii="Arial" w:hAnsi="Arial" w:cs="Arial"/>
          <w:sz w:val="22"/>
          <w:szCs w:val="22"/>
        </w:rPr>
      </w:pPr>
      <w:r w:rsidRPr="007F4A23">
        <w:rPr>
          <w:rFonts w:ascii="Arial" w:hAnsi="Arial" w:cs="Arial"/>
          <w:sz w:val="22"/>
          <w:szCs w:val="22"/>
        </w:rPr>
        <w:lastRenderedPageBreak/>
        <w:t>La tasa de descuento utilizada es del 12%, según el estándar del Banco.</w:t>
      </w:r>
    </w:p>
    <w:p w:rsidR="000D6064" w:rsidRPr="00343AC7" w:rsidRDefault="000D6064" w:rsidP="00923518">
      <w:pPr>
        <w:numPr>
          <w:ilvl w:val="1"/>
          <w:numId w:val="22"/>
        </w:numPr>
        <w:rPr>
          <w:rFonts w:ascii="Arial" w:hAnsi="Arial" w:cs="Arial"/>
          <w:sz w:val="22"/>
          <w:szCs w:val="22"/>
        </w:rPr>
      </w:pPr>
      <w:r w:rsidRPr="00343AC7">
        <w:rPr>
          <w:rFonts w:ascii="Arial" w:hAnsi="Arial" w:cs="Arial"/>
          <w:sz w:val="22"/>
          <w:szCs w:val="22"/>
        </w:rPr>
        <w:t xml:space="preserve">Si bien se espera que en el mediano y largo plazo la nueva institucionalidad de la educación pública tendrá como efecto una mayor porcentaje de estudiantes matriculados en escuelas públicas en primaria y media, transformando la tendencia decreciente observada en los últimos años, en las estimaciones de los beneficios </w:t>
      </w:r>
      <w:r w:rsidR="005C7C86" w:rsidRPr="00343AC7">
        <w:rPr>
          <w:rFonts w:ascii="Arial" w:hAnsi="Arial" w:cs="Arial"/>
          <w:sz w:val="22"/>
          <w:szCs w:val="22"/>
        </w:rPr>
        <w:t xml:space="preserve">aquí realizada </w:t>
      </w:r>
      <w:r w:rsidRPr="00343AC7">
        <w:rPr>
          <w:rFonts w:ascii="Arial" w:hAnsi="Arial" w:cs="Arial"/>
          <w:sz w:val="22"/>
          <w:szCs w:val="22"/>
        </w:rPr>
        <w:t xml:space="preserve">se utiliza un supuesto más conservador donde el sector público mantiene el nivel actual de participación en la matrícula total del país. </w:t>
      </w:r>
    </w:p>
    <w:p w:rsidR="001E7A28" w:rsidRPr="007F4A23" w:rsidRDefault="001E7A28" w:rsidP="00923518">
      <w:pPr>
        <w:numPr>
          <w:ilvl w:val="1"/>
          <w:numId w:val="22"/>
        </w:numPr>
        <w:rPr>
          <w:rFonts w:ascii="Arial" w:hAnsi="Arial" w:cs="Arial"/>
          <w:sz w:val="22"/>
          <w:szCs w:val="22"/>
        </w:rPr>
      </w:pPr>
      <w:r w:rsidRPr="007F4A23">
        <w:rPr>
          <w:rFonts w:ascii="Arial" w:hAnsi="Arial" w:cs="Arial"/>
          <w:sz w:val="22"/>
          <w:szCs w:val="22"/>
        </w:rPr>
        <w:t xml:space="preserve">Puesto que no se cuenta con evidencia explícita que permita identificar el grado en que sujetos que estudiaron en establecimientos que operarán bajo la nueva modalidad de administración, las estimaciones de beneficios directos de esta evaluación sólo se limitan a suponer que el </w:t>
      </w:r>
      <w:r w:rsidRPr="007F4A23">
        <w:rPr>
          <w:rFonts w:ascii="Arial" w:hAnsi="Arial" w:cs="Arial"/>
          <w:b/>
          <w:sz w:val="22"/>
          <w:szCs w:val="22"/>
        </w:rPr>
        <w:t xml:space="preserve">efecto del </w:t>
      </w:r>
      <w:r w:rsidR="00067697" w:rsidRPr="007F4A23">
        <w:rPr>
          <w:rFonts w:ascii="Arial" w:hAnsi="Arial" w:cs="Arial"/>
          <w:b/>
          <w:sz w:val="22"/>
          <w:szCs w:val="22"/>
        </w:rPr>
        <w:t>Programa consistirá de un</w:t>
      </w:r>
      <w:r w:rsidRPr="007F4A23">
        <w:rPr>
          <w:rFonts w:ascii="Arial" w:hAnsi="Arial" w:cs="Arial"/>
          <w:b/>
          <w:sz w:val="22"/>
          <w:szCs w:val="22"/>
        </w:rPr>
        <w:t xml:space="preserve"> aumento en distintas magnitudes de la </w:t>
      </w:r>
      <w:r w:rsidR="00AC4499" w:rsidRPr="007F4A23">
        <w:rPr>
          <w:rFonts w:ascii="Arial" w:hAnsi="Arial" w:cs="Arial"/>
          <w:b/>
          <w:sz w:val="22"/>
          <w:szCs w:val="22"/>
        </w:rPr>
        <w:t>proporción</w:t>
      </w:r>
      <w:r w:rsidRPr="007F4A23">
        <w:rPr>
          <w:rFonts w:ascii="Arial" w:hAnsi="Arial" w:cs="Arial"/>
          <w:b/>
          <w:sz w:val="22"/>
          <w:szCs w:val="22"/>
        </w:rPr>
        <w:t xml:space="preserve"> de sujetos que hace ingreso a la educación terciaria</w:t>
      </w:r>
      <w:r w:rsidR="00067697" w:rsidRPr="007F4A23">
        <w:rPr>
          <w:rFonts w:ascii="Arial" w:hAnsi="Arial" w:cs="Arial"/>
          <w:sz w:val="22"/>
          <w:szCs w:val="22"/>
        </w:rPr>
        <w:t xml:space="preserve"> y la modificación que se produce en sus ingresos producto del paso por dicho nivel educacional, ya sea para sujetos que lo completan como para aquellos que no lo completan</w:t>
      </w:r>
    </w:p>
    <w:p w:rsidR="001E7A28" w:rsidRPr="007F4A23" w:rsidRDefault="001E7A28" w:rsidP="001E7A28">
      <w:pPr>
        <w:numPr>
          <w:ilvl w:val="1"/>
          <w:numId w:val="22"/>
        </w:numPr>
        <w:rPr>
          <w:rFonts w:ascii="Arial" w:hAnsi="Arial" w:cs="Arial"/>
          <w:sz w:val="22"/>
          <w:szCs w:val="22"/>
        </w:rPr>
      </w:pPr>
      <w:r w:rsidRPr="007F4A23">
        <w:rPr>
          <w:rFonts w:ascii="Arial" w:hAnsi="Arial" w:cs="Arial"/>
          <w:sz w:val="22"/>
          <w:szCs w:val="22"/>
        </w:rPr>
        <w:t>Una vez ingresados a la educación terciaria los usuarios del Programa alcanzarán la tasa actual de éxito en el término de dicho nivel educativo</w:t>
      </w:r>
      <w:r w:rsidR="00FC69F8" w:rsidRPr="007F4A23">
        <w:rPr>
          <w:rFonts w:ascii="Arial" w:hAnsi="Arial" w:cs="Arial"/>
          <w:sz w:val="22"/>
          <w:szCs w:val="22"/>
        </w:rPr>
        <w:t xml:space="preserve"> (35%)</w:t>
      </w:r>
      <w:r w:rsidR="00FC69F8" w:rsidRPr="007F4A23">
        <w:rPr>
          <w:rStyle w:val="FootnoteReference"/>
          <w:rFonts w:ascii="Arial" w:hAnsi="Arial" w:cs="Arial"/>
          <w:sz w:val="22"/>
          <w:szCs w:val="22"/>
        </w:rPr>
        <w:footnoteReference w:id="2"/>
      </w:r>
      <w:r w:rsidRPr="007F4A23">
        <w:rPr>
          <w:rFonts w:ascii="Arial" w:hAnsi="Arial" w:cs="Arial"/>
          <w:sz w:val="22"/>
          <w:szCs w:val="22"/>
        </w:rPr>
        <w:t xml:space="preserve">. Es por lo anterior que los beneficios del Programa estimados de esta forma no serán el resultado de una mayor tasa de aprobación de educación terciaria sino que solamente el producto de una mayor cantidad de sujetos egresados de los establecimientos emplazados en territorios donde </w:t>
      </w:r>
      <w:r w:rsidR="00F7296E" w:rsidRPr="007F4A23">
        <w:rPr>
          <w:rFonts w:ascii="Arial" w:hAnsi="Arial" w:cs="Arial"/>
          <w:sz w:val="22"/>
          <w:szCs w:val="22"/>
        </w:rPr>
        <w:t xml:space="preserve">el </w:t>
      </w:r>
      <w:r w:rsidR="00D10E93" w:rsidRPr="007F4A23">
        <w:rPr>
          <w:rFonts w:ascii="Arial" w:hAnsi="Arial" w:cs="Arial"/>
          <w:sz w:val="22"/>
          <w:szCs w:val="22"/>
        </w:rPr>
        <w:t>P</w:t>
      </w:r>
      <w:r w:rsidRPr="007F4A23">
        <w:rPr>
          <w:rFonts w:ascii="Arial" w:hAnsi="Arial" w:cs="Arial"/>
          <w:sz w:val="22"/>
          <w:szCs w:val="22"/>
        </w:rPr>
        <w:t>rograma se implementará</w:t>
      </w:r>
      <w:r w:rsidR="00052C7C" w:rsidRPr="007F4A23">
        <w:rPr>
          <w:rFonts w:ascii="Arial" w:hAnsi="Arial" w:cs="Arial"/>
          <w:sz w:val="22"/>
          <w:szCs w:val="22"/>
        </w:rPr>
        <w:t xml:space="preserve"> </w:t>
      </w:r>
      <w:r w:rsidR="00FC69F8" w:rsidRPr="007F4A23">
        <w:rPr>
          <w:rFonts w:ascii="Arial" w:hAnsi="Arial" w:cs="Arial"/>
          <w:sz w:val="22"/>
          <w:szCs w:val="22"/>
        </w:rPr>
        <w:t xml:space="preserve">que ingresan a la educación terciaria </w:t>
      </w:r>
      <w:r w:rsidR="00052C7C" w:rsidRPr="007F4A23">
        <w:rPr>
          <w:rFonts w:ascii="Arial" w:hAnsi="Arial" w:cs="Arial"/>
          <w:sz w:val="22"/>
          <w:szCs w:val="22"/>
        </w:rPr>
        <w:t>y por lo tanto, una mayor cantidad de sujetos accediendo a ingresos mayores producto de alcanzar niveles educacionales educación terciaria completa o incompleta</w:t>
      </w:r>
      <w:r w:rsidR="00AC4499" w:rsidRPr="007F4A23">
        <w:rPr>
          <w:rFonts w:ascii="Arial" w:hAnsi="Arial" w:cs="Arial"/>
          <w:sz w:val="22"/>
          <w:szCs w:val="22"/>
        </w:rPr>
        <w:t>.</w:t>
      </w:r>
    </w:p>
    <w:p w:rsidR="00CC6957" w:rsidRPr="007F4A23" w:rsidRDefault="00CC6957" w:rsidP="001E7A28">
      <w:pPr>
        <w:numPr>
          <w:ilvl w:val="1"/>
          <w:numId w:val="22"/>
        </w:numPr>
        <w:rPr>
          <w:rFonts w:ascii="Arial" w:hAnsi="Arial" w:cs="Arial"/>
          <w:sz w:val="22"/>
          <w:szCs w:val="22"/>
        </w:rPr>
      </w:pPr>
      <w:r w:rsidRPr="007F4A23">
        <w:rPr>
          <w:rFonts w:ascii="Arial" w:hAnsi="Arial" w:cs="Arial"/>
          <w:sz w:val="22"/>
          <w:szCs w:val="22"/>
        </w:rPr>
        <w:t>Considerando la longevidad del actual modelo de educación municipalizada se efectuará las estimaciones asumiendo un horizonte temporal de 30 años como duración de la nueva política pública.</w:t>
      </w:r>
    </w:p>
    <w:p w:rsidR="00AC4499" w:rsidRPr="007F4A23" w:rsidRDefault="00AC4499" w:rsidP="001E7A28">
      <w:pPr>
        <w:numPr>
          <w:ilvl w:val="1"/>
          <w:numId w:val="22"/>
        </w:numPr>
        <w:rPr>
          <w:rFonts w:ascii="Arial" w:hAnsi="Arial" w:cs="Arial"/>
          <w:sz w:val="22"/>
          <w:szCs w:val="22"/>
        </w:rPr>
      </w:pPr>
      <w:r w:rsidRPr="007F4A23">
        <w:rPr>
          <w:rFonts w:ascii="Arial" w:hAnsi="Arial" w:cs="Arial"/>
          <w:sz w:val="22"/>
          <w:szCs w:val="22"/>
        </w:rPr>
        <w:t>Se establecen tres escenarios distintos sobre la base de tres tasas de ingreso a la educación terciaria:</w:t>
      </w:r>
    </w:p>
    <w:p w:rsidR="00AC4499" w:rsidRPr="007F4A23" w:rsidRDefault="00AC4499" w:rsidP="00AC4499">
      <w:pPr>
        <w:numPr>
          <w:ilvl w:val="2"/>
          <w:numId w:val="22"/>
        </w:numPr>
        <w:rPr>
          <w:rFonts w:ascii="Arial" w:hAnsi="Arial" w:cs="Arial"/>
          <w:sz w:val="22"/>
          <w:szCs w:val="22"/>
        </w:rPr>
      </w:pPr>
      <w:r w:rsidRPr="007F4A23">
        <w:rPr>
          <w:rFonts w:ascii="Arial" w:hAnsi="Arial" w:cs="Arial"/>
          <w:sz w:val="22"/>
          <w:szCs w:val="22"/>
        </w:rPr>
        <w:t xml:space="preserve">Escenario 1 (E1): Aumento en la tasa de ingreso a la educación terciaria </w:t>
      </w:r>
      <w:r w:rsidR="00D10E93" w:rsidRPr="007F4A23">
        <w:rPr>
          <w:rFonts w:ascii="Arial" w:hAnsi="Arial" w:cs="Arial"/>
          <w:sz w:val="22"/>
          <w:szCs w:val="22"/>
        </w:rPr>
        <w:t>2</w:t>
      </w:r>
      <w:r w:rsidRPr="007F4A23">
        <w:rPr>
          <w:rFonts w:ascii="Arial" w:hAnsi="Arial" w:cs="Arial"/>
          <w:sz w:val="22"/>
          <w:szCs w:val="22"/>
        </w:rPr>
        <w:t>% mayor a la tasa actual (56,4%)</w:t>
      </w:r>
    </w:p>
    <w:p w:rsidR="00F70BC2" w:rsidRPr="007F4A23" w:rsidRDefault="00AC4499" w:rsidP="003A542A">
      <w:pPr>
        <w:numPr>
          <w:ilvl w:val="2"/>
          <w:numId w:val="22"/>
        </w:numPr>
        <w:rPr>
          <w:rFonts w:ascii="Arial" w:hAnsi="Arial" w:cs="Arial"/>
          <w:sz w:val="22"/>
          <w:szCs w:val="22"/>
        </w:rPr>
      </w:pPr>
      <w:r w:rsidRPr="007F4A23">
        <w:rPr>
          <w:rFonts w:ascii="Arial" w:hAnsi="Arial" w:cs="Arial"/>
          <w:sz w:val="22"/>
          <w:szCs w:val="22"/>
        </w:rPr>
        <w:t xml:space="preserve">Escenarios 2 (E2): Aumento en la tasa de ingreso a la educación terciaria </w:t>
      </w:r>
      <w:r w:rsidR="00D10E93" w:rsidRPr="007F4A23">
        <w:rPr>
          <w:rFonts w:ascii="Arial" w:hAnsi="Arial" w:cs="Arial"/>
          <w:sz w:val="22"/>
          <w:szCs w:val="22"/>
        </w:rPr>
        <w:t>5</w:t>
      </w:r>
      <w:r w:rsidRPr="007F4A23">
        <w:rPr>
          <w:rFonts w:ascii="Arial" w:hAnsi="Arial" w:cs="Arial"/>
          <w:sz w:val="22"/>
          <w:szCs w:val="22"/>
        </w:rPr>
        <w:t>% mayor a la tasa actual (56,4%)</w:t>
      </w:r>
    </w:p>
    <w:p w:rsidR="00AC4499" w:rsidRPr="007F4A23" w:rsidRDefault="00AC4499" w:rsidP="003A542A">
      <w:pPr>
        <w:numPr>
          <w:ilvl w:val="2"/>
          <w:numId w:val="22"/>
        </w:numPr>
        <w:rPr>
          <w:rFonts w:ascii="Arial" w:hAnsi="Arial" w:cs="Arial"/>
          <w:sz w:val="22"/>
          <w:szCs w:val="22"/>
        </w:rPr>
      </w:pPr>
      <w:r w:rsidRPr="007F4A23">
        <w:rPr>
          <w:rFonts w:ascii="Arial" w:hAnsi="Arial" w:cs="Arial"/>
          <w:sz w:val="22"/>
          <w:szCs w:val="22"/>
        </w:rPr>
        <w:t xml:space="preserve">Escenarios 3 (E3): Aumento en la tasa de ingreso a la educación terciaria </w:t>
      </w:r>
      <w:r w:rsidR="00D10E93" w:rsidRPr="007F4A23">
        <w:rPr>
          <w:rFonts w:ascii="Arial" w:hAnsi="Arial" w:cs="Arial"/>
          <w:sz w:val="22"/>
          <w:szCs w:val="22"/>
        </w:rPr>
        <w:t>10</w:t>
      </w:r>
      <w:r w:rsidRPr="007F4A23">
        <w:rPr>
          <w:rFonts w:ascii="Arial" w:hAnsi="Arial" w:cs="Arial"/>
          <w:sz w:val="22"/>
          <w:szCs w:val="22"/>
        </w:rPr>
        <w:t>% mayor a la tasa actual (56,4%)</w:t>
      </w:r>
    </w:p>
    <w:p w:rsidR="00AC4499" w:rsidRPr="007F4A23" w:rsidRDefault="00AC4499" w:rsidP="00AC4499">
      <w:pPr>
        <w:rPr>
          <w:rFonts w:ascii="Arial" w:hAnsi="Arial" w:cs="Arial"/>
          <w:sz w:val="22"/>
          <w:szCs w:val="22"/>
        </w:rPr>
      </w:pPr>
      <w:r w:rsidRPr="007F4A23">
        <w:rPr>
          <w:rFonts w:ascii="Arial" w:hAnsi="Arial" w:cs="Arial"/>
          <w:sz w:val="22"/>
          <w:szCs w:val="22"/>
        </w:rPr>
        <w:t>Considerando el hecho de que la tasa de ingreso a la educación terciaria actual de los estudiantes de establecimientos particulares es de 91,7%</w:t>
      </w:r>
      <w:r w:rsidR="002C06CC" w:rsidRPr="007F4A23">
        <w:rPr>
          <w:rFonts w:ascii="Arial" w:hAnsi="Arial" w:cs="Arial"/>
          <w:sz w:val="22"/>
          <w:szCs w:val="22"/>
        </w:rPr>
        <w:t>, cualquiera sea el escenario</w:t>
      </w:r>
      <w:r w:rsidR="00297EC9" w:rsidRPr="007F4A23">
        <w:rPr>
          <w:rFonts w:ascii="Arial" w:hAnsi="Arial" w:cs="Arial"/>
          <w:sz w:val="22"/>
          <w:szCs w:val="22"/>
        </w:rPr>
        <w:t xml:space="preserve"> el porcentaje de alumnos ingresados a la educación terciaria de establecimientos </w:t>
      </w:r>
      <w:r w:rsidR="002C06CC" w:rsidRPr="007F4A23">
        <w:rPr>
          <w:rFonts w:ascii="Arial" w:hAnsi="Arial" w:cs="Arial"/>
          <w:sz w:val="22"/>
          <w:szCs w:val="22"/>
        </w:rPr>
        <w:t>en los que se implementará el Programa</w:t>
      </w:r>
      <w:r w:rsidR="00297EC9" w:rsidRPr="007F4A23">
        <w:rPr>
          <w:rFonts w:ascii="Arial" w:hAnsi="Arial" w:cs="Arial"/>
          <w:sz w:val="22"/>
          <w:szCs w:val="22"/>
        </w:rPr>
        <w:t xml:space="preserve"> será menor</w:t>
      </w:r>
      <w:r w:rsidR="002C06CC" w:rsidRPr="007F4A23">
        <w:rPr>
          <w:rFonts w:ascii="Arial" w:hAnsi="Arial" w:cs="Arial"/>
          <w:sz w:val="22"/>
          <w:szCs w:val="22"/>
        </w:rPr>
        <w:t xml:space="preserve"> a dicha cifra (66,4% en el caso del </w:t>
      </w:r>
      <w:r w:rsidR="002C06CC" w:rsidRPr="007F4A23">
        <w:rPr>
          <w:rFonts w:ascii="Arial" w:hAnsi="Arial" w:cs="Arial"/>
          <w:sz w:val="22"/>
          <w:szCs w:val="22"/>
        </w:rPr>
        <w:lastRenderedPageBreak/>
        <w:t>escenario 3)</w:t>
      </w:r>
      <w:r w:rsidR="00297EC9" w:rsidRPr="007F4A23">
        <w:rPr>
          <w:rFonts w:ascii="Arial" w:hAnsi="Arial" w:cs="Arial"/>
          <w:sz w:val="22"/>
          <w:szCs w:val="22"/>
        </w:rPr>
        <w:t xml:space="preserve">. De la misma forma, considerando los hallazgos de </w:t>
      </w:r>
      <w:r w:rsidR="00297EC9" w:rsidRPr="007F4A23">
        <w:rPr>
          <w:rFonts w:ascii="Arial" w:hAnsi="Arial" w:cs="Arial"/>
          <w:sz w:val="22"/>
          <w:szCs w:val="22"/>
        </w:rPr>
        <w:fldChar w:fldCharType="begin" w:fldLock="1"/>
      </w:r>
      <w:r w:rsidR="00222A4E" w:rsidRPr="007F4A23">
        <w:rPr>
          <w:rFonts w:ascii="Arial" w:hAnsi="Arial" w:cs="Arial"/>
          <w:sz w:val="22"/>
          <w:szCs w:val="22"/>
        </w:rPr>
        <w:instrText>ADDIN CSL_CITATION { "citationItems" : [ { "id" : "ITEM-1", "itemData" : { "author" : [ { "dropping-particle" : "", "family" : "Whitehurst", "given" : "Grover J Russ", "non-dropping-particle" : "", "parse-names" : false, "suffix" : "" }, { "dropping-particle" : "", "family" : "Chingos", "given" : "Matthew M", "non-dropping-particle" : "", "parse-names" : false, "suffix" : "" }, { "dropping-particle" : "", "family" : "Gallaher", "given" : "Michael R", "non-dropping-particle" : "", "parse-names" : false, "suffix" : "" } ], "id" : "ITEM-1", "issue" : "March", "issued" : { "date-parts" : [ [ "2013" ] ] }, "title" : "Do School District Matter?", "type" : "article-journal" }, "uris" : [ "http://www.mendeley.com/documents/?uuid=848a77a7-c758-4c1d-a94b-cb75a14312de" ] } ], "mendeley" : { "formattedCitation" : "(Whitehurst et al. 2013)", "manualFormatting" : "Whitehurst et al. 2013", "plainTextFormattedCitation" : "(Whitehurst et al. 2013)", "previouslyFormattedCitation" : "(Whitehurst et al. 2013)" }, "properties" : { "noteIndex" : 0 }, "schema" : "https://github.com/citation-style-language/schema/raw/master/csl-citation.json" }</w:instrText>
      </w:r>
      <w:r w:rsidR="00297EC9" w:rsidRPr="007F4A23">
        <w:rPr>
          <w:rFonts w:ascii="Arial" w:hAnsi="Arial" w:cs="Arial"/>
          <w:sz w:val="22"/>
          <w:szCs w:val="22"/>
        </w:rPr>
        <w:fldChar w:fldCharType="separate"/>
      </w:r>
      <w:r w:rsidR="00297EC9" w:rsidRPr="007F4A23">
        <w:rPr>
          <w:rFonts w:ascii="Arial" w:hAnsi="Arial" w:cs="Arial"/>
          <w:noProof/>
          <w:sz w:val="22"/>
          <w:szCs w:val="22"/>
        </w:rPr>
        <w:t>Whitehurst et al. 2013</w:t>
      </w:r>
      <w:r w:rsidR="00297EC9" w:rsidRPr="007F4A23">
        <w:rPr>
          <w:rFonts w:ascii="Arial" w:hAnsi="Arial" w:cs="Arial"/>
          <w:sz w:val="22"/>
          <w:szCs w:val="22"/>
        </w:rPr>
        <w:fldChar w:fldCharType="end"/>
      </w:r>
      <w:r w:rsidR="00297EC9" w:rsidRPr="007F4A23">
        <w:rPr>
          <w:rFonts w:ascii="Arial" w:hAnsi="Arial" w:cs="Arial"/>
          <w:sz w:val="22"/>
          <w:szCs w:val="22"/>
        </w:rPr>
        <w:t xml:space="preserve">, los tres escenarios planteados parecen del todo verosímiles considerando que cambios relevantes en la modalidad de administración de dichos establecimientos podrían generar </w:t>
      </w:r>
      <w:r w:rsidR="001326E4" w:rsidRPr="007F4A23">
        <w:rPr>
          <w:rFonts w:ascii="Arial" w:hAnsi="Arial" w:cs="Arial"/>
          <w:sz w:val="22"/>
          <w:szCs w:val="22"/>
        </w:rPr>
        <w:t>una mejora en la calidad educativa equivalente a un 25% del aprendizaje de un año escolar.</w:t>
      </w:r>
    </w:p>
    <w:p w:rsidR="001326E4" w:rsidRPr="007F4A23" w:rsidRDefault="001326E4" w:rsidP="00AC4499">
      <w:pPr>
        <w:rPr>
          <w:rFonts w:ascii="Arial" w:hAnsi="Arial" w:cs="Arial"/>
          <w:sz w:val="22"/>
          <w:szCs w:val="22"/>
        </w:rPr>
      </w:pPr>
    </w:p>
    <w:p w:rsidR="003A30D0" w:rsidRPr="007F4A23" w:rsidRDefault="003A30D0" w:rsidP="003A542A">
      <w:pPr>
        <w:numPr>
          <w:ilvl w:val="0"/>
          <w:numId w:val="22"/>
        </w:numPr>
        <w:rPr>
          <w:rFonts w:ascii="Arial" w:hAnsi="Arial" w:cs="Arial"/>
          <w:sz w:val="22"/>
          <w:szCs w:val="22"/>
        </w:rPr>
      </w:pPr>
      <w:r w:rsidRPr="007F4A23">
        <w:rPr>
          <w:rFonts w:ascii="Arial" w:hAnsi="Arial" w:cs="Arial"/>
          <w:sz w:val="22"/>
          <w:szCs w:val="22"/>
        </w:rPr>
        <w:t>Metodología</w:t>
      </w:r>
    </w:p>
    <w:p w:rsidR="003A30D0" w:rsidRPr="007F4A23" w:rsidRDefault="001326E4" w:rsidP="003A542A">
      <w:pPr>
        <w:rPr>
          <w:rFonts w:ascii="Arial" w:hAnsi="Arial" w:cs="Arial"/>
          <w:sz w:val="22"/>
          <w:szCs w:val="22"/>
        </w:rPr>
      </w:pPr>
      <w:r w:rsidRPr="007F4A23">
        <w:rPr>
          <w:rFonts w:ascii="Arial" w:hAnsi="Arial" w:cs="Arial"/>
          <w:sz w:val="22"/>
          <w:szCs w:val="22"/>
        </w:rPr>
        <w:t xml:space="preserve">Para la estimación de los beneficios directos del programa se determinó en primer lugar las primas de ingreso que diferencian a los individuos que no alcanzan educación superior de aquellos que </w:t>
      </w:r>
      <w:r w:rsidR="00FE110A" w:rsidRPr="007F4A23">
        <w:rPr>
          <w:rFonts w:ascii="Arial" w:hAnsi="Arial" w:cs="Arial"/>
          <w:sz w:val="22"/>
          <w:szCs w:val="22"/>
        </w:rPr>
        <w:t>sí</w:t>
      </w:r>
      <w:r w:rsidRPr="007F4A23">
        <w:rPr>
          <w:rFonts w:ascii="Arial" w:hAnsi="Arial" w:cs="Arial"/>
          <w:sz w:val="22"/>
          <w:szCs w:val="22"/>
        </w:rPr>
        <w:t xml:space="preserve">, sea que estos la completen o no. Para ello se </w:t>
      </w:r>
      <w:r w:rsidR="00792A48" w:rsidRPr="007F4A23">
        <w:rPr>
          <w:rFonts w:ascii="Arial" w:hAnsi="Arial" w:cs="Arial"/>
          <w:sz w:val="22"/>
          <w:szCs w:val="22"/>
        </w:rPr>
        <w:t xml:space="preserve">estimó la regresión de </w:t>
      </w:r>
      <w:r w:rsidR="00792A48" w:rsidRPr="007F4A23">
        <w:rPr>
          <w:rFonts w:ascii="Arial" w:hAnsi="Arial" w:cs="Arial"/>
          <w:sz w:val="22"/>
          <w:szCs w:val="22"/>
        </w:rPr>
        <w:fldChar w:fldCharType="begin" w:fldLock="1"/>
      </w:r>
      <w:r w:rsidR="00792A48" w:rsidRPr="007F4A23">
        <w:rPr>
          <w:rFonts w:ascii="Arial" w:hAnsi="Arial" w:cs="Arial"/>
          <w:sz w:val="22"/>
          <w:szCs w:val="22"/>
        </w:rPr>
        <w:instrText>ADDIN CSL_CITATION { "citationItems" : [ { "id" : "ITEM-1", "itemData" : { "abstract" : "The author, a pioneering researcher on investment in human capital, presents a seminal attempt at a systematic analysis of personal income distribution. The framework is a human capital model based upon the aggregate earnings distribution of white, male, urban workers and the net investments in human capital among these workers. Schooling and post-school investment are designated as the two principal elements of human capital; when specific measures of post-school investment are unavailable, experience (estimated from age and the length of schooling) is used. In the theoretical section, the author demonstrates that years of experience rather than age should be emphasized in interpreting earnings variations. Educational differences of the random group of white, male, urban workers accounted for only seven percent of the earnings differential. Mincer shows empirically that schooling has more explanatory power for groups with constant years of experience than for groups of the same age, and that the explanatory power is at its peak for groups with seven to nine years of experience. The author finds further confirmation of experience over age in the data on female earnings. Suggestions for future research are the inclusion of females, blacks, older people, and nonurban people and the inclusion of nonemployment income. (Author/EA)", "author" : [ { "dropping-particle" : "", "family" : "Mincer", "given" : "Jacob", "non-dropping-particle" : "", "parse-names" : false, "suffix" : "" } ], "container-title" : "NBER", "id" : "ITEM-1", "issued" : { "date-parts" : [ [ "1974" ] ] }, "title" : "Schooling, Experience, and Earnings. Human Behavior &amp; Social Institutions No. 2", "type" : "book", "volume" : "I" }, "uris" : [ "http://www.mendeley.com/documents/?uuid=f9fc54cf-fc6f-4df0-931e-602cb1211a9a" ] } ], "mendeley" : { "formattedCitation" : "(Mincer 1974)", "manualFormatting" : "Mincer (1974)", "plainTextFormattedCitation" : "(Mincer 1974)", "previouslyFormattedCitation" : "(Mincer 1974)" }, "properties" : { "noteIndex" : 0 }, "schema" : "https://github.com/citation-style-language/schema/raw/master/csl-citation.json" }</w:instrText>
      </w:r>
      <w:r w:rsidR="00792A48" w:rsidRPr="007F4A23">
        <w:rPr>
          <w:rFonts w:ascii="Arial" w:hAnsi="Arial" w:cs="Arial"/>
          <w:sz w:val="22"/>
          <w:szCs w:val="22"/>
        </w:rPr>
        <w:fldChar w:fldCharType="separate"/>
      </w:r>
      <w:r w:rsidR="00792A48" w:rsidRPr="007F4A23">
        <w:rPr>
          <w:rFonts w:ascii="Arial" w:hAnsi="Arial" w:cs="Arial"/>
          <w:noProof/>
          <w:sz w:val="22"/>
          <w:szCs w:val="22"/>
        </w:rPr>
        <w:t>Mincer (1974)</w:t>
      </w:r>
      <w:r w:rsidR="00792A48" w:rsidRPr="007F4A23">
        <w:rPr>
          <w:rFonts w:ascii="Arial" w:hAnsi="Arial" w:cs="Arial"/>
          <w:sz w:val="22"/>
          <w:szCs w:val="22"/>
        </w:rPr>
        <w:fldChar w:fldCharType="end"/>
      </w:r>
      <w:r w:rsidR="00792A48" w:rsidRPr="007F4A23">
        <w:rPr>
          <w:rFonts w:ascii="Arial" w:hAnsi="Arial" w:cs="Arial"/>
          <w:sz w:val="22"/>
          <w:szCs w:val="22"/>
        </w:rPr>
        <w:t xml:space="preserve"> en la base de datos de la encuesta CASEN 2013. En dicho modelo se utilizó como variable dependiente el logaritmo del ingreso del trabajo por hora y como variables explicativas. Siguiendo el planteamiento original se utilizó como variables explicativas el sexo </w:t>
      </w:r>
      <w:r w:rsidR="00EF4EE6" w:rsidRPr="007F4A23">
        <w:rPr>
          <w:rFonts w:ascii="Arial" w:hAnsi="Arial" w:cs="Arial"/>
          <w:sz w:val="22"/>
          <w:szCs w:val="22"/>
        </w:rPr>
        <w:t>y la escolaridad (en años)</w:t>
      </w:r>
      <w:r w:rsidR="00792A48" w:rsidRPr="007F4A23">
        <w:rPr>
          <w:rFonts w:ascii="Arial" w:hAnsi="Arial" w:cs="Arial"/>
          <w:sz w:val="22"/>
          <w:szCs w:val="22"/>
        </w:rPr>
        <w:t xml:space="preserve">, </w:t>
      </w:r>
      <w:r w:rsidR="00EF4EE6" w:rsidRPr="007F4A23">
        <w:rPr>
          <w:rFonts w:ascii="Arial" w:hAnsi="Arial" w:cs="Arial"/>
          <w:sz w:val="22"/>
          <w:szCs w:val="22"/>
        </w:rPr>
        <w:t>su experiencia laboral, la experiencia laboral al cuadrado, así como también dos variables dummie, una para la identificación de los sujetos que alcanzan educación de nivel terciaria completa y otra para los que alcanzan educación terciaria incompleta.</w:t>
      </w:r>
      <w:r w:rsidR="00645DE4" w:rsidRPr="007F4A23">
        <w:rPr>
          <w:rFonts w:ascii="Arial" w:hAnsi="Arial" w:cs="Arial"/>
          <w:sz w:val="22"/>
          <w:szCs w:val="22"/>
        </w:rPr>
        <w:t xml:space="preserve"> El coeficiente de regresión de ambas variables permite estimar el efecto señalización (</w:t>
      </w:r>
      <w:r w:rsidR="00645DE4" w:rsidRPr="007F4A23">
        <w:rPr>
          <w:rFonts w:ascii="Arial" w:hAnsi="Arial" w:cs="Arial"/>
          <w:i/>
          <w:sz w:val="22"/>
          <w:szCs w:val="22"/>
        </w:rPr>
        <w:t>sheepskin effect</w:t>
      </w:r>
      <w:r w:rsidR="00645DE4" w:rsidRPr="007F4A23">
        <w:rPr>
          <w:rFonts w:ascii="Arial" w:hAnsi="Arial" w:cs="Arial"/>
          <w:sz w:val="22"/>
          <w:szCs w:val="22"/>
        </w:rPr>
        <w:t xml:space="preserve">) de estos niveles educacionales en el ingreso de los encuestados, obteniéndose valores de </w:t>
      </w:r>
      <w:r w:rsidR="00B62188" w:rsidRPr="007F4A23">
        <w:rPr>
          <w:rFonts w:ascii="Arial" w:hAnsi="Arial" w:cs="Arial"/>
          <w:sz w:val="22"/>
          <w:szCs w:val="22"/>
        </w:rPr>
        <w:t>0,</w:t>
      </w:r>
      <w:r w:rsidR="00BD4924" w:rsidRPr="007F4A23">
        <w:rPr>
          <w:rFonts w:ascii="Arial" w:hAnsi="Arial" w:cs="Arial"/>
          <w:sz w:val="22"/>
          <w:szCs w:val="22"/>
        </w:rPr>
        <w:t xml:space="preserve">21 y </w:t>
      </w:r>
      <w:r w:rsidR="00B62188" w:rsidRPr="007F4A23">
        <w:rPr>
          <w:rFonts w:ascii="Arial" w:hAnsi="Arial" w:cs="Arial"/>
          <w:sz w:val="22"/>
          <w:szCs w:val="22"/>
        </w:rPr>
        <w:t>0,51 los cuales pueden ser interpretados como diferencias porcentuales de ingreso por hora de trabajo respecto a la situación base (educación media completa)</w:t>
      </w:r>
      <w:r w:rsidR="00BD4924" w:rsidRPr="007F4A23">
        <w:rPr>
          <w:rFonts w:ascii="Arial" w:hAnsi="Arial" w:cs="Arial"/>
          <w:sz w:val="22"/>
          <w:szCs w:val="22"/>
        </w:rPr>
        <w:t>. Con esta ecuación se calculan los retornos salariales de los trabajadores entre 25 y 55 años según nivel educativo alcanzado.</w:t>
      </w:r>
    </w:p>
    <w:p w:rsidR="00067697" w:rsidRPr="007F4A23" w:rsidRDefault="00BD4924" w:rsidP="003A542A">
      <w:pPr>
        <w:rPr>
          <w:rFonts w:ascii="Arial" w:hAnsi="Arial" w:cs="Arial"/>
          <w:sz w:val="22"/>
          <w:szCs w:val="22"/>
        </w:rPr>
      </w:pPr>
      <w:r w:rsidRPr="007F4A23">
        <w:rPr>
          <w:rFonts w:ascii="Arial" w:hAnsi="Arial" w:cs="Arial"/>
          <w:sz w:val="22"/>
          <w:szCs w:val="22"/>
        </w:rPr>
        <w:t>Respecto a la cantidad de personas que verían aumentar sus i</w:t>
      </w:r>
      <w:r w:rsidR="00FE110A" w:rsidRPr="007F4A23">
        <w:rPr>
          <w:rFonts w:ascii="Arial" w:hAnsi="Arial" w:cs="Arial"/>
          <w:sz w:val="22"/>
          <w:szCs w:val="22"/>
        </w:rPr>
        <w:t>ngresos en las magnitudes recién estimadas de acuerdo a las planificación de implementación del programa el primer año se considera la creación de 6 Servicios Locales de Educación, 9 el segundo y 15 el tercero, totalizando el año 2019</w:t>
      </w:r>
      <w:r w:rsidR="00A9115E" w:rsidRPr="007F4A23">
        <w:rPr>
          <w:rFonts w:ascii="Arial" w:hAnsi="Arial" w:cs="Arial"/>
          <w:sz w:val="22"/>
          <w:szCs w:val="22"/>
        </w:rPr>
        <w:t>,</w:t>
      </w:r>
      <w:r w:rsidR="00FE110A" w:rsidRPr="007F4A23">
        <w:rPr>
          <w:rFonts w:ascii="Arial" w:hAnsi="Arial" w:cs="Arial"/>
          <w:sz w:val="22"/>
          <w:szCs w:val="22"/>
        </w:rPr>
        <w:t xml:space="preserve"> 31 Servicios en operación. Por otro lado se ha es</w:t>
      </w:r>
      <w:r w:rsidR="00B815C0" w:rsidRPr="007F4A23">
        <w:rPr>
          <w:rFonts w:ascii="Arial" w:hAnsi="Arial" w:cs="Arial"/>
          <w:sz w:val="22"/>
          <w:szCs w:val="22"/>
        </w:rPr>
        <w:t>timado</w:t>
      </w:r>
      <w:r w:rsidR="00FE110A" w:rsidRPr="007F4A23">
        <w:rPr>
          <w:rFonts w:ascii="Arial" w:hAnsi="Arial" w:cs="Arial"/>
          <w:sz w:val="22"/>
          <w:szCs w:val="22"/>
        </w:rPr>
        <w:t xml:space="preserve"> que cada Servicio tendrá bajo su dependencia establecimientos educacionales </w:t>
      </w:r>
      <w:r w:rsidR="00B815C0" w:rsidRPr="007F4A23">
        <w:rPr>
          <w:rFonts w:ascii="Arial" w:hAnsi="Arial" w:cs="Arial"/>
          <w:sz w:val="22"/>
          <w:szCs w:val="22"/>
        </w:rPr>
        <w:t xml:space="preserve">con </w:t>
      </w:r>
      <w:r w:rsidR="008A79FC" w:rsidRPr="007F4A23">
        <w:rPr>
          <w:rFonts w:ascii="Arial" w:hAnsi="Arial" w:cs="Arial"/>
          <w:sz w:val="22"/>
          <w:szCs w:val="22"/>
        </w:rPr>
        <w:t>número variable de alumnos pero que promedian los</w:t>
      </w:r>
      <w:r w:rsidR="00B815C0" w:rsidRPr="007F4A23">
        <w:rPr>
          <w:rFonts w:ascii="Arial" w:hAnsi="Arial" w:cs="Arial"/>
          <w:sz w:val="22"/>
          <w:szCs w:val="22"/>
        </w:rPr>
        <w:t xml:space="preserve"> 18.908</w:t>
      </w:r>
      <w:r w:rsidR="008A79FC" w:rsidRPr="007F4A23">
        <w:rPr>
          <w:rFonts w:ascii="Arial" w:hAnsi="Arial" w:cs="Arial"/>
          <w:sz w:val="22"/>
          <w:szCs w:val="22"/>
        </w:rPr>
        <w:t xml:space="preserve">. Al combinar dicha información con la cantidad de SLE que comenzarán a operar cada año se obtiene una cantidad de 113.448, 283.620 y 586.148 para los años 2017, 2018 y 2019 respectivamente.  </w:t>
      </w:r>
      <w:r w:rsidR="00CC6957" w:rsidRPr="007F4A23">
        <w:rPr>
          <w:rFonts w:ascii="Arial" w:hAnsi="Arial" w:cs="Arial"/>
          <w:sz w:val="22"/>
          <w:szCs w:val="22"/>
        </w:rPr>
        <w:t xml:space="preserve">Sobre estos universos se determinó las </w:t>
      </w:r>
      <w:r w:rsidR="00067697" w:rsidRPr="007F4A23">
        <w:rPr>
          <w:rFonts w:ascii="Arial" w:hAnsi="Arial" w:cs="Arial"/>
          <w:sz w:val="22"/>
          <w:szCs w:val="22"/>
        </w:rPr>
        <w:t>cantidades adicionales de alumnos ingresados a la educación terciaria en</w:t>
      </w:r>
      <w:r w:rsidR="00CC6957" w:rsidRPr="007F4A23">
        <w:rPr>
          <w:rFonts w:ascii="Arial" w:hAnsi="Arial" w:cs="Arial"/>
          <w:sz w:val="22"/>
          <w:szCs w:val="22"/>
        </w:rPr>
        <w:t xml:space="preserve"> cada uno de los tres escenarios planteados para cada uno de los 30 años del horizonte de evaluación. </w:t>
      </w:r>
      <w:r w:rsidR="00067697" w:rsidRPr="007F4A23">
        <w:rPr>
          <w:rFonts w:ascii="Arial" w:hAnsi="Arial" w:cs="Arial"/>
          <w:sz w:val="22"/>
          <w:szCs w:val="22"/>
        </w:rPr>
        <w:t xml:space="preserve">Puesto que se supone que la tasa de titulación de educación terciaria de los estudiantes provenientes de establecimientos tratados por el programa no se </w:t>
      </w:r>
      <w:r w:rsidR="0033342A" w:rsidRPr="007F4A23">
        <w:rPr>
          <w:rFonts w:ascii="Arial" w:hAnsi="Arial" w:cs="Arial"/>
          <w:sz w:val="22"/>
          <w:szCs w:val="22"/>
        </w:rPr>
        <w:t>modifica</w:t>
      </w:r>
      <w:r w:rsidR="00067697" w:rsidRPr="007F4A23">
        <w:rPr>
          <w:rFonts w:ascii="Arial" w:hAnsi="Arial" w:cs="Arial"/>
          <w:sz w:val="22"/>
          <w:szCs w:val="22"/>
        </w:rPr>
        <w:t xml:space="preserve"> producto de su implementación, del total de los alumnos ingresados a este tipo de educación</w:t>
      </w:r>
      <w:r w:rsidR="0033342A" w:rsidRPr="007F4A23">
        <w:rPr>
          <w:rFonts w:ascii="Arial" w:hAnsi="Arial" w:cs="Arial"/>
          <w:sz w:val="22"/>
          <w:szCs w:val="22"/>
        </w:rPr>
        <w:t xml:space="preserve"> el 35% terminaría los estudios en dicho nivel y el resto sólo alcanzaría educación terciaria incompleta.</w:t>
      </w:r>
    </w:p>
    <w:p w:rsidR="0033342A" w:rsidRPr="007F4A23" w:rsidRDefault="00CC6957" w:rsidP="0033342A">
      <w:pPr>
        <w:rPr>
          <w:rFonts w:ascii="Arial" w:hAnsi="Arial" w:cs="Arial"/>
          <w:sz w:val="22"/>
          <w:szCs w:val="22"/>
        </w:rPr>
      </w:pPr>
      <w:r w:rsidRPr="007F4A23">
        <w:rPr>
          <w:rFonts w:ascii="Arial" w:hAnsi="Arial" w:cs="Arial"/>
          <w:sz w:val="22"/>
          <w:szCs w:val="22"/>
        </w:rPr>
        <w:t>Finalmente</w:t>
      </w:r>
      <w:r w:rsidR="00067697" w:rsidRPr="007F4A23">
        <w:rPr>
          <w:rFonts w:ascii="Arial" w:hAnsi="Arial" w:cs="Arial"/>
          <w:sz w:val="22"/>
          <w:szCs w:val="22"/>
        </w:rPr>
        <w:t>,</w:t>
      </w:r>
      <w:r w:rsidRPr="007F4A23">
        <w:rPr>
          <w:rFonts w:ascii="Arial" w:hAnsi="Arial" w:cs="Arial"/>
          <w:sz w:val="22"/>
          <w:szCs w:val="22"/>
        </w:rPr>
        <w:t xml:space="preserve"> </w:t>
      </w:r>
      <w:r w:rsidR="0033342A" w:rsidRPr="007F4A23">
        <w:rPr>
          <w:rFonts w:ascii="Arial" w:hAnsi="Arial" w:cs="Arial"/>
          <w:sz w:val="22"/>
          <w:szCs w:val="22"/>
        </w:rPr>
        <w:t>la cantidad de</w:t>
      </w:r>
      <w:r w:rsidRPr="007F4A23">
        <w:rPr>
          <w:rFonts w:ascii="Arial" w:hAnsi="Arial" w:cs="Arial"/>
          <w:sz w:val="22"/>
          <w:szCs w:val="22"/>
        </w:rPr>
        <w:t xml:space="preserve"> beneficios por año fueron calculados multiplicando la cantidad de estudiantes </w:t>
      </w:r>
      <w:r w:rsidR="0033342A" w:rsidRPr="007F4A23">
        <w:rPr>
          <w:rFonts w:ascii="Arial" w:hAnsi="Arial" w:cs="Arial"/>
          <w:sz w:val="22"/>
          <w:szCs w:val="22"/>
        </w:rPr>
        <w:t>que alcanzarían educación terciaria completa o incompleta</w:t>
      </w:r>
      <w:r w:rsidR="00067697" w:rsidRPr="007F4A23">
        <w:rPr>
          <w:rFonts w:ascii="Arial" w:hAnsi="Arial" w:cs="Arial"/>
          <w:sz w:val="22"/>
          <w:szCs w:val="22"/>
        </w:rPr>
        <w:t xml:space="preserve"> por </w:t>
      </w:r>
      <w:r w:rsidR="000844B6" w:rsidRPr="007F4A23">
        <w:rPr>
          <w:rFonts w:ascii="Arial" w:hAnsi="Arial" w:cs="Arial"/>
          <w:sz w:val="22"/>
          <w:szCs w:val="22"/>
        </w:rPr>
        <w:t xml:space="preserve">sus respectivas </w:t>
      </w:r>
      <w:r w:rsidR="00067697" w:rsidRPr="007F4A23">
        <w:rPr>
          <w:rFonts w:ascii="Arial" w:hAnsi="Arial" w:cs="Arial"/>
          <w:sz w:val="22"/>
          <w:szCs w:val="22"/>
        </w:rPr>
        <w:t>primas de ingreso como consecuencia del efecto señalización estimado en etapas anteriores.</w:t>
      </w:r>
      <w:r w:rsidR="0033342A" w:rsidRPr="007F4A23">
        <w:rPr>
          <w:rFonts w:ascii="Arial" w:hAnsi="Arial" w:cs="Arial"/>
          <w:sz w:val="22"/>
          <w:szCs w:val="22"/>
        </w:rPr>
        <w:t xml:space="preserve"> Los beneficios anuales estimados de esta fueron totalizados a valor presente mediante la siguiente expresión</w:t>
      </w:r>
      <w:r w:rsidR="00C21B6C" w:rsidRPr="007F4A23">
        <w:rPr>
          <w:rStyle w:val="FootnoteReference"/>
          <w:rFonts w:ascii="Arial" w:hAnsi="Arial" w:cs="Arial"/>
          <w:sz w:val="22"/>
          <w:szCs w:val="22"/>
        </w:rPr>
        <w:footnoteReference w:id="3"/>
      </w:r>
      <w:r w:rsidR="0033342A" w:rsidRPr="007F4A23">
        <w:rPr>
          <w:rFonts w:ascii="Arial" w:hAnsi="Arial" w:cs="Arial"/>
          <w:sz w:val="22"/>
          <w:szCs w:val="22"/>
        </w:rPr>
        <w:t>:</w:t>
      </w:r>
    </w:p>
    <w:p w:rsidR="0033342A" w:rsidRPr="007F4A23" w:rsidRDefault="008C17C4" w:rsidP="0033342A">
      <w:pPr>
        <w:spacing w:before="120"/>
        <w:ind w:left="709" w:hanging="709"/>
        <w:rPr>
          <w:rFonts w:ascii="Arial" w:hAnsi="Arial" w:cs="Arial"/>
          <w:sz w:val="22"/>
          <w:szCs w:val="22"/>
        </w:rPr>
      </w:pPr>
      <m:oMathPara>
        <m:oMath>
          <m:sSub>
            <m:sSubPr>
              <m:ctrlPr>
                <w:rPr>
                  <w:rFonts w:ascii="Cambria Math" w:hAnsi="Cambria Math" w:cs="Arial"/>
                  <w:i/>
                  <w:sz w:val="22"/>
                  <w:szCs w:val="22"/>
                </w:rPr>
              </m:ctrlPr>
            </m:sSubPr>
            <m:e>
              <m:r>
                <w:rPr>
                  <w:rFonts w:ascii="Cambria Math" w:hAnsi="Cambria Math" w:cs="Arial"/>
                  <w:sz w:val="22"/>
                  <w:szCs w:val="22"/>
                </w:rPr>
                <m:t>B</m:t>
              </m:r>
            </m:e>
            <m:sub>
              <m:r>
                <w:rPr>
                  <w:rFonts w:ascii="Cambria Math" w:hAnsi="Cambria Math" w:cs="Arial"/>
                  <w:sz w:val="22"/>
                  <w:szCs w:val="22"/>
                </w:rPr>
                <m:t>t</m:t>
              </m:r>
            </m:sub>
          </m:sSub>
          <m:nary>
            <m:naryPr>
              <m:chr m:val="∑"/>
              <m:limLoc m:val="undOvr"/>
              <m:ctrlPr>
                <w:rPr>
                  <w:rFonts w:ascii="Cambria Math" w:hAnsi="Cambria Math" w:cs="Arial"/>
                  <w:i/>
                  <w:sz w:val="22"/>
                  <w:szCs w:val="22"/>
                </w:rPr>
              </m:ctrlPr>
            </m:naryPr>
            <m:sub>
              <m:r>
                <w:rPr>
                  <w:rFonts w:ascii="Cambria Math" w:hAnsi="Cambria Math" w:cs="Arial"/>
                  <w:sz w:val="22"/>
                  <w:szCs w:val="22"/>
                </w:rPr>
                <m:t>t=5</m:t>
              </m:r>
            </m:sub>
            <m:sup>
              <m:r>
                <w:rPr>
                  <w:rFonts w:ascii="Cambria Math" w:hAnsi="Cambria Math" w:cs="Arial"/>
                  <w:sz w:val="22"/>
                  <w:szCs w:val="22"/>
                </w:rPr>
                <m:t>30</m:t>
              </m:r>
            </m:sup>
            <m:e>
              <m:f>
                <m:fPr>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B</m:t>
                      </m:r>
                    </m:e>
                    <m:sub>
                      <m:r>
                        <w:rPr>
                          <w:rFonts w:ascii="Cambria Math" w:hAnsi="Cambria Math" w:cs="Arial"/>
                          <w:sz w:val="22"/>
                          <w:szCs w:val="22"/>
                        </w:rPr>
                        <m:t>t</m:t>
                      </m:r>
                    </m:sub>
                  </m:sSub>
                </m:num>
                <m:den>
                  <m:sSup>
                    <m:sSupPr>
                      <m:ctrlPr>
                        <w:rPr>
                          <w:rFonts w:ascii="Cambria Math" w:hAnsi="Cambria Math" w:cs="Arial"/>
                          <w:i/>
                          <w:sz w:val="22"/>
                          <w:szCs w:val="22"/>
                        </w:rPr>
                      </m:ctrlPr>
                    </m:sSupPr>
                    <m:e>
                      <m:r>
                        <w:rPr>
                          <w:rFonts w:ascii="Cambria Math" w:hAnsi="Cambria Math" w:cs="Arial"/>
                          <w:sz w:val="22"/>
                          <w:szCs w:val="22"/>
                        </w:rPr>
                        <m:t>1.12</m:t>
                      </m:r>
                    </m:e>
                    <m:sup>
                      <m:r>
                        <w:rPr>
                          <w:rFonts w:ascii="Cambria Math" w:hAnsi="Cambria Math" w:cs="Arial"/>
                          <w:sz w:val="22"/>
                          <w:szCs w:val="22"/>
                        </w:rPr>
                        <m:t>t</m:t>
                      </m:r>
                    </m:sup>
                  </m:sSup>
                </m:den>
              </m:f>
            </m:e>
          </m:nary>
        </m:oMath>
      </m:oMathPara>
    </w:p>
    <w:p w:rsidR="0033342A" w:rsidRPr="007F4A23" w:rsidRDefault="0033342A" w:rsidP="0033342A">
      <w:pPr>
        <w:rPr>
          <w:rFonts w:ascii="Arial" w:hAnsi="Arial" w:cs="Arial"/>
          <w:sz w:val="22"/>
          <w:szCs w:val="22"/>
        </w:rPr>
      </w:pPr>
    </w:p>
    <w:p w:rsidR="003A30D0" w:rsidRPr="00343AC7" w:rsidRDefault="003A30D0" w:rsidP="003A542A">
      <w:pPr>
        <w:pStyle w:val="Heading2"/>
        <w:rPr>
          <w:rFonts w:ascii="Arial" w:hAnsi="Arial" w:cs="Arial"/>
          <w:sz w:val="22"/>
          <w:szCs w:val="22"/>
        </w:rPr>
      </w:pPr>
      <w:r w:rsidRPr="007F4A23">
        <w:rPr>
          <w:rFonts w:ascii="Arial" w:hAnsi="Arial" w:cs="Arial"/>
          <w:sz w:val="22"/>
          <w:szCs w:val="22"/>
        </w:rPr>
        <w:t xml:space="preserve">Beneficios </w:t>
      </w:r>
      <w:r w:rsidR="00961877" w:rsidRPr="007F4A23">
        <w:rPr>
          <w:rFonts w:ascii="Arial" w:hAnsi="Arial" w:cs="Arial"/>
          <w:sz w:val="22"/>
          <w:szCs w:val="22"/>
        </w:rPr>
        <w:t>Económicos Indirectos</w:t>
      </w:r>
    </w:p>
    <w:p w:rsidR="00F70BC2" w:rsidRPr="007F4A23" w:rsidRDefault="00F70BC2" w:rsidP="003A542A">
      <w:pPr>
        <w:numPr>
          <w:ilvl w:val="0"/>
          <w:numId w:val="23"/>
        </w:numPr>
        <w:rPr>
          <w:rFonts w:ascii="Arial" w:hAnsi="Arial" w:cs="Arial"/>
          <w:sz w:val="22"/>
          <w:szCs w:val="22"/>
        </w:rPr>
      </w:pPr>
      <w:r w:rsidRPr="007F4A23">
        <w:rPr>
          <w:rFonts w:ascii="Arial" w:hAnsi="Arial" w:cs="Arial"/>
          <w:sz w:val="22"/>
          <w:szCs w:val="22"/>
        </w:rPr>
        <w:t>Antecedentes</w:t>
      </w:r>
    </w:p>
    <w:p w:rsidR="003A0251" w:rsidRPr="007F4A23" w:rsidRDefault="00C21B6C" w:rsidP="00761A98">
      <w:pPr>
        <w:rPr>
          <w:rFonts w:ascii="Arial" w:hAnsi="Arial" w:cs="Arial"/>
          <w:sz w:val="22"/>
          <w:szCs w:val="22"/>
        </w:rPr>
      </w:pPr>
      <w:r w:rsidRPr="007F4A23">
        <w:rPr>
          <w:rFonts w:ascii="Arial" w:hAnsi="Arial" w:cs="Arial"/>
          <w:sz w:val="22"/>
          <w:szCs w:val="22"/>
        </w:rPr>
        <w:t xml:space="preserve">Tal como se mencionó en la estimación de los beneficios directos </w:t>
      </w:r>
      <w:r w:rsidR="0009104C" w:rsidRPr="007F4A23">
        <w:rPr>
          <w:rFonts w:ascii="Arial" w:hAnsi="Arial" w:cs="Arial"/>
          <w:sz w:val="22"/>
          <w:szCs w:val="22"/>
        </w:rPr>
        <w:t xml:space="preserve">del Programa </w:t>
      </w:r>
      <w:r w:rsidR="0009104C" w:rsidRPr="007F4A23">
        <w:rPr>
          <w:rFonts w:ascii="Arial" w:hAnsi="Arial" w:cs="Arial"/>
          <w:sz w:val="22"/>
          <w:szCs w:val="22"/>
        </w:rPr>
        <w:fldChar w:fldCharType="begin" w:fldLock="1"/>
      </w:r>
      <w:r w:rsidR="00222A4E" w:rsidRPr="007F4A23">
        <w:rPr>
          <w:rFonts w:ascii="Arial" w:hAnsi="Arial" w:cs="Arial"/>
          <w:sz w:val="22"/>
          <w:szCs w:val="22"/>
        </w:rPr>
        <w:instrText>ADDIN CSL_CITATION { "citationItems" : [ { "id" : "ITEM-1", "itemData" : { "author" : [ { "dropping-particle" : "", "family" : "Whitehurst", "given" : "Grover J Russ", "non-dropping-particle" : "", "parse-names" : false, "suffix" : "" }, { "dropping-particle" : "", "family" : "Chingos", "given" : "Matthew M", "non-dropping-particle" : "", "parse-names" : false, "suffix" : "" }, { "dropping-particle" : "", "family" : "Gallaher", "given" : "Michael R", "non-dropping-particle" : "", "parse-names" : false, "suffix" : "" } ], "id" : "ITEM-1", "issue" : "March", "issued" : { "date-parts" : [ [ "2013" ] ] }, "title" : "Do School District Matter?", "type" : "article-journal" }, "uris" : [ "http://www.mendeley.com/documents/?uuid=848a77a7-c758-4c1d-a94b-cb75a14312de" ] } ], "mendeley" : { "formattedCitation" : "(Whitehurst et al. 2013)", "plainTextFormattedCitation" : "(Whitehurst et al. 2013)", "previouslyFormattedCitation" : "(Whitehurst et al. 2013)" }, "properties" : { "noteIndex" : 0 }, "schema" : "https://github.com/citation-style-language/schema/raw/master/csl-citation.json" }</w:instrText>
      </w:r>
      <w:r w:rsidR="0009104C" w:rsidRPr="007F4A23">
        <w:rPr>
          <w:rFonts w:ascii="Arial" w:hAnsi="Arial" w:cs="Arial"/>
          <w:sz w:val="22"/>
          <w:szCs w:val="22"/>
        </w:rPr>
        <w:fldChar w:fldCharType="separate"/>
      </w:r>
      <w:r w:rsidR="0009104C" w:rsidRPr="007F4A23">
        <w:rPr>
          <w:rFonts w:ascii="Arial" w:hAnsi="Arial" w:cs="Arial"/>
          <w:noProof/>
          <w:sz w:val="22"/>
          <w:szCs w:val="22"/>
        </w:rPr>
        <w:t>(Whitehurst et al. 2013)</w:t>
      </w:r>
      <w:r w:rsidR="0009104C" w:rsidRPr="007F4A23">
        <w:rPr>
          <w:rFonts w:ascii="Arial" w:hAnsi="Arial" w:cs="Arial"/>
          <w:sz w:val="22"/>
          <w:szCs w:val="22"/>
        </w:rPr>
        <w:fldChar w:fldCharType="end"/>
      </w:r>
      <w:r w:rsidR="0009104C" w:rsidRPr="007F4A23">
        <w:rPr>
          <w:rFonts w:ascii="Arial" w:hAnsi="Arial" w:cs="Arial"/>
          <w:sz w:val="22"/>
          <w:szCs w:val="22"/>
        </w:rPr>
        <w:t>, resulta verosímil estimar que también se produzcan beneficios indirectos del programa en la forma de una reducción en las tasas de repetición de los alumnos de los establecimientos dependientes de los Servicios Locales de Educación. Al respecto es necesario mencionar que, de acuerdo a la</w:t>
      </w:r>
      <w:r w:rsidR="00761A98" w:rsidRPr="007F4A23">
        <w:rPr>
          <w:rFonts w:ascii="Arial" w:hAnsi="Arial" w:cs="Arial"/>
          <w:sz w:val="22"/>
          <w:szCs w:val="22"/>
        </w:rPr>
        <w:t>s</w:t>
      </w:r>
      <w:r w:rsidR="0009104C" w:rsidRPr="007F4A23">
        <w:rPr>
          <w:rFonts w:ascii="Arial" w:hAnsi="Arial" w:cs="Arial"/>
          <w:sz w:val="22"/>
          <w:szCs w:val="22"/>
        </w:rPr>
        <w:t xml:space="preserve"> estadísticas del centro de estudios del Ministerio de Educación</w:t>
      </w:r>
      <w:r w:rsidR="0009104C" w:rsidRPr="007F4A23">
        <w:rPr>
          <w:rStyle w:val="FootnoteReference"/>
          <w:rFonts w:ascii="Arial" w:hAnsi="Arial" w:cs="Arial"/>
          <w:sz w:val="22"/>
          <w:szCs w:val="22"/>
        </w:rPr>
        <w:footnoteReference w:id="4"/>
      </w:r>
      <w:r w:rsidR="0009104C" w:rsidRPr="007F4A23">
        <w:rPr>
          <w:rFonts w:ascii="Arial" w:hAnsi="Arial" w:cs="Arial"/>
          <w:sz w:val="22"/>
          <w:szCs w:val="22"/>
        </w:rPr>
        <w:t xml:space="preserve">, actualmente la tasa de repetición por año de alumnos en establecimientos de dependencia municipal alcanza </w:t>
      </w:r>
      <w:r w:rsidR="00761A98" w:rsidRPr="007F4A23">
        <w:rPr>
          <w:rFonts w:ascii="Arial" w:hAnsi="Arial" w:cs="Arial"/>
          <w:sz w:val="22"/>
          <w:szCs w:val="22"/>
        </w:rPr>
        <w:t>un 5,53%, mientras que la magnitud calculada para colegios subvencionados alcanza un 4,53% y un 1,27% en privados.</w:t>
      </w:r>
    </w:p>
    <w:p w:rsidR="00F70BC2" w:rsidRPr="007F4A23" w:rsidRDefault="00F70BC2" w:rsidP="003A542A">
      <w:pPr>
        <w:numPr>
          <w:ilvl w:val="0"/>
          <w:numId w:val="23"/>
        </w:numPr>
        <w:rPr>
          <w:rFonts w:ascii="Arial" w:hAnsi="Arial" w:cs="Arial"/>
          <w:sz w:val="22"/>
          <w:szCs w:val="22"/>
        </w:rPr>
      </w:pPr>
      <w:r w:rsidRPr="007F4A23">
        <w:rPr>
          <w:rFonts w:ascii="Arial" w:hAnsi="Arial" w:cs="Arial"/>
          <w:sz w:val="22"/>
          <w:szCs w:val="22"/>
        </w:rPr>
        <w:t>Metodología</w:t>
      </w:r>
    </w:p>
    <w:p w:rsidR="003B3641" w:rsidRPr="007F4A23" w:rsidRDefault="00761A98" w:rsidP="003A542A">
      <w:pPr>
        <w:rPr>
          <w:rFonts w:ascii="Arial" w:hAnsi="Arial" w:cs="Arial"/>
          <w:sz w:val="22"/>
          <w:szCs w:val="22"/>
        </w:rPr>
      </w:pPr>
      <w:r w:rsidRPr="007F4A23">
        <w:rPr>
          <w:rFonts w:ascii="Arial" w:hAnsi="Arial" w:cs="Arial"/>
          <w:sz w:val="22"/>
          <w:szCs w:val="22"/>
        </w:rPr>
        <w:t>Tomando en cuenta los antecedentes recién mencionados se calcul</w:t>
      </w:r>
      <w:r w:rsidR="00095CB4" w:rsidRPr="007F4A23">
        <w:rPr>
          <w:rFonts w:ascii="Arial" w:hAnsi="Arial" w:cs="Arial"/>
          <w:sz w:val="22"/>
          <w:szCs w:val="22"/>
        </w:rPr>
        <w:t>ó</w:t>
      </w:r>
      <w:r w:rsidRPr="007F4A23">
        <w:rPr>
          <w:rFonts w:ascii="Arial" w:hAnsi="Arial" w:cs="Arial"/>
          <w:sz w:val="22"/>
          <w:szCs w:val="22"/>
        </w:rPr>
        <w:t xml:space="preserve"> el efecto de una reducción de un 0,5% en la tasa de repetición de los estudiantes de establecimientos en los que se implement</w:t>
      </w:r>
      <w:r w:rsidR="003B3641" w:rsidRPr="007F4A23">
        <w:rPr>
          <w:rFonts w:ascii="Arial" w:hAnsi="Arial" w:cs="Arial"/>
          <w:sz w:val="22"/>
          <w:szCs w:val="22"/>
        </w:rPr>
        <w:t>a</w:t>
      </w:r>
      <w:r w:rsidRPr="007F4A23">
        <w:rPr>
          <w:rFonts w:ascii="Arial" w:hAnsi="Arial" w:cs="Arial"/>
          <w:sz w:val="22"/>
          <w:szCs w:val="22"/>
        </w:rPr>
        <w:t xml:space="preserve"> el Programa. </w:t>
      </w:r>
      <w:r w:rsidR="00095CB4" w:rsidRPr="007F4A23">
        <w:rPr>
          <w:rFonts w:ascii="Arial" w:hAnsi="Arial" w:cs="Arial"/>
          <w:sz w:val="22"/>
          <w:szCs w:val="22"/>
        </w:rPr>
        <w:t xml:space="preserve">Para la valorización del costo de la repetición se </w:t>
      </w:r>
      <w:r w:rsidR="00C753ED" w:rsidRPr="007F4A23">
        <w:rPr>
          <w:rFonts w:ascii="Arial" w:hAnsi="Arial" w:cs="Arial"/>
          <w:sz w:val="22"/>
          <w:szCs w:val="22"/>
        </w:rPr>
        <w:t xml:space="preserve">consideró el gasto anual por estudiante de los niveles educacionales primario y secundario el que asciende a USD 3.543 </w:t>
      </w:r>
      <w:r w:rsidR="00C753ED" w:rsidRPr="007F4A23">
        <w:rPr>
          <w:rFonts w:ascii="Arial" w:hAnsi="Arial" w:cs="Arial"/>
          <w:sz w:val="22"/>
          <w:szCs w:val="22"/>
        </w:rPr>
        <w:fldChar w:fldCharType="begin" w:fldLock="1"/>
      </w:r>
      <w:r w:rsidR="00D76E17" w:rsidRPr="007F4A23">
        <w:rPr>
          <w:rFonts w:ascii="Arial" w:hAnsi="Arial" w:cs="Arial"/>
          <w:sz w:val="22"/>
          <w:szCs w:val="22"/>
        </w:rPr>
        <w:instrText>ADDIN CSL_CITATION { "citationItems" : [ { "id" : "ITEM-1", "itemData" : { "DOI" : "10.1787/19991487", "ISBN" : "1999-1487", "author" : [ { "dropping-particle" : "", "family" : "OECD", "given" : "", "non-dropping-particle" : "", "parse-names" : false, "suffix" : "" } ], "id" : "ITEM-1", "issued" : { "date-parts" : [ [ "2014" ] ] }, "number-of-pages" : "570", "title" : "Education at a Glance 2014: OECD Indicators", "type" : "book" }, "uris" : [ "http://www.mendeley.com/documents/?uuid=192cdea4-52b2-47c0-84c9-0cc6ab6e6bac" ] } ], "mendeley" : { "formattedCitation" : "(OECD 2014)", "plainTextFormattedCitation" : "(OECD 2014)", "previouslyFormattedCitation" : "(OECD 2014)" }, "properties" : { "noteIndex" : 0 }, "schema" : "https://github.com/citation-style-language/schema/raw/master/csl-citation.json" }</w:instrText>
      </w:r>
      <w:r w:rsidR="00C753ED" w:rsidRPr="007F4A23">
        <w:rPr>
          <w:rFonts w:ascii="Arial" w:hAnsi="Arial" w:cs="Arial"/>
          <w:sz w:val="22"/>
          <w:szCs w:val="22"/>
        </w:rPr>
        <w:fldChar w:fldCharType="separate"/>
      </w:r>
      <w:r w:rsidR="00222A4E" w:rsidRPr="007F4A23">
        <w:rPr>
          <w:rFonts w:ascii="Arial" w:hAnsi="Arial" w:cs="Arial"/>
          <w:noProof/>
          <w:sz w:val="22"/>
          <w:szCs w:val="22"/>
        </w:rPr>
        <w:t>(OECD 2014)</w:t>
      </w:r>
      <w:r w:rsidR="00C753ED" w:rsidRPr="007F4A23">
        <w:rPr>
          <w:rFonts w:ascii="Arial" w:hAnsi="Arial" w:cs="Arial"/>
          <w:sz w:val="22"/>
          <w:szCs w:val="22"/>
        </w:rPr>
        <w:fldChar w:fldCharType="end"/>
      </w:r>
      <w:r w:rsidR="00C753ED" w:rsidRPr="007F4A23">
        <w:rPr>
          <w:rFonts w:ascii="Arial" w:hAnsi="Arial" w:cs="Arial"/>
          <w:sz w:val="22"/>
          <w:szCs w:val="22"/>
        </w:rPr>
        <w:t xml:space="preserve">. Es importante señalar en este punto que de este valor no incluye los costos de oportunidad que implica el retraso </w:t>
      </w:r>
      <w:r w:rsidR="006B5AE2" w:rsidRPr="007F4A23">
        <w:rPr>
          <w:rFonts w:ascii="Arial" w:hAnsi="Arial" w:cs="Arial"/>
          <w:sz w:val="22"/>
          <w:szCs w:val="22"/>
        </w:rPr>
        <w:t xml:space="preserve">en la incorporación de dichos sujetos al mercado del trabajo, razón por la cual el costo social de la repetición puede ser sustancialmente mayor que el gasto público que implica entregar un año adicional de educación a un estudiante repitente </w:t>
      </w:r>
      <w:r w:rsidR="006B5AE2" w:rsidRPr="007F4A23">
        <w:rPr>
          <w:rFonts w:ascii="Arial" w:hAnsi="Arial" w:cs="Arial"/>
          <w:sz w:val="22"/>
          <w:szCs w:val="22"/>
        </w:rPr>
        <w:fldChar w:fldCharType="begin" w:fldLock="1"/>
      </w:r>
      <w:r w:rsidR="00222A4E" w:rsidRPr="007F4A23">
        <w:rPr>
          <w:rFonts w:ascii="Arial" w:hAnsi="Arial" w:cs="Arial"/>
          <w:sz w:val="22"/>
          <w:szCs w:val="22"/>
        </w:rPr>
        <w:instrText>ADDIN CSL_CITATION { "citationItems" : [ { "id" : "ITEM-1", "itemData" : { "author" : [ { "dropping-particle" : "", "family" : "Pisa", "given" : "The", "non-dropping-particle" : "", "parse-names" : false, "suffix" : "" } ], "id" : "ITEM-1", "issued" : { "date-parts" : [ [ "2011" ] ] }, "page" : "1-4", "title" : "in Focus", "type" : "article-journal", "volume" : "10" }, "uris" : [ "http://www.mendeley.com/documents/?uuid=a7c0006b-7c87-4cd6-a37f-6424924f5834" ] } ], "mendeley" : { "formattedCitation" : "(Pisa 2011)", "plainTextFormattedCitation" : "(Pisa 2011)", "previouslyFormattedCitation" : "(Pisa 2011)" }, "properties" : { "noteIndex" : 0 }, "schema" : "https://github.com/citation-style-language/schema/raw/master/csl-citation.json" }</w:instrText>
      </w:r>
      <w:r w:rsidR="006B5AE2" w:rsidRPr="007F4A23">
        <w:rPr>
          <w:rFonts w:ascii="Arial" w:hAnsi="Arial" w:cs="Arial"/>
          <w:sz w:val="22"/>
          <w:szCs w:val="22"/>
        </w:rPr>
        <w:fldChar w:fldCharType="separate"/>
      </w:r>
      <w:r w:rsidR="006B5AE2" w:rsidRPr="007F4A23">
        <w:rPr>
          <w:rFonts w:ascii="Arial" w:hAnsi="Arial" w:cs="Arial"/>
          <w:noProof/>
          <w:sz w:val="22"/>
          <w:szCs w:val="22"/>
        </w:rPr>
        <w:t>(Pisa 2011)</w:t>
      </w:r>
      <w:r w:rsidR="006B5AE2" w:rsidRPr="007F4A23">
        <w:rPr>
          <w:rFonts w:ascii="Arial" w:hAnsi="Arial" w:cs="Arial"/>
          <w:sz w:val="22"/>
          <w:szCs w:val="22"/>
        </w:rPr>
        <w:fldChar w:fldCharType="end"/>
      </w:r>
      <w:r w:rsidR="006B5AE2" w:rsidRPr="007F4A23">
        <w:rPr>
          <w:rFonts w:ascii="Arial" w:hAnsi="Arial" w:cs="Arial"/>
          <w:sz w:val="22"/>
          <w:szCs w:val="22"/>
        </w:rPr>
        <w:t>.</w:t>
      </w:r>
    </w:p>
    <w:p w:rsidR="003A30D0" w:rsidRPr="007F4A23" w:rsidRDefault="003A30D0" w:rsidP="003A542A">
      <w:pPr>
        <w:rPr>
          <w:rFonts w:ascii="Arial" w:hAnsi="Arial" w:cs="Arial"/>
          <w:sz w:val="22"/>
          <w:szCs w:val="22"/>
        </w:rPr>
      </w:pPr>
    </w:p>
    <w:p w:rsidR="003A30D0" w:rsidRPr="007F4A23" w:rsidRDefault="003A30D0" w:rsidP="00EA4B83">
      <w:pPr>
        <w:pStyle w:val="Heading2"/>
        <w:rPr>
          <w:rFonts w:ascii="Arial" w:hAnsi="Arial" w:cs="Arial"/>
          <w:sz w:val="22"/>
          <w:szCs w:val="22"/>
        </w:rPr>
      </w:pPr>
      <w:r w:rsidRPr="007F4A23">
        <w:rPr>
          <w:rFonts w:ascii="Arial" w:hAnsi="Arial" w:cs="Arial"/>
          <w:sz w:val="22"/>
          <w:szCs w:val="22"/>
        </w:rPr>
        <w:t>Costos Económicos</w:t>
      </w:r>
      <w:r w:rsidR="00C1224F" w:rsidRPr="007F4A23">
        <w:rPr>
          <w:rFonts w:ascii="Arial" w:hAnsi="Arial" w:cs="Arial"/>
          <w:sz w:val="22"/>
          <w:szCs w:val="22"/>
        </w:rPr>
        <w:t>:</w:t>
      </w:r>
    </w:p>
    <w:p w:rsidR="0004652F" w:rsidRPr="007F4A23" w:rsidRDefault="00C1224F" w:rsidP="00C1224F">
      <w:pPr>
        <w:rPr>
          <w:rFonts w:ascii="Arial" w:hAnsi="Arial" w:cs="Arial"/>
          <w:sz w:val="22"/>
          <w:szCs w:val="22"/>
        </w:rPr>
      </w:pPr>
      <w:r w:rsidRPr="007F4A23">
        <w:rPr>
          <w:rFonts w:ascii="Arial" w:hAnsi="Arial" w:cs="Arial"/>
          <w:sz w:val="22"/>
          <w:szCs w:val="22"/>
        </w:rPr>
        <w:t xml:space="preserve">Tal como se ha mencionado anteriormente, el análisis de rentabilidad social del Programa se efectúa considerando los costos de todos sus componentes, el que asciende a una cifra cercana a los USD 70 millones. </w:t>
      </w:r>
      <w:r w:rsidR="0004652F" w:rsidRPr="007F4A23">
        <w:rPr>
          <w:rFonts w:ascii="Arial" w:hAnsi="Arial" w:cs="Arial"/>
          <w:sz w:val="22"/>
          <w:szCs w:val="22"/>
        </w:rPr>
        <w:t>Para efectuar el análisis de los montos de inversión se ha utilizado información de la Matriz de Planificación del Programa elaborada facilitada por el BID.</w:t>
      </w:r>
    </w:p>
    <w:p w:rsidR="0004652F" w:rsidRPr="007F4A23" w:rsidRDefault="0004652F" w:rsidP="00C1224F">
      <w:pPr>
        <w:rPr>
          <w:rFonts w:ascii="Arial" w:hAnsi="Arial" w:cs="Arial"/>
          <w:sz w:val="22"/>
          <w:szCs w:val="22"/>
        </w:rPr>
      </w:pPr>
      <w:r w:rsidRPr="007F4A23">
        <w:rPr>
          <w:rFonts w:ascii="Arial" w:hAnsi="Arial" w:cs="Arial"/>
          <w:sz w:val="22"/>
          <w:szCs w:val="22"/>
        </w:rPr>
        <w:t xml:space="preserve">Por otro lado, la información de gastos de operación del Programa se ha obtenido a partir de las estimaciones efectuadas en la minuta presupuestaria del mismo. En ella se considera la contratación de </w:t>
      </w:r>
      <w:r w:rsidR="007E38B5" w:rsidRPr="007F4A23">
        <w:rPr>
          <w:rFonts w:ascii="Arial" w:hAnsi="Arial" w:cs="Arial"/>
          <w:sz w:val="22"/>
          <w:szCs w:val="22"/>
        </w:rPr>
        <w:t>90</w:t>
      </w:r>
      <w:r w:rsidRPr="007F4A23">
        <w:rPr>
          <w:rFonts w:ascii="Arial" w:hAnsi="Arial" w:cs="Arial"/>
          <w:sz w:val="22"/>
          <w:szCs w:val="22"/>
        </w:rPr>
        <w:t xml:space="preserve"> funcionarios en promedio para cada una de los 31 Servicios Locales de Educación en que se implementará paulatinamente el Programa</w:t>
      </w:r>
      <w:r w:rsidR="00DF5001" w:rsidRPr="007F4A23">
        <w:rPr>
          <w:rFonts w:ascii="Arial" w:hAnsi="Arial" w:cs="Arial"/>
          <w:sz w:val="22"/>
          <w:szCs w:val="22"/>
        </w:rPr>
        <w:t xml:space="preserve">. </w:t>
      </w:r>
    </w:p>
    <w:p w:rsidR="0004652F" w:rsidRPr="007F4A23" w:rsidRDefault="00DF5001" w:rsidP="00C1224F">
      <w:pPr>
        <w:rPr>
          <w:rFonts w:ascii="Arial" w:hAnsi="Arial" w:cs="Arial"/>
          <w:sz w:val="22"/>
          <w:szCs w:val="22"/>
        </w:rPr>
      </w:pPr>
      <w:r w:rsidRPr="007F4A23">
        <w:rPr>
          <w:rFonts w:ascii="Arial" w:hAnsi="Arial" w:cs="Arial"/>
          <w:sz w:val="22"/>
          <w:szCs w:val="22"/>
        </w:rPr>
        <w:t xml:space="preserve">Finalmente para </w:t>
      </w:r>
      <w:r w:rsidR="008265B2" w:rsidRPr="007F4A23">
        <w:rPr>
          <w:rFonts w:ascii="Arial" w:hAnsi="Arial" w:cs="Arial"/>
          <w:sz w:val="22"/>
          <w:szCs w:val="22"/>
        </w:rPr>
        <w:t>efectuar la</w:t>
      </w:r>
      <w:r w:rsidRPr="007F4A23">
        <w:rPr>
          <w:rFonts w:ascii="Arial" w:hAnsi="Arial" w:cs="Arial"/>
          <w:sz w:val="22"/>
          <w:szCs w:val="22"/>
        </w:rPr>
        <w:t xml:space="preserve"> conversión de pesos chilenos a </w:t>
      </w:r>
      <w:r w:rsidR="00CE65E5" w:rsidRPr="007F4A23">
        <w:rPr>
          <w:rFonts w:ascii="Arial" w:hAnsi="Arial" w:cs="Arial"/>
          <w:sz w:val="22"/>
          <w:szCs w:val="22"/>
        </w:rPr>
        <w:t>dólares</w:t>
      </w:r>
      <w:r w:rsidRPr="007F4A23">
        <w:rPr>
          <w:rFonts w:ascii="Arial" w:hAnsi="Arial" w:cs="Arial"/>
          <w:sz w:val="22"/>
          <w:szCs w:val="22"/>
        </w:rPr>
        <w:t xml:space="preserve"> americanos se ha utilizado un tipo de cambio de $687 por USD</w:t>
      </w:r>
      <w:r w:rsidR="00DD1BDA" w:rsidRPr="007F4A23">
        <w:rPr>
          <w:rFonts w:ascii="Arial" w:hAnsi="Arial" w:cs="Arial"/>
          <w:sz w:val="22"/>
          <w:szCs w:val="22"/>
        </w:rPr>
        <w:t>.</w:t>
      </w:r>
      <w:r w:rsidR="008265B2" w:rsidRPr="007F4A23">
        <w:rPr>
          <w:rFonts w:ascii="Arial" w:hAnsi="Arial" w:cs="Arial"/>
          <w:sz w:val="22"/>
          <w:szCs w:val="22"/>
        </w:rPr>
        <w:t xml:space="preserve"> Por otro lado, para la proyección de costos de operación hacia el futuro se ha considerado una tasa de inflación anual de 3% valor establecido por el Banco Central de Chile como meta.</w:t>
      </w:r>
    </w:p>
    <w:p w:rsidR="003A0251" w:rsidRDefault="0004652F" w:rsidP="00343AC7">
      <w:pPr>
        <w:rPr>
          <w:rFonts w:ascii="Arial" w:hAnsi="Arial" w:cs="Arial"/>
          <w:sz w:val="22"/>
          <w:szCs w:val="22"/>
        </w:rPr>
      </w:pPr>
      <w:r w:rsidRPr="007F4A23">
        <w:rPr>
          <w:rFonts w:ascii="Arial" w:hAnsi="Arial" w:cs="Arial"/>
          <w:sz w:val="22"/>
          <w:szCs w:val="22"/>
        </w:rPr>
        <w:t>Al analizar la estructura de flujos de inversión por componente y por año se observa que el componente 2, P</w:t>
      </w:r>
      <w:r w:rsidR="00C1224F" w:rsidRPr="007F4A23">
        <w:rPr>
          <w:rFonts w:ascii="Arial" w:hAnsi="Arial" w:cs="Arial"/>
          <w:sz w:val="22"/>
          <w:szCs w:val="22"/>
        </w:rPr>
        <w:t>lan de Anticipación Local es aquel con mayor importancia relativa requiriendo el 64,2% del Presupuesto del Programa seguido en importancia relativa por el componente 1 con una importancia relativa de 19,7%.</w:t>
      </w:r>
    </w:p>
    <w:p w:rsidR="00C1224F" w:rsidRPr="00343AC7" w:rsidRDefault="00C1224F" w:rsidP="00C1224F">
      <w:pPr>
        <w:pStyle w:val="Caption"/>
        <w:keepNext/>
        <w:jc w:val="center"/>
        <w:rPr>
          <w:rFonts w:ascii="Arial" w:hAnsi="Arial" w:cs="Arial"/>
          <w:sz w:val="18"/>
          <w:szCs w:val="18"/>
        </w:rPr>
      </w:pPr>
      <w:r w:rsidRPr="00343AC7">
        <w:rPr>
          <w:rFonts w:ascii="Arial" w:hAnsi="Arial" w:cs="Arial"/>
          <w:sz w:val="18"/>
          <w:szCs w:val="18"/>
        </w:rPr>
        <w:lastRenderedPageBreak/>
        <w:t xml:space="preserve">Tabla </w:t>
      </w:r>
      <w:r w:rsidRPr="00343AC7">
        <w:rPr>
          <w:rFonts w:ascii="Arial" w:hAnsi="Arial" w:cs="Arial"/>
          <w:sz w:val="18"/>
          <w:szCs w:val="18"/>
        </w:rPr>
        <w:fldChar w:fldCharType="begin"/>
      </w:r>
      <w:r w:rsidRPr="00343AC7">
        <w:rPr>
          <w:rFonts w:ascii="Arial" w:hAnsi="Arial" w:cs="Arial"/>
          <w:sz w:val="18"/>
          <w:szCs w:val="18"/>
        </w:rPr>
        <w:instrText xml:space="preserve"> SEQ Tabla \* ARABIC </w:instrText>
      </w:r>
      <w:r w:rsidRPr="00343AC7">
        <w:rPr>
          <w:rFonts w:ascii="Arial" w:hAnsi="Arial" w:cs="Arial"/>
          <w:sz w:val="18"/>
          <w:szCs w:val="18"/>
        </w:rPr>
        <w:fldChar w:fldCharType="separate"/>
      </w:r>
      <w:r w:rsidR="00211EE7" w:rsidRPr="00343AC7">
        <w:rPr>
          <w:rFonts w:ascii="Arial" w:hAnsi="Arial" w:cs="Arial"/>
          <w:noProof/>
          <w:sz w:val="18"/>
          <w:szCs w:val="18"/>
        </w:rPr>
        <w:t>2</w:t>
      </w:r>
      <w:r w:rsidRPr="00343AC7">
        <w:rPr>
          <w:rFonts w:ascii="Arial" w:hAnsi="Arial" w:cs="Arial"/>
          <w:sz w:val="18"/>
          <w:szCs w:val="18"/>
        </w:rPr>
        <w:fldChar w:fldCharType="end"/>
      </w:r>
      <w:r w:rsidRPr="00343AC7">
        <w:rPr>
          <w:rFonts w:ascii="Arial" w:hAnsi="Arial" w:cs="Arial"/>
          <w:sz w:val="18"/>
          <w:szCs w:val="18"/>
        </w:rPr>
        <w:t>: Estimación de costos de la Intervención por componente e año de implementación (en USD)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5"/>
        <w:gridCol w:w="1017"/>
        <w:gridCol w:w="1117"/>
        <w:gridCol w:w="1117"/>
        <w:gridCol w:w="1117"/>
        <w:gridCol w:w="1117"/>
      </w:tblGrid>
      <w:tr w:rsidR="00C1224F" w:rsidRPr="00343AC7" w:rsidTr="00A31BB9">
        <w:tc>
          <w:tcPr>
            <w:tcW w:w="0" w:type="auto"/>
            <w:shd w:val="clear" w:color="auto" w:fill="auto"/>
          </w:tcPr>
          <w:p w:rsidR="006B4732" w:rsidRPr="00343AC7" w:rsidRDefault="00C1224F" w:rsidP="00A31BB9">
            <w:pPr>
              <w:spacing w:after="0"/>
              <w:rPr>
                <w:rFonts w:ascii="Arial" w:hAnsi="Arial" w:cs="Arial"/>
                <w:sz w:val="18"/>
                <w:szCs w:val="18"/>
              </w:rPr>
            </w:pPr>
            <w:r w:rsidRPr="00343AC7">
              <w:rPr>
                <w:rFonts w:ascii="Arial" w:hAnsi="Arial" w:cs="Arial"/>
                <w:sz w:val="18"/>
                <w:szCs w:val="18"/>
              </w:rPr>
              <w:t>Año</w:t>
            </w:r>
          </w:p>
        </w:tc>
        <w:tc>
          <w:tcPr>
            <w:tcW w:w="0" w:type="auto"/>
            <w:shd w:val="clear" w:color="auto" w:fill="auto"/>
            <w:vAlign w:val="center"/>
          </w:tcPr>
          <w:p w:rsidR="006B4732" w:rsidRPr="00343AC7" w:rsidRDefault="00157F7D" w:rsidP="00A31BB9">
            <w:pPr>
              <w:spacing w:after="0"/>
              <w:jc w:val="center"/>
              <w:rPr>
                <w:rFonts w:ascii="Arial" w:hAnsi="Arial" w:cs="Arial"/>
                <w:sz w:val="18"/>
                <w:szCs w:val="18"/>
              </w:rPr>
            </w:pPr>
            <w:r w:rsidRPr="00343AC7">
              <w:rPr>
                <w:rFonts w:ascii="Arial" w:hAnsi="Arial" w:cs="Arial"/>
                <w:sz w:val="18"/>
                <w:szCs w:val="18"/>
              </w:rPr>
              <w:t>2016</w:t>
            </w:r>
          </w:p>
        </w:tc>
        <w:tc>
          <w:tcPr>
            <w:tcW w:w="0" w:type="auto"/>
            <w:shd w:val="clear" w:color="auto" w:fill="auto"/>
            <w:vAlign w:val="center"/>
          </w:tcPr>
          <w:p w:rsidR="006B4732" w:rsidRPr="00343AC7" w:rsidRDefault="00157F7D" w:rsidP="00A31BB9">
            <w:pPr>
              <w:spacing w:after="0"/>
              <w:jc w:val="center"/>
              <w:rPr>
                <w:rFonts w:ascii="Arial" w:hAnsi="Arial" w:cs="Arial"/>
                <w:sz w:val="18"/>
                <w:szCs w:val="18"/>
              </w:rPr>
            </w:pPr>
            <w:r w:rsidRPr="00343AC7">
              <w:rPr>
                <w:rFonts w:ascii="Arial" w:hAnsi="Arial" w:cs="Arial"/>
                <w:sz w:val="18"/>
                <w:szCs w:val="18"/>
              </w:rPr>
              <w:t>2017</w:t>
            </w:r>
          </w:p>
        </w:tc>
        <w:tc>
          <w:tcPr>
            <w:tcW w:w="0" w:type="auto"/>
            <w:shd w:val="clear" w:color="auto" w:fill="auto"/>
            <w:vAlign w:val="center"/>
          </w:tcPr>
          <w:p w:rsidR="006B4732" w:rsidRPr="00343AC7" w:rsidRDefault="00157F7D" w:rsidP="00A31BB9">
            <w:pPr>
              <w:spacing w:after="0"/>
              <w:jc w:val="center"/>
              <w:rPr>
                <w:rFonts w:ascii="Arial" w:hAnsi="Arial" w:cs="Arial"/>
                <w:sz w:val="18"/>
                <w:szCs w:val="18"/>
              </w:rPr>
            </w:pPr>
            <w:r w:rsidRPr="00343AC7">
              <w:rPr>
                <w:rFonts w:ascii="Arial" w:hAnsi="Arial" w:cs="Arial"/>
                <w:sz w:val="18"/>
                <w:szCs w:val="18"/>
              </w:rPr>
              <w:t>2018</w:t>
            </w:r>
          </w:p>
        </w:tc>
        <w:tc>
          <w:tcPr>
            <w:tcW w:w="0" w:type="auto"/>
            <w:shd w:val="clear" w:color="auto" w:fill="auto"/>
            <w:vAlign w:val="center"/>
          </w:tcPr>
          <w:p w:rsidR="006B4732" w:rsidRPr="00343AC7" w:rsidRDefault="00157F7D" w:rsidP="00A31BB9">
            <w:pPr>
              <w:spacing w:after="0"/>
              <w:jc w:val="center"/>
              <w:rPr>
                <w:rFonts w:ascii="Arial" w:hAnsi="Arial" w:cs="Arial"/>
                <w:sz w:val="18"/>
                <w:szCs w:val="18"/>
              </w:rPr>
            </w:pPr>
            <w:r w:rsidRPr="00343AC7">
              <w:rPr>
                <w:rFonts w:ascii="Arial" w:hAnsi="Arial" w:cs="Arial"/>
                <w:sz w:val="18"/>
                <w:szCs w:val="18"/>
              </w:rPr>
              <w:t>2019</w:t>
            </w:r>
          </w:p>
        </w:tc>
        <w:tc>
          <w:tcPr>
            <w:tcW w:w="0" w:type="auto"/>
            <w:shd w:val="clear" w:color="auto" w:fill="auto"/>
            <w:vAlign w:val="center"/>
          </w:tcPr>
          <w:p w:rsidR="006B4732" w:rsidRPr="00343AC7" w:rsidRDefault="00C1224F" w:rsidP="00A31BB9">
            <w:pPr>
              <w:spacing w:after="0"/>
              <w:jc w:val="center"/>
              <w:rPr>
                <w:rFonts w:ascii="Arial" w:hAnsi="Arial" w:cs="Arial"/>
                <w:sz w:val="18"/>
                <w:szCs w:val="18"/>
              </w:rPr>
            </w:pPr>
            <w:r w:rsidRPr="00343AC7">
              <w:rPr>
                <w:rFonts w:ascii="Arial" w:hAnsi="Arial" w:cs="Arial"/>
                <w:sz w:val="18"/>
                <w:szCs w:val="18"/>
              </w:rPr>
              <w:t>TOTAL</w:t>
            </w:r>
          </w:p>
        </w:tc>
      </w:tr>
      <w:tr w:rsidR="00C1224F" w:rsidRPr="00343AC7" w:rsidTr="00A31BB9">
        <w:tc>
          <w:tcPr>
            <w:tcW w:w="0" w:type="auto"/>
            <w:shd w:val="clear" w:color="auto" w:fill="auto"/>
          </w:tcPr>
          <w:p w:rsidR="00157F7D" w:rsidRPr="00343AC7" w:rsidRDefault="00157F7D" w:rsidP="00A31BB9">
            <w:pPr>
              <w:spacing w:after="0"/>
              <w:rPr>
                <w:rFonts w:ascii="Arial" w:hAnsi="Arial" w:cs="Arial"/>
                <w:sz w:val="18"/>
                <w:szCs w:val="18"/>
              </w:rPr>
            </w:pPr>
            <w:r w:rsidRPr="00343AC7">
              <w:rPr>
                <w:rFonts w:ascii="Arial" w:hAnsi="Arial" w:cs="Arial"/>
                <w:sz w:val="18"/>
                <w:szCs w:val="18"/>
              </w:rPr>
              <w:t>Componente 1: Establecimiento de la nueva institucionalidad de la educación pública en el MINEDUC</w:t>
            </w:r>
          </w:p>
        </w:tc>
        <w:tc>
          <w:tcPr>
            <w:tcW w:w="0" w:type="auto"/>
            <w:shd w:val="clear" w:color="auto" w:fill="auto"/>
            <w:vAlign w:val="center"/>
          </w:tcPr>
          <w:p w:rsidR="00157F7D" w:rsidRPr="00343AC7" w:rsidRDefault="00157F7D" w:rsidP="00A31BB9">
            <w:pPr>
              <w:spacing w:after="0"/>
              <w:jc w:val="center"/>
              <w:rPr>
                <w:rFonts w:ascii="Arial" w:hAnsi="Arial" w:cs="Arial"/>
                <w:sz w:val="18"/>
                <w:szCs w:val="18"/>
              </w:rPr>
            </w:pPr>
            <w:r w:rsidRPr="00343AC7">
              <w:rPr>
                <w:rFonts w:ascii="Arial" w:hAnsi="Arial" w:cs="Arial"/>
                <w:sz w:val="18"/>
                <w:szCs w:val="18"/>
              </w:rPr>
              <w:t>2.800.980</w:t>
            </w:r>
          </w:p>
        </w:tc>
        <w:tc>
          <w:tcPr>
            <w:tcW w:w="0" w:type="auto"/>
            <w:shd w:val="clear" w:color="auto" w:fill="auto"/>
            <w:vAlign w:val="center"/>
          </w:tcPr>
          <w:p w:rsidR="00157F7D" w:rsidRPr="00343AC7" w:rsidRDefault="00157F7D" w:rsidP="00A31BB9">
            <w:pPr>
              <w:spacing w:after="0"/>
              <w:jc w:val="center"/>
              <w:rPr>
                <w:rFonts w:ascii="Arial" w:hAnsi="Arial" w:cs="Arial"/>
                <w:sz w:val="18"/>
                <w:szCs w:val="18"/>
              </w:rPr>
            </w:pPr>
            <w:r w:rsidRPr="00343AC7">
              <w:rPr>
                <w:rFonts w:ascii="Arial" w:hAnsi="Arial" w:cs="Arial"/>
                <w:sz w:val="18"/>
                <w:szCs w:val="18"/>
              </w:rPr>
              <w:t>4.053.506</w:t>
            </w:r>
          </w:p>
        </w:tc>
        <w:tc>
          <w:tcPr>
            <w:tcW w:w="0" w:type="auto"/>
            <w:shd w:val="clear" w:color="auto" w:fill="auto"/>
            <w:vAlign w:val="center"/>
          </w:tcPr>
          <w:p w:rsidR="00157F7D" w:rsidRPr="00343AC7" w:rsidRDefault="00157F7D" w:rsidP="00A31BB9">
            <w:pPr>
              <w:spacing w:after="0"/>
              <w:jc w:val="center"/>
              <w:rPr>
                <w:rFonts w:ascii="Arial" w:hAnsi="Arial" w:cs="Arial"/>
                <w:sz w:val="18"/>
                <w:szCs w:val="18"/>
              </w:rPr>
            </w:pPr>
            <w:r w:rsidRPr="00343AC7">
              <w:rPr>
                <w:rFonts w:ascii="Arial" w:hAnsi="Arial" w:cs="Arial"/>
                <w:sz w:val="18"/>
                <w:szCs w:val="18"/>
              </w:rPr>
              <w:t>3.653.937</w:t>
            </w:r>
          </w:p>
        </w:tc>
        <w:tc>
          <w:tcPr>
            <w:tcW w:w="0" w:type="auto"/>
            <w:shd w:val="clear" w:color="auto" w:fill="auto"/>
            <w:vAlign w:val="center"/>
          </w:tcPr>
          <w:p w:rsidR="00157F7D" w:rsidRPr="00343AC7" w:rsidRDefault="00157F7D" w:rsidP="00A31BB9">
            <w:pPr>
              <w:spacing w:after="0"/>
              <w:jc w:val="center"/>
              <w:rPr>
                <w:rFonts w:ascii="Arial" w:hAnsi="Arial" w:cs="Arial"/>
                <w:sz w:val="18"/>
                <w:szCs w:val="18"/>
              </w:rPr>
            </w:pPr>
            <w:r w:rsidRPr="00343AC7">
              <w:rPr>
                <w:rFonts w:ascii="Arial" w:hAnsi="Arial" w:cs="Arial"/>
                <w:sz w:val="18"/>
                <w:szCs w:val="18"/>
              </w:rPr>
              <w:t>3.243.528</w:t>
            </w:r>
          </w:p>
        </w:tc>
        <w:tc>
          <w:tcPr>
            <w:tcW w:w="0" w:type="auto"/>
            <w:shd w:val="clear" w:color="auto" w:fill="auto"/>
            <w:vAlign w:val="center"/>
          </w:tcPr>
          <w:p w:rsidR="00157F7D" w:rsidRPr="00343AC7" w:rsidRDefault="00157F7D" w:rsidP="00A31BB9">
            <w:pPr>
              <w:spacing w:after="0"/>
              <w:jc w:val="center"/>
              <w:rPr>
                <w:rFonts w:ascii="Arial" w:hAnsi="Arial" w:cs="Arial"/>
                <w:sz w:val="18"/>
                <w:szCs w:val="18"/>
              </w:rPr>
            </w:pPr>
            <w:r w:rsidRPr="00343AC7">
              <w:rPr>
                <w:rFonts w:ascii="Arial" w:hAnsi="Arial" w:cs="Arial"/>
                <w:sz w:val="18"/>
                <w:szCs w:val="18"/>
              </w:rPr>
              <w:t>13.751.951</w:t>
            </w:r>
          </w:p>
        </w:tc>
      </w:tr>
      <w:tr w:rsidR="00C1224F" w:rsidRPr="00343AC7" w:rsidTr="00A31BB9">
        <w:tc>
          <w:tcPr>
            <w:tcW w:w="0" w:type="auto"/>
            <w:shd w:val="clear" w:color="auto" w:fill="auto"/>
          </w:tcPr>
          <w:p w:rsidR="00157F7D" w:rsidRPr="00343AC7" w:rsidRDefault="00157F7D" w:rsidP="00A31BB9">
            <w:pPr>
              <w:spacing w:after="0"/>
              <w:rPr>
                <w:rFonts w:ascii="Arial" w:hAnsi="Arial" w:cs="Arial"/>
                <w:sz w:val="18"/>
                <w:szCs w:val="18"/>
              </w:rPr>
            </w:pPr>
            <w:r w:rsidRPr="00343AC7">
              <w:rPr>
                <w:rFonts w:ascii="Arial" w:hAnsi="Arial" w:cs="Arial"/>
                <w:sz w:val="18"/>
                <w:szCs w:val="18"/>
              </w:rPr>
              <w:t>Componente 2: Plan de anticipación a nivel local</w:t>
            </w:r>
          </w:p>
        </w:tc>
        <w:tc>
          <w:tcPr>
            <w:tcW w:w="0" w:type="auto"/>
            <w:shd w:val="clear" w:color="auto" w:fill="auto"/>
            <w:vAlign w:val="center"/>
          </w:tcPr>
          <w:p w:rsidR="00157F7D" w:rsidRPr="00343AC7" w:rsidRDefault="00157F7D" w:rsidP="00A31BB9">
            <w:pPr>
              <w:spacing w:after="0"/>
              <w:jc w:val="center"/>
              <w:rPr>
                <w:rFonts w:ascii="Arial" w:hAnsi="Arial" w:cs="Arial"/>
                <w:sz w:val="18"/>
                <w:szCs w:val="18"/>
              </w:rPr>
            </w:pPr>
            <w:r w:rsidRPr="00343AC7">
              <w:rPr>
                <w:rFonts w:ascii="Arial" w:hAnsi="Arial" w:cs="Arial"/>
                <w:sz w:val="18"/>
                <w:szCs w:val="18"/>
              </w:rPr>
              <w:t>3.222.661</w:t>
            </w:r>
          </w:p>
        </w:tc>
        <w:tc>
          <w:tcPr>
            <w:tcW w:w="0" w:type="auto"/>
            <w:shd w:val="clear" w:color="auto" w:fill="auto"/>
            <w:vAlign w:val="center"/>
          </w:tcPr>
          <w:p w:rsidR="00157F7D" w:rsidRPr="00343AC7" w:rsidRDefault="00157F7D" w:rsidP="00A31BB9">
            <w:pPr>
              <w:spacing w:after="0"/>
              <w:jc w:val="center"/>
              <w:rPr>
                <w:rFonts w:ascii="Arial" w:hAnsi="Arial" w:cs="Arial"/>
                <w:sz w:val="18"/>
                <w:szCs w:val="18"/>
              </w:rPr>
            </w:pPr>
            <w:r w:rsidRPr="00343AC7">
              <w:rPr>
                <w:rFonts w:ascii="Arial" w:hAnsi="Arial" w:cs="Arial"/>
                <w:sz w:val="18"/>
                <w:szCs w:val="18"/>
              </w:rPr>
              <w:t>9.180.901</w:t>
            </w:r>
          </w:p>
        </w:tc>
        <w:tc>
          <w:tcPr>
            <w:tcW w:w="0" w:type="auto"/>
            <w:shd w:val="clear" w:color="auto" w:fill="auto"/>
            <w:vAlign w:val="center"/>
          </w:tcPr>
          <w:p w:rsidR="00157F7D" w:rsidRPr="00343AC7" w:rsidRDefault="00157F7D" w:rsidP="00A31BB9">
            <w:pPr>
              <w:spacing w:after="0"/>
              <w:jc w:val="center"/>
              <w:rPr>
                <w:rFonts w:ascii="Arial" w:hAnsi="Arial" w:cs="Arial"/>
                <w:sz w:val="18"/>
                <w:szCs w:val="18"/>
              </w:rPr>
            </w:pPr>
            <w:r w:rsidRPr="00343AC7">
              <w:rPr>
                <w:rFonts w:ascii="Arial" w:hAnsi="Arial" w:cs="Arial"/>
                <w:sz w:val="18"/>
                <w:szCs w:val="18"/>
              </w:rPr>
              <w:t>13.744.940</w:t>
            </w:r>
          </w:p>
        </w:tc>
        <w:tc>
          <w:tcPr>
            <w:tcW w:w="0" w:type="auto"/>
            <w:shd w:val="clear" w:color="auto" w:fill="auto"/>
            <w:vAlign w:val="center"/>
          </w:tcPr>
          <w:p w:rsidR="00157F7D" w:rsidRPr="00343AC7" w:rsidRDefault="00157F7D" w:rsidP="00A31BB9">
            <w:pPr>
              <w:spacing w:after="0"/>
              <w:jc w:val="center"/>
              <w:rPr>
                <w:rFonts w:ascii="Arial" w:hAnsi="Arial" w:cs="Arial"/>
                <w:sz w:val="18"/>
                <w:szCs w:val="18"/>
              </w:rPr>
            </w:pPr>
            <w:r w:rsidRPr="00343AC7">
              <w:rPr>
                <w:rFonts w:ascii="Arial" w:hAnsi="Arial" w:cs="Arial"/>
                <w:sz w:val="18"/>
                <w:szCs w:val="18"/>
              </w:rPr>
              <w:t>18.615.144</w:t>
            </w:r>
          </w:p>
        </w:tc>
        <w:tc>
          <w:tcPr>
            <w:tcW w:w="0" w:type="auto"/>
            <w:shd w:val="clear" w:color="auto" w:fill="auto"/>
            <w:vAlign w:val="center"/>
          </w:tcPr>
          <w:p w:rsidR="00157F7D" w:rsidRPr="00343AC7" w:rsidRDefault="00157F7D" w:rsidP="00A31BB9">
            <w:pPr>
              <w:spacing w:after="0"/>
              <w:jc w:val="center"/>
              <w:rPr>
                <w:rFonts w:ascii="Arial" w:hAnsi="Arial" w:cs="Arial"/>
                <w:sz w:val="18"/>
                <w:szCs w:val="18"/>
              </w:rPr>
            </w:pPr>
            <w:r w:rsidRPr="00343AC7">
              <w:rPr>
                <w:rFonts w:ascii="Arial" w:hAnsi="Arial" w:cs="Arial"/>
                <w:sz w:val="18"/>
                <w:szCs w:val="18"/>
              </w:rPr>
              <w:t>44.763.646</w:t>
            </w:r>
          </w:p>
        </w:tc>
      </w:tr>
      <w:tr w:rsidR="00C1224F" w:rsidRPr="00343AC7" w:rsidTr="00A31BB9">
        <w:tc>
          <w:tcPr>
            <w:tcW w:w="0" w:type="auto"/>
            <w:shd w:val="clear" w:color="auto" w:fill="auto"/>
          </w:tcPr>
          <w:p w:rsidR="00157F7D" w:rsidRPr="00343AC7" w:rsidRDefault="00157F7D" w:rsidP="00A31BB9">
            <w:pPr>
              <w:spacing w:after="0"/>
              <w:rPr>
                <w:rFonts w:ascii="Arial" w:hAnsi="Arial" w:cs="Arial"/>
                <w:sz w:val="18"/>
                <w:szCs w:val="18"/>
              </w:rPr>
            </w:pPr>
            <w:r w:rsidRPr="00343AC7">
              <w:rPr>
                <w:rFonts w:ascii="Arial" w:hAnsi="Arial" w:cs="Arial"/>
                <w:sz w:val="18"/>
                <w:szCs w:val="18"/>
              </w:rPr>
              <w:t xml:space="preserve">Componente 3: Fortalecimiento de la </w:t>
            </w:r>
            <w:r w:rsidR="00C1224F" w:rsidRPr="00343AC7">
              <w:rPr>
                <w:rFonts w:ascii="Arial" w:hAnsi="Arial" w:cs="Arial"/>
                <w:sz w:val="18"/>
                <w:szCs w:val="18"/>
              </w:rPr>
              <w:t>coordinación interinstitucional</w:t>
            </w:r>
          </w:p>
        </w:tc>
        <w:tc>
          <w:tcPr>
            <w:tcW w:w="0" w:type="auto"/>
            <w:shd w:val="clear" w:color="auto" w:fill="auto"/>
            <w:vAlign w:val="center"/>
          </w:tcPr>
          <w:p w:rsidR="00157F7D" w:rsidRPr="00343AC7" w:rsidRDefault="00157F7D" w:rsidP="00A31BB9">
            <w:pPr>
              <w:spacing w:after="0"/>
              <w:jc w:val="center"/>
              <w:rPr>
                <w:rFonts w:ascii="Arial" w:hAnsi="Arial" w:cs="Arial"/>
                <w:sz w:val="18"/>
                <w:szCs w:val="18"/>
              </w:rPr>
            </w:pPr>
            <w:r w:rsidRPr="00343AC7">
              <w:rPr>
                <w:rFonts w:ascii="Arial" w:hAnsi="Arial" w:cs="Arial"/>
                <w:sz w:val="18"/>
                <w:szCs w:val="18"/>
              </w:rPr>
              <w:t>87.336</w:t>
            </w:r>
          </w:p>
        </w:tc>
        <w:tc>
          <w:tcPr>
            <w:tcW w:w="0" w:type="auto"/>
            <w:shd w:val="clear" w:color="auto" w:fill="auto"/>
            <w:vAlign w:val="center"/>
          </w:tcPr>
          <w:p w:rsidR="00157F7D" w:rsidRPr="00343AC7" w:rsidRDefault="00157F7D" w:rsidP="00A31BB9">
            <w:pPr>
              <w:spacing w:after="0"/>
              <w:jc w:val="center"/>
              <w:rPr>
                <w:rFonts w:ascii="Arial" w:hAnsi="Arial" w:cs="Arial"/>
                <w:sz w:val="18"/>
                <w:szCs w:val="18"/>
              </w:rPr>
            </w:pPr>
            <w:r w:rsidRPr="00343AC7">
              <w:rPr>
                <w:rFonts w:ascii="Arial" w:hAnsi="Arial" w:cs="Arial"/>
                <w:sz w:val="18"/>
                <w:szCs w:val="18"/>
              </w:rPr>
              <w:t>1.627.801</w:t>
            </w:r>
          </w:p>
        </w:tc>
        <w:tc>
          <w:tcPr>
            <w:tcW w:w="0" w:type="auto"/>
            <w:shd w:val="clear" w:color="auto" w:fill="auto"/>
            <w:vAlign w:val="center"/>
          </w:tcPr>
          <w:p w:rsidR="00157F7D" w:rsidRPr="00343AC7" w:rsidRDefault="00157F7D" w:rsidP="00A31BB9">
            <w:pPr>
              <w:spacing w:after="0"/>
              <w:jc w:val="center"/>
              <w:rPr>
                <w:rFonts w:ascii="Arial" w:hAnsi="Arial" w:cs="Arial"/>
                <w:sz w:val="18"/>
                <w:szCs w:val="18"/>
              </w:rPr>
            </w:pPr>
            <w:r w:rsidRPr="00343AC7">
              <w:rPr>
                <w:rFonts w:ascii="Arial" w:hAnsi="Arial" w:cs="Arial"/>
                <w:sz w:val="18"/>
                <w:szCs w:val="18"/>
              </w:rPr>
              <w:t>1.835.564</w:t>
            </w:r>
          </w:p>
        </w:tc>
        <w:tc>
          <w:tcPr>
            <w:tcW w:w="0" w:type="auto"/>
            <w:shd w:val="clear" w:color="auto" w:fill="auto"/>
            <w:vAlign w:val="center"/>
          </w:tcPr>
          <w:p w:rsidR="00157F7D" w:rsidRPr="00343AC7" w:rsidRDefault="00157F7D" w:rsidP="00A31BB9">
            <w:pPr>
              <w:spacing w:after="0"/>
              <w:jc w:val="center"/>
              <w:rPr>
                <w:rFonts w:ascii="Arial" w:hAnsi="Arial" w:cs="Arial"/>
                <w:sz w:val="18"/>
                <w:szCs w:val="18"/>
              </w:rPr>
            </w:pPr>
            <w:r w:rsidRPr="00343AC7">
              <w:rPr>
                <w:rFonts w:ascii="Arial" w:hAnsi="Arial" w:cs="Arial"/>
                <w:sz w:val="18"/>
                <w:szCs w:val="18"/>
              </w:rPr>
              <w:t>2.274.640</w:t>
            </w:r>
          </w:p>
        </w:tc>
        <w:tc>
          <w:tcPr>
            <w:tcW w:w="0" w:type="auto"/>
            <w:shd w:val="clear" w:color="auto" w:fill="auto"/>
            <w:vAlign w:val="center"/>
          </w:tcPr>
          <w:p w:rsidR="00157F7D" w:rsidRPr="00343AC7" w:rsidRDefault="00157F7D" w:rsidP="00A31BB9">
            <w:pPr>
              <w:spacing w:after="0"/>
              <w:jc w:val="center"/>
              <w:rPr>
                <w:rFonts w:ascii="Arial" w:hAnsi="Arial" w:cs="Arial"/>
                <w:sz w:val="18"/>
                <w:szCs w:val="18"/>
              </w:rPr>
            </w:pPr>
            <w:r w:rsidRPr="00343AC7">
              <w:rPr>
                <w:rFonts w:ascii="Arial" w:hAnsi="Arial" w:cs="Arial"/>
                <w:sz w:val="18"/>
                <w:szCs w:val="18"/>
              </w:rPr>
              <w:t>5.825.341</w:t>
            </w:r>
          </w:p>
        </w:tc>
      </w:tr>
      <w:tr w:rsidR="00C1224F" w:rsidRPr="00343AC7" w:rsidTr="00A31BB9">
        <w:tc>
          <w:tcPr>
            <w:tcW w:w="0" w:type="auto"/>
            <w:shd w:val="clear" w:color="auto" w:fill="auto"/>
          </w:tcPr>
          <w:p w:rsidR="00157F7D" w:rsidRPr="00343AC7" w:rsidRDefault="00157F7D" w:rsidP="00A31BB9">
            <w:pPr>
              <w:spacing w:after="0"/>
              <w:rPr>
                <w:rFonts w:ascii="Arial" w:hAnsi="Arial" w:cs="Arial"/>
                <w:sz w:val="18"/>
                <w:szCs w:val="18"/>
              </w:rPr>
            </w:pPr>
            <w:r w:rsidRPr="00343AC7">
              <w:rPr>
                <w:rFonts w:ascii="Arial" w:hAnsi="Arial" w:cs="Arial"/>
                <w:sz w:val="18"/>
                <w:szCs w:val="18"/>
              </w:rPr>
              <w:t>Administración, Seguimiento y Auditoría</w:t>
            </w:r>
          </w:p>
        </w:tc>
        <w:tc>
          <w:tcPr>
            <w:tcW w:w="0" w:type="auto"/>
            <w:shd w:val="clear" w:color="auto" w:fill="auto"/>
            <w:vAlign w:val="center"/>
          </w:tcPr>
          <w:p w:rsidR="00157F7D" w:rsidRPr="00343AC7" w:rsidRDefault="00157F7D" w:rsidP="00A31BB9">
            <w:pPr>
              <w:spacing w:after="0"/>
              <w:jc w:val="center"/>
              <w:rPr>
                <w:rFonts w:ascii="Arial" w:hAnsi="Arial" w:cs="Arial"/>
                <w:sz w:val="18"/>
                <w:szCs w:val="18"/>
              </w:rPr>
            </w:pPr>
            <w:r w:rsidRPr="00343AC7">
              <w:rPr>
                <w:rFonts w:ascii="Arial" w:hAnsi="Arial" w:cs="Arial"/>
                <w:sz w:val="18"/>
                <w:szCs w:val="18"/>
              </w:rPr>
              <w:t>741.403</w:t>
            </w:r>
          </w:p>
        </w:tc>
        <w:tc>
          <w:tcPr>
            <w:tcW w:w="0" w:type="auto"/>
            <w:shd w:val="clear" w:color="auto" w:fill="auto"/>
            <w:vAlign w:val="center"/>
          </w:tcPr>
          <w:p w:rsidR="00157F7D" w:rsidRPr="00343AC7" w:rsidRDefault="00157F7D" w:rsidP="00A31BB9">
            <w:pPr>
              <w:spacing w:after="0"/>
              <w:jc w:val="center"/>
              <w:rPr>
                <w:rFonts w:ascii="Arial" w:hAnsi="Arial" w:cs="Arial"/>
                <w:sz w:val="18"/>
                <w:szCs w:val="18"/>
              </w:rPr>
            </w:pPr>
            <w:r w:rsidRPr="00343AC7">
              <w:rPr>
                <w:rFonts w:ascii="Arial" w:hAnsi="Arial" w:cs="Arial"/>
                <w:sz w:val="18"/>
                <w:szCs w:val="18"/>
              </w:rPr>
              <w:t>1.074.736</w:t>
            </w:r>
          </w:p>
        </w:tc>
        <w:tc>
          <w:tcPr>
            <w:tcW w:w="0" w:type="auto"/>
            <w:shd w:val="clear" w:color="auto" w:fill="auto"/>
            <w:vAlign w:val="center"/>
          </w:tcPr>
          <w:p w:rsidR="00157F7D" w:rsidRPr="00343AC7" w:rsidRDefault="00157F7D" w:rsidP="00A31BB9">
            <w:pPr>
              <w:spacing w:after="0"/>
              <w:jc w:val="center"/>
              <w:rPr>
                <w:rFonts w:ascii="Arial" w:hAnsi="Arial" w:cs="Arial"/>
                <w:sz w:val="18"/>
                <w:szCs w:val="18"/>
              </w:rPr>
            </w:pPr>
            <w:r w:rsidRPr="00343AC7">
              <w:rPr>
                <w:rFonts w:ascii="Arial" w:hAnsi="Arial" w:cs="Arial"/>
                <w:sz w:val="18"/>
                <w:szCs w:val="18"/>
              </w:rPr>
              <w:t>1.074.736</w:t>
            </w:r>
          </w:p>
        </w:tc>
        <w:tc>
          <w:tcPr>
            <w:tcW w:w="0" w:type="auto"/>
            <w:shd w:val="clear" w:color="auto" w:fill="auto"/>
            <w:vAlign w:val="center"/>
          </w:tcPr>
          <w:p w:rsidR="00157F7D" w:rsidRPr="00343AC7" w:rsidRDefault="00157F7D" w:rsidP="00A31BB9">
            <w:pPr>
              <w:spacing w:after="0"/>
              <w:jc w:val="center"/>
              <w:rPr>
                <w:rFonts w:ascii="Arial" w:hAnsi="Arial" w:cs="Arial"/>
                <w:sz w:val="18"/>
                <w:szCs w:val="18"/>
              </w:rPr>
            </w:pPr>
            <w:r w:rsidRPr="00343AC7">
              <w:rPr>
                <w:rFonts w:ascii="Arial" w:hAnsi="Arial" w:cs="Arial"/>
                <w:sz w:val="18"/>
                <w:szCs w:val="18"/>
              </w:rPr>
              <w:t>1.074.736</w:t>
            </w:r>
          </w:p>
        </w:tc>
        <w:tc>
          <w:tcPr>
            <w:tcW w:w="0" w:type="auto"/>
            <w:shd w:val="clear" w:color="auto" w:fill="auto"/>
            <w:vAlign w:val="center"/>
          </w:tcPr>
          <w:p w:rsidR="00157F7D" w:rsidRPr="00343AC7" w:rsidRDefault="00157F7D" w:rsidP="00A31BB9">
            <w:pPr>
              <w:spacing w:after="0"/>
              <w:jc w:val="center"/>
              <w:rPr>
                <w:rFonts w:ascii="Arial" w:hAnsi="Arial" w:cs="Arial"/>
                <w:sz w:val="18"/>
                <w:szCs w:val="18"/>
              </w:rPr>
            </w:pPr>
            <w:r w:rsidRPr="00343AC7">
              <w:rPr>
                <w:rFonts w:ascii="Arial" w:hAnsi="Arial" w:cs="Arial"/>
                <w:sz w:val="18"/>
                <w:szCs w:val="18"/>
              </w:rPr>
              <w:t>3.965.612</w:t>
            </w:r>
          </w:p>
        </w:tc>
      </w:tr>
      <w:tr w:rsidR="00C1224F" w:rsidRPr="00343AC7" w:rsidTr="00A31BB9">
        <w:tc>
          <w:tcPr>
            <w:tcW w:w="0" w:type="auto"/>
            <w:shd w:val="clear" w:color="auto" w:fill="auto"/>
          </w:tcPr>
          <w:p w:rsidR="00157F7D" w:rsidRPr="00343AC7" w:rsidRDefault="00157F7D" w:rsidP="00A31BB9">
            <w:pPr>
              <w:spacing w:after="0"/>
              <w:rPr>
                <w:rFonts w:ascii="Arial" w:hAnsi="Arial" w:cs="Arial"/>
                <w:sz w:val="18"/>
                <w:szCs w:val="18"/>
              </w:rPr>
            </w:pPr>
            <w:r w:rsidRPr="00343AC7">
              <w:rPr>
                <w:rFonts w:ascii="Arial" w:hAnsi="Arial" w:cs="Arial"/>
                <w:sz w:val="18"/>
                <w:szCs w:val="18"/>
              </w:rPr>
              <w:t>Evaluación</w:t>
            </w:r>
          </w:p>
        </w:tc>
        <w:tc>
          <w:tcPr>
            <w:tcW w:w="0" w:type="auto"/>
            <w:shd w:val="clear" w:color="auto" w:fill="auto"/>
            <w:vAlign w:val="center"/>
          </w:tcPr>
          <w:p w:rsidR="00157F7D" w:rsidRPr="00343AC7" w:rsidRDefault="00157F7D" w:rsidP="00A31BB9">
            <w:pPr>
              <w:spacing w:after="0"/>
              <w:jc w:val="center"/>
              <w:rPr>
                <w:rFonts w:ascii="Arial" w:hAnsi="Arial" w:cs="Arial"/>
                <w:sz w:val="18"/>
                <w:szCs w:val="18"/>
              </w:rPr>
            </w:pPr>
            <w:r w:rsidRPr="00343AC7">
              <w:rPr>
                <w:rFonts w:ascii="Arial" w:hAnsi="Arial" w:cs="Arial"/>
                <w:sz w:val="18"/>
                <w:szCs w:val="18"/>
              </w:rPr>
              <w:t>436.667</w:t>
            </w:r>
          </w:p>
        </w:tc>
        <w:tc>
          <w:tcPr>
            <w:tcW w:w="0" w:type="auto"/>
            <w:shd w:val="clear" w:color="auto" w:fill="auto"/>
            <w:vAlign w:val="center"/>
          </w:tcPr>
          <w:p w:rsidR="00157F7D" w:rsidRPr="00343AC7" w:rsidRDefault="00157F7D" w:rsidP="00A31BB9">
            <w:pPr>
              <w:spacing w:after="0"/>
              <w:jc w:val="center"/>
              <w:rPr>
                <w:rFonts w:ascii="Arial" w:hAnsi="Arial" w:cs="Arial"/>
                <w:sz w:val="18"/>
                <w:szCs w:val="18"/>
              </w:rPr>
            </w:pPr>
            <w:r w:rsidRPr="00343AC7">
              <w:rPr>
                <w:rFonts w:ascii="Arial" w:hAnsi="Arial" w:cs="Arial"/>
                <w:sz w:val="18"/>
                <w:szCs w:val="18"/>
              </w:rPr>
              <w:t>166.667</w:t>
            </w:r>
          </w:p>
        </w:tc>
        <w:tc>
          <w:tcPr>
            <w:tcW w:w="0" w:type="auto"/>
            <w:shd w:val="clear" w:color="auto" w:fill="auto"/>
            <w:vAlign w:val="center"/>
          </w:tcPr>
          <w:p w:rsidR="00157F7D" w:rsidRPr="00343AC7" w:rsidRDefault="00157F7D" w:rsidP="00A31BB9">
            <w:pPr>
              <w:spacing w:after="0"/>
              <w:jc w:val="center"/>
              <w:rPr>
                <w:rFonts w:ascii="Arial" w:hAnsi="Arial" w:cs="Arial"/>
                <w:sz w:val="18"/>
                <w:szCs w:val="18"/>
              </w:rPr>
            </w:pPr>
            <w:r w:rsidRPr="00343AC7">
              <w:rPr>
                <w:rFonts w:ascii="Arial" w:hAnsi="Arial" w:cs="Arial"/>
                <w:sz w:val="18"/>
                <w:szCs w:val="18"/>
              </w:rPr>
              <w:t>436.667</w:t>
            </w:r>
          </w:p>
        </w:tc>
        <w:tc>
          <w:tcPr>
            <w:tcW w:w="0" w:type="auto"/>
            <w:shd w:val="clear" w:color="auto" w:fill="auto"/>
            <w:vAlign w:val="center"/>
          </w:tcPr>
          <w:p w:rsidR="00157F7D" w:rsidRPr="00343AC7" w:rsidRDefault="00157F7D" w:rsidP="00A31BB9">
            <w:pPr>
              <w:spacing w:after="0"/>
              <w:jc w:val="center"/>
              <w:rPr>
                <w:rFonts w:ascii="Arial" w:hAnsi="Arial" w:cs="Arial"/>
                <w:sz w:val="18"/>
                <w:szCs w:val="18"/>
              </w:rPr>
            </w:pPr>
            <w:r w:rsidRPr="00343AC7">
              <w:rPr>
                <w:rFonts w:ascii="Arial" w:hAnsi="Arial" w:cs="Arial"/>
                <w:sz w:val="18"/>
                <w:szCs w:val="18"/>
              </w:rPr>
              <w:t>360.000</w:t>
            </w:r>
          </w:p>
        </w:tc>
        <w:tc>
          <w:tcPr>
            <w:tcW w:w="0" w:type="auto"/>
            <w:shd w:val="clear" w:color="auto" w:fill="auto"/>
            <w:vAlign w:val="center"/>
          </w:tcPr>
          <w:p w:rsidR="00157F7D" w:rsidRPr="00343AC7" w:rsidRDefault="00157F7D" w:rsidP="00A31BB9">
            <w:pPr>
              <w:spacing w:after="0"/>
              <w:jc w:val="center"/>
              <w:rPr>
                <w:rFonts w:ascii="Arial" w:hAnsi="Arial" w:cs="Arial"/>
                <w:sz w:val="18"/>
                <w:szCs w:val="18"/>
              </w:rPr>
            </w:pPr>
            <w:r w:rsidRPr="00343AC7">
              <w:rPr>
                <w:rFonts w:ascii="Arial" w:hAnsi="Arial" w:cs="Arial"/>
                <w:sz w:val="18"/>
                <w:szCs w:val="18"/>
              </w:rPr>
              <w:t>1.400.000</w:t>
            </w:r>
          </w:p>
        </w:tc>
      </w:tr>
      <w:tr w:rsidR="00C1224F" w:rsidRPr="00343AC7" w:rsidTr="00A31BB9">
        <w:tc>
          <w:tcPr>
            <w:tcW w:w="0" w:type="auto"/>
            <w:shd w:val="clear" w:color="auto" w:fill="auto"/>
          </w:tcPr>
          <w:p w:rsidR="00157F7D" w:rsidRPr="00343AC7" w:rsidRDefault="00C1224F" w:rsidP="00A31BB9">
            <w:pPr>
              <w:spacing w:after="0"/>
              <w:rPr>
                <w:rFonts w:ascii="Arial" w:hAnsi="Arial" w:cs="Arial"/>
                <w:sz w:val="18"/>
                <w:szCs w:val="18"/>
              </w:rPr>
            </w:pPr>
            <w:r w:rsidRPr="00343AC7">
              <w:rPr>
                <w:rFonts w:ascii="Arial" w:hAnsi="Arial" w:cs="Arial"/>
                <w:sz w:val="18"/>
                <w:szCs w:val="18"/>
              </w:rPr>
              <w:t>TOTAL</w:t>
            </w:r>
          </w:p>
        </w:tc>
        <w:tc>
          <w:tcPr>
            <w:tcW w:w="0" w:type="auto"/>
            <w:shd w:val="clear" w:color="auto" w:fill="auto"/>
            <w:vAlign w:val="center"/>
          </w:tcPr>
          <w:p w:rsidR="00157F7D" w:rsidRPr="00343AC7" w:rsidRDefault="00157F7D" w:rsidP="00A31BB9">
            <w:pPr>
              <w:spacing w:after="0"/>
              <w:jc w:val="center"/>
              <w:rPr>
                <w:rFonts w:ascii="Arial" w:hAnsi="Arial" w:cs="Arial"/>
                <w:sz w:val="18"/>
                <w:szCs w:val="18"/>
              </w:rPr>
            </w:pPr>
            <w:r w:rsidRPr="00343AC7">
              <w:rPr>
                <w:rFonts w:ascii="Arial" w:hAnsi="Arial" w:cs="Arial"/>
                <w:sz w:val="18"/>
                <w:szCs w:val="18"/>
              </w:rPr>
              <w:t>7.289.047</w:t>
            </w:r>
          </w:p>
        </w:tc>
        <w:tc>
          <w:tcPr>
            <w:tcW w:w="0" w:type="auto"/>
            <w:shd w:val="clear" w:color="auto" w:fill="auto"/>
            <w:vAlign w:val="center"/>
          </w:tcPr>
          <w:p w:rsidR="00157F7D" w:rsidRPr="00343AC7" w:rsidRDefault="00157F7D" w:rsidP="00A31BB9">
            <w:pPr>
              <w:spacing w:after="0"/>
              <w:jc w:val="center"/>
              <w:rPr>
                <w:rFonts w:ascii="Arial" w:hAnsi="Arial" w:cs="Arial"/>
                <w:sz w:val="18"/>
                <w:szCs w:val="18"/>
              </w:rPr>
            </w:pPr>
            <w:r w:rsidRPr="00343AC7">
              <w:rPr>
                <w:rFonts w:ascii="Arial" w:hAnsi="Arial" w:cs="Arial"/>
                <w:sz w:val="18"/>
                <w:szCs w:val="18"/>
              </w:rPr>
              <w:t>16.103.611</w:t>
            </w:r>
          </w:p>
        </w:tc>
        <w:tc>
          <w:tcPr>
            <w:tcW w:w="0" w:type="auto"/>
            <w:shd w:val="clear" w:color="auto" w:fill="auto"/>
            <w:vAlign w:val="center"/>
          </w:tcPr>
          <w:p w:rsidR="00157F7D" w:rsidRPr="00343AC7" w:rsidRDefault="00157F7D" w:rsidP="00A31BB9">
            <w:pPr>
              <w:spacing w:after="0"/>
              <w:jc w:val="center"/>
              <w:rPr>
                <w:rFonts w:ascii="Arial" w:hAnsi="Arial" w:cs="Arial"/>
                <w:sz w:val="18"/>
                <w:szCs w:val="18"/>
              </w:rPr>
            </w:pPr>
            <w:r w:rsidRPr="00343AC7">
              <w:rPr>
                <w:rFonts w:ascii="Arial" w:hAnsi="Arial" w:cs="Arial"/>
                <w:sz w:val="18"/>
                <w:szCs w:val="18"/>
              </w:rPr>
              <w:t>20.745.843</w:t>
            </w:r>
          </w:p>
        </w:tc>
        <w:tc>
          <w:tcPr>
            <w:tcW w:w="0" w:type="auto"/>
            <w:shd w:val="clear" w:color="auto" w:fill="auto"/>
            <w:vAlign w:val="center"/>
          </w:tcPr>
          <w:p w:rsidR="00157F7D" w:rsidRPr="00343AC7" w:rsidRDefault="00157F7D" w:rsidP="00A31BB9">
            <w:pPr>
              <w:spacing w:after="0"/>
              <w:jc w:val="center"/>
              <w:rPr>
                <w:rFonts w:ascii="Arial" w:hAnsi="Arial" w:cs="Arial"/>
                <w:sz w:val="18"/>
                <w:szCs w:val="18"/>
              </w:rPr>
            </w:pPr>
            <w:r w:rsidRPr="00343AC7">
              <w:rPr>
                <w:rFonts w:ascii="Arial" w:hAnsi="Arial" w:cs="Arial"/>
                <w:sz w:val="18"/>
                <w:szCs w:val="18"/>
              </w:rPr>
              <w:t>25.568.049</w:t>
            </w:r>
          </w:p>
        </w:tc>
        <w:tc>
          <w:tcPr>
            <w:tcW w:w="0" w:type="auto"/>
            <w:shd w:val="clear" w:color="auto" w:fill="auto"/>
            <w:vAlign w:val="center"/>
          </w:tcPr>
          <w:p w:rsidR="00157F7D" w:rsidRPr="00343AC7" w:rsidRDefault="00157F7D" w:rsidP="00A31BB9">
            <w:pPr>
              <w:spacing w:after="0"/>
              <w:jc w:val="center"/>
              <w:rPr>
                <w:rFonts w:ascii="Arial" w:hAnsi="Arial" w:cs="Arial"/>
                <w:sz w:val="18"/>
                <w:szCs w:val="18"/>
              </w:rPr>
            </w:pPr>
            <w:r w:rsidRPr="00343AC7">
              <w:rPr>
                <w:rFonts w:ascii="Arial" w:hAnsi="Arial" w:cs="Arial"/>
                <w:sz w:val="18"/>
                <w:szCs w:val="18"/>
              </w:rPr>
              <w:t>69.706.550</w:t>
            </w:r>
          </w:p>
        </w:tc>
      </w:tr>
    </w:tbl>
    <w:p w:rsidR="003A30D0" w:rsidRPr="00343AC7" w:rsidRDefault="00C1224F" w:rsidP="003A542A">
      <w:pPr>
        <w:rPr>
          <w:rFonts w:ascii="Arial" w:hAnsi="Arial" w:cs="Arial"/>
          <w:sz w:val="18"/>
          <w:szCs w:val="18"/>
        </w:rPr>
      </w:pPr>
      <w:r w:rsidRPr="00343AC7">
        <w:rPr>
          <w:rFonts w:ascii="Arial" w:hAnsi="Arial" w:cs="Arial"/>
          <w:sz w:val="18"/>
          <w:szCs w:val="18"/>
        </w:rPr>
        <w:t>Fuente: Matriz de Planificación BID</w:t>
      </w:r>
    </w:p>
    <w:p w:rsidR="003A2A6A" w:rsidRPr="007F4A23" w:rsidRDefault="00C1224F" w:rsidP="003A542A">
      <w:pPr>
        <w:rPr>
          <w:rFonts w:ascii="Arial" w:hAnsi="Arial" w:cs="Arial"/>
          <w:sz w:val="22"/>
          <w:szCs w:val="22"/>
        </w:rPr>
      </w:pPr>
      <w:r w:rsidRPr="007F4A23">
        <w:rPr>
          <w:rFonts w:ascii="Arial" w:hAnsi="Arial" w:cs="Arial"/>
          <w:sz w:val="22"/>
          <w:szCs w:val="22"/>
        </w:rPr>
        <w:t>Respecto a la estructura temporal de los desembolsos de inversión se observa una evolución ascendente que comienza el año 2016 con un 10,5% del presupuesto hasta llegar a un 36,7% el año 2019</w:t>
      </w:r>
      <w:r w:rsidR="00DF5001" w:rsidRPr="007F4A23">
        <w:rPr>
          <w:rFonts w:ascii="Arial" w:hAnsi="Arial" w:cs="Arial"/>
          <w:sz w:val="22"/>
          <w:szCs w:val="22"/>
        </w:rPr>
        <w:t>.</w:t>
      </w:r>
    </w:p>
    <w:p w:rsidR="00211EE7" w:rsidRPr="007F4A23" w:rsidRDefault="00DD1BDA" w:rsidP="003A542A">
      <w:pPr>
        <w:rPr>
          <w:rFonts w:ascii="Arial" w:hAnsi="Arial" w:cs="Arial"/>
          <w:sz w:val="22"/>
          <w:szCs w:val="22"/>
        </w:rPr>
      </w:pPr>
      <w:r w:rsidRPr="007F4A23">
        <w:rPr>
          <w:rFonts w:ascii="Arial" w:hAnsi="Arial" w:cs="Arial"/>
          <w:sz w:val="22"/>
          <w:szCs w:val="22"/>
        </w:rPr>
        <w:t>Desde el punto de vista de la estructura y magnitud de los costos de operación del Programa se observa al igual que en la inversión una estructura que paulatinamente aumenta en la medida en que entran en operación nuevos Servicios Locales de Educación, tal como se despliega en la</w:t>
      </w:r>
      <w:r w:rsidR="00211EE7" w:rsidRPr="007F4A23">
        <w:rPr>
          <w:rFonts w:ascii="Arial" w:hAnsi="Arial" w:cs="Arial"/>
          <w:sz w:val="22"/>
          <w:szCs w:val="22"/>
        </w:rPr>
        <w:t xml:space="preserve"> </w:t>
      </w:r>
      <w:r w:rsidR="00211EE7" w:rsidRPr="007F4A23">
        <w:rPr>
          <w:rFonts w:ascii="Arial" w:hAnsi="Arial" w:cs="Arial"/>
          <w:sz w:val="22"/>
          <w:szCs w:val="22"/>
        </w:rPr>
        <w:fldChar w:fldCharType="begin"/>
      </w:r>
      <w:r w:rsidR="00211EE7" w:rsidRPr="007F4A23">
        <w:rPr>
          <w:rFonts w:ascii="Arial" w:hAnsi="Arial" w:cs="Arial"/>
          <w:sz w:val="22"/>
          <w:szCs w:val="22"/>
        </w:rPr>
        <w:instrText xml:space="preserve"> REF _Ref432063805 \h </w:instrText>
      </w:r>
      <w:r w:rsidR="007F4A23" w:rsidRPr="007F4A23">
        <w:rPr>
          <w:rFonts w:ascii="Arial" w:hAnsi="Arial" w:cs="Arial"/>
          <w:sz w:val="22"/>
          <w:szCs w:val="22"/>
        </w:rPr>
        <w:instrText xml:space="preserve"> \* MERGEFORMAT </w:instrText>
      </w:r>
      <w:r w:rsidR="00211EE7" w:rsidRPr="007F4A23">
        <w:rPr>
          <w:rFonts w:ascii="Arial" w:hAnsi="Arial" w:cs="Arial"/>
          <w:sz w:val="22"/>
          <w:szCs w:val="22"/>
        </w:rPr>
      </w:r>
      <w:r w:rsidR="00211EE7" w:rsidRPr="007F4A23">
        <w:rPr>
          <w:rFonts w:ascii="Arial" w:hAnsi="Arial" w:cs="Arial"/>
          <w:sz w:val="22"/>
          <w:szCs w:val="22"/>
        </w:rPr>
        <w:fldChar w:fldCharType="separate"/>
      </w:r>
      <w:r w:rsidR="00211EE7" w:rsidRPr="007F4A23">
        <w:rPr>
          <w:rFonts w:ascii="Arial" w:hAnsi="Arial" w:cs="Arial"/>
          <w:sz w:val="22"/>
          <w:szCs w:val="22"/>
        </w:rPr>
        <w:t xml:space="preserve">Tabla </w:t>
      </w:r>
      <w:r w:rsidR="00211EE7" w:rsidRPr="007F4A23">
        <w:rPr>
          <w:rFonts w:ascii="Arial" w:hAnsi="Arial" w:cs="Arial"/>
          <w:noProof/>
          <w:sz w:val="22"/>
          <w:szCs w:val="22"/>
        </w:rPr>
        <w:t>3</w:t>
      </w:r>
      <w:r w:rsidR="00211EE7" w:rsidRPr="007F4A23">
        <w:rPr>
          <w:rFonts w:ascii="Arial" w:hAnsi="Arial" w:cs="Arial"/>
          <w:sz w:val="22"/>
          <w:szCs w:val="22"/>
        </w:rPr>
        <w:fldChar w:fldCharType="end"/>
      </w:r>
      <w:r w:rsidR="00211EE7" w:rsidRPr="007F4A23">
        <w:rPr>
          <w:rFonts w:ascii="Arial" w:hAnsi="Arial" w:cs="Arial"/>
          <w:sz w:val="22"/>
          <w:szCs w:val="22"/>
        </w:rPr>
        <w:t>.</w:t>
      </w:r>
    </w:p>
    <w:p w:rsidR="00DF5001" w:rsidRPr="00343AC7" w:rsidRDefault="00DF5001" w:rsidP="00343AC7">
      <w:pPr>
        <w:jc w:val="center"/>
        <w:rPr>
          <w:rFonts w:ascii="Arial" w:hAnsi="Arial" w:cs="Arial"/>
          <w:b/>
          <w:sz w:val="18"/>
          <w:szCs w:val="18"/>
        </w:rPr>
      </w:pPr>
      <w:bookmarkStart w:id="1" w:name="_Ref432063805"/>
      <w:r w:rsidRPr="00343AC7">
        <w:rPr>
          <w:rFonts w:ascii="Arial" w:hAnsi="Arial" w:cs="Arial"/>
          <w:b/>
          <w:sz w:val="18"/>
          <w:szCs w:val="18"/>
        </w:rPr>
        <w:t xml:space="preserve">Tabla </w:t>
      </w:r>
      <w:r w:rsidRPr="00343AC7">
        <w:rPr>
          <w:rFonts w:ascii="Arial" w:hAnsi="Arial" w:cs="Arial"/>
          <w:b/>
          <w:sz w:val="18"/>
          <w:szCs w:val="18"/>
        </w:rPr>
        <w:fldChar w:fldCharType="begin"/>
      </w:r>
      <w:r w:rsidRPr="00343AC7">
        <w:rPr>
          <w:rFonts w:ascii="Arial" w:hAnsi="Arial" w:cs="Arial"/>
          <w:b/>
          <w:sz w:val="18"/>
          <w:szCs w:val="18"/>
        </w:rPr>
        <w:instrText xml:space="preserve"> SEQ Tabla \* ARABIC </w:instrText>
      </w:r>
      <w:r w:rsidRPr="00343AC7">
        <w:rPr>
          <w:rFonts w:ascii="Arial" w:hAnsi="Arial" w:cs="Arial"/>
          <w:b/>
          <w:sz w:val="18"/>
          <w:szCs w:val="18"/>
        </w:rPr>
        <w:fldChar w:fldCharType="separate"/>
      </w:r>
      <w:r w:rsidR="00211EE7" w:rsidRPr="00343AC7">
        <w:rPr>
          <w:rFonts w:ascii="Arial" w:hAnsi="Arial" w:cs="Arial"/>
          <w:b/>
          <w:noProof/>
          <w:sz w:val="18"/>
          <w:szCs w:val="18"/>
        </w:rPr>
        <w:t>3</w:t>
      </w:r>
      <w:r w:rsidRPr="00343AC7">
        <w:rPr>
          <w:rFonts w:ascii="Arial" w:hAnsi="Arial" w:cs="Arial"/>
          <w:b/>
          <w:sz w:val="18"/>
          <w:szCs w:val="18"/>
        </w:rPr>
        <w:fldChar w:fldCharType="end"/>
      </w:r>
      <w:bookmarkEnd w:id="1"/>
      <w:r w:rsidRPr="00343AC7">
        <w:rPr>
          <w:rFonts w:ascii="Arial" w:hAnsi="Arial" w:cs="Arial"/>
          <w:b/>
          <w:sz w:val="18"/>
          <w:szCs w:val="18"/>
        </w:rPr>
        <w:t>: Estimación de costos Anuales de Operación del Programa (en USD)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8"/>
        <w:gridCol w:w="1729"/>
        <w:gridCol w:w="1729"/>
        <w:gridCol w:w="1729"/>
        <w:gridCol w:w="1729"/>
      </w:tblGrid>
      <w:tr w:rsidR="00DF5001" w:rsidRPr="00343AC7" w:rsidTr="00A31BB9">
        <w:tc>
          <w:tcPr>
            <w:tcW w:w="1728" w:type="dxa"/>
            <w:vMerge w:val="restart"/>
            <w:shd w:val="clear" w:color="auto" w:fill="auto"/>
            <w:vAlign w:val="center"/>
          </w:tcPr>
          <w:p w:rsidR="00DF5001" w:rsidRPr="00343AC7" w:rsidRDefault="00DF5001" w:rsidP="00A31BB9">
            <w:pPr>
              <w:spacing w:after="0"/>
              <w:jc w:val="center"/>
              <w:rPr>
                <w:rFonts w:ascii="Arial" w:hAnsi="Arial" w:cs="Arial"/>
                <w:sz w:val="18"/>
                <w:szCs w:val="18"/>
              </w:rPr>
            </w:pPr>
          </w:p>
        </w:tc>
        <w:tc>
          <w:tcPr>
            <w:tcW w:w="6916" w:type="dxa"/>
            <w:gridSpan w:val="4"/>
            <w:shd w:val="clear" w:color="auto" w:fill="auto"/>
            <w:vAlign w:val="center"/>
          </w:tcPr>
          <w:p w:rsidR="00DF5001" w:rsidRPr="00343AC7" w:rsidRDefault="00DF5001" w:rsidP="00A31BB9">
            <w:pPr>
              <w:spacing w:after="0"/>
              <w:jc w:val="center"/>
              <w:rPr>
                <w:rFonts w:ascii="Arial" w:hAnsi="Arial" w:cs="Arial"/>
                <w:sz w:val="18"/>
                <w:szCs w:val="18"/>
              </w:rPr>
            </w:pPr>
            <w:r w:rsidRPr="00343AC7">
              <w:rPr>
                <w:rFonts w:ascii="Arial" w:hAnsi="Arial" w:cs="Arial"/>
                <w:sz w:val="18"/>
                <w:szCs w:val="18"/>
              </w:rPr>
              <w:t>Año</w:t>
            </w:r>
          </w:p>
        </w:tc>
      </w:tr>
      <w:tr w:rsidR="00DF5001" w:rsidRPr="00343AC7" w:rsidTr="00A31BB9">
        <w:tc>
          <w:tcPr>
            <w:tcW w:w="1728" w:type="dxa"/>
            <w:vMerge/>
            <w:shd w:val="clear" w:color="auto" w:fill="auto"/>
            <w:vAlign w:val="center"/>
          </w:tcPr>
          <w:p w:rsidR="00DF5001" w:rsidRPr="00343AC7" w:rsidRDefault="00DF5001" w:rsidP="00A31BB9">
            <w:pPr>
              <w:spacing w:after="0"/>
              <w:jc w:val="center"/>
              <w:rPr>
                <w:rFonts w:ascii="Arial" w:hAnsi="Arial" w:cs="Arial"/>
                <w:sz w:val="18"/>
                <w:szCs w:val="18"/>
              </w:rPr>
            </w:pPr>
          </w:p>
        </w:tc>
        <w:tc>
          <w:tcPr>
            <w:tcW w:w="1729" w:type="dxa"/>
            <w:shd w:val="clear" w:color="auto" w:fill="auto"/>
            <w:vAlign w:val="center"/>
          </w:tcPr>
          <w:p w:rsidR="00DF5001" w:rsidRPr="00343AC7" w:rsidRDefault="00DF5001" w:rsidP="00A31BB9">
            <w:pPr>
              <w:spacing w:after="0"/>
              <w:jc w:val="center"/>
              <w:rPr>
                <w:rFonts w:ascii="Arial" w:hAnsi="Arial" w:cs="Arial"/>
                <w:sz w:val="18"/>
                <w:szCs w:val="18"/>
              </w:rPr>
            </w:pPr>
            <w:r w:rsidRPr="00343AC7">
              <w:rPr>
                <w:rFonts w:ascii="Arial" w:hAnsi="Arial" w:cs="Arial"/>
                <w:sz w:val="18"/>
                <w:szCs w:val="18"/>
              </w:rPr>
              <w:t>2017</w:t>
            </w:r>
          </w:p>
        </w:tc>
        <w:tc>
          <w:tcPr>
            <w:tcW w:w="1729" w:type="dxa"/>
            <w:shd w:val="clear" w:color="auto" w:fill="auto"/>
            <w:vAlign w:val="center"/>
          </w:tcPr>
          <w:p w:rsidR="00DF5001" w:rsidRPr="00343AC7" w:rsidRDefault="00DF5001" w:rsidP="00A31BB9">
            <w:pPr>
              <w:spacing w:after="0"/>
              <w:jc w:val="center"/>
              <w:rPr>
                <w:rFonts w:ascii="Arial" w:hAnsi="Arial" w:cs="Arial"/>
                <w:sz w:val="18"/>
                <w:szCs w:val="18"/>
              </w:rPr>
            </w:pPr>
            <w:r w:rsidRPr="00343AC7">
              <w:rPr>
                <w:rFonts w:ascii="Arial" w:hAnsi="Arial" w:cs="Arial"/>
                <w:sz w:val="18"/>
                <w:szCs w:val="18"/>
              </w:rPr>
              <w:t>2018</w:t>
            </w:r>
          </w:p>
        </w:tc>
        <w:tc>
          <w:tcPr>
            <w:tcW w:w="1729" w:type="dxa"/>
            <w:shd w:val="clear" w:color="auto" w:fill="auto"/>
            <w:vAlign w:val="center"/>
          </w:tcPr>
          <w:p w:rsidR="00DF5001" w:rsidRPr="00343AC7" w:rsidRDefault="00DF5001" w:rsidP="00A31BB9">
            <w:pPr>
              <w:spacing w:after="0"/>
              <w:jc w:val="center"/>
              <w:rPr>
                <w:rFonts w:ascii="Arial" w:hAnsi="Arial" w:cs="Arial"/>
                <w:sz w:val="18"/>
                <w:szCs w:val="18"/>
              </w:rPr>
            </w:pPr>
            <w:r w:rsidRPr="00343AC7">
              <w:rPr>
                <w:rFonts w:ascii="Arial" w:hAnsi="Arial" w:cs="Arial"/>
                <w:sz w:val="18"/>
                <w:szCs w:val="18"/>
              </w:rPr>
              <w:t>2019</w:t>
            </w:r>
          </w:p>
        </w:tc>
        <w:tc>
          <w:tcPr>
            <w:tcW w:w="1729" w:type="dxa"/>
            <w:shd w:val="clear" w:color="auto" w:fill="auto"/>
            <w:vAlign w:val="center"/>
          </w:tcPr>
          <w:p w:rsidR="00DF5001" w:rsidRPr="00343AC7" w:rsidRDefault="00DF5001" w:rsidP="00A31BB9">
            <w:pPr>
              <w:spacing w:after="0"/>
              <w:jc w:val="center"/>
              <w:rPr>
                <w:rFonts w:ascii="Arial" w:hAnsi="Arial" w:cs="Arial"/>
                <w:sz w:val="18"/>
                <w:szCs w:val="18"/>
              </w:rPr>
            </w:pPr>
            <w:r w:rsidRPr="00343AC7">
              <w:rPr>
                <w:rFonts w:ascii="Arial" w:hAnsi="Arial" w:cs="Arial"/>
                <w:sz w:val="18"/>
                <w:szCs w:val="18"/>
              </w:rPr>
              <w:t>2019 en adelante</w:t>
            </w:r>
          </w:p>
        </w:tc>
      </w:tr>
      <w:tr w:rsidR="002662A9" w:rsidRPr="00343AC7" w:rsidTr="00A31BB9">
        <w:tc>
          <w:tcPr>
            <w:tcW w:w="1728" w:type="dxa"/>
            <w:shd w:val="clear" w:color="auto" w:fill="auto"/>
            <w:vAlign w:val="center"/>
          </w:tcPr>
          <w:p w:rsidR="002662A9" w:rsidRPr="00343AC7" w:rsidRDefault="002662A9" w:rsidP="00A31BB9">
            <w:pPr>
              <w:spacing w:after="0"/>
              <w:jc w:val="center"/>
              <w:rPr>
                <w:rFonts w:ascii="Arial" w:hAnsi="Arial" w:cs="Arial"/>
                <w:sz w:val="18"/>
                <w:szCs w:val="18"/>
              </w:rPr>
            </w:pPr>
            <w:r w:rsidRPr="00343AC7">
              <w:rPr>
                <w:rFonts w:ascii="Arial" w:hAnsi="Arial" w:cs="Arial"/>
                <w:sz w:val="18"/>
                <w:szCs w:val="18"/>
              </w:rPr>
              <w:t>Cantidad de SLE en operación</w:t>
            </w:r>
          </w:p>
        </w:tc>
        <w:tc>
          <w:tcPr>
            <w:tcW w:w="1729" w:type="dxa"/>
            <w:shd w:val="clear" w:color="auto" w:fill="auto"/>
            <w:vAlign w:val="center"/>
          </w:tcPr>
          <w:p w:rsidR="002662A9" w:rsidRPr="00343AC7" w:rsidRDefault="002662A9" w:rsidP="00A31BB9">
            <w:pPr>
              <w:spacing w:after="0"/>
              <w:jc w:val="center"/>
              <w:rPr>
                <w:rFonts w:ascii="Arial" w:hAnsi="Arial" w:cs="Arial"/>
                <w:sz w:val="18"/>
                <w:szCs w:val="18"/>
              </w:rPr>
            </w:pPr>
            <w:r w:rsidRPr="00343AC7">
              <w:rPr>
                <w:rFonts w:ascii="Arial" w:hAnsi="Arial" w:cs="Arial"/>
                <w:sz w:val="18"/>
                <w:szCs w:val="18"/>
              </w:rPr>
              <w:t>6</w:t>
            </w:r>
          </w:p>
        </w:tc>
        <w:tc>
          <w:tcPr>
            <w:tcW w:w="1729" w:type="dxa"/>
            <w:shd w:val="clear" w:color="auto" w:fill="auto"/>
            <w:vAlign w:val="center"/>
          </w:tcPr>
          <w:p w:rsidR="002662A9" w:rsidRPr="00343AC7" w:rsidRDefault="002662A9" w:rsidP="00A31BB9">
            <w:pPr>
              <w:spacing w:after="0"/>
              <w:jc w:val="center"/>
              <w:rPr>
                <w:rFonts w:ascii="Arial" w:hAnsi="Arial" w:cs="Arial"/>
                <w:sz w:val="18"/>
                <w:szCs w:val="18"/>
              </w:rPr>
            </w:pPr>
            <w:r w:rsidRPr="00343AC7">
              <w:rPr>
                <w:rFonts w:ascii="Arial" w:hAnsi="Arial" w:cs="Arial"/>
                <w:sz w:val="18"/>
                <w:szCs w:val="18"/>
              </w:rPr>
              <w:t>15</w:t>
            </w:r>
          </w:p>
        </w:tc>
        <w:tc>
          <w:tcPr>
            <w:tcW w:w="1729" w:type="dxa"/>
            <w:shd w:val="clear" w:color="auto" w:fill="auto"/>
            <w:vAlign w:val="center"/>
          </w:tcPr>
          <w:p w:rsidR="002662A9" w:rsidRPr="00343AC7" w:rsidRDefault="002662A9" w:rsidP="00A31BB9">
            <w:pPr>
              <w:spacing w:after="0"/>
              <w:jc w:val="center"/>
              <w:rPr>
                <w:rFonts w:ascii="Arial" w:hAnsi="Arial" w:cs="Arial"/>
                <w:sz w:val="18"/>
                <w:szCs w:val="18"/>
              </w:rPr>
            </w:pPr>
            <w:r w:rsidRPr="00343AC7">
              <w:rPr>
                <w:rFonts w:ascii="Arial" w:hAnsi="Arial" w:cs="Arial"/>
                <w:sz w:val="18"/>
                <w:szCs w:val="18"/>
              </w:rPr>
              <w:t>31</w:t>
            </w:r>
          </w:p>
        </w:tc>
        <w:tc>
          <w:tcPr>
            <w:tcW w:w="1729" w:type="dxa"/>
            <w:shd w:val="clear" w:color="auto" w:fill="auto"/>
            <w:vAlign w:val="center"/>
          </w:tcPr>
          <w:p w:rsidR="002662A9" w:rsidRPr="00343AC7" w:rsidRDefault="002662A9" w:rsidP="00A31BB9">
            <w:pPr>
              <w:spacing w:after="0"/>
              <w:jc w:val="center"/>
              <w:rPr>
                <w:rFonts w:ascii="Arial" w:hAnsi="Arial" w:cs="Arial"/>
                <w:sz w:val="18"/>
                <w:szCs w:val="18"/>
              </w:rPr>
            </w:pPr>
            <w:r w:rsidRPr="00343AC7">
              <w:rPr>
                <w:rFonts w:ascii="Arial" w:hAnsi="Arial" w:cs="Arial"/>
                <w:sz w:val="18"/>
                <w:szCs w:val="18"/>
              </w:rPr>
              <w:t>31</w:t>
            </w:r>
          </w:p>
        </w:tc>
      </w:tr>
      <w:tr w:rsidR="007E38B5" w:rsidRPr="00343AC7" w:rsidTr="00EA548C">
        <w:tc>
          <w:tcPr>
            <w:tcW w:w="1728" w:type="dxa"/>
            <w:shd w:val="clear" w:color="auto" w:fill="auto"/>
            <w:vAlign w:val="center"/>
          </w:tcPr>
          <w:p w:rsidR="007E38B5" w:rsidRPr="00343AC7" w:rsidRDefault="007E38B5" w:rsidP="007E38B5">
            <w:pPr>
              <w:spacing w:after="0"/>
              <w:jc w:val="center"/>
              <w:rPr>
                <w:rFonts w:ascii="Arial" w:hAnsi="Arial" w:cs="Arial"/>
                <w:sz w:val="18"/>
                <w:szCs w:val="18"/>
              </w:rPr>
            </w:pPr>
            <w:r w:rsidRPr="00343AC7">
              <w:rPr>
                <w:rFonts w:ascii="Arial" w:hAnsi="Arial" w:cs="Arial"/>
                <w:sz w:val="18"/>
                <w:szCs w:val="18"/>
              </w:rPr>
              <w:t>Gastos en RRHH</w:t>
            </w:r>
          </w:p>
        </w:tc>
        <w:tc>
          <w:tcPr>
            <w:tcW w:w="1729" w:type="dxa"/>
            <w:shd w:val="clear" w:color="auto" w:fill="auto"/>
            <w:vAlign w:val="bottom"/>
          </w:tcPr>
          <w:p w:rsidR="007E38B5" w:rsidRPr="00343AC7" w:rsidRDefault="007E38B5" w:rsidP="007E38B5">
            <w:pPr>
              <w:spacing w:after="0"/>
              <w:jc w:val="center"/>
              <w:rPr>
                <w:rFonts w:ascii="Arial" w:hAnsi="Arial" w:cs="Arial"/>
                <w:sz w:val="18"/>
                <w:szCs w:val="18"/>
              </w:rPr>
            </w:pPr>
            <w:r w:rsidRPr="00343AC7">
              <w:rPr>
                <w:rFonts w:ascii="Arial" w:hAnsi="Arial" w:cs="Arial"/>
                <w:sz w:val="18"/>
                <w:szCs w:val="18"/>
              </w:rPr>
              <w:t>12.394.309</w:t>
            </w:r>
          </w:p>
        </w:tc>
        <w:tc>
          <w:tcPr>
            <w:tcW w:w="1729" w:type="dxa"/>
            <w:shd w:val="clear" w:color="auto" w:fill="auto"/>
            <w:vAlign w:val="bottom"/>
          </w:tcPr>
          <w:p w:rsidR="007E38B5" w:rsidRPr="00343AC7" w:rsidRDefault="007E38B5" w:rsidP="007E38B5">
            <w:pPr>
              <w:spacing w:after="0"/>
              <w:jc w:val="center"/>
              <w:rPr>
                <w:rFonts w:ascii="Arial" w:hAnsi="Arial" w:cs="Arial"/>
                <w:sz w:val="18"/>
                <w:szCs w:val="18"/>
              </w:rPr>
            </w:pPr>
            <w:r w:rsidRPr="00343AC7">
              <w:rPr>
                <w:rFonts w:ascii="Arial" w:hAnsi="Arial" w:cs="Arial"/>
                <w:sz w:val="18"/>
                <w:szCs w:val="18"/>
              </w:rPr>
              <w:t>31.915.345</w:t>
            </w:r>
          </w:p>
        </w:tc>
        <w:tc>
          <w:tcPr>
            <w:tcW w:w="1729" w:type="dxa"/>
            <w:shd w:val="clear" w:color="auto" w:fill="auto"/>
            <w:vAlign w:val="bottom"/>
          </w:tcPr>
          <w:p w:rsidR="007E38B5" w:rsidRPr="00343AC7" w:rsidRDefault="007E38B5" w:rsidP="007E38B5">
            <w:pPr>
              <w:spacing w:after="0"/>
              <w:jc w:val="center"/>
              <w:rPr>
                <w:rFonts w:ascii="Arial" w:hAnsi="Arial" w:cs="Arial"/>
                <w:sz w:val="18"/>
                <w:szCs w:val="18"/>
              </w:rPr>
            </w:pPr>
            <w:r w:rsidRPr="00343AC7">
              <w:rPr>
                <w:rFonts w:ascii="Arial" w:hAnsi="Arial" w:cs="Arial"/>
                <w:sz w:val="18"/>
                <w:szCs w:val="18"/>
              </w:rPr>
              <w:t>67.937.132</w:t>
            </w:r>
          </w:p>
        </w:tc>
        <w:tc>
          <w:tcPr>
            <w:tcW w:w="1729" w:type="dxa"/>
            <w:shd w:val="clear" w:color="auto" w:fill="auto"/>
            <w:vAlign w:val="bottom"/>
          </w:tcPr>
          <w:p w:rsidR="007E38B5" w:rsidRPr="00343AC7" w:rsidRDefault="007E38B5" w:rsidP="007E38B5">
            <w:pPr>
              <w:spacing w:after="0"/>
              <w:jc w:val="center"/>
              <w:rPr>
                <w:rFonts w:ascii="Arial" w:hAnsi="Arial" w:cs="Arial"/>
                <w:sz w:val="18"/>
                <w:szCs w:val="18"/>
              </w:rPr>
            </w:pPr>
            <w:r w:rsidRPr="00343AC7">
              <w:rPr>
                <w:rFonts w:ascii="Arial" w:hAnsi="Arial" w:cs="Arial"/>
                <w:sz w:val="18"/>
                <w:szCs w:val="18"/>
              </w:rPr>
              <w:t>12.394.309</w:t>
            </w:r>
          </w:p>
        </w:tc>
      </w:tr>
      <w:tr w:rsidR="007E38B5" w:rsidRPr="00343AC7" w:rsidTr="00EA548C">
        <w:tc>
          <w:tcPr>
            <w:tcW w:w="1728" w:type="dxa"/>
            <w:shd w:val="clear" w:color="auto" w:fill="auto"/>
            <w:vAlign w:val="center"/>
          </w:tcPr>
          <w:p w:rsidR="007E38B5" w:rsidRPr="00343AC7" w:rsidRDefault="007E38B5" w:rsidP="007E38B5">
            <w:pPr>
              <w:spacing w:after="0"/>
              <w:jc w:val="center"/>
              <w:rPr>
                <w:rFonts w:ascii="Arial" w:hAnsi="Arial" w:cs="Arial"/>
                <w:sz w:val="18"/>
                <w:szCs w:val="18"/>
              </w:rPr>
            </w:pPr>
            <w:r w:rsidRPr="00343AC7">
              <w:rPr>
                <w:rFonts w:ascii="Arial" w:hAnsi="Arial" w:cs="Arial"/>
                <w:sz w:val="18"/>
                <w:szCs w:val="18"/>
              </w:rPr>
              <w:t>Gastos Operacionales</w:t>
            </w:r>
          </w:p>
        </w:tc>
        <w:tc>
          <w:tcPr>
            <w:tcW w:w="1729" w:type="dxa"/>
            <w:shd w:val="clear" w:color="auto" w:fill="auto"/>
            <w:vAlign w:val="bottom"/>
          </w:tcPr>
          <w:p w:rsidR="007E38B5" w:rsidRPr="00343AC7" w:rsidRDefault="007E38B5" w:rsidP="007E38B5">
            <w:pPr>
              <w:spacing w:after="0"/>
              <w:jc w:val="center"/>
              <w:rPr>
                <w:rFonts w:ascii="Arial" w:hAnsi="Arial" w:cs="Arial"/>
                <w:sz w:val="18"/>
                <w:szCs w:val="18"/>
              </w:rPr>
            </w:pPr>
            <w:r w:rsidRPr="00343AC7">
              <w:rPr>
                <w:rFonts w:ascii="Arial" w:hAnsi="Arial" w:cs="Arial"/>
                <w:sz w:val="18"/>
                <w:szCs w:val="18"/>
              </w:rPr>
              <w:t>5.075.355</w:t>
            </w:r>
          </w:p>
        </w:tc>
        <w:tc>
          <w:tcPr>
            <w:tcW w:w="1729" w:type="dxa"/>
            <w:shd w:val="clear" w:color="auto" w:fill="auto"/>
            <w:vAlign w:val="bottom"/>
          </w:tcPr>
          <w:p w:rsidR="007E38B5" w:rsidRPr="00343AC7" w:rsidRDefault="007E38B5" w:rsidP="007E38B5">
            <w:pPr>
              <w:spacing w:after="0"/>
              <w:jc w:val="center"/>
              <w:rPr>
                <w:rFonts w:ascii="Arial" w:hAnsi="Arial" w:cs="Arial"/>
                <w:sz w:val="18"/>
                <w:szCs w:val="18"/>
              </w:rPr>
            </w:pPr>
            <w:r w:rsidRPr="00343AC7">
              <w:rPr>
                <w:rFonts w:ascii="Arial" w:hAnsi="Arial" w:cs="Arial"/>
                <w:sz w:val="18"/>
                <w:szCs w:val="18"/>
              </w:rPr>
              <w:t>13.069.038</w:t>
            </w:r>
          </w:p>
        </w:tc>
        <w:tc>
          <w:tcPr>
            <w:tcW w:w="1729" w:type="dxa"/>
            <w:shd w:val="clear" w:color="auto" w:fill="auto"/>
            <w:vAlign w:val="bottom"/>
          </w:tcPr>
          <w:p w:rsidR="007E38B5" w:rsidRPr="00343AC7" w:rsidRDefault="007E38B5" w:rsidP="007E38B5">
            <w:pPr>
              <w:spacing w:after="0"/>
              <w:jc w:val="center"/>
              <w:rPr>
                <w:rFonts w:ascii="Arial" w:hAnsi="Arial" w:cs="Arial"/>
                <w:sz w:val="18"/>
                <w:szCs w:val="18"/>
              </w:rPr>
            </w:pPr>
            <w:r w:rsidRPr="00343AC7">
              <w:rPr>
                <w:rFonts w:ascii="Arial" w:hAnsi="Arial" w:cs="Arial"/>
                <w:sz w:val="18"/>
                <w:szCs w:val="18"/>
              </w:rPr>
              <w:t>27.819.626</w:t>
            </w:r>
          </w:p>
        </w:tc>
        <w:tc>
          <w:tcPr>
            <w:tcW w:w="1729" w:type="dxa"/>
            <w:shd w:val="clear" w:color="auto" w:fill="auto"/>
            <w:vAlign w:val="bottom"/>
          </w:tcPr>
          <w:p w:rsidR="007E38B5" w:rsidRPr="00343AC7" w:rsidRDefault="007E38B5" w:rsidP="007E38B5">
            <w:pPr>
              <w:spacing w:after="0"/>
              <w:jc w:val="center"/>
              <w:rPr>
                <w:rFonts w:ascii="Arial" w:hAnsi="Arial" w:cs="Arial"/>
                <w:sz w:val="18"/>
                <w:szCs w:val="18"/>
              </w:rPr>
            </w:pPr>
            <w:r w:rsidRPr="00343AC7">
              <w:rPr>
                <w:rFonts w:ascii="Arial" w:hAnsi="Arial" w:cs="Arial"/>
                <w:sz w:val="18"/>
                <w:szCs w:val="18"/>
              </w:rPr>
              <w:t>5.075.355</w:t>
            </w:r>
          </w:p>
        </w:tc>
      </w:tr>
      <w:tr w:rsidR="007E38B5" w:rsidRPr="00343AC7" w:rsidTr="00EA548C">
        <w:tc>
          <w:tcPr>
            <w:tcW w:w="1728" w:type="dxa"/>
            <w:shd w:val="clear" w:color="auto" w:fill="auto"/>
            <w:vAlign w:val="center"/>
          </w:tcPr>
          <w:p w:rsidR="007E38B5" w:rsidRPr="00343AC7" w:rsidRDefault="007E38B5" w:rsidP="007E38B5">
            <w:pPr>
              <w:spacing w:after="0"/>
              <w:jc w:val="center"/>
              <w:rPr>
                <w:rFonts w:ascii="Arial" w:hAnsi="Arial" w:cs="Arial"/>
                <w:sz w:val="18"/>
                <w:szCs w:val="18"/>
              </w:rPr>
            </w:pPr>
            <w:r w:rsidRPr="00343AC7">
              <w:rPr>
                <w:rFonts w:ascii="Arial" w:hAnsi="Arial" w:cs="Arial"/>
                <w:sz w:val="18"/>
                <w:szCs w:val="18"/>
              </w:rPr>
              <w:t>Subtotal</w:t>
            </w:r>
          </w:p>
        </w:tc>
        <w:tc>
          <w:tcPr>
            <w:tcW w:w="1729" w:type="dxa"/>
            <w:shd w:val="clear" w:color="auto" w:fill="auto"/>
            <w:vAlign w:val="bottom"/>
          </w:tcPr>
          <w:p w:rsidR="007E38B5" w:rsidRPr="00343AC7" w:rsidRDefault="007E38B5" w:rsidP="007E38B5">
            <w:pPr>
              <w:spacing w:after="0"/>
              <w:jc w:val="center"/>
              <w:rPr>
                <w:rFonts w:ascii="Arial" w:hAnsi="Arial" w:cs="Arial"/>
                <w:sz w:val="18"/>
                <w:szCs w:val="18"/>
              </w:rPr>
            </w:pPr>
            <w:r w:rsidRPr="00343AC7">
              <w:rPr>
                <w:rFonts w:ascii="Arial" w:hAnsi="Arial" w:cs="Arial"/>
                <w:sz w:val="18"/>
                <w:szCs w:val="18"/>
              </w:rPr>
              <w:t>17.469.664</w:t>
            </w:r>
          </w:p>
        </w:tc>
        <w:tc>
          <w:tcPr>
            <w:tcW w:w="1729" w:type="dxa"/>
            <w:shd w:val="clear" w:color="auto" w:fill="auto"/>
            <w:vAlign w:val="bottom"/>
          </w:tcPr>
          <w:p w:rsidR="007E38B5" w:rsidRPr="00343AC7" w:rsidRDefault="007E38B5" w:rsidP="007E38B5">
            <w:pPr>
              <w:spacing w:after="0"/>
              <w:jc w:val="center"/>
              <w:rPr>
                <w:rFonts w:ascii="Arial" w:hAnsi="Arial" w:cs="Arial"/>
                <w:sz w:val="18"/>
                <w:szCs w:val="18"/>
              </w:rPr>
            </w:pPr>
            <w:r w:rsidRPr="00343AC7">
              <w:rPr>
                <w:rFonts w:ascii="Arial" w:hAnsi="Arial" w:cs="Arial"/>
                <w:sz w:val="18"/>
                <w:szCs w:val="18"/>
              </w:rPr>
              <w:t>44.984.384</w:t>
            </w:r>
          </w:p>
        </w:tc>
        <w:tc>
          <w:tcPr>
            <w:tcW w:w="1729" w:type="dxa"/>
            <w:shd w:val="clear" w:color="auto" w:fill="auto"/>
            <w:vAlign w:val="bottom"/>
          </w:tcPr>
          <w:p w:rsidR="007E38B5" w:rsidRPr="00343AC7" w:rsidRDefault="007E38B5" w:rsidP="007E38B5">
            <w:pPr>
              <w:spacing w:after="0"/>
              <w:jc w:val="center"/>
              <w:rPr>
                <w:rFonts w:ascii="Arial" w:hAnsi="Arial" w:cs="Arial"/>
                <w:sz w:val="18"/>
                <w:szCs w:val="18"/>
              </w:rPr>
            </w:pPr>
            <w:r w:rsidRPr="00343AC7">
              <w:rPr>
                <w:rFonts w:ascii="Arial" w:hAnsi="Arial" w:cs="Arial"/>
                <w:sz w:val="18"/>
                <w:szCs w:val="18"/>
              </w:rPr>
              <w:t>95.756.758</w:t>
            </w:r>
          </w:p>
        </w:tc>
        <w:tc>
          <w:tcPr>
            <w:tcW w:w="1729" w:type="dxa"/>
            <w:shd w:val="clear" w:color="auto" w:fill="auto"/>
            <w:vAlign w:val="bottom"/>
          </w:tcPr>
          <w:p w:rsidR="007E38B5" w:rsidRPr="00343AC7" w:rsidRDefault="007E38B5" w:rsidP="007E38B5">
            <w:pPr>
              <w:spacing w:after="0"/>
              <w:jc w:val="center"/>
              <w:rPr>
                <w:rFonts w:ascii="Arial" w:hAnsi="Arial" w:cs="Arial"/>
                <w:sz w:val="18"/>
                <w:szCs w:val="18"/>
              </w:rPr>
            </w:pPr>
            <w:r w:rsidRPr="00343AC7">
              <w:rPr>
                <w:rFonts w:ascii="Arial" w:hAnsi="Arial" w:cs="Arial"/>
                <w:sz w:val="18"/>
                <w:szCs w:val="18"/>
              </w:rPr>
              <w:t>17.469.664</w:t>
            </w:r>
          </w:p>
        </w:tc>
      </w:tr>
      <w:tr w:rsidR="007E38B5" w:rsidRPr="00343AC7" w:rsidTr="00EA548C">
        <w:tc>
          <w:tcPr>
            <w:tcW w:w="1728" w:type="dxa"/>
            <w:shd w:val="clear" w:color="auto" w:fill="auto"/>
            <w:vAlign w:val="center"/>
          </w:tcPr>
          <w:p w:rsidR="007E38B5" w:rsidRPr="00343AC7" w:rsidRDefault="007E38B5" w:rsidP="007E38B5">
            <w:pPr>
              <w:spacing w:after="0"/>
              <w:jc w:val="center"/>
              <w:rPr>
                <w:rFonts w:ascii="Arial" w:hAnsi="Arial" w:cs="Arial"/>
                <w:sz w:val="18"/>
                <w:szCs w:val="18"/>
              </w:rPr>
            </w:pPr>
            <w:r w:rsidRPr="00343AC7">
              <w:rPr>
                <w:rFonts w:ascii="Arial" w:hAnsi="Arial" w:cs="Arial"/>
                <w:sz w:val="18"/>
                <w:szCs w:val="18"/>
              </w:rPr>
              <w:t>Fee organización (10%)</w:t>
            </w:r>
          </w:p>
        </w:tc>
        <w:tc>
          <w:tcPr>
            <w:tcW w:w="1729" w:type="dxa"/>
            <w:shd w:val="clear" w:color="auto" w:fill="auto"/>
            <w:vAlign w:val="bottom"/>
          </w:tcPr>
          <w:p w:rsidR="007E38B5" w:rsidRPr="00343AC7" w:rsidRDefault="007E38B5" w:rsidP="007E38B5">
            <w:pPr>
              <w:spacing w:after="0"/>
              <w:jc w:val="center"/>
              <w:rPr>
                <w:rFonts w:ascii="Arial" w:hAnsi="Arial" w:cs="Arial"/>
                <w:sz w:val="18"/>
                <w:szCs w:val="18"/>
              </w:rPr>
            </w:pPr>
            <w:r w:rsidRPr="00343AC7">
              <w:rPr>
                <w:rFonts w:ascii="Arial" w:hAnsi="Arial" w:cs="Arial"/>
                <w:sz w:val="18"/>
                <w:szCs w:val="18"/>
              </w:rPr>
              <w:t>824.279</w:t>
            </w:r>
          </w:p>
        </w:tc>
        <w:tc>
          <w:tcPr>
            <w:tcW w:w="1729" w:type="dxa"/>
            <w:shd w:val="clear" w:color="auto" w:fill="auto"/>
            <w:vAlign w:val="bottom"/>
          </w:tcPr>
          <w:p w:rsidR="007E38B5" w:rsidRPr="00343AC7" w:rsidRDefault="007E38B5" w:rsidP="007E38B5">
            <w:pPr>
              <w:spacing w:after="0"/>
              <w:jc w:val="center"/>
              <w:rPr>
                <w:rFonts w:ascii="Arial" w:hAnsi="Arial" w:cs="Arial"/>
                <w:sz w:val="18"/>
                <w:szCs w:val="18"/>
              </w:rPr>
            </w:pPr>
            <w:r w:rsidRPr="00343AC7">
              <w:rPr>
                <w:rFonts w:ascii="Arial" w:hAnsi="Arial" w:cs="Arial"/>
                <w:sz w:val="18"/>
                <w:szCs w:val="18"/>
              </w:rPr>
              <w:t>2.122.518</w:t>
            </w:r>
          </w:p>
        </w:tc>
        <w:tc>
          <w:tcPr>
            <w:tcW w:w="1729" w:type="dxa"/>
            <w:shd w:val="clear" w:color="auto" w:fill="auto"/>
            <w:vAlign w:val="bottom"/>
          </w:tcPr>
          <w:p w:rsidR="007E38B5" w:rsidRPr="00343AC7" w:rsidRDefault="007E38B5" w:rsidP="007E38B5">
            <w:pPr>
              <w:spacing w:after="0"/>
              <w:jc w:val="center"/>
              <w:rPr>
                <w:rFonts w:ascii="Arial" w:hAnsi="Arial" w:cs="Arial"/>
                <w:sz w:val="18"/>
                <w:szCs w:val="18"/>
              </w:rPr>
            </w:pPr>
            <w:r w:rsidRPr="00343AC7">
              <w:rPr>
                <w:rFonts w:ascii="Arial" w:hAnsi="Arial" w:cs="Arial"/>
                <w:sz w:val="18"/>
                <w:szCs w:val="18"/>
              </w:rPr>
              <w:t>4.518.134</w:t>
            </w:r>
          </w:p>
        </w:tc>
        <w:tc>
          <w:tcPr>
            <w:tcW w:w="1729" w:type="dxa"/>
            <w:shd w:val="clear" w:color="auto" w:fill="auto"/>
            <w:vAlign w:val="bottom"/>
          </w:tcPr>
          <w:p w:rsidR="007E38B5" w:rsidRPr="00343AC7" w:rsidRDefault="007E38B5" w:rsidP="007E38B5">
            <w:pPr>
              <w:spacing w:after="0"/>
              <w:jc w:val="center"/>
              <w:rPr>
                <w:rFonts w:ascii="Arial" w:hAnsi="Arial" w:cs="Arial"/>
                <w:sz w:val="18"/>
                <w:szCs w:val="18"/>
              </w:rPr>
            </w:pPr>
            <w:r w:rsidRPr="00343AC7">
              <w:rPr>
                <w:rFonts w:ascii="Arial" w:hAnsi="Arial" w:cs="Arial"/>
                <w:sz w:val="18"/>
                <w:szCs w:val="18"/>
              </w:rPr>
              <w:t>824.279</w:t>
            </w:r>
          </w:p>
        </w:tc>
      </w:tr>
      <w:tr w:rsidR="007E38B5" w:rsidRPr="00343AC7" w:rsidTr="00EA548C">
        <w:tc>
          <w:tcPr>
            <w:tcW w:w="1728" w:type="dxa"/>
            <w:shd w:val="clear" w:color="auto" w:fill="auto"/>
            <w:vAlign w:val="center"/>
          </w:tcPr>
          <w:p w:rsidR="007E38B5" w:rsidRPr="00343AC7" w:rsidRDefault="007E38B5" w:rsidP="007E38B5">
            <w:pPr>
              <w:spacing w:after="0"/>
              <w:jc w:val="center"/>
              <w:rPr>
                <w:rFonts w:ascii="Arial" w:hAnsi="Arial" w:cs="Arial"/>
                <w:sz w:val="18"/>
                <w:szCs w:val="18"/>
              </w:rPr>
            </w:pPr>
            <w:r w:rsidRPr="00343AC7">
              <w:rPr>
                <w:rFonts w:ascii="Arial" w:hAnsi="Arial" w:cs="Arial"/>
                <w:sz w:val="18"/>
                <w:szCs w:val="18"/>
              </w:rPr>
              <w:t>Total</w:t>
            </w:r>
          </w:p>
        </w:tc>
        <w:tc>
          <w:tcPr>
            <w:tcW w:w="1729" w:type="dxa"/>
            <w:shd w:val="clear" w:color="auto" w:fill="auto"/>
            <w:vAlign w:val="bottom"/>
          </w:tcPr>
          <w:p w:rsidR="007E38B5" w:rsidRPr="00343AC7" w:rsidRDefault="007E38B5" w:rsidP="007E38B5">
            <w:pPr>
              <w:spacing w:after="0"/>
              <w:jc w:val="center"/>
              <w:rPr>
                <w:rFonts w:ascii="Arial" w:hAnsi="Arial" w:cs="Arial"/>
                <w:sz w:val="18"/>
                <w:szCs w:val="18"/>
              </w:rPr>
            </w:pPr>
            <w:r w:rsidRPr="00343AC7">
              <w:rPr>
                <w:rFonts w:ascii="Arial" w:hAnsi="Arial" w:cs="Arial"/>
                <w:sz w:val="18"/>
                <w:szCs w:val="18"/>
              </w:rPr>
              <w:t>18.293.942</w:t>
            </w:r>
          </w:p>
        </w:tc>
        <w:tc>
          <w:tcPr>
            <w:tcW w:w="1729" w:type="dxa"/>
            <w:shd w:val="clear" w:color="auto" w:fill="auto"/>
            <w:vAlign w:val="bottom"/>
          </w:tcPr>
          <w:p w:rsidR="007E38B5" w:rsidRPr="00343AC7" w:rsidRDefault="007E38B5" w:rsidP="007E38B5">
            <w:pPr>
              <w:spacing w:after="0"/>
              <w:jc w:val="center"/>
              <w:rPr>
                <w:rFonts w:ascii="Arial" w:hAnsi="Arial" w:cs="Arial"/>
                <w:sz w:val="18"/>
                <w:szCs w:val="18"/>
              </w:rPr>
            </w:pPr>
            <w:r w:rsidRPr="00343AC7">
              <w:rPr>
                <w:rFonts w:ascii="Arial" w:hAnsi="Arial" w:cs="Arial"/>
                <w:sz w:val="18"/>
                <w:szCs w:val="18"/>
              </w:rPr>
              <w:t>47.106.902</w:t>
            </w:r>
          </w:p>
        </w:tc>
        <w:tc>
          <w:tcPr>
            <w:tcW w:w="1729" w:type="dxa"/>
            <w:shd w:val="clear" w:color="auto" w:fill="auto"/>
            <w:vAlign w:val="bottom"/>
          </w:tcPr>
          <w:p w:rsidR="007E38B5" w:rsidRPr="00343AC7" w:rsidRDefault="007E38B5" w:rsidP="007E38B5">
            <w:pPr>
              <w:spacing w:after="0"/>
              <w:jc w:val="center"/>
              <w:rPr>
                <w:rFonts w:ascii="Arial" w:hAnsi="Arial" w:cs="Arial"/>
                <w:sz w:val="18"/>
                <w:szCs w:val="18"/>
              </w:rPr>
            </w:pPr>
            <w:r w:rsidRPr="00343AC7">
              <w:rPr>
                <w:rFonts w:ascii="Arial" w:hAnsi="Arial" w:cs="Arial"/>
                <w:sz w:val="18"/>
                <w:szCs w:val="18"/>
              </w:rPr>
              <w:t>100.274.892</w:t>
            </w:r>
          </w:p>
        </w:tc>
        <w:tc>
          <w:tcPr>
            <w:tcW w:w="1729" w:type="dxa"/>
            <w:shd w:val="clear" w:color="auto" w:fill="auto"/>
            <w:vAlign w:val="bottom"/>
          </w:tcPr>
          <w:p w:rsidR="007E38B5" w:rsidRPr="00343AC7" w:rsidRDefault="007E38B5" w:rsidP="007E38B5">
            <w:pPr>
              <w:spacing w:after="0"/>
              <w:jc w:val="center"/>
              <w:rPr>
                <w:rFonts w:ascii="Arial" w:hAnsi="Arial" w:cs="Arial"/>
                <w:sz w:val="18"/>
                <w:szCs w:val="18"/>
              </w:rPr>
            </w:pPr>
            <w:r w:rsidRPr="00343AC7">
              <w:rPr>
                <w:rFonts w:ascii="Arial" w:hAnsi="Arial" w:cs="Arial"/>
                <w:sz w:val="18"/>
                <w:szCs w:val="18"/>
              </w:rPr>
              <w:t>18.293.942</w:t>
            </w:r>
          </w:p>
        </w:tc>
      </w:tr>
    </w:tbl>
    <w:p w:rsidR="00DF5001" w:rsidRPr="00343AC7" w:rsidRDefault="00DF5001" w:rsidP="003A542A">
      <w:pPr>
        <w:rPr>
          <w:rFonts w:ascii="Arial" w:hAnsi="Arial" w:cs="Arial"/>
          <w:sz w:val="18"/>
          <w:szCs w:val="18"/>
        </w:rPr>
      </w:pPr>
    </w:p>
    <w:p w:rsidR="00DD1BDA" w:rsidRPr="007F4A23" w:rsidRDefault="00DD1BDA" w:rsidP="00DE6E21">
      <w:pPr>
        <w:rPr>
          <w:rFonts w:ascii="Arial" w:hAnsi="Arial" w:cs="Arial"/>
          <w:sz w:val="22"/>
          <w:szCs w:val="22"/>
        </w:rPr>
      </w:pPr>
      <w:r w:rsidRPr="007F4A23">
        <w:rPr>
          <w:rFonts w:ascii="Arial" w:hAnsi="Arial" w:cs="Arial"/>
          <w:sz w:val="22"/>
          <w:szCs w:val="22"/>
        </w:rPr>
        <w:t xml:space="preserve">Producto de la incorporación escalonada de nuevos Servicios de Educación Local el presupuesto total del Programa prácticamente se quintuplica desde su inicio hasta el año 2019, a partir el cual continúan operando las 31 SLE. </w:t>
      </w:r>
      <w:r w:rsidR="002662A9" w:rsidRPr="007F4A23">
        <w:rPr>
          <w:rFonts w:ascii="Arial" w:hAnsi="Arial" w:cs="Arial"/>
          <w:sz w:val="22"/>
          <w:szCs w:val="22"/>
        </w:rPr>
        <w:t>Desde otra perspectiva se observa que el Programa destinará aproximadamente un 70% de sus gastos de operación al p</w:t>
      </w:r>
      <w:r w:rsidR="007E38B5" w:rsidRPr="007F4A23">
        <w:rPr>
          <w:rFonts w:ascii="Arial" w:hAnsi="Arial" w:cs="Arial"/>
          <w:sz w:val="22"/>
          <w:szCs w:val="22"/>
        </w:rPr>
        <w:t>ago de remuneraciones de los 90</w:t>
      </w:r>
      <w:r w:rsidR="002662A9" w:rsidRPr="007F4A23">
        <w:rPr>
          <w:rFonts w:ascii="Arial" w:hAnsi="Arial" w:cs="Arial"/>
          <w:sz w:val="22"/>
          <w:szCs w:val="22"/>
        </w:rPr>
        <w:t xml:space="preserve"> funcionarios que contempla el funcionamiento de cada una de los 31 SLE que operarán finalmente. Es importante mencionar </w:t>
      </w:r>
      <w:r w:rsidR="00304D7E">
        <w:rPr>
          <w:rFonts w:ascii="Arial" w:hAnsi="Arial" w:cs="Arial"/>
          <w:sz w:val="22"/>
          <w:szCs w:val="22"/>
        </w:rPr>
        <w:t xml:space="preserve">que </w:t>
      </w:r>
      <w:r w:rsidR="00304D7E" w:rsidRPr="00343AC7">
        <w:rPr>
          <w:rFonts w:ascii="Arial" w:hAnsi="Arial" w:cs="Arial"/>
          <w:sz w:val="22"/>
          <w:szCs w:val="22"/>
        </w:rPr>
        <w:t xml:space="preserve">la implementación del programa requiere destinar </w:t>
      </w:r>
      <w:r w:rsidR="00DE6E21" w:rsidRPr="00343AC7">
        <w:rPr>
          <w:rFonts w:ascii="Arial" w:hAnsi="Arial" w:cs="Arial"/>
          <w:sz w:val="22"/>
          <w:szCs w:val="22"/>
        </w:rPr>
        <w:t xml:space="preserve">poco más de un 27% de sus recursos a gastos operacionales para el pago principalmente de 3 aspectos: Arriendo de infraestructura, viáticos, y organización de talleres y material de apoyo para los mismos. </w:t>
      </w:r>
      <w:r w:rsidR="0069626F" w:rsidRPr="00343AC7">
        <w:rPr>
          <w:rFonts w:ascii="Arial" w:hAnsi="Arial" w:cs="Arial"/>
          <w:sz w:val="22"/>
          <w:szCs w:val="22"/>
        </w:rPr>
        <w:t>Se incluyen además los Gastos Operacionales porque e</w:t>
      </w:r>
      <w:r w:rsidR="00DE6E21" w:rsidRPr="00343AC7">
        <w:rPr>
          <w:rFonts w:ascii="Arial" w:hAnsi="Arial" w:cs="Arial"/>
          <w:sz w:val="22"/>
          <w:szCs w:val="22"/>
        </w:rPr>
        <w:t xml:space="preserve">l arriendo de infraestructura </w:t>
      </w:r>
      <w:r w:rsidR="0069626F" w:rsidRPr="00343AC7">
        <w:rPr>
          <w:rFonts w:ascii="Arial" w:hAnsi="Arial" w:cs="Arial"/>
          <w:sz w:val="22"/>
          <w:szCs w:val="22"/>
        </w:rPr>
        <w:t xml:space="preserve">y los gastos asociados a su uso </w:t>
      </w:r>
      <w:r w:rsidR="00DE6E21" w:rsidRPr="00343AC7">
        <w:rPr>
          <w:rFonts w:ascii="Arial" w:hAnsi="Arial" w:cs="Arial"/>
          <w:sz w:val="22"/>
          <w:szCs w:val="22"/>
        </w:rPr>
        <w:t>resulta</w:t>
      </w:r>
      <w:r w:rsidR="0069626F" w:rsidRPr="00343AC7">
        <w:rPr>
          <w:rFonts w:ascii="Arial" w:hAnsi="Arial" w:cs="Arial"/>
          <w:sz w:val="22"/>
          <w:szCs w:val="22"/>
        </w:rPr>
        <w:t>n</w:t>
      </w:r>
      <w:r w:rsidR="00DE6E21" w:rsidRPr="00343AC7">
        <w:rPr>
          <w:rFonts w:ascii="Arial" w:hAnsi="Arial" w:cs="Arial"/>
          <w:sz w:val="22"/>
          <w:szCs w:val="22"/>
        </w:rPr>
        <w:t xml:space="preserve"> imprescindible</w:t>
      </w:r>
      <w:r w:rsidR="0069626F" w:rsidRPr="00343AC7">
        <w:rPr>
          <w:rFonts w:ascii="Arial" w:hAnsi="Arial" w:cs="Arial"/>
          <w:sz w:val="22"/>
          <w:szCs w:val="22"/>
        </w:rPr>
        <w:t>s</w:t>
      </w:r>
      <w:r w:rsidR="00DE6E21" w:rsidRPr="00343AC7">
        <w:rPr>
          <w:rFonts w:ascii="Arial" w:hAnsi="Arial" w:cs="Arial"/>
          <w:sz w:val="22"/>
          <w:szCs w:val="22"/>
        </w:rPr>
        <w:t xml:space="preserve"> para proporcionar un centro de operaciones a cada SLE y al personal que en ellas se desempeña</w:t>
      </w:r>
      <w:r w:rsidR="0069626F" w:rsidRPr="00343AC7">
        <w:rPr>
          <w:rFonts w:ascii="Arial" w:hAnsi="Arial" w:cs="Arial"/>
          <w:sz w:val="22"/>
          <w:szCs w:val="22"/>
        </w:rPr>
        <w:t xml:space="preserve">. Del mismo modo, en dichos gastos se incluyen recursos orientados a </w:t>
      </w:r>
      <w:r w:rsidR="00DE6E21" w:rsidRPr="00343AC7">
        <w:rPr>
          <w:rFonts w:ascii="Arial" w:hAnsi="Arial" w:cs="Arial"/>
          <w:sz w:val="22"/>
          <w:szCs w:val="22"/>
        </w:rPr>
        <w:t>la materialización de talleres y al trabajo en terreno de los funcionarios, aspectos sin los cuales no sería factible implementar la reforma. Finalmente</w:t>
      </w:r>
      <w:r w:rsidR="0069626F" w:rsidRPr="00343AC7">
        <w:rPr>
          <w:rFonts w:ascii="Arial" w:hAnsi="Arial" w:cs="Arial"/>
          <w:sz w:val="22"/>
          <w:szCs w:val="22"/>
        </w:rPr>
        <w:t xml:space="preserve">, </w:t>
      </w:r>
      <w:r w:rsidR="00DE6E21" w:rsidRPr="00343AC7">
        <w:rPr>
          <w:rFonts w:ascii="Arial" w:hAnsi="Arial" w:cs="Arial"/>
          <w:sz w:val="22"/>
          <w:szCs w:val="22"/>
        </w:rPr>
        <w:t>resulta necesario señalar que los recursos que permitirán financiar el gasto operacional del Programa provendrán en su totalidad del Presupuesto del Gobierno.</w:t>
      </w:r>
    </w:p>
    <w:p w:rsidR="00802ADB" w:rsidRPr="007F4A23" w:rsidRDefault="00802ADB" w:rsidP="003A542A">
      <w:pPr>
        <w:rPr>
          <w:rFonts w:ascii="Arial" w:hAnsi="Arial" w:cs="Arial"/>
          <w:sz w:val="22"/>
          <w:szCs w:val="22"/>
        </w:rPr>
      </w:pPr>
      <w:r w:rsidRPr="007F4A23">
        <w:rPr>
          <w:rFonts w:ascii="Arial" w:hAnsi="Arial" w:cs="Arial"/>
          <w:sz w:val="22"/>
          <w:szCs w:val="22"/>
        </w:rPr>
        <w:lastRenderedPageBreak/>
        <w:t>Finalmente, una vez determinados los costos operacionales anuales del Programa estos son expresados en valores del año anterior al inicio del Programa, una vez aplicada la tasa de descuento de 12% mediante la siguiente expresión:</w:t>
      </w:r>
    </w:p>
    <w:p w:rsidR="00802ADB" w:rsidRPr="007F4A23" w:rsidRDefault="008C17C4" w:rsidP="003A542A">
      <w:pPr>
        <w:rPr>
          <w:rFonts w:ascii="Arial" w:hAnsi="Arial" w:cs="Arial"/>
          <w:sz w:val="22"/>
          <w:szCs w:val="22"/>
        </w:rPr>
      </w:pPr>
      <m:oMathPara>
        <m:oMath>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t</m:t>
              </m:r>
            </m:sub>
          </m:sSub>
          <m:nary>
            <m:naryPr>
              <m:chr m:val="∑"/>
              <m:limLoc m:val="undOvr"/>
              <m:ctrlPr>
                <w:rPr>
                  <w:rFonts w:ascii="Cambria Math" w:hAnsi="Cambria Math" w:cs="Arial"/>
                  <w:i/>
                  <w:sz w:val="22"/>
                  <w:szCs w:val="22"/>
                </w:rPr>
              </m:ctrlPr>
            </m:naryPr>
            <m:sub>
              <m:r>
                <w:rPr>
                  <w:rFonts w:ascii="Cambria Math" w:hAnsi="Cambria Math" w:cs="Arial"/>
                  <w:sz w:val="22"/>
                  <w:szCs w:val="22"/>
                </w:rPr>
                <m:t>t=1</m:t>
              </m:r>
            </m:sub>
            <m:sup>
              <m:r>
                <w:rPr>
                  <w:rFonts w:ascii="Cambria Math" w:hAnsi="Cambria Math" w:cs="Arial"/>
                  <w:sz w:val="22"/>
                  <w:szCs w:val="22"/>
                </w:rPr>
                <m:t>30</m:t>
              </m:r>
            </m:sup>
            <m:e>
              <m:f>
                <m:fPr>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t</m:t>
                      </m:r>
                    </m:sub>
                  </m:sSub>
                </m:num>
                <m:den>
                  <m:sSup>
                    <m:sSupPr>
                      <m:ctrlPr>
                        <w:rPr>
                          <w:rFonts w:ascii="Cambria Math" w:hAnsi="Cambria Math" w:cs="Arial"/>
                          <w:i/>
                          <w:sz w:val="22"/>
                          <w:szCs w:val="22"/>
                        </w:rPr>
                      </m:ctrlPr>
                    </m:sSupPr>
                    <m:e>
                      <m:r>
                        <w:rPr>
                          <w:rFonts w:ascii="Cambria Math" w:hAnsi="Cambria Math" w:cs="Arial"/>
                          <w:sz w:val="22"/>
                          <w:szCs w:val="22"/>
                        </w:rPr>
                        <m:t>1.12</m:t>
                      </m:r>
                    </m:e>
                    <m:sup>
                      <m:r>
                        <w:rPr>
                          <w:rFonts w:ascii="Cambria Math" w:hAnsi="Cambria Math" w:cs="Arial"/>
                          <w:sz w:val="22"/>
                          <w:szCs w:val="22"/>
                        </w:rPr>
                        <m:t>t</m:t>
                      </m:r>
                    </m:sup>
                  </m:sSup>
                </m:den>
              </m:f>
            </m:e>
          </m:nary>
        </m:oMath>
      </m:oMathPara>
    </w:p>
    <w:p w:rsidR="00DF5001" w:rsidRPr="007F4A23" w:rsidRDefault="00802ADB" w:rsidP="003A542A">
      <w:pPr>
        <w:rPr>
          <w:rFonts w:ascii="Arial" w:hAnsi="Arial" w:cs="Arial"/>
          <w:sz w:val="22"/>
          <w:szCs w:val="22"/>
        </w:rPr>
      </w:pPr>
      <w:r w:rsidRPr="007F4A23">
        <w:rPr>
          <w:rFonts w:ascii="Arial" w:hAnsi="Arial" w:cs="Arial"/>
          <w:sz w:val="22"/>
          <w:szCs w:val="22"/>
        </w:rPr>
        <w:t>Tal como se expresase anteriormente tanto para los costos como para los beneficios del Programa se considera un horizonte de evaluación de 30 años.</w:t>
      </w:r>
    </w:p>
    <w:p w:rsidR="00802ADB" w:rsidRPr="007F4A23" w:rsidRDefault="00802ADB" w:rsidP="003A542A">
      <w:pPr>
        <w:rPr>
          <w:rFonts w:ascii="Arial" w:hAnsi="Arial" w:cs="Arial"/>
          <w:sz w:val="22"/>
          <w:szCs w:val="22"/>
        </w:rPr>
      </w:pPr>
    </w:p>
    <w:p w:rsidR="003A30D0" w:rsidRPr="007F4A23" w:rsidRDefault="00961877" w:rsidP="00821A0A">
      <w:pPr>
        <w:pStyle w:val="Heading1"/>
        <w:rPr>
          <w:rFonts w:ascii="Arial" w:hAnsi="Arial" w:cs="Arial"/>
          <w:sz w:val="22"/>
          <w:szCs w:val="22"/>
        </w:rPr>
      </w:pPr>
      <w:r w:rsidRPr="007F4A23">
        <w:rPr>
          <w:rFonts w:ascii="Arial" w:hAnsi="Arial" w:cs="Arial"/>
          <w:sz w:val="22"/>
          <w:szCs w:val="22"/>
        </w:rPr>
        <w:t>Resultados del Análisis Económico</w:t>
      </w:r>
    </w:p>
    <w:p w:rsidR="00802ADB" w:rsidRPr="00343AC7" w:rsidRDefault="00B62188" w:rsidP="00343AC7">
      <w:pPr>
        <w:rPr>
          <w:rFonts w:ascii="Arial" w:hAnsi="Arial" w:cs="Arial"/>
          <w:sz w:val="22"/>
          <w:szCs w:val="22"/>
        </w:rPr>
      </w:pPr>
      <w:r w:rsidRPr="007F4A23">
        <w:rPr>
          <w:rFonts w:ascii="Arial" w:hAnsi="Arial" w:cs="Arial"/>
          <w:sz w:val="22"/>
          <w:szCs w:val="22"/>
        </w:rPr>
        <w:t>Una vez estimados los coeficientes de re</w:t>
      </w:r>
      <w:r w:rsidR="00802ADB" w:rsidRPr="007F4A23">
        <w:rPr>
          <w:rFonts w:ascii="Arial" w:hAnsi="Arial" w:cs="Arial"/>
          <w:sz w:val="22"/>
          <w:szCs w:val="22"/>
        </w:rPr>
        <w:t>gresión de las variables dummie</w:t>
      </w:r>
      <w:r w:rsidRPr="007F4A23">
        <w:rPr>
          <w:rFonts w:ascii="Arial" w:hAnsi="Arial" w:cs="Arial"/>
          <w:sz w:val="22"/>
          <w:szCs w:val="22"/>
        </w:rPr>
        <w:t xml:space="preserve"> en el modelo Mincer se utilizan dichos valores para la </w:t>
      </w:r>
      <w:r w:rsidR="00802ADB" w:rsidRPr="007F4A23">
        <w:rPr>
          <w:rFonts w:ascii="Arial" w:hAnsi="Arial" w:cs="Arial"/>
          <w:sz w:val="22"/>
          <w:szCs w:val="22"/>
        </w:rPr>
        <w:t>determinación</w:t>
      </w:r>
      <w:r w:rsidRPr="007F4A23">
        <w:rPr>
          <w:rFonts w:ascii="Arial" w:hAnsi="Arial" w:cs="Arial"/>
          <w:sz w:val="22"/>
          <w:szCs w:val="22"/>
        </w:rPr>
        <w:t xml:space="preserve"> de la diferencia salarial entre los sujetos que poseen sólo educación secundaria completa y aquellos que poseen educación terciaria incompleta y completa. La</w:t>
      </w:r>
      <w:r w:rsidR="00192938" w:rsidRPr="007F4A23">
        <w:rPr>
          <w:rFonts w:ascii="Arial" w:hAnsi="Arial" w:cs="Arial"/>
          <w:sz w:val="22"/>
          <w:szCs w:val="22"/>
        </w:rPr>
        <w:t>s</w:t>
      </w:r>
      <w:r w:rsidRPr="007F4A23">
        <w:rPr>
          <w:rFonts w:ascii="Arial" w:hAnsi="Arial" w:cs="Arial"/>
          <w:sz w:val="22"/>
          <w:szCs w:val="22"/>
        </w:rPr>
        <w:t xml:space="preserve"> siguiente</w:t>
      </w:r>
      <w:r w:rsidR="00192938" w:rsidRPr="007F4A23">
        <w:rPr>
          <w:rFonts w:ascii="Arial" w:hAnsi="Arial" w:cs="Arial"/>
          <w:sz w:val="22"/>
          <w:szCs w:val="22"/>
        </w:rPr>
        <w:t>s</w:t>
      </w:r>
      <w:r w:rsidRPr="007F4A23">
        <w:rPr>
          <w:rFonts w:ascii="Arial" w:hAnsi="Arial" w:cs="Arial"/>
          <w:sz w:val="22"/>
          <w:szCs w:val="22"/>
        </w:rPr>
        <w:t xml:space="preserve"> tabla</w:t>
      </w:r>
      <w:r w:rsidR="00192938" w:rsidRPr="007F4A23">
        <w:rPr>
          <w:rFonts w:ascii="Arial" w:hAnsi="Arial" w:cs="Arial"/>
          <w:sz w:val="22"/>
          <w:szCs w:val="22"/>
        </w:rPr>
        <w:t>s</w:t>
      </w:r>
      <w:r w:rsidRPr="007F4A23">
        <w:rPr>
          <w:rFonts w:ascii="Arial" w:hAnsi="Arial" w:cs="Arial"/>
          <w:sz w:val="22"/>
          <w:szCs w:val="22"/>
        </w:rPr>
        <w:t xml:space="preserve"> presenta</w:t>
      </w:r>
      <w:r w:rsidR="00192938" w:rsidRPr="007F4A23">
        <w:rPr>
          <w:rFonts w:ascii="Arial" w:hAnsi="Arial" w:cs="Arial"/>
          <w:sz w:val="22"/>
          <w:szCs w:val="22"/>
        </w:rPr>
        <w:t>n</w:t>
      </w:r>
      <w:r w:rsidRPr="007F4A23">
        <w:rPr>
          <w:rFonts w:ascii="Arial" w:hAnsi="Arial" w:cs="Arial"/>
          <w:sz w:val="22"/>
          <w:szCs w:val="22"/>
        </w:rPr>
        <w:t xml:space="preserve"> los valores obtenidos para el diferencial de ingresos estimado entre ambas tipologías de </w:t>
      </w:r>
      <w:r w:rsidR="00EC5B54" w:rsidRPr="007F4A23">
        <w:rPr>
          <w:rFonts w:ascii="Arial" w:hAnsi="Arial" w:cs="Arial"/>
          <w:sz w:val="22"/>
          <w:szCs w:val="22"/>
        </w:rPr>
        <w:t xml:space="preserve">sujetos, así como las estimaciones de cantidad de usuarios por año y la cuantificación final de ingresos adicionales </w:t>
      </w:r>
      <w:r w:rsidR="00662D46" w:rsidRPr="007F4A23">
        <w:rPr>
          <w:rFonts w:ascii="Arial" w:hAnsi="Arial" w:cs="Arial"/>
          <w:sz w:val="22"/>
          <w:szCs w:val="22"/>
        </w:rPr>
        <w:t>anuales</w:t>
      </w:r>
      <w:r w:rsidR="00662D46" w:rsidRPr="007F4A23">
        <w:rPr>
          <w:rStyle w:val="FootnoteReference"/>
          <w:rFonts w:ascii="Arial" w:hAnsi="Arial" w:cs="Arial"/>
          <w:sz w:val="22"/>
          <w:szCs w:val="22"/>
        </w:rPr>
        <w:footnoteReference w:id="5"/>
      </w:r>
      <w:r w:rsidR="00662D46" w:rsidRPr="007F4A23">
        <w:rPr>
          <w:rFonts w:ascii="Arial" w:hAnsi="Arial" w:cs="Arial"/>
          <w:sz w:val="22"/>
          <w:szCs w:val="22"/>
        </w:rPr>
        <w:t xml:space="preserve"> </w:t>
      </w:r>
      <w:r w:rsidR="00EC5B54" w:rsidRPr="007F4A23">
        <w:rPr>
          <w:rFonts w:ascii="Arial" w:hAnsi="Arial" w:cs="Arial"/>
          <w:sz w:val="22"/>
          <w:szCs w:val="22"/>
        </w:rPr>
        <w:t xml:space="preserve">considerando </w:t>
      </w:r>
      <w:r w:rsidR="00192938" w:rsidRPr="007F4A23">
        <w:rPr>
          <w:rFonts w:ascii="Arial" w:hAnsi="Arial" w:cs="Arial"/>
          <w:sz w:val="22"/>
          <w:szCs w:val="22"/>
        </w:rPr>
        <w:t xml:space="preserve">cada uno de los tres escenarios. </w:t>
      </w:r>
    </w:p>
    <w:p w:rsidR="00EC5B54" w:rsidRPr="00343AC7" w:rsidRDefault="00EC5B54" w:rsidP="00EC5B54">
      <w:pPr>
        <w:pStyle w:val="Caption"/>
        <w:keepNext/>
        <w:rPr>
          <w:rFonts w:ascii="Arial" w:hAnsi="Arial" w:cs="Arial"/>
          <w:sz w:val="18"/>
          <w:szCs w:val="18"/>
        </w:rPr>
      </w:pPr>
      <w:r w:rsidRPr="00343AC7">
        <w:rPr>
          <w:rFonts w:ascii="Arial" w:hAnsi="Arial" w:cs="Arial"/>
          <w:sz w:val="18"/>
          <w:szCs w:val="18"/>
        </w:rPr>
        <w:t xml:space="preserve">Tabla </w:t>
      </w:r>
      <w:r w:rsidRPr="00343AC7">
        <w:rPr>
          <w:rFonts w:ascii="Arial" w:hAnsi="Arial" w:cs="Arial"/>
          <w:sz w:val="18"/>
          <w:szCs w:val="18"/>
        </w:rPr>
        <w:fldChar w:fldCharType="begin"/>
      </w:r>
      <w:r w:rsidRPr="00343AC7">
        <w:rPr>
          <w:rFonts w:ascii="Arial" w:hAnsi="Arial" w:cs="Arial"/>
          <w:sz w:val="18"/>
          <w:szCs w:val="18"/>
        </w:rPr>
        <w:instrText xml:space="preserve"> SEQ Tabla \* ARABIC </w:instrText>
      </w:r>
      <w:r w:rsidRPr="00343AC7">
        <w:rPr>
          <w:rFonts w:ascii="Arial" w:hAnsi="Arial" w:cs="Arial"/>
          <w:sz w:val="18"/>
          <w:szCs w:val="18"/>
        </w:rPr>
        <w:fldChar w:fldCharType="separate"/>
      </w:r>
      <w:r w:rsidR="00211EE7" w:rsidRPr="00343AC7">
        <w:rPr>
          <w:rFonts w:ascii="Arial" w:hAnsi="Arial" w:cs="Arial"/>
          <w:noProof/>
          <w:sz w:val="18"/>
          <w:szCs w:val="18"/>
        </w:rPr>
        <w:t>4</w:t>
      </w:r>
      <w:r w:rsidRPr="00343AC7">
        <w:rPr>
          <w:rFonts w:ascii="Arial" w:hAnsi="Arial" w:cs="Arial"/>
          <w:sz w:val="18"/>
          <w:szCs w:val="18"/>
        </w:rPr>
        <w:fldChar w:fldCharType="end"/>
      </w:r>
      <w:r w:rsidRPr="00343AC7">
        <w:rPr>
          <w:rFonts w:ascii="Arial" w:hAnsi="Arial" w:cs="Arial"/>
          <w:sz w:val="18"/>
          <w:szCs w:val="18"/>
        </w:rPr>
        <w:t xml:space="preserve">: Escenario Cálculo de beneficios del Programa sobre la base de los ingresos </w:t>
      </w:r>
      <w:r w:rsidR="00C3050D" w:rsidRPr="00343AC7">
        <w:rPr>
          <w:rFonts w:ascii="Arial" w:hAnsi="Arial" w:cs="Arial"/>
          <w:sz w:val="18"/>
          <w:szCs w:val="18"/>
        </w:rPr>
        <w:t>incrementales de un aumento de 2</w:t>
      </w:r>
      <w:r w:rsidRPr="00343AC7">
        <w:rPr>
          <w:rFonts w:ascii="Arial" w:hAnsi="Arial" w:cs="Arial"/>
          <w:sz w:val="18"/>
          <w:szCs w:val="18"/>
        </w:rPr>
        <w:t>% en la cantidad de egresados de la educación secundaria que ingresa a la educación terciaria</w:t>
      </w:r>
      <w:r w:rsidR="001A28A5" w:rsidRPr="00343AC7">
        <w:rPr>
          <w:rFonts w:ascii="Arial" w:hAnsi="Arial" w:cs="Arial"/>
          <w:sz w:val="18"/>
          <w:szCs w:val="18"/>
        </w:rPr>
        <w:t>, 1° año de operación en régimen (2019) en USD 2016</w:t>
      </w:r>
    </w:p>
    <w:tbl>
      <w:tblPr>
        <w:tblStyle w:val="TableGrid"/>
        <w:tblW w:w="8730" w:type="dxa"/>
        <w:tblLook w:val="04A0" w:firstRow="1" w:lastRow="0" w:firstColumn="1" w:lastColumn="0" w:noHBand="0" w:noVBand="1"/>
      </w:tblPr>
      <w:tblGrid>
        <w:gridCol w:w="450"/>
        <w:gridCol w:w="5360"/>
        <w:gridCol w:w="1133"/>
        <w:gridCol w:w="1787"/>
      </w:tblGrid>
      <w:tr w:rsidR="00EC5B54" w:rsidRPr="00343AC7" w:rsidTr="00EC5B54">
        <w:tc>
          <w:tcPr>
            <w:tcW w:w="450" w:type="dxa"/>
          </w:tcPr>
          <w:p w:rsidR="00EC5B54" w:rsidRPr="00343AC7" w:rsidRDefault="00EC5B54" w:rsidP="00192938">
            <w:pPr>
              <w:spacing w:after="0"/>
              <w:rPr>
                <w:rFonts w:ascii="Arial" w:hAnsi="Arial" w:cs="Arial"/>
                <w:sz w:val="18"/>
                <w:szCs w:val="18"/>
              </w:rPr>
            </w:pPr>
          </w:p>
        </w:tc>
        <w:tc>
          <w:tcPr>
            <w:tcW w:w="5360" w:type="dxa"/>
          </w:tcPr>
          <w:p w:rsidR="00EC5B54" w:rsidRPr="00343AC7" w:rsidRDefault="00EC5B54" w:rsidP="00192938">
            <w:pPr>
              <w:spacing w:after="0"/>
              <w:rPr>
                <w:rFonts w:ascii="Arial" w:hAnsi="Arial" w:cs="Arial"/>
                <w:sz w:val="18"/>
                <w:szCs w:val="18"/>
              </w:rPr>
            </w:pPr>
            <w:r w:rsidRPr="00343AC7">
              <w:rPr>
                <w:rFonts w:ascii="Arial" w:hAnsi="Arial" w:cs="Arial"/>
                <w:sz w:val="18"/>
                <w:szCs w:val="18"/>
              </w:rPr>
              <w:t>Estimación</w:t>
            </w:r>
          </w:p>
        </w:tc>
        <w:tc>
          <w:tcPr>
            <w:tcW w:w="1133" w:type="dxa"/>
          </w:tcPr>
          <w:p w:rsidR="00EC5B54" w:rsidRPr="00343AC7" w:rsidRDefault="00EC5B54" w:rsidP="00192938">
            <w:pPr>
              <w:spacing w:after="0"/>
              <w:rPr>
                <w:rFonts w:ascii="Arial" w:hAnsi="Arial" w:cs="Arial"/>
                <w:sz w:val="18"/>
                <w:szCs w:val="18"/>
              </w:rPr>
            </w:pPr>
            <w:r w:rsidRPr="00343AC7">
              <w:rPr>
                <w:rFonts w:ascii="Arial" w:hAnsi="Arial" w:cs="Arial"/>
                <w:sz w:val="18"/>
                <w:szCs w:val="18"/>
              </w:rPr>
              <w:t>Valor estimado</w:t>
            </w:r>
          </w:p>
        </w:tc>
        <w:tc>
          <w:tcPr>
            <w:tcW w:w="1787" w:type="dxa"/>
          </w:tcPr>
          <w:p w:rsidR="00EC5B54" w:rsidRPr="00343AC7" w:rsidRDefault="00EC5B54" w:rsidP="00192938">
            <w:pPr>
              <w:spacing w:after="0"/>
              <w:rPr>
                <w:rFonts w:ascii="Arial" w:hAnsi="Arial" w:cs="Arial"/>
                <w:sz w:val="18"/>
                <w:szCs w:val="18"/>
              </w:rPr>
            </w:pPr>
            <w:r w:rsidRPr="00343AC7">
              <w:rPr>
                <w:rFonts w:ascii="Arial" w:hAnsi="Arial" w:cs="Arial"/>
                <w:sz w:val="18"/>
                <w:szCs w:val="18"/>
              </w:rPr>
              <w:t>Fuente</w:t>
            </w:r>
          </w:p>
        </w:tc>
      </w:tr>
      <w:tr w:rsidR="00EC5B54" w:rsidRPr="00343AC7" w:rsidTr="00EC5B54">
        <w:tc>
          <w:tcPr>
            <w:tcW w:w="450" w:type="dxa"/>
          </w:tcPr>
          <w:p w:rsidR="00EC5B54" w:rsidRPr="00343AC7" w:rsidRDefault="00EC5B54" w:rsidP="00192938">
            <w:pPr>
              <w:spacing w:after="0"/>
              <w:rPr>
                <w:rFonts w:ascii="Arial" w:hAnsi="Arial" w:cs="Arial"/>
                <w:sz w:val="18"/>
                <w:szCs w:val="18"/>
              </w:rPr>
            </w:pPr>
            <w:r w:rsidRPr="00343AC7">
              <w:rPr>
                <w:rFonts w:ascii="Arial" w:hAnsi="Arial" w:cs="Arial"/>
                <w:sz w:val="18"/>
                <w:szCs w:val="18"/>
              </w:rPr>
              <w:t>(1)</w:t>
            </w:r>
          </w:p>
        </w:tc>
        <w:tc>
          <w:tcPr>
            <w:tcW w:w="5360" w:type="dxa"/>
          </w:tcPr>
          <w:p w:rsidR="00EC5B54" w:rsidRPr="00343AC7" w:rsidRDefault="00EC5B54" w:rsidP="00192938">
            <w:pPr>
              <w:spacing w:after="0"/>
              <w:rPr>
                <w:rFonts w:ascii="Arial" w:hAnsi="Arial" w:cs="Arial"/>
                <w:sz w:val="18"/>
                <w:szCs w:val="18"/>
              </w:rPr>
            </w:pPr>
            <w:r w:rsidRPr="00343AC7">
              <w:rPr>
                <w:rFonts w:ascii="Arial" w:hAnsi="Arial" w:cs="Arial"/>
                <w:sz w:val="18"/>
                <w:szCs w:val="18"/>
              </w:rPr>
              <w:t>Diferencial hora de trabajo Ed. Superior Incompleta (USD)</w:t>
            </w:r>
          </w:p>
        </w:tc>
        <w:tc>
          <w:tcPr>
            <w:tcW w:w="1133" w:type="dxa"/>
          </w:tcPr>
          <w:p w:rsidR="00EC5B54" w:rsidRPr="00343AC7" w:rsidRDefault="00EC5B54" w:rsidP="00192938">
            <w:pPr>
              <w:spacing w:after="0"/>
              <w:rPr>
                <w:rFonts w:ascii="Arial" w:hAnsi="Arial" w:cs="Arial"/>
                <w:sz w:val="18"/>
                <w:szCs w:val="18"/>
              </w:rPr>
            </w:pPr>
            <w:r w:rsidRPr="00343AC7">
              <w:rPr>
                <w:rFonts w:ascii="Arial" w:hAnsi="Arial" w:cs="Arial"/>
                <w:sz w:val="18"/>
                <w:szCs w:val="18"/>
              </w:rPr>
              <w:t>0,69</w:t>
            </w:r>
          </w:p>
        </w:tc>
        <w:tc>
          <w:tcPr>
            <w:tcW w:w="1787" w:type="dxa"/>
          </w:tcPr>
          <w:p w:rsidR="00EC5B54" w:rsidRPr="00343AC7" w:rsidRDefault="00EC5B54" w:rsidP="00192938">
            <w:pPr>
              <w:spacing w:after="0"/>
              <w:rPr>
                <w:rFonts w:ascii="Arial" w:hAnsi="Arial" w:cs="Arial"/>
                <w:sz w:val="18"/>
                <w:szCs w:val="18"/>
              </w:rPr>
            </w:pPr>
            <w:r w:rsidRPr="00343AC7">
              <w:rPr>
                <w:rFonts w:ascii="Arial" w:hAnsi="Arial" w:cs="Arial"/>
                <w:sz w:val="18"/>
                <w:szCs w:val="18"/>
              </w:rPr>
              <w:t>CASEN 2013</w:t>
            </w:r>
          </w:p>
        </w:tc>
      </w:tr>
      <w:tr w:rsidR="00EC5B54" w:rsidRPr="00343AC7" w:rsidTr="00EC5B54">
        <w:tc>
          <w:tcPr>
            <w:tcW w:w="450" w:type="dxa"/>
          </w:tcPr>
          <w:p w:rsidR="00EC5B54" w:rsidRPr="00343AC7" w:rsidRDefault="00EC5B54" w:rsidP="00192938">
            <w:pPr>
              <w:spacing w:after="0"/>
              <w:rPr>
                <w:rFonts w:ascii="Arial" w:hAnsi="Arial" w:cs="Arial"/>
                <w:sz w:val="18"/>
                <w:szCs w:val="18"/>
              </w:rPr>
            </w:pPr>
            <w:r w:rsidRPr="00343AC7">
              <w:rPr>
                <w:rFonts w:ascii="Arial" w:hAnsi="Arial" w:cs="Arial"/>
                <w:sz w:val="18"/>
                <w:szCs w:val="18"/>
              </w:rPr>
              <w:t>(2)</w:t>
            </w:r>
          </w:p>
        </w:tc>
        <w:tc>
          <w:tcPr>
            <w:tcW w:w="5360" w:type="dxa"/>
          </w:tcPr>
          <w:p w:rsidR="00EC5B54" w:rsidRPr="00343AC7" w:rsidRDefault="00EC5B54" w:rsidP="00192938">
            <w:pPr>
              <w:spacing w:after="0"/>
              <w:rPr>
                <w:rFonts w:ascii="Arial" w:hAnsi="Arial" w:cs="Arial"/>
                <w:sz w:val="18"/>
                <w:szCs w:val="18"/>
              </w:rPr>
            </w:pPr>
            <w:r w:rsidRPr="00343AC7">
              <w:rPr>
                <w:rFonts w:ascii="Arial" w:hAnsi="Arial" w:cs="Arial"/>
                <w:sz w:val="18"/>
                <w:szCs w:val="18"/>
              </w:rPr>
              <w:t>Diferencial hora de trabajo Ed. Superior Completa en (USD)</w:t>
            </w:r>
          </w:p>
        </w:tc>
        <w:tc>
          <w:tcPr>
            <w:tcW w:w="1133" w:type="dxa"/>
          </w:tcPr>
          <w:p w:rsidR="00EC5B54" w:rsidRPr="00343AC7" w:rsidRDefault="00EC5B54" w:rsidP="00192938">
            <w:pPr>
              <w:spacing w:after="0"/>
              <w:rPr>
                <w:rFonts w:ascii="Arial" w:hAnsi="Arial" w:cs="Arial"/>
                <w:sz w:val="18"/>
                <w:szCs w:val="18"/>
              </w:rPr>
            </w:pPr>
            <w:r w:rsidRPr="00343AC7">
              <w:rPr>
                <w:rFonts w:ascii="Arial" w:hAnsi="Arial" w:cs="Arial"/>
                <w:sz w:val="18"/>
                <w:szCs w:val="18"/>
              </w:rPr>
              <w:t>3,73</w:t>
            </w:r>
          </w:p>
        </w:tc>
        <w:tc>
          <w:tcPr>
            <w:tcW w:w="1787" w:type="dxa"/>
          </w:tcPr>
          <w:p w:rsidR="00EC5B54" w:rsidRPr="00343AC7" w:rsidRDefault="00EC5B54" w:rsidP="00192938">
            <w:pPr>
              <w:spacing w:after="0"/>
              <w:rPr>
                <w:rFonts w:ascii="Arial" w:hAnsi="Arial" w:cs="Arial"/>
                <w:sz w:val="18"/>
                <w:szCs w:val="18"/>
              </w:rPr>
            </w:pPr>
            <w:r w:rsidRPr="00343AC7">
              <w:rPr>
                <w:rFonts w:ascii="Arial" w:hAnsi="Arial" w:cs="Arial"/>
                <w:sz w:val="18"/>
                <w:szCs w:val="18"/>
              </w:rPr>
              <w:t>CASEN 2013</w:t>
            </w:r>
          </w:p>
        </w:tc>
      </w:tr>
      <w:tr w:rsidR="00EC5B54" w:rsidRPr="00343AC7" w:rsidTr="00EC5B54">
        <w:tc>
          <w:tcPr>
            <w:tcW w:w="450" w:type="dxa"/>
          </w:tcPr>
          <w:p w:rsidR="00EC5B54" w:rsidRPr="00343AC7" w:rsidRDefault="00EC5B54" w:rsidP="00192938">
            <w:pPr>
              <w:spacing w:after="0"/>
              <w:rPr>
                <w:rFonts w:ascii="Arial" w:hAnsi="Arial" w:cs="Arial"/>
                <w:sz w:val="18"/>
                <w:szCs w:val="18"/>
              </w:rPr>
            </w:pPr>
            <w:r w:rsidRPr="00343AC7">
              <w:rPr>
                <w:rFonts w:ascii="Arial" w:hAnsi="Arial" w:cs="Arial"/>
                <w:sz w:val="18"/>
                <w:szCs w:val="18"/>
              </w:rPr>
              <w:t>(3)</w:t>
            </w:r>
          </w:p>
        </w:tc>
        <w:tc>
          <w:tcPr>
            <w:tcW w:w="5360" w:type="dxa"/>
          </w:tcPr>
          <w:p w:rsidR="00EC5B54" w:rsidRPr="00343AC7" w:rsidRDefault="00EC5B54" w:rsidP="00192938">
            <w:pPr>
              <w:spacing w:after="0"/>
              <w:rPr>
                <w:rFonts w:ascii="Arial" w:hAnsi="Arial" w:cs="Arial"/>
                <w:sz w:val="18"/>
                <w:szCs w:val="18"/>
              </w:rPr>
            </w:pPr>
            <w:r w:rsidRPr="00343AC7">
              <w:rPr>
                <w:rFonts w:ascii="Arial" w:hAnsi="Arial" w:cs="Arial"/>
                <w:sz w:val="18"/>
                <w:szCs w:val="18"/>
              </w:rPr>
              <w:t>Diferencia Salarial Anual Ed. Superior Incompleta (USD)</w:t>
            </w:r>
          </w:p>
        </w:tc>
        <w:tc>
          <w:tcPr>
            <w:tcW w:w="1133" w:type="dxa"/>
          </w:tcPr>
          <w:p w:rsidR="00EC5B54" w:rsidRPr="00343AC7" w:rsidRDefault="00EC5B54" w:rsidP="00192938">
            <w:pPr>
              <w:spacing w:after="0"/>
              <w:rPr>
                <w:rFonts w:ascii="Arial" w:hAnsi="Arial" w:cs="Arial"/>
                <w:sz w:val="18"/>
                <w:szCs w:val="18"/>
              </w:rPr>
            </w:pPr>
            <w:r w:rsidRPr="00343AC7">
              <w:rPr>
                <w:rFonts w:ascii="Arial" w:hAnsi="Arial" w:cs="Arial"/>
                <w:sz w:val="18"/>
                <w:szCs w:val="18"/>
              </w:rPr>
              <w:t>1.575</w:t>
            </w:r>
          </w:p>
        </w:tc>
        <w:tc>
          <w:tcPr>
            <w:tcW w:w="1787" w:type="dxa"/>
          </w:tcPr>
          <w:p w:rsidR="00EC5B54" w:rsidRPr="00343AC7" w:rsidRDefault="00EC5B54" w:rsidP="00192938">
            <w:pPr>
              <w:spacing w:after="0"/>
              <w:rPr>
                <w:rFonts w:ascii="Arial" w:hAnsi="Arial" w:cs="Arial"/>
                <w:sz w:val="18"/>
                <w:szCs w:val="18"/>
              </w:rPr>
            </w:pPr>
            <w:r w:rsidRPr="00343AC7">
              <w:rPr>
                <w:rFonts w:ascii="Arial" w:hAnsi="Arial" w:cs="Arial"/>
                <w:sz w:val="18"/>
                <w:szCs w:val="18"/>
              </w:rPr>
              <w:t>(1)*44*4,3*12</w:t>
            </w:r>
            <w:r w:rsidR="00DE6E21" w:rsidRPr="00343AC7">
              <w:rPr>
                <w:rStyle w:val="FootnoteReference"/>
                <w:rFonts w:ascii="Arial" w:hAnsi="Arial" w:cs="Arial"/>
                <w:sz w:val="18"/>
                <w:szCs w:val="18"/>
              </w:rPr>
              <w:footnoteReference w:id="6"/>
            </w:r>
          </w:p>
        </w:tc>
      </w:tr>
      <w:tr w:rsidR="00EC5B54" w:rsidRPr="00343AC7" w:rsidTr="00EC5B54">
        <w:tc>
          <w:tcPr>
            <w:tcW w:w="450" w:type="dxa"/>
          </w:tcPr>
          <w:p w:rsidR="00EC5B54" w:rsidRPr="00343AC7" w:rsidRDefault="00EC5B54" w:rsidP="00192938">
            <w:pPr>
              <w:spacing w:after="0"/>
              <w:rPr>
                <w:rFonts w:ascii="Arial" w:hAnsi="Arial" w:cs="Arial"/>
                <w:sz w:val="18"/>
                <w:szCs w:val="18"/>
              </w:rPr>
            </w:pPr>
            <w:r w:rsidRPr="00343AC7">
              <w:rPr>
                <w:rFonts w:ascii="Arial" w:hAnsi="Arial" w:cs="Arial"/>
                <w:sz w:val="18"/>
                <w:szCs w:val="18"/>
              </w:rPr>
              <w:t>(4)</w:t>
            </w:r>
          </w:p>
        </w:tc>
        <w:tc>
          <w:tcPr>
            <w:tcW w:w="5360" w:type="dxa"/>
          </w:tcPr>
          <w:p w:rsidR="00EC5B54" w:rsidRPr="00343AC7" w:rsidRDefault="00EC5B54" w:rsidP="00192938">
            <w:pPr>
              <w:spacing w:after="0"/>
              <w:rPr>
                <w:rFonts w:ascii="Arial" w:hAnsi="Arial" w:cs="Arial"/>
                <w:sz w:val="18"/>
                <w:szCs w:val="18"/>
              </w:rPr>
            </w:pPr>
            <w:r w:rsidRPr="00343AC7">
              <w:rPr>
                <w:rFonts w:ascii="Arial" w:hAnsi="Arial" w:cs="Arial"/>
                <w:sz w:val="18"/>
                <w:szCs w:val="18"/>
              </w:rPr>
              <w:t>Diferencia Salarial Anual Ed. Superior Completa (USD)</w:t>
            </w:r>
          </w:p>
        </w:tc>
        <w:tc>
          <w:tcPr>
            <w:tcW w:w="1133" w:type="dxa"/>
          </w:tcPr>
          <w:p w:rsidR="00EC5B54" w:rsidRPr="00343AC7" w:rsidRDefault="00EC5B54" w:rsidP="00192938">
            <w:pPr>
              <w:spacing w:after="0"/>
              <w:rPr>
                <w:rFonts w:ascii="Arial" w:hAnsi="Arial" w:cs="Arial"/>
                <w:sz w:val="18"/>
                <w:szCs w:val="18"/>
              </w:rPr>
            </w:pPr>
            <w:r w:rsidRPr="00343AC7">
              <w:rPr>
                <w:rFonts w:ascii="Arial" w:hAnsi="Arial" w:cs="Arial"/>
                <w:sz w:val="18"/>
                <w:szCs w:val="18"/>
              </w:rPr>
              <w:t>8.476</w:t>
            </w:r>
          </w:p>
        </w:tc>
        <w:tc>
          <w:tcPr>
            <w:tcW w:w="1787" w:type="dxa"/>
          </w:tcPr>
          <w:p w:rsidR="00EC5B54" w:rsidRPr="00343AC7" w:rsidRDefault="00EC5B54" w:rsidP="00192938">
            <w:pPr>
              <w:spacing w:after="0"/>
              <w:rPr>
                <w:rFonts w:ascii="Arial" w:hAnsi="Arial" w:cs="Arial"/>
                <w:sz w:val="18"/>
                <w:szCs w:val="18"/>
              </w:rPr>
            </w:pPr>
            <w:r w:rsidRPr="00343AC7">
              <w:rPr>
                <w:rFonts w:ascii="Arial" w:hAnsi="Arial" w:cs="Arial"/>
                <w:sz w:val="18"/>
                <w:szCs w:val="18"/>
              </w:rPr>
              <w:t>(2)*44*4,3*12</w:t>
            </w:r>
          </w:p>
        </w:tc>
      </w:tr>
      <w:tr w:rsidR="00EC5B54" w:rsidRPr="00343AC7" w:rsidTr="00EC5B54">
        <w:tc>
          <w:tcPr>
            <w:tcW w:w="450" w:type="dxa"/>
          </w:tcPr>
          <w:p w:rsidR="00EC5B54" w:rsidRPr="00343AC7" w:rsidRDefault="00923518" w:rsidP="00192938">
            <w:pPr>
              <w:spacing w:after="0"/>
              <w:rPr>
                <w:rFonts w:ascii="Arial" w:hAnsi="Arial" w:cs="Arial"/>
                <w:sz w:val="18"/>
                <w:szCs w:val="18"/>
              </w:rPr>
            </w:pPr>
            <w:r w:rsidRPr="00343AC7">
              <w:rPr>
                <w:rFonts w:ascii="Arial" w:hAnsi="Arial" w:cs="Arial"/>
                <w:sz w:val="18"/>
                <w:szCs w:val="18"/>
              </w:rPr>
              <w:t>(5)</w:t>
            </w:r>
          </w:p>
        </w:tc>
        <w:tc>
          <w:tcPr>
            <w:tcW w:w="5360" w:type="dxa"/>
          </w:tcPr>
          <w:p w:rsidR="00EC5B54" w:rsidRPr="00343AC7" w:rsidRDefault="00923518" w:rsidP="00192938">
            <w:pPr>
              <w:spacing w:after="0"/>
              <w:rPr>
                <w:rFonts w:ascii="Arial" w:hAnsi="Arial" w:cs="Arial"/>
                <w:sz w:val="18"/>
                <w:szCs w:val="18"/>
              </w:rPr>
            </w:pPr>
            <w:r w:rsidRPr="00343AC7">
              <w:rPr>
                <w:rFonts w:ascii="Arial" w:hAnsi="Arial" w:cs="Arial"/>
                <w:sz w:val="18"/>
                <w:szCs w:val="18"/>
              </w:rPr>
              <w:t>Num. estudiantes adicionales ingresados a la ed sup. (201</w:t>
            </w:r>
            <w:r w:rsidR="001A28A5" w:rsidRPr="00343AC7">
              <w:rPr>
                <w:rFonts w:ascii="Arial" w:hAnsi="Arial" w:cs="Arial"/>
                <w:sz w:val="18"/>
                <w:szCs w:val="18"/>
              </w:rPr>
              <w:t>9</w:t>
            </w:r>
            <w:r w:rsidRPr="00343AC7">
              <w:rPr>
                <w:rFonts w:ascii="Arial" w:hAnsi="Arial" w:cs="Arial"/>
                <w:sz w:val="18"/>
                <w:szCs w:val="18"/>
              </w:rPr>
              <w:t>)</w:t>
            </w:r>
          </w:p>
        </w:tc>
        <w:tc>
          <w:tcPr>
            <w:tcW w:w="1133" w:type="dxa"/>
          </w:tcPr>
          <w:p w:rsidR="00EC5B54" w:rsidRPr="00343AC7" w:rsidRDefault="00603BD3" w:rsidP="00192938">
            <w:pPr>
              <w:spacing w:after="0"/>
              <w:rPr>
                <w:rFonts w:ascii="Arial" w:hAnsi="Arial" w:cs="Arial"/>
                <w:sz w:val="18"/>
                <w:szCs w:val="18"/>
              </w:rPr>
            </w:pPr>
            <w:r w:rsidRPr="00343AC7">
              <w:rPr>
                <w:rFonts w:ascii="Arial" w:hAnsi="Arial" w:cs="Arial"/>
                <w:sz w:val="18"/>
                <w:szCs w:val="18"/>
              </w:rPr>
              <w:t>297</w:t>
            </w:r>
          </w:p>
        </w:tc>
        <w:tc>
          <w:tcPr>
            <w:tcW w:w="1787" w:type="dxa"/>
          </w:tcPr>
          <w:p w:rsidR="00EC5B54" w:rsidRPr="00343AC7" w:rsidRDefault="001A28A5" w:rsidP="00192938">
            <w:pPr>
              <w:spacing w:after="0"/>
              <w:rPr>
                <w:rFonts w:ascii="Arial" w:hAnsi="Arial" w:cs="Arial"/>
                <w:sz w:val="18"/>
                <w:szCs w:val="18"/>
              </w:rPr>
            </w:pPr>
            <w:r w:rsidRPr="00343AC7">
              <w:rPr>
                <w:rFonts w:ascii="Arial" w:hAnsi="Arial" w:cs="Arial"/>
                <w:sz w:val="18"/>
                <w:szCs w:val="18"/>
              </w:rPr>
              <w:t>BID</w:t>
            </w:r>
          </w:p>
        </w:tc>
      </w:tr>
      <w:tr w:rsidR="00EC5B54" w:rsidRPr="00343AC7" w:rsidTr="00EC5B54">
        <w:tc>
          <w:tcPr>
            <w:tcW w:w="450" w:type="dxa"/>
          </w:tcPr>
          <w:p w:rsidR="00EC5B54" w:rsidRPr="00343AC7" w:rsidRDefault="00923518" w:rsidP="00192938">
            <w:pPr>
              <w:spacing w:after="0"/>
              <w:rPr>
                <w:rFonts w:ascii="Arial" w:hAnsi="Arial" w:cs="Arial"/>
                <w:sz w:val="18"/>
                <w:szCs w:val="18"/>
              </w:rPr>
            </w:pPr>
            <w:r w:rsidRPr="00343AC7">
              <w:rPr>
                <w:rFonts w:ascii="Arial" w:hAnsi="Arial" w:cs="Arial"/>
                <w:sz w:val="18"/>
                <w:szCs w:val="18"/>
              </w:rPr>
              <w:t>(6)</w:t>
            </w:r>
          </w:p>
        </w:tc>
        <w:tc>
          <w:tcPr>
            <w:tcW w:w="5360" w:type="dxa"/>
          </w:tcPr>
          <w:p w:rsidR="00EC5B54" w:rsidRPr="00343AC7" w:rsidRDefault="00923518" w:rsidP="00192938">
            <w:pPr>
              <w:spacing w:after="0"/>
              <w:rPr>
                <w:rFonts w:ascii="Arial" w:hAnsi="Arial" w:cs="Arial"/>
                <w:sz w:val="18"/>
                <w:szCs w:val="18"/>
              </w:rPr>
            </w:pPr>
            <w:r w:rsidRPr="00343AC7">
              <w:rPr>
                <w:rFonts w:ascii="Arial" w:hAnsi="Arial" w:cs="Arial"/>
                <w:sz w:val="18"/>
                <w:szCs w:val="18"/>
              </w:rPr>
              <w:t>Num</w:t>
            </w:r>
            <w:r w:rsidR="001A28A5" w:rsidRPr="00343AC7">
              <w:rPr>
                <w:rFonts w:ascii="Arial" w:hAnsi="Arial" w:cs="Arial"/>
                <w:sz w:val="18"/>
                <w:szCs w:val="18"/>
              </w:rPr>
              <w:t>.</w:t>
            </w:r>
            <w:r w:rsidRPr="00343AC7">
              <w:rPr>
                <w:rFonts w:ascii="Arial" w:hAnsi="Arial" w:cs="Arial"/>
                <w:sz w:val="18"/>
                <w:szCs w:val="18"/>
              </w:rPr>
              <w:t xml:space="preserve"> estudiantes no terminan educación terciaria (201</w:t>
            </w:r>
            <w:r w:rsidR="001A28A5" w:rsidRPr="00343AC7">
              <w:rPr>
                <w:rFonts w:ascii="Arial" w:hAnsi="Arial" w:cs="Arial"/>
                <w:sz w:val="18"/>
                <w:szCs w:val="18"/>
              </w:rPr>
              <w:t>9</w:t>
            </w:r>
            <w:r w:rsidRPr="00343AC7">
              <w:rPr>
                <w:rFonts w:ascii="Arial" w:hAnsi="Arial" w:cs="Arial"/>
                <w:sz w:val="18"/>
                <w:szCs w:val="18"/>
              </w:rPr>
              <w:t>)</w:t>
            </w:r>
          </w:p>
        </w:tc>
        <w:tc>
          <w:tcPr>
            <w:tcW w:w="1133" w:type="dxa"/>
          </w:tcPr>
          <w:p w:rsidR="00EC5B54" w:rsidRPr="00343AC7" w:rsidRDefault="00603BD3" w:rsidP="00192938">
            <w:pPr>
              <w:spacing w:after="0"/>
              <w:rPr>
                <w:rFonts w:ascii="Arial" w:hAnsi="Arial" w:cs="Arial"/>
                <w:sz w:val="18"/>
                <w:szCs w:val="18"/>
              </w:rPr>
            </w:pPr>
            <w:r w:rsidRPr="00343AC7">
              <w:rPr>
                <w:rFonts w:ascii="Arial" w:hAnsi="Arial" w:cs="Arial"/>
                <w:sz w:val="18"/>
                <w:szCs w:val="18"/>
              </w:rPr>
              <w:t>193</w:t>
            </w:r>
          </w:p>
        </w:tc>
        <w:tc>
          <w:tcPr>
            <w:tcW w:w="1787" w:type="dxa"/>
          </w:tcPr>
          <w:p w:rsidR="00EC5B54" w:rsidRPr="00343AC7" w:rsidRDefault="001A28A5" w:rsidP="00192938">
            <w:pPr>
              <w:spacing w:after="0"/>
              <w:rPr>
                <w:rFonts w:ascii="Arial" w:hAnsi="Arial" w:cs="Arial"/>
                <w:sz w:val="18"/>
                <w:szCs w:val="18"/>
              </w:rPr>
            </w:pPr>
            <w:r w:rsidRPr="00343AC7">
              <w:rPr>
                <w:rFonts w:ascii="Arial" w:hAnsi="Arial" w:cs="Arial"/>
                <w:sz w:val="18"/>
                <w:szCs w:val="18"/>
              </w:rPr>
              <w:t>BID</w:t>
            </w:r>
          </w:p>
        </w:tc>
      </w:tr>
      <w:tr w:rsidR="00EC5B54" w:rsidRPr="00343AC7" w:rsidTr="00EC5B54">
        <w:tc>
          <w:tcPr>
            <w:tcW w:w="450" w:type="dxa"/>
          </w:tcPr>
          <w:p w:rsidR="00EC5B54" w:rsidRPr="00343AC7" w:rsidRDefault="00923518" w:rsidP="00192938">
            <w:pPr>
              <w:spacing w:after="0"/>
              <w:rPr>
                <w:rFonts w:ascii="Arial" w:hAnsi="Arial" w:cs="Arial"/>
                <w:sz w:val="18"/>
                <w:szCs w:val="18"/>
              </w:rPr>
            </w:pPr>
            <w:r w:rsidRPr="00343AC7">
              <w:rPr>
                <w:rFonts w:ascii="Arial" w:hAnsi="Arial" w:cs="Arial"/>
                <w:sz w:val="18"/>
                <w:szCs w:val="18"/>
              </w:rPr>
              <w:t>(7)</w:t>
            </w:r>
          </w:p>
        </w:tc>
        <w:tc>
          <w:tcPr>
            <w:tcW w:w="5360" w:type="dxa"/>
          </w:tcPr>
          <w:p w:rsidR="00EC5B54" w:rsidRPr="00343AC7" w:rsidRDefault="00923518" w:rsidP="00192938">
            <w:pPr>
              <w:spacing w:after="0"/>
              <w:rPr>
                <w:rFonts w:ascii="Arial" w:hAnsi="Arial" w:cs="Arial"/>
                <w:sz w:val="18"/>
                <w:szCs w:val="18"/>
              </w:rPr>
            </w:pPr>
            <w:r w:rsidRPr="00343AC7">
              <w:rPr>
                <w:rFonts w:ascii="Arial" w:hAnsi="Arial" w:cs="Arial"/>
                <w:sz w:val="18"/>
                <w:szCs w:val="18"/>
              </w:rPr>
              <w:t xml:space="preserve">Flujos </w:t>
            </w:r>
            <w:r w:rsidR="00192938" w:rsidRPr="00343AC7">
              <w:rPr>
                <w:rFonts w:ascii="Arial" w:hAnsi="Arial" w:cs="Arial"/>
                <w:sz w:val="18"/>
                <w:szCs w:val="18"/>
              </w:rPr>
              <w:t xml:space="preserve">anuales </w:t>
            </w:r>
            <w:r w:rsidRPr="00343AC7">
              <w:rPr>
                <w:rFonts w:ascii="Arial" w:hAnsi="Arial" w:cs="Arial"/>
                <w:sz w:val="18"/>
                <w:szCs w:val="18"/>
              </w:rPr>
              <w:t xml:space="preserve">incrementales </w:t>
            </w:r>
            <w:r w:rsidR="001A28A5" w:rsidRPr="00343AC7">
              <w:rPr>
                <w:rFonts w:ascii="Arial" w:hAnsi="Arial" w:cs="Arial"/>
                <w:sz w:val="18"/>
                <w:szCs w:val="18"/>
              </w:rPr>
              <w:t xml:space="preserve">en ingreso de usuarios </w:t>
            </w:r>
            <w:r w:rsidRPr="00343AC7">
              <w:rPr>
                <w:rFonts w:ascii="Arial" w:hAnsi="Arial" w:cs="Arial"/>
                <w:sz w:val="18"/>
                <w:szCs w:val="18"/>
              </w:rPr>
              <w:t xml:space="preserve">por aumento </w:t>
            </w:r>
            <w:r w:rsidR="001A28A5" w:rsidRPr="00343AC7">
              <w:rPr>
                <w:rFonts w:ascii="Arial" w:hAnsi="Arial" w:cs="Arial"/>
                <w:sz w:val="18"/>
                <w:szCs w:val="18"/>
              </w:rPr>
              <w:t xml:space="preserve">personas </w:t>
            </w:r>
            <w:r w:rsidRPr="00343AC7">
              <w:rPr>
                <w:rFonts w:ascii="Arial" w:hAnsi="Arial" w:cs="Arial"/>
                <w:sz w:val="18"/>
                <w:szCs w:val="18"/>
              </w:rPr>
              <w:t>ed. sup incom (201</w:t>
            </w:r>
            <w:r w:rsidR="001A28A5" w:rsidRPr="00343AC7">
              <w:rPr>
                <w:rFonts w:ascii="Arial" w:hAnsi="Arial" w:cs="Arial"/>
                <w:sz w:val="18"/>
                <w:szCs w:val="18"/>
              </w:rPr>
              <w:t>9</w:t>
            </w:r>
            <w:r w:rsidRPr="00343AC7">
              <w:rPr>
                <w:rFonts w:ascii="Arial" w:hAnsi="Arial" w:cs="Arial"/>
                <w:sz w:val="18"/>
                <w:szCs w:val="18"/>
              </w:rPr>
              <w:t>)</w:t>
            </w:r>
          </w:p>
        </w:tc>
        <w:tc>
          <w:tcPr>
            <w:tcW w:w="1133" w:type="dxa"/>
          </w:tcPr>
          <w:p w:rsidR="00EC5B54" w:rsidRPr="00343AC7" w:rsidRDefault="00603BD3" w:rsidP="00192938">
            <w:pPr>
              <w:spacing w:after="0"/>
              <w:rPr>
                <w:rFonts w:ascii="Arial" w:hAnsi="Arial" w:cs="Arial"/>
                <w:sz w:val="18"/>
                <w:szCs w:val="18"/>
              </w:rPr>
            </w:pPr>
            <w:r w:rsidRPr="00343AC7">
              <w:rPr>
                <w:rFonts w:ascii="Arial" w:hAnsi="Arial" w:cs="Arial"/>
                <w:sz w:val="18"/>
                <w:szCs w:val="18"/>
              </w:rPr>
              <w:t>303.975</w:t>
            </w:r>
          </w:p>
        </w:tc>
        <w:tc>
          <w:tcPr>
            <w:tcW w:w="1787" w:type="dxa"/>
          </w:tcPr>
          <w:p w:rsidR="00EC5B54" w:rsidRPr="00343AC7" w:rsidRDefault="00192938" w:rsidP="00192938">
            <w:pPr>
              <w:spacing w:after="0"/>
              <w:rPr>
                <w:rFonts w:ascii="Arial" w:hAnsi="Arial" w:cs="Arial"/>
                <w:sz w:val="18"/>
                <w:szCs w:val="18"/>
              </w:rPr>
            </w:pPr>
            <w:r w:rsidRPr="00343AC7">
              <w:rPr>
                <w:rFonts w:ascii="Arial" w:hAnsi="Arial" w:cs="Arial"/>
                <w:sz w:val="18"/>
                <w:szCs w:val="18"/>
              </w:rPr>
              <w:t>(3)*(6)</w:t>
            </w:r>
          </w:p>
        </w:tc>
      </w:tr>
      <w:tr w:rsidR="001A28A5" w:rsidRPr="00343AC7" w:rsidTr="00EC5B54">
        <w:tc>
          <w:tcPr>
            <w:tcW w:w="450" w:type="dxa"/>
          </w:tcPr>
          <w:p w:rsidR="001A28A5" w:rsidRPr="00343AC7" w:rsidRDefault="001A28A5" w:rsidP="00192938">
            <w:pPr>
              <w:spacing w:after="0"/>
              <w:rPr>
                <w:rFonts w:ascii="Arial" w:hAnsi="Arial" w:cs="Arial"/>
                <w:sz w:val="18"/>
                <w:szCs w:val="18"/>
              </w:rPr>
            </w:pPr>
            <w:r w:rsidRPr="00343AC7">
              <w:rPr>
                <w:rFonts w:ascii="Arial" w:hAnsi="Arial" w:cs="Arial"/>
                <w:sz w:val="18"/>
                <w:szCs w:val="18"/>
              </w:rPr>
              <w:t>(8)</w:t>
            </w:r>
          </w:p>
        </w:tc>
        <w:tc>
          <w:tcPr>
            <w:tcW w:w="5360" w:type="dxa"/>
          </w:tcPr>
          <w:p w:rsidR="001A28A5" w:rsidRPr="00343AC7" w:rsidRDefault="001A28A5" w:rsidP="00192938">
            <w:pPr>
              <w:spacing w:after="0"/>
              <w:rPr>
                <w:rFonts w:ascii="Arial" w:hAnsi="Arial" w:cs="Arial"/>
                <w:sz w:val="18"/>
                <w:szCs w:val="18"/>
              </w:rPr>
            </w:pPr>
            <w:r w:rsidRPr="00343AC7">
              <w:rPr>
                <w:rFonts w:ascii="Arial" w:hAnsi="Arial" w:cs="Arial"/>
                <w:sz w:val="18"/>
                <w:szCs w:val="18"/>
              </w:rPr>
              <w:t>Num. estudiantes terminan educación terciaria (2019)</w:t>
            </w:r>
          </w:p>
        </w:tc>
        <w:tc>
          <w:tcPr>
            <w:tcW w:w="1133" w:type="dxa"/>
          </w:tcPr>
          <w:p w:rsidR="001A28A5" w:rsidRPr="00343AC7" w:rsidRDefault="00603BD3" w:rsidP="00192938">
            <w:pPr>
              <w:spacing w:after="0"/>
              <w:rPr>
                <w:rFonts w:ascii="Arial" w:hAnsi="Arial" w:cs="Arial"/>
                <w:sz w:val="18"/>
                <w:szCs w:val="18"/>
              </w:rPr>
            </w:pPr>
            <w:r w:rsidRPr="00343AC7">
              <w:rPr>
                <w:rFonts w:ascii="Arial" w:hAnsi="Arial" w:cs="Arial"/>
                <w:sz w:val="18"/>
                <w:szCs w:val="18"/>
              </w:rPr>
              <w:t>104</w:t>
            </w:r>
          </w:p>
        </w:tc>
        <w:tc>
          <w:tcPr>
            <w:tcW w:w="1787" w:type="dxa"/>
          </w:tcPr>
          <w:p w:rsidR="001A28A5" w:rsidRPr="00343AC7" w:rsidRDefault="00192938" w:rsidP="00192938">
            <w:pPr>
              <w:spacing w:after="0"/>
              <w:rPr>
                <w:rFonts w:ascii="Arial" w:hAnsi="Arial" w:cs="Arial"/>
                <w:sz w:val="18"/>
                <w:szCs w:val="18"/>
              </w:rPr>
            </w:pPr>
            <w:r w:rsidRPr="00343AC7">
              <w:rPr>
                <w:rFonts w:ascii="Arial" w:hAnsi="Arial" w:cs="Arial"/>
                <w:sz w:val="18"/>
                <w:szCs w:val="18"/>
              </w:rPr>
              <w:t>BID</w:t>
            </w:r>
          </w:p>
        </w:tc>
      </w:tr>
      <w:tr w:rsidR="001A28A5" w:rsidRPr="00343AC7" w:rsidTr="00EC5B54">
        <w:tc>
          <w:tcPr>
            <w:tcW w:w="450" w:type="dxa"/>
          </w:tcPr>
          <w:p w:rsidR="001A28A5" w:rsidRPr="00343AC7" w:rsidRDefault="001A28A5" w:rsidP="00192938">
            <w:pPr>
              <w:spacing w:after="0"/>
              <w:rPr>
                <w:rFonts w:ascii="Arial" w:hAnsi="Arial" w:cs="Arial"/>
                <w:sz w:val="18"/>
                <w:szCs w:val="18"/>
              </w:rPr>
            </w:pPr>
            <w:r w:rsidRPr="00343AC7">
              <w:rPr>
                <w:rFonts w:ascii="Arial" w:hAnsi="Arial" w:cs="Arial"/>
                <w:sz w:val="18"/>
                <w:szCs w:val="18"/>
              </w:rPr>
              <w:t>(9)</w:t>
            </w:r>
          </w:p>
        </w:tc>
        <w:tc>
          <w:tcPr>
            <w:tcW w:w="5360" w:type="dxa"/>
          </w:tcPr>
          <w:p w:rsidR="001A28A5" w:rsidRPr="00343AC7" w:rsidRDefault="001A28A5" w:rsidP="00192938">
            <w:pPr>
              <w:spacing w:after="0"/>
              <w:rPr>
                <w:rFonts w:ascii="Arial" w:hAnsi="Arial" w:cs="Arial"/>
                <w:sz w:val="18"/>
                <w:szCs w:val="18"/>
              </w:rPr>
            </w:pPr>
            <w:r w:rsidRPr="00343AC7">
              <w:rPr>
                <w:rFonts w:ascii="Arial" w:hAnsi="Arial" w:cs="Arial"/>
                <w:sz w:val="18"/>
                <w:szCs w:val="18"/>
              </w:rPr>
              <w:t xml:space="preserve">Flujos </w:t>
            </w:r>
            <w:r w:rsidR="00192938" w:rsidRPr="00343AC7">
              <w:rPr>
                <w:rFonts w:ascii="Arial" w:hAnsi="Arial" w:cs="Arial"/>
                <w:sz w:val="18"/>
                <w:szCs w:val="18"/>
              </w:rPr>
              <w:t xml:space="preserve">anuales </w:t>
            </w:r>
            <w:r w:rsidRPr="00343AC7">
              <w:rPr>
                <w:rFonts w:ascii="Arial" w:hAnsi="Arial" w:cs="Arial"/>
                <w:sz w:val="18"/>
                <w:szCs w:val="18"/>
              </w:rPr>
              <w:t xml:space="preserve">incrementales en ingreso de usuarios por aumento personas ed. sup </w:t>
            </w:r>
            <w:r w:rsidR="00192938" w:rsidRPr="00343AC7">
              <w:rPr>
                <w:rFonts w:ascii="Arial" w:hAnsi="Arial" w:cs="Arial"/>
                <w:sz w:val="18"/>
                <w:szCs w:val="18"/>
              </w:rPr>
              <w:t>completa</w:t>
            </w:r>
            <w:r w:rsidRPr="00343AC7">
              <w:rPr>
                <w:rFonts w:ascii="Arial" w:hAnsi="Arial" w:cs="Arial"/>
                <w:sz w:val="18"/>
                <w:szCs w:val="18"/>
              </w:rPr>
              <w:t xml:space="preserve"> (2019)</w:t>
            </w:r>
          </w:p>
        </w:tc>
        <w:tc>
          <w:tcPr>
            <w:tcW w:w="1133" w:type="dxa"/>
          </w:tcPr>
          <w:p w:rsidR="001A28A5" w:rsidRPr="00343AC7" w:rsidRDefault="00603BD3" w:rsidP="00192938">
            <w:pPr>
              <w:spacing w:after="0"/>
              <w:rPr>
                <w:rFonts w:ascii="Arial" w:hAnsi="Arial" w:cs="Arial"/>
                <w:sz w:val="18"/>
                <w:szCs w:val="18"/>
              </w:rPr>
            </w:pPr>
            <w:r w:rsidRPr="00343AC7">
              <w:rPr>
                <w:rFonts w:ascii="Arial" w:hAnsi="Arial" w:cs="Arial"/>
                <w:sz w:val="18"/>
                <w:szCs w:val="18"/>
              </w:rPr>
              <w:t>881.504</w:t>
            </w:r>
          </w:p>
        </w:tc>
        <w:tc>
          <w:tcPr>
            <w:tcW w:w="1787" w:type="dxa"/>
          </w:tcPr>
          <w:p w:rsidR="001A28A5" w:rsidRPr="00343AC7" w:rsidRDefault="00192938" w:rsidP="00192938">
            <w:pPr>
              <w:spacing w:after="0"/>
              <w:rPr>
                <w:rFonts w:ascii="Arial" w:hAnsi="Arial" w:cs="Arial"/>
                <w:sz w:val="18"/>
                <w:szCs w:val="18"/>
              </w:rPr>
            </w:pPr>
            <w:r w:rsidRPr="00343AC7">
              <w:rPr>
                <w:rFonts w:ascii="Arial" w:hAnsi="Arial" w:cs="Arial"/>
                <w:sz w:val="18"/>
                <w:szCs w:val="18"/>
              </w:rPr>
              <w:t>(4)*(8)</w:t>
            </w:r>
          </w:p>
        </w:tc>
      </w:tr>
    </w:tbl>
    <w:p w:rsidR="00B62188" w:rsidRPr="00343AC7" w:rsidRDefault="00B62188" w:rsidP="003A542A">
      <w:pPr>
        <w:rPr>
          <w:rFonts w:ascii="Arial" w:hAnsi="Arial" w:cs="Arial"/>
          <w:sz w:val="18"/>
          <w:szCs w:val="18"/>
        </w:rPr>
      </w:pPr>
    </w:p>
    <w:p w:rsidR="00192938" w:rsidRPr="00343AC7" w:rsidRDefault="00192938" w:rsidP="00343AC7">
      <w:pPr>
        <w:pStyle w:val="Caption"/>
        <w:keepNext/>
        <w:rPr>
          <w:rFonts w:ascii="Arial" w:hAnsi="Arial" w:cs="Arial"/>
          <w:sz w:val="18"/>
          <w:szCs w:val="18"/>
        </w:rPr>
      </w:pPr>
      <w:r w:rsidRPr="00343AC7">
        <w:rPr>
          <w:rFonts w:ascii="Arial" w:hAnsi="Arial" w:cs="Arial"/>
          <w:sz w:val="18"/>
          <w:szCs w:val="18"/>
        </w:rPr>
        <w:lastRenderedPageBreak/>
        <w:t xml:space="preserve">Tabla </w:t>
      </w:r>
      <w:r w:rsidRPr="00343AC7">
        <w:rPr>
          <w:rFonts w:ascii="Arial" w:hAnsi="Arial" w:cs="Arial"/>
          <w:sz w:val="18"/>
          <w:szCs w:val="18"/>
        </w:rPr>
        <w:fldChar w:fldCharType="begin"/>
      </w:r>
      <w:r w:rsidRPr="00343AC7">
        <w:rPr>
          <w:rFonts w:ascii="Arial" w:hAnsi="Arial" w:cs="Arial"/>
          <w:sz w:val="18"/>
          <w:szCs w:val="18"/>
        </w:rPr>
        <w:instrText xml:space="preserve"> SEQ Tabla \* ARABIC </w:instrText>
      </w:r>
      <w:r w:rsidRPr="00343AC7">
        <w:rPr>
          <w:rFonts w:ascii="Arial" w:hAnsi="Arial" w:cs="Arial"/>
          <w:sz w:val="18"/>
          <w:szCs w:val="18"/>
        </w:rPr>
        <w:fldChar w:fldCharType="separate"/>
      </w:r>
      <w:r w:rsidR="00211EE7" w:rsidRPr="00343AC7">
        <w:rPr>
          <w:rFonts w:ascii="Arial" w:hAnsi="Arial" w:cs="Arial"/>
          <w:noProof/>
          <w:sz w:val="18"/>
          <w:szCs w:val="18"/>
        </w:rPr>
        <w:t>5</w:t>
      </w:r>
      <w:r w:rsidRPr="00343AC7">
        <w:rPr>
          <w:rFonts w:ascii="Arial" w:hAnsi="Arial" w:cs="Arial"/>
          <w:sz w:val="18"/>
          <w:szCs w:val="18"/>
        </w:rPr>
        <w:fldChar w:fldCharType="end"/>
      </w:r>
      <w:r w:rsidRPr="00343AC7">
        <w:rPr>
          <w:rFonts w:ascii="Arial" w:hAnsi="Arial" w:cs="Arial"/>
          <w:sz w:val="18"/>
          <w:szCs w:val="18"/>
        </w:rPr>
        <w:t xml:space="preserve">: Escenario Cálculo de beneficios del Programa sobre la base de los ingresos incrementales de un aumento de </w:t>
      </w:r>
      <w:r w:rsidR="00C3050D" w:rsidRPr="00343AC7">
        <w:rPr>
          <w:rFonts w:ascii="Arial" w:hAnsi="Arial" w:cs="Arial"/>
          <w:sz w:val="18"/>
          <w:szCs w:val="18"/>
        </w:rPr>
        <w:t>5</w:t>
      </w:r>
      <w:r w:rsidRPr="00343AC7">
        <w:rPr>
          <w:rFonts w:ascii="Arial" w:hAnsi="Arial" w:cs="Arial"/>
          <w:sz w:val="18"/>
          <w:szCs w:val="18"/>
        </w:rPr>
        <w:t>% en la cantidad de egresados de la educación secundaria que ingresa a la educación terciaria, 1° año de operación en régimen (2019) en USD 2016</w:t>
      </w:r>
    </w:p>
    <w:tbl>
      <w:tblPr>
        <w:tblStyle w:val="TableGrid"/>
        <w:tblW w:w="8730" w:type="dxa"/>
        <w:tblLook w:val="04A0" w:firstRow="1" w:lastRow="0" w:firstColumn="1" w:lastColumn="0" w:noHBand="0" w:noVBand="1"/>
      </w:tblPr>
      <w:tblGrid>
        <w:gridCol w:w="450"/>
        <w:gridCol w:w="5360"/>
        <w:gridCol w:w="1133"/>
        <w:gridCol w:w="1787"/>
      </w:tblGrid>
      <w:tr w:rsidR="00192938" w:rsidRPr="00343AC7" w:rsidTr="00750A0D">
        <w:tc>
          <w:tcPr>
            <w:tcW w:w="450" w:type="dxa"/>
          </w:tcPr>
          <w:p w:rsidR="00192938" w:rsidRPr="00343AC7" w:rsidRDefault="00192938" w:rsidP="00343AC7">
            <w:pPr>
              <w:keepNext/>
              <w:spacing w:after="0"/>
              <w:rPr>
                <w:rFonts w:ascii="Arial" w:hAnsi="Arial" w:cs="Arial"/>
                <w:sz w:val="18"/>
                <w:szCs w:val="18"/>
              </w:rPr>
            </w:pPr>
          </w:p>
        </w:tc>
        <w:tc>
          <w:tcPr>
            <w:tcW w:w="5360" w:type="dxa"/>
          </w:tcPr>
          <w:p w:rsidR="00192938" w:rsidRPr="00343AC7" w:rsidRDefault="00192938" w:rsidP="00343AC7">
            <w:pPr>
              <w:keepNext/>
              <w:spacing w:after="0"/>
              <w:rPr>
                <w:rFonts w:ascii="Arial" w:hAnsi="Arial" w:cs="Arial"/>
                <w:sz w:val="18"/>
                <w:szCs w:val="18"/>
              </w:rPr>
            </w:pPr>
            <w:r w:rsidRPr="00343AC7">
              <w:rPr>
                <w:rFonts w:ascii="Arial" w:hAnsi="Arial" w:cs="Arial"/>
                <w:sz w:val="18"/>
                <w:szCs w:val="18"/>
              </w:rPr>
              <w:t>Estimación</w:t>
            </w:r>
          </w:p>
        </w:tc>
        <w:tc>
          <w:tcPr>
            <w:tcW w:w="1133" w:type="dxa"/>
          </w:tcPr>
          <w:p w:rsidR="00192938" w:rsidRPr="00343AC7" w:rsidRDefault="00192938" w:rsidP="00343AC7">
            <w:pPr>
              <w:keepNext/>
              <w:spacing w:after="0"/>
              <w:rPr>
                <w:rFonts w:ascii="Arial" w:hAnsi="Arial" w:cs="Arial"/>
                <w:sz w:val="18"/>
                <w:szCs w:val="18"/>
              </w:rPr>
            </w:pPr>
            <w:r w:rsidRPr="00343AC7">
              <w:rPr>
                <w:rFonts w:ascii="Arial" w:hAnsi="Arial" w:cs="Arial"/>
                <w:sz w:val="18"/>
                <w:szCs w:val="18"/>
              </w:rPr>
              <w:t>Valor estimado</w:t>
            </w:r>
          </w:p>
        </w:tc>
        <w:tc>
          <w:tcPr>
            <w:tcW w:w="1787" w:type="dxa"/>
          </w:tcPr>
          <w:p w:rsidR="00192938" w:rsidRPr="00343AC7" w:rsidRDefault="00192938" w:rsidP="00343AC7">
            <w:pPr>
              <w:keepNext/>
              <w:spacing w:after="0"/>
              <w:rPr>
                <w:rFonts w:ascii="Arial" w:hAnsi="Arial" w:cs="Arial"/>
                <w:sz w:val="18"/>
                <w:szCs w:val="18"/>
              </w:rPr>
            </w:pPr>
            <w:r w:rsidRPr="00343AC7">
              <w:rPr>
                <w:rFonts w:ascii="Arial" w:hAnsi="Arial" w:cs="Arial"/>
                <w:sz w:val="18"/>
                <w:szCs w:val="18"/>
              </w:rPr>
              <w:t>Fuente</w:t>
            </w:r>
          </w:p>
        </w:tc>
      </w:tr>
      <w:tr w:rsidR="00192938" w:rsidRPr="00343AC7" w:rsidTr="00750A0D">
        <w:tc>
          <w:tcPr>
            <w:tcW w:w="450" w:type="dxa"/>
          </w:tcPr>
          <w:p w:rsidR="00192938" w:rsidRPr="00343AC7" w:rsidRDefault="00192938" w:rsidP="00343AC7">
            <w:pPr>
              <w:keepNext/>
              <w:spacing w:after="0"/>
              <w:rPr>
                <w:rFonts w:ascii="Arial" w:hAnsi="Arial" w:cs="Arial"/>
                <w:sz w:val="18"/>
                <w:szCs w:val="18"/>
              </w:rPr>
            </w:pPr>
            <w:r w:rsidRPr="00343AC7">
              <w:rPr>
                <w:rFonts w:ascii="Arial" w:hAnsi="Arial" w:cs="Arial"/>
                <w:sz w:val="18"/>
                <w:szCs w:val="18"/>
              </w:rPr>
              <w:t>(1)</w:t>
            </w:r>
          </w:p>
        </w:tc>
        <w:tc>
          <w:tcPr>
            <w:tcW w:w="5360" w:type="dxa"/>
          </w:tcPr>
          <w:p w:rsidR="00192938" w:rsidRPr="00343AC7" w:rsidRDefault="00192938" w:rsidP="00343AC7">
            <w:pPr>
              <w:keepNext/>
              <w:spacing w:after="0"/>
              <w:rPr>
                <w:rFonts w:ascii="Arial" w:hAnsi="Arial" w:cs="Arial"/>
                <w:sz w:val="18"/>
                <w:szCs w:val="18"/>
              </w:rPr>
            </w:pPr>
            <w:r w:rsidRPr="00343AC7">
              <w:rPr>
                <w:rFonts w:ascii="Arial" w:hAnsi="Arial" w:cs="Arial"/>
                <w:sz w:val="18"/>
                <w:szCs w:val="18"/>
              </w:rPr>
              <w:t>Diferencial hora de trabajo Ed. Superior Incompleta (USD)</w:t>
            </w:r>
          </w:p>
        </w:tc>
        <w:tc>
          <w:tcPr>
            <w:tcW w:w="1133" w:type="dxa"/>
          </w:tcPr>
          <w:p w:rsidR="00192938" w:rsidRPr="00343AC7" w:rsidRDefault="00192938" w:rsidP="00343AC7">
            <w:pPr>
              <w:keepNext/>
              <w:spacing w:after="0"/>
              <w:rPr>
                <w:rFonts w:ascii="Arial" w:hAnsi="Arial" w:cs="Arial"/>
                <w:sz w:val="18"/>
                <w:szCs w:val="18"/>
              </w:rPr>
            </w:pPr>
            <w:r w:rsidRPr="00343AC7">
              <w:rPr>
                <w:rFonts w:ascii="Arial" w:hAnsi="Arial" w:cs="Arial"/>
                <w:sz w:val="18"/>
                <w:szCs w:val="18"/>
              </w:rPr>
              <w:t>0,69</w:t>
            </w:r>
          </w:p>
        </w:tc>
        <w:tc>
          <w:tcPr>
            <w:tcW w:w="1787" w:type="dxa"/>
          </w:tcPr>
          <w:p w:rsidR="00192938" w:rsidRPr="00343AC7" w:rsidRDefault="00192938" w:rsidP="00343AC7">
            <w:pPr>
              <w:keepNext/>
              <w:spacing w:after="0"/>
              <w:rPr>
                <w:rFonts w:ascii="Arial" w:hAnsi="Arial" w:cs="Arial"/>
                <w:sz w:val="18"/>
                <w:szCs w:val="18"/>
              </w:rPr>
            </w:pPr>
            <w:r w:rsidRPr="00343AC7">
              <w:rPr>
                <w:rFonts w:ascii="Arial" w:hAnsi="Arial" w:cs="Arial"/>
                <w:sz w:val="18"/>
                <w:szCs w:val="18"/>
              </w:rPr>
              <w:t>CASEN 2013</w:t>
            </w:r>
          </w:p>
        </w:tc>
      </w:tr>
      <w:tr w:rsidR="00192938" w:rsidRPr="00343AC7" w:rsidTr="00750A0D">
        <w:tc>
          <w:tcPr>
            <w:tcW w:w="450" w:type="dxa"/>
          </w:tcPr>
          <w:p w:rsidR="00192938" w:rsidRPr="00343AC7" w:rsidRDefault="00192938" w:rsidP="00343AC7">
            <w:pPr>
              <w:keepNext/>
              <w:spacing w:after="0"/>
              <w:rPr>
                <w:rFonts w:ascii="Arial" w:hAnsi="Arial" w:cs="Arial"/>
                <w:sz w:val="18"/>
                <w:szCs w:val="18"/>
              </w:rPr>
            </w:pPr>
            <w:r w:rsidRPr="00343AC7">
              <w:rPr>
                <w:rFonts w:ascii="Arial" w:hAnsi="Arial" w:cs="Arial"/>
                <w:sz w:val="18"/>
                <w:szCs w:val="18"/>
              </w:rPr>
              <w:t>(2)</w:t>
            </w:r>
          </w:p>
        </w:tc>
        <w:tc>
          <w:tcPr>
            <w:tcW w:w="5360" w:type="dxa"/>
          </w:tcPr>
          <w:p w:rsidR="00192938" w:rsidRPr="00343AC7" w:rsidRDefault="00192938" w:rsidP="00343AC7">
            <w:pPr>
              <w:keepNext/>
              <w:spacing w:after="0"/>
              <w:rPr>
                <w:rFonts w:ascii="Arial" w:hAnsi="Arial" w:cs="Arial"/>
                <w:sz w:val="18"/>
                <w:szCs w:val="18"/>
              </w:rPr>
            </w:pPr>
            <w:r w:rsidRPr="00343AC7">
              <w:rPr>
                <w:rFonts w:ascii="Arial" w:hAnsi="Arial" w:cs="Arial"/>
                <w:sz w:val="18"/>
                <w:szCs w:val="18"/>
              </w:rPr>
              <w:t>Diferencial hora de trabajo Ed. Superior Completa en (USD)</w:t>
            </w:r>
          </w:p>
        </w:tc>
        <w:tc>
          <w:tcPr>
            <w:tcW w:w="1133" w:type="dxa"/>
          </w:tcPr>
          <w:p w:rsidR="00192938" w:rsidRPr="00343AC7" w:rsidRDefault="00192938" w:rsidP="00343AC7">
            <w:pPr>
              <w:keepNext/>
              <w:spacing w:after="0"/>
              <w:rPr>
                <w:rFonts w:ascii="Arial" w:hAnsi="Arial" w:cs="Arial"/>
                <w:sz w:val="18"/>
                <w:szCs w:val="18"/>
              </w:rPr>
            </w:pPr>
            <w:r w:rsidRPr="00343AC7">
              <w:rPr>
                <w:rFonts w:ascii="Arial" w:hAnsi="Arial" w:cs="Arial"/>
                <w:sz w:val="18"/>
                <w:szCs w:val="18"/>
              </w:rPr>
              <w:t>3,73</w:t>
            </w:r>
          </w:p>
        </w:tc>
        <w:tc>
          <w:tcPr>
            <w:tcW w:w="1787" w:type="dxa"/>
          </w:tcPr>
          <w:p w:rsidR="00192938" w:rsidRPr="00343AC7" w:rsidRDefault="00192938" w:rsidP="00343AC7">
            <w:pPr>
              <w:keepNext/>
              <w:spacing w:after="0"/>
              <w:rPr>
                <w:rFonts w:ascii="Arial" w:hAnsi="Arial" w:cs="Arial"/>
                <w:sz w:val="18"/>
                <w:szCs w:val="18"/>
              </w:rPr>
            </w:pPr>
            <w:r w:rsidRPr="00343AC7">
              <w:rPr>
                <w:rFonts w:ascii="Arial" w:hAnsi="Arial" w:cs="Arial"/>
                <w:sz w:val="18"/>
                <w:szCs w:val="18"/>
              </w:rPr>
              <w:t>CASEN 2013</w:t>
            </w:r>
          </w:p>
        </w:tc>
      </w:tr>
      <w:tr w:rsidR="00192938" w:rsidRPr="00343AC7" w:rsidTr="00750A0D">
        <w:tc>
          <w:tcPr>
            <w:tcW w:w="450" w:type="dxa"/>
          </w:tcPr>
          <w:p w:rsidR="00192938" w:rsidRPr="00343AC7" w:rsidRDefault="00192938" w:rsidP="00343AC7">
            <w:pPr>
              <w:keepNext/>
              <w:spacing w:after="0"/>
              <w:rPr>
                <w:rFonts w:ascii="Arial" w:hAnsi="Arial" w:cs="Arial"/>
                <w:sz w:val="18"/>
                <w:szCs w:val="18"/>
              </w:rPr>
            </w:pPr>
            <w:r w:rsidRPr="00343AC7">
              <w:rPr>
                <w:rFonts w:ascii="Arial" w:hAnsi="Arial" w:cs="Arial"/>
                <w:sz w:val="18"/>
                <w:szCs w:val="18"/>
              </w:rPr>
              <w:t>(3)</w:t>
            </w:r>
          </w:p>
        </w:tc>
        <w:tc>
          <w:tcPr>
            <w:tcW w:w="5360" w:type="dxa"/>
          </w:tcPr>
          <w:p w:rsidR="00192938" w:rsidRPr="00343AC7" w:rsidRDefault="00192938" w:rsidP="00343AC7">
            <w:pPr>
              <w:keepNext/>
              <w:spacing w:after="0"/>
              <w:rPr>
                <w:rFonts w:ascii="Arial" w:hAnsi="Arial" w:cs="Arial"/>
                <w:sz w:val="18"/>
                <w:szCs w:val="18"/>
              </w:rPr>
            </w:pPr>
            <w:r w:rsidRPr="00343AC7">
              <w:rPr>
                <w:rFonts w:ascii="Arial" w:hAnsi="Arial" w:cs="Arial"/>
                <w:sz w:val="18"/>
                <w:szCs w:val="18"/>
              </w:rPr>
              <w:t>Diferencia Salarial Anual Ed. Superior Incompleta (USD)</w:t>
            </w:r>
          </w:p>
        </w:tc>
        <w:tc>
          <w:tcPr>
            <w:tcW w:w="1133" w:type="dxa"/>
          </w:tcPr>
          <w:p w:rsidR="00192938" w:rsidRPr="00343AC7" w:rsidRDefault="00192938" w:rsidP="00343AC7">
            <w:pPr>
              <w:keepNext/>
              <w:spacing w:after="0"/>
              <w:rPr>
                <w:rFonts w:ascii="Arial" w:hAnsi="Arial" w:cs="Arial"/>
                <w:sz w:val="18"/>
                <w:szCs w:val="18"/>
              </w:rPr>
            </w:pPr>
            <w:r w:rsidRPr="00343AC7">
              <w:rPr>
                <w:rFonts w:ascii="Arial" w:hAnsi="Arial" w:cs="Arial"/>
                <w:sz w:val="18"/>
                <w:szCs w:val="18"/>
              </w:rPr>
              <w:t>1.575</w:t>
            </w:r>
          </w:p>
        </w:tc>
        <w:tc>
          <w:tcPr>
            <w:tcW w:w="1787" w:type="dxa"/>
          </w:tcPr>
          <w:p w:rsidR="00192938" w:rsidRPr="00343AC7" w:rsidRDefault="00192938" w:rsidP="00343AC7">
            <w:pPr>
              <w:keepNext/>
              <w:spacing w:after="0"/>
              <w:rPr>
                <w:rFonts w:ascii="Arial" w:hAnsi="Arial" w:cs="Arial"/>
                <w:sz w:val="18"/>
                <w:szCs w:val="18"/>
              </w:rPr>
            </w:pPr>
            <w:r w:rsidRPr="00343AC7">
              <w:rPr>
                <w:rFonts w:ascii="Arial" w:hAnsi="Arial" w:cs="Arial"/>
                <w:sz w:val="18"/>
                <w:szCs w:val="18"/>
              </w:rPr>
              <w:t>(1)*44*4,3*12</w:t>
            </w:r>
          </w:p>
        </w:tc>
      </w:tr>
      <w:tr w:rsidR="00192938" w:rsidRPr="00343AC7" w:rsidTr="00750A0D">
        <w:tc>
          <w:tcPr>
            <w:tcW w:w="450" w:type="dxa"/>
          </w:tcPr>
          <w:p w:rsidR="00192938" w:rsidRPr="00343AC7" w:rsidRDefault="00192938" w:rsidP="00343AC7">
            <w:pPr>
              <w:keepNext/>
              <w:spacing w:after="0"/>
              <w:rPr>
                <w:rFonts w:ascii="Arial" w:hAnsi="Arial" w:cs="Arial"/>
                <w:sz w:val="18"/>
                <w:szCs w:val="18"/>
              </w:rPr>
            </w:pPr>
            <w:r w:rsidRPr="00343AC7">
              <w:rPr>
                <w:rFonts w:ascii="Arial" w:hAnsi="Arial" w:cs="Arial"/>
                <w:sz w:val="18"/>
                <w:szCs w:val="18"/>
              </w:rPr>
              <w:t>(4)</w:t>
            </w:r>
          </w:p>
        </w:tc>
        <w:tc>
          <w:tcPr>
            <w:tcW w:w="5360" w:type="dxa"/>
          </w:tcPr>
          <w:p w:rsidR="00192938" w:rsidRPr="00343AC7" w:rsidRDefault="00192938" w:rsidP="00343AC7">
            <w:pPr>
              <w:keepNext/>
              <w:spacing w:after="0"/>
              <w:rPr>
                <w:rFonts w:ascii="Arial" w:hAnsi="Arial" w:cs="Arial"/>
                <w:sz w:val="18"/>
                <w:szCs w:val="18"/>
              </w:rPr>
            </w:pPr>
            <w:r w:rsidRPr="00343AC7">
              <w:rPr>
                <w:rFonts w:ascii="Arial" w:hAnsi="Arial" w:cs="Arial"/>
                <w:sz w:val="18"/>
                <w:szCs w:val="18"/>
              </w:rPr>
              <w:t>Diferencia Salarial Anual Ed. Superior Completa (USD)</w:t>
            </w:r>
          </w:p>
        </w:tc>
        <w:tc>
          <w:tcPr>
            <w:tcW w:w="1133" w:type="dxa"/>
          </w:tcPr>
          <w:p w:rsidR="00192938" w:rsidRPr="00343AC7" w:rsidRDefault="00192938" w:rsidP="00343AC7">
            <w:pPr>
              <w:keepNext/>
              <w:spacing w:after="0"/>
              <w:rPr>
                <w:rFonts w:ascii="Arial" w:hAnsi="Arial" w:cs="Arial"/>
                <w:sz w:val="18"/>
                <w:szCs w:val="18"/>
              </w:rPr>
            </w:pPr>
            <w:r w:rsidRPr="00343AC7">
              <w:rPr>
                <w:rFonts w:ascii="Arial" w:hAnsi="Arial" w:cs="Arial"/>
                <w:sz w:val="18"/>
                <w:szCs w:val="18"/>
              </w:rPr>
              <w:t>8.476</w:t>
            </w:r>
          </w:p>
        </w:tc>
        <w:tc>
          <w:tcPr>
            <w:tcW w:w="1787" w:type="dxa"/>
          </w:tcPr>
          <w:p w:rsidR="00192938" w:rsidRPr="00343AC7" w:rsidRDefault="00192938" w:rsidP="00343AC7">
            <w:pPr>
              <w:keepNext/>
              <w:spacing w:after="0"/>
              <w:rPr>
                <w:rFonts w:ascii="Arial" w:hAnsi="Arial" w:cs="Arial"/>
                <w:sz w:val="18"/>
                <w:szCs w:val="18"/>
              </w:rPr>
            </w:pPr>
            <w:r w:rsidRPr="00343AC7">
              <w:rPr>
                <w:rFonts w:ascii="Arial" w:hAnsi="Arial" w:cs="Arial"/>
                <w:sz w:val="18"/>
                <w:szCs w:val="18"/>
              </w:rPr>
              <w:t>(2)*44*4,3*12</w:t>
            </w:r>
          </w:p>
        </w:tc>
      </w:tr>
      <w:tr w:rsidR="00C3050D" w:rsidRPr="00343AC7" w:rsidTr="00750A0D">
        <w:tc>
          <w:tcPr>
            <w:tcW w:w="450" w:type="dxa"/>
          </w:tcPr>
          <w:p w:rsidR="00C3050D" w:rsidRPr="00343AC7" w:rsidRDefault="00C3050D" w:rsidP="00343AC7">
            <w:pPr>
              <w:keepNext/>
              <w:spacing w:after="0"/>
              <w:rPr>
                <w:rFonts w:ascii="Arial" w:hAnsi="Arial" w:cs="Arial"/>
                <w:sz w:val="18"/>
                <w:szCs w:val="18"/>
              </w:rPr>
            </w:pPr>
            <w:r w:rsidRPr="00343AC7">
              <w:rPr>
                <w:rFonts w:ascii="Arial" w:hAnsi="Arial" w:cs="Arial"/>
                <w:sz w:val="18"/>
                <w:szCs w:val="18"/>
              </w:rPr>
              <w:t>(5)</w:t>
            </w:r>
          </w:p>
        </w:tc>
        <w:tc>
          <w:tcPr>
            <w:tcW w:w="5360" w:type="dxa"/>
          </w:tcPr>
          <w:p w:rsidR="00C3050D" w:rsidRPr="00343AC7" w:rsidRDefault="00C3050D" w:rsidP="00343AC7">
            <w:pPr>
              <w:keepNext/>
              <w:spacing w:after="0"/>
              <w:rPr>
                <w:rFonts w:ascii="Arial" w:hAnsi="Arial" w:cs="Arial"/>
                <w:sz w:val="18"/>
                <w:szCs w:val="18"/>
              </w:rPr>
            </w:pPr>
            <w:r w:rsidRPr="00343AC7">
              <w:rPr>
                <w:rFonts w:ascii="Arial" w:hAnsi="Arial" w:cs="Arial"/>
                <w:sz w:val="18"/>
                <w:szCs w:val="18"/>
              </w:rPr>
              <w:t>Num. estudiantes adicionales ingresados a la ed sup. (2019)</w:t>
            </w:r>
          </w:p>
        </w:tc>
        <w:tc>
          <w:tcPr>
            <w:tcW w:w="1133" w:type="dxa"/>
          </w:tcPr>
          <w:p w:rsidR="00C3050D" w:rsidRPr="00343AC7" w:rsidRDefault="00C3050D" w:rsidP="00343AC7">
            <w:pPr>
              <w:keepNext/>
              <w:spacing w:after="0"/>
              <w:rPr>
                <w:rFonts w:ascii="Arial" w:hAnsi="Arial" w:cs="Arial"/>
                <w:sz w:val="18"/>
                <w:szCs w:val="18"/>
              </w:rPr>
            </w:pPr>
            <w:r w:rsidRPr="00343AC7">
              <w:rPr>
                <w:rFonts w:ascii="Arial" w:hAnsi="Arial" w:cs="Arial"/>
                <w:sz w:val="18"/>
                <w:szCs w:val="18"/>
              </w:rPr>
              <w:t>741</w:t>
            </w:r>
          </w:p>
        </w:tc>
        <w:tc>
          <w:tcPr>
            <w:tcW w:w="1787" w:type="dxa"/>
          </w:tcPr>
          <w:p w:rsidR="00C3050D" w:rsidRPr="00343AC7" w:rsidRDefault="00C3050D" w:rsidP="00343AC7">
            <w:pPr>
              <w:keepNext/>
              <w:spacing w:after="0"/>
              <w:rPr>
                <w:rFonts w:ascii="Arial" w:hAnsi="Arial" w:cs="Arial"/>
                <w:sz w:val="18"/>
                <w:szCs w:val="18"/>
              </w:rPr>
            </w:pPr>
            <w:r w:rsidRPr="00343AC7">
              <w:rPr>
                <w:rFonts w:ascii="Arial" w:hAnsi="Arial" w:cs="Arial"/>
                <w:sz w:val="18"/>
                <w:szCs w:val="18"/>
              </w:rPr>
              <w:t>BID</w:t>
            </w:r>
          </w:p>
        </w:tc>
      </w:tr>
      <w:tr w:rsidR="00C3050D" w:rsidRPr="00343AC7" w:rsidTr="00750A0D">
        <w:tc>
          <w:tcPr>
            <w:tcW w:w="450" w:type="dxa"/>
          </w:tcPr>
          <w:p w:rsidR="00C3050D" w:rsidRPr="00343AC7" w:rsidRDefault="00C3050D" w:rsidP="00343AC7">
            <w:pPr>
              <w:keepNext/>
              <w:spacing w:after="0"/>
              <w:rPr>
                <w:rFonts w:ascii="Arial" w:hAnsi="Arial" w:cs="Arial"/>
                <w:sz w:val="18"/>
                <w:szCs w:val="18"/>
              </w:rPr>
            </w:pPr>
            <w:r w:rsidRPr="00343AC7">
              <w:rPr>
                <w:rFonts w:ascii="Arial" w:hAnsi="Arial" w:cs="Arial"/>
                <w:sz w:val="18"/>
                <w:szCs w:val="18"/>
              </w:rPr>
              <w:t>(6)</w:t>
            </w:r>
          </w:p>
        </w:tc>
        <w:tc>
          <w:tcPr>
            <w:tcW w:w="5360" w:type="dxa"/>
          </w:tcPr>
          <w:p w:rsidR="00C3050D" w:rsidRPr="00343AC7" w:rsidRDefault="00C3050D" w:rsidP="00343AC7">
            <w:pPr>
              <w:keepNext/>
              <w:spacing w:after="0"/>
              <w:rPr>
                <w:rFonts w:ascii="Arial" w:hAnsi="Arial" w:cs="Arial"/>
                <w:sz w:val="18"/>
                <w:szCs w:val="18"/>
              </w:rPr>
            </w:pPr>
            <w:r w:rsidRPr="00343AC7">
              <w:rPr>
                <w:rFonts w:ascii="Arial" w:hAnsi="Arial" w:cs="Arial"/>
                <w:sz w:val="18"/>
                <w:szCs w:val="18"/>
              </w:rPr>
              <w:t>Num. estudiantes no terminan educación terciaria (2019)</w:t>
            </w:r>
          </w:p>
        </w:tc>
        <w:tc>
          <w:tcPr>
            <w:tcW w:w="1133" w:type="dxa"/>
          </w:tcPr>
          <w:p w:rsidR="00C3050D" w:rsidRPr="00343AC7" w:rsidRDefault="00C3050D" w:rsidP="00343AC7">
            <w:pPr>
              <w:keepNext/>
              <w:spacing w:after="0"/>
              <w:rPr>
                <w:rFonts w:ascii="Arial" w:hAnsi="Arial" w:cs="Arial"/>
                <w:sz w:val="18"/>
                <w:szCs w:val="18"/>
              </w:rPr>
            </w:pPr>
            <w:r w:rsidRPr="00343AC7">
              <w:rPr>
                <w:rFonts w:ascii="Arial" w:hAnsi="Arial" w:cs="Arial"/>
                <w:sz w:val="18"/>
                <w:szCs w:val="18"/>
              </w:rPr>
              <w:t>482</w:t>
            </w:r>
          </w:p>
        </w:tc>
        <w:tc>
          <w:tcPr>
            <w:tcW w:w="1787" w:type="dxa"/>
          </w:tcPr>
          <w:p w:rsidR="00C3050D" w:rsidRPr="00343AC7" w:rsidRDefault="00C3050D" w:rsidP="00343AC7">
            <w:pPr>
              <w:keepNext/>
              <w:spacing w:after="0"/>
              <w:rPr>
                <w:rFonts w:ascii="Arial" w:hAnsi="Arial" w:cs="Arial"/>
                <w:sz w:val="18"/>
                <w:szCs w:val="18"/>
              </w:rPr>
            </w:pPr>
            <w:r w:rsidRPr="00343AC7">
              <w:rPr>
                <w:rFonts w:ascii="Arial" w:hAnsi="Arial" w:cs="Arial"/>
                <w:sz w:val="18"/>
                <w:szCs w:val="18"/>
              </w:rPr>
              <w:t>BID</w:t>
            </w:r>
          </w:p>
        </w:tc>
      </w:tr>
      <w:tr w:rsidR="00C3050D" w:rsidRPr="00343AC7" w:rsidTr="00750A0D">
        <w:tc>
          <w:tcPr>
            <w:tcW w:w="450" w:type="dxa"/>
          </w:tcPr>
          <w:p w:rsidR="00C3050D" w:rsidRPr="00343AC7" w:rsidRDefault="00C3050D" w:rsidP="00343AC7">
            <w:pPr>
              <w:keepNext/>
              <w:spacing w:after="0"/>
              <w:rPr>
                <w:rFonts w:ascii="Arial" w:hAnsi="Arial" w:cs="Arial"/>
                <w:sz w:val="18"/>
                <w:szCs w:val="18"/>
              </w:rPr>
            </w:pPr>
            <w:r w:rsidRPr="00343AC7">
              <w:rPr>
                <w:rFonts w:ascii="Arial" w:hAnsi="Arial" w:cs="Arial"/>
                <w:sz w:val="18"/>
                <w:szCs w:val="18"/>
              </w:rPr>
              <w:t>(7)</w:t>
            </w:r>
          </w:p>
        </w:tc>
        <w:tc>
          <w:tcPr>
            <w:tcW w:w="5360" w:type="dxa"/>
          </w:tcPr>
          <w:p w:rsidR="00C3050D" w:rsidRPr="00343AC7" w:rsidRDefault="00C3050D" w:rsidP="00343AC7">
            <w:pPr>
              <w:keepNext/>
              <w:spacing w:after="0"/>
              <w:rPr>
                <w:rFonts w:ascii="Arial" w:hAnsi="Arial" w:cs="Arial"/>
                <w:sz w:val="18"/>
                <w:szCs w:val="18"/>
              </w:rPr>
            </w:pPr>
            <w:r w:rsidRPr="00343AC7">
              <w:rPr>
                <w:rFonts w:ascii="Arial" w:hAnsi="Arial" w:cs="Arial"/>
                <w:sz w:val="18"/>
                <w:szCs w:val="18"/>
              </w:rPr>
              <w:t>Flujos anuales incrementales en ingreso de usuarios por aumento personas ed. sup incom (2019)</w:t>
            </w:r>
          </w:p>
        </w:tc>
        <w:tc>
          <w:tcPr>
            <w:tcW w:w="1133" w:type="dxa"/>
          </w:tcPr>
          <w:p w:rsidR="00C3050D" w:rsidRPr="00343AC7" w:rsidRDefault="00C3050D" w:rsidP="00343AC7">
            <w:pPr>
              <w:keepNext/>
              <w:spacing w:after="0"/>
              <w:rPr>
                <w:rFonts w:ascii="Arial" w:hAnsi="Arial" w:cs="Arial"/>
                <w:sz w:val="18"/>
                <w:szCs w:val="18"/>
              </w:rPr>
            </w:pPr>
            <w:r w:rsidRPr="00343AC7">
              <w:rPr>
                <w:rFonts w:ascii="Arial" w:hAnsi="Arial" w:cs="Arial"/>
                <w:sz w:val="18"/>
                <w:szCs w:val="18"/>
              </w:rPr>
              <w:t>759.087</w:t>
            </w:r>
          </w:p>
        </w:tc>
        <w:tc>
          <w:tcPr>
            <w:tcW w:w="1787" w:type="dxa"/>
          </w:tcPr>
          <w:p w:rsidR="00C3050D" w:rsidRPr="00343AC7" w:rsidRDefault="00C3050D" w:rsidP="00343AC7">
            <w:pPr>
              <w:keepNext/>
              <w:spacing w:after="0"/>
              <w:rPr>
                <w:rFonts w:ascii="Arial" w:hAnsi="Arial" w:cs="Arial"/>
                <w:sz w:val="18"/>
                <w:szCs w:val="18"/>
              </w:rPr>
            </w:pPr>
            <w:r w:rsidRPr="00343AC7">
              <w:rPr>
                <w:rFonts w:ascii="Arial" w:hAnsi="Arial" w:cs="Arial"/>
                <w:sz w:val="18"/>
                <w:szCs w:val="18"/>
              </w:rPr>
              <w:t>(3)*(6)</w:t>
            </w:r>
          </w:p>
        </w:tc>
      </w:tr>
      <w:tr w:rsidR="00C3050D" w:rsidRPr="00343AC7" w:rsidTr="00750A0D">
        <w:tc>
          <w:tcPr>
            <w:tcW w:w="450" w:type="dxa"/>
          </w:tcPr>
          <w:p w:rsidR="00C3050D" w:rsidRPr="00343AC7" w:rsidRDefault="00C3050D" w:rsidP="00343AC7">
            <w:pPr>
              <w:keepNext/>
              <w:spacing w:after="0"/>
              <w:rPr>
                <w:rFonts w:ascii="Arial" w:hAnsi="Arial" w:cs="Arial"/>
                <w:sz w:val="18"/>
                <w:szCs w:val="18"/>
              </w:rPr>
            </w:pPr>
            <w:r w:rsidRPr="00343AC7">
              <w:rPr>
                <w:rFonts w:ascii="Arial" w:hAnsi="Arial" w:cs="Arial"/>
                <w:sz w:val="18"/>
                <w:szCs w:val="18"/>
              </w:rPr>
              <w:t>(8)</w:t>
            </w:r>
          </w:p>
        </w:tc>
        <w:tc>
          <w:tcPr>
            <w:tcW w:w="5360" w:type="dxa"/>
          </w:tcPr>
          <w:p w:rsidR="00C3050D" w:rsidRPr="00343AC7" w:rsidRDefault="00C3050D" w:rsidP="00343AC7">
            <w:pPr>
              <w:keepNext/>
              <w:spacing w:after="0"/>
              <w:rPr>
                <w:rFonts w:ascii="Arial" w:hAnsi="Arial" w:cs="Arial"/>
                <w:sz w:val="18"/>
                <w:szCs w:val="18"/>
              </w:rPr>
            </w:pPr>
            <w:r w:rsidRPr="00343AC7">
              <w:rPr>
                <w:rFonts w:ascii="Arial" w:hAnsi="Arial" w:cs="Arial"/>
                <w:sz w:val="18"/>
                <w:szCs w:val="18"/>
              </w:rPr>
              <w:t>Num. estudiantes terminan educación terciaria (2019)</w:t>
            </w:r>
          </w:p>
        </w:tc>
        <w:tc>
          <w:tcPr>
            <w:tcW w:w="1133" w:type="dxa"/>
          </w:tcPr>
          <w:p w:rsidR="00C3050D" w:rsidRPr="00343AC7" w:rsidRDefault="00C3050D" w:rsidP="00343AC7">
            <w:pPr>
              <w:keepNext/>
              <w:spacing w:after="0"/>
              <w:rPr>
                <w:rFonts w:ascii="Arial" w:hAnsi="Arial" w:cs="Arial"/>
                <w:sz w:val="18"/>
                <w:szCs w:val="18"/>
              </w:rPr>
            </w:pPr>
            <w:r w:rsidRPr="00343AC7">
              <w:rPr>
                <w:rFonts w:ascii="Arial" w:hAnsi="Arial" w:cs="Arial"/>
                <w:sz w:val="18"/>
                <w:szCs w:val="18"/>
              </w:rPr>
              <w:t>260</w:t>
            </w:r>
          </w:p>
        </w:tc>
        <w:tc>
          <w:tcPr>
            <w:tcW w:w="1787" w:type="dxa"/>
          </w:tcPr>
          <w:p w:rsidR="00C3050D" w:rsidRPr="00343AC7" w:rsidRDefault="00C3050D" w:rsidP="00343AC7">
            <w:pPr>
              <w:keepNext/>
              <w:spacing w:after="0"/>
              <w:rPr>
                <w:rFonts w:ascii="Arial" w:hAnsi="Arial" w:cs="Arial"/>
                <w:sz w:val="18"/>
                <w:szCs w:val="18"/>
              </w:rPr>
            </w:pPr>
            <w:r w:rsidRPr="00343AC7">
              <w:rPr>
                <w:rFonts w:ascii="Arial" w:hAnsi="Arial" w:cs="Arial"/>
                <w:sz w:val="18"/>
                <w:szCs w:val="18"/>
              </w:rPr>
              <w:t>BID</w:t>
            </w:r>
          </w:p>
        </w:tc>
      </w:tr>
      <w:tr w:rsidR="00C3050D" w:rsidRPr="00343AC7" w:rsidTr="00750A0D">
        <w:tc>
          <w:tcPr>
            <w:tcW w:w="450" w:type="dxa"/>
          </w:tcPr>
          <w:p w:rsidR="00C3050D" w:rsidRPr="00343AC7" w:rsidRDefault="00C3050D" w:rsidP="00C3050D">
            <w:pPr>
              <w:spacing w:after="0"/>
              <w:rPr>
                <w:rFonts w:ascii="Arial" w:hAnsi="Arial" w:cs="Arial"/>
                <w:sz w:val="18"/>
                <w:szCs w:val="18"/>
              </w:rPr>
            </w:pPr>
            <w:r w:rsidRPr="00343AC7">
              <w:rPr>
                <w:rFonts w:ascii="Arial" w:hAnsi="Arial" w:cs="Arial"/>
                <w:sz w:val="18"/>
                <w:szCs w:val="18"/>
              </w:rPr>
              <w:t>(9)</w:t>
            </w:r>
          </w:p>
        </w:tc>
        <w:tc>
          <w:tcPr>
            <w:tcW w:w="5360" w:type="dxa"/>
          </w:tcPr>
          <w:p w:rsidR="00C3050D" w:rsidRPr="00343AC7" w:rsidRDefault="00C3050D" w:rsidP="00C3050D">
            <w:pPr>
              <w:spacing w:after="0"/>
              <w:rPr>
                <w:rFonts w:ascii="Arial" w:hAnsi="Arial" w:cs="Arial"/>
                <w:sz w:val="18"/>
                <w:szCs w:val="18"/>
              </w:rPr>
            </w:pPr>
            <w:r w:rsidRPr="00343AC7">
              <w:rPr>
                <w:rFonts w:ascii="Arial" w:hAnsi="Arial" w:cs="Arial"/>
                <w:sz w:val="18"/>
                <w:szCs w:val="18"/>
              </w:rPr>
              <w:t>Flujos anuales incrementales en ingreso de usuarios por aumento personas ed. sup completa (2019)</w:t>
            </w:r>
          </w:p>
        </w:tc>
        <w:tc>
          <w:tcPr>
            <w:tcW w:w="1133" w:type="dxa"/>
          </w:tcPr>
          <w:p w:rsidR="00C3050D" w:rsidRPr="00343AC7" w:rsidRDefault="00603BD3" w:rsidP="00603BD3">
            <w:pPr>
              <w:spacing w:after="0"/>
              <w:rPr>
                <w:rFonts w:ascii="Arial" w:hAnsi="Arial" w:cs="Arial"/>
                <w:sz w:val="18"/>
                <w:szCs w:val="18"/>
              </w:rPr>
            </w:pPr>
            <w:r w:rsidRPr="00343AC7">
              <w:rPr>
                <w:rFonts w:ascii="Arial" w:hAnsi="Arial" w:cs="Arial"/>
                <w:sz w:val="18"/>
                <w:szCs w:val="18"/>
              </w:rPr>
              <w:t>2.203.760</w:t>
            </w:r>
          </w:p>
        </w:tc>
        <w:tc>
          <w:tcPr>
            <w:tcW w:w="1787" w:type="dxa"/>
          </w:tcPr>
          <w:p w:rsidR="00C3050D" w:rsidRPr="00343AC7" w:rsidRDefault="00C3050D" w:rsidP="00C3050D">
            <w:pPr>
              <w:spacing w:after="0"/>
              <w:rPr>
                <w:rFonts w:ascii="Arial" w:hAnsi="Arial" w:cs="Arial"/>
                <w:sz w:val="18"/>
                <w:szCs w:val="18"/>
              </w:rPr>
            </w:pPr>
            <w:r w:rsidRPr="00343AC7">
              <w:rPr>
                <w:rFonts w:ascii="Arial" w:hAnsi="Arial" w:cs="Arial"/>
                <w:sz w:val="18"/>
                <w:szCs w:val="18"/>
              </w:rPr>
              <w:t>(4)*(8)</w:t>
            </w:r>
          </w:p>
        </w:tc>
      </w:tr>
    </w:tbl>
    <w:p w:rsidR="003A6AB4" w:rsidRPr="00343AC7" w:rsidRDefault="003A6AB4" w:rsidP="003A542A">
      <w:pPr>
        <w:rPr>
          <w:rFonts w:ascii="Arial" w:hAnsi="Arial" w:cs="Arial"/>
          <w:sz w:val="18"/>
          <w:szCs w:val="18"/>
        </w:rPr>
      </w:pPr>
    </w:p>
    <w:p w:rsidR="00192938" w:rsidRPr="00343AC7" w:rsidRDefault="00192938" w:rsidP="00192938">
      <w:pPr>
        <w:pStyle w:val="Caption"/>
        <w:keepNext/>
        <w:rPr>
          <w:rFonts w:ascii="Arial" w:hAnsi="Arial" w:cs="Arial"/>
          <w:sz w:val="18"/>
          <w:szCs w:val="18"/>
        </w:rPr>
      </w:pPr>
      <w:r w:rsidRPr="00343AC7">
        <w:rPr>
          <w:rFonts w:ascii="Arial" w:hAnsi="Arial" w:cs="Arial"/>
          <w:sz w:val="18"/>
          <w:szCs w:val="18"/>
        </w:rPr>
        <w:t xml:space="preserve">Tabla </w:t>
      </w:r>
      <w:r w:rsidRPr="00343AC7">
        <w:rPr>
          <w:rFonts w:ascii="Arial" w:hAnsi="Arial" w:cs="Arial"/>
          <w:sz w:val="18"/>
          <w:szCs w:val="18"/>
        </w:rPr>
        <w:fldChar w:fldCharType="begin"/>
      </w:r>
      <w:r w:rsidRPr="00343AC7">
        <w:rPr>
          <w:rFonts w:ascii="Arial" w:hAnsi="Arial" w:cs="Arial"/>
          <w:sz w:val="18"/>
          <w:szCs w:val="18"/>
        </w:rPr>
        <w:instrText xml:space="preserve"> SEQ Tabla \* ARABIC </w:instrText>
      </w:r>
      <w:r w:rsidRPr="00343AC7">
        <w:rPr>
          <w:rFonts w:ascii="Arial" w:hAnsi="Arial" w:cs="Arial"/>
          <w:sz w:val="18"/>
          <w:szCs w:val="18"/>
        </w:rPr>
        <w:fldChar w:fldCharType="separate"/>
      </w:r>
      <w:r w:rsidR="00211EE7" w:rsidRPr="00343AC7">
        <w:rPr>
          <w:rFonts w:ascii="Arial" w:hAnsi="Arial" w:cs="Arial"/>
          <w:noProof/>
          <w:sz w:val="18"/>
          <w:szCs w:val="18"/>
        </w:rPr>
        <w:t>6</w:t>
      </w:r>
      <w:r w:rsidRPr="00343AC7">
        <w:rPr>
          <w:rFonts w:ascii="Arial" w:hAnsi="Arial" w:cs="Arial"/>
          <w:sz w:val="18"/>
          <w:szCs w:val="18"/>
        </w:rPr>
        <w:fldChar w:fldCharType="end"/>
      </w:r>
      <w:r w:rsidRPr="00343AC7">
        <w:rPr>
          <w:rFonts w:ascii="Arial" w:hAnsi="Arial" w:cs="Arial"/>
          <w:sz w:val="18"/>
          <w:szCs w:val="18"/>
        </w:rPr>
        <w:t xml:space="preserve">: Escenario Cálculo de beneficios del Programa sobre la base de los ingresos incrementales de un aumento de </w:t>
      </w:r>
      <w:r w:rsidR="00C3050D" w:rsidRPr="00343AC7">
        <w:rPr>
          <w:rFonts w:ascii="Arial" w:hAnsi="Arial" w:cs="Arial"/>
          <w:sz w:val="18"/>
          <w:szCs w:val="18"/>
        </w:rPr>
        <w:t>10</w:t>
      </w:r>
      <w:r w:rsidRPr="00343AC7">
        <w:rPr>
          <w:rFonts w:ascii="Arial" w:hAnsi="Arial" w:cs="Arial"/>
          <w:sz w:val="18"/>
          <w:szCs w:val="18"/>
        </w:rPr>
        <w:t>% en la cantidad de egresados de la educación secundaria que ingresa a la educación terciaria, 1° año de operación en régimen (2019) en USD 2016</w:t>
      </w:r>
    </w:p>
    <w:tbl>
      <w:tblPr>
        <w:tblStyle w:val="TableGrid"/>
        <w:tblW w:w="8730" w:type="dxa"/>
        <w:tblLook w:val="04A0" w:firstRow="1" w:lastRow="0" w:firstColumn="1" w:lastColumn="0" w:noHBand="0" w:noVBand="1"/>
      </w:tblPr>
      <w:tblGrid>
        <w:gridCol w:w="450"/>
        <w:gridCol w:w="5360"/>
        <w:gridCol w:w="1133"/>
        <w:gridCol w:w="1787"/>
      </w:tblGrid>
      <w:tr w:rsidR="00192938" w:rsidRPr="00343AC7" w:rsidTr="00750A0D">
        <w:tc>
          <w:tcPr>
            <w:tcW w:w="450" w:type="dxa"/>
          </w:tcPr>
          <w:p w:rsidR="00192938" w:rsidRPr="00343AC7" w:rsidRDefault="00192938" w:rsidP="00192938">
            <w:pPr>
              <w:spacing w:after="0"/>
              <w:rPr>
                <w:rFonts w:ascii="Arial" w:hAnsi="Arial" w:cs="Arial"/>
                <w:sz w:val="18"/>
                <w:szCs w:val="18"/>
              </w:rPr>
            </w:pPr>
          </w:p>
        </w:tc>
        <w:tc>
          <w:tcPr>
            <w:tcW w:w="5360" w:type="dxa"/>
          </w:tcPr>
          <w:p w:rsidR="00192938" w:rsidRPr="00343AC7" w:rsidRDefault="00192938" w:rsidP="00192938">
            <w:pPr>
              <w:spacing w:after="0"/>
              <w:rPr>
                <w:rFonts w:ascii="Arial" w:hAnsi="Arial" w:cs="Arial"/>
                <w:sz w:val="18"/>
                <w:szCs w:val="18"/>
              </w:rPr>
            </w:pPr>
            <w:r w:rsidRPr="00343AC7">
              <w:rPr>
                <w:rFonts w:ascii="Arial" w:hAnsi="Arial" w:cs="Arial"/>
                <w:sz w:val="18"/>
                <w:szCs w:val="18"/>
              </w:rPr>
              <w:t>Estimación</w:t>
            </w:r>
          </w:p>
        </w:tc>
        <w:tc>
          <w:tcPr>
            <w:tcW w:w="1133" w:type="dxa"/>
          </w:tcPr>
          <w:p w:rsidR="00192938" w:rsidRPr="00343AC7" w:rsidRDefault="00192938" w:rsidP="00192938">
            <w:pPr>
              <w:spacing w:after="0"/>
              <w:rPr>
                <w:rFonts w:ascii="Arial" w:hAnsi="Arial" w:cs="Arial"/>
                <w:sz w:val="18"/>
                <w:szCs w:val="18"/>
              </w:rPr>
            </w:pPr>
            <w:r w:rsidRPr="00343AC7">
              <w:rPr>
                <w:rFonts w:ascii="Arial" w:hAnsi="Arial" w:cs="Arial"/>
                <w:sz w:val="18"/>
                <w:szCs w:val="18"/>
              </w:rPr>
              <w:t>Valor estimado</w:t>
            </w:r>
          </w:p>
        </w:tc>
        <w:tc>
          <w:tcPr>
            <w:tcW w:w="1787" w:type="dxa"/>
          </w:tcPr>
          <w:p w:rsidR="00192938" w:rsidRPr="00343AC7" w:rsidRDefault="00192938" w:rsidP="00192938">
            <w:pPr>
              <w:spacing w:after="0"/>
              <w:rPr>
                <w:rFonts w:ascii="Arial" w:hAnsi="Arial" w:cs="Arial"/>
                <w:sz w:val="18"/>
                <w:szCs w:val="18"/>
              </w:rPr>
            </w:pPr>
            <w:r w:rsidRPr="00343AC7">
              <w:rPr>
                <w:rFonts w:ascii="Arial" w:hAnsi="Arial" w:cs="Arial"/>
                <w:sz w:val="18"/>
                <w:szCs w:val="18"/>
              </w:rPr>
              <w:t>Fuente</w:t>
            </w:r>
          </w:p>
        </w:tc>
      </w:tr>
      <w:tr w:rsidR="00192938" w:rsidRPr="00343AC7" w:rsidTr="00750A0D">
        <w:tc>
          <w:tcPr>
            <w:tcW w:w="450" w:type="dxa"/>
          </w:tcPr>
          <w:p w:rsidR="00192938" w:rsidRPr="00343AC7" w:rsidRDefault="00192938" w:rsidP="00192938">
            <w:pPr>
              <w:spacing w:after="0"/>
              <w:rPr>
                <w:rFonts w:ascii="Arial" w:hAnsi="Arial" w:cs="Arial"/>
                <w:sz w:val="18"/>
                <w:szCs w:val="18"/>
              </w:rPr>
            </w:pPr>
            <w:r w:rsidRPr="00343AC7">
              <w:rPr>
                <w:rFonts w:ascii="Arial" w:hAnsi="Arial" w:cs="Arial"/>
                <w:sz w:val="18"/>
                <w:szCs w:val="18"/>
              </w:rPr>
              <w:t>(1)</w:t>
            </w:r>
          </w:p>
        </w:tc>
        <w:tc>
          <w:tcPr>
            <w:tcW w:w="5360" w:type="dxa"/>
          </w:tcPr>
          <w:p w:rsidR="00192938" w:rsidRPr="00343AC7" w:rsidRDefault="00192938" w:rsidP="00192938">
            <w:pPr>
              <w:spacing w:after="0"/>
              <w:rPr>
                <w:rFonts w:ascii="Arial" w:hAnsi="Arial" w:cs="Arial"/>
                <w:sz w:val="18"/>
                <w:szCs w:val="18"/>
              </w:rPr>
            </w:pPr>
            <w:r w:rsidRPr="00343AC7">
              <w:rPr>
                <w:rFonts w:ascii="Arial" w:hAnsi="Arial" w:cs="Arial"/>
                <w:sz w:val="18"/>
                <w:szCs w:val="18"/>
              </w:rPr>
              <w:t>Diferencial hora de trabajo Ed. Superior Incompleta (USD)</w:t>
            </w:r>
          </w:p>
        </w:tc>
        <w:tc>
          <w:tcPr>
            <w:tcW w:w="1133" w:type="dxa"/>
          </w:tcPr>
          <w:p w:rsidR="00192938" w:rsidRPr="00343AC7" w:rsidRDefault="00192938" w:rsidP="00192938">
            <w:pPr>
              <w:spacing w:after="0"/>
              <w:rPr>
                <w:rFonts w:ascii="Arial" w:hAnsi="Arial" w:cs="Arial"/>
                <w:sz w:val="18"/>
                <w:szCs w:val="18"/>
              </w:rPr>
            </w:pPr>
            <w:r w:rsidRPr="00343AC7">
              <w:rPr>
                <w:rFonts w:ascii="Arial" w:hAnsi="Arial" w:cs="Arial"/>
                <w:sz w:val="18"/>
                <w:szCs w:val="18"/>
              </w:rPr>
              <w:t>0,69</w:t>
            </w:r>
          </w:p>
        </w:tc>
        <w:tc>
          <w:tcPr>
            <w:tcW w:w="1787" w:type="dxa"/>
          </w:tcPr>
          <w:p w:rsidR="00192938" w:rsidRPr="00343AC7" w:rsidRDefault="00192938" w:rsidP="00192938">
            <w:pPr>
              <w:spacing w:after="0"/>
              <w:rPr>
                <w:rFonts w:ascii="Arial" w:hAnsi="Arial" w:cs="Arial"/>
                <w:sz w:val="18"/>
                <w:szCs w:val="18"/>
              </w:rPr>
            </w:pPr>
            <w:r w:rsidRPr="00343AC7">
              <w:rPr>
                <w:rFonts w:ascii="Arial" w:hAnsi="Arial" w:cs="Arial"/>
                <w:sz w:val="18"/>
                <w:szCs w:val="18"/>
              </w:rPr>
              <w:t>CASEN 2013</w:t>
            </w:r>
          </w:p>
        </w:tc>
      </w:tr>
      <w:tr w:rsidR="00192938" w:rsidRPr="00343AC7" w:rsidTr="00750A0D">
        <w:tc>
          <w:tcPr>
            <w:tcW w:w="450" w:type="dxa"/>
          </w:tcPr>
          <w:p w:rsidR="00192938" w:rsidRPr="00343AC7" w:rsidRDefault="00192938" w:rsidP="00192938">
            <w:pPr>
              <w:spacing w:after="0"/>
              <w:rPr>
                <w:rFonts w:ascii="Arial" w:hAnsi="Arial" w:cs="Arial"/>
                <w:sz w:val="18"/>
                <w:szCs w:val="18"/>
              </w:rPr>
            </w:pPr>
            <w:r w:rsidRPr="00343AC7">
              <w:rPr>
                <w:rFonts w:ascii="Arial" w:hAnsi="Arial" w:cs="Arial"/>
                <w:sz w:val="18"/>
                <w:szCs w:val="18"/>
              </w:rPr>
              <w:t>(2)</w:t>
            </w:r>
          </w:p>
        </w:tc>
        <w:tc>
          <w:tcPr>
            <w:tcW w:w="5360" w:type="dxa"/>
          </w:tcPr>
          <w:p w:rsidR="00192938" w:rsidRPr="00343AC7" w:rsidRDefault="00192938" w:rsidP="00192938">
            <w:pPr>
              <w:spacing w:after="0"/>
              <w:rPr>
                <w:rFonts w:ascii="Arial" w:hAnsi="Arial" w:cs="Arial"/>
                <w:sz w:val="18"/>
                <w:szCs w:val="18"/>
              </w:rPr>
            </w:pPr>
            <w:r w:rsidRPr="00343AC7">
              <w:rPr>
                <w:rFonts w:ascii="Arial" w:hAnsi="Arial" w:cs="Arial"/>
                <w:sz w:val="18"/>
                <w:szCs w:val="18"/>
              </w:rPr>
              <w:t>Diferencial hora de trabajo Ed. Superior Completa en (USD)</w:t>
            </w:r>
          </w:p>
        </w:tc>
        <w:tc>
          <w:tcPr>
            <w:tcW w:w="1133" w:type="dxa"/>
          </w:tcPr>
          <w:p w:rsidR="00192938" w:rsidRPr="00343AC7" w:rsidRDefault="00192938" w:rsidP="00192938">
            <w:pPr>
              <w:spacing w:after="0"/>
              <w:rPr>
                <w:rFonts w:ascii="Arial" w:hAnsi="Arial" w:cs="Arial"/>
                <w:sz w:val="18"/>
                <w:szCs w:val="18"/>
              </w:rPr>
            </w:pPr>
            <w:r w:rsidRPr="00343AC7">
              <w:rPr>
                <w:rFonts w:ascii="Arial" w:hAnsi="Arial" w:cs="Arial"/>
                <w:sz w:val="18"/>
                <w:szCs w:val="18"/>
              </w:rPr>
              <w:t>3,73</w:t>
            </w:r>
          </w:p>
        </w:tc>
        <w:tc>
          <w:tcPr>
            <w:tcW w:w="1787" w:type="dxa"/>
          </w:tcPr>
          <w:p w:rsidR="00192938" w:rsidRPr="00343AC7" w:rsidRDefault="00192938" w:rsidP="00192938">
            <w:pPr>
              <w:spacing w:after="0"/>
              <w:rPr>
                <w:rFonts w:ascii="Arial" w:hAnsi="Arial" w:cs="Arial"/>
                <w:sz w:val="18"/>
                <w:szCs w:val="18"/>
              </w:rPr>
            </w:pPr>
            <w:r w:rsidRPr="00343AC7">
              <w:rPr>
                <w:rFonts w:ascii="Arial" w:hAnsi="Arial" w:cs="Arial"/>
                <w:sz w:val="18"/>
                <w:szCs w:val="18"/>
              </w:rPr>
              <w:t>CASEN 2013</w:t>
            </w:r>
          </w:p>
        </w:tc>
      </w:tr>
      <w:tr w:rsidR="00192938" w:rsidRPr="00343AC7" w:rsidTr="00750A0D">
        <w:tc>
          <w:tcPr>
            <w:tcW w:w="450" w:type="dxa"/>
          </w:tcPr>
          <w:p w:rsidR="00192938" w:rsidRPr="00343AC7" w:rsidRDefault="00192938" w:rsidP="00192938">
            <w:pPr>
              <w:spacing w:after="0"/>
              <w:rPr>
                <w:rFonts w:ascii="Arial" w:hAnsi="Arial" w:cs="Arial"/>
                <w:sz w:val="18"/>
                <w:szCs w:val="18"/>
              </w:rPr>
            </w:pPr>
            <w:r w:rsidRPr="00343AC7">
              <w:rPr>
                <w:rFonts w:ascii="Arial" w:hAnsi="Arial" w:cs="Arial"/>
                <w:sz w:val="18"/>
                <w:szCs w:val="18"/>
              </w:rPr>
              <w:t>(3)</w:t>
            </w:r>
          </w:p>
        </w:tc>
        <w:tc>
          <w:tcPr>
            <w:tcW w:w="5360" w:type="dxa"/>
          </w:tcPr>
          <w:p w:rsidR="00192938" w:rsidRPr="00343AC7" w:rsidRDefault="00192938" w:rsidP="00192938">
            <w:pPr>
              <w:spacing w:after="0"/>
              <w:rPr>
                <w:rFonts w:ascii="Arial" w:hAnsi="Arial" w:cs="Arial"/>
                <w:sz w:val="18"/>
                <w:szCs w:val="18"/>
              </w:rPr>
            </w:pPr>
            <w:r w:rsidRPr="00343AC7">
              <w:rPr>
                <w:rFonts w:ascii="Arial" w:hAnsi="Arial" w:cs="Arial"/>
                <w:sz w:val="18"/>
                <w:szCs w:val="18"/>
              </w:rPr>
              <w:t>Diferencia Salarial Anual Ed. Superior Incompleta (USD)</w:t>
            </w:r>
          </w:p>
        </w:tc>
        <w:tc>
          <w:tcPr>
            <w:tcW w:w="1133" w:type="dxa"/>
          </w:tcPr>
          <w:p w:rsidR="00192938" w:rsidRPr="00343AC7" w:rsidRDefault="00192938" w:rsidP="00192938">
            <w:pPr>
              <w:spacing w:after="0"/>
              <w:rPr>
                <w:rFonts w:ascii="Arial" w:hAnsi="Arial" w:cs="Arial"/>
                <w:sz w:val="18"/>
                <w:szCs w:val="18"/>
              </w:rPr>
            </w:pPr>
            <w:r w:rsidRPr="00343AC7">
              <w:rPr>
                <w:rFonts w:ascii="Arial" w:hAnsi="Arial" w:cs="Arial"/>
                <w:sz w:val="18"/>
                <w:szCs w:val="18"/>
              </w:rPr>
              <w:t>1.575</w:t>
            </w:r>
          </w:p>
        </w:tc>
        <w:tc>
          <w:tcPr>
            <w:tcW w:w="1787" w:type="dxa"/>
          </w:tcPr>
          <w:p w:rsidR="00192938" w:rsidRPr="00343AC7" w:rsidRDefault="00192938" w:rsidP="00192938">
            <w:pPr>
              <w:spacing w:after="0"/>
              <w:rPr>
                <w:rFonts w:ascii="Arial" w:hAnsi="Arial" w:cs="Arial"/>
                <w:sz w:val="18"/>
                <w:szCs w:val="18"/>
              </w:rPr>
            </w:pPr>
            <w:r w:rsidRPr="00343AC7">
              <w:rPr>
                <w:rFonts w:ascii="Arial" w:hAnsi="Arial" w:cs="Arial"/>
                <w:sz w:val="18"/>
                <w:szCs w:val="18"/>
              </w:rPr>
              <w:t>(1)*44*4,3*12</w:t>
            </w:r>
          </w:p>
        </w:tc>
      </w:tr>
      <w:tr w:rsidR="00192938" w:rsidRPr="00343AC7" w:rsidTr="00750A0D">
        <w:tc>
          <w:tcPr>
            <w:tcW w:w="450" w:type="dxa"/>
          </w:tcPr>
          <w:p w:rsidR="00192938" w:rsidRPr="00343AC7" w:rsidRDefault="00192938" w:rsidP="00192938">
            <w:pPr>
              <w:spacing w:after="0"/>
              <w:rPr>
                <w:rFonts w:ascii="Arial" w:hAnsi="Arial" w:cs="Arial"/>
                <w:sz w:val="18"/>
                <w:szCs w:val="18"/>
              </w:rPr>
            </w:pPr>
            <w:r w:rsidRPr="00343AC7">
              <w:rPr>
                <w:rFonts w:ascii="Arial" w:hAnsi="Arial" w:cs="Arial"/>
                <w:sz w:val="18"/>
                <w:szCs w:val="18"/>
              </w:rPr>
              <w:t>(4)</w:t>
            </w:r>
          </w:p>
        </w:tc>
        <w:tc>
          <w:tcPr>
            <w:tcW w:w="5360" w:type="dxa"/>
          </w:tcPr>
          <w:p w:rsidR="00192938" w:rsidRPr="00343AC7" w:rsidRDefault="00192938" w:rsidP="00192938">
            <w:pPr>
              <w:spacing w:after="0"/>
              <w:rPr>
                <w:rFonts w:ascii="Arial" w:hAnsi="Arial" w:cs="Arial"/>
                <w:sz w:val="18"/>
                <w:szCs w:val="18"/>
              </w:rPr>
            </w:pPr>
            <w:r w:rsidRPr="00343AC7">
              <w:rPr>
                <w:rFonts w:ascii="Arial" w:hAnsi="Arial" w:cs="Arial"/>
                <w:sz w:val="18"/>
                <w:szCs w:val="18"/>
              </w:rPr>
              <w:t>Diferencia Salarial Anual Ed. Superior Completa (USD)</w:t>
            </w:r>
          </w:p>
        </w:tc>
        <w:tc>
          <w:tcPr>
            <w:tcW w:w="1133" w:type="dxa"/>
          </w:tcPr>
          <w:p w:rsidR="00192938" w:rsidRPr="00343AC7" w:rsidRDefault="00192938" w:rsidP="00192938">
            <w:pPr>
              <w:spacing w:after="0"/>
              <w:rPr>
                <w:rFonts w:ascii="Arial" w:hAnsi="Arial" w:cs="Arial"/>
                <w:sz w:val="18"/>
                <w:szCs w:val="18"/>
              </w:rPr>
            </w:pPr>
            <w:r w:rsidRPr="00343AC7">
              <w:rPr>
                <w:rFonts w:ascii="Arial" w:hAnsi="Arial" w:cs="Arial"/>
                <w:sz w:val="18"/>
                <w:szCs w:val="18"/>
              </w:rPr>
              <w:t>8.476</w:t>
            </w:r>
          </w:p>
        </w:tc>
        <w:tc>
          <w:tcPr>
            <w:tcW w:w="1787" w:type="dxa"/>
          </w:tcPr>
          <w:p w:rsidR="00192938" w:rsidRPr="00343AC7" w:rsidRDefault="00192938" w:rsidP="00192938">
            <w:pPr>
              <w:spacing w:after="0"/>
              <w:rPr>
                <w:rFonts w:ascii="Arial" w:hAnsi="Arial" w:cs="Arial"/>
                <w:sz w:val="18"/>
                <w:szCs w:val="18"/>
              </w:rPr>
            </w:pPr>
            <w:r w:rsidRPr="00343AC7">
              <w:rPr>
                <w:rFonts w:ascii="Arial" w:hAnsi="Arial" w:cs="Arial"/>
                <w:sz w:val="18"/>
                <w:szCs w:val="18"/>
              </w:rPr>
              <w:t>(2)*44*4,3*12</w:t>
            </w:r>
          </w:p>
        </w:tc>
      </w:tr>
      <w:tr w:rsidR="00C3050D" w:rsidRPr="00343AC7" w:rsidTr="00750A0D">
        <w:tc>
          <w:tcPr>
            <w:tcW w:w="450" w:type="dxa"/>
          </w:tcPr>
          <w:p w:rsidR="00C3050D" w:rsidRPr="00343AC7" w:rsidRDefault="00C3050D" w:rsidP="00C3050D">
            <w:pPr>
              <w:spacing w:after="0"/>
              <w:rPr>
                <w:rFonts w:ascii="Arial" w:hAnsi="Arial" w:cs="Arial"/>
                <w:sz w:val="18"/>
                <w:szCs w:val="18"/>
              </w:rPr>
            </w:pPr>
            <w:r w:rsidRPr="00343AC7">
              <w:rPr>
                <w:rFonts w:ascii="Arial" w:hAnsi="Arial" w:cs="Arial"/>
                <w:sz w:val="18"/>
                <w:szCs w:val="18"/>
              </w:rPr>
              <w:t>(5)</w:t>
            </w:r>
          </w:p>
        </w:tc>
        <w:tc>
          <w:tcPr>
            <w:tcW w:w="5360" w:type="dxa"/>
          </w:tcPr>
          <w:p w:rsidR="00C3050D" w:rsidRPr="00343AC7" w:rsidRDefault="00C3050D" w:rsidP="00C3050D">
            <w:pPr>
              <w:spacing w:after="0"/>
              <w:rPr>
                <w:rFonts w:ascii="Arial" w:hAnsi="Arial" w:cs="Arial"/>
                <w:sz w:val="18"/>
                <w:szCs w:val="18"/>
              </w:rPr>
            </w:pPr>
            <w:r w:rsidRPr="00343AC7">
              <w:rPr>
                <w:rFonts w:ascii="Arial" w:hAnsi="Arial" w:cs="Arial"/>
                <w:sz w:val="18"/>
                <w:szCs w:val="18"/>
              </w:rPr>
              <w:t>Num. estudiantes adicionales ingresados a la ed sup. (2019)</w:t>
            </w:r>
          </w:p>
        </w:tc>
        <w:tc>
          <w:tcPr>
            <w:tcW w:w="1133" w:type="dxa"/>
          </w:tcPr>
          <w:p w:rsidR="00C3050D" w:rsidRPr="00343AC7" w:rsidRDefault="00C3050D" w:rsidP="00C3050D">
            <w:pPr>
              <w:spacing w:after="0"/>
              <w:rPr>
                <w:rFonts w:ascii="Arial" w:hAnsi="Arial" w:cs="Arial"/>
                <w:sz w:val="18"/>
                <w:szCs w:val="18"/>
              </w:rPr>
            </w:pPr>
            <w:r w:rsidRPr="00343AC7">
              <w:rPr>
                <w:rFonts w:ascii="Arial" w:hAnsi="Arial" w:cs="Arial"/>
                <w:sz w:val="18"/>
                <w:szCs w:val="18"/>
              </w:rPr>
              <w:t>1.483</w:t>
            </w:r>
          </w:p>
        </w:tc>
        <w:tc>
          <w:tcPr>
            <w:tcW w:w="1787" w:type="dxa"/>
          </w:tcPr>
          <w:p w:rsidR="00C3050D" w:rsidRPr="00343AC7" w:rsidRDefault="00C3050D" w:rsidP="00C3050D">
            <w:pPr>
              <w:spacing w:after="0"/>
              <w:rPr>
                <w:rFonts w:ascii="Arial" w:hAnsi="Arial" w:cs="Arial"/>
                <w:sz w:val="18"/>
                <w:szCs w:val="18"/>
              </w:rPr>
            </w:pPr>
            <w:r w:rsidRPr="00343AC7">
              <w:rPr>
                <w:rFonts w:ascii="Arial" w:hAnsi="Arial" w:cs="Arial"/>
                <w:sz w:val="18"/>
                <w:szCs w:val="18"/>
              </w:rPr>
              <w:t>BID</w:t>
            </w:r>
          </w:p>
        </w:tc>
      </w:tr>
      <w:tr w:rsidR="00C3050D" w:rsidRPr="00343AC7" w:rsidTr="00750A0D">
        <w:tc>
          <w:tcPr>
            <w:tcW w:w="450" w:type="dxa"/>
          </w:tcPr>
          <w:p w:rsidR="00C3050D" w:rsidRPr="00343AC7" w:rsidRDefault="00C3050D" w:rsidP="00C3050D">
            <w:pPr>
              <w:spacing w:after="0"/>
              <w:rPr>
                <w:rFonts w:ascii="Arial" w:hAnsi="Arial" w:cs="Arial"/>
                <w:sz w:val="18"/>
                <w:szCs w:val="18"/>
              </w:rPr>
            </w:pPr>
            <w:r w:rsidRPr="00343AC7">
              <w:rPr>
                <w:rFonts w:ascii="Arial" w:hAnsi="Arial" w:cs="Arial"/>
                <w:sz w:val="18"/>
                <w:szCs w:val="18"/>
              </w:rPr>
              <w:t>(6)</w:t>
            </w:r>
          </w:p>
        </w:tc>
        <w:tc>
          <w:tcPr>
            <w:tcW w:w="5360" w:type="dxa"/>
          </w:tcPr>
          <w:p w:rsidR="00C3050D" w:rsidRPr="00343AC7" w:rsidRDefault="00C3050D" w:rsidP="00C3050D">
            <w:pPr>
              <w:spacing w:after="0"/>
              <w:rPr>
                <w:rFonts w:ascii="Arial" w:hAnsi="Arial" w:cs="Arial"/>
                <w:sz w:val="18"/>
                <w:szCs w:val="18"/>
              </w:rPr>
            </w:pPr>
            <w:r w:rsidRPr="00343AC7">
              <w:rPr>
                <w:rFonts w:ascii="Arial" w:hAnsi="Arial" w:cs="Arial"/>
                <w:sz w:val="18"/>
                <w:szCs w:val="18"/>
              </w:rPr>
              <w:t>Num. estudiantes no terminan educación terciaria (2019)</w:t>
            </w:r>
          </w:p>
        </w:tc>
        <w:tc>
          <w:tcPr>
            <w:tcW w:w="1133" w:type="dxa"/>
          </w:tcPr>
          <w:p w:rsidR="00C3050D" w:rsidRPr="00343AC7" w:rsidRDefault="00C3050D" w:rsidP="00C3050D">
            <w:pPr>
              <w:spacing w:after="0"/>
              <w:rPr>
                <w:rFonts w:ascii="Arial" w:hAnsi="Arial" w:cs="Arial"/>
                <w:sz w:val="18"/>
                <w:szCs w:val="18"/>
              </w:rPr>
            </w:pPr>
            <w:r w:rsidRPr="00343AC7">
              <w:rPr>
                <w:rFonts w:ascii="Arial" w:hAnsi="Arial" w:cs="Arial"/>
                <w:sz w:val="18"/>
                <w:szCs w:val="18"/>
              </w:rPr>
              <w:t>964</w:t>
            </w:r>
          </w:p>
        </w:tc>
        <w:tc>
          <w:tcPr>
            <w:tcW w:w="1787" w:type="dxa"/>
          </w:tcPr>
          <w:p w:rsidR="00C3050D" w:rsidRPr="00343AC7" w:rsidRDefault="00C3050D" w:rsidP="00C3050D">
            <w:pPr>
              <w:spacing w:after="0"/>
              <w:rPr>
                <w:rFonts w:ascii="Arial" w:hAnsi="Arial" w:cs="Arial"/>
                <w:sz w:val="18"/>
                <w:szCs w:val="18"/>
              </w:rPr>
            </w:pPr>
            <w:r w:rsidRPr="00343AC7">
              <w:rPr>
                <w:rFonts w:ascii="Arial" w:hAnsi="Arial" w:cs="Arial"/>
                <w:sz w:val="18"/>
                <w:szCs w:val="18"/>
              </w:rPr>
              <w:t>BID</w:t>
            </w:r>
          </w:p>
        </w:tc>
      </w:tr>
      <w:tr w:rsidR="00C3050D" w:rsidRPr="00343AC7" w:rsidTr="00750A0D">
        <w:tc>
          <w:tcPr>
            <w:tcW w:w="450" w:type="dxa"/>
          </w:tcPr>
          <w:p w:rsidR="00C3050D" w:rsidRPr="00343AC7" w:rsidRDefault="00C3050D" w:rsidP="00C3050D">
            <w:pPr>
              <w:spacing w:after="0"/>
              <w:rPr>
                <w:rFonts w:ascii="Arial" w:hAnsi="Arial" w:cs="Arial"/>
                <w:sz w:val="18"/>
                <w:szCs w:val="18"/>
              </w:rPr>
            </w:pPr>
            <w:r w:rsidRPr="00343AC7">
              <w:rPr>
                <w:rFonts w:ascii="Arial" w:hAnsi="Arial" w:cs="Arial"/>
                <w:sz w:val="18"/>
                <w:szCs w:val="18"/>
              </w:rPr>
              <w:t>(7)</w:t>
            </w:r>
          </w:p>
        </w:tc>
        <w:tc>
          <w:tcPr>
            <w:tcW w:w="5360" w:type="dxa"/>
          </w:tcPr>
          <w:p w:rsidR="00C3050D" w:rsidRPr="00343AC7" w:rsidRDefault="00C3050D" w:rsidP="00C3050D">
            <w:pPr>
              <w:spacing w:after="0"/>
              <w:rPr>
                <w:rFonts w:ascii="Arial" w:hAnsi="Arial" w:cs="Arial"/>
                <w:sz w:val="18"/>
                <w:szCs w:val="18"/>
              </w:rPr>
            </w:pPr>
            <w:r w:rsidRPr="00343AC7">
              <w:rPr>
                <w:rFonts w:ascii="Arial" w:hAnsi="Arial" w:cs="Arial"/>
                <w:sz w:val="18"/>
                <w:szCs w:val="18"/>
              </w:rPr>
              <w:t>Flujos anuales incrementales en ingreso de usuarios por aumento personas ed. sup incom (2019)</w:t>
            </w:r>
          </w:p>
        </w:tc>
        <w:tc>
          <w:tcPr>
            <w:tcW w:w="1133" w:type="dxa"/>
          </w:tcPr>
          <w:p w:rsidR="00C3050D" w:rsidRPr="00343AC7" w:rsidRDefault="00C3050D" w:rsidP="00C3050D">
            <w:pPr>
              <w:spacing w:after="0"/>
              <w:rPr>
                <w:rFonts w:ascii="Arial" w:hAnsi="Arial" w:cs="Arial"/>
                <w:sz w:val="18"/>
                <w:szCs w:val="18"/>
              </w:rPr>
            </w:pPr>
            <w:r w:rsidRPr="00343AC7">
              <w:rPr>
                <w:rFonts w:ascii="Arial" w:hAnsi="Arial" w:cs="Arial"/>
                <w:sz w:val="18"/>
                <w:szCs w:val="18"/>
              </w:rPr>
              <w:t>1.518.175</w:t>
            </w:r>
          </w:p>
        </w:tc>
        <w:tc>
          <w:tcPr>
            <w:tcW w:w="1787" w:type="dxa"/>
          </w:tcPr>
          <w:p w:rsidR="00C3050D" w:rsidRPr="00343AC7" w:rsidRDefault="00C3050D" w:rsidP="00C3050D">
            <w:pPr>
              <w:spacing w:after="0"/>
              <w:rPr>
                <w:rFonts w:ascii="Arial" w:hAnsi="Arial" w:cs="Arial"/>
                <w:sz w:val="18"/>
                <w:szCs w:val="18"/>
              </w:rPr>
            </w:pPr>
            <w:r w:rsidRPr="00343AC7">
              <w:rPr>
                <w:rFonts w:ascii="Arial" w:hAnsi="Arial" w:cs="Arial"/>
                <w:sz w:val="18"/>
                <w:szCs w:val="18"/>
              </w:rPr>
              <w:t>(3)*(6)</w:t>
            </w:r>
          </w:p>
        </w:tc>
      </w:tr>
      <w:tr w:rsidR="00C3050D" w:rsidRPr="00343AC7" w:rsidTr="00750A0D">
        <w:tc>
          <w:tcPr>
            <w:tcW w:w="450" w:type="dxa"/>
          </w:tcPr>
          <w:p w:rsidR="00C3050D" w:rsidRPr="00343AC7" w:rsidRDefault="00C3050D" w:rsidP="00C3050D">
            <w:pPr>
              <w:spacing w:after="0"/>
              <w:rPr>
                <w:rFonts w:ascii="Arial" w:hAnsi="Arial" w:cs="Arial"/>
                <w:sz w:val="18"/>
                <w:szCs w:val="18"/>
              </w:rPr>
            </w:pPr>
            <w:r w:rsidRPr="00343AC7">
              <w:rPr>
                <w:rFonts w:ascii="Arial" w:hAnsi="Arial" w:cs="Arial"/>
                <w:sz w:val="18"/>
                <w:szCs w:val="18"/>
              </w:rPr>
              <w:t>(8)</w:t>
            </w:r>
          </w:p>
        </w:tc>
        <w:tc>
          <w:tcPr>
            <w:tcW w:w="5360" w:type="dxa"/>
          </w:tcPr>
          <w:p w:rsidR="00C3050D" w:rsidRPr="00343AC7" w:rsidRDefault="00C3050D" w:rsidP="00C3050D">
            <w:pPr>
              <w:spacing w:after="0"/>
              <w:rPr>
                <w:rFonts w:ascii="Arial" w:hAnsi="Arial" w:cs="Arial"/>
                <w:sz w:val="18"/>
                <w:szCs w:val="18"/>
              </w:rPr>
            </w:pPr>
            <w:r w:rsidRPr="00343AC7">
              <w:rPr>
                <w:rFonts w:ascii="Arial" w:hAnsi="Arial" w:cs="Arial"/>
                <w:sz w:val="18"/>
                <w:szCs w:val="18"/>
              </w:rPr>
              <w:t>Num. estudiantes terminan educación terciaria (2019)</w:t>
            </w:r>
          </w:p>
        </w:tc>
        <w:tc>
          <w:tcPr>
            <w:tcW w:w="1133" w:type="dxa"/>
          </w:tcPr>
          <w:p w:rsidR="00C3050D" w:rsidRPr="00343AC7" w:rsidRDefault="00C3050D" w:rsidP="00C3050D">
            <w:pPr>
              <w:spacing w:after="0"/>
              <w:rPr>
                <w:rFonts w:ascii="Arial" w:hAnsi="Arial" w:cs="Arial"/>
                <w:sz w:val="18"/>
                <w:szCs w:val="18"/>
              </w:rPr>
            </w:pPr>
            <w:r w:rsidRPr="00343AC7">
              <w:rPr>
                <w:rFonts w:ascii="Arial" w:hAnsi="Arial" w:cs="Arial"/>
                <w:sz w:val="18"/>
                <w:szCs w:val="18"/>
              </w:rPr>
              <w:t>519</w:t>
            </w:r>
          </w:p>
        </w:tc>
        <w:tc>
          <w:tcPr>
            <w:tcW w:w="1787" w:type="dxa"/>
          </w:tcPr>
          <w:p w:rsidR="00C3050D" w:rsidRPr="00343AC7" w:rsidRDefault="00C3050D" w:rsidP="00C3050D">
            <w:pPr>
              <w:spacing w:after="0"/>
              <w:rPr>
                <w:rFonts w:ascii="Arial" w:hAnsi="Arial" w:cs="Arial"/>
                <w:sz w:val="18"/>
                <w:szCs w:val="18"/>
              </w:rPr>
            </w:pPr>
            <w:r w:rsidRPr="00343AC7">
              <w:rPr>
                <w:rFonts w:ascii="Arial" w:hAnsi="Arial" w:cs="Arial"/>
                <w:sz w:val="18"/>
                <w:szCs w:val="18"/>
              </w:rPr>
              <w:t>BID</w:t>
            </w:r>
          </w:p>
        </w:tc>
      </w:tr>
      <w:tr w:rsidR="00C3050D" w:rsidRPr="00343AC7" w:rsidTr="00750A0D">
        <w:tc>
          <w:tcPr>
            <w:tcW w:w="450" w:type="dxa"/>
          </w:tcPr>
          <w:p w:rsidR="00C3050D" w:rsidRPr="00343AC7" w:rsidRDefault="00C3050D" w:rsidP="00C3050D">
            <w:pPr>
              <w:spacing w:after="0"/>
              <w:rPr>
                <w:rFonts w:ascii="Arial" w:hAnsi="Arial" w:cs="Arial"/>
                <w:sz w:val="18"/>
                <w:szCs w:val="18"/>
              </w:rPr>
            </w:pPr>
            <w:r w:rsidRPr="00343AC7">
              <w:rPr>
                <w:rFonts w:ascii="Arial" w:hAnsi="Arial" w:cs="Arial"/>
                <w:sz w:val="18"/>
                <w:szCs w:val="18"/>
              </w:rPr>
              <w:t>(9)</w:t>
            </w:r>
          </w:p>
        </w:tc>
        <w:tc>
          <w:tcPr>
            <w:tcW w:w="5360" w:type="dxa"/>
          </w:tcPr>
          <w:p w:rsidR="00C3050D" w:rsidRPr="00343AC7" w:rsidRDefault="00C3050D" w:rsidP="00C3050D">
            <w:pPr>
              <w:spacing w:after="0"/>
              <w:rPr>
                <w:rFonts w:ascii="Arial" w:hAnsi="Arial" w:cs="Arial"/>
                <w:sz w:val="18"/>
                <w:szCs w:val="18"/>
              </w:rPr>
            </w:pPr>
            <w:r w:rsidRPr="00343AC7">
              <w:rPr>
                <w:rFonts w:ascii="Arial" w:hAnsi="Arial" w:cs="Arial"/>
                <w:sz w:val="18"/>
                <w:szCs w:val="18"/>
              </w:rPr>
              <w:t>Flujos anuales incrementales en ingreso de usuarios por aumento personas ed. sup completa (2019)</w:t>
            </w:r>
          </w:p>
        </w:tc>
        <w:tc>
          <w:tcPr>
            <w:tcW w:w="1133" w:type="dxa"/>
          </w:tcPr>
          <w:p w:rsidR="00C3050D" w:rsidRPr="00343AC7" w:rsidRDefault="00C3050D" w:rsidP="00C3050D">
            <w:pPr>
              <w:spacing w:after="0"/>
              <w:rPr>
                <w:rFonts w:ascii="Arial" w:hAnsi="Arial" w:cs="Arial"/>
                <w:sz w:val="18"/>
                <w:szCs w:val="18"/>
              </w:rPr>
            </w:pPr>
            <w:r w:rsidRPr="00343AC7">
              <w:rPr>
                <w:rFonts w:ascii="Arial" w:hAnsi="Arial" w:cs="Arial"/>
                <w:sz w:val="18"/>
                <w:szCs w:val="18"/>
              </w:rPr>
              <w:t>4.399.333</w:t>
            </w:r>
          </w:p>
        </w:tc>
        <w:tc>
          <w:tcPr>
            <w:tcW w:w="1787" w:type="dxa"/>
          </w:tcPr>
          <w:p w:rsidR="00C3050D" w:rsidRPr="00343AC7" w:rsidRDefault="00C3050D" w:rsidP="00C3050D">
            <w:pPr>
              <w:spacing w:after="0"/>
              <w:rPr>
                <w:rFonts w:ascii="Arial" w:hAnsi="Arial" w:cs="Arial"/>
                <w:sz w:val="18"/>
                <w:szCs w:val="18"/>
              </w:rPr>
            </w:pPr>
            <w:r w:rsidRPr="00343AC7">
              <w:rPr>
                <w:rFonts w:ascii="Arial" w:hAnsi="Arial" w:cs="Arial"/>
                <w:sz w:val="18"/>
                <w:szCs w:val="18"/>
              </w:rPr>
              <w:t>(4)*(8)</w:t>
            </w:r>
          </w:p>
        </w:tc>
      </w:tr>
    </w:tbl>
    <w:p w:rsidR="00192938" w:rsidRPr="007F4A23" w:rsidRDefault="00662D46" w:rsidP="00343AC7">
      <w:pPr>
        <w:spacing w:before="240"/>
        <w:rPr>
          <w:rFonts w:ascii="Arial" w:hAnsi="Arial" w:cs="Arial"/>
          <w:sz w:val="22"/>
          <w:szCs w:val="22"/>
        </w:rPr>
      </w:pPr>
      <w:r w:rsidRPr="007F4A23">
        <w:rPr>
          <w:rFonts w:ascii="Arial" w:hAnsi="Arial" w:cs="Arial"/>
          <w:sz w:val="22"/>
          <w:szCs w:val="22"/>
        </w:rPr>
        <w:t>Por otro lado y tal como se describió en la sección correspondiente las estimaciones de beneficios indirectos anuales se despliegan en la siguiente tabla:</w:t>
      </w:r>
    </w:p>
    <w:p w:rsidR="00662D46" w:rsidRPr="00343AC7" w:rsidRDefault="00662D46" w:rsidP="00662D46">
      <w:pPr>
        <w:pStyle w:val="Caption"/>
        <w:keepNext/>
        <w:rPr>
          <w:rFonts w:ascii="Arial" w:hAnsi="Arial" w:cs="Arial"/>
          <w:sz w:val="18"/>
          <w:szCs w:val="18"/>
        </w:rPr>
      </w:pPr>
      <w:r w:rsidRPr="00343AC7">
        <w:rPr>
          <w:rFonts w:ascii="Arial" w:hAnsi="Arial" w:cs="Arial"/>
          <w:sz w:val="18"/>
          <w:szCs w:val="18"/>
        </w:rPr>
        <w:t xml:space="preserve">Tabla </w:t>
      </w:r>
      <w:r w:rsidRPr="00343AC7">
        <w:rPr>
          <w:rFonts w:ascii="Arial" w:hAnsi="Arial" w:cs="Arial"/>
          <w:sz w:val="18"/>
          <w:szCs w:val="18"/>
        </w:rPr>
        <w:fldChar w:fldCharType="begin"/>
      </w:r>
      <w:r w:rsidRPr="00343AC7">
        <w:rPr>
          <w:rFonts w:ascii="Arial" w:hAnsi="Arial" w:cs="Arial"/>
          <w:sz w:val="18"/>
          <w:szCs w:val="18"/>
        </w:rPr>
        <w:instrText xml:space="preserve"> SEQ Tabla \* ARABIC </w:instrText>
      </w:r>
      <w:r w:rsidRPr="00343AC7">
        <w:rPr>
          <w:rFonts w:ascii="Arial" w:hAnsi="Arial" w:cs="Arial"/>
          <w:sz w:val="18"/>
          <w:szCs w:val="18"/>
        </w:rPr>
        <w:fldChar w:fldCharType="separate"/>
      </w:r>
      <w:r w:rsidR="00211EE7" w:rsidRPr="00343AC7">
        <w:rPr>
          <w:rFonts w:ascii="Arial" w:hAnsi="Arial" w:cs="Arial"/>
          <w:noProof/>
          <w:sz w:val="18"/>
          <w:szCs w:val="18"/>
        </w:rPr>
        <w:t>7</w:t>
      </w:r>
      <w:r w:rsidRPr="00343AC7">
        <w:rPr>
          <w:rFonts w:ascii="Arial" w:hAnsi="Arial" w:cs="Arial"/>
          <w:sz w:val="18"/>
          <w:szCs w:val="18"/>
        </w:rPr>
        <w:fldChar w:fldCharType="end"/>
      </w:r>
      <w:r w:rsidRPr="00343AC7">
        <w:rPr>
          <w:rFonts w:ascii="Arial" w:hAnsi="Arial" w:cs="Arial"/>
          <w:sz w:val="18"/>
          <w:szCs w:val="18"/>
        </w:rPr>
        <w:t>: Estimación de beneficios indirectos del Programa producto de una reducción de 0,5% en la tasa de repeticiones</w:t>
      </w:r>
    </w:p>
    <w:tbl>
      <w:tblPr>
        <w:tblW w:w="80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76"/>
        <w:gridCol w:w="1216"/>
        <w:gridCol w:w="1216"/>
        <w:gridCol w:w="1216"/>
        <w:gridCol w:w="1216"/>
      </w:tblGrid>
      <w:tr w:rsidR="00662D46" w:rsidRPr="00343AC7" w:rsidTr="006B6BD4">
        <w:trPr>
          <w:trHeight w:val="300"/>
        </w:trPr>
        <w:tc>
          <w:tcPr>
            <w:tcW w:w="3176" w:type="dxa"/>
            <w:shd w:val="clear" w:color="auto" w:fill="auto"/>
            <w:noWrap/>
            <w:vAlign w:val="center"/>
          </w:tcPr>
          <w:p w:rsidR="00662D46" w:rsidRPr="00343AC7" w:rsidRDefault="00662D46" w:rsidP="006B6BD4">
            <w:pPr>
              <w:spacing w:after="0"/>
              <w:jc w:val="left"/>
              <w:rPr>
                <w:rFonts w:ascii="Arial" w:hAnsi="Arial" w:cs="Arial"/>
                <w:sz w:val="18"/>
                <w:szCs w:val="18"/>
              </w:rPr>
            </w:pPr>
            <w:r w:rsidRPr="00343AC7">
              <w:rPr>
                <w:rFonts w:ascii="Arial" w:hAnsi="Arial" w:cs="Arial"/>
                <w:sz w:val="18"/>
                <w:szCs w:val="18"/>
              </w:rPr>
              <w:t>Estimación</w:t>
            </w:r>
          </w:p>
        </w:tc>
        <w:tc>
          <w:tcPr>
            <w:tcW w:w="1216" w:type="dxa"/>
            <w:shd w:val="clear" w:color="auto" w:fill="auto"/>
            <w:noWrap/>
            <w:vAlign w:val="center"/>
          </w:tcPr>
          <w:p w:rsidR="00662D46" w:rsidRPr="00343AC7" w:rsidRDefault="00662D46" w:rsidP="006B6BD4">
            <w:pPr>
              <w:spacing w:after="0"/>
              <w:jc w:val="center"/>
              <w:rPr>
                <w:rFonts w:ascii="Arial" w:hAnsi="Arial" w:cs="Arial"/>
                <w:sz w:val="18"/>
                <w:szCs w:val="18"/>
              </w:rPr>
            </w:pPr>
            <w:r w:rsidRPr="00343AC7">
              <w:rPr>
                <w:rFonts w:ascii="Arial" w:hAnsi="Arial" w:cs="Arial"/>
                <w:sz w:val="18"/>
                <w:szCs w:val="18"/>
              </w:rPr>
              <w:t>2017</w:t>
            </w:r>
          </w:p>
        </w:tc>
        <w:tc>
          <w:tcPr>
            <w:tcW w:w="1216" w:type="dxa"/>
            <w:shd w:val="clear" w:color="auto" w:fill="auto"/>
            <w:noWrap/>
            <w:vAlign w:val="center"/>
          </w:tcPr>
          <w:p w:rsidR="00662D46" w:rsidRPr="00343AC7" w:rsidRDefault="00662D46" w:rsidP="006B6BD4">
            <w:pPr>
              <w:spacing w:after="0"/>
              <w:jc w:val="center"/>
              <w:rPr>
                <w:rFonts w:ascii="Arial" w:hAnsi="Arial" w:cs="Arial"/>
                <w:sz w:val="18"/>
                <w:szCs w:val="18"/>
              </w:rPr>
            </w:pPr>
            <w:r w:rsidRPr="00343AC7">
              <w:rPr>
                <w:rFonts w:ascii="Arial" w:hAnsi="Arial" w:cs="Arial"/>
                <w:sz w:val="18"/>
                <w:szCs w:val="18"/>
              </w:rPr>
              <w:t>2018</w:t>
            </w:r>
          </w:p>
        </w:tc>
        <w:tc>
          <w:tcPr>
            <w:tcW w:w="1216" w:type="dxa"/>
            <w:shd w:val="clear" w:color="auto" w:fill="auto"/>
            <w:noWrap/>
            <w:vAlign w:val="center"/>
          </w:tcPr>
          <w:p w:rsidR="00662D46" w:rsidRPr="00343AC7" w:rsidRDefault="00662D46" w:rsidP="006B6BD4">
            <w:pPr>
              <w:spacing w:after="0"/>
              <w:jc w:val="center"/>
              <w:rPr>
                <w:rFonts w:ascii="Arial" w:hAnsi="Arial" w:cs="Arial"/>
                <w:sz w:val="18"/>
                <w:szCs w:val="18"/>
              </w:rPr>
            </w:pPr>
            <w:r w:rsidRPr="00343AC7">
              <w:rPr>
                <w:rFonts w:ascii="Arial" w:hAnsi="Arial" w:cs="Arial"/>
                <w:sz w:val="18"/>
                <w:szCs w:val="18"/>
              </w:rPr>
              <w:t>2019</w:t>
            </w:r>
          </w:p>
        </w:tc>
        <w:tc>
          <w:tcPr>
            <w:tcW w:w="1216" w:type="dxa"/>
            <w:shd w:val="clear" w:color="auto" w:fill="auto"/>
            <w:noWrap/>
            <w:vAlign w:val="center"/>
          </w:tcPr>
          <w:p w:rsidR="00662D46" w:rsidRPr="00343AC7" w:rsidRDefault="00662D46" w:rsidP="006B6BD4">
            <w:pPr>
              <w:spacing w:after="0"/>
              <w:jc w:val="center"/>
              <w:rPr>
                <w:rFonts w:ascii="Arial" w:hAnsi="Arial" w:cs="Arial"/>
                <w:sz w:val="18"/>
                <w:szCs w:val="18"/>
              </w:rPr>
            </w:pPr>
            <w:r w:rsidRPr="00343AC7">
              <w:rPr>
                <w:rFonts w:ascii="Arial" w:hAnsi="Arial" w:cs="Arial"/>
                <w:sz w:val="18"/>
                <w:szCs w:val="18"/>
              </w:rPr>
              <w:t>2019 en adelante</w:t>
            </w:r>
          </w:p>
        </w:tc>
      </w:tr>
      <w:tr w:rsidR="00662D46" w:rsidRPr="00343AC7" w:rsidTr="006B6BD4">
        <w:trPr>
          <w:trHeight w:val="300"/>
        </w:trPr>
        <w:tc>
          <w:tcPr>
            <w:tcW w:w="3176" w:type="dxa"/>
            <w:shd w:val="clear" w:color="auto" w:fill="auto"/>
            <w:noWrap/>
            <w:vAlign w:val="center"/>
            <w:hideMark/>
          </w:tcPr>
          <w:p w:rsidR="00662D46" w:rsidRPr="00343AC7" w:rsidRDefault="00662D46" w:rsidP="006B6BD4">
            <w:pPr>
              <w:spacing w:after="0"/>
              <w:jc w:val="left"/>
              <w:rPr>
                <w:rFonts w:ascii="Arial" w:hAnsi="Arial" w:cs="Arial"/>
                <w:sz w:val="18"/>
                <w:szCs w:val="18"/>
              </w:rPr>
            </w:pPr>
            <w:r w:rsidRPr="00343AC7">
              <w:rPr>
                <w:rFonts w:ascii="Arial" w:hAnsi="Arial" w:cs="Arial"/>
                <w:sz w:val="18"/>
                <w:szCs w:val="18"/>
              </w:rPr>
              <w:t>Estudiantes por establecimiento</w:t>
            </w:r>
          </w:p>
        </w:tc>
        <w:tc>
          <w:tcPr>
            <w:tcW w:w="1216" w:type="dxa"/>
            <w:shd w:val="clear" w:color="auto" w:fill="auto"/>
            <w:noWrap/>
            <w:vAlign w:val="center"/>
            <w:hideMark/>
          </w:tcPr>
          <w:p w:rsidR="00662D46" w:rsidRPr="00343AC7" w:rsidRDefault="00662D46" w:rsidP="006B6BD4">
            <w:pPr>
              <w:spacing w:after="0"/>
              <w:jc w:val="center"/>
              <w:rPr>
                <w:rFonts w:ascii="Arial" w:hAnsi="Arial" w:cs="Arial"/>
                <w:sz w:val="18"/>
                <w:szCs w:val="18"/>
              </w:rPr>
            </w:pPr>
            <w:r w:rsidRPr="00343AC7">
              <w:rPr>
                <w:rFonts w:ascii="Arial" w:hAnsi="Arial" w:cs="Arial"/>
                <w:sz w:val="18"/>
                <w:szCs w:val="18"/>
              </w:rPr>
              <w:t>113.448</w:t>
            </w:r>
          </w:p>
        </w:tc>
        <w:tc>
          <w:tcPr>
            <w:tcW w:w="1216" w:type="dxa"/>
            <w:shd w:val="clear" w:color="auto" w:fill="auto"/>
            <w:noWrap/>
            <w:vAlign w:val="center"/>
            <w:hideMark/>
          </w:tcPr>
          <w:p w:rsidR="00662D46" w:rsidRPr="00343AC7" w:rsidRDefault="00662D46" w:rsidP="006B6BD4">
            <w:pPr>
              <w:spacing w:after="0"/>
              <w:jc w:val="center"/>
              <w:rPr>
                <w:rFonts w:ascii="Arial" w:hAnsi="Arial" w:cs="Arial"/>
                <w:sz w:val="18"/>
                <w:szCs w:val="18"/>
              </w:rPr>
            </w:pPr>
            <w:r w:rsidRPr="00343AC7">
              <w:rPr>
                <w:rFonts w:ascii="Arial" w:hAnsi="Arial" w:cs="Arial"/>
                <w:sz w:val="18"/>
                <w:szCs w:val="18"/>
              </w:rPr>
              <w:t>283.620</w:t>
            </w:r>
          </w:p>
        </w:tc>
        <w:tc>
          <w:tcPr>
            <w:tcW w:w="1216" w:type="dxa"/>
            <w:shd w:val="clear" w:color="auto" w:fill="auto"/>
            <w:noWrap/>
            <w:vAlign w:val="center"/>
            <w:hideMark/>
          </w:tcPr>
          <w:p w:rsidR="00662D46" w:rsidRPr="00343AC7" w:rsidRDefault="00662D46" w:rsidP="006B6BD4">
            <w:pPr>
              <w:spacing w:after="0"/>
              <w:jc w:val="center"/>
              <w:rPr>
                <w:rFonts w:ascii="Arial" w:hAnsi="Arial" w:cs="Arial"/>
                <w:sz w:val="18"/>
                <w:szCs w:val="18"/>
              </w:rPr>
            </w:pPr>
            <w:r w:rsidRPr="00343AC7">
              <w:rPr>
                <w:rFonts w:ascii="Arial" w:hAnsi="Arial" w:cs="Arial"/>
                <w:sz w:val="18"/>
                <w:szCs w:val="18"/>
              </w:rPr>
              <w:t>586.148</w:t>
            </w:r>
          </w:p>
        </w:tc>
        <w:tc>
          <w:tcPr>
            <w:tcW w:w="1216" w:type="dxa"/>
            <w:shd w:val="clear" w:color="auto" w:fill="auto"/>
            <w:noWrap/>
            <w:vAlign w:val="center"/>
            <w:hideMark/>
          </w:tcPr>
          <w:p w:rsidR="00662D46" w:rsidRPr="00343AC7" w:rsidRDefault="00662D46" w:rsidP="006B6BD4">
            <w:pPr>
              <w:spacing w:after="0"/>
              <w:jc w:val="center"/>
              <w:rPr>
                <w:rFonts w:ascii="Arial" w:hAnsi="Arial" w:cs="Arial"/>
                <w:sz w:val="18"/>
                <w:szCs w:val="18"/>
              </w:rPr>
            </w:pPr>
            <w:r w:rsidRPr="00343AC7">
              <w:rPr>
                <w:rFonts w:ascii="Arial" w:hAnsi="Arial" w:cs="Arial"/>
                <w:sz w:val="18"/>
                <w:szCs w:val="18"/>
              </w:rPr>
              <w:t>586.148</w:t>
            </w:r>
          </w:p>
        </w:tc>
      </w:tr>
      <w:tr w:rsidR="00662D46" w:rsidRPr="00343AC7" w:rsidTr="006B6BD4">
        <w:trPr>
          <w:trHeight w:val="300"/>
        </w:trPr>
        <w:tc>
          <w:tcPr>
            <w:tcW w:w="3176" w:type="dxa"/>
            <w:shd w:val="clear" w:color="auto" w:fill="auto"/>
            <w:noWrap/>
            <w:vAlign w:val="center"/>
            <w:hideMark/>
          </w:tcPr>
          <w:p w:rsidR="00662D46" w:rsidRPr="00343AC7" w:rsidRDefault="00662D46" w:rsidP="006B6BD4">
            <w:pPr>
              <w:spacing w:after="0"/>
              <w:jc w:val="left"/>
              <w:rPr>
                <w:rFonts w:ascii="Arial" w:hAnsi="Arial" w:cs="Arial"/>
                <w:sz w:val="18"/>
                <w:szCs w:val="18"/>
              </w:rPr>
            </w:pPr>
            <w:r w:rsidRPr="00343AC7">
              <w:rPr>
                <w:rFonts w:ascii="Arial" w:hAnsi="Arial" w:cs="Arial"/>
                <w:sz w:val="18"/>
                <w:szCs w:val="18"/>
              </w:rPr>
              <w:t>Estudiantes Ed. Primaria</w:t>
            </w:r>
          </w:p>
        </w:tc>
        <w:tc>
          <w:tcPr>
            <w:tcW w:w="1216" w:type="dxa"/>
            <w:shd w:val="clear" w:color="auto" w:fill="auto"/>
            <w:noWrap/>
            <w:vAlign w:val="center"/>
            <w:hideMark/>
          </w:tcPr>
          <w:p w:rsidR="00662D46" w:rsidRPr="00343AC7" w:rsidRDefault="00662D46" w:rsidP="006B6BD4">
            <w:pPr>
              <w:spacing w:after="0"/>
              <w:jc w:val="center"/>
              <w:rPr>
                <w:rFonts w:ascii="Arial" w:hAnsi="Arial" w:cs="Arial"/>
                <w:sz w:val="18"/>
                <w:szCs w:val="18"/>
              </w:rPr>
            </w:pPr>
            <w:r w:rsidRPr="00343AC7">
              <w:rPr>
                <w:rFonts w:ascii="Arial" w:hAnsi="Arial" w:cs="Arial"/>
                <w:sz w:val="18"/>
                <w:szCs w:val="18"/>
              </w:rPr>
              <w:t>73.741</w:t>
            </w:r>
          </w:p>
        </w:tc>
        <w:tc>
          <w:tcPr>
            <w:tcW w:w="1216" w:type="dxa"/>
            <w:shd w:val="clear" w:color="auto" w:fill="auto"/>
            <w:noWrap/>
            <w:vAlign w:val="center"/>
            <w:hideMark/>
          </w:tcPr>
          <w:p w:rsidR="00662D46" w:rsidRPr="00343AC7" w:rsidRDefault="00662D46" w:rsidP="006B6BD4">
            <w:pPr>
              <w:spacing w:after="0"/>
              <w:jc w:val="center"/>
              <w:rPr>
                <w:rFonts w:ascii="Arial" w:hAnsi="Arial" w:cs="Arial"/>
                <w:sz w:val="18"/>
                <w:szCs w:val="18"/>
              </w:rPr>
            </w:pPr>
            <w:r w:rsidRPr="00343AC7">
              <w:rPr>
                <w:rFonts w:ascii="Arial" w:hAnsi="Arial" w:cs="Arial"/>
                <w:sz w:val="18"/>
                <w:szCs w:val="18"/>
              </w:rPr>
              <w:t>184.353</w:t>
            </w:r>
          </w:p>
        </w:tc>
        <w:tc>
          <w:tcPr>
            <w:tcW w:w="1216" w:type="dxa"/>
            <w:shd w:val="clear" w:color="auto" w:fill="auto"/>
            <w:noWrap/>
            <w:vAlign w:val="center"/>
            <w:hideMark/>
          </w:tcPr>
          <w:p w:rsidR="00662D46" w:rsidRPr="00343AC7" w:rsidRDefault="00662D46" w:rsidP="006B6BD4">
            <w:pPr>
              <w:spacing w:after="0"/>
              <w:jc w:val="center"/>
              <w:rPr>
                <w:rFonts w:ascii="Arial" w:hAnsi="Arial" w:cs="Arial"/>
                <w:sz w:val="18"/>
                <w:szCs w:val="18"/>
              </w:rPr>
            </w:pPr>
            <w:r w:rsidRPr="00343AC7">
              <w:rPr>
                <w:rFonts w:ascii="Arial" w:hAnsi="Arial" w:cs="Arial"/>
                <w:sz w:val="18"/>
                <w:szCs w:val="18"/>
              </w:rPr>
              <w:t>380.996</w:t>
            </w:r>
          </w:p>
        </w:tc>
        <w:tc>
          <w:tcPr>
            <w:tcW w:w="1216" w:type="dxa"/>
            <w:shd w:val="clear" w:color="auto" w:fill="auto"/>
            <w:noWrap/>
            <w:vAlign w:val="center"/>
            <w:hideMark/>
          </w:tcPr>
          <w:p w:rsidR="00662D46" w:rsidRPr="00343AC7" w:rsidRDefault="00662D46" w:rsidP="006B6BD4">
            <w:pPr>
              <w:spacing w:after="0"/>
              <w:jc w:val="center"/>
              <w:rPr>
                <w:rFonts w:ascii="Arial" w:hAnsi="Arial" w:cs="Arial"/>
                <w:sz w:val="18"/>
                <w:szCs w:val="18"/>
              </w:rPr>
            </w:pPr>
            <w:r w:rsidRPr="00343AC7">
              <w:rPr>
                <w:rFonts w:ascii="Arial" w:hAnsi="Arial" w:cs="Arial"/>
                <w:sz w:val="18"/>
                <w:szCs w:val="18"/>
              </w:rPr>
              <w:t>380.996</w:t>
            </w:r>
          </w:p>
        </w:tc>
      </w:tr>
      <w:tr w:rsidR="00662D46" w:rsidRPr="00343AC7" w:rsidTr="006B6BD4">
        <w:trPr>
          <w:trHeight w:val="300"/>
        </w:trPr>
        <w:tc>
          <w:tcPr>
            <w:tcW w:w="3176" w:type="dxa"/>
            <w:shd w:val="clear" w:color="auto" w:fill="auto"/>
            <w:noWrap/>
            <w:vAlign w:val="center"/>
            <w:hideMark/>
          </w:tcPr>
          <w:p w:rsidR="00662D46" w:rsidRPr="00343AC7" w:rsidRDefault="00662D46" w:rsidP="006B6BD4">
            <w:pPr>
              <w:spacing w:after="0"/>
              <w:jc w:val="left"/>
              <w:rPr>
                <w:rFonts w:ascii="Arial" w:hAnsi="Arial" w:cs="Arial"/>
                <w:sz w:val="18"/>
                <w:szCs w:val="18"/>
              </w:rPr>
            </w:pPr>
            <w:r w:rsidRPr="00343AC7">
              <w:rPr>
                <w:rFonts w:ascii="Arial" w:hAnsi="Arial" w:cs="Arial"/>
                <w:sz w:val="18"/>
                <w:szCs w:val="18"/>
              </w:rPr>
              <w:t>Estudiantes Ed. Secundaria</w:t>
            </w:r>
          </w:p>
        </w:tc>
        <w:tc>
          <w:tcPr>
            <w:tcW w:w="1216" w:type="dxa"/>
            <w:shd w:val="clear" w:color="auto" w:fill="auto"/>
            <w:noWrap/>
            <w:vAlign w:val="center"/>
            <w:hideMark/>
          </w:tcPr>
          <w:p w:rsidR="00662D46" w:rsidRPr="00343AC7" w:rsidRDefault="00662D46" w:rsidP="006B6BD4">
            <w:pPr>
              <w:spacing w:after="0"/>
              <w:jc w:val="center"/>
              <w:rPr>
                <w:rFonts w:ascii="Arial" w:hAnsi="Arial" w:cs="Arial"/>
                <w:sz w:val="18"/>
                <w:szCs w:val="18"/>
              </w:rPr>
            </w:pPr>
            <w:r w:rsidRPr="00343AC7">
              <w:rPr>
                <w:rFonts w:ascii="Arial" w:hAnsi="Arial" w:cs="Arial"/>
                <w:sz w:val="18"/>
                <w:szCs w:val="18"/>
              </w:rPr>
              <w:t>39.707</w:t>
            </w:r>
          </w:p>
        </w:tc>
        <w:tc>
          <w:tcPr>
            <w:tcW w:w="1216" w:type="dxa"/>
            <w:shd w:val="clear" w:color="auto" w:fill="auto"/>
            <w:noWrap/>
            <w:vAlign w:val="center"/>
            <w:hideMark/>
          </w:tcPr>
          <w:p w:rsidR="00662D46" w:rsidRPr="00343AC7" w:rsidRDefault="00662D46" w:rsidP="006B6BD4">
            <w:pPr>
              <w:spacing w:after="0"/>
              <w:jc w:val="center"/>
              <w:rPr>
                <w:rFonts w:ascii="Arial" w:hAnsi="Arial" w:cs="Arial"/>
                <w:sz w:val="18"/>
                <w:szCs w:val="18"/>
              </w:rPr>
            </w:pPr>
            <w:r w:rsidRPr="00343AC7">
              <w:rPr>
                <w:rFonts w:ascii="Arial" w:hAnsi="Arial" w:cs="Arial"/>
                <w:sz w:val="18"/>
                <w:szCs w:val="18"/>
              </w:rPr>
              <w:t>99.267</w:t>
            </w:r>
          </w:p>
        </w:tc>
        <w:tc>
          <w:tcPr>
            <w:tcW w:w="1216" w:type="dxa"/>
            <w:shd w:val="clear" w:color="auto" w:fill="auto"/>
            <w:noWrap/>
            <w:vAlign w:val="center"/>
            <w:hideMark/>
          </w:tcPr>
          <w:p w:rsidR="00662D46" w:rsidRPr="00343AC7" w:rsidRDefault="00662D46" w:rsidP="006B6BD4">
            <w:pPr>
              <w:spacing w:after="0"/>
              <w:jc w:val="center"/>
              <w:rPr>
                <w:rFonts w:ascii="Arial" w:hAnsi="Arial" w:cs="Arial"/>
                <w:sz w:val="18"/>
                <w:szCs w:val="18"/>
              </w:rPr>
            </w:pPr>
            <w:r w:rsidRPr="00343AC7">
              <w:rPr>
                <w:rFonts w:ascii="Arial" w:hAnsi="Arial" w:cs="Arial"/>
                <w:sz w:val="18"/>
                <w:szCs w:val="18"/>
              </w:rPr>
              <w:t>205.152</w:t>
            </w:r>
          </w:p>
        </w:tc>
        <w:tc>
          <w:tcPr>
            <w:tcW w:w="1216" w:type="dxa"/>
            <w:shd w:val="clear" w:color="auto" w:fill="auto"/>
            <w:noWrap/>
            <w:vAlign w:val="center"/>
            <w:hideMark/>
          </w:tcPr>
          <w:p w:rsidR="00662D46" w:rsidRPr="00343AC7" w:rsidRDefault="00662D46" w:rsidP="006B6BD4">
            <w:pPr>
              <w:spacing w:after="0"/>
              <w:jc w:val="center"/>
              <w:rPr>
                <w:rFonts w:ascii="Arial" w:hAnsi="Arial" w:cs="Arial"/>
                <w:sz w:val="18"/>
                <w:szCs w:val="18"/>
              </w:rPr>
            </w:pPr>
            <w:r w:rsidRPr="00343AC7">
              <w:rPr>
                <w:rFonts w:ascii="Arial" w:hAnsi="Arial" w:cs="Arial"/>
                <w:sz w:val="18"/>
                <w:szCs w:val="18"/>
              </w:rPr>
              <w:t>205.152</w:t>
            </w:r>
          </w:p>
        </w:tc>
      </w:tr>
      <w:tr w:rsidR="00662D46" w:rsidRPr="00343AC7" w:rsidTr="006B6BD4">
        <w:trPr>
          <w:trHeight w:val="300"/>
        </w:trPr>
        <w:tc>
          <w:tcPr>
            <w:tcW w:w="3176" w:type="dxa"/>
            <w:shd w:val="clear" w:color="auto" w:fill="auto"/>
            <w:noWrap/>
            <w:vAlign w:val="center"/>
            <w:hideMark/>
          </w:tcPr>
          <w:p w:rsidR="00662D46" w:rsidRPr="00343AC7" w:rsidRDefault="00662D46" w:rsidP="006B6BD4">
            <w:pPr>
              <w:spacing w:after="0"/>
              <w:jc w:val="left"/>
              <w:rPr>
                <w:rFonts w:ascii="Arial" w:hAnsi="Arial" w:cs="Arial"/>
                <w:sz w:val="18"/>
                <w:szCs w:val="18"/>
              </w:rPr>
            </w:pPr>
            <w:r w:rsidRPr="00343AC7">
              <w:rPr>
                <w:rFonts w:ascii="Arial" w:hAnsi="Arial" w:cs="Arial"/>
                <w:sz w:val="18"/>
                <w:szCs w:val="18"/>
              </w:rPr>
              <w:t>Reducción Repetición Básica (0,5%)</w:t>
            </w:r>
          </w:p>
        </w:tc>
        <w:tc>
          <w:tcPr>
            <w:tcW w:w="1216" w:type="dxa"/>
            <w:shd w:val="clear" w:color="auto" w:fill="auto"/>
            <w:noWrap/>
            <w:vAlign w:val="center"/>
            <w:hideMark/>
          </w:tcPr>
          <w:p w:rsidR="00662D46" w:rsidRPr="00343AC7" w:rsidRDefault="00662D46" w:rsidP="006B6BD4">
            <w:pPr>
              <w:spacing w:after="0"/>
              <w:jc w:val="center"/>
              <w:rPr>
                <w:rFonts w:ascii="Arial" w:hAnsi="Arial" w:cs="Arial"/>
                <w:sz w:val="18"/>
                <w:szCs w:val="18"/>
              </w:rPr>
            </w:pPr>
            <w:r w:rsidRPr="00343AC7">
              <w:rPr>
                <w:rFonts w:ascii="Arial" w:hAnsi="Arial" w:cs="Arial"/>
                <w:sz w:val="18"/>
                <w:szCs w:val="18"/>
              </w:rPr>
              <w:t>369</w:t>
            </w:r>
          </w:p>
        </w:tc>
        <w:tc>
          <w:tcPr>
            <w:tcW w:w="1216" w:type="dxa"/>
            <w:shd w:val="clear" w:color="auto" w:fill="auto"/>
            <w:noWrap/>
            <w:vAlign w:val="center"/>
            <w:hideMark/>
          </w:tcPr>
          <w:p w:rsidR="00662D46" w:rsidRPr="00343AC7" w:rsidRDefault="00662D46" w:rsidP="006B6BD4">
            <w:pPr>
              <w:spacing w:after="0"/>
              <w:jc w:val="center"/>
              <w:rPr>
                <w:rFonts w:ascii="Arial" w:hAnsi="Arial" w:cs="Arial"/>
                <w:sz w:val="18"/>
                <w:szCs w:val="18"/>
              </w:rPr>
            </w:pPr>
            <w:r w:rsidRPr="00343AC7">
              <w:rPr>
                <w:rFonts w:ascii="Arial" w:hAnsi="Arial" w:cs="Arial"/>
                <w:sz w:val="18"/>
                <w:szCs w:val="18"/>
              </w:rPr>
              <w:t>922</w:t>
            </w:r>
          </w:p>
        </w:tc>
        <w:tc>
          <w:tcPr>
            <w:tcW w:w="1216" w:type="dxa"/>
            <w:shd w:val="clear" w:color="auto" w:fill="auto"/>
            <w:noWrap/>
            <w:vAlign w:val="center"/>
            <w:hideMark/>
          </w:tcPr>
          <w:p w:rsidR="00662D46" w:rsidRPr="00343AC7" w:rsidRDefault="00662D46" w:rsidP="006B6BD4">
            <w:pPr>
              <w:spacing w:after="0"/>
              <w:jc w:val="center"/>
              <w:rPr>
                <w:rFonts w:ascii="Arial" w:hAnsi="Arial" w:cs="Arial"/>
                <w:sz w:val="18"/>
                <w:szCs w:val="18"/>
              </w:rPr>
            </w:pPr>
            <w:r w:rsidRPr="00343AC7">
              <w:rPr>
                <w:rFonts w:ascii="Arial" w:hAnsi="Arial" w:cs="Arial"/>
                <w:sz w:val="18"/>
                <w:szCs w:val="18"/>
              </w:rPr>
              <w:t>1.905</w:t>
            </w:r>
          </w:p>
        </w:tc>
        <w:tc>
          <w:tcPr>
            <w:tcW w:w="1216" w:type="dxa"/>
            <w:shd w:val="clear" w:color="auto" w:fill="auto"/>
            <w:noWrap/>
            <w:vAlign w:val="center"/>
            <w:hideMark/>
          </w:tcPr>
          <w:p w:rsidR="00662D46" w:rsidRPr="00343AC7" w:rsidRDefault="00662D46" w:rsidP="006B6BD4">
            <w:pPr>
              <w:spacing w:after="0"/>
              <w:jc w:val="center"/>
              <w:rPr>
                <w:rFonts w:ascii="Arial" w:hAnsi="Arial" w:cs="Arial"/>
                <w:sz w:val="18"/>
                <w:szCs w:val="18"/>
              </w:rPr>
            </w:pPr>
            <w:r w:rsidRPr="00343AC7">
              <w:rPr>
                <w:rFonts w:ascii="Arial" w:hAnsi="Arial" w:cs="Arial"/>
                <w:sz w:val="18"/>
                <w:szCs w:val="18"/>
              </w:rPr>
              <w:t>1.905</w:t>
            </w:r>
          </w:p>
        </w:tc>
      </w:tr>
      <w:tr w:rsidR="00662D46" w:rsidRPr="00343AC7" w:rsidTr="006B6BD4">
        <w:trPr>
          <w:trHeight w:val="300"/>
        </w:trPr>
        <w:tc>
          <w:tcPr>
            <w:tcW w:w="3176" w:type="dxa"/>
            <w:shd w:val="clear" w:color="auto" w:fill="auto"/>
            <w:noWrap/>
            <w:vAlign w:val="center"/>
            <w:hideMark/>
          </w:tcPr>
          <w:p w:rsidR="00662D46" w:rsidRPr="00343AC7" w:rsidRDefault="00662D46" w:rsidP="006B6BD4">
            <w:pPr>
              <w:spacing w:after="0"/>
              <w:jc w:val="left"/>
              <w:rPr>
                <w:rFonts w:ascii="Arial" w:hAnsi="Arial" w:cs="Arial"/>
                <w:sz w:val="18"/>
                <w:szCs w:val="18"/>
              </w:rPr>
            </w:pPr>
            <w:r w:rsidRPr="00343AC7">
              <w:rPr>
                <w:rFonts w:ascii="Arial" w:hAnsi="Arial" w:cs="Arial"/>
                <w:sz w:val="18"/>
                <w:szCs w:val="18"/>
              </w:rPr>
              <w:t>Reducción Repetición Media (0,5%)</w:t>
            </w:r>
          </w:p>
        </w:tc>
        <w:tc>
          <w:tcPr>
            <w:tcW w:w="1216" w:type="dxa"/>
            <w:shd w:val="clear" w:color="auto" w:fill="auto"/>
            <w:noWrap/>
            <w:vAlign w:val="center"/>
            <w:hideMark/>
          </w:tcPr>
          <w:p w:rsidR="00662D46" w:rsidRPr="00343AC7" w:rsidRDefault="00662D46" w:rsidP="006B6BD4">
            <w:pPr>
              <w:spacing w:after="0"/>
              <w:jc w:val="center"/>
              <w:rPr>
                <w:rFonts w:ascii="Arial" w:hAnsi="Arial" w:cs="Arial"/>
                <w:sz w:val="18"/>
                <w:szCs w:val="18"/>
              </w:rPr>
            </w:pPr>
            <w:r w:rsidRPr="00343AC7">
              <w:rPr>
                <w:rFonts w:ascii="Arial" w:hAnsi="Arial" w:cs="Arial"/>
                <w:sz w:val="18"/>
                <w:szCs w:val="18"/>
              </w:rPr>
              <w:t>199</w:t>
            </w:r>
          </w:p>
        </w:tc>
        <w:tc>
          <w:tcPr>
            <w:tcW w:w="1216" w:type="dxa"/>
            <w:shd w:val="clear" w:color="auto" w:fill="auto"/>
            <w:noWrap/>
            <w:vAlign w:val="center"/>
            <w:hideMark/>
          </w:tcPr>
          <w:p w:rsidR="00662D46" w:rsidRPr="00343AC7" w:rsidRDefault="00662D46" w:rsidP="006B6BD4">
            <w:pPr>
              <w:spacing w:after="0"/>
              <w:jc w:val="center"/>
              <w:rPr>
                <w:rFonts w:ascii="Arial" w:hAnsi="Arial" w:cs="Arial"/>
                <w:sz w:val="18"/>
                <w:szCs w:val="18"/>
              </w:rPr>
            </w:pPr>
            <w:r w:rsidRPr="00343AC7">
              <w:rPr>
                <w:rFonts w:ascii="Arial" w:hAnsi="Arial" w:cs="Arial"/>
                <w:sz w:val="18"/>
                <w:szCs w:val="18"/>
              </w:rPr>
              <w:t>496</w:t>
            </w:r>
          </w:p>
        </w:tc>
        <w:tc>
          <w:tcPr>
            <w:tcW w:w="1216" w:type="dxa"/>
            <w:shd w:val="clear" w:color="auto" w:fill="auto"/>
            <w:noWrap/>
            <w:vAlign w:val="center"/>
            <w:hideMark/>
          </w:tcPr>
          <w:p w:rsidR="00662D46" w:rsidRPr="00343AC7" w:rsidRDefault="00662D46" w:rsidP="006B6BD4">
            <w:pPr>
              <w:spacing w:after="0"/>
              <w:jc w:val="center"/>
              <w:rPr>
                <w:rFonts w:ascii="Arial" w:hAnsi="Arial" w:cs="Arial"/>
                <w:sz w:val="18"/>
                <w:szCs w:val="18"/>
              </w:rPr>
            </w:pPr>
            <w:r w:rsidRPr="00343AC7">
              <w:rPr>
                <w:rFonts w:ascii="Arial" w:hAnsi="Arial" w:cs="Arial"/>
                <w:sz w:val="18"/>
                <w:szCs w:val="18"/>
              </w:rPr>
              <w:t>1.026</w:t>
            </w:r>
          </w:p>
        </w:tc>
        <w:tc>
          <w:tcPr>
            <w:tcW w:w="1216" w:type="dxa"/>
            <w:shd w:val="clear" w:color="auto" w:fill="auto"/>
            <w:noWrap/>
            <w:vAlign w:val="center"/>
            <w:hideMark/>
          </w:tcPr>
          <w:p w:rsidR="00662D46" w:rsidRPr="00343AC7" w:rsidRDefault="00662D46" w:rsidP="006B6BD4">
            <w:pPr>
              <w:spacing w:after="0"/>
              <w:jc w:val="center"/>
              <w:rPr>
                <w:rFonts w:ascii="Arial" w:hAnsi="Arial" w:cs="Arial"/>
                <w:sz w:val="18"/>
                <w:szCs w:val="18"/>
              </w:rPr>
            </w:pPr>
            <w:r w:rsidRPr="00343AC7">
              <w:rPr>
                <w:rFonts w:ascii="Arial" w:hAnsi="Arial" w:cs="Arial"/>
                <w:sz w:val="18"/>
                <w:szCs w:val="18"/>
              </w:rPr>
              <w:t>1.026</w:t>
            </w:r>
          </w:p>
        </w:tc>
      </w:tr>
      <w:tr w:rsidR="006B6BD4" w:rsidRPr="00343AC7" w:rsidTr="006B6BD4">
        <w:trPr>
          <w:trHeight w:val="300"/>
        </w:trPr>
        <w:tc>
          <w:tcPr>
            <w:tcW w:w="3176" w:type="dxa"/>
            <w:shd w:val="clear" w:color="auto" w:fill="auto"/>
            <w:noWrap/>
            <w:vAlign w:val="center"/>
          </w:tcPr>
          <w:p w:rsidR="006B6BD4" w:rsidRPr="00343AC7" w:rsidRDefault="006B6BD4" w:rsidP="006B6BD4">
            <w:pPr>
              <w:spacing w:after="0"/>
              <w:jc w:val="left"/>
              <w:rPr>
                <w:rFonts w:ascii="Arial" w:hAnsi="Arial" w:cs="Arial"/>
                <w:sz w:val="18"/>
                <w:szCs w:val="18"/>
              </w:rPr>
            </w:pPr>
            <w:r w:rsidRPr="00343AC7">
              <w:rPr>
                <w:rFonts w:ascii="Arial" w:hAnsi="Arial" w:cs="Arial"/>
                <w:sz w:val="18"/>
                <w:szCs w:val="18"/>
              </w:rPr>
              <w:t>Ahorro Anual en USD de 2016</w:t>
            </w:r>
          </w:p>
        </w:tc>
        <w:tc>
          <w:tcPr>
            <w:tcW w:w="1216" w:type="dxa"/>
            <w:shd w:val="clear" w:color="auto" w:fill="auto"/>
            <w:noWrap/>
            <w:vAlign w:val="center"/>
          </w:tcPr>
          <w:p w:rsidR="006B6BD4" w:rsidRPr="00343AC7" w:rsidRDefault="006B6BD4" w:rsidP="006B6BD4">
            <w:pPr>
              <w:spacing w:after="0"/>
              <w:jc w:val="center"/>
              <w:rPr>
                <w:rFonts w:ascii="Arial" w:hAnsi="Arial" w:cs="Arial"/>
                <w:sz w:val="18"/>
                <w:szCs w:val="18"/>
              </w:rPr>
            </w:pPr>
            <w:r w:rsidRPr="00343AC7">
              <w:rPr>
                <w:rFonts w:ascii="Arial" w:hAnsi="Arial" w:cs="Arial"/>
                <w:sz w:val="18"/>
                <w:szCs w:val="18"/>
              </w:rPr>
              <w:t>2.070.023</w:t>
            </w:r>
          </w:p>
        </w:tc>
        <w:tc>
          <w:tcPr>
            <w:tcW w:w="1216" w:type="dxa"/>
            <w:shd w:val="clear" w:color="auto" w:fill="auto"/>
            <w:noWrap/>
            <w:vAlign w:val="center"/>
          </w:tcPr>
          <w:p w:rsidR="006B6BD4" w:rsidRPr="00343AC7" w:rsidRDefault="006B6BD4" w:rsidP="006B6BD4">
            <w:pPr>
              <w:spacing w:after="0"/>
              <w:jc w:val="center"/>
              <w:rPr>
                <w:rFonts w:ascii="Arial" w:hAnsi="Arial" w:cs="Arial"/>
                <w:sz w:val="18"/>
                <w:szCs w:val="18"/>
              </w:rPr>
            </w:pPr>
            <w:r w:rsidRPr="00343AC7">
              <w:rPr>
                <w:rFonts w:ascii="Arial" w:hAnsi="Arial" w:cs="Arial"/>
                <w:sz w:val="18"/>
                <w:szCs w:val="18"/>
              </w:rPr>
              <w:t>5.330.310</w:t>
            </w:r>
          </w:p>
        </w:tc>
        <w:tc>
          <w:tcPr>
            <w:tcW w:w="1216" w:type="dxa"/>
            <w:shd w:val="clear" w:color="auto" w:fill="auto"/>
            <w:noWrap/>
            <w:vAlign w:val="center"/>
          </w:tcPr>
          <w:p w:rsidR="006B6BD4" w:rsidRPr="00343AC7" w:rsidRDefault="006B6BD4" w:rsidP="006B6BD4">
            <w:pPr>
              <w:spacing w:after="0"/>
              <w:jc w:val="center"/>
              <w:rPr>
                <w:rFonts w:ascii="Arial" w:hAnsi="Arial" w:cs="Arial"/>
                <w:sz w:val="18"/>
                <w:szCs w:val="18"/>
              </w:rPr>
            </w:pPr>
            <w:r w:rsidRPr="00343AC7">
              <w:rPr>
                <w:rFonts w:ascii="Arial" w:hAnsi="Arial" w:cs="Arial"/>
                <w:sz w:val="18"/>
                <w:szCs w:val="18"/>
              </w:rPr>
              <w:t>11.346.453</w:t>
            </w:r>
          </w:p>
        </w:tc>
        <w:tc>
          <w:tcPr>
            <w:tcW w:w="1216" w:type="dxa"/>
            <w:shd w:val="clear" w:color="auto" w:fill="auto"/>
            <w:noWrap/>
            <w:vAlign w:val="center"/>
          </w:tcPr>
          <w:p w:rsidR="006B6BD4" w:rsidRPr="00343AC7" w:rsidRDefault="006B6BD4" w:rsidP="006B6BD4">
            <w:pPr>
              <w:spacing w:after="0"/>
              <w:jc w:val="center"/>
              <w:rPr>
                <w:rFonts w:ascii="Arial" w:hAnsi="Arial" w:cs="Arial"/>
                <w:sz w:val="18"/>
                <w:szCs w:val="18"/>
              </w:rPr>
            </w:pPr>
            <w:r w:rsidRPr="00343AC7">
              <w:rPr>
                <w:rFonts w:ascii="Arial" w:hAnsi="Arial" w:cs="Arial"/>
                <w:sz w:val="18"/>
                <w:szCs w:val="18"/>
              </w:rPr>
              <w:t>11.346.453</w:t>
            </w:r>
          </w:p>
        </w:tc>
      </w:tr>
    </w:tbl>
    <w:p w:rsidR="003A30D0" w:rsidRPr="007F4A23" w:rsidRDefault="00ED64DC" w:rsidP="00343AC7">
      <w:pPr>
        <w:spacing w:before="240"/>
        <w:rPr>
          <w:rFonts w:ascii="Arial" w:hAnsi="Arial" w:cs="Arial"/>
          <w:sz w:val="22"/>
          <w:szCs w:val="22"/>
        </w:rPr>
      </w:pPr>
      <w:r w:rsidRPr="007F4A23">
        <w:rPr>
          <w:rFonts w:ascii="Arial" w:hAnsi="Arial" w:cs="Arial"/>
          <w:sz w:val="22"/>
          <w:szCs w:val="22"/>
        </w:rPr>
        <w:t xml:space="preserve">Puesto que </w:t>
      </w:r>
      <w:r w:rsidR="002D01B2" w:rsidRPr="007F4A23">
        <w:rPr>
          <w:rFonts w:ascii="Arial" w:hAnsi="Arial" w:cs="Arial"/>
          <w:sz w:val="22"/>
          <w:szCs w:val="22"/>
        </w:rPr>
        <w:t xml:space="preserve">durante </w:t>
      </w:r>
      <w:r w:rsidRPr="007F4A23">
        <w:rPr>
          <w:rFonts w:ascii="Arial" w:hAnsi="Arial" w:cs="Arial"/>
          <w:sz w:val="22"/>
          <w:szCs w:val="22"/>
        </w:rPr>
        <w:t xml:space="preserve">los primeros años de ejecución del Programa se contempla sólo la obtención de beneficios indirectos producto de la reducción en la tasa de repetición de los cursos de 5% y que </w:t>
      </w:r>
      <w:r w:rsidR="00576666" w:rsidRPr="007F4A23">
        <w:rPr>
          <w:rFonts w:ascii="Arial" w:hAnsi="Arial" w:cs="Arial"/>
          <w:sz w:val="22"/>
          <w:szCs w:val="22"/>
        </w:rPr>
        <w:t>sólo a partir del 3 año de operación se espera atender a la totalidad de los estudiantes planificados</w:t>
      </w:r>
      <w:r w:rsidR="00DE518F" w:rsidRPr="007F4A23">
        <w:rPr>
          <w:rFonts w:ascii="Arial" w:hAnsi="Arial" w:cs="Arial"/>
          <w:sz w:val="22"/>
          <w:szCs w:val="22"/>
        </w:rPr>
        <w:t xml:space="preserve">, durante esos años el balance entre costos y beneficios arroja valores negativos. Sin embargo, en la medida en que aumenta la cantidad de estudiantes aumentan los ahorros por un menor número de repitentes y posteriormente, a partir del año 2023 comienzan a recibirse paulatinamente los flujos estimados de beneficios producto del ingreso al mercado del trabajo de un mayor </w:t>
      </w:r>
      <w:r w:rsidR="00DE518F" w:rsidRPr="007F4A23">
        <w:rPr>
          <w:rFonts w:ascii="Arial" w:hAnsi="Arial" w:cs="Arial"/>
          <w:sz w:val="22"/>
          <w:szCs w:val="22"/>
        </w:rPr>
        <w:lastRenderedPageBreak/>
        <w:t xml:space="preserve">número de estudiantes con educación terciaria completa e incompleta, esta situación se revierte por completo, lo que queda de manifiesto al comparar los costos y beneficios en valor presente en cada uno de los 3 escenarios considerados tal como se despliega en la </w:t>
      </w:r>
      <w:r w:rsidR="00DE518F" w:rsidRPr="007F4A23">
        <w:rPr>
          <w:rFonts w:ascii="Arial" w:hAnsi="Arial" w:cs="Arial"/>
          <w:sz w:val="22"/>
          <w:szCs w:val="22"/>
        </w:rPr>
        <w:fldChar w:fldCharType="begin"/>
      </w:r>
      <w:r w:rsidR="00DE518F" w:rsidRPr="007F4A23">
        <w:rPr>
          <w:rFonts w:ascii="Arial" w:hAnsi="Arial" w:cs="Arial"/>
          <w:sz w:val="22"/>
          <w:szCs w:val="22"/>
        </w:rPr>
        <w:instrText xml:space="preserve"> REF _Ref432118011 \h </w:instrText>
      </w:r>
      <w:r w:rsidR="007F4A23" w:rsidRPr="007F4A23">
        <w:rPr>
          <w:rFonts w:ascii="Arial" w:hAnsi="Arial" w:cs="Arial"/>
          <w:sz w:val="22"/>
          <w:szCs w:val="22"/>
        </w:rPr>
        <w:instrText xml:space="preserve"> \* MERGEFORMAT </w:instrText>
      </w:r>
      <w:r w:rsidR="00DE518F" w:rsidRPr="007F4A23">
        <w:rPr>
          <w:rFonts w:ascii="Arial" w:hAnsi="Arial" w:cs="Arial"/>
          <w:sz w:val="22"/>
          <w:szCs w:val="22"/>
        </w:rPr>
      </w:r>
      <w:r w:rsidR="00DE518F" w:rsidRPr="007F4A23">
        <w:rPr>
          <w:rFonts w:ascii="Arial" w:hAnsi="Arial" w:cs="Arial"/>
          <w:sz w:val="22"/>
          <w:szCs w:val="22"/>
        </w:rPr>
        <w:fldChar w:fldCharType="separate"/>
      </w:r>
      <w:r w:rsidR="00211EE7" w:rsidRPr="007F4A23">
        <w:rPr>
          <w:rFonts w:ascii="Arial" w:hAnsi="Arial" w:cs="Arial"/>
          <w:sz w:val="22"/>
          <w:szCs w:val="22"/>
        </w:rPr>
        <w:t xml:space="preserve">Tabla </w:t>
      </w:r>
      <w:r w:rsidR="00211EE7" w:rsidRPr="007F4A23">
        <w:rPr>
          <w:rFonts w:ascii="Arial" w:hAnsi="Arial" w:cs="Arial"/>
          <w:noProof/>
          <w:sz w:val="22"/>
          <w:szCs w:val="22"/>
        </w:rPr>
        <w:t>8</w:t>
      </w:r>
      <w:r w:rsidR="00DE518F" w:rsidRPr="007F4A23">
        <w:rPr>
          <w:rFonts w:ascii="Arial" w:hAnsi="Arial" w:cs="Arial"/>
          <w:sz w:val="22"/>
          <w:szCs w:val="22"/>
        </w:rPr>
        <w:fldChar w:fldCharType="end"/>
      </w:r>
      <w:r w:rsidR="00DE518F" w:rsidRPr="007F4A23">
        <w:rPr>
          <w:rFonts w:ascii="Arial" w:hAnsi="Arial" w:cs="Arial"/>
          <w:sz w:val="22"/>
          <w:szCs w:val="22"/>
        </w:rPr>
        <w:t>.</w:t>
      </w:r>
      <w:r w:rsidR="007119FE">
        <w:rPr>
          <w:rFonts w:ascii="Arial" w:hAnsi="Arial" w:cs="Arial"/>
          <w:sz w:val="22"/>
          <w:szCs w:val="22"/>
        </w:rPr>
        <w:t xml:space="preserve"> </w:t>
      </w:r>
    </w:p>
    <w:p w:rsidR="00DE518F" w:rsidRPr="00343AC7" w:rsidRDefault="00DE518F" w:rsidP="00DE518F">
      <w:pPr>
        <w:pStyle w:val="Caption"/>
        <w:keepNext/>
        <w:rPr>
          <w:rFonts w:ascii="Arial" w:hAnsi="Arial" w:cs="Arial"/>
          <w:sz w:val="18"/>
          <w:szCs w:val="18"/>
        </w:rPr>
      </w:pPr>
      <w:bookmarkStart w:id="2" w:name="_Ref432118011"/>
      <w:r w:rsidRPr="00343AC7">
        <w:rPr>
          <w:rFonts w:ascii="Arial" w:hAnsi="Arial" w:cs="Arial"/>
          <w:sz w:val="18"/>
          <w:szCs w:val="18"/>
        </w:rPr>
        <w:t xml:space="preserve">Tabla </w:t>
      </w:r>
      <w:r w:rsidRPr="00343AC7">
        <w:rPr>
          <w:rFonts w:ascii="Arial" w:hAnsi="Arial" w:cs="Arial"/>
          <w:sz w:val="18"/>
          <w:szCs w:val="18"/>
        </w:rPr>
        <w:fldChar w:fldCharType="begin"/>
      </w:r>
      <w:r w:rsidRPr="00343AC7">
        <w:rPr>
          <w:rFonts w:ascii="Arial" w:hAnsi="Arial" w:cs="Arial"/>
          <w:sz w:val="18"/>
          <w:szCs w:val="18"/>
        </w:rPr>
        <w:instrText xml:space="preserve"> SEQ Tabla \* ARABIC </w:instrText>
      </w:r>
      <w:r w:rsidRPr="00343AC7">
        <w:rPr>
          <w:rFonts w:ascii="Arial" w:hAnsi="Arial" w:cs="Arial"/>
          <w:sz w:val="18"/>
          <w:szCs w:val="18"/>
        </w:rPr>
        <w:fldChar w:fldCharType="separate"/>
      </w:r>
      <w:r w:rsidR="00211EE7" w:rsidRPr="00343AC7">
        <w:rPr>
          <w:rFonts w:ascii="Arial" w:hAnsi="Arial" w:cs="Arial"/>
          <w:noProof/>
          <w:sz w:val="18"/>
          <w:szCs w:val="18"/>
        </w:rPr>
        <w:t>8</w:t>
      </w:r>
      <w:r w:rsidRPr="00343AC7">
        <w:rPr>
          <w:rFonts w:ascii="Arial" w:hAnsi="Arial" w:cs="Arial"/>
          <w:sz w:val="18"/>
          <w:szCs w:val="18"/>
        </w:rPr>
        <w:fldChar w:fldCharType="end"/>
      </w:r>
      <w:bookmarkEnd w:id="2"/>
      <w:r w:rsidRPr="00343AC7">
        <w:rPr>
          <w:rFonts w:ascii="Arial" w:hAnsi="Arial" w:cs="Arial"/>
          <w:sz w:val="18"/>
          <w:szCs w:val="18"/>
        </w:rPr>
        <w:t>: Indicadores de Rentabilidad Social del Programa en tres escenarios</w:t>
      </w:r>
    </w:p>
    <w:tbl>
      <w:tblPr>
        <w:tblW w:w="8604" w:type="dxa"/>
        <w:tblLayout w:type="fixed"/>
        <w:tblCellMar>
          <w:left w:w="70" w:type="dxa"/>
          <w:right w:w="70" w:type="dxa"/>
        </w:tblCellMar>
        <w:tblLook w:val="04A0" w:firstRow="1" w:lastRow="0" w:firstColumn="1" w:lastColumn="0" w:noHBand="0" w:noVBand="1"/>
      </w:tblPr>
      <w:tblGrid>
        <w:gridCol w:w="2230"/>
        <w:gridCol w:w="1350"/>
        <w:gridCol w:w="1440"/>
        <w:gridCol w:w="1260"/>
        <w:gridCol w:w="1080"/>
        <w:gridCol w:w="1244"/>
      </w:tblGrid>
      <w:tr w:rsidR="00196A70" w:rsidRPr="00343AC7" w:rsidTr="0072655B">
        <w:trPr>
          <w:trHeight w:val="457"/>
        </w:trPr>
        <w:tc>
          <w:tcPr>
            <w:tcW w:w="2230" w:type="dxa"/>
            <w:tcBorders>
              <w:top w:val="nil"/>
              <w:left w:val="nil"/>
              <w:bottom w:val="nil"/>
              <w:right w:val="nil"/>
            </w:tcBorders>
            <w:shd w:val="clear" w:color="auto" w:fill="auto"/>
            <w:noWrap/>
            <w:vAlign w:val="bottom"/>
            <w:hideMark/>
          </w:tcPr>
          <w:p w:rsidR="00DE518F" w:rsidRPr="00343AC7" w:rsidRDefault="00DE518F" w:rsidP="00DE518F">
            <w:pPr>
              <w:spacing w:after="0"/>
              <w:jc w:val="left"/>
              <w:rPr>
                <w:rFonts w:ascii="Arial" w:hAnsi="Arial" w:cs="Arial"/>
                <w:b/>
                <w:sz w:val="18"/>
                <w:szCs w:val="18"/>
              </w:rPr>
            </w:pPr>
          </w:p>
        </w:tc>
        <w:tc>
          <w:tcPr>
            <w:tcW w:w="1350" w:type="dxa"/>
            <w:tcBorders>
              <w:top w:val="nil"/>
              <w:left w:val="nil"/>
              <w:bottom w:val="nil"/>
              <w:right w:val="nil"/>
            </w:tcBorders>
            <w:shd w:val="clear" w:color="auto" w:fill="auto"/>
            <w:vAlign w:val="center"/>
            <w:hideMark/>
          </w:tcPr>
          <w:p w:rsidR="00DE518F" w:rsidRPr="00343AC7" w:rsidRDefault="00DE518F" w:rsidP="0072655B">
            <w:pPr>
              <w:spacing w:after="0"/>
              <w:ind w:left="-160"/>
              <w:jc w:val="center"/>
              <w:rPr>
                <w:rFonts w:ascii="Arial" w:hAnsi="Arial" w:cs="Arial"/>
                <w:b/>
                <w:sz w:val="18"/>
                <w:szCs w:val="18"/>
              </w:rPr>
            </w:pPr>
            <w:r w:rsidRPr="00343AC7">
              <w:rPr>
                <w:rFonts w:ascii="Arial" w:hAnsi="Arial" w:cs="Arial"/>
                <w:b/>
                <w:sz w:val="18"/>
                <w:szCs w:val="18"/>
              </w:rPr>
              <w:t>VP Costos (USD)</w:t>
            </w:r>
          </w:p>
        </w:tc>
        <w:tc>
          <w:tcPr>
            <w:tcW w:w="1440" w:type="dxa"/>
            <w:tcBorders>
              <w:top w:val="nil"/>
              <w:left w:val="nil"/>
              <w:bottom w:val="nil"/>
              <w:right w:val="nil"/>
            </w:tcBorders>
            <w:shd w:val="clear" w:color="auto" w:fill="auto"/>
            <w:vAlign w:val="center"/>
            <w:hideMark/>
          </w:tcPr>
          <w:p w:rsidR="00DE518F" w:rsidRPr="00343AC7" w:rsidRDefault="00DE518F" w:rsidP="00DE518F">
            <w:pPr>
              <w:spacing w:after="0"/>
              <w:jc w:val="center"/>
              <w:rPr>
                <w:rFonts w:ascii="Arial" w:hAnsi="Arial" w:cs="Arial"/>
                <w:b/>
                <w:sz w:val="18"/>
                <w:szCs w:val="18"/>
              </w:rPr>
            </w:pPr>
            <w:r w:rsidRPr="00343AC7">
              <w:rPr>
                <w:rFonts w:ascii="Arial" w:hAnsi="Arial" w:cs="Arial"/>
                <w:b/>
                <w:sz w:val="18"/>
                <w:szCs w:val="18"/>
              </w:rPr>
              <w:t>VP Beneficios (USD)</w:t>
            </w:r>
          </w:p>
        </w:tc>
        <w:tc>
          <w:tcPr>
            <w:tcW w:w="1260" w:type="dxa"/>
            <w:tcBorders>
              <w:top w:val="nil"/>
              <w:left w:val="nil"/>
              <w:bottom w:val="nil"/>
              <w:right w:val="nil"/>
            </w:tcBorders>
            <w:shd w:val="clear" w:color="auto" w:fill="auto"/>
            <w:vAlign w:val="center"/>
            <w:hideMark/>
          </w:tcPr>
          <w:p w:rsidR="00DE518F" w:rsidRPr="00343AC7" w:rsidRDefault="00DE518F" w:rsidP="00DE518F">
            <w:pPr>
              <w:spacing w:after="0"/>
              <w:jc w:val="center"/>
              <w:rPr>
                <w:rFonts w:ascii="Arial" w:hAnsi="Arial" w:cs="Arial"/>
                <w:b/>
                <w:sz w:val="18"/>
                <w:szCs w:val="18"/>
              </w:rPr>
            </w:pPr>
            <w:r w:rsidRPr="00343AC7">
              <w:rPr>
                <w:rFonts w:ascii="Arial" w:hAnsi="Arial" w:cs="Arial"/>
                <w:b/>
                <w:sz w:val="18"/>
                <w:szCs w:val="18"/>
              </w:rPr>
              <w:t>Valor Presente Neto (USD)</w:t>
            </w:r>
          </w:p>
        </w:tc>
        <w:tc>
          <w:tcPr>
            <w:tcW w:w="1080" w:type="dxa"/>
            <w:tcBorders>
              <w:top w:val="nil"/>
              <w:left w:val="nil"/>
              <w:bottom w:val="nil"/>
              <w:right w:val="nil"/>
            </w:tcBorders>
            <w:shd w:val="clear" w:color="auto" w:fill="auto"/>
            <w:vAlign w:val="center"/>
            <w:hideMark/>
          </w:tcPr>
          <w:p w:rsidR="00DE518F" w:rsidRPr="00343AC7" w:rsidRDefault="00DE518F" w:rsidP="00DE518F">
            <w:pPr>
              <w:spacing w:after="0"/>
              <w:jc w:val="center"/>
              <w:rPr>
                <w:rFonts w:ascii="Arial" w:hAnsi="Arial" w:cs="Arial"/>
                <w:b/>
                <w:sz w:val="18"/>
                <w:szCs w:val="18"/>
              </w:rPr>
            </w:pPr>
            <w:r w:rsidRPr="00343AC7">
              <w:rPr>
                <w:rFonts w:ascii="Arial" w:hAnsi="Arial" w:cs="Arial"/>
                <w:b/>
                <w:sz w:val="18"/>
                <w:szCs w:val="18"/>
              </w:rPr>
              <w:t>Razón Beneficio</w:t>
            </w:r>
            <w:r w:rsidR="00196A70" w:rsidRPr="00343AC7">
              <w:rPr>
                <w:rFonts w:ascii="Arial" w:hAnsi="Arial" w:cs="Arial"/>
                <w:b/>
                <w:sz w:val="18"/>
                <w:szCs w:val="18"/>
              </w:rPr>
              <w:t xml:space="preserve"> </w:t>
            </w:r>
            <w:r w:rsidRPr="00343AC7">
              <w:rPr>
                <w:rFonts w:ascii="Arial" w:hAnsi="Arial" w:cs="Arial"/>
                <w:b/>
                <w:sz w:val="18"/>
                <w:szCs w:val="18"/>
              </w:rPr>
              <w:t>/Costo</w:t>
            </w:r>
          </w:p>
        </w:tc>
        <w:tc>
          <w:tcPr>
            <w:tcW w:w="1244" w:type="dxa"/>
            <w:tcBorders>
              <w:top w:val="nil"/>
              <w:left w:val="nil"/>
              <w:bottom w:val="nil"/>
              <w:right w:val="nil"/>
            </w:tcBorders>
            <w:shd w:val="clear" w:color="auto" w:fill="auto"/>
            <w:vAlign w:val="center"/>
            <w:hideMark/>
          </w:tcPr>
          <w:p w:rsidR="00DE518F" w:rsidRPr="00343AC7" w:rsidRDefault="00DE518F" w:rsidP="00DE518F">
            <w:pPr>
              <w:spacing w:after="0"/>
              <w:jc w:val="center"/>
              <w:rPr>
                <w:rFonts w:ascii="Arial" w:hAnsi="Arial" w:cs="Arial"/>
                <w:b/>
                <w:sz w:val="18"/>
                <w:szCs w:val="18"/>
              </w:rPr>
            </w:pPr>
            <w:r w:rsidRPr="00343AC7">
              <w:rPr>
                <w:rFonts w:ascii="Arial" w:hAnsi="Arial" w:cs="Arial"/>
                <w:b/>
                <w:sz w:val="18"/>
                <w:szCs w:val="18"/>
              </w:rPr>
              <w:t>TIR</w:t>
            </w:r>
          </w:p>
        </w:tc>
      </w:tr>
      <w:tr w:rsidR="00196A70" w:rsidRPr="00343AC7" w:rsidTr="0072655B">
        <w:trPr>
          <w:trHeight w:val="300"/>
        </w:trPr>
        <w:tc>
          <w:tcPr>
            <w:tcW w:w="2230" w:type="dxa"/>
            <w:tcBorders>
              <w:top w:val="nil"/>
              <w:left w:val="nil"/>
              <w:bottom w:val="nil"/>
              <w:right w:val="nil"/>
            </w:tcBorders>
            <w:shd w:val="clear" w:color="auto" w:fill="auto"/>
            <w:noWrap/>
            <w:vAlign w:val="bottom"/>
            <w:hideMark/>
          </w:tcPr>
          <w:p w:rsidR="00DE518F" w:rsidRPr="00343AC7" w:rsidRDefault="00DE518F" w:rsidP="00DE518F">
            <w:pPr>
              <w:spacing w:after="0"/>
              <w:jc w:val="left"/>
              <w:rPr>
                <w:rFonts w:ascii="Arial" w:hAnsi="Arial" w:cs="Arial"/>
                <w:sz w:val="18"/>
                <w:szCs w:val="18"/>
              </w:rPr>
            </w:pPr>
            <w:r w:rsidRPr="00343AC7">
              <w:rPr>
                <w:rFonts w:ascii="Arial" w:hAnsi="Arial" w:cs="Arial"/>
                <w:sz w:val="18"/>
                <w:szCs w:val="18"/>
              </w:rPr>
              <w:t>Escenario 1 (</w:t>
            </w:r>
            <w:r w:rsidR="00F01BCC" w:rsidRPr="00343AC7">
              <w:rPr>
                <w:rFonts w:ascii="Arial" w:hAnsi="Arial" w:cs="Arial"/>
                <w:sz w:val="18"/>
                <w:szCs w:val="18"/>
              </w:rPr>
              <w:t>2</w:t>
            </w:r>
            <w:r w:rsidRPr="00343AC7">
              <w:rPr>
                <w:rFonts w:ascii="Arial" w:hAnsi="Arial" w:cs="Arial"/>
                <w:sz w:val="18"/>
                <w:szCs w:val="18"/>
              </w:rPr>
              <w:t xml:space="preserve">% </w:t>
            </w:r>
            <w:r w:rsidR="00196A70" w:rsidRPr="00343AC7">
              <w:rPr>
                <w:rFonts w:ascii="Arial" w:hAnsi="Arial" w:cs="Arial"/>
                <w:sz w:val="18"/>
                <w:szCs w:val="18"/>
              </w:rPr>
              <w:t xml:space="preserve">aumento </w:t>
            </w:r>
            <w:r w:rsidRPr="00343AC7">
              <w:rPr>
                <w:rFonts w:ascii="Arial" w:hAnsi="Arial" w:cs="Arial"/>
                <w:sz w:val="18"/>
                <w:szCs w:val="18"/>
              </w:rPr>
              <w:t>ingreso a Ed. Sup.)</w:t>
            </w:r>
          </w:p>
        </w:tc>
        <w:tc>
          <w:tcPr>
            <w:tcW w:w="1350" w:type="dxa"/>
            <w:tcBorders>
              <w:top w:val="nil"/>
              <w:left w:val="nil"/>
              <w:bottom w:val="nil"/>
              <w:right w:val="nil"/>
            </w:tcBorders>
            <w:shd w:val="clear" w:color="auto" w:fill="auto"/>
            <w:noWrap/>
            <w:vAlign w:val="center"/>
            <w:hideMark/>
          </w:tcPr>
          <w:p w:rsidR="00DE518F" w:rsidRPr="00343AC7" w:rsidRDefault="00DF5BB3" w:rsidP="00DE518F">
            <w:pPr>
              <w:spacing w:after="0"/>
              <w:jc w:val="center"/>
              <w:rPr>
                <w:rFonts w:ascii="Arial" w:hAnsi="Arial" w:cs="Arial"/>
                <w:sz w:val="18"/>
                <w:szCs w:val="18"/>
              </w:rPr>
            </w:pPr>
            <w:r w:rsidRPr="00343AC7">
              <w:rPr>
                <w:rFonts w:ascii="Arial" w:hAnsi="Arial" w:cs="Arial"/>
                <w:sz w:val="18"/>
                <w:szCs w:val="18"/>
              </w:rPr>
              <w:t>857,008,431</w:t>
            </w:r>
          </w:p>
        </w:tc>
        <w:tc>
          <w:tcPr>
            <w:tcW w:w="1440" w:type="dxa"/>
            <w:tcBorders>
              <w:top w:val="nil"/>
              <w:left w:val="nil"/>
              <w:bottom w:val="nil"/>
              <w:right w:val="nil"/>
            </w:tcBorders>
            <w:shd w:val="clear" w:color="auto" w:fill="auto"/>
            <w:noWrap/>
            <w:vAlign w:val="center"/>
            <w:hideMark/>
          </w:tcPr>
          <w:p w:rsidR="00DE518F" w:rsidRPr="00343AC7" w:rsidRDefault="00DF5BB3" w:rsidP="00DF5BB3">
            <w:pPr>
              <w:spacing w:after="0"/>
              <w:jc w:val="center"/>
              <w:rPr>
                <w:rFonts w:ascii="Arial" w:hAnsi="Arial" w:cs="Arial"/>
                <w:sz w:val="18"/>
                <w:szCs w:val="18"/>
              </w:rPr>
            </w:pPr>
            <w:r w:rsidRPr="00343AC7">
              <w:rPr>
                <w:rFonts w:ascii="Arial" w:hAnsi="Arial" w:cs="Arial"/>
                <w:sz w:val="18"/>
                <w:szCs w:val="18"/>
              </w:rPr>
              <w:t>916,291,771</w:t>
            </w:r>
          </w:p>
        </w:tc>
        <w:tc>
          <w:tcPr>
            <w:tcW w:w="1260" w:type="dxa"/>
            <w:tcBorders>
              <w:top w:val="nil"/>
              <w:left w:val="nil"/>
              <w:bottom w:val="nil"/>
              <w:right w:val="nil"/>
            </w:tcBorders>
            <w:shd w:val="clear" w:color="auto" w:fill="auto"/>
            <w:noWrap/>
            <w:vAlign w:val="center"/>
            <w:hideMark/>
          </w:tcPr>
          <w:p w:rsidR="00DE518F" w:rsidRPr="00343AC7" w:rsidRDefault="00DF5BB3" w:rsidP="00DE518F">
            <w:pPr>
              <w:spacing w:after="0"/>
              <w:jc w:val="center"/>
              <w:rPr>
                <w:rFonts w:ascii="Arial" w:hAnsi="Arial" w:cs="Arial"/>
                <w:sz w:val="18"/>
                <w:szCs w:val="18"/>
              </w:rPr>
            </w:pPr>
            <w:r w:rsidRPr="00343AC7">
              <w:rPr>
                <w:rFonts w:ascii="Arial" w:hAnsi="Arial" w:cs="Arial"/>
                <w:sz w:val="18"/>
                <w:szCs w:val="18"/>
              </w:rPr>
              <w:t>2,878,777</w:t>
            </w:r>
          </w:p>
        </w:tc>
        <w:tc>
          <w:tcPr>
            <w:tcW w:w="1080" w:type="dxa"/>
            <w:tcBorders>
              <w:top w:val="nil"/>
              <w:left w:val="nil"/>
              <w:bottom w:val="nil"/>
              <w:right w:val="nil"/>
            </w:tcBorders>
            <w:shd w:val="clear" w:color="auto" w:fill="auto"/>
            <w:noWrap/>
            <w:vAlign w:val="center"/>
            <w:hideMark/>
          </w:tcPr>
          <w:p w:rsidR="00DE518F" w:rsidRPr="00343AC7" w:rsidRDefault="00DE518F" w:rsidP="00DE518F">
            <w:pPr>
              <w:spacing w:after="0"/>
              <w:jc w:val="center"/>
              <w:rPr>
                <w:rFonts w:ascii="Arial" w:hAnsi="Arial" w:cs="Arial"/>
                <w:sz w:val="18"/>
                <w:szCs w:val="18"/>
              </w:rPr>
            </w:pPr>
            <w:r w:rsidRPr="00343AC7">
              <w:rPr>
                <w:rFonts w:ascii="Arial" w:hAnsi="Arial" w:cs="Arial"/>
                <w:sz w:val="18"/>
                <w:szCs w:val="18"/>
              </w:rPr>
              <w:t>1,07</w:t>
            </w:r>
          </w:p>
        </w:tc>
        <w:tc>
          <w:tcPr>
            <w:tcW w:w="1244" w:type="dxa"/>
            <w:tcBorders>
              <w:top w:val="nil"/>
              <w:left w:val="nil"/>
              <w:bottom w:val="nil"/>
              <w:right w:val="nil"/>
            </w:tcBorders>
            <w:shd w:val="clear" w:color="auto" w:fill="auto"/>
            <w:noWrap/>
            <w:vAlign w:val="center"/>
            <w:hideMark/>
          </w:tcPr>
          <w:p w:rsidR="00DE518F" w:rsidRPr="00343AC7" w:rsidRDefault="00DE518F" w:rsidP="00DF5BB3">
            <w:pPr>
              <w:spacing w:after="0"/>
              <w:jc w:val="center"/>
              <w:rPr>
                <w:rFonts w:ascii="Arial" w:hAnsi="Arial" w:cs="Arial"/>
                <w:sz w:val="18"/>
                <w:szCs w:val="18"/>
              </w:rPr>
            </w:pPr>
            <w:r w:rsidRPr="00343AC7">
              <w:rPr>
                <w:rFonts w:ascii="Arial" w:hAnsi="Arial" w:cs="Arial"/>
                <w:sz w:val="18"/>
                <w:szCs w:val="18"/>
              </w:rPr>
              <w:t>12,</w:t>
            </w:r>
            <w:r w:rsidR="00DF5BB3" w:rsidRPr="00343AC7">
              <w:rPr>
                <w:rFonts w:ascii="Arial" w:hAnsi="Arial" w:cs="Arial"/>
                <w:sz w:val="18"/>
                <w:szCs w:val="18"/>
              </w:rPr>
              <w:t>1</w:t>
            </w:r>
            <w:r w:rsidRPr="00343AC7">
              <w:rPr>
                <w:rFonts w:ascii="Arial" w:hAnsi="Arial" w:cs="Arial"/>
                <w:sz w:val="18"/>
                <w:szCs w:val="18"/>
              </w:rPr>
              <w:t>%</w:t>
            </w:r>
          </w:p>
        </w:tc>
      </w:tr>
      <w:tr w:rsidR="00196A70" w:rsidRPr="00343AC7" w:rsidTr="0072655B">
        <w:trPr>
          <w:trHeight w:val="300"/>
        </w:trPr>
        <w:tc>
          <w:tcPr>
            <w:tcW w:w="2230" w:type="dxa"/>
            <w:tcBorders>
              <w:top w:val="nil"/>
              <w:left w:val="nil"/>
              <w:bottom w:val="nil"/>
              <w:right w:val="nil"/>
            </w:tcBorders>
            <w:shd w:val="clear" w:color="auto" w:fill="auto"/>
            <w:noWrap/>
            <w:vAlign w:val="bottom"/>
            <w:hideMark/>
          </w:tcPr>
          <w:p w:rsidR="00DE518F" w:rsidRPr="00343AC7" w:rsidRDefault="00DE518F" w:rsidP="00F01BCC">
            <w:pPr>
              <w:spacing w:after="0"/>
              <w:jc w:val="left"/>
              <w:rPr>
                <w:rFonts w:ascii="Arial" w:hAnsi="Arial" w:cs="Arial"/>
                <w:sz w:val="18"/>
                <w:szCs w:val="18"/>
              </w:rPr>
            </w:pPr>
            <w:r w:rsidRPr="00343AC7">
              <w:rPr>
                <w:rFonts w:ascii="Arial" w:hAnsi="Arial" w:cs="Arial"/>
                <w:sz w:val="18"/>
                <w:szCs w:val="18"/>
              </w:rPr>
              <w:t>Escenario 2 (</w:t>
            </w:r>
            <w:r w:rsidR="00F01BCC" w:rsidRPr="00343AC7">
              <w:rPr>
                <w:rFonts w:ascii="Arial" w:hAnsi="Arial" w:cs="Arial"/>
                <w:sz w:val="18"/>
                <w:szCs w:val="18"/>
              </w:rPr>
              <w:t>5</w:t>
            </w:r>
            <w:r w:rsidRPr="00343AC7">
              <w:rPr>
                <w:rFonts w:ascii="Arial" w:hAnsi="Arial" w:cs="Arial"/>
                <w:sz w:val="18"/>
                <w:szCs w:val="18"/>
              </w:rPr>
              <w:t xml:space="preserve">% </w:t>
            </w:r>
            <w:r w:rsidR="00196A70" w:rsidRPr="00343AC7">
              <w:rPr>
                <w:rFonts w:ascii="Arial" w:hAnsi="Arial" w:cs="Arial"/>
                <w:sz w:val="18"/>
                <w:szCs w:val="18"/>
              </w:rPr>
              <w:t xml:space="preserve">aumento </w:t>
            </w:r>
            <w:r w:rsidRPr="00343AC7">
              <w:rPr>
                <w:rFonts w:ascii="Arial" w:hAnsi="Arial" w:cs="Arial"/>
                <w:sz w:val="18"/>
                <w:szCs w:val="18"/>
              </w:rPr>
              <w:t>ingreso a Ed. Sup.)</w:t>
            </w:r>
          </w:p>
        </w:tc>
        <w:tc>
          <w:tcPr>
            <w:tcW w:w="1350" w:type="dxa"/>
            <w:tcBorders>
              <w:top w:val="nil"/>
              <w:left w:val="nil"/>
              <w:bottom w:val="nil"/>
              <w:right w:val="nil"/>
            </w:tcBorders>
            <w:shd w:val="clear" w:color="auto" w:fill="auto"/>
            <w:noWrap/>
            <w:vAlign w:val="center"/>
            <w:hideMark/>
          </w:tcPr>
          <w:p w:rsidR="00DE518F" w:rsidRPr="00343AC7" w:rsidRDefault="00DF5BB3" w:rsidP="00DE518F">
            <w:pPr>
              <w:spacing w:after="0"/>
              <w:jc w:val="center"/>
              <w:rPr>
                <w:rFonts w:ascii="Arial" w:hAnsi="Arial" w:cs="Arial"/>
                <w:sz w:val="18"/>
                <w:szCs w:val="18"/>
              </w:rPr>
            </w:pPr>
            <w:r w:rsidRPr="00343AC7">
              <w:rPr>
                <w:rFonts w:ascii="Arial" w:hAnsi="Arial" w:cs="Arial"/>
                <w:sz w:val="18"/>
                <w:szCs w:val="18"/>
              </w:rPr>
              <w:t>857,008,431</w:t>
            </w:r>
          </w:p>
        </w:tc>
        <w:tc>
          <w:tcPr>
            <w:tcW w:w="1440" w:type="dxa"/>
            <w:tcBorders>
              <w:top w:val="nil"/>
              <w:left w:val="nil"/>
              <w:bottom w:val="nil"/>
              <w:right w:val="nil"/>
            </w:tcBorders>
            <w:shd w:val="clear" w:color="auto" w:fill="auto"/>
            <w:noWrap/>
            <w:vAlign w:val="center"/>
            <w:hideMark/>
          </w:tcPr>
          <w:p w:rsidR="00DE518F" w:rsidRPr="00343AC7" w:rsidRDefault="00DF5BB3" w:rsidP="00DE518F">
            <w:pPr>
              <w:spacing w:after="0"/>
              <w:jc w:val="center"/>
              <w:rPr>
                <w:rFonts w:ascii="Arial" w:hAnsi="Arial" w:cs="Arial"/>
                <w:sz w:val="18"/>
                <w:szCs w:val="18"/>
              </w:rPr>
            </w:pPr>
            <w:r w:rsidRPr="00343AC7">
              <w:rPr>
                <w:rFonts w:ascii="Arial" w:hAnsi="Arial" w:cs="Arial"/>
                <w:sz w:val="18"/>
                <w:szCs w:val="18"/>
              </w:rPr>
              <w:t>989,592,165</w:t>
            </w:r>
          </w:p>
        </w:tc>
        <w:tc>
          <w:tcPr>
            <w:tcW w:w="1260" w:type="dxa"/>
            <w:tcBorders>
              <w:top w:val="nil"/>
              <w:left w:val="nil"/>
              <w:bottom w:val="nil"/>
              <w:right w:val="nil"/>
            </w:tcBorders>
            <w:shd w:val="clear" w:color="auto" w:fill="auto"/>
            <w:noWrap/>
            <w:vAlign w:val="center"/>
            <w:hideMark/>
          </w:tcPr>
          <w:p w:rsidR="00DE518F" w:rsidRPr="00343AC7" w:rsidRDefault="00DF5BB3" w:rsidP="00DE518F">
            <w:pPr>
              <w:spacing w:after="0"/>
              <w:jc w:val="center"/>
              <w:rPr>
                <w:rFonts w:ascii="Arial" w:hAnsi="Arial" w:cs="Arial"/>
                <w:sz w:val="18"/>
                <w:szCs w:val="18"/>
              </w:rPr>
            </w:pPr>
            <w:r w:rsidRPr="00343AC7">
              <w:rPr>
                <w:rFonts w:ascii="Arial" w:hAnsi="Arial" w:cs="Arial"/>
                <w:sz w:val="18"/>
                <w:szCs w:val="18"/>
              </w:rPr>
              <w:t>76,179,172</w:t>
            </w:r>
          </w:p>
        </w:tc>
        <w:tc>
          <w:tcPr>
            <w:tcW w:w="1080" w:type="dxa"/>
            <w:tcBorders>
              <w:top w:val="nil"/>
              <w:left w:val="nil"/>
              <w:bottom w:val="nil"/>
              <w:right w:val="nil"/>
            </w:tcBorders>
            <w:shd w:val="clear" w:color="auto" w:fill="auto"/>
            <w:noWrap/>
            <w:vAlign w:val="center"/>
            <w:hideMark/>
          </w:tcPr>
          <w:p w:rsidR="00DE518F" w:rsidRPr="00343AC7" w:rsidRDefault="00DE518F" w:rsidP="00DF5BB3">
            <w:pPr>
              <w:spacing w:after="0"/>
              <w:jc w:val="center"/>
              <w:rPr>
                <w:rFonts w:ascii="Arial" w:hAnsi="Arial" w:cs="Arial"/>
                <w:sz w:val="18"/>
                <w:szCs w:val="18"/>
              </w:rPr>
            </w:pPr>
            <w:r w:rsidRPr="00343AC7">
              <w:rPr>
                <w:rFonts w:ascii="Arial" w:hAnsi="Arial" w:cs="Arial"/>
                <w:sz w:val="18"/>
                <w:szCs w:val="18"/>
              </w:rPr>
              <w:t>1,</w:t>
            </w:r>
            <w:r w:rsidR="00DF5BB3" w:rsidRPr="00343AC7">
              <w:rPr>
                <w:rFonts w:ascii="Arial" w:hAnsi="Arial" w:cs="Arial"/>
                <w:sz w:val="18"/>
                <w:szCs w:val="18"/>
              </w:rPr>
              <w:t>15</w:t>
            </w:r>
          </w:p>
        </w:tc>
        <w:tc>
          <w:tcPr>
            <w:tcW w:w="1244" w:type="dxa"/>
            <w:tcBorders>
              <w:top w:val="nil"/>
              <w:left w:val="nil"/>
              <w:bottom w:val="nil"/>
              <w:right w:val="nil"/>
            </w:tcBorders>
            <w:shd w:val="clear" w:color="auto" w:fill="auto"/>
            <w:noWrap/>
            <w:vAlign w:val="center"/>
            <w:hideMark/>
          </w:tcPr>
          <w:p w:rsidR="00DE518F" w:rsidRPr="00343AC7" w:rsidRDefault="00DF5BB3" w:rsidP="00DF5BB3">
            <w:pPr>
              <w:spacing w:after="0"/>
              <w:jc w:val="center"/>
              <w:rPr>
                <w:rFonts w:ascii="Arial" w:hAnsi="Arial" w:cs="Arial"/>
                <w:sz w:val="18"/>
                <w:szCs w:val="18"/>
              </w:rPr>
            </w:pPr>
            <w:r w:rsidRPr="00343AC7">
              <w:rPr>
                <w:rFonts w:ascii="Arial" w:hAnsi="Arial" w:cs="Arial"/>
                <w:sz w:val="18"/>
                <w:szCs w:val="18"/>
              </w:rPr>
              <w:t>13.3</w:t>
            </w:r>
            <w:r w:rsidR="00DE518F" w:rsidRPr="00343AC7">
              <w:rPr>
                <w:rFonts w:ascii="Arial" w:hAnsi="Arial" w:cs="Arial"/>
                <w:sz w:val="18"/>
                <w:szCs w:val="18"/>
              </w:rPr>
              <w:t>%</w:t>
            </w:r>
          </w:p>
        </w:tc>
      </w:tr>
      <w:tr w:rsidR="00196A70" w:rsidRPr="00343AC7" w:rsidTr="0072655B">
        <w:trPr>
          <w:trHeight w:val="300"/>
        </w:trPr>
        <w:tc>
          <w:tcPr>
            <w:tcW w:w="2230" w:type="dxa"/>
            <w:tcBorders>
              <w:top w:val="nil"/>
              <w:left w:val="nil"/>
              <w:bottom w:val="nil"/>
              <w:right w:val="nil"/>
            </w:tcBorders>
            <w:shd w:val="clear" w:color="auto" w:fill="auto"/>
            <w:noWrap/>
            <w:vAlign w:val="bottom"/>
            <w:hideMark/>
          </w:tcPr>
          <w:p w:rsidR="00DE518F" w:rsidRPr="00343AC7" w:rsidRDefault="00DE518F" w:rsidP="00F01BCC">
            <w:pPr>
              <w:spacing w:after="0"/>
              <w:jc w:val="left"/>
              <w:rPr>
                <w:rFonts w:ascii="Arial" w:hAnsi="Arial" w:cs="Arial"/>
                <w:sz w:val="18"/>
                <w:szCs w:val="18"/>
              </w:rPr>
            </w:pPr>
            <w:r w:rsidRPr="00343AC7">
              <w:rPr>
                <w:rFonts w:ascii="Arial" w:hAnsi="Arial" w:cs="Arial"/>
                <w:sz w:val="18"/>
                <w:szCs w:val="18"/>
              </w:rPr>
              <w:t>Escenario 3 (</w:t>
            </w:r>
            <w:r w:rsidR="00F01BCC" w:rsidRPr="00343AC7">
              <w:rPr>
                <w:rFonts w:ascii="Arial" w:hAnsi="Arial" w:cs="Arial"/>
                <w:sz w:val="18"/>
                <w:szCs w:val="18"/>
              </w:rPr>
              <w:t>10</w:t>
            </w:r>
            <w:r w:rsidRPr="00343AC7">
              <w:rPr>
                <w:rFonts w:ascii="Arial" w:hAnsi="Arial" w:cs="Arial"/>
                <w:sz w:val="18"/>
                <w:szCs w:val="18"/>
              </w:rPr>
              <w:t xml:space="preserve">% </w:t>
            </w:r>
            <w:r w:rsidR="00196A70" w:rsidRPr="00343AC7">
              <w:rPr>
                <w:rFonts w:ascii="Arial" w:hAnsi="Arial" w:cs="Arial"/>
                <w:sz w:val="18"/>
                <w:szCs w:val="18"/>
              </w:rPr>
              <w:t xml:space="preserve">aumento </w:t>
            </w:r>
            <w:r w:rsidRPr="00343AC7">
              <w:rPr>
                <w:rFonts w:ascii="Arial" w:hAnsi="Arial" w:cs="Arial"/>
                <w:sz w:val="18"/>
                <w:szCs w:val="18"/>
              </w:rPr>
              <w:t>ingreso a Ed. Sup.)</w:t>
            </w:r>
          </w:p>
        </w:tc>
        <w:tc>
          <w:tcPr>
            <w:tcW w:w="1350" w:type="dxa"/>
            <w:tcBorders>
              <w:top w:val="nil"/>
              <w:left w:val="nil"/>
              <w:bottom w:val="nil"/>
              <w:right w:val="nil"/>
            </w:tcBorders>
            <w:shd w:val="clear" w:color="auto" w:fill="auto"/>
            <w:noWrap/>
            <w:vAlign w:val="center"/>
            <w:hideMark/>
          </w:tcPr>
          <w:p w:rsidR="00DE518F" w:rsidRPr="00343AC7" w:rsidRDefault="00DF5BB3" w:rsidP="00DE518F">
            <w:pPr>
              <w:spacing w:after="0"/>
              <w:jc w:val="center"/>
              <w:rPr>
                <w:rFonts w:ascii="Arial" w:hAnsi="Arial" w:cs="Arial"/>
                <w:sz w:val="18"/>
                <w:szCs w:val="18"/>
              </w:rPr>
            </w:pPr>
            <w:r w:rsidRPr="00343AC7">
              <w:rPr>
                <w:rFonts w:ascii="Arial" w:hAnsi="Arial" w:cs="Arial"/>
                <w:sz w:val="18"/>
                <w:szCs w:val="18"/>
              </w:rPr>
              <w:t>857,008,431</w:t>
            </w:r>
          </w:p>
        </w:tc>
        <w:tc>
          <w:tcPr>
            <w:tcW w:w="1440" w:type="dxa"/>
            <w:tcBorders>
              <w:top w:val="nil"/>
              <w:left w:val="nil"/>
              <w:bottom w:val="nil"/>
              <w:right w:val="nil"/>
            </w:tcBorders>
            <w:shd w:val="clear" w:color="auto" w:fill="auto"/>
            <w:noWrap/>
            <w:vAlign w:val="center"/>
            <w:hideMark/>
          </w:tcPr>
          <w:p w:rsidR="00DE518F" w:rsidRPr="00343AC7" w:rsidRDefault="00DF5BB3" w:rsidP="00DE518F">
            <w:pPr>
              <w:spacing w:after="0"/>
              <w:jc w:val="center"/>
              <w:rPr>
                <w:rFonts w:ascii="Arial" w:hAnsi="Arial" w:cs="Arial"/>
                <w:sz w:val="18"/>
                <w:szCs w:val="18"/>
              </w:rPr>
            </w:pPr>
            <w:r w:rsidRPr="00343AC7">
              <w:rPr>
                <w:rFonts w:ascii="Arial" w:hAnsi="Arial" w:cs="Arial"/>
                <w:sz w:val="18"/>
                <w:szCs w:val="18"/>
              </w:rPr>
              <w:t>1,111,759,490</w:t>
            </w:r>
          </w:p>
        </w:tc>
        <w:tc>
          <w:tcPr>
            <w:tcW w:w="1260" w:type="dxa"/>
            <w:tcBorders>
              <w:top w:val="nil"/>
              <w:left w:val="nil"/>
              <w:bottom w:val="nil"/>
              <w:right w:val="nil"/>
            </w:tcBorders>
            <w:shd w:val="clear" w:color="auto" w:fill="auto"/>
            <w:noWrap/>
            <w:vAlign w:val="center"/>
            <w:hideMark/>
          </w:tcPr>
          <w:p w:rsidR="00DE518F" w:rsidRPr="00343AC7" w:rsidRDefault="00DF5BB3" w:rsidP="00DE518F">
            <w:pPr>
              <w:spacing w:after="0"/>
              <w:jc w:val="center"/>
              <w:rPr>
                <w:rFonts w:ascii="Arial" w:hAnsi="Arial" w:cs="Arial"/>
                <w:sz w:val="18"/>
                <w:szCs w:val="18"/>
              </w:rPr>
            </w:pPr>
            <w:r w:rsidRPr="00343AC7">
              <w:rPr>
                <w:rFonts w:ascii="Arial" w:hAnsi="Arial" w:cs="Arial"/>
                <w:sz w:val="18"/>
                <w:szCs w:val="18"/>
              </w:rPr>
              <w:t>198,346,496</w:t>
            </w:r>
          </w:p>
        </w:tc>
        <w:tc>
          <w:tcPr>
            <w:tcW w:w="1080" w:type="dxa"/>
            <w:tcBorders>
              <w:top w:val="nil"/>
              <w:left w:val="nil"/>
              <w:bottom w:val="nil"/>
              <w:right w:val="nil"/>
            </w:tcBorders>
            <w:shd w:val="clear" w:color="auto" w:fill="auto"/>
            <w:noWrap/>
            <w:vAlign w:val="center"/>
            <w:hideMark/>
          </w:tcPr>
          <w:p w:rsidR="00DE518F" w:rsidRPr="00343AC7" w:rsidRDefault="00DE518F" w:rsidP="00DF5BB3">
            <w:pPr>
              <w:spacing w:after="0"/>
              <w:jc w:val="center"/>
              <w:rPr>
                <w:rFonts w:ascii="Arial" w:hAnsi="Arial" w:cs="Arial"/>
                <w:sz w:val="18"/>
                <w:szCs w:val="18"/>
              </w:rPr>
            </w:pPr>
            <w:r w:rsidRPr="00343AC7">
              <w:rPr>
                <w:rFonts w:ascii="Arial" w:hAnsi="Arial" w:cs="Arial"/>
                <w:sz w:val="18"/>
                <w:szCs w:val="18"/>
              </w:rPr>
              <w:t>1,</w:t>
            </w:r>
            <w:r w:rsidR="00DF5BB3" w:rsidRPr="00343AC7">
              <w:rPr>
                <w:rFonts w:ascii="Arial" w:hAnsi="Arial" w:cs="Arial"/>
                <w:sz w:val="18"/>
                <w:szCs w:val="18"/>
              </w:rPr>
              <w:t>30</w:t>
            </w:r>
          </w:p>
        </w:tc>
        <w:tc>
          <w:tcPr>
            <w:tcW w:w="1244" w:type="dxa"/>
            <w:tcBorders>
              <w:top w:val="nil"/>
              <w:left w:val="nil"/>
              <w:bottom w:val="nil"/>
              <w:right w:val="nil"/>
            </w:tcBorders>
            <w:shd w:val="clear" w:color="auto" w:fill="auto"/>
            <w:noWrap/>
            <w:vAlign w:val="center"/>
            <w:hideMark/>
          </w:tcPr>
          <w:p w:rsidR="00DE518F" w:rsidRPr="00343AC7" w:rsidRDefault="00DE518F" w:rsidP="00DF5BB3">
            <w:pPr>
              <w:spacing w:after="0"/>
              <w:jc w:val="center"/>
              <w:rPr>
                <w:rFonts w:ascii="Arial" w:hAnsi="Arial" w:cs="Arial"/>
                <w:sz w:val="18"/>
                <w:szCs w:val="18"/>
              </w:rPr>
            </w:pPr>
            <w:r w:rsidRPr="00343AC7">
              <w:rPr>
                <w:rFonts w:ascii="Arial" w:hAnsi="Arial" w:cs="Arial"/>
                <w:sz w:val="18"/>
                <w:szCs w:val="18"/>
              </w:rPr>
              <w:t>15,</w:t>
            </w:r>
            <w:r w:rsidR="00DF5BB3" w:rsidRPr="00343AC7">
              <w:rPr>
                <w:rFonts w:ascii="Arial" w:hAnsi="Arial" w:cs="Arial"/>
                <w:sz w:val="18"/>
                <w:szCs w:val="18"/>
              </w:rPr>
              <w:t>0</w:t>
            </w:r>
            <w:r w:rsidRPr="00343AC7">
              <w:rPr>
                <w:rFonts w:ascii="Arial" w:hAnsi="Arial" w:cs="Arial"/>
                <w:sz w:val="18"/>
                <w:szCs w:val="18"/>
              </w:rPr>
              <w:t>%</w:t>
            </w:r>
          </w:p>
        </w:tc>
      </w:tr>
    </w:tbl>
    <w:p w:rsidR="00821A0A" w:rsidRPr="007F4A23" w:rsidRDefault="00821A0A" w:rsidP="00DE518F">
      <w:pPr>
        <w:spacing w:after="0"/>
        <w:jc w:val="left"/>
        <w:rPr>
          <w:rFonts w:ascii="Arial" w:hAnsi="Arial" w:cs="Arial"/>
          <w:sz w:val="22"/>
          <w:szCs w:val="22"/>
        </w:rPr>
      </w:pPr>
    </w:p>
    <w:p w:rsidR="00821A0A" w:rsidRPr="007F4A23" w:rsidRDefault="00821A0A" w:rsidP="00821A0A">
      <w:pPr>
        <w:rPr>
          <w:rFonts w:ascii="Arial" w:hAnsi="Arial" w:cs="Arial"/>
          <w:sz w:val="22"/>
          <w:szCs w:val="22"/>
        </w:rPr>
      </w:pPr>
      <w:r w:rsidRPr="007F4A23">
        <w:rPr>
          <w:rFonts w:ascii="Arial" w:hAnsi="Arial" w:cs="Arial"/>
          <w:sz w:val="22"/>
          <w:szCs w:val="22"/>
        </w:rPr>
        <w:t>Sobre la base de los supuestos y los procedimientos descritos se observa que en los tres escenarios considerados el programa presenta beneficios netos que superan la sumatoria de la inversión y los costos anuales de operación del Programa. También debe señalarse que el hecho de que se imponga como horizonte de evaluación del Programa el lapso de 30 años no perjudica significativamente la rentabilidad del proyecto por no considerar el valor presente de flujos netos positivos que podrían generarse a partir del año 31 puesto que la tasa de descuento de 12% castiga significativamente los valores beneficios que se ha estimado en los años finales y posteriores al horizonte de evaluación.</w:t>
      </w:r>
    </w:p>
    <w:p w:rsidR="00211EE7" w:rsidRPr="007F4A23" w:rsidRDefault="00211EE7">
      <w:pPr>
        <w:spacing w:after="0"/>
        <w:jc w:val="left"/>
        <w:rPr>
          <w:rFonts w:ascii="Arial" w:hAnsi="Arial" w:cs="Arial"/>
          <w:b/>
          <w:smallCaps/>
          <w:sz w:val="22"/>
          <w:szCs w:val="22"/>
        </w:rPr>
      </w:pPr>
    </w:p>
    <w:p w:rsidR="00211EE7" w:rsidRPr="007F4A23" w:rsidRDefault="00821A0A" w:rsidP="00821A0A">
      <w:pPr>
        <w:pStyle w:val="Heading1"/>
        <w:rPr>
          <w:rFonts w:ascii="Arial" w:hAnsi="Arial" w:cs="Arial"/>
          <w:sz w:val="22"/>
          <w:szCs w:val="22"/>
        </w:rPr>
      </w:pPr>
      <w:r w:rsidRPr="007F4A23">
        <w:rPr>
          <w:rFonts w:ascii="Arial" w:hAnsi="Arial" w:cs="Arial"/>
          <w:sz w:val="22"/>
          <w:szCs w:val="22"/>
        </w:rPr>
        <w:t>Consideraciones finales</w:t>
      </w:r>
    </w:p>
    <w:p w:rsidR="00750A0D" w:rsidRPr="007F4A23" w:rsidRDefault="00211EE7" w:rsidP="00211EE7">
      <w:pPr>
        <w:rPr>
          <w:rFonts w:ascii="Arial" w:hAnsi="Arial" w:cs="Arial"/>
          <w:sz w:val="22"/>
          <w:szCs w:val="22"/>
        </w:rPr>
      </w:pPr>
      <w:r w:rsidRPr="007F4A23">
        <w:rPr>
          <w:rFonts w:ascii="Arial" w:hAnsi="Arial" w:cs="Arial"/>
          <w:sz w:val="22"/>
          <w:szCs w:val="22"/>
        </w:rPr>
        <w:t xml:space="preserve">Las estimaciones </w:t>
      </w:r>
      <w:r w:rsidR="00750A0D" w:rsidRPr="007F4A23">
        <w:rPr>
          <w:rFonts w:ascii="Arial" w:hAnsi="Arial" w:cs="Arial"/>
          <w:sz w:val="22"/>
          <w:szCs w:val="22"/>
        </w:rPr>
        <w:t xml:space="preserve">de beneficios directos </w:t>
      </w:r>
      <w:r w:rsidRPr="007F4A23">
        <w:rPr>
          <w:rFonts w:ascii="Arial" w:hAnsi="Arial" w:cs="Arial"/>
          <w:sz w:val="22"/>
          <w:szCs w:val="22"/>
        </w:rPr>
        <w:t>implementadas para la evaluación costo/beneficio del Programa de Fortalecimiento de la Gestión del Sector Educativo</w:t>
      </w:r>
      <w:r w:rsidR="00750A0D" w:rsidRPr="007F4A23">
        <w:rPr>
          <w:rFonts w:ascii="Arial" w:hAnsi="Arial" w:cs="Arial"/>
          <w:sz w:val="22"/>
          <w:szCs w:val="22"/>
        </w:rPr>
        <w:t xml:space="preserve"> se fundamentan principalmente en el efecto de una mayor cantidad de egresados de educación secundaria y por consiguiente, una mayor cantidad de personas que habiendo terminado o no dicho nivel educacional gozarán de salarios mayores que los que hubieran obtenido por el término de su educación secundaria, habiéndose estimado dichos premios mediante regresiones de Mincer tanto para el caso de los Titulados como de los no titulados en Educación terciaria. </w:t>
      </w:r>
    </w:p>
    <w:p w:rsidR="001277DA" w:rsidRPr="007F4A23" w:rsidRDefault="00750A0D" w:rsidP="00211EE7">
      <w:pPr>
        <w:rPr>
          <w:rFonts w:ascii="Arial" w:hAnsi="Arial" w:cs="Arial"/>
          <w:sz w:val="22"/>
          <w:szCs w:val="22"/>
        </w:rPr>
      </w:pPr>
      <w:r w:rsidRPr="007F4A23">
        <w:rPr>
          <w:rFonts w:ascii="Arial" w:hAnsi="Arial" w:cs="Arial"/>
          <w:sz w:val="22"/>
          <w:szCs w:val="22"/>
        </w:rPr>
        <w:t>Sin embargo</w:t>
      </w:r>
      <w:r w:rsidR="003D15A6" w:rsidRPr="007F4A23">
        <w:rPr>
          <w:rFonts w:ascii="Arial" w:hAnsi="Arial" w:cs="Arial"/>
          <w:sz w:val="22"/>
          <w:szCs w:val="22"/>
        </w:rPr>
        <w:t>,</w:t>
      </w:r>
      <w:r w:rsidRPr="007F4A23">
        <w:rPr>
          <w:rFonts w:ascii="Arial" w:hAnsi="Arial" w:cs="Arial"/>
          <w:sz w:val="22"/>
          <w:szCs w:val="22"/>
        </w:rPr>
        <w:t xml:space="preserve"> no obstante la importancia de los beneficios directos recién descritos, </w:t>
      </w:r>
      <w:r w:rsidR="003D15A6" w:rsidRPr="007F4A23">
        <w:rPr>
          <w:rFonts w:ascii="Arial" w:hAnsi="Arial" w:cs="Arial"/>
          <w:sz w:val="22"/>
          <w:szCs w:val="22"/>
        </w:rPr>
        <w:t>la gran cantidad de estudiantes que concurrirán a colegios adscritos al área de cobertura de las 31 SLE contempladas en el programa ocasiona que cualquier pequeña reducción en la tasa de repitencia genere un importante ahorro en los costos de operación del Sistema</w:t>
      </w:r>
      <w:r w:rsidR="00B66353" w:rsidRPr="007F4A23">
        <w:rPr>
          <w:rFonts w:ascii="Arial" w:hAnsi="Arial" w:cs="Arial"/>
          <w:sz w:val="22"/>
          <w:szCs w:val="22"/>
        </w:rPr>
        <w:t>. En efecto, si se considera que la actual tasa de repitencia de los establecimientos municipales es de 5,53%</w:t>
      </w:r>
      <w:r w:rsidR="00852DFA" w:rsidRPr="007F4A23">
        <w:rPr>
          <w:rFonts w:ascii="Arial" w:hAnsi="Arial" w:cs="Arial"/>
          <w:sz w:val="22"/>
          <w:szCs w:val="22"/>
        </w:rPr>
        <w:t>,</w:t>
      </w:r>
      <w:r w:rsidR="00B66353" w:rsidRPr="007F4A23">
        <w:rPr>
          <w:rFonts w:ascii="Arial" w:hAnsi="Arial" w:cs="Arial"/>
          <w:sz w:val="22"/>
          <w:szCs w:val="22"/>
        </w:rPr>
        <w:t xml:space="preserve"> una reducción de 0,5% </w:t>
      </w:r>
      <w:r w:rsidR="00852DFA" w:rsidRPr="007F4A23">
        <w:rPr>
          <w:rFonts w:ascii="Arial" w:hAnsi="Arial" w:cs="Arial"/>
          <w:sz w:val="22"/>
          <w:szCs w:val="22"/>
        </w:rPr>
        <w:t xml:space="preserve">en ella </w:t>
      </w:r>
      <w:r w:rsidR="00B66353" w:rsidRPr="007F4A23">
        <w:rPr>
          <w:rFonts w:ascii="Arial" w:hAnsi="Arial" w:cs="Arial"/>
          <w:sz w:val="22"/>
          <w:szCs w:val="22"/>
        </w:rPr>
        <w:t>genera beneficios cuyo valor actual superaría en 7 veces el valor actual de los beneficios directos, escenario que resulta verosímil considerando la tasa de repitencia actual de los establecimientos particulares subvencionados (4,53%) y privados (1,27%)</w:t>
      </w:r>
      <w:r w:rsidR="00852DFA" w:rsidRPr="007F4A23">
        <w:rPr>
          <w:rFonts w:ascii="Arial" w:hAnsi="Arial" w:cs="Arial"/>
          <w:sz w:val="22"/>
          <w:szCs w:val="22"/>
        </w:rPr>
        <w:t>.</w:t>
      </w:r>
      <w:r w:rsidR="00B75D79" w:rsidRPr="007F4A23">
        <w:rPr>
          <w:rFonts w:ascii="Arial" w:hAnsi="Arial" w:cs="Arial"/>
          <w:sz w:val="22"/>
          <w:szCs w:val="22"/>
        </w:rPr>
        <w:t xml:space="preserve"> Adicional a esta constatación debe considerarse que en la estimación de estos beneficios indirectos no se ha incorporado la estimación de beneficios producto de la reducción en el costo de oportunidad para la sociedad de posponer el ingreso al mercado del trabajo de estos individuos.</w:t>
      </w:r>
    </w:p>
    <w:p w:rsidR="00852DFA" w:rsidRPr="007F4A23" w:rsidRDefault="00940A39" w:rsidP="00211EE7">
      <w:pPr>
        <w:rPr>
          <w:rFonts w:ascii="Arial" w:hAnsi="Arial" w:cs="Arial"/>
          <w:sz w:val="22"/>
          <w:szCs w:val="22"/>
        </w:rPr>
      </w:pPr>
      <w:r w:rsidRPr="007F4A23">
        <w:rPr>
          <w:rFonts w:ascii="Arial" w:hAnsi="Arial" w:cs="Arial"/>
          <w:sz w:val="22"/>
          <w:szCs w:val="22"/>
        </w:rPr>
        <w:t>Por otro lado</w:t>
      </w:r>
      <w:r w:rsidR="00B75D79" w:rsidRPr="007F4A23">
        <w:rPr>
          <w:rFonts w:ascii="Arial" w:hAnsi="Arial" w:cs="Arial"/>
          <w:sz w:val="22"/>
          <w:szCs w:val="22"/>
        </w:rPr>
        <w:t xml:space="preserve">, debe considerarse el hecho de que más allá de que en la estimación de los efectos directos del Programa sólo se consideró el aumento en la proporción de ingresados a la educación superior, resulta razonable suponer que el Programa también podría tener efectos en la proporción de sujetos que terminan sus estudios </w:t>
      </w:r>
      <w:r w:rsidR="00B75D79" w:rsidRPr="007F4A23">
        <w:rPr>
          <w:rFonts w:ascii="Arial" w:hAnsi="Arial" w:cs="Arial"/>
          <w:sz w:val="22"/>
          <w:szCs w:val="22"/>
        </w:rPr>
        <w:lastRenderedPageBreak/>
        <w:t xml:space="preserve">post secundarios lo que aumentaría adicionalmente el monto de los beneficios directos estimados, tarea que no se ha considerado en esa evaluación por no contar con evidencia que permita establecer </w:t>
      </w:r>
      <w:r w:rsidR="00CB2A37" w:rsidRPr="007F4A23">
        <w:rPr>
          <w:rFonts w:ascii="Arial" w:hAnsi="Arial" w:cs="Arial"/>
          <w:sz w:val="22"/>
          <w:szCs w:val="22"/>
        </w:rPr>
        <w:t>una relación entre este tipo de inversiones y el aumento en la proporción de sujetos que terminan la educación superior, circunstancia que da cuenta de que incluso los resultados positivos observados en los tres escenarios son el producto de supuestos más bien moderados respecto de otros beneficios del Programa.</w:t>
      </w:r>
    </w:p>
    <w:p w:rsidR="00334102" w:rsidRPr="007F4A23" w:rsidRDefault="00334102" w:rsidP="00211EE7">
      <w:pPr>
        <w:rPr>
          <w:rFonts w:ascii="Arial" w:hAnsi="Arial" w:cs="Arial"/>
          <w:sz w:val="22"/>
          <w:szCs w:val="22"/>
        </w:rPr>
      </w:pPr>
      <w:r w:rsidRPr="007F4A23">
        <w:rPr>
          <w:rFonts w:ascii="Arial" w:hAnsi="Arial" w:cs="Arial"/>
          <w:sz w:val="22"/>
          <w:szCs w:val="22"/>
        </w:rPr>
        <w:t>Finalmente, debe decirse que las estimaciones realizadas en este estudio se consideran un piso ya que no incorporan externalidades positivas asociadas a mejoras en la educación de la población, tales como el impacto en menor criminalidad y drogadicción o ahorros en gastos en salud.</w:t>
      </w:r>
    </w:p>
    <w:p w:rsidR="00750A0D" w:rsidRPr="007F4A23" w:rsidRDefault="00750A0D">
      <w:pPr>
        <w:spacing w:after="0"/>
        <w:jc w:val="left"/>
        <w:rPr>
          <w:rFonts w:ascii="Arial" w:hAnsi="Arial" w:cs="Arial"/>
          <w:sz w:val="22"/>
          <w:szCs w:val="22"/>
          <w:lang w:val="es-CL" w:eastAsia="es-CL"/>
        </w:rPr>
      </w:pPr>
      <w:r w:rsidRPr="007F4A23">
        <w:rPr>
          <w:rFonts w:ascii="Arial" w:hAnsi="Arial" w:cs="Arial"/>
          <w:sz w:val="22"/>
          <w:szCs w:val="22"/>
        </w:rPr>
        <w:br w:type="page"/>
      </w:r>
    </w:p>
    <w:p w:rsidR="005A4393" w:rsidRPr="007F4A23" w:rsidRDefault="005A4393" w:rsidP="005A4393">
      <w:pPr>
        <w:pStyle w:val="Heading1"/>
        <w:numPr>
          <w:ilvl w:val="0"/>
          <w:numId w:val="0"/>
        </w:numPr>
        <w:jc w:val="both"/>
        <w:divId w:val="411853866"/>
        <w:rPr>
          <w:rFonts w:ascii="Arial" w:hAnsi="Arial" w:cs="Arial"/>
          <w:sz w:val="22"/>
          <w:szCs w:val="22"/>
        </w:rPr>
      </w:pPr>
      <w:r w:rsidRPr="007F4A23">
        <w:rPr>
          <w:rFonts w:ascii="Arial" w:hAnsi="Arial" w:cs="Arial"/>
          <w:sz w:val="22"/>
          <w:szCs w:val="22"/>
        </w:rPr>
        <w:lastRenderedPageBreak/>
        <w:t>REFERENCIAS</w:t>
      </w:r>
    </w:p>
    <w:p w:rsidR="005A4393" w:rsidRPr="005002EE" w:rsidRDefault="00222A4E">
      <w:pPr>
        <w:pStyle w:val="NormalWeb"/>
        <w:ind w:left="480" w:hanging="480"/>
        <w:divId w:val="411853866"/>
        <w:rPr>
          <w:rFonts w:ascii="Arial" w:eastAsiaTheme="minorEastAsia" w:hAnsi="Arial" w:cs="Arial"/>
          <w:sz w:val="22"/>
          <w:szCs w:val="22"/>
          <w:lang w:val="en-US"/>
        </w:rPr>
      </w:pPr>
      <w:r w:rsidRPr="007F4A23">
        <w:rPr>
          <w:rFonts w:ascii="Arial" w:hAnsi="Arial" w:cs="Arial"/>
          <w:sz w:val="22"/>
          <w:szCs w:val="22"/>
        </w:rPr>
        <w:fldChar w:fldCharType="begin" w:fldLock="1"/>
      </w:r>
      <w:r w:rsidRPr="007F4A23">
        <w:rPr>
          <w:rFonts w:ascii="Arial" w:hAnsi="Arial" w:cs="Arial"/>
          <w:sz w:val="22"/>
          <w:szCs w:val="22"/>
        </w:rPr>
        <w:instrText xml:space="preserve">ADDIN Mendeley Bibliography CSL_BIBLIOGRAPHY </w:instrText>
      </w:r>
      <w:r w:rsidRPr="007F4A23">
        <w:rPr>
          <w:rFonts w:ascii="Arial" w:hAnsi="Arial" w:cs="Arial"/>
          <w:sz w:val="22"/>
          <w:szCs w:val="22"/>
        </w:rPr>
        <w:fldChar w:fldCharType="separate"/>
      </w:r>
      <w:r w:rsidR="005A4393" w:rsidRPr="007F4A23">
        <w:rPr>
          <w:rFonts w:ascii="Arial" w:hAnsi="Arial" w:cs="Arial"/>
          <w:noProof/>
          <w:sz w:val="22"/>
          <w:szCs w:val="22"/>
        </w:rPr>
        <w:t xml:space="preserve">Arellano, S. &amp; Braun, M., 1999. Rentabilidad de la educacion formal en Chile. </w:t>
      </w:r>
      <w:r w:rsidR="005A4393" w:rsidRPr="005002EE">
        <w:rPr>
          <w:rFonts w:ascii="Arial" w:hAnsi="Arial" w:cs="Arial"/>
          <w:i/>
          <w:sz w:val="22"/>
          <w:szCs w:val="22"/>
          <w:lang w:val="en-US"/>
        </w:rPr>
        <w:t>Cuadernos de Economia</w:t>
      </w:r>
      <w:r w:rsidR="005A4393" w:rsidRPr="005002EE">
        <w:rPr>
          <w:rFonts w:ascii="Arial" w:hAnsi="Arial" w:cs="Arial"/>
          <w:sz w:val="22"/>
          <w:szCs w:val="22"/>
          <w:lang w:val="en-US"/>
        </w:rPr>
        <w:t>, 36(107), pp.685–724.</w:t>
      </w:r>
    </w:p>
    <w:p w:rsidR="005A4393" w:rsidRPr="007F4A23" w:rsidRDefault="005A4393">
      <w:pPr>
        <w:pStyle w:val="NormalWeb"/>
        <w:ind w:left="480" w:hanging="480"/>
        <w:divId w:val="411853866"/>
        <w:rPr>
          <w:rFonts w:ascii="Arial" w:hAnsi="Arial" w:cs="Arial"/>
          <w:noProof/>
          <w:sz w:val="22"/>
          <w:szCs w:val="22"/>
          <w:lang w:val="en-US"/>
        </w:rPr>
      </w:pPr>
      <w:r w:rsidRPr="007F4A23">
        <w:rPr>
          <w:rFonts w:ascii="Arial" w:hAnsi="Arial" w:cs="Arial"/>
          <w:noProof/>
          <w:sz w:val="22"/>
          <w:szCs w:val="22"/>
          <w:lang w:val="en-US"/>
        </w:rPr>
        <w:t>Contreras, D. et al., 2012. The origins of inequality in chile. , pp.1–36.</w:t>
      </w:r>
    </w:p>
    <w:p w:rsidR="005A4393" w:rsidRPr="007F4A23" w:rsidRDefault="005A4393">
      <w:pPr>
        <w:pStyle w:val="NormalWeb"/>
        <w:ind w:left="480" w:hanging="480"/>
        <w:divId w:val="411853866"/>
        <w:rPr>
          <w:rFonts w:ascii="Arial" w:hAnsi="Arial" w:cs="Arial"/>
          <w:noProof/>
          <w:sz w:val="22"/>
          <w:szCs w:val="22"/>
          <w:lang w:val="en-US"/>
        </w:rPr>
      </w:pPr>
      <w:r w:rsidRPr="007F4A23">
        <w:rPr>
          <w:rFonts w:ascii="Arial" w:hAnsi="Arial" w:cs="Arial"/>
          <w:noProof/>
          <w:sz w:val="22"/>
          <w:szCs w:val="22"/>
        </w:rPr>
        <w:t xml:space="preserve">González, M., Elizalde, L. &amp; Rolando, R., 2014. Transición de a Educación Superior. , p.15. </w:t>
      </w:r>
      <w:r w:rsidRPr="007F4A23">
        <w:rPr>
          <w:rFonts w:ascii="Arial" w:hAnsi="Arial" w:cs="Arial"/>
          <w:noProof/>
          <w:sz w:val="22"/>
          <w:szCs w:val="22"/>
          <w:lang w:val="en-US"/>
        </w:rPr>
        <w:t>Available at: http://www.mifuturo.cl/images/Estudios/Estudios_SIES_DIVESUP/transicion_cohorte_2006_a_ed_superior_2014.pdf.</w:t>
      </w:r>
    </w:p>
    <w:p w:rsidR="005A4393" w:rsidRPr="007F4A23" w:rsidRDefault="005A4393">
      <w:pPr>
        <w:pStyle w:val="NormalWeb"/>
        <w:ind w:left="480" w:hanging="480"/>
        <w:divId w:val="411853866"/>
        <w:rPr>
          <w:rFonts w:ascii="Arial" w:hAnsi="Arial" w:cs="Arial"/>
          <w:noProof/>
          <w:sz w:val="22"/>
          <w:szCs w:val="22"/>
          <w:lang w:val="en-US"/>
        </w:rPr>
      </w:pPr>
      <w:r w:rsidRPr="007F4A23">
        <w:rPr>
          <w:rFonts w:ascii="Arial" w:hAnsi="Arial" w:cs="Arial"/>
          <w:noProof/>
          <w:sz w:val="22"/>
          <w:szCs w:val="22"/>
          <w:lang w:val="fr-FR"/>
        </w:rPr>
        <w:t xml:space="preserve">Honig, M.I. et al., 2010. </w:t>
      </w:r>
      <w:r w:rsidRPr="007F4A23">
        <w:rPr>
          <w:rFonts w:ascii="Arial" w:hAnsi="Arial" w:cs="Arial"/>
          <w:noProof/>
          <w:sz w:val="22"/>
          <w:szCs w:val="22"/>
          <w:lang w:val="en-US"/>
        </w:rPr>
        <w:t>Central Office Transformation for District-wide Teaching and Learning Improvement – Executive Summary The Study of Leadership for Learning Improvement. , (April).</w:t>
      </w:r>
    </w:p>
    <w:p w:rsidR="005A4393" w:rsidRPr="007F4A23" w:rsidRDefault="005A4393">
      <w:pPr>
        <w:pStyle w:val="NormalWeb"/>
        <w:ind w:left="480" w:hanging="480"/>
        <w:divId w:val="411853866"/>
        <w:rPr>
          <w:rFonts w:ascii="Arial" w:hAnsi="Arial" w:cs="Arial"/>
          <w:noProof/>
          <w:sz w:val="22"/>
          <w:szCs w:val="22"/>
          <w:lang w:val="en-US"/>
        </w:rPr>
      </w:pPr>
      <w:r w:rsidRPr="007F4A23">
        <w:rPr>
          <w:rFonts w:ascii="Arial" w:hAnsi="Arial" w:cs="Arial"/>
          <w:noProof/>
          <w:sz w:val="22"/>
          <w:szCs w:val="22"/>
          <w:lang w:val="en-US"/>
        </w:rPr>
        <w:t xml:space="preserve">Mincer, J., 1974. </w:t>
      </w:r>
      <w:r w:rsidRPr="007F4A23">
        <w:rPr>
          <w:rFonts w:ascii="Arial" w:hAnsi="Arial" w:cs="Arial"/>
          <w:i/>
          <w:iCs/>
          <w:noProof/>
          <w:sz w:val="22"/>
          <w:szCs w:val="22"/>
          <w:lang w:val="en-US"/>
        </w:rPr>
        <w:t>Schooling, Experience, and Earnings. Human Behavior &amp; Social Institutions No. 2</w:t>
      </w:r>
      <w:r w:rsidRPr="007F4A23">
        <w:rPr>
          <w:rFonts w:ascii="Arial" w:hAnsi="Arial" w:cs="Arial"/>
          <w:noProof/>
          <w:sz w:val="22"/>
          <w:szCs w:val="22"/>
          <w:lang w:val="en-US"/>
        </w:rPr>
        <w:t>, Available at: http://www.eric.ed.gov/ERICWebPortal/detail?accno=ED103621.</w:t>
      </w:r>
    </w:p>
    <w:p w:rsidR="005A4393" w:rsidRPr="007F4A23" w:rsidRDefault="005A4393">
      <w:pPr>
        <w:pStyle w:val="NormalWeb"/>
        <w:ind w:left="480" w:hanging="480"/>
        <w:divId w:val="411853866"/>
        <w:rPr>
          <w:rFonts w:ascii="Arial" w:hAnsi="Arial" w:cs="Arial"/>
          <w:noProof/>
          <w:sz w:val="22"/>
          <w:szCs w:val="22"/>
          <w:lang w:val="en-US"/>
        </w:rPr>
      </w:pPr>
      <w:r w:rsidRPr="007F4A23">
        <w:rPr>
          <w:rFonts w:ascii="Arial" w:hAnsi="Arial" w:cs="Arial"/>
          <w:noProof/>
          <w:sz w:val="22"/>
          <w:szCs w:val="22"/>
          <w:lang w:val="en-US"/>
        </w:rPr>
        <w:t xml:space="preserve">OECD, 2014. </w:t>
      </w:r>
      <w:r w:rsidRPr="007F4A23">
        <w:rPr>
          <w:rFonts w:ascii="Arial" w:hAnsi="Arial" w:cs="Arial"/>
          <w:i/>
          <w:iCs/>
          <w:noProof/>
          <w:sz w:val="22"/>
          <w:szCs w:val="22"/>
          <w:lang w:val="en-US"/>
        </w:rPr>
        <w:t>Education at a Glance 2014: OECD Indicators</w:t>
      </w:r>
      <w:r w:rsidRPr="007F4A23">
        <w:rPr>
          <w:rFonts w:ascii="Arial" w:hAnsi="Arial" w:cs="Arial"/>
          <w:noProof/>
          <w:sz w:val="22"/>
          <w:szCs w:val="22"/>
          <w:lang w:val="en-US"/>
        </w:rPr>
        <w:t>,</w:t>
      </w:r>
    </w:p>
    <w:p w:rsidR="005A4393" w:rsidRPr="005002EE" w:rsidRDefault="005A4393">
      <w:pPr>
        <w:pStyle w:val="NormalWeb"/>
        <w:ind w:left="480" w:hanging="480"/>
        <w:divId w:val="411853866"/>
        <w:rPr>
          <w:rFonts w:ascii="Arial" w:hAnsi="Arial" w:cs="Arial"/>
          <w:sz w:val="22"/>
          <w:szCs w:val="22"/>
          <w:lang w:val="en-US"/>
        </w:rPr>
      </w:pPr>
      <w:r w:rsidRPr="005002EE">
        <w:rPr>
          <w:rFonts w:ascii="Arial" w:hAnsi="Arial" w:cs="Arial"/>
          <w:sz w:val="22"/>
          <w:szCs w:val="22"/>
          <w:lang w:val="en-US"/>
        </w:rPr>
        <w:t>Pisa, T., 2011. in Focus. , 10, pp.1–4.</w:t>
      </w:r>
    </w:p>
    <w:p w:rsidR="005A4393" w:rsidRPr="007F4A23" w:rsidRDefault="005A4393">
      <w:pPr>
        <w:pStyle w:val="NormalWeb"/>
        <w:ind w:left="480" w:hanging="480"/>
        <w:divId w:val="411853866"/>
        <w:rPr>
          <w:rFonts w:ascii="Arial" w:hAnsi="Arial" w:cs="Arial"/>
          <w:noProof/>
          <w:sz w:val="22"/>
          <w:szCs w:val="22"/>
          <w:lang w:val="en-US"/>
        </w:rPr>
      </w:pPr>
      <w:r w:rsidRPr="007F4A23">
        <w:rPr>
          <w:rFonts w:ascii="Arial" w:hAnsi="Arial" w:cs="Arial"/>
          <w:noProof/>
          <w:sz w:val="22"/>
          <w:szCs w:val="22"/>
        </w:rPr>
        <w:t xml:space="preserve">Reyes, L., Rodríguez, J. &amp; Urzúa, S., 2013. </w:t>
      </w:r>
      <w:r w:rsidRPr="007F4A23">
        <w:rPr>
          <w:rFonts w:ascii="Arial" w:hAnsi="Arial" w:cs="Arial"/>
          <w:i/>
          <w:iCs/>
          <w:noProof/>
          <w:sz w:val="22"/>
          <w:szCs w:val="22"/>
          <w:lang w:val="en-US"/>
        </w:rPr>
        <w:t>Heterogeneous Economic Returns to Postsecondary Degrees: Evidence from Chile</w:t>
      </w:r>
      <w:r w:rsidRPr="007F4A23">
        <w:rPr>
          <w:rFonts w:ascii="Arial" w:hAnsi="Arial" w:cs="Arial"/>
          <w:noProof/>
          <w:sz w:val="22"/>
          <w:szCs w:val="22"/>
          <w:lang w:val="en-US"/>
        </w:rPr>
        <w:t>, Cambridge, MA. Available at: http://www.nber.org/papers/w18817.pdf.</w:t>
      </w:r>
    </w:p>
    <w:p w:rsidR="005A4393" w:rsidRPr="005002EE" w:rsidRDefault="005A4393">
      <w:pPr>
        <w:pStyle w:val="NormalWeb"/>
        <w:ind w:left="480" w:hanging="480"/>
        <w:divId w:val="411853866"/>
        <w:rPr>
          <w:rFonts w:ascii="Arial" w:hAnsi="Arial" w:cs="Arial"/>
          <w:sz w:val="22"/>
          <w:szCs w:val="22"/>
        </w:rPr>
      </w:pPr>
      <w:r w:rsidRPr="007F4A23">
        <w:rPr>
          <w:rFonts w:ascii="Arial" w:hAnsi="Arial" w:cs="Arial"/>
          <w:noProof/>
          <w:sz w:val="22"/>
          <w:szCs w:val="22"/>
          <w:lang w:val="en-US"/>
        </w:rPr>
        <w:t xml:space="preserve">Urzúa, S., 2012. </w:t>
      </w:r>
      <w:r w:rsidRPr="007F4A23">
        <w:rPr>
          <w:rFonts w:ascii="Arial" w:hAnsi="Arial" w:cs="Arial"/>
          <w:noProof/>
          <w:sz w:val="22"/>
          <w:szCs w:val="22"/>
        </w:rPr>
        <w:t xml:space="preserve">La Rentabilidad de la Educación Superior en Chile: ¿ Educacion Superior para todos? </w:t>
      </w:r>
      <w:r w:rsidRPr="005002EE">
        <w:rPr>
          <w:rFonts w:ascii="Arial" w:hAnsi="Arial" w:cs="Arial"/>
          <w:i/>
          <w:sz w:val="22"/>
          <w:szCs w:val="22"/>
        </w:rPr>
        <w:t>Estudios Publicos - CEP</w:t>
      </w:r>
      <w:r w:rsidRPr="005002EE">
        <w:rPr>
          <w:rFonts w:ascii="Arial" w:hAnsi="Arial" w:cs="Arial"/>
          <w:sz w:val="22"/>
          <w:szCs w:val="22"/>
        </w:rPr>
        <w:t>, pp.1–43.</w:t>
      </w:r>
    </w:p>
    <w:p w:rsidR="005A4393" w:rsidRPr="007F4A23" w:rsidRDefault="005A4393">
      <w:pPr>
        <w:pStyle w:val="NormalWeb"/>
        <w:ind w:left="480" w:hanging="480"/>
        <w:divId w:val="411853866"/>
        <w:rPr>
          <w:rFonts w:ascii="Arial" w:hAnsi="Arial" w:cs="Arial"/>
          <w:noProof/>
          <w:sz w:val="22"/>
          <w:szCs w:val="22"/>
          <w:lang w:val="en-US"/>
        </w:rPr>
      </w:pPr>
      <w:r w:rsidRPr="005002EE">
        <w:rPr>
          <w:rFonts w:ascii="Arial" w:hAnsi="Arial" w:cs="Arial"/>
          <w:sz w:val="22"/>
          <w:szCs w:val="22"/>
        </w:rPr>
        <w:t xml:space="preserve">Whitehurst, G.J.R., Chingos, M.M. &amp; Gallaher, M.R., 2013. </w:t>
      </w:r>
      <w:r w:rsidRPr="007F4A23">
        <w:rPr>
          <w:rFonts w:ascii="Arial" w:hAnsi="Arial" w:cs="Arial"/>
          <w:noProof/>
          <w:sz w:val="22"/>
          <w:szCs w:val="22"/>
          <w:lang w:val="en-US"/>
        </w:rPr>
        <w:t>Do School District Matter? , (March).</w:t>
      </w:r>
    </w:p>
    <w:p w:rsidR="00AB4831" w:rsidRPr="007F4A23" w:rsidRDefault="00AB4831">
      <w:pPr>
        <w:spacing w:after="0"/>
        <w:jc w:val="left"/>
        <w:rPr>
          <w:rFonts w:ascii="Arial" w:hAnsi="Arial" w:cs="Arial"/>
          <w:noProof/>
          <w:sz w:val="22"/>
          <w:szCs w:val="22"/>
          <w:lang w:val="en-US" w:eastAsia="es-CL"/>
        </w:rPr>
      </w:pPr>
      <w:r w:rsidRPr="007F4A23">
        <w:rPr>
          <w:rFonts w:ascii="Arial" w:hAnsi="Arial" w:cs="Arial"/>
          <w:noProof/>
          <w:sz w:val="22"/>
          <w:szCs w:val="22"/>
          <w:lang w:val="en-US"/>
        </w:rPr>
        <w:br w:type="page"/>
      </w:r>
    </w:p>
    <w:p w:rsidR="00AB4831" w:rsidRPr="00F01BCC" w:rsidRDefault="00AB4831">
      <w:pPr>
        <w:pStyle w:val="NormalWeb"/>
        <w:ind w:left="480" w:hanging="480"/>
        <w:divId w:val="411853866"/>
        <w:rPr>
          <w:rFonts w:ascii="Arial" w:hAnsi="Arial" w:cs="Arial"/>
          <w:b/>
          <w:noProof/>
          <w:sz w:val="22"/>
          <w:szCs w:val="22"/>
          <w:lang w:val="es-ES_tradnl"/>
        </w:rPr>
      </w:pPr>
      <w:r w:rsidRPr="00F01BCC">
        <w:rPr>
          <w:rFonts w:ascii="Arial" w:hAnsi="Arial" w:cs="Arial"/>
          <w:b/>
          <w:noProof/>
          <w:sz w:val="22"/>
          <w:szCs w:val="22"/>
          <w:lang w:val="es-ES_tradnl"/>
        </w:rPr>
        <w:lastRenderedPageBreak/>
        <w:t>Anexo:  Detalle del calculo de las estimaciones</w:t>
      </w:r>
    </w:p>
    <w:p w:rsidR="006079AD" w:rsidRPr="007F4A23" w:rsidRDefault="00222A4E" w:rsidP="006079AD">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rFonts w:ascii="Arial" w:hAnsi="Arial" w:cs="Arial"/>
          <w:sz w:val="22"/>
          <w:szCs w:val="22"/>
        </w:rPr>
      </w:pPr>
      <w:r w:rsidRPr="007F4A23">
        <w:rPr>
          <w:rFonts w:ascii="Arial" w:hAnsi="Arial" w:cs="Arial"/>
          <w:sz w:val="22"/>
          <w:szCs w:val="22"/>
        </w:rPr>
        <w:fldChar w:fldCharType="end"/>
      </w:r>
      <w:r w:rsidR="006079AD" w:rsidRPr="007F4A23">
        <w:rPr>
          <w:rFonts w:ascii="Arial" w:hAnsi="Arial" w:cs="Arial"/>
          <w:sz w:val="22"/>
          <w:szCs w:val="22"/>
        </w:rPr>
        <w:t>Archivo Excel con detalle de cálculo de las estimaciones</w:t>
      </w:r>
    </w:p>
    <w:bookmarkStart w:id="3" w:name="_MON_1506086357"/>
    <w:bookmarkEnd w:id="3"/>
    <w:p w:rsidR="003A30D0" w:rsidRPr="007F4A23" w:rsidRDefault="00F53A36" w:rsidP="00EA548C">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rFonts w:ascii="Arial" w:hAnsi="Arial" w:cs="Arial"/>
          <w:sz w:val="22"/>
          <w:szCs w:val="22"/>
        </w:rPr>
      </w:pPr>
      <w:r w:rsidRPr="007F4A23">
        <w:rPr>
          <w:rFonts w:ascii="Arial" w:hAnsi="Arial" w:cs="Arial"/>
          <w:sz w:val="22"/>
          <w:szCs w:val="22"/>
        </w:rPr>
        <w:object w:dxaOrig="1311" w:dyaOrig="834" w14:anchorId="2EE720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4pt;height:42pt" o:ole="">
            <v:imagedata r:id="rId9" o:title=""/>
          </v:shape>
          <o:OLEObject Type="Embed" ProgID="Excel.Sheet.12" ShapeID="_x0000_i1025" DrawAspect="Icon" ObjectID="_1509784978" r:id="rId10"/>
        </w:object>
      </w:r>
    </w:p>
    <w:sectPr w:rsidR="003A30D0" w:rsidRPr="007F4A23" w:rsidSect="00AF3F65">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1EA5" w:rsidRDefault="00AB1EA5" w:rsidP="003A542A">
      <w:r>
        <w:separator/>
      </w:r>
    </w:p>
  </w:endnote>
  <w:endnote w:type="continuationSeparator" w:id="0">
    <w:p w:rsidR="00AB1EA5" w:rsidRDefault="00AB1EA5" w:rsidP="003A542A">
      <w:r>
        <w:continuationSeparator/>
      </w:r>
    </w:p>
  </w:endnote>
  <w:endnote w:type="continuationNotice" w:id="1">
    <w:p w:rsidR="00AB1EA5" w:rsidRDefault="00AB1EA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02EE" w:rsidRDefault="005002EE" w:rsidP="003A542A">
    <w:pPr>
      <w:pStyle w:val="Footer"/>
    </w:pPr>
    <w:r>
      <w:fldChar w:fldCharType="begin"/>
    </w:r>
    <w:r>
      <w:instrText xml:space="preserve"> PAGE   \* MERGEFORMAT </w:instrText>
    </w:r>
    <w:r>
      <w:fldChar w:fldCharType="separate"/>
    </w:r>
    <w:r w:rsidR="008C17C4">
      <w:rPr>
        <w:noProof/>
      </w:rPr>
      <w:t>1</w:t>
    </w:r>
    <w:r>
      <w:rPr>
        <w:noProof/>
      </w:rPr>
      <w:fldChar w:fldCharType="end"/>
    </w:r>
  </w:p>
  <w:p w:rsidR="005002EE" w:rsidRDefault="005002EE" w:rsidP="003A54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1EA5" w:rsidRDefault="00AB1EA5" w:rsidP="00802ADB">
      <w:pPr>
        <w:spacing w:after="0"/>
      </w:pPr>
      <w:r>
        <w:separator/>
      </w:r>
    </w:p>
  </w:footnote>
  <w:footnote w:type="continuationSeparator" w:id="0">
    <w:p w:rsidR="00AB1EA5" w:rsidRDefault="00AB1EA5" w:rsidP="00802ADB">
      <w:pPr>
        <w:spacing w:after="0"/>
      </w:pPr>
      <w:r>
        <w:continuationSeparator/>
      </w:r>
    </w:p>
  </w:footnote>
  <w:footnote w:type="continuationNotice" w:id="1">
    <w:p w:rsidR="00AB1EA5" w:rsidRDefault="00AB1EA5">
      <w:pPr>
        <w:spacing w:after="0"/>
      </w:pPr>
    </w:p>
  </w:footnote>
  <w:footnote w:id="2">
    <w:p w:rsidR="005002EE" w:rsidRPr="00343AC7" w:rsidRDefault="005002EE" w:rsidP="00343AC7">
      <w:pPr>
        <w:pStyle w:val="FootnoteText"/>
        <w:spacing w:after="0"/>
        <w:ind w:left="360" w:hanging="360"/>
        <w:rPr>
          <w:rFonts w:ascii="Arial" w:hAnsi="Arial" w:cs="Arial"/>
          <w:sz w:val="18"/>
          <w:szCs w:val="18"/>
          <w:lang w:val="es-CL"/>
        </w:rPr>
      </w:pPr>
      <w:r w:rsidRPr="00343AC7">
        <w:rPr>
          <w:rStyle w:val="FootnoteReference"/>
          <w:rFonts w:ascii="Arial" w:hAnsi="Arial" w:cs="Arial"/>
          <w:sz w:val="18"/>
          <w:szCs w:val="18"/>
        </w:rPr>
        <w:footnoteRef/>
      </w:r>
      <w:r w:rsidRPr="00343AC7">
        <w:rPr>
          <w:rFonts w:ascii="Arial" w:hAnsi="Arial" w:cs="Arial"/>
          <w:sz w:val="18"/>
          <w:szCs w:val="18"/>
        </w:rPr>
        <w:t xml:space="preserve"> </w:t>
      </w:r>
      <w:r w:rsidR="00343AC7">
        <w:rPr>
          <w:rFonts w:ascii="Arial" w:hAnsi="Arial" w:cs="Arial"/>
          <w:sz w:val="18"/>
          <w:szCs w:val="18"/>
        </w:rPr>
        <w:tab/>
      </w:r>
      <w:r w:rsidRPr="00343AC7">
        <w:rPr>
          <w:rFonts w:ascii="Arial" w:hAnsi="Arial" w:cs="Arial"/>
          <w:sz w:val="18"/>
          <w:szCs w:val="18"/>
          <w:lang w:val="es-CL"/>
        </w:rPr>
        <w:t>Estimación efectuada sobre la base de la encuesta CASEN 2013 identificando del total de sujetos de los quintiles de ingreso autónomo del hogar I y II (hogares de donde provienen principalmente los estudiantes de colegios municipales), que ingresan a la educación terciaria aquellos que finalmente se gradúan. Esta proporción alcanza a un 71% en el caso del quintil de ingresos autónomo del hogar más alto.</w:t>
      </w:r>
    </w:p>
  </w:footnote>
  <w:footnote w:id="3">
    <w:p w:rsidR="005002EE" w:rsidRPr="00343AC7" w:rsidRDefault="005002EE" w:rsidP="00343AC7">
      <w:pPr>
        <w:pStyle w:val="FootnoteText"/>
        <w:spacing w:after="0"/>
        <w:ind w:left="360" w:hanging="360"/>
        <w:rPr>
          <w:rFonts w:ascii="Arial" w:hAnsi="Arial" w:cs="Arial"/>
          <w:sz w:val="18"/>
          <w:szCs w:val="18"/>
          <w:lang w:val="es-CL"/>
        </w:rPr>
      </w:pPr>
      <w:r w:rsidRPr="00343AC7">
        <w:rPr>
          <w:rStyle w:val="FootnoteReference"/>
          <w:rFonts w:ascii="Arial" w:hAnsi="Arial" w:cs="Arial"/>
          <w:sz w:val="18"/>
          <w:szCs w:val="18"/>
        </w:rPr>
        <w:footnoteRef/>
      </w:r>
      <w:r w:rsidRPr="00343AC7">
        <w:rPr>
          <w:rFonts w:ascii="Arial" w:hAnsi="Arial" w:cs="Arial"/>
          <w:sz w:val="18"/>
          <w:szCs w:val="18"/>
        </w:rPr>
        <w:t xml:space="preserve"> </w:t>
      </w:r>
      <w:r w:rsidR="00343AC7">
        <w:rPr>
          <w:rFonts w:ascii="Arial" w:hAnsi="Arial" w:cs="Arial"/>
          <w:sz w:val="18"/>
          <w:szCs w:val="18"/>
        </w:rPr>
        <w:tab/>
      </w:r>
      <w:r w:rsidRPr="00343AC7">
        <w:rPr>
          <w:rFonts w:ascii="Arial" w:hAnsi="Arial" w:cs="Arial"/>
          <w:sz w:val="18"/>
          <w:szCs w:val="18"/>
          <w:lang w:val="es-CL"/>
        </w:rPr>
        <w:t>La primera cohorte de egresados de colegios en donde se ha implementado el programase egresará de los colegios el 2018 y aquellos que ingresen a la educación terciaria se titularían a partir del año 2023 (año 5).</w:t>
      </w:r>
    </w:p>
  </w:footnote>
  <w:footnote w:id="4">
    <w:p w:rsidR="005002EE" w:rsidRPr="00343AC7" w:rsidRDefault="005002EE" w:rsidP="00343AC7">
      <w:pPr>
        <w:pStyle w:val="FootnoteText"/>
        <w:spacing w:after="0"/>
        <w:ind w:left="360" w:hanging="360"/>
        <w:rPr>
          <w:rFonts w:ascii="Arial" w:hAnsi="Arial" w:cs="Arial"/>
          <w:sz w:val="18"/>
          <w:szCs w:val="18"/>
          <w:lang w:val="es-CL"/>
        </w:rPr>
      </w:pPr>
      <w:r w:rsidRPr="00343AC7">
        <w:rPr>
          <w:rStyle w:val="FootnoteReference"/>
          <w:rFonts w:ascii="Arial" w:hAnsi="Arial" w:cs="Arial"/>
          <w:sz w:val="18"/>
          <w:szCs w:val="18"/>
        </w:rPr>
        <w:footnoteRef/>
      </w:r>
      <w:r w:rsidRPr="00343AC7">
        <w:rPr>
          <w:rFonts w:ascii="Arial" w:hAnsi="Arial" w:cs="Arial"/>
          <w:sz w:val="18"/>
          <w:szCs w:val="18"/>
        </w:rPr>
        <w:t xml:space="preserve"> </w:t>
      </w:r>
      <w:r w:rsidR="00343AC7">
        <w:rPr>
          <w:rFonts w:ascii="Arial" w:hAnsi="Arial" w:cs="Arial"/>
          <w:sz w:val="18"/>
          <w:szCs w:val="18"/>
        </w:rPr>
        <w:tab/>
      </w:r>
      <w:r w:rsidRPr="00343AC7">
        <w:rPr>
          <w:rFonts w:ascii="Arial" w:hAnsi="Arial" w:cs="Arial"/>
          <w:sz w:val="18"/>
          <w:szCs w:val="18"/>
          <w:lang w:val="es-CL"/>
        </w:rPr>
        <w:t>www.</w:t>
      </w:r>
      <w:r w:rsidRPr="00343AC7">
        <w:rPr>
          <w:rFonts w:ascii="Arial" w:hAnsi="Arial" w:cs="Arial"/>
          <w:sz w:val="18"/>
          <w:szCs w:val="18"/>
        </w:rPr>
        <w:t xml:space="preserve"> </w:t>
      </w:r>
      <w:r w:rsidRPr="00343AC7">
        <w:rPr>
          <w:rFonts w:ascii="Arial" w:hAnsi="Arial" w:cs="Arial"/>
          <w:sz w:val="18"/>
          <w:szCs w:val="18"/>
          <w:lang w:val="es-CL"/>
        </w:rPr>
        <w:t>centroestudios.mineduc.cl</w:t>
      </w:r>
    </w:p>
  </w:footnote>
  <w:footnote w:id="5">
    <w:p w:rsidR="005002EE" w:rsidRPr="00A06C61" w:rsidRDefault="005002EE" w:rsidP="00343AC7">
      <w:pPr>
        <w:pStyle w:val="FootnoteText"/>
        <w:spacing w:after="0"/>
        <w:ind w:left="360" w:hanging="360"/>
        <w:rPr>
          <w:rFonts w:ascii="Arial" w:hAnsi="Arial" w:cs="Arial"/>
          <w:sz w:val="18"/>
          <w:szCs w:val="18"/>
        </w:rPr>
      </w:pPr>
      <w:r w:rsidRPr="00343AC7">
        <w:rPr>
          <w:rStyle w:val="FootnoteReference"/>
          <w:rFonts w:ascii="Arial" w:hAnsi="Arial" w:cs="Arial"/>
          <w:sz w:val="18"/>
          <w:szCs w:val="18"/>
        </w:rPr>
        <w:footnoteRef/>
      </w:r>
      <w:r w:rsidRPr="00343AC7">
        <w:rPr>
          <w:rFonts w:ascii="Arial" w:hAnsi="Arial" w:cs="Arial"/>
          <w:sz w:val="18"/>
          <w:szCs w:val="18"/>
        </w:rPr>
        <w:t xml:space="preserve"> </w:t>
      </w:r>
      <w:r w:rsidR="00A06C61">
        <w:rPr>
          <w:rFonts w:ascii="Arial" w:hAnsi="Arial" w:cs="Arial"/>
          <w:sz w:val="18"/>
          <w:szCs w:val="18"/>
        </w:rPr>
        <w:tab/>
      </w:r>
      <w:r w:rsidRPr="00343AC7">
        <w:rPr>
          <w:rFonts w:ascii="Arial" w:hAnsi="Arial" w:cs="Arial"/>
          <w:sz w:val="18"/>
          <w:szCs w:val="18"/>
        </w:rPr>
        <w:t xml:space="preserve">Considerando que el programa sólo operará en régimen en 31 Servicios Locales de Educación sólo a partir del año 2019, y con el fin de simplificar el despliegue de información las tablas presentan </w:t>
      </w:r>
      <w:r w:rsidRPr="00A06C61">
        <w:rPr>
          <w:rFonts w:ascii="Arial" w:hAnsi="Arial" w:cs="Arial"/>
          <w:sz w:val="18"/>
          <w:szCs w:val="18"/>
        </w:rPr>
        <w:t>montos totales para dicho año expresados en USD de 2016.</w:t>
      </w:r>
    </w:p>
  </w:footnote>
  <w:footnote w:id="6">
    <w:p w:rsidR="005002EE" w:rsidRPr="00343AC7" w:rsidRDefault="005002EE" w:rsidP="00343AC7">
      <w:pPr>
        <w:pStyle w:val="FootnoteText"/>
        <w:ind w:left="360" w:hanging="360"/>
        <w:rPr>
          <w:rFonts w:ascii="Arial" w:hAnsi="Arial" w:cs="Arial"/>
          <w:sz w:val="18"/>
          <w:szCs w:val="18"/>
          <w:lang w:val="es-CL"/>
        </w:rPr>
      </w:pPr>
      <w:r w:rsidRPr="00A06C61">
        <w:rPr>
          <w:rStyle w:val="FootnoteReference"/>
          <w:rFonts w:ascii="Arial" w:hAnsi="Arial" w:cs="Arial"/>
          <w:sz w:val="18"/>
          <w:szCs w:val="18"/>
        </w:rPr>
        <w:footnoteRef/>
      </w:r>
      <w:r w:rsidRPr="00A06C61">
        <w:rPr>
          <w:rFonts w:ascii="Arial" w:hAnsi="Arial" w:cs="Arial"/>
          <w:sz w:val="18"/>
          <w:szCs w:val="18"/>
        </w:rPr>
        <w:t xml:space="preserve"> </w:t>
      </w:r>
      <w:r w:rsidR="00A06C61">
        <w:rPr>
          <w:rFonts w:ascii="Arial" w:hAnsi="Arial" w:cs="Arial"/>
          <w:sz w:val="18"/>
          <w:szCs w:val="18"/>
        </w:rPr>
        <w:tab/>
      </w:r>
      <w:r w:rsidRPr="00A06C61">
        <w:rPr>
          <w:rFonts w:ascii="Arial" w:hAnsi="Arial" w:cs="Arial"/>
          <w:sz w:val="18"/>
          <w:szCs w:val="18"/>
          <w:lang w:val="es-CL"/>
        </w:rPr>
        <w:t>Para estimar las diferencias salariales anuales se multiplica la diferencia salarial por hora de los trabajadores con educación terciaria incompleta o completa según sea el caso respecto de los trabajadores que sólo alcanzaron educación secundaria, por una jornada de 44 horas semanales, 4,3 semanas de duración de cada mes y 12 meses del año.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02EE" w:rsidRDefault="005002EE" w:rsidP="003A542A">
    <w:pPr>
      <w:pStyle w:val="Header"/>
      <w:rPr>
        <w:lang w:val="en-US"/>
      </w:rPr>
    </w:pPr>
  </w:p>
  <w:p w:rsidR="005002EE" w:rsidRDefault="005002EE" w:rsidP="003A542A">
    <w:pPr>
      <w:pStyle w:val="Header"/>
      <w:rPr>
        <w:lang w:val="en-US"/>
      </w:rPr>
    </w:pPr>
  </w:p>
  <w:p w:rsidR="005002EE" w:rsidRPr="00F721D4" w:rsidRDefault="005002EE" w:rsidP="003A542A">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14FF1"/>
    <w:multiLevelType w:val="multilevel"/>
    <w:tmpl w:val="2A7EA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5C1B06"/>
    <w:multiLevelType w:val="hybridMultilevel"/>
    <w:tmpl w:val="BC9A11F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3713393"/>
    <w:multiLevelType w:val="hybridMultilevel"/>
    <w:tmpl w:val="A1F0FEE8"/>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3">
    <w:nsid w:val="060A633E"/>
    <w:multiLevelType w:val="hybridMultilevel"/>
    <w:tmpl w:val="D7FC9A54"/>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0050409">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A1B6C2D"/>
    <w:multiLevelType w:val="hybridMultilevel"/>
    <w:tmpl w:val="9DD0B1C2"/>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5">
    <w:nsid w:val="0B142270"/>
    <w:multiLevelType w:val="hybridMultilevel"/>
    <w:tmpl w:val="BAE21E6E"/>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6">
    <w:nsid w:val="0DAB7FC9"/>
    <w:multiLevelType w:val="multilevel"/>
    <w:tmpl w:val="A2B2F9A6"/>
    <w:lvl w:ilvl="0">
      <w:start w:val="1"/>
      <w:numFmt w:val="upperRoman"/>
      <w:lvlText w:val="%1."/>
      <w:lvlJc w:val="center"/>
      <w:pPr>
        <w:tabs>
          <w:tab w:val="num" w:pos="648"/>
        </w:tabs>
        <w:ind w:left="0" w:firstLine="288"/>
      </w:pPr>
      <w:rPr>
        <w:b/>
        <w:i w:val="0"/>
      </w:rPr>
    </w:lvl>
    <w:lvl w:ilvl="1">
      <w:start w:val="1"/>
      <w:numFmt w:val="decimal"/>
      <w:isLgl/>
      <w:lvlText w:val="%1.%2"/>
      <w:lvlJc w:val="left"/>
      <w:pPr>
        <w:tabs>
          <w:tab w:val="num" w:pos="720"/>
        </w:tabs>
        <w:ind w:left="720" w:hanging="720"/>
      </w:pPr>
      <w:rPr>
        <w:b w:val="0"/>
        <w:color w:val="auto"/>
        <w:lang w:val="es-ES"/>
      </w:r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7">
    <w:nsid w:val="14BA5F71"/>
    <w:multiLevelType w:val="multilevel"/>
    <w:tmpl w:val="30AC82A6"/>
    <w:lvl w:ilvl="0">
      <w:start w:val="1"/>
      <w:numFmt w:val="upperRoman"/>
      <w:pStyle w:val="Heading1"/>
      <w:lvlText w:val="%1."/>
      <w:lvlJc w:val="center"/>
      <w:pPr>
        <w:tabs>
          <w:tab w:val="num" w:pos="289"/>
        </w:tabs>
        <w:ind w:left="0" w:firstLine="288"/>
      </w:pPr>
      <w:rPr>
        <w:rFonts w:cs="Times New Roman" w:hint="default"/>
        <w:b/>
        <w:i w:val="0"/>
      </w:rPr>
    </w:lvl>
    <w:lvl w:ilvl="1">
      <w:start w:val="1"/>
      <w:numFmt w:val="decimal"/>
      <w:pStyle w:val="Heading2"/>
      <w:lvlText w:val="%1.%2"/>
      <w:lvlJc w:val="left"/>
      <w:pPr>
        <w:tabs>
          <w:tab w:val="num" w:pos="720"/>
        </w:tabs>
        <w:ind w:left="720" w:hanging="720"/>
      </w:pPr>
      <w:rPr>
        <w:rFonts w:cs="Times New Roman" w:hint="default"/>
      </w:rPr>
    </w:lvl>
    <w:lvl w:ilvl="2">
      <w:start w:val="1"/>
      <w:numFmt w:val="lowerLetter"/>
      <w:lvlText w:val="%3."/>
      <w:lvlJc w:val="left"/>
      <w:pPr>
        <w:tabs>
          <w:tab w:val="num" w:pos="1152"/>
        </w:tabs>
        <w:ind w:left="1152" w:hanging="432"/>
      </w:pPr>
      <w:rPr>
        <w:rFonts w:cs="Times New Roman" w:hint="default"/>
      </w:rPr>
    </w:lvl>
    <w:lvl w:ilvl="3">
      <w:start w:val="1"/>
      <w:numFmt w:val="lowerRoman"/>
      <w:lvlText w:val="%4."/>
      <w:lvlJc w:val="right"/>
      <w:pPr>
        <w:tabs>
          <w:tab w:val="num" w:pos="1584"/>
        </w:tabs>
        <w:ind w:left="1584" w:hanging="288"/>
      </w:pPr>
      <w:rPr>
        <w:rFonts w:cs="Times New Roman" w:hint="default"/>
      </w:rPr>
    </w:lvl>
    <w:lvl w:ilvl="4">
      <w:start w:val="1"/>
      <w:numFmt w:val="none"/>
      <w:lvlText w:val=""/>
      <w:lvlJc w:val="left"/>
      <w:pPr>
        <w:tabs>
          <w:tab w:val="num" w:pos="3240"/>
        </w:tabs>
        <w:ind w:left="2880" w:firstLine="0"/>
      </w:pPr>
      <w:rPr>
        <w:rFonts w:cs="Times New Roman" w:hint="default"/>
      </w:rPr>
    </w:lvl>
    <w:lvl w:ilvl="5">
      <w:start w:val="1"/>
      <w:numFmt w:val="none"/>
      <w:lvlText w:val=""/>
      <w:lvlJc w:val="left"/>
      <w:pPr>
        <w:tabs>
          <w:tab w:val="num" w:pos="3960"/>
        </w:tabs>
        <w:ind w:left="3600" w:firstLine="0"/>
      </w:pPr>
      <w:rPr>
        <w:rFonts w:cs="Times New Roman" w:hint="default"/>
      </w:rPr>
    </w:lvl>
    <w:lvl w:ilvl="6">
      <w:start w:val="1"/>
      <w:numFmt w:val="none"/>
      <w:lvlText w:val=""/>
      <w:lvlJc w:val="left"/>
      <w:pPr>
        <w:tabs>
          <w:tab w:val="num" w:pos="4680"/>
        </w:tabs>
        <w:ind w:left="4320" w:firstLine="0"/>
      </w:pPr>
      <w:rPr>
        <w:rFonts w:cs="Times New Roman" w:hint="default"/>
      </w:rPr>
    </w:lvl>
    <w:lvl w:ilvl="7">
      <w:start w:val="1"/>
      <w:numFmt w:val="none"/>
      <w:lvlText w:val=""/>
      <w:lvlJc w:val="left"/>
      <w:pPr>
        <w:tabs>
          <w:tab w:val="num" w:pos="5400"/>
        </w:tabs>
        <w:ind w:left="5040" w:firstLine="0"/>
      </w:pPr>
      <w:rPr>
        <w:rFonts w:cs="Times New Roman" w:hint="default"/>
      </w:rPr>
    </w:lvl>
    <w:lvl w:ilvl="8">
      <w:start w:val="1"/>
      <w:numFmt w:val="none"/>
      <w:lvlText w:val=""/>
      <w:lvlJc w:val="left"/>
      <w:pPr>
        <w:tabs>
          <w:tab w:val="num" w:pos="6120"/>
        </w:tabs>
        <w:ind w:left="5760" w:firstLine="0"/>
      </w:pPr>
      <w:rPr>
        <w:rFonts w:cs="Times New Roman" w:hint="default"/>
      </w:rPr>
    </w:lvl>
  </w:abstractNum>
  <w:abstractNum w:abstractNumId="8">
    <w:nsid w:val="197F5EE9"/>
    <w:multiLevelType w:val="multilevel"/>
    <w:tmpl w:val="8C04D886"/>
    <w:lvl w:ilvl="0">
      <w:start w:val="3"/>
      <w:numFmt w:val="upperRoman"/>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9">
    <w:nsid w:val="21E62D0A"/>
    <w:multiLevelType w:val="hybridMultilevel"/>
    <w:tmpl w:val="4DFE65B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33865DB"/>
    <w:multiLevelType w:val="hybridMultilevel"/>
    <w:tmpl w:val="13026FD8"/>
    <w:lvl w:ilvl="0" w:tplc="55B43FFA">
      <w:start w:val="1"/>
      <w:numFmt w:val="upperRoman"/>
      <w:lvlText w:val="%1."/>
      <w:lvlJc w:val="left"/>
      <w:pPr>
        <w:ind w:left="720" w:hanging="720"/>
      </w:pPr>
      <w:rPr>
        <w:rFonts w:hint="default"/>
        <w:i w:val="0"/>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1">
    <w:nsid w:val="242B3BED"/>
    <w:multiLevelType w:val="multilevel"/>
    <w:tmpl w:val="2B2A2FBE"/>
    <w:lvl w:ilvl="0">
      <w:start w:val="1"/>
      <w:numFmt w:val="upperRoman"/>
      <w:lvlRestart w:val="0"/>
      <w:lvlText w:val="%1."/>
      <w:lvlJc w:val="center"/>
      <w:pPr>
        <w:tabs>
          <w:tab w:val="num" w:pos="1800"/>
        </w:tabs>
        <w:ind w:left="1152" w:firstLine="288"/>
      </w:pPr>
      <w:rPr>
        <w:rFonts w:cs="Times New Roman"/>
        <w:b/>
        <w:i w:val="0"/>
      </w:rPr>
    </w:lvl>
    <w:lvl w:ilvl="1">
      <w:start w:val="1"/>
      <w:numFmt w:val="decimal"/>
      <w:isLgl/>
      <w:lvlText w:val="%1.%2"/>
      <w:lvlJc w:val="left"/>
      <w:pPr>
        <w:tabs>
          <w:tab w:val="num" w:pos="2448"/>
        </w:tabs>
        <w:ind w:left="2448" w:hanging="1296"/>
      </w:pPr>
      <w:rPr>
        <w:rFonts w:cs="Times New Roman"/>
      </w:rPr>
    </w:lvl>
    <w:lvl w:ilvl="2">
      <w:start w:val="1"/>
      <w:numFmt w:val="lowerLetter"/>
      <w:lvlText w:val="%3."/>
      <w:lvlJc w:val="left"/>
      <w:pPr>
        <w:tabs>
          <w:tab w:val="num" w:pos="2304"/>
        </w:tabs>
        <w:ind w:left="2304" w:hanging="432"/>
      </w:pPr>
      <w:rPr>
        <w:rFonts w:cs="Times New Roman"/>
      </w:rPr>
    </w:lvl>
    <w:lvl w:ilvl="3">
      <w:start w:val="1"/>
      <w:numFmt w:val="lowerRoman"/>
      <w:lvlText w:val="%4."/>
      <w:lvlJc w:val="right"/>
      <w:pPr>
        <w:tabs>
          <w:tab w:val="num" w:pos="2736"/>
        </w:tabs>
        <w:ind w:left="2736" w:hanging="288"/>
      </w:pPr>
      <w:rPr>
        <w:rFonts w:cs="Times New Roman"/>
      </w:rPr>
    </w:lvl>
    <w:lvl w:ilvl="4">
      <w:start w:val="1"/>
      <w:numFmt w:val="decimal"/>
      <w:lvlText w:val="%1.%2.%3.%4.%5"/>
      <w:lvlJc w:val="left"/>
      <w:pPr>
        <w:ind w:left="2160" w:hanging="1008"/>
      </w:pPr>
      <w:rPr>
        <w:rFonts w:cs="Times New Roman"/>
      </w:rPr>
    </w:lvl>
    <w:lvl w:ilvl="5">
      <w:start w:val="1"/>
      <w:numFmt w:val="decimal"/>
      <w:lvlText w:val="%1.%2.%3.%4.%5.%6"/>
      <w:lvlJc w:val="left"/>
      <w:pPr>
        <w:ind w:left="2304" w:hanging="1152"/>
      </w:pPr>
      <w:rPr>
        <w:rFonts w:cs="Times New Roman"/>
      </w:rPr>
    </w:lvl>
    <w:lvl w:ilvl="6">
      <w:start w:val="1"/>
      <w:numFmt w:val="decimal"/>
      <w:lvlText w:val="%1.%2.%3.%4.%5.%6.%7"/>
      <w:lvlJc w:val="left"/>
      <w:pPr>
        <w:ind w:left="2448" w:hanging="1296"/>
      </w:pPr>
      <w:rPr>
        <w:rFonts w:cs="Times New Roman"/>
      </w:rPr>
    </w:lvl>
    <w:lvl w:ilvl="7">
      <w:start w:val="1"/>
      <w:numFmt w:val="decimal"/>
      <w:lvlText w:val="%1.%2.%3.%4.%5.%6.%7.%8"/>
      <w:lvlJc w:val="left"/>
      <w:pPr>
        <w:ind w:left="2592" w:hanging="1440"/>
      </w:pPr>
      <w:rPr>
        <w:rFonts w:cs="Times New Roman"/>
      </w:rPr>
    </w:lvl>
    <w:lvl w:ilvl="8">
      <w:start w:val="1"/>
      <w:numFmt w:val="decimal"/>
      <w:lvlText w:val="%1.%2.%3.%4.%5.%6.%7.%8.%9"/>
      <w:lvlJc w:val="left"/>
      <w:pPr>
        <w:ind w:left="2736" w:hanging="1584"/>
      </w:pPr>
      <w:rPr>
        <w:rFonts w:cs="Times New Roman"/>
      </w:rPr>
    </w:lvl>
  </w:abstractNum>
  <w:abstractNum w:abstractNumId="12">
    <w:nsid w:val="31E54E66"/>
    <w:multiLevelType w:val="hybridMultilevel"/>
    <w:tmpl w:val="BADAF27E"/>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3">
    <w:nsid w:val="3F6844E3"/>
    <w:multiLevelType w:val="hybridMultilevel"/>
    <w:tmpl w:val="0AE8A3CE"/>
    <w:lvl w:ilvl="0" w:tplc="4E9077DA">
      <w:start w:val="1"/>
      <w:numFmt w:val="upp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nsid w:val="403C72F3"/>
    <w:multiLevelType w:val="multilevel"/>
    <w:tmpl w:val="77009F50"/>
    <w:lvl w:ilvl="0">
      <w:start w:val="1"/>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5">
    <w:nsid w:val="43223234"/>
    <w:multiLevelType w:val="hybridMultilevel"/>
    <w:tmpl w:val="E988B16A"/>
    <w:lvl w:ilvl="0" w:tplc="C7FA361A">
      <w:start w:val="1"/>
      <w:numFmt w:val="bullet"/>
      <w:lvlText w:val=""/>
      <w:lvlJc w:val="left"/>
      <w:pPr>
        <w:ind w:left="720" w:hanging="360"/>
      </w:pPr>
      <w:rPr>
        <w:rFonts w:ascii="Symbol" w:hAnsi="Symbol" w:hint="default"/>
      </w:rPr>
    </w:lvl>
    <w:lvl w:ilvl="1" w:tplc="F1444368">
      <w:start w:val="1"/>
      <w:numFmt w:val="bullet"/>
      <w:lvlText w:val=""/>
      <w:lvlJc w:val="left"/>
      <w:pPr>
        <w:tabs>
          <w:tab w:val="num" w:pos="1440"/>
        </w:tabs>
        <w:ind w:left="1440" w:hanging="360"/>
      </w:pPr>
      <w:rPr>
        <w:rFonts w:ascii="Wingdings" w:hAnsi="Wingdings" w:hint="default"/>
      </w:rPr>
    </w:lvl>
    <w:lvl w:ilvl="2" w:tplc="7166F054" w:tentative="1">
      <w:start w:val="1"/>
      <w:numFmt w:val="bullet"/>
      <w:lvlText w:val=""/>
      <w:lvlJc w:val="left"/>
      <w:pPr>
        <w:ind w:left="2160" w:hanging="360"/>
      </w:pPr>
      <w:rPr>
        <w:rFonts w:ascii="Wingdings" w:hAnsi="Wingdings" w:hint="default"/>
      </w:rPr>
    </w:lvl>
    <w:lvl w:ilvl="3" w:tplc="77DA7C78" w:tentative="1">
      <w:start w:val="1"/>
      <w:numFmt w:val="bullet"/>
      <w:lvlText w:val=""/>
      <w:lvlJc w:val="left"/>
      <w:pPr>
        <w:ind w:left="2880" w:hanging="360"/>
      </w:pPr>
      <w:rPr>
        <w:rFonts w:ascii="Symbol" w:hAnsi="Symbol" w:hint="default"/>
      </w:rPr>
    </w:lvl>
    <w:lvl w:ilvl="4" w:tplc="7EDE855C" w:tentative="1">
      <w:start w:val="1"/>
      <w:numFmt w:val="bullet"/>
      <w:lvlText w:val="o"/>
      <w:lvlJc w:val="left"/>
      <w:pPr>
        <w:ind w:left="3600" w:hanging="360"/>
      </w:pPr>
      <w:rPr>
        <w:rFonts w:ascii="Courier New" w:hAnsi="Courier New" w:cs="Symbol" w:hint="default"/>
      </w:rPr>
    </w:lvl>
    <w:lvl w:ilvl="5" w:tplc="ABEC1B9E" w:tentative="1">
      <w:start w:val="1"/>
      <w:numFmt w:val="bullet"/>
      <w:lvlText w:val=""/>
      <w:lvlJc w:val="left"/>
      <w:pPr>
        <w:ind w:left="4320" w:hanging="360"/>
      </w:pPr>
      <w:rPr>
        <w:rFonts w:ascii="Wingdings" w:hAnsi="Wingdings" w:hint="default"/>
      </w:rPr>
    </w:lvl>
    <w:lvl w:ilvl="6" w:tplc="FC42FEA2" w:tentative="1">
      <w:start w:val="1"/>
      <w:numFmt w:val="bullet"/>
      <w:lvlText w:val=""/>
      <w:lvlJc w:val="left"/>
      <w:pPr>
        <w:ind w:left="5040" w:hanging="360"/>
      </w:pPr>
      <w:rPr>
        <w:rFonts w:ascii="Symbol" w:hAnsi="Symbol" w:hint="default"/>
      </w:rPr>
    </w:lvl>
    <w:lvl w:ilvl="7" w:tplc="2C5A020C" w:tentative="1">
      <w:start w:val="1"/>
      <w:numFmt w:val="bullet"/>
      <w:lvlText w:val="o"/>
      <w:lvlJc w:val="left"/>
      <w:pPr>
        <w:ind w:left="5760" w:hanging="360"/>
      </w:pPr>
      <w:rPr>
        <w:rFonts w:ascii="Courier New" w:hAnsi="Courier New" w:cs="Symbol" w:hint="default"/>
      </w:rPr>
    </w:lvl>
    <w:lvl w:ilvl="8" w:tplc="FCB451F8" w:tentative="1">
      <w:start w:val="1"/>
      <w:numFmt w:val="bullet"/>
      <w:lvlText w:val=""/>
      <w:lvlJc w:val="left"/>
      <w:pPr>
        <w:ind w:left="6480" w:hanging="360"/>
      </w:pPr>
      <w:rPr>
        <w:rFonts w:ascii="Wingdings" w:hAnsi="Wingdings" w:hint="default"/>
      </w:rPr>
    </w:lvl>
  </w:abstractNum>
  <w:abstractNum w:abstractNumId="16">
    <w:nsid w:val="47AF545C"/>
    <w:multiLevelType w:val="hybridMultilevel"/>
    <w:tmpl w:val="CCFA4230"/>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nsid w:val="48B9305E"/>
    <w:multiLevelType w:val="hybridMultilevel"/>
    <w:tmpl w:val="6602E02A"/>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8">
    <w:nsid w:val="4CEA0545"/>
    <w:multiLevelType w:val="hybridMultilevel"/>
    <w:tmpl w:val="9CAAB198"/>
    <w:lvl w:ilvl="0" w:tplc="340A0017">
      <w:start w:val="1"/>
      <w:numFmt w:val="lowerLetter"/>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9">
    <w:nsid w:val="515915DF"/>
    <w:multiLevelType w:val="multilevel"/>
    <w:tmpl w:val="BD28436A"/>
    <w:lvl w:ilvl="0">
      <w:start w:val="1"/>
      <w:numFmt w:val="upperRoman"/>
      <w:lvlText w:val="%1."/>
      <w:lvlJc w:val="left"/>
      <w:pPr>
        <w:ind w:left="36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0">
    <w:nsid w:val="53FE6E04"/>
    <w:multiLevelType w:val="hybridMultilevel"/>
    <w:tmpl w:val="D0247C82"/>
    <w:lvl w:ilvl="0" w:tplc="340A0017">
      <w:start w:val="1"/>
      <w:numFmt w:val="lowerLetter"/>
      <w:lvlText w:val="%1)"/>
      <w:lvlJc w:val="left"/>
      <w:pPr>
        <w:ind w:left="360" w:hanging="360"/>
      </w:pPr>
      <w:rPr>
        <w:rFonts w:hint="default"/>
      </w:rPr>
    </w:lvl>
    <w:lvl w:ilvl="1" w:tplc="340A0019">
      <w:start w:val="1"/>
      <w:numFmt w:val="lowerLetter"/>
      <w:lvlText w:val="%2."/>
      <w:lvlJc w:val="left"/>
      <w:pPr>
        <w:ind w:left="1080" w:hanging="360"/>
      </w:pPr>
    </w:lvl>
    <w:lvl w:ilvl="2" w:tplc="340A0001">
      <w:start w:val="1"/>
      <w:numFmt w:val="bullet"/>
      <w:lvlText w:val=""/>
      <w:lvlJc w:val="left"/>
      <w:pPr>
        <w:ind w:left="1800" w:hanging="180"/>
      </w:pPr>
      <w:rPr>
        <w:rFonts w:ascii="Symbol" w:hAnsi="Symbol" w:hint="default"/>
      </w:r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21">
    <w:nsid w:val="5A7756E3"/>
    <w:multiLevelType w:val="hybridMultilevel"/>
    <w:tmpl w:val="DDEC3914"/>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22">
    <w:nsid w:val="5B644567"/>
    <w:multiLevelType w:val="multilevel"/>
    <w:tmpl w:val="7E8056D0"/>
    <w:lvl w:ilvl="0">
      <w:start w:val="2"/>
      <w:numFmt w:val="upperRoman"/>
      <w:lvlText w:val="%1."/>
      <w:lvlJc w:val="left"/>
      <w:pPr>
        <w:ind w:left="360" w:hanging="360"/>
      </w:pPr>
      <w:rPr>
        <w:rFonts w:hint="default"/>
      </w:rPr>
    </w:lvl>
    <w:lvl w:ilvl="1">
      <w:start w:val="12"/>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3">
    <w:nsid w:val="5E286890"/>
    <w:multiLevelType w:val="hybridMultilevel"/>
    <w:tmpl w:val="470C0E18"/>
    <w:lvl w:ilvl="0" w:tplc="4E9077DA">
      <w:start w:val="1"/>
      <w:numFmt w:val="upperRoman"/>
      <w:lvlText w:val="%1."/>
      <w:lvlJc w:val="lef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4">
    <w:nsid w:val="63E91D6B"/>
    <w:multiLevelType w:val="hybridMultilevel"/>
    <w:tmpl w:val="81EA57CA"/>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25">
    <w:nsid w:val="65A2570F"/>
    <w:multiLevelType w:val="multilevel"/>
    <w:tmpl w:val="8F5E8700"/>
    <w:lvl w:ilvl="0">
      <w:start w:val="1"/>
      <w:numFmt w:val="upperRoman"/>
      <w:lvlText w:val="%1."/>
      <w:lvlJc w:val="center"/>
      <w:pPr>
        <w:tabs>
          <w:tab w:val="num" w:pos="648"/>
        </w:tabs>
        <w:ind w:left="0" w:firstLine="288"/>
      </w:pPr>
      <w:rPr>
        <w:rFonts w:cs="Times New Roman" w:hint="default"/>
        <w:b/>
        <w:i w:val="0"/>
      </w:rPr>
    </w:lvl>
    <w:lvl w:ilvl="1">
      <w:start w:val="1"/>
      <w:numFmt w:val="decimal"/>
      <w:lvlText w:val="%1.%2"/>
      <w:lvlJc w:val="left"/>
      <w:pPr>
        <w:tabs>
          <w:tab w:val="num" w:pos="720"/>
        </w:tabs>
        <w:ind w:left="720" w:hanging="720"/>
      </w:pPr>
      <w:rPr>
        <w:rFonts w:cs="Times New Roman" w:hint="default"/>
      </w:rPr>
    </w:lvl>
    <w:lvl w:ilvl="2">
      <w:start w:val="1"/>
      <w:numFmt w:val="lowerLetter"/>
      <w:lvlText w:val="%3."/>
      <w:lvlJc w:val="left"/>
      <w:pPr>
        <w:tabs>
          <w:tab w:val="num" w:pos="1152"/>
        </w:tabs>
        <w:ind w:left="1152" w:hanging="432"/>
      </w:pPr>
      <w:rPr>
        <w:rFonts w:cs="Times New Roman" w:hint="default"/>
      </w:rPr>
    </w:lvl>
    <w:lvl w:ilvl="3">
      <w:start w:val="1"/>
      <w:numFmt w:val="lowerRoman"/>
      <w:lvlText w:val="%4."/>
      <w:lvlJc w:val="right"/>
      <w:pPr>
        <w:tabs>
          <w:tab w:val="num" w:pos="1584"/>
        </w:tabs>
        <w:ind w:left="1584" w:hanging="288"/>
      </w:pPr>
      <w:rPr>
        <w:rFonts w:cs="Times New Roman" w:hint="default"/>
      </w:rPr>
    </w:lvl>
    <w:lvl w:ilvl="4">
      <w:start w:val="1"/>
      <w:numFmt w:val="none"/>
      <w:lvlText w:val=""/>
      <w:lvlJc w:val="left"/>
      <w:pPr>
        <w:tabs>
          <w:tab w:val="num" w:pos="3240"/>
        </w:tabs>
        <w:ind w:left="2880" w:firstLine="0"/>
      </w:pPr>
      <w:rPr>
        <w:rFonts w:cs="Times New Roman" w:hint="default"/>
      </w:rPr>
    </w:lvl>
    <w:lvl w:ilvl="5">
      <w:start w:val="1"/>
      <w:numFmt w:val="none"/>
      <w:lvlText w:val=""/>
      <w:lvlJc w:val="left"/>
      <w:pPr>
        <w:tabs>
          <w:tab w:val="num" w:pos="3960"/>
        </w:tabs>
        <w:ind w:left="3600" w:firstLine="0"/>
      </w:pPr>
      <w:rPr>
        <w:rFonts w:cs="Times New Roman" w:hint="default"/>
      </w:rPr>
    </w:lvl>
    <w:lvl w:ilvl="6">
      <w:start w:val="1"/>
      <w:numFmt w:val="none"/>
      <w:lvlText w:val=""/>
      <w:lvlJc w:val="left"/>
      <w:pPr>
        <w:tabs>
          <w:tab w:val="num" w:pos="4680"/>
        </w:tabs>
        <w:ind w:left="4320" w:firstLine="0"/>
      </w:pPr>
      <w:rPr>
        <w:rFonts w:cs="Times New Roman" w:hint="default"/>
      </w:rPr>
    </w:lvl>
    <w:lvl w:ilvl="7">
      <w:start w:val="1"/>
      <w:numFmt w:val="none"/>
      <w:lvlText w:val=""/>
      <w:lvlJc w:val="left"/>
      <w:pPr>
        <w:tabs>
          <w:tab w:val="num" w:pos="5400"/>
        </w:tabs>
        <w:ind w:left="5040" w:firstLine="0"/>
      </w:pPr>
      <w:rPr>
        <w:rFonts w:cs="Times New Roman" w:hint="default"/>
      </w:rPr>
    </w:lvl>
    <w:lvl w:ilvl="8">
      <w:start w:val="1"/>
      <w:numFmt w:val="none"/>
      <w:lvlText w:val=""/>
      <w:lvlJc w:val="left"/>
      <w:pPr>
        <w:tabs>
          <w:tab w:val="num" w:pos="6120"/>
        </w:tabs>
        <w:ind w:left="5760" w:firstLine="0"/>
      </w:pPr>
      <w:rPr>
        <w:rFonts w:cs="Times New Roman" w:hint="default"/>
      </w:rPr>
    </w:lvl>
  </w:abstractNum>
  <w:abstractNum w:abstractNumId="26">
    <w:nsid w:val="71064F33"/>
    <w:multiLevelType w:val="hybridMultilevel"/>
    <w:tmpl w:val="1F6CC8C8"/>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3"/>
  </w:num>
  <w:num w:numId="4">
    <w:abstractNumId w:val="19"/>
  </w:num>
  <w:num w:numId="5">
    <w:abstractNumId w:val="6"/>
  </w:num>
  <w:num w:numId="6">
    <w:abstractNumId w:val="1"/>
  </w:num>
  <w:num w:numId="7">
    <w:abstractNumId w:val="9"/>
  </w:num>
  <w:num w:numId="8">
    <w:abstractNumId w:val="6"/>
  </w:num>
  <w:num w:numId="9">
    <w:abstractNumId w:val="0"/>
  </w:num>
  <w:num w:numId="10">
    <w:abstractNumId w:val="5"/>
  </w:num>
  <w:num w:numId="11">
    <w:abstractNumId w:val="21"/>
  </w:num>
  <w:num w:numId="12">
    <w:abstractNumId w:val="2"/>
  </w:num>
  <w:num w:numId="13">
    <w:abstractNumId w:val="24"/>
  </w:num>
  <w:num w:numId="14">
    <w:abstractNumId w:val="22"/>
  </w:num>
  <w:num w:numId="15">
    <w:abstractNumId w:val="8"/>
  </w:num>
  <w:num w:numId="16">
    <w:abstractNumId w:val="17"/>
  </w:num>
  <w:num w:numId="17">
    <w:abstractNumId w:val="12"/>
  </w:num>
  <w:num w:numId="18">
    <w:abstractNumId w:val="4"/>
  </w:num>
  <w:num w:numId="19">
    <w:abstractNumId w:val="6"/>
  </w:num>
  <w:num w:numId="20">
    <w:abstractNumId w:val="26"/>
  </w:num>
  <w:num w:numId="21">
    <w:abstractNumId w:val="10"/>
  </w:num>
  <w:num w:numId="22">
    <w:abstractNumId w:val="20"/>
  </w:num>
  <w:num w:numId="23">
    <w:abstractNumId w:val="18"/>
  </w:num>
  <w:num w:numId="24">
    <w:abstractNumId w:val="13"/>
  </w:num>
  <w:num w:numId="25">
    <w:abstractNumId w:val="23"/>
  </w:num>
  <w:num w:numId="26">
    <w:abstractNumId w:val="23"/>
    <w:lvlOverride w:ilvl="0">
      <w:startOverride w:val="1"/>
    </w:lvlOverride>
  </w:num>
  <w:num w:numId="27">
    <w:abstractNumId w:val="16"/>
  </w:num>
  <w:num w:numId="28">
    <w:abstractNumId w:val="11"/>
  </w:num>
  <w:num w:numId="29">
    <w:abstractNumId w:val="23"/>
  </w:num>
  <w:num w:numId="30">
    <w:abstractNumId w:val="7"/>
  </w:num>
  <w:num w:numId="31">
    <w:abstractNumId w:val="2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drigo">
    <w15:presenceInfo w15:providerId="None" w15:userId="Rodrig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D0E"/>
    <w:rsid w:val="00010D28"/>
    <w:rsid w:val="00021734"/>
    <w:rsid w:val="00041EB0"/>
    <w:rsid w:val="0004652F"/>
    <w:rsid w:val="00047AE8"/>
    <w:rsid w:val="00050BCC"/>
    <w:rsid w:val="00052C7C"/>
    <w:rsid w:val="00060D33"/>
    <w:rsid w:val="00064979"/>
    <w:rsid w:val="00067697"/>
    <w:rsid w:val="000768DB"/>
    <w:rsid w:val="00080EE7"/>
    <w:rsid w:val="000844B6"/>
    <w:rsid w:val="00087FF2"/>
    <w:rsid w:val="0009104C"/>
    <w:rsid w:val="00095CB4"/>
    <w:rsid w:val="00097932"/>
    <w:rsid w:val="000A0813"/>
    <w:rsid w:val="000A4C64"/>
    <w:rsid w:val="000A5CE2"/>
    <w:rsid w:val="000A73D7"/>
    <w:rsid w:val="000C028A"/>
    <w:rsid w:val="000C2733"/>
    <w:rsid w:val="000C2B10"/>
    <w:rsid w:val="000D445D"/>
    <w:rsid w:val="000D6064"/>
    <w:rsid w:val="000D773D"/>
    <w:rsid w:val="000E04F4"/>
    <w:rsid w:val="001020F7"/>
    <w:rsid w:val="00103F0C"/>
    <w:rsid w:val="00123DF2"/>
    <w:rsid w:val="001277DA"/>
    <w:rsid w:val="001326E4"/>
    <w:rsid w:val="00140611"/>
    <w:rsid w:val="00151074"/>
    <w:rsid w:val="00157DE1"/>
    <w:rsid w:val="00157F7D"/>
    <w:rsid w:val="00174420"/>
    <w:rsid w:val="00176147"/>
    <w:rsid w:val="001928BD"/>
    <w:rsid w:val="00192938"/>
    <w:rsid w:val="00196A70"/>
    <w:rsid w:val="00197849"/>
    <w:rsid w:val="001A28A5"/>
    <w:rsid w:val="001D7FEA"/>
    <w:rsid w:val="001E1AD0"/>
    <w:rsid w:val="001E2BD7"/>
    <w:rsid w:val="001E6B7D"/>
    <w:rsid w:val="001E7A28"/>
    <w:rsid w:val="001F10C8"/>
    <w:rsid w:val="001F46C0"/>
    <w:rsid w:val="00201225"/>
    <w:rsid w:val="00211EE7"/>
    <w:rsid w:val="00222A4E"/>
    <w:rsid w:val="00237399"/>
    <w:rsid w:val="00244D72"/>
    <w:rsid w:val="00246F8B"/>
    <w:rsid w:val="00247C72"/>
    <w:rsid w:val="002662A9"/>
    <w:rsid w:val="0026756D"/>
    <w:rsid w:val="002831B0"/>
    <w:rsid w:val="00286D56"/>
    <w:rsid w:val="00297EC9"/>
    <w:rsid w:val="002A5329"/>
    <w:rsid w:val="002A60FC"/>
    <w:rsid w:val="002B7A0D"/>
    <w:rsid w:val="002C06CC"/>
    <w:rsid w:val="002C0C88"/>
    <w:rsid w:val="002C617E"/>
    <w:rsid w:val="002C7590"/>
    <w:rsid w:val="002D01B2"/>
    <w:rsid w:val="002D4E2A"/>
    <w:rsid w:val="002E090A"/>
    <w:rsid w:val="002E2A62"/>
    <w:rsid w:val="00304D7E"/>
    <w:rsid w:val="00310350"/>
    <w:rsid w:val="003248EE"/>
    <w:rsid w:val="00330888"/>
    <w:rsid w:val="0033342A"/>
    <w:rsid w:val="00334102"/>
    <w:rsid w:val="003364C4"/>
    <w:rsid w:val="00343AC7"/>
    <w:rsid w:val="00344D7E"/>
    <w:rsid w:val="00344E97"/>
    <w:rsid w:val="0036546B"/>
    <w:rsid w:val="00381F3E"/>
    <w:rsid w:val="0038313E"/>
    <w:rsid w:val="003832E5"/>
    <w:rsid w:val="00383EDE"/>
    <w:rsid w:val="00387031"/>
    <w:rsid w:val="00387127"/>
    <w:rsid w:val="003A0251"/>
    <w:rsid w:val="003A2A6A"/>
    <w:rsid w:val="003A30D0"/>
    <w:rsid w:val="003A542A"/>
    <w:rsid w:val="003A68ED"/>
    <w:rsid w:val="003A6AB4"/>
    <w:rsid w:val="003B2905"/>
    <w:rsid w:val="003B3641"/>
    <w:rsid w:val="003B47DE"/>
    <w:rsid w:val="003B6FB1"/>
    <w:rsid w:val="003C749B"/>
    <w:rsid w:val="003D15A6"/>
    <w:rsid w:val="003F3AF3"/>
    <w:rsid w:val="00404076"/>
    <w:rsid w:val="004105A3"/>
    <w:rsid w:val="00416560"/>
    <w:rsid w:val="00422F6C"/>
    <w:rsid w:val="004275EA"/>
    <w:rsid w:val="004428D0"/>
    <w:rsid w:val="0044554F"/>
    <w:rsid w:val="00447163"/>
    <w:rsid w:val="00466534"/>
    <w:rsid w:val="004A4980"/>
    <w:rsid w:val="004B4105"/>
    <w:rsid w:val="004C053B"/>
    <w:rsid w:val="004C514F"/>
    <w:rsid w:val="004C7FF9"/>
    <w:rsid w:val="004E2C61"/>
    <w:rsid w:val="004F2792"/>
    <w:rsid w:val="004F5190"/>
    <w:rsid w:val="005002EE"/>
    <w:rsid w:val="00514E0F"/>
    <w:rsid w:val="00516443"/>
    <w:rsid w:val="0052225D"/>
    <w:rsid w:val="00530876"/>
    <w:rsid w:val="00556511"/>
    <w:rsid w:val="00576666"/>
    <w:rsid w:val="00582836"/>
    <w:rsid w:val="005A4393"/>
    <w:rsid w:val="005A5087"/>
    <w:rsid w:val="005A6AB0"/>
    <w:rsid w:val="005B0098"/>
    <w:rsid w:val="005B10B1"/>
    <w:rsid w:val="005C7C86"/>
    <w:rsid w:val="005E52A9"/>
    <w:rsid w:val="005E6300"/>
    <w:rsid w:val="005F73D8"/>
    <w:rsid w:val="00603BD3"/>
    <w:rsid w:val="00604F25"/>
    <w:rsid w:val="006079AD"/>
    <w:rsid w:val="00615F44"/>
    <w:rsid w:val="006230F9"/>
    <w:rsid w:val="00627E15"/>
    <w:rsid w:val="006308E2"/>
    <w:rsid w:val="006379DA"/>
    <w:rsid w:val="00645DE4"/>
    <w:rsid w:val="00651A90"/>
    <w:rsid w:val="00654F45"/>
    <w:rsid w:val="0066087E"/>
    <w:rsid w:val="00662D46"/>
    <w:rsid w:val="00687FB3"/>
    <w:rsid w:val="00692B36"/>
    <w:rsid w:val="0069626F"/>
    <w:rsid w:val="006965E3"/>
    <w:rsid w:val="006B2157"/>
    <w:rsid w:val="006B4732"/>
    <w:rsid w:val="006B5AE2"/>
    <w:rsid w:val="006B6BD4"/>
    <w:rsid w:val="006B6D6E"/>
    <w:rsid w:val="006C0B7B"/>
    <w:rsid w:val="006D0DAA"/>
    <w:rsid w:val="006E4C20"/>
    <w:rsid w:val="006E7632"/>
    <w:rsid w:val="006E76A9"/>
    <w:rsid w:val="006F3125"/>
    <w:rsid w:val="00703834"/>
    <w:rsid w:val="007060B6"/>
    <w:rsid w:val="007119FE"/>
    <w:rsid w:val="00723826"/>
    <w:rsid w:val="0072655B"/>
    <w:rsid w:val="007270C5"/>
    <w:rsid w:val="00732E27"/>
    <w:rsid w:val="00735F58"/>
    <w:rsid w:val="0074003D"/>
    <w:rsid w:val="00740E60"/>
    <w:rsid w:val="00750A0D"/>
    <w:rsid w:val="00761A98"/>
    <w:rsid w:val="007642A7"/>
    <w:rsid w:val="007761E0"/>
    <w:rsid w:val="00792A48"/>
    <w:rsid w:val="00795AF1"/>
    <w:rsid w:val="007B0BC9"/>
    <w:rsid w:val="007B255B"/>
    <w:rsid w:val="007C156C"/>
    <w:rsid w:val="007C5797"/>
    <w:rsid w:val="007E38B5"/>
    <w:rsid w:val="007F4A23"/>
    <w:rsid w:val="00800138"/>
    <w:rsid w:val="00802ADB"/>
    <w:rsid w:val="00804268"/>
    <w:rsid w:val="008122C5"/>
    <w:rsid w:val="00814AFF"/>
    <w:rsid w:val="00821A0A"/>
    <w:rsid w:val="008265B2"/>
    <w:rsid w:val="00826F38"/>
    <w:rsid w:val="00827D1A"/>
    <w:rsid w:val="00842610"/>
    <w:rsid w:val="008478DF"/>
    <w:rsid w:val="00852C07"/>
    <w:rsid w:val="00852DFA"/>
    <w:rsid w:val="00855604"/>
    <w:rsid w:val="00865225"/>
    <w:rsid w:val="00875D62"/>
    <w:rsid w:val="00881C15"/>
    <w:rsid w:val="00892C7B"/>
    <w:rsid w:val="00894771"/>
    <w:rsid w:val="008A739C"/>
    <w:rsid w:val="008A79FC"/>
    <w:rsid w:val="008C17C4"/>
    <w:rsid w:val="008D22FC"/>
    <w:rsid w:val="008D3F71"/>
    <w:rsid w:val="008D799E"/>
    <w:rsid w:val="008E6865"/>
    <w:rsid w:val="00900824"/>
    <w:rsid w:val="00917929"/>
    <w:rsid w:val="00923025"/>
    <w:rsid w:val="00923518"/>
    <w:rsid w:val="00935781"/>
    <w:rsid w:val="00940A39"/>
    <w:rsid w:val="00946D42"/>
    <w:rsid w:val="00951712"/>
    <w:rsid w:val="00961877"/>
    <w:rsid w:val="00963E65"/>
    <w:rsid w:val="00970D0D"/>
    <w:rsid w:val="009715D0"/>
    <w:rsid w:val="00980ECB"/>
    <w:rsid w:val="009C7453"/>
    <w:rsid w:val="009D146A"/>
    <w:rsid w:val="009D2BE5"/>
    <w:rsid w:val="009E3023"/>
    <w:rsid w:val="009E3E09"/>
    <w:rsid w:val="009F73D0"/>
    <w:rsid w:val="00A06C61"/>
    <w:rsid w:val="00A121D3"/>
    <w:rsid w:val="00A167AF"/>
    <w:rsid w:val="00A24A1F"/>
    <w:rsid w:val="00A24D2E"/>
    <w:rsid w:val="00A31BB9"/>
    <w:rsid w:val="00A31FD6"/>
    <w:rsid w:val="00A74F42"/>
    <w:rsid w:val="00A80ECE"/>
    <w:rsid w:val="00A9115E"/>
    <w:rsid w:val="00A92711"/>
    <w:rsid w:val="00AA1609"/>
    <w:rsid w:val="00AA71F2"/>
    <w:rsid w:val="00AB01F7"/>
    <w:rsid w:val="00AB1EA5"/>
    <w:rsid w:val="00AB325E"/>
    <w:rsid w:val="00AB4831"/>
    <w:rsid w:val="00AC4499"/>
    <w:rsid w:val="00AD484D"/>
    <w:rsid w:val="00AD56A6"/>
    <w:rsid w:val="00AD7759"/>
    <w:rsid w:val="00AD7ED9"/>
    <w:rsid w:val="00AF3F65"/>
    <w:rsid w:val="00AF65F6"/>
    <w:rsid w:val="00B00F53"/>
    <w:rsid w:val="00B1418A"/>
    <w:rsid w:val="00B173D1"/>
    <w:rsid w:val="00B17F82"/>
    <w:rsid w:val="00B36D35"/>
    <w:rsid w:val="00B40528"/>
    <w:rsid w:val="00B447CA"/>
    <w:rsid w:val="00B44E1D"/>
    <w:rsid w:val="00B457E1"/>
    <w:rsid w:val="00B45D05"/>
    <w:rsid w:val="00B46BF1"/>
    <w:rsid w:val="00B56217"/>
    <w:rsid w:val="00B62188"/>
    <w:rsid w:val="00B66353"/>
    <w:rsid w:val="00B713BB"/>
    <w:rsid w:val="00B73D97"/>
    <w:rsid w:val="00B75D79"/>
    <w:rsid w:val="00B815C0"/>
    <w:rsid w:val="00B97E1C"/>
    <w:rsid w:val="00BA63AB"/>
    <w:rsid w:val="00BB4A25"/>
    <w:rsid w:val="00BB4D56"/>
    <w:rsid w:val="00BC1FC6"/>
    <w:rsid w:val="00BD4924"/>
    <w:rsid w:val="00BE18AE"/>
    <w:rsid w:val="00BE7455"/>
    <w:rsid w:val="00BF036D"/>
    <w:rsid w:val="00BF2699"/>
    <w:rsid w:val="00BF77FC"/>
    <w:rsid w:val="00C00650"/>
    <w:rsid w:val="00C03590"/>
    <w:rsid w:val="00C1224F"/>
    <w:rsid w:val="00C1269C"/>
    <w:rsid w:val="00C176EA"/>
    <w:rsid w:val="00C21B6C"/>
    <w:rsid w:val="00C231E9"/>
    <w:rsid w:val="00C23E67"/>
    <w:rsid w:val="00C25ED1"/>
    <w:rsid w:val="00C3050D"/>
    <w:rsid w:val="00C40D11"/>
    <w:rsid w:val="00C41EA2"/>
    <w:rsid w:val="00C47CA5"/>
    <w:rsid w:val="00C5046C"/>
    <w:rsid w:val="00C526EA"/>
    <w:rsid w:val="00C67D0E"/>
    <w:rsid w:val="00C67FE7"/>
    <w:rsid w:val="00C73B59"/>
    <w:rsid w:val="00C753ED"/>
    <w:rsid w:val="00C8312D"/>
    <w:rsid w:val="00C859FE"/>
    <w:rsid w:val="00CB2A0B"/>
    <w:rsid w:val="00CB2A37"/>
    <w:rsid w:val="00CC6957"/>
    <w:rsid w:val="00CD45EB"/>
    <w:rsid w:val="00CE474C"/>
    <w:rsid w:val="00CE65E5"/>
    <w:rsid w:val="00CF10D0"/>
    <w:rsid w:val="00CF4C70"/>
    <w:rsid w:val="00D038C0"/>
    <w:rsid w:val="00D10E93"/>
    <w:rsid w:val="00D218FF"/>
    <w:rsid w:val="00D231EE"/>
    <w:rsid w:val="00D23AFE"/>
    <w:rsid w:val="00D24F9B"/>
    <w:rsid w:val="00D26595"/>
    <w:rsid w:val="00D371C0"/>
    <w:rsid w:val="00D40A52"/>
    <w:rsid w:val="00D56D6F"/>
    <w:rsid w:val="00D76E17"/>
    <w:rsid w:val="00D90F19"/>
    <w:rsid w:val="00D93471"/>
    <w:rsid w:val="00DA08EE"/>
    <w:rsid w:val="00DB3B51"/>
    <w:rsid w:val="00DB4706"/>
    <w:rsid w:val="00DC2DF0"/>
    <w:rsid w:val="00DD10BE"/>
    <w:rsid w:val="00DD161A"/>
    <w:rsid w:val="00DD1715"/>
    <w:rsid w:val="00DD1BDA"/>
    <w:rsid w:val="00DE518F"/>
    <w:rsid w:val="00DE6691"/>
    <w:rsid w:val="00DE6E21"/>
    <w:rsid w:val="00DF36F4"/>
    <w:rsid w:val="00DF5001"/>
    <w:rsid w:val="00DF5BB3"/>
    <w:rsid w:val="00E16933"/>
    <w:rsid w:val="00E318F9"/>
    <w:rsid w:val="00E341CF"/>
    <w:rsid w:val="00E42920"/>
    <w:rsid w:val="00E5755D"/>
    <w:rsid w:val="00E66B7B"/>
    <w:rsid w:val="00E74878"/>
    <w:rsid w:val="00E86C17"/>
    <w:rsid w:val="00E86FD7"/>
    <w:rsid w:val="00E879C2"/>
    <w:rsid w:val="00E933C5"/>
    <w:rsid w:val="00E956AC"/>
    <w:rsid w:val="00EA068F"/>
    <w:rsid w:val="00EA35AA"/>
    <w:rsid w:val="00EA4B83"/>
    <w:rsid w:val="00EA4FB8"/>
    <w:rsid w:val="00EA548C"/>
    <w:rsid w:val="00EB4688"/>
    <w:rsid w:val="00EC5B54"/>
    <w:rsid w:val="00ED3830"/>
    <w:rsid w:val="00ED64DC"/>
    <w:rsid w:val="00EE53F5"/>
    <w:rsid w:val="00EE5FE6"/>
    <w:rsid w:val="00EF11A9"/>
    <w:rsid w:val="00EF4EE6"/>
    <w:rsid w:val="00F01BCC"/>
    <w:rsid w:val="00F0398F"/>
    <w:rsid w:val="00F03A86"/>
    <w:rsid w:val="00F113D4"/>
    <w:rsid w:val="00F1620F"/>
    <w:rsid w:val="00F16900"/>
    <w:rsid w:val="00F20239"/>
    <w:rsid w:val="00F33DDA"/>
    <w:rsid w:val="00F4130B"/>
    <w:rsid w:val="00F505AD"/>
    <w:rsid w:val="00F53A36"/>
    <w:rsid w:val="00F5409F"/>
    <w:rsid w:val="00F5411A"/>
    <w:rsid w:val="00F70BC2"/>
    <w:rsid w:val="00F721D4"/>
    <w:rsid w:val="00F7296E"/>
    <w:rsid w:val="00F863A5"/>
    <w:rsid w:val="00F93021"/>
    <w:rsid w:val="00FA69FB"/>
    <w:rsid w:val="00FB01C2"/>
    <w:rsid w:val="00FB3B2E"/>
    <w:rsid w:val="00FB6686"/>
    <w:rsid w:val="00FC029F"/>
    <w:rsid w:val="00FC69F8"/>
    <w:rsid w:val="00FD3F3E"/>
    <w:rsid w:val="00FD5252"/>
    <w:rsid w:val="00FD5A4E"/>
    <w:rsid w:val="00FE110A"/>
  </w:rsids>
  <m:mathPr>
    <m:mathFont m:val="Cambria Math"/>
    <m:brkBin m:val="before"/>
    <m:brkBinSub m:val="--"/>
    <m:smallFrac/>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L" w:eastAsia="es-C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542A"/>
    <w:pPr>
      <w:spacing w:after="120"/>
      <w:jc w:val="both"/>
    </w:pPr>
    <w:rPr>
      <w:rFonts w:ascii="Times New Roman" w:eastAsia="Times New Roman" w:hAnsi="Times New Roman"/>
      <w:sz w:val="24"/>
      <w:szCs w:val="24"/>
      <w:lang w:val="es-ES" w:eastAsia="es-ES"/>
    </w:rPr>
  </w:style>
  <w:style w:type="paragraph" w:styleId="Heading1">
    <w:name w:val="heading 1"/>
    <w:basedOn w:val="Normal"/>
    <w:next w:val="Normal"/>
    <w:link w:val="Heading1Char"/>
    <w:uiPriority w:val="9"/>
    <w:qFormat/>
    <w:rsid w:val="00821A0A"/>
    <w:pPr>
      <w:numPr>
        <w:numId w:val="30"/>
      </w:numPr>
      <w:jc w:val="center"/>
      <w:outlineLvl w:val="0"/>
    </w:pPr>
    <w:rPr>
      <w:b/>
      <w:smallCaps/>
    </w:rPr>
  </w:style>
  <w:style w:type="paragraph" w:styleId="Heading2">
    <w:name w:val="heading 2"/>
    <w:basedOn w:val="Normal"/>
    <w:next w:val="Normal"/>
    <w:link w:val="Heading2Char"/>
    <w:uiPriority w:val="9"/>
    <w:unhideWhenUsed/>
    <w:qFormat/>
    <w:rsid w:val="00EA4B83"/>
    <w:pPr>
      <w:numPr>
        <w:ilvl w:val="1"/>
        <w:numId w:val="30"/>
      </w:numPr>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7D0E"/>
    <w:pPr>
      <w:spacing w:after="200" w:line="276" w:lineRule="auto"/>
      <w:ind w:left="720"/>
      <w:contextualSpacing/>
    </w:pPr>
    <w:rPr>
      <w:rFonts w:ascii="Calibri" w:eastAsia="Calibri" w:hAnsi="Calibri"/>
      <w:sz w:val="22"/>
      <w:szCs w:val="22"/>
      <w:lang w:eastAsia="en-US"/>
    </w:rPr>
  </w:style>
  <w:style w:type="paragraph" w:customStyle="1" w:styleId="Chapter">
    <w:name w:val="Chapter"/>
    <w:basedOn w:val="Normal"/>
    <w:next w:val="Normal"/>
    <w:rsid w:val="004C7FF9"/>
    <w:pPr>
      <w:tabs>
        <w:tab w:val="left" w:pos="1440"/>
      </w:tabs>
      <w:spacing w:after="240"/>
      <w:jc w:val="center"/>
    </w:pPr>
    <w:rPr>
      <w:b/>
      <w:smallCaps/>
      <w:szCs w:val="20"/>
      <w:lang w:eastAsia="en-US"/>
    </w:rPr>
  </w:style>
  <w:style w:type="paragraph" w:customStyle="1" w:styleId="Paragraph">
    <w:name w:val="Paragraph"/>
    <w:basedOn w:val="BodyTextIndent"/>
    <w:link w:val="ParagraphChar"/>
    <w:rsid w:val="004C7FF9"/>
    <w:pPr>
      <w:spacing w:before="120"/>
      <w:ind w:left="0"/>
      <w:outlineLvl w:val="1"/>
    </w:pPr>
    <w:rPr>
      <w:szCs w:val="20"/>
      <w:lang w:eastAsia="en-US"/>
    </w:rPr>
  </w:style>
  <w:style w:type="paragraph" w:customStyle="1" w:styleId="subpar">
    <w:name w:val="subpar"/>
    <w:basedOn w:val="BodyTextIndent3"/>
    <w:rsid w:val="004C7FF9"/>
    <w:pPr>
      <w:spacing w:before="120"/>
      <w:ind w:left="0"/>
      <w:outlineLvl w:val="2"/>
    </w:pPr>
    <w:rPr>
      <w:sz w:val="24"/>
      <w:szCs w:val="20"/>
      <w:lang w:val="es-ES_tradnl" w:eastAsia="en-US"/>
    </w:rPr>
  </w:style>
  <w:style w:type="paragraph" w:customStyle="1" w:styleId="SubSubPar">
    <w:name w:val="SubSubPar"/>
    <w:basedOn w:val="subpar"/>
    <w:rsid w:val="004C7FF9"/>
    <w:pPr>
      <w:tabs>
        <w:tab w:val="left" w:pos="0"/>
      </w:tabs>
    </w:pPr>
  </w:style>
  <w:style w:type="character" w:customStyle="1" w:styleId="ParagraphChar">
    <w:name w:val="Paragraph Char"/>
    <w:link w:val="Paragraph"/>
    <w:rsid w:val="004C7FF9"/>
    <w:rPr>
      <w:rFonts w:ascii="Times New Roman" w:eastAsia="Times New Roman" w:hAnsi="Times New Roman"/>
      <w:sz w:val="24"/>
      <w:lang w:val="es-ES" w:eastAsia="en-US"/>
    </w:rPr>
  </w:style>
  <w:style w:type="paragraph" w:styleId="BodyTextIndent">
    <w:name w:val="Body Text Indent"/>
    <w:basedOn w:val="Normal"/>
    <w:link w:val="BodyTextIndentChar"/>
    <w:uiPriority w:val="99"/>
    <w:semiHidden/>
    <w:unhideWhenUsed/>
    <w:rsid w:val="004C7FF9"/>
    <w:pPr>
      <w:ind w:left="283"/>
    </w:pPr>
  </w:style>
  <w:style w:type="character" w:customStyle="1" w:styleId="BodyTextIndentChar">
    <w:name w:val="Body Text Indent Char"/>
    <w:link w:val="BodyTextIndent"/>
    <w:uiPriority w:val="99"/>
    <w:semiHidden/>
    <w:rsid w:val="004C7FF9"/>
    <w:rPr>
      <w:rFonts w:ascii="Times New Roman" w:eastAsia="Times New Roman" w:hAnsi="Times New Roman"/>
      <w:sz w:val="24"/>
      <w:szCs w:val="24"/>
      <w:lang w:val="es-ES" w:eastAsia="es-ES"/>
    </w:rPr>
  </w:style>
  <w:style w:type="paragraph" w:styleId="BodyTextIndent3">
    <w:name w:val="Body Text Indent 3"/>
    <w:basedOn w:val="Normal"/>
    <w:link w:val="BodyTextIndent3Char"/>
    <w:uiPriority w:val="99"/>
    <w:semiHidden/>
    <w:unhideWhenUsed/>
    <w:rsid w:val="004C7FF9"/>
    <w:pPr>
      <w:ind w:left="283"/>
    </w:pPr>
    <w:rPr>
      <w:sz w:val="16"/>
      <w:szCs w:val="16"/>
    </w:rPr>
  </w:style>
  <w:style w:type="character" w:customStyle="1" w:styleId="BodyTextIndent3Char">
    <w:name w:val="Body Text Indent 3 Char"/>
    <w:link w:val="BodyTextIndent3"/>
    <w:uiPriority w:val="99"/>
    <w:semiHidden/>
    <w:rsid w:val="004C7FF9"/>
    <w:rPr>
      <w:rFonts w:ascii="Times New Roman" w:eastAsia="Times New Roman" w:hAnsi="Times New Roman"/>
      <w:sz w:val="16"/>
      <w:szCs w:val="16"/>
      <w:lang w:val="es-ES" w:eastAsia="es-ES"/>
    </w:rPr>
  </w:style>
  <w:style w:type="character" w:customStyle="1" w:styleId="Heading1Char">
    <w:name w:val="Heading 1 Char"/>
    <w:link w:val="Heading1"/>
    <w:uiPriority w:val="9"/>
    <w:rsid w:val="00821A0A"/>
    <w:rPr>
      <w:rFonts w:ascii="Times New Roman" w:eastAsia="Times New Roman" w:hAnsi="Times New Roman"/>
      <w:b/>
      <w:smallCaps/>
      <w:sz w:val="24"/>
      <w:szCs w:val="24"/>
      <w:lang w:val="es-ES" w:eastAsia="es-ES"/>
    </w:rPr>
  </w:style>
  <w:style w:type="paragraph" w:styleId="DocumentMap">
    <w:name w:val="Document Map"/>
    <w:basedOn w:val="Normal"/>
    <w:link w:val="DocumentMapChar"/>
    <w:uiPriority w:val="99"/>
    <w:semiHidden/>
    <w:unhideWhenUsed/>
    <w:rsid w:val="00B447CA"/>
    <w:rPr>
      <w:rFonts w:ascii="Tahoma" w:hAnsi="Tahoma" w:cs="Tahoma"/>
      <w:sz w:val="16"/>
      <w:szCs w:val="16"/>
    </w:rPr>
  </w:style>
  <w:style w:type="character" w:customStyle="1" w:styleId="DocumentMapChar">
    <w:name w:val="Document Map Char"/>
    <w:link w:val="DocumentMap"/>
    <w:uiPriority w:val="99"/>
    <w:semiHidden/>
    <w:rsid w:val="00B447CA"/>
    <w:rPr>
      <w:rFonts w:ascii="Tahoma" w:eastAsia="Times New Roman" w:hAnsi="Tahoma" w:cs="Tahoma"/>
      <w:sz w:val="16"/>
      <w:szCs w:val="16"/>
      <w:lang w:val="es-ES" w:eastAsia="es-ES"/>
    </w:rPr>
  </w:style>
  <w:style w:type="paragraph" w:styleId="BalloonText">
    <w:name w:val="Balloon Text"/>
    <w:basedOn w:val="Normal"/>
    <w:link w:val="BalloonTextChar"/>
    <w:uiPriority w:val="99"/>
    <w:semiHidden/>
    <w:unhideWhenUsed/>
    <w:rsid w:val="00E42920"/>
    <w:rPr>
      <w:rFonts w:ascii="Tahoma" w:hAnsi="Tahoma" w:cs="Tahoma"/>
      <w:sz w:val="16"/>
      <w:szCs w:val="16"/>
    </w:rPr>
  </w:style>
  <w:style w:type="character" w:customStyle="1" w:styleId="BalloonTextChar">
    <w:name w:val="Balloon Text Char"/>
    <w:link w:val="BalloonText"/>
    <w:uiPriority w:val="99"/>
    <w:semiHidden/>
    <w:rsid w:val="00E42920"/>
    <w:rPr>
      <w:rFonts w:ascii="Tahoma" w:eastAsia="Times New Roman" w:hAnsi="Tahoma" w:cs="Tahoma"/>
      <w:sz w:val="16"/>
      <w:szCs w:val="16"/>
      <w:lang w:val="es-ES" w:eastAsia="es-ES"/>
    </w:rPr>
  </w:style>
  <w:style w:type="paragraph" w:styleId="FootnoteText">
    <w:name w:val="footnote text"/>
    <w:basedOn w:val="Normal"/>
    <w:link w:val="FootnoteTextChar"/>
    <w:uiPriority w:val="99"/>
    <w:semiHidden/>
    <w:unhideWhenUsed/>
    <w:rsid w:val="00C526EA"/>
    <w:rPr>
      <w:sz w:val="20"/>
      <w:szCs w:val="20"/>
    </w:rPr>
  </w:style>
  <w:style w:type="character" w:customStyle="1" w:styleId="FootnoteTextChar">
    <w:name w:val="Footnote Text Char"/>
    <w:link w:val="FootnoteText"/>
    <w:uiPriority w:val="99"/>
    <w:semiHidden/>
    <w:rsid w:val="00C526EA"/>
    <w:rPr>
      <w:rFonts w:ascii="Times New Roman" w:eastAsia="Times New Roman" w:hAnsi="Times New Roman"/>
      <w:lang w:val="es-ES" w:eastAsia="es-ES"/>
    </w:rPr>
  </w:style>
  <w:style w:type="character" w:styleId="FootnoteReference">
    <w:name w:val="footnote reference"/>
    <w:uiPriority w:val="99"/>
    <w:semiHidden/>
    <w:unhideWhenUsed/>
    <w:rsid w:val="00C526EA"/>
    <w:rPr>
      <w:vertAlign w:val="superscript"/>
    </w:rPr>
  </w:style>
  <w:style w:type="character" w:customStyle="1" w:styleId="ParagraphCar">
    <w:name w:val="Paragraph Car"/>
    <w:rsid w:val="00740E60"/>
    <w:rPr>
      <w:rFonts w:ascii="Times New Roman" w:eastAsia="Times New Roman" w:hAnsi="Times New Roman"/>
      <w:sz w:val="24"/>
    </w:rPr>
  </w:style>
  <w:style w:type="character" w:styleId="CommentReference">
    <w:name w:val="annotation reference"/>
    <w:uiPriority w:val="99"/>
    <w:semiHidden/>
    <w:unhideWhenUsed/>
    <w:rsid w:val="006C0B7B"/>
    <w:rPr>
      <w:sz w:val="16"/>
      <w:szCs w:val="16"/>
    </w:rPr>
  </w:style>
  <w:style w:type="paragraph" w:styleId="CommentText">
    <w:name w:val="annotation text"/>
    <w:basedOn w:val="Normal"/>
    <w:link w:val="CommentTextChar"/>
    <w:uiPriority w:val="99"/>
    <w:semiHidden/>
    <w:unhideWhenUsed/>
    <w:rsid w:val="006C0B7B"/>
    <w:rPr>
      <w:sz w:val="20"/>
      <w:szCs w:val="20"/>
    </w:rPr>
  </w:style>
  <w:style w:type="character" w:customStyle="1" w:styleId="CommentTextChar">
    <w:name w:val="Comment Text Char"/>
    <w:link w:val="CommentText"/>
    <w:uiPriority w:val="99"/>
    <w:semiHidden/>
    <w:rsid w:val="006C0B7B"/>
    <w:rPr>
      <w:rFonts w:ascii="Times New Roman" w:eastAsia="Times New Roman" w:hAnsi="Times New Roman"/>
      <w:lang w:val="es-ES" w:eastAsia="es-ES"/>
    </w:rPr>
  </w:style>
  <w:style w:type="paragraph" w:styleId="CommentSubject">
    <w:name w:val="annotation subject"/>
    <w:basedOn w:val="CommentText"/>
    <w:next w:val="CommentText"/>
    <w:link w:val="CommentSubjectChar"/>
    <w:uiPriority w:val="99"/>
    <w:semiHidden/>
    <w:unhideWhenUsed/>
    <w:rsid w:val="006C0B7B"/>
    <w:rPr>
      <w:b/>
      <w:bCs/>
    </w:rPr>
  </w:style>
  <w:style w:type="character" w:customStyle="1" w:styleId="CommentSubjectChar">
    <w:name w:val="Comment Subject Char"/>
    <w:link w:val="CommentSubject"/>
    <w:uiPriority w:val="99"/>
    <w:semiHidden/>
    <w:rsid w:val="006C0B7B"/>
    <w:rPr>
      <w:rFonts w:ascii="Times New Roman" w:eastAsia="Times New Roman" w:hAnsi="Times New Roman"/>
      <w:b/>
      <w:bCs/>
      <w:lang w:val="es-ES" w:eastAsia="es-ES"/>
    </w:rPr>
  </w:style>
  <w:style w:type="paragraph" w:styleId="BodyText">
    <w:name w:val="Body Text"/>
    <w:basedOn w:val="Normal"/>
    <w:link w:val="BodyTextChar"/>
    <w:uiPriority w:val="99"/>
    <w:unhideWhenUsed/>
    <w:rsid w:val="00EB4688"/>
  </w:style>
  <w:style w:type="character" w:customStyle="1" w:styleId="BodyTextChar">
    <w:name w:val="Body Text Char"/>
    <w:link w:val="BodyText"/>
    <w:uiPriority w:val="99"/>
    <w:rsid w:val="00EB4688"/>
    <w:rPr>
      <w:rFonts w:ascii="Times New Roman" w:eastAsia="Times New Roman" w:hAnsi="Times New Roman"/>
      <w:sz w:val="24"/>
      <w:szCs w:val="24"/>
      <w:lang w:val="es-ES" w:eastAsia="es-ES"/>
    </w:rPr>
  </w:style>
  <w:style w:type="paragraph" w:styleId="Title">
    <w:name w:val="Title"/>
    <w:basedOn w:val="Normal"/>
    <w:link w:val="TitleChar"/>
    <w:qFormat/>
    <w:rsid w:val="00EB4688"/>
    <w:pPr>
      <w:tabs>
        <w:tab w:val="left" w:pos="1440"/>
        <w:tab w:val="left" w:pos="3060"/>
      </w:tabs>
      <w:jc w:val="center"/>
      <w:outlineLvl w:val="0"/>
    </w:pPr>
    <w:rPr>
      <w:szCs w:val="20"/>
      <w:lang w:val="en-US" w:eastAsia="en-US"/>
    </w:rPr>
  </w:style>
  <w:style w:type="character" w:customStyle="1" w:styleId="TitleChar">
    <w:name w:val="Title Char"/>
    <w:link w:val="Title"/>
    <w:rsid w:val="00EB4688"/>
    <w:rPr>
      <w:rFonts w:ascii="Times New Roman" w:eastAsia="Times New Roman" w:hAnsi="Times New Roman"/>
      <w:sz w:val="24"/>
      <w:lang w:val="en-US" w:eastAsia="en-US"/>
    </w:rPr>
  </w:style>
  <w:style w:type="paragraph" w:customStyle="1" w:styleId="Newpage">
    <w:name w:val="Newpage"/>
    <w:basedOn w:val="Normal"/>
    <w:rsid w:val="00EB4688"/>
    <w:pPr>
      <w:tabs>
        <w:tab w:val="left" w:pos="1440"/>
        <w:tab w:val="left" w:pos="3060"/>
      </w:tabs>
      <w:jc w:val="center"/>
    </w:pPr>
    <w:rPr>
      <w:rFonts w:cs="Arial"/>
      <w:b/>
      <w:smallCaps/>
      <w:szCs w:val="20"/>
      <w:lang w:val="en-US" w:eastAsia="en-US"/>
    </w:rPr>
  </w:style>
  <w:style w:type="paragraph" w:styleId="Header">
    <w:name w:val="header"/>
    <w:basedOn w:val="Normal"/>
    <w:link w:val="HeaderChar"/>
    <w:uiPriority w:val="99"/>
    <w:unhideWhenUsed/>
    <w:rsid w:val="00B457E1"/>
    <w:pPr>
      <w:tabs>
        <w:tab w:val="center" w:pos="4680"/>
        <w:tab w:val="right" w:pos="9360"/>
      </w:tabs>
    </w:pPr>
  </w:style>
  <w:style w:type="character" w:customStyle="1" w:styleId="HeaderChar">
    <w:name w:val="Header Char"/>
    <w:link w:val="Header"/>
    <w:uiPriority w:val="99"/>
    <w:rsid w:val="00B457E1"/>
    <w:rPr>
      <w:rFonts w:ascii="Times New Roman" w:eastAsia="Times New Roman" w:hAnsi="Times New Roman"/>
      <w:sz w:val="24"/>
      <w:szCs w:val="24"/>
      <w:lang w:val="es-ES" w:eastAsia="es-ES"/>
    </w:rPr>
  </w:style>
  <w:style w:type="paragraph" w:styleId="Footer">
    <w:name w:val="footer"/>
    <w:basedOn w:val="Normal"/>
    <w:link w:val="FooterChar"/>
    <w:uiPriority w:val="99"/>
    <w:unhideWhenUsed/>
    <w:rsid w:val="00B457E1"/>
    <w:pPr>
      <w:tabs>
        <w:tab w:val="center" w:pos="4680"/>
        <w:tab w:val="right" w:pos="9360"/>
      </w:tabs>
    </w:pPr>
  </w:style>
  <w:style w:type="character" w:customStyle="1" w:styleId="FooterChar">
    <w:name w:val="Footer Char"/>
    <w:link w:val="Footer"/>
    <w:uiPriority w:val="99"/>
    <w:rsid w:val="00B457E1"/>
    <w:rPr>
      <w:rFonts w:ascii="Times New Roman" w:eastAsia="Times New Roman" w:hAnsi="Times New Roman"/>
      <w:sz w:val="24"/>
      <w:szCs w:val="24"/>
      <w:lang w:val="es-ES" w:eastAsia="es-ES"/>
    </w:rPr>
  </w:style>
  <w:style w:type="character" w:styleId="Hyperlink">
    <w:name w:val="Hyperlink"/>
    <w:uiPriority w:val="99"/>
    <w:semiHidden/>
    <w:unhideWhenUsed/>
    <w:rsid w:val="000A0813"/>
    <w:rPr>
      <w:color w:val="0000FF"/>
      <w:u w:val="single"/>
    </w:rPr>
  </w:style>
  <w:style w:type="character" w:customStyle="1" w:styleId="Heading2Char">
    <w:name w:val="Heading 2 Char"/>
    <w:link w:val="Heading2"/>
    <w:uiPriority w:val="9"/>
    <w:rsid w:val="00EA4B83"/>
    <w:rPr>
      <w:rFonts w:ascii="Times New Roman" w:eastAsia="Times New Roman" w:hAnsi="Times New Roman"/>
      <w:b/>
      <w:sz w:val="24"/>
      <w:szCs w:val="24"/>
      <w:lang w:val="es-ES" w:eastAsia="es-ES"/>
    </w:rPr>
  </w:style>
  <w:style w:type="table" w:styleId="TableGrid">
    <w:name w:val="Table Grid"/>
    <w:basedOn w:val="TableNormal"/>
    <w:uiPriority w:val="59"/>
    <w:rsid w:val="006B47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C1224F"/>
    <w:rPr>
      <w:b/>
      <w:bCs/>
      <w:sz w:val="20"/>
      <w:szCs w:val="20"/>
    </w:rPr>
  </w:style>
  <w:style w:type="paragraph" w:styleId="NormalWeb">
    <w:name w:val="Normal (Web)"/>
    <w:basedOn w:val="Normal"/>
    <w:uiPriority w:val="99"/>
    <w:unhideWhenUsed/>
    <w:rsid w:val="00B97E1C"/>
    <w:pPr>
      <w:spacing w:before="100" w:beforeAutospacing="1" w:after="100" w:afterAutospacing="1"/>
      <w:jc w:val="left"/>
    </w:pPr>
    <w:rPr>
      <w:lang w:val="es-CL" w:eastAsia="es-C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CL" w:eastAsia="es-C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542A"/>
    <w:pPr>
      <w:spacing w:after="120"/>
      <w:jc w:val="both"/>
    </w:pPr>
    <w:rPr>
      <w:rFonts w:ascii="Times New Roman" w:eastAsia="Times New Roman" w:hAnsi="Times New Roman"/>
      <w:sz w:val="24"/>
      <w:szCs w:val="24"/>
      <w:lang w:val="es-ES" w:eastAsia="es-ES"/>
    </w:rPr>
  </w:style>
  <w:style w:type="paragraph" w:styleId="Heading1">
    <w:name w:val="heading 1"/>
    <w:basedOn w:val="Normal"/>
    <w:next w:val="Normal"/>
    <w:link w:val="Heading1Char"/>
    <w:uiPriority w:val="9"/>
    <w:qFormat/>
    <w:rsid w:val="00821A0A"/>
    <w:pPr>
      <w:numPr>
        <w:numId w:val="30"/>
      </w:numPr>
      <w:jc w:val="center"/>
      <w:outlineLvl w:val="0"/>
    </w:pPr>
    <w:rPr>
      <w:b/>
      <w:smallCaps/>
    </w:rPr>
  </w:style>
  <w:style w:type="paragraph" w:styleId="Heading2">
    <w:name w:val="heading 2"/>
    <w:basedOn w:val="Normal"/>
    <w:next w:val="Normal"/>
    <w:link w:val="Heading2Char"/>
    <w:uiPriority w:val="9"/>
    <w:unhideWhenUsed/>
    <w:qFormat/>
    <w:rsid w:val="00EA4B83"/>
    <w:pPr>
      <w:numPr>
        <w:ilvl w:val="1"/>
        <w:numId w:val="30"/>
      </w:numPr>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7D0E"/>
    <w:pPr>
      <w:spacing w:after="200" w:line="276" w:lineRule="auto"/>
      <w:ind w:left="720"/>
      <w:contextualSpacing/>
    </w:pPr>
    <w:rPr>
      <w:rFonts w:ascii="Calibri" w:eastAsia="Calibri" w:hAnsi="Calibri"/>
      <w:sz w:val="22"/>
      <w:szCs w:val="22"/>
      <w:lang w:eastAsia="en-US"/>
    </w:rPr>
  </w:style>
  <w:style w:type="paragraph" w:customStyle="1" w:styleId="Chapter">
    <w:name w:val="Chapter"/>
    <w:basedOn w:val="Normal"/>
    <w:next w:val="Normal"/>
    <w:rsid w:val="004C7FF9"/>
    <w:pPr>
      <w:tabs>
        <w:tab w:val="left" w:pos="1440"/>
      </w:tabs>
      <w:spacing w:after="240"/>
      <w:jc w:val="center"/>
    </w:pPr>
    <w:rPr>
      <w:b/>
      <w:smallCaps/>
      <w:szCs w:val="20"/>
      <w:lang w:eastAsia="en-US"/>
    </w:rPr>
  </w:style>
  <w:style w:type="paragraph" w:customStyle="1" w:styleId="Paragraph">
    <w:name w:val="Paragraph"/>
    <w:basedOn w:val="BodyTextIndent"/>
    <w:link w:val="ParagraphChar"/>
    <w:rsid w:val="004C7FF9"/>
    <w:pPr>
      <w:spacing w:before="120"/>
      <w:ind w:left="0"/>
      <w:outlineLvl w:val="1"/>
    </w:pPr>
    <w:rPr>
      <w:szCs w:val="20"/>
      <w:lang w:eastAsia="en-US"/>
    </w:rPr>
  </w:style>
  <w:style w:type="paragraph" w:customStyle="1" w:styleId="subpar">
    <w:name w:val="subpar"/>
    <w:basedOn w:val="BodyTextIndent3"/>
    <w:rsid w:val="004C7FF9"/>
    <w:pPr>
      <w:spacing w:before="120"/>
      <w:ind w:left="0"/>
      <w:outlineLvl w:val="2"/>
    </w:pPr>
    <w:rPr>
      <w:sz w:val="24"/>
      <w:szCs w:val="20"/>
      <w:lang w:val="es-ES_tradnl" w:eastAsia="en-US"/>
    </w:rPr>
  </w:style>
  <w:style w:type="paragraph" w:customStyle="1" w:styleId="SubSubPar">
    <w:name w:val="SubSubPar"/>
    <w:basedOn w:val="subpar"/>
    <w:rsid w:val="004C7FF9"/>
    <w:pPr>
      <w:tabs>
        <w:tab w:val="left" w:pos="0"/>
      </w:tabs>
    </w:pPr>
  </w:style>
  <w:style w:type="character" w:customStyle="1" w:styleId="ParagraphChar">
    <w:name w:val="Paragraph Char"/>
    <w:link w:val="Paragraph"/>
    <w:rsid w:val="004C7FF9"/>
    <w:rPr>
      <w:rFonts w:ascii="Times New Roman" w:eastAsia="Times New Roman" w:hAnsi="Times New Roman"/>
      <w:sz w:val="24"/>
      <w:lang w:val="es-ES" w:eastAsia="en-US"/>
    </w:rPr>
  </w:style>
  <w:style w:type="paragraph" w:styleId="BodyTextIndent">
    <w:name w:val="Body Text Indent"/>
    <w:basedOn w:val="Normal"/>
    <w:link w:val="BodyTextIndentChar"/>
    <w:uiPriority w:val="99"/>
    <w:semiHidden/>
    <w:unhideWhenUsed/>
    <w:rsid w:val="004C7FF9"/>
    <w:pPr>
      <w:ind w:left="283"/>
    </w:pPr>
  </w:style>
  <w:style w:type="character" w:customStyle="1" w:styleId="BodyTextIndentChar">
    <w:name w:val="Body Text Indent Char"/>
    <w:link w:val="BodyTextIndent"/>
    <w:uiPriority w:val="99"/>
    <w:semiHidden/>
    <w:rsid w:val="004C7FF9"/>
    <w:rPr>
      <w:rFonts w:ascii="Times New Roman" w:eastAsia="Times New Roman" w:hAnsi="Times New Roman"/>
      <w:sz w:val="24"/>
      <w:szCs w:val="24"/>
      <w:lang w:val="es-ES" w:eastAsia="es-ES"/>
    </w:rPr>
  </w:style>
  <w:style w:type="paragraph" w:styleId="BodyTextIndent3">
    <w:name w:val="Body Text Indent 3"/>
    <w:basedOn w:val="Normal"/>
    <w:link w:val="BodyTextIndent3Char"/>
    <w:uiPriority w:val="99"/>
    <w:semiHidden/>
    <w:unhideWhenUsed/>
    <w:rsid w:val="004C7FF9"/>
    <w:pPr>
      <w:ind w:left="283"/>
    </w:pPr>
    <w:rPr>
      <w:sz w:val="16"/>
      <w:szCs w:val="16"/>
    </w:rPr>
  </w:style>
  <w:style w:type="character" w:customStyle="1" w:styleId="BodyTextIndent3Char">
    <w:name w:val="Body Text Indent 3 Char"/>
    <w:link w:val="BodyTextIndent3"/>
    <w:uiPriority w:val="99"/>
    <w:semiHidden/>
    <w:rsid w:val="004C7FF9"/>
    <w:rPr>
      <w:rFonts w:ascii="Times New Roman" w:eastAsia="Times New Roman" w:hAnsi="Times New Roman"/>
      <w:sz w:val="16"/>
      <w:szCs w:val="16"/>
      <w:lang w:val="es-ES" w:eastAsia="es-ES"/>
    </w:rPr>
  </w:style>
  <w:style w:type="character" w:customStyle="1" w:styleId="Heading1Char">
    <w:name w:val="Heading 1 Char"/>
    <w:link w:val="Heading1"/>
    <w:uiPriority w:val="9"/>
    <w:rsid w:val="00821A0A"/>
    <w:rPr>
      <w:rFonts w:ascii="Times New Roman" w:eastAsia="Times New Roman" w:hAnsi="Times New Roman"/>
      <w:b/>
      <w:smallCaps/>
      <w:sz w:val="24"/>
      <w:szCs w:val="24"/>
      <w:lang w:val="es-ES" w:eastAsia="es-ES"/>
    </w:rPr>
  </w:style>
  <w:style w:type="paragraph" w:styleId="DocumentMap">
    <w:name w:val="Document Map"/>
    <w:basedOn w:val="Normal"/>
    <w:link w:val="DocumentMapChar"/>
    <w:uiPriority w:val="99"/>
    <w:semiHidden/>
    <w:unhideWhenUsed/>
    <w:rsid w:val="00B447CA"/>
    <w:rPr>
      <w:rFonts w:ascii="Tahoma" w:hAnsi="Tahoma" w:cs="Tahoma"/>
      <w:sz w:val="16"/>
      <w:szCs w:val="16"/>
    </w:rPr>
  </w:style>
  <w:style w:type="character" w:customStyle="1" w:styleId="DocumentMapChar">
    <w:name w:val="Document Map Char"/>
    <w:link w:val="DocumentMap"/>
    <w:uiPriority w:val="99"/>
    <w:semiHidden/>
    <w:rsid w:val="00B447CA"/>
    <w:rPr>
      <w:rFonts w:ascii="Tahoma" w:eastAsia="Times New Roman" w:hAnsi="Tahoma" w:cs="Tahoma"/>
      <w:sz w:val="16"/>
      <w:szCs w:val="16"/>
      <w:lang w:val="es-ES" w:eastAsia="es-ES"/>
    </w:rPr>
  </w:style>
  <w:style w:type="paragraph" w:styleId="BalloonText">
    <w:name w:val="Balloon Text"/>
    <w:basedOn w:val="Normal"/>
    <w:link w:val="BalloonTextChar"/>
    <w:uiPriority w:val="99"/>
    <w:semiHidden/>
    <w:unhideWhenUsed/>
    <w:rsid w:val="00E42920"/>
    <w:rPr>
      <w:rFonts w:ascii="Tahoma" w:hAnsi="Tahoma" w:cs="Tahoma"/>
      <w:sz w:val="16"/>
      <w:szCs w:val="16"/>
    </w:rPr>
  </w:style>
  <w:style w:type="character" w:customStyle="1" w:styleId="BalloonTextChar">
    <w:name w:val="Balloon Text Char"/>
    <w:link w:val="BalloonText"/>
    <w:uiPriority w:val="99"/>
    <w:semiHidden/>
    <w:rsid w:val="00E42920"/>
    <w:rPr>
      <w:rFonts w:ascii="Tahoma" w:eastAsia="Times New Roman" w:hAnsi="Tahoma" w:cs="Tahoma"/>
      <w:sz w:val="16"/>
      <w:szCs w:val="16"/>
      <w:lang w:val="es-ES" w:eastAsia="es-ES"/>
    </w:rPr>
  </w:style>
  <w:style w:type="paragraph" w:styleId="FootnoteText">
    <w:name w:val="footnote text"/>
    <w:basedOn w:val="Normal"/>
    <w:link w:val="FootnoteTextChar"/>
    <w:uiPriority w:val="99"/>
    <w:semiHidden/>
    <w:unhideWhenUsed/>
    <w:rsid w:val="00C526EA"/>
    <w:rPr>
      <w:sz w:val="20"/>
      <w:szCs w:val="20"/>
    </w:rPr>
  </w:style>
  <w:style w:type="character" w:customStyle="1" w:styleId="FootnoteTextChar">
    <w:name w:val="Footnote Text Char"/>
    <w:link w:val="FootnoteText"/>
    <w:uiPriority w:val="99"/>
    <w:semiHidden/>
    <w:rsid w:val="00C526EA"/>
    <w:rPr>
      <w:rFonts w:ascii="Times New Roman" w:eastAsia="Times New Roman" w:hAnsi="Times New Roman"/>
      <w:lang w:val="es-ES" w:eastAsia="es-ES"/>
    </w:rPr>
  </w:style>
  <w:style w:type="character" w:styleId="FootnoteReference">
    <w:name w:val="footnote reference"/>
    <w:uiPriority w:val="99"/>
    <w:semiHidden/>
    <w:unhideWhenUsed/>
    <w:rsid w:val="00C526EA"/>
    <w:rPr>
      <w:vertAlign w:val="superscript"/>
    </w:rPr>
  </w:style>
  <w:style w:type="character" w:customStyle="1" w:styleId="ParagraphCar">
    <w:name w:val="Paragraph Car"/>
    <w:rsid w:val="00740E60"/>
    <w:rPr>
      <w:rFonts w:ascii="Times New Roman" w:eastAsia="Times New Roman" w:hAnsi="Times New Roman"/>
      <w:sz w:val="24"/>
    </w:rPr>
  </w:style>
  <w:style w:type="character" w:styleId="CommentReference">
    <w:name w:val="annotation reference"/>
    <w:uiPriority w:val="99"/>
    <w:semiHidden/>
    <w:unhideWhenUsed/>
    <w:rsid w:val="006C0B7B"/>
    <w:rPr>
      <w:sz w:val="16"/>
      <w:szCs w:val="16"/>
    </w:rPr>
  </w:style>
  <w:style w:type="paragraph" w:styleId="CommentText">
    <w:name w:val="annotation text"/>
    <w:basedOn w:val="Normal"/>
    <w:link w:val="CommentTextChar"/>
    <w:uiPriority w:val="99"/>
    <w:semiHidden/>
    <w:unhideWhenUsed/>
    <w:rsid w:val="006C0B7B"/>
    <w:rPr>
      <w:sz w:val="20"/>
      <w:szCs w:val="20"/>
    </w:rPr>
  </w:style>
  <w:style w:type="character" w:customStyle="1" w:styleId="CommentTextChar">
    <w:name w:val="Comment Text Char"/>
    <w:link w:val="CommentText"/>
    <w:uiPriority w:val="99"/>
    <w:semiHidden/>
    <w:rsid w:val="006C0B7B"/>
    <w:rPr>
      <w:rFonts w:ascii="Times New Roman" w:eastAsia="Times New Roman" w:hAnsi="Times New Roman"/>
      <w:lang w:val="es-ES" w:eastAsia="es-ES"/>
    </w:rPr>
  </w:style>
  <w:style w:type="paragraph" w:styleId="CommentSubject">
    <w:name w:val="annotation subject"/>
    <w:basedOn w:val="CommentText"/>
    <w:next w:val="CommentText"/>
    <w:link w:val="CommentSubjectChar"/>
    <w:uiPriority w:val="99"/>
    <w:semiHidden/>
    <w:unhideWhenUsed/>
    <w:rsid w:val="006C0B7B"/>
    <w:rPr>
      <w:b/>
      <w:bCs/>
    </w:rPr>
  </w:style>
  <w:style w:type="character" w:customStyle="1" w:styleId="CommentSubjectChar">
    <w:name w:val="Comment Subject Char"/>
    <w:link w:val="CommentSubject"/>
    <w:uiPriority w:val="99"/>
    <w:semiHidden/>
    <w:rsid w:val="006C0B7B"/>
    <w:rPr>
      <w:rFonts w:ascii="Times New Roman" w:eastAsia="Times New Roman" w:hAnsi="Times New Roman"/>
      <w:b/>
      <w:bCs/>
      <w:lang w:val="es-ES" w:eastAsia="es-ES"/>
    </w:rPr>
  </w:style>
  <w:style w:type="paragraph" w:styleId="BodyText">
    <w:name w:val="Body Text"/>
    <w:basedOn w:val="Normal"/>
    <w:link w:val="BodyTextChar"/>
    <w:uiPriority w:val="99"/>
    <w:unhideWhenUsed/>
    <w:rsid w:val="00EB4688"/>
  </w:style>
  <w:style w:type="character" w:customStyle="1" w:styleId="BodyTextChar">
    <w:name w:val="Body Text Char"/>
    <w:link w:val="BodyText"/>
    <w:uiPriority w:val="99"/>
    <w:rsid w:val="00EB4688"/>
    <w:rPr>
      <w:rFonts w:ascii="Times New Roman" w:eastAsia="Times New Roman" w:hAnsi="Times New Roman"/>
      <w:sz w:val="24"/>
      <w:szCs w:val="24"/>
      <w:lang w:val="es-ES" w:eastAsia="es-ES"/>
    </w:rPr>
  </w:style>
  <w:style w:type="paragraph" w:styleId="Title">
    <w:name w:val="Title"/>
    <w:basedOn w:val="Normal"/>
    <w:link w:val="TitleChar"/>
    <w:qFormat/>
    <w:rsid w:val="00EB4688"/>
    <w:pPr>
      <w:tabs>
        <w:tab w:val="left" w:pos="1440"/>
        <w:tab w:val="left" w:pos="3060"/>
      </w:tabs>
      <w:jc w:val="center"/>
      <w:outlineLvl w:val="0"/>
    </w:pPr>
    <w:rPr>
      <w:szCs w:val="20"/>
      <w:lang w:val="en-US" w:eastAsia="en-US"/>
    </w:rPr>
  </w:style>
  <w:style w:type="character" w:customStyle="1" w:styleId="TitleChar">
    <w:name w:val="Title Char"/>
    <w:link w:val="Title"/>
    <w:rsid w:val="00EB4688"/>
    <w:rPr>
      <w:rFonts w:ascii="Times New Roman" w:eastAsia="Times New Roman" w:hAnsi="Times New Roman"/>
      <w:sz w:val="24"/>
      <w:lang w:val="en-US" w:eastAsia="en-US"/>
    </w:rPr>
  </w:style>
  <w:style w:type="paragraph" w:customStyle="1" w:styleId="Newpage">
    <w:name w:val="Newpage"/>
    <w:basedOn w:val="Normal"/>
    <w:rsid w:val="00EB4688"/>
    <w:pPr>
      <w:tabs>
        <w:tab w:val="left" w:pos="1440"/>
        <w:tab w:val="left" w:pos="3060"/>
      </w:tabs>
      <w:jc w:val="center"/>
    </w:pPr>
    <w:rPr>
      <w:rFonts w:cs="Arial"/>
      <w:b/>
      <w:smallCaps/>
      <w:szCs w:val="20"/>
      <w:lang w:val="en-US" w:eastAsia="en-US"/>
    </w:rPr>
  </w:style>
  <w:style w:type="paragraph" w:styleId="Header">
    <w:name w:val="header"/>
    <w:basedOn w:val="Normal"/>
    <w:link w:val="HeaderChar"/>
    <w:uiPriority w:val="99"/>
    <w:unhideWhenUsed/>
    <w:rsid w:val="00B457E1"/>
    <w:pPr>
      <w:tabs>
        <w:tab w:val="center" w:pos="4680"/>
        <w:tab w:val="right" w:pos="9360"/>
      </w:tabs>
    </w:pPr>
  </w:style>
  <w:style w:type="character" w:customStyle="1" w:styleId="HeaderChar">
    <w:name w:val="Header Char"/>
    <w:link w:val="Header"/>
    <w:uiPriority w:val="99"/>
    <w:rsid w:val="00B457E1"/>
    <w:rPr>
      <w:rFonts w:ascii="Times New Roman" w:eastAsia="Times New Roman" w:hAnsi="Times New Roman"/>
      <w:sz w:val="24"/>
      <w:szCs w:val="24"/>
      <w:lang w:val="es-ES" w:eastAsia="es-ES"/>
    </w:rPr>
  </w:style>
  <w:style w:type="paragraph" w:styleId="Footer">
    <w:name w:val="footer"/>
    <w:basedOn w:val="Normal"/>
    <w:link w:val="FooterChar"/>
    <w:uiPriority w:val="99"/>
    <w:unhideWhenUsed/>
    <w:rsid w:val="00B457E1"/>
    <w:pPr>
      <w:tabs>
        <w:tab w:val="center" w:pos="4680"/>
        <w:tab w:val="right" w:pos="9360"/>
      </w:tabs>
    </w:pPr>
  </w:style>
  <w:style w:type="character" w:customStyle="1" w:styleId="FooterChar">
    <w:name w:val="Footer Char"/>
    <w:link w:val="Footer"/>
    <w:uiPriority w:val="99"/>
    <w:rsid w:val="00B457E1"/>
    <w:rPr>
      <w:rFonts w:ascii="Times New Roman" w:eastAsia="Times New Roman" w:hAnsi="Times New Roman"/>
      <w:sz w:val="24"/>
      <w:szCs w:val="24"/>
      <w:lang w:val="es-ES" w:eastAsia="es-ES"/>
    </w:rPr>
  </w:style>
  <w:style w:type="character" w:styleId="Hyperlink">
    <w:name w:val="Hyperlink"/>
    <w:uiPriority w:val="99"/>
    <w:semiHidden/>
    <w:unhideWhenUsed/>
    <w:rsid w:val="000A0813"/>
    <w:rPr>
      <w:color w:val="0000FF"/>
      <w:u w:val="single"/>
    </w:rPr>
  </w:style>
  <w:style w:type="character" w:customStyle="1" w:styleId="Heading2Char">
    <w:name w:val="Heading 2 Char"/>
    <w:link w:val="Heading2"/>
    <w:uiPriority w:val="9"/>
    <w:rsid w:val="00EA4B83"/>
    <w:rPr>
      <w:rFonts w:ascii="Times New Roman" w:eastAsia="Times New Roman" w:hAnsi="Times New Roman"/>
      <w:b/>
      <w:sz w:val="24"/>
      <w:szCs w:val="24"/>
      <w:lang w:val="es-ES" w:eastAsia="es-ES"/>
    </w:rPr>
  </w:style>
  <w:style w:type="table" w:styleId="TableGrid">
    <w:name w:val="Table Grid"/>
    <w:basedOn w:val="TableNormal"/>
    <w:uiPriority w:val="59"/>
    <w:rsid w:val="006B47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C1224F"/>
    <w:rPr>
      <w:b/>
      <w:bCs/>
      <w:sz w:val="20"/>
      <w:szCs w:val="20"/>
    </w:rPr>
  </w:style>
  <w:style w:type="paragraph" w:styleId="NormalWeb">
    <w:name w:val="Normal (Web)"/>
    <w:basedOn w:val="Normal"/>
    <w:uiPriority w:val="99"/>
    <w:unhideWhenUsed/>
    <w:rsid w:val="00B97E1C"/>
    <w:pPr>
      <w:spacing w:before="100" w:beforeAutospacing="1" w:after="100" w:afterAutospacing="1"/>
      <w:jc w:val="left"/>
    </w:pPr>
    <w:rPr>
      <w:lang w:val="es-CL"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883073">
      <w:bodyDiv w:val="1"/>
      <w:marLeft w:val="0"/>
      <w:marRight w:val="0"/>
      <w:marTop w:val="0"/>
      <w:marBottom w:val="0"/>
      <w:divBdr>
        <w:top w:val="none" w:sz="0" w:space="0" w:color="auto"/>
        <w:left w:val="none" w:sz="0" w:space="0" w:color="auto"/>
        <w:bottom w:val="none" w:sz="0" w:space="0" w:color="auto"/>
        <w:right w:val="none" w:sz="0" w:space="0" w:color="auto"/>
      </w:divBdr>
    </w:div>
    <w:div w:id="521211356">
      <w:bodyDiv w:val="1"/>
      <w:marLeft w:val="0"/>
      <w:marRight w:val="0"/>
      <w:marTop w:val="0"/>
      <w:marBottom w:val="0"/>
      <w:divBdr>
        <w:top w:val="none" w:sz="0" w:space="0" w:color="auto"/>
        <w:left w:val="none" w:sz="0" w:space="0" w:color="auto"/>
        <w:bottom w:val="none" w:sz="0" w:space="0" w:color="auto"/>
        <w:right w:val="none" w:sz="0" w:space="0" w:color="auto"/>
      </w:divBdr>
    </w:div>
    <w:div w:id="526334496">
      <w:bodyDiv w:val="1"/>
      <w:marLeft w:val="0"/>
      <w:marRight w:val="0"/>
      <w:marTop w:val="0"/>
      <w:marBottom w:val="0"/>
      <w:divBdr>
        <w:top w:val="none" w:sz="0" w:space="0" w:color="auto"/>
        <w:left w:val="none" w:sz="0" w:space="0" w:color="auto"/>
        <w:bottom w:val="none" w:sz="0" w:space="0" w:color="auto"/>
        <w:right w:val="none" w:sz="0" w:space="0" w:color="auto"/>
      </w:divBdr>
    </w:div>
    <w:div w:id="563369829">
      <w:bodyDiv w:val="1"/>
      <w:marLeft w:val="0"/>
      <w:marRight w:val="0"/>
      <w:marTop w:val="0"/>
      <w:marBottom w:val="0"/>
      <w:divBdr>
        <w:top w:val="none" w:sz="0" w:space="0" w:color="auto"/>
        <w:left w:val="none" w:sz="0" w:space="0" w:color="auto"/>
        <w:bottom w:val="none" w:sz="0" w:space="0" w:color="auto"/>
        <w:right w:val="none" w:sz="0" w:space="0" w:color="auto"/>
      </w:divBdr>
    </w:div>
    <w:div w:id="583805660">
      <w:bodyDiv w:val="1"/>
      <w:marLeft w:val="0"/>
      <w:marRight w:val="0"/>
      <w:marTop w:val="0"/>
      <w:marBottom w:val="0"/>
      <w:divBdr>
        <w:top w:val="none" w:sz="0" w:space="0" w:color="auto"/>
        <w:left w:val="none" w:sz="0" w:space="0" w:color="auto"/>
        <w:bottom w:val="none" w:sz="0" w:space="0" w:color="auto"/>
        <w:right w:val="none" w:sz="0" w:space="0" w:color="auto"/>
      </w:divBdr>
      <w:divsChild>
        <w:div w:id="430273238">
          <w:marLeft w:val="0"/>
          <w:marRight w:val="0"/>
          <w:marTop w:val="0"/>
          <w:marBottom w:val="0"/>
          <w:divBdr>
            <w:top w:val="none" w:sz="0" w:space="0" w:color="auto"/>
            <w:left w:val="none" w:sz="0" w:space="0" w:color="auto"/>
            <w:bottom w:val="none" w:sz="0" w:space="0" w:color="auto"/>
            <w:right w:val="none" w:sz="0" w:space="0" w:color="auto"/>
          </w:divBdr>
          <w:divsChild>
            <w:div w:id="1124230458">
              <w:marLeft w:val="0"/>
              <w:marRight w:val="0"/>
              <w:marTop w:val="0"/>
              <w:marBottom w:val="0"/>
              <w:divBdr>
                <w:top w:val="none" w:sz="0" w:space="0" w:color="auto"/>
                <w:left w:val="none" w:sz="0" w:space="0" w:color="auto"/>
                <w:bottom w:val="none" w:sz="0" w:space="0" w:color="auto"/>
                <w:right w:val="none" w:sz="0" w:space="0" w:color="auto"/>
              </w:divBdr>
              <w:divsChild>
                <w:div w:id="729769178">
                  <w:marLeft w:val="0"/>
                  <w:marRight w:val="0"/>
                  <w:marTop w:val="0"/>
                  <w:marBottom w:val="0"/>
                  <w:divBdr>
                    <w:top w:val="none" w:sz="0" w:space="0" w:color="auto"/>
                    <w:left w:val="none" w:sz="0" w:space="0" w:color="auto"/>
                    <w:bottom w:val="none" w:sz="0" w:space="0" w:color="auto"/>
                    <w:right w:val="none" w:sz="0" w:space="0" w:color="auto"/>
                  </w:divBdr>
                  <w:divsChild>
                    <w:div w:id="748893202">
                      <w:marLeft w:val="0"/>
                      <w:marRight w:val="0"/>
                      <w:marTop w:val="0"/>
                      <w:marBottom w:val="0"/>
                      <w:divBdr>
                        <w:top w:val="none" w:sz="0" w:space="0" w:color="auto"/>
                        <w:left w:val="none" w:sz="0" w:space="0" w:color="auto"/>
                        <w:bottom w:val="none" w:sz="0" w:space="0" w:color="auto"/>
                        <w:right w:val="none" w:sz="0" w:space="0" w:color="auto"/>
                      </w:divBdr>
                      <w:divsChild>
                        <w:div w:id="411853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0815233">
      <w:bodyDiv w:val="1"/>
      <w:marLeft w:val="0"/>
      <w:marRight w:val="0"/>
      <w:marTop w:val="0"/>
      <w:marBottom w:val="0"/>
      <w:divBdr>
        <w:top w:val="none" w:sz="0" w:space="0" w:color="auto"/>
        <w:left w:val="none" w:sz="0" w:space="0" w:color="auto"/>
        <w:bottom w:val="none" w:sz="0" w:space="0" w:color="auto"/>
        <w:right w:val="none" w:sz="0" w:space="0" w:color="auto"/>
      </w:divBdr>
    </w:div>
    <w:div w:id="702633553">
      <w:bodyDiv w:val="1"/>
      <w:marLeft w:val="0"/>
      <w:marRight w:val="0"/>
      <w:marTop w:val="0"/>
      <w:marBottom w:val="0"/>
      <w:divBdr>
        <w:top w:val="none" w:sz="0" w:space="0" w:color="auto"/>
        <w:left w:val="none" w:sz="0" w:space="0" w:color="auto"/>
        <w:bottom w:val="none" w:sz="0" w:space="0" w:color="auto"/>
        <w:right w:val="none" w:sz="0" w:space="0" w:color="auto"/>
      </w:divBdr>
    </w:div>
    <w:div w:id="742334388">
      <w:bodyDiv w:val="1"/>
      <w:marLeft w:val="0"/>
      <w:marRight w:val="0"/>
      <w:marTop w:val="0"/>
      <w:marBottom w:val="0"/>
      <w:divBdr>
        <w:top w:val="none" w:sz="0" w:space="0" w:color="auto"/>
        <w:left w:val="none" w:sz="0" w:space="0" w:color="auto"/>
        <w:bottom w:val="none" w:sz="0" w:space="0" w:color="auto"/>
        <w:right w:val="none" w:sz="0" w:space="0" w:color="auto"/>
      </w:divBdr>
    </w:div>
    <w:div w:id="849295469">
      <w:bodyDiv w:val="1"/>
      <w:marLeft w:val="0"/>
      <w:marRight w:val="0"/>
      <w:marTop w:val="0"/>
      <w:marBottom w:val="0"/>
      <w:divBdr>
        <w:top w:val="none" w:sz="0" w:space="0" w:color="auto"/>
        <w:left w:val="none" w:sz="0" w:space="0" w:color="auto"/>
        <w:bottom w:val="none" w:sz="0" w:space="0" w:color="auto"/>
        <w:right w:val="none" w:sz="0" w:space="0" w:color="auto"/>
      </w:divBdr>
      <w:divsChild>
        <w:div w:id="1008217355">
          <w:marLeft w:val="0"/>
          <w:marRight w:val="0"/>
          <w:marTop w:val="0"/>
          <w:marBottom w:val="0"/>
          <w:divBdr>
            <w:top w:val="none" w:sz="0" w:space="0" w:color="auto"/>
            <w:left w:val="none" w:sz="0" w:space="0" w:color="auto"/>
            <w:bottom w:val="none" w:sz="0" w:space="0" w:color="auto"/>
            <w:right w:val="none" w:sz="0" w:space="0" w:color="auto"/>
          </w:divBdr>
          <w:divsChild>
            <w:div w:id="449973979">
              <w:marLeft w:val="0"/>
              <w:marRight w:val="0"/>
              <w:marTop w:val="0"/>
              <w:marBottom w:val="0"/>
              <w:divBdr>
                <w:top w:val="none" w:sz="0" w:space="0" w:color="auto"/>
                <w:left w:val="none" w:sz="0" w:space="0" w:color="auto"/>
                <w:bottom w:val="none" w:sz="0" w:space="0" w:color="auto"/>
                <w:right w:val="none" w:sz="0" w:space="0" w:color="auto"/>
              </w:divBdr>
              <w:divsChild>
                <w:div w:id="320550290">
                  <w:marLeft w:val="0"/>
                  <w:marRight w:val="0"/>
                  <w:marTop w:val="0"/>
                  <w:marBottom w:val="0"/>
                  <w:divBdr>
                    <w:top w:val="none" w:sz="0" w:space="0" w:color="auto"/>
                    <w:left w:val="none" w:sz="0" w:space="0" w:color="auto"/>
                    <w:bottom w:val="none" w:sz="0" w:space="0" w:color="auto"/>
                    <w:right w:val="none" w:sz="0" w:space="0" w:color="auto"/>
                  </w:divBdr>
                  <w:divsChild>
                    <w:div w:id="497817816">
                      <w:marLeft w:val="0"/>
                      <w:marRight w:val="0"/>
                      <w:marTop w:val="0"/>
                      <w:marBottom w:val="0"/>
                      <w:divBdr>
                        <w:top w:val="none" w:sz="0" w:space="0" w:color="auto"/>
                        <w:left w:val="none" w:sz="0" w:space="0" w:color="auto"/>
                        <w:bottom w:val="none" w:sz="0" w:space="0" w:color="auto"/>
                        <w:right w:val="none" w:sz="0" w:space="0" w:color="auto"/>
                      </w:divBdr>
                      <w:divsChild>
                        <w:div w:id="1718892456">
                          <w:marLeft w:val="0"/>
                          <w:marRight w:val="0"/>
                          <w:marTop w:val="0"/>
                          <w:marBottom w:val="0"/>
                          <w:divBdr>
                            <w:top w:val="none" w:sz="0" w:space="0" w:color="auto"/>
                            <w:left w:val="none" w:sz="0" w:space="0" w:color="auto"/>
                            <w:bottom w:val="none" w:sz="0" w:space="0" w:color="auto"/>
                            <w:right w:val="none" w:sz="0" w:space="0" w:color="auto"/>
                          </w:divBdr>
                          <w:divsChild>
                            <w:div w:id="1535263145">
                              <w:marLeft w:val="0"/>
                              <w:marRight w:val="0"/>
                              <w:marTop w:val="0"/>
                              <w:marBottom w:val="0"/>
                              <w:divBdr>
                                <w:top w:val="none" w:sz="0" w:space="0" w:color="auto"/>
                                <w:left w:val="none" w:sz="0" w:space="0" w:color="auto"/>
                                <w:bottom w:val="none" w:sz="0" w:space="0" w:color="auto"/>
                                <w:right w:val="none" w:sz="0" w:space="0" w:color="auto"/>
                              </w:divBdr>
                              <w:divsChild>
                                <w:div w:id="1107891092">
                                  <w:marLeft w:val="0"/>
                                  <w:marRight w:val="0"/>
                                  <w:marTop w:val="0"/>
                                  <w:marBottom w:val="0"/>
                                  <w:divBdr>
                                    <w:top w:val="none" w:sz="0" w:space="0" w:color="auto"/>
                                    <w:left w:val="none" w:sz="0" w:space="0" w:color="auto"/>
                                    <w:bottom w:val="none" w:sz="0" w:space="0" w:color="auto"/>
                                    <w:right w:val="none" w:sz="0" w:space="0" w:color="auto"/>
                                  </w:divBdr>
                                  <w:divsChild>
                                    <w:div w:id="1686782085">
                                      <w:marLeft w:val="0"/>
                                      <w:marRight w:val="0"/>
                                      <w:marTop w:val="0"/>
                                      <w:marBottom w:val="0"/>
                                      <w:divBdr>
                                        <w:top w:val="none" w:sz="0" w:space="0" w:color="auto"/>
                                        <w:left w:val="none" w:sz="0" w:space="0" w:color="auto"/>
                                        <w:bottom w:val="none" w:sz="0" w:space="0" w:color="auto"/>
                                        <w:right w:val="none" w:sz="0" w:space="0" w:color="auto"/>
                                      </w:divBdr>
                                      <w:divsChild>
                                        <w:div w:id="150869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04953645">
      <w:bodyDiv w:val="1"/>
      <w:marLeft w:val="0"/>
      <w:marRight w:val="0"/>
      <w:marTop w:val="0"/>
      <w:marBottom w:val="0"/>
      <w:divBdr>
        <w:top w:val="none" w:sz="0" w:space="0" w:color="auto"/>
        <w:left w:val="none" w:sz="0" w:space="0" w:color="auto"/>
        <w:bottom w:val="none" w:sz="0" w:space="0" w:color="auto"/>
        <w:right w:val="none" w:sz="0" w:space="0" w:color="auto"/>
      </w:divBdr>
    </w:div>
    <w:div w:id="963852780">
      <w:bodyDiv w:val="1"/>
      <w:marLeft w:val="0"/>
      <w:marRight w:val="0"/>
      <w:marTop w:val="0"/>
      <w:marBottom w:val="0"/>
      <w:divBdr>
        <w:top w:val="none" w:sz="0" w:space="0" w:color="auto"/>
        <w:left w:val="none" w:sz="0" w:space="0" w:color="auto"/>
        <w:bottom w:val="none" w:sz="0" w:space="0" w:color="auto"/>
        <w:right w:val="none" w:sz="0" w:space="0" w:color="auto"/>
      </w:divBdr>
    </w:div>
    <w:div w:id="967933163">
      <w:bodyDiv w:val="1"/>
      <w:marLeft w:val="0"/>
      <w:marRight w:val="0"/>
      <w:marTop w:val="0"/>
      <w:marBottom w:val="0"/>
      <w:divBdr>
        <w:top w:val="none" w:sz="0" w:space="0" w:color="auto"/>
        <w:left w:val="none" w:sz="0" w:space="0" w:color="auto"/>
        <w:bottom w:val="none" w:sz="0" w:space="0" w:color="auto"/>
        <w:right w:val="none" w:sz="0" w:space="0" w:color="auto"/>
      </w:divBdr>
    </w:div>
    <w:div w:id="1022124791">
      <w:bodyDiv w:val="1"/>
      <w:marLeft w:val="0"/>
      <w:marRight w:val="0"/>
      <w:marTop w:val="0"/>
      <w:marBottom w:val="0"/>
      <w:divBdr>
        <w:top w:val="none" w:sz="0" w:space="0" w:color="auto"/>
        <w:left w:val="none" w:sz="0" w:space="0" w:color="auto"/>
        <w:bottom w:val="none" w:sz="0" w:space="0" w:color="auto"/>
        <w:right w:val="none" w:sz="0" w:space="0" w:color="auto"/>
      </w:divBdr>
    </w:div>
    <w:div w:id="1040856079">
      <w:bodyDiv w:val="1"/>
      <w:marLeft w:val="0"/>
      <w:marRight w:val="0"/>
      <w:marTop w:val="0"/>
      <w:marBottom w:val="0"/>
      <w:divBdr>
        <w:top w:val="none" w:sz="0" w:space="0" w:color="auto"/>
        <w:left w:val="none" w:sz="0" w:space="0" w:color="auto"/>
        <w:bottom w:val="none" w:sz="0" w:space="0" w:color="auto"/>
        <w:right w:val="none" w:sz="0" w:space="0" w:color="auto"/>
      </w:divBdr>
    </w:div>
    <w:div w:id="1052967063">
      <w:bodyDiv w:val="1"/>
      <w:marLeft w:val="0"/>
      <w:marRight w:val="0"/>
      <w:marTop w:val="0"/>
      <w:marBottom w:val="0"/>
      <w:divBdr>
        <w:top w:val="none" w:sz="0" w:space="0" w:color="auto"/>
        <w:left w:val="none" w:sz="0" w:space="0" w:color="auto"/>
        <w:bottom w:val="none" w:sz="0" w:space="0" w:color="auto"/>
        <w:right w:val="none" w:sz="0" w:space="0" w:color="auto"/>
      </w:divBdr>
    </w:div>
    <w:div w:id="1139305578">
      <w:bodyDiv w:val="1"/>
      <w:marLeft w:val="0"/>
      <w:marRight w:val="0"/>
      <w:marTop w:val="0"/>
      <w:marBottom w:val="0"/>
      <w:divBdr>
        <w:top w:val="none" w:sz="0" w:space="0" w:color="auto"/>
        <w:left w:val="none" w:sz="0" w:space="0" w:color="auto"/>
        <w:bottom w:val="none" w:sz="0" w:space="0" w:color="auto"/>
        <w:right w:val="none" w:sz="0" w:space="0" w:color="auto"/>
      </w:divBdr>
    </w:div>
    <w:div w:id="1182011843">
      <w:bodyDiv w:val="1"/>
      <w:marLeft w:val="0"/>
      <w:marRight w:val="0"/>
      <w:marTop w:val="0"/>
      <w:marBottom w:val="0"/>
      <w:divBdr>
        <w:top w:val="none" w:sz="0" w:space="0" w:color="auto"/>
        <w:left w:val="none" w:sz="0" w:space="0" w:color="auto"/>
        <w:bottom w:val="none" w:sz="0" w:space="0" w:color="auto"/>
        <w:right w:val="none" w:sz="0" w:space="0" w:color="auto"/>
      </w:divBdr>
    </w:div>
    <w:div w:id="1221557013">
      <w:bodyDiv w:val="1"/>
      <w:marLeft w:val="0"/>
      <w:marRight w:val="0"/>
      <w:marTop w:val="0"/>
      <w:marBottom w:val="0"/>
      <w:divBdr>
        <w:top w:val="none" w:sz="0" w:space="0" w:color="auto"/>
        <w:left w:val="none" w:sz="0" w:space="0" w:color="auto"/>
        <w:bottom w:val="none" w:sz="0" w:space="0" w:color="auto"/>
        <w:right w:val="none" w:sz="0" w:space="0" w:color="auto"/>
      </w:divBdr>
    </w:div>
    <w:div w:id="1268806263">
      <w:bodyDiv w:val="1"/>
      <w:marLeft w:val="0"/>
      <w:marRight w:val="0"/>
      <w:marTop w:val="0"/>
      <w:marBottom w:val="0"/>
      <w:divBdr>
        <w:top w:val="none" w:sz="0" w:space="0" w:color="auto"/>
        <w:left w:val="none" w:sz="0" w:space="0" w:color="auto"/>
        <w:bottom w:val="none" w:sz="0" w:space="0" w:color="auto"/>
        <w:right w:val="none" w:sz="0" w:space="0" w:color="auto"/>
      </w:divBdr>
    </w:div>
    <w:div w:id="1391343611">
      <w:bodyDiv w:val="1"/>
      <w:marLeft w:val="0"/>
      <w:marRight w:val="0"/>
      <w:marTop w:val="0"/>
      <w:marBottom w:val="0"/>
      <w:divBdr>
        <w:top w:val="none" w:sz="0" w:space="0" w:color="auto"/>
        <w:left w:val="none" w:sz="0" w:space="0" w:color="auto"/>
        <w:bottom w:val="none" w:sz="0" w:space="0" w:color="auto"/>
        <w:right w:val="none" w:sz="0" w:space="0" w:color="auto"/>
      </w:divBdr>
    </w:div>
    <w:div w:id="1458991058">
      <w:bodyDiv w:val="1"/>
      <w:marLeft w:val="0"/>
      <w:marRight w:val="0"/>
      <w:marTop w:val="0"/>
      <w:marBottom w:val="0"/>
      <w:divBdr>
        <w:top w:val="none" w:sz="0" w:space="0" w:color="auto"/>
        <w:left w:val="none" w:sz="0" w:space="0" w:color="auto"/>
        <w:bottom w:val="none" w:sz="0" w:space="0" w:color="auto"/>
        <w:right w:val="none" w:sz="0" w:space="0" w:color="auto"/>
      </w:divBdr>
      <w:divsChild>
        <w:div w:id="60442587">
          <w:marLeft w:val="0"/>
          <w:marRight w:val="0"/>
          <w:marTop w:val="0"/>
          <w:marBottom w:val="0"/>
          <w:divBdr>
            <w:top w:val="none" w:sz="0" w:space="0" w:color="auto"/>
            <w:left w:val="none" w:sz="0" w:space="0" w:color="auto"/>
            <w:bottom w:val="none" w:sz="0" w:space="0" w:color="auto"/>
            <w:right w:val="none" w:sz="0" w:space="0" w:color="auto"/>
          </w:divBdr>
          <w:divsChild>
            <w:div w:id="1942184927">
              <w:marLeft w:val="0"/>
              <w:marRight w:val="0"/>
              <w:marTop w:val="0"/>
              <w:marBottom w:val="0"/>
              <w:divBdr>
                <w:top w:val="none" w:sz="0" w:space="0" w:color="auto"/>
                <w:left w:val="none" w:sz="0" w:space="0" w:color="auto"/>
                <w:bottom w:val="none" w:sz="0" w:space="0" w:color="auto"/>
                <w:right w:val="none" w:sz="0" w:space="0" w:color="auto"/>
              </w:divBdr>
              <w:divsChild>
                <w:div w:id="576549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006805">
          <w:marLeft w:val="0"/>
          <w:marRight w:val="0"/>
          <w:marTop w:val="0"/>
          <w:marBottom w:val="0"/>
          <w:divBdr>
            <w:top w:val="none" w:sz="0" w:space="0" w:color="auto"/>
            <w:left w:val="none" w:sz="0" w:space="0" w:color="auto"/>
            <w:bottom w:val="none" w:sz="0" w:space="0" w:color="auto"/>
            <w:right w:val="none" w:sz="0" w:space="0" w:color="auto"/>
          </w:divBdr>
        </w:div>
      </w:divsChild>
    </w:div>
    <w:div w:id="1473138153">
      <w:bodyDiv w:val="1"/>
      <w:marLeft w:val="0"/>
      <w:marRight w:val="0"/>
      <w:marTop w:val="0"/>
      <w:marBottom w:val="0"/>
      <w:divBdr>
        <w:top w:val="none" w:sz="0" w:space="0" w:color="auto"/>
        <w:left w:val="none" w:sz="0" w:space="0" w:color="auto"/>
        <w:bottom w:val="none" w:sz="0" w:space="0" w:color="auto"/>
        <w:right w:val="none" w:sz="0" w:space="0" w:color="auto"/>
      </w:divBdr>
    </w:div>
    <w:div w:id="1536310913">
      <w:bodyDiv w:val="1"/>
      <w:marLeft w:val="0"/>
      <w:marRight w:val="0"/>
      <w:marTop w:val="0"/>
      <w:marBottom w:val="0"/>
      <w:divBdr>
        <w:top w:val="none" w:sz="0" w:space="0" w:color="auto"/>
        <w:left w:val="none" w:sz="0" w:space="0" w:color="auto"/>
        <w:bottom w:val="none" w:sz="0" w:space="0" w:color="auto"/>
        <w:right w:val="none" w:sz="0" w:space="0" w:color="auto"/>
      </w:divBdr>
    </w:div>
    <w:div w:id="1588808563">
      <w:bodyDiv w:val="1"/>
      <w:marLeft w:val="0"/>
      <w:marRight w:val="0"/>
      <w:marTop w:val="0"/>
      <w:marBottom w:val="0"/>
      <w:divBdr>
        <w:top w:val="none" w:sz="0" w:space="0" w:color="auto"/>
        <w:left w:val="none" w:sz="0" w:space="0" w:color="auto"/>
        <w:bottom w:val="none" w:sz="0" w:space="0" w:color="auto"/>
        <w:right w:val="none" w:sz="0" w:space="0" w:color="auto"/>
      </w:divBdr>
      <w:divsChild>
        <w:div w:id="2065908065">
          <w:marLeft w:val="0"/>
          <w:marRight w:val="0"/>
          <w:marTop w:val="0"/>
          <w:marBottom w:val="0"/>
          <w:divBdr>
            <w:top w:val="none" w:sz="0" w:space="0" w:color="auto"/>
            <w:left w:val="none" w:sz="0" w:space="0" w:color="auto"/>
            <w:bottom w:val="none" w:sz="0" w:space="0" w:color="auto"/>
            <w:right w:val="none" w:sz="0" w:space="0" w:color="auto"/>
          </w:divBdr>
          <w:divsChild>
            <w:div w:id="1581796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543928">
      <w:bodyDiv w:val="1"/>
      <w:marLeft w:val="0"/>
      <w:marRight w:val="0"/>
      <w:marTop w:val="0"/>
      <w:marBottom w:val="0"/>
      <w:divBdr>
        <w:top w:val="none" w:sz="0" w:space="0" w:color="auto"/>
        <w:left w:val="none" w:sz="0" w:space="0" w:color="auto"/>
        <w:bottom w:val="none" w:sz="0" w:space="0" w:color="auto"/>
        <w:right w:val="none" w:sz="0" w:space="0" w:color="auto"/>
      </w:divBdr>
    </w:div>
    <w:div w:id="184112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package" Target="embeddings/Microsoft_Excel_Worksheet1.xlsx"/><Relationship Id="rId19" Type="http://schemas.openxmlformats.org/officeDocument/2006/relationships/customXml" Target="../customXml/item5.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CFA566EB1CC3F5488A8565EF68759FB7" ma:contentTypeVersion="0" ma:contentTypeDescription="A content type to manage public (operations) IDB documents" ma:contentTypeScope="" ma:versionID="ea4676ea29e249aa549f91b1bb0a0620">
  <xsd:schema xmlns:xsd="http://www.w3.org/2001/XMLSchema" xmlns:xs="http://www.w3.org/2001/XMLSchema" xmlns:p="http://schemas.microsoft.com/office/2006/metadata/properties" xmlns:ns2="9c571b2f-e523-4ab2-ba2e-09e151a03ef4" targetNamespace="http://schemas.microsoft.com/office/2006/metadata/properties" ma:root="true" ma:fieldsID="5cef9acc7f5f2c21ae68466fda6a47c8"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c09f7d02-9c79-4040-8fb6-60e7837b3d3f}" ma:internalName="TaxCatchAll" ma:showField="CatchAllData" ma:web="e5f1387b-93c4-4727-9a71-194fef630f9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c09f7d02-9c79-4040-8fb6-60e7837b3d3f}" ma:internalName="TaxCatchAllLabel" ma:readOnly="true" ma:showField="CatchAllDataLabel" ma:web="e5f1387b-93c4-4727-9a71-194fef630f9e">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SCL/EDU</Division_x0020_or_x0020_Unit>
    <Region xmlns="9c571b2f-e523-4ab2-ba2e-09e151a03ef4" xsi:nil="true"/>
    <Document_x0020_Author xmlns="9c571b2f-e523-4ab2-ba2e-09e151a03ef4">Jaimovich, Analia Veronica</Document_x0020_Author>
    <m555d3814edf4817b4410a4e57f94ce9 xmlns="9c571b2f-e523-4ab2-ba2e-09e151a03ef4">
      <Terms xmlns="http://schemas.microsoft.com/office/infopath/2007/PartnerControls"/>
    </m555d3814edf4817b4410a4e57f94ce9>
    <Project_x0020_Number xmlns="9c571b2f-e523-4ab2-ba2e-09e151a03ef4">CH-L1081</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ED-EDU</Webtopic>
    <Identifier xmlns="9c571b2f-e523-4ab2-ba2e-09e151a03ef4"> </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Other_x0020_Author xmlns="9c571b2f-e523-4ab2-ba2e-09e151a03ef4" xsi:nil="true"/>
    <IDBDocs_x0020_Number xmlns="9c571b2f-e523-4ab2-ba2e-09e151a03ef4">39898666</IDBDocs_x0020_Number>
    <Publication_x0020_Type xmlns="9c571b2f-e523-4ab2-ba2e-09e151a03ef4" xsi:nil="true"/>
    <Operation_x0020_Type xmlns="9c571b2f-e523-4ab2-ba2e-09e151a03ef4" xsi:nil="true"/>
    <TaxCatchAll xmlns="9c571b2f-e523-4ab2-ba2e-09e151a03ef4">
      <Value>7</Value>
      <Value>6</Value>
    </TaxCatchAll>
    <Fiscal_x0020_Year_x0020_IDB xmlns="9c571b2f-e523-4ab2-ba2e-09e151a03ef4">2015</Fiscal_x0020_Year_x0020_IDB>
    <Issue_x0020_Date xmlns="9c571b2f-e523-4ab2-ba2e-09e151a03ef4" xsi:nil="true"/>
  </documentManagement>
</p:properties>
</file>

<file path=customXml/itemProps1.xml><?xml version="1.0" encoding="utf-8"?>
<ds:datastoreItem xmlns:ds="http://schemas.openxmlformats.org/officeDocument/2006/customXml" ds:itemID="{3FC68986-4204-41D8-B26C-05C94B8736A5}"/>
</file>

<file path=customXml/itemProps2.xml><?xml version="1.0" encoding="utf-8"?>
<ds:datastoreItem xmlns:ds="http://schemas.openxmlformats.org/officeDocument/2006/customXml" ds:itemID="{CF0450E6-6E40-44CD-8EED-85A22E21E621}"/>
</file>

<file path=customXml/itemProps3.xml><?xml version="1.0" encoding="utf-8"?>
<ds:datastoreItem xmlns:ds="http://schemas.openxmlformats.org/officeDocument/2006/customXml" ds:itemID="{101CA118-D630-4862-A1BF-A2EA31D88105}"/>
</file>

<file path=customXml/itemProps4.xml><?xml version="1.0" encoding="utf-8"?>
<ds:datastoreItem xmlns:ds="http://schemas.openxmlformats.org/officeDocument/2006/customXml" ds:itemID="{27710326-9FA4-46BA-9B60-F8196B467F3E}"/>
</file>

<file path=customXml/itemProps5.xml><?xml version="1.0" encoding="utf-8"?>
<ds:datastoreItem xmlns:ds="http://schemas.openxmlformats.org/officeDocument/2006/customXml" ds:itemID="{9D589B63-381A-489F-BF8C-58B2CB85188B}"/>
</file>

<file path=customXml/itemProps6.xml><?xml version="1.0" encoding="utf-8"?>
<ds:datastoreItem xmlns:ds="http://schemas.openxmlformats.org/officeDocument/2006/customXml" ds:itemID="{D71F0CCD-49C2-4B3D-8B9E-E1AC61B00F10}"/>
</file>

<file path=docProps/app.xml><?xml version="1.0" encoding="utf-8"?>
<Properties xmlns="http://schemas.openxmlformats.org/officeDocument/2006/extended-properties" xmlns:vt="http://schemas.openxmlformats.org/officeDocument/2006/docPropsVTypes">
  <Template>Normal.dotm</Template>
  <TotalTime>1</TotalTime>
  <Pages>14</Pages>
  <Words>7969</Words>
  <Characters>45429</Characters>
  <Application>Microsoft Office Word</Application>
  <DocSecurity>4</DocSecurity>
  <Lines>378</Lines>
  <Paragraphs>106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53292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EEO1 Analisis Economico</dc:title>
  <dc:creator>Usuario</dc:creator>
  <cp:lastModifiedBy>IADB</cp:lastModifiedBy>
  <cp:revision>2</cp:revision>
  <dcterms:created xsi:type="dcterms:W3CDTF">2015-11-23T16:56:00Z</dcterms:created>
  <dcterms:modified xsi:type="dcterms:W3CDTF">2015-11-23T16:56:00Z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rodrigosalaspo@gmail.com@www.mendeley.com</vt:lpwstr>
  </property>
  <property fmtid="{D5CDD505-2E9C-101B-9397-08002B2CF9AE}" pid="4" name="Mendeley Citation Style_1">
    <vt:lpwstr>http://www.zotero.org/styles/harvard1</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16th edition (author-date)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7th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y fmtid="{D5CDD505-2E9C-101B-9397-08002B2CF9AE}" pid="25" name="TaxKeyword">
    <vt:lpwstr/>
  </property>
  <property fmtid="{D5CDD505-2E9C-101B-9397-08002B2CF9AE}" pid="26" name="Sub_x002d_Sector">
    <vt:lpwstr/>
  </property>
  <property fmtid="{D5CDD505-2E9C-101B-9397-08002B2CF9AE}" pid="27" name="ContentTypeId">
    <vt:lpwstr>0x01010046CF21643EE8D14686A648AA6DAD089200CFA566EB1CC3F5488A8565EF68759FB7</vt:lpwstr>
  </property>
  <property fmtid="{D5CDD505-2E9C-101B-9397-08002B2CF9AE}" pid="28" name="TaxKeywordTaxHTField">
    <vt:lpwstr/>
  </property>
  <property fmtid="{D5CDD505-2E9C-101B-9397-08002B2CF9AE}" pid="29" name="Series Operations IDB">
    <vt:lpwstr>6;#Unclassified|a6dff32e-d477-44cd-a56b-85efe9e0a56c</vt:lpwstr>
  </property>
  <property fmtid="{D5CDD505-2E9C-101B-9397-08002B2CF9AE}" pid="30" name="Sub-Sector">
    <vt:lpwstr/>
  </property>
  <property fmtid="{D5CDD505-2E9C-101B-9397-08002B2CF9AE}" pid="31" name="Country">
    <vt:lpwstr/>
  </property>
  <property fmtid="{D5CDD505-2E9C-101B-9397-08002B2CF9AE}" pid="32" name="Fund IDB">
    <vt:lpwstr/>
  </property>
  <property fmtid="{D5CDD505-2E9C-101B-9397-08002B2CF9AE}" pid="33" name="Series_x0020_Operations_x0020_IDB">
    <vt:lpwstr>6;#Unclassified|a6dff32e-d477-44cd-a56b-85efe9e0a56c</vt:lpwstr>
  </property>
  <property fmtid="{D5CDD505-2E9C-101B-9397-08002B2CF9AE}" pid="34" name="To:">
    <vt:lpwstr/>
  </property>
  <property fmtid="{D5CDD505-2E9C-101B-9397-08002B2CF9AE}" pid="35" name="From:">
    <vt:lpwstr/>
  </property>
  <property fmtid="{D5CDD505-2E9C-101B-9397-08002B2CF9AE}" pid="36" name="Sector IDB">
    <vt:lpwstr/>
  </property>
  <property fmtid="{D5CDD505-2E9C-101B-9397-08002B2CF9AE}" pid="37" name="Function Operations IDB">
    <vt:lpwstr>7;#IDBDocs|cca77002-e150-4b2d-ab1f-1d7a7cdcae16</vt:lpwstr>
  </property>
</Properties>
</file>