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app.xml" ContentType="application/vnd.openxmlformats-officedocument.extended-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666D2" w:rsidRPr="005C6A5D" w:rsidRDefault="006D1E3B" w:rsidP="001A69EF">
      <w:pPr>
        <w:widowControl w:val="0"/>
        <w:spacing w:line="240" w:lineRule="auto"/>
        <w:jc w:val="center"/>
        <w:rPr>
          <w:rFonts w:ascii="Arial" w:hAnsi="Arial" w:cs="Arial"/>
          <w:b/>
          <w:smallCaps/>
          <w:lang w:val="es-AR"/>
        </w:rPr>
      </w:pPr>
      <w:r w:rsidRPr="005C6A5D">
        <w:rPr>
          <w:rFonts w:ascii="Arial" w:hAnsi="Arial" w:cs="Arial"/>
          <w:b/>
          <w:smallCaps/>
          <w:lang w:val="es-AR"/>
        </w:rPr>
        <w:t>CH-L1081</w:t>
      </w:r>
      <w:r w:rsidR="00564C7A" w:rsidRPr="005C6A5D">
        <w:rPr>
          <w:rFonts w:ascii="Arial" w:hAnsi="Arial" w:cs="Arial"/>
          <w:b/>
          <w:smallCaps/>
          <w:lang w:val="es-AR"/>
        </w:rPr>
        <w:t xml:space="preserve"> Programa de Fortalecimiento de la Gestión del Sector Educativo.</w:t>
      </w:r>
    </w:p>
    <w:p w:rsidR="006D1E3B" w:rsidRPr="005C6A5D" w:rsidRDefault="006D1E3B" w:rsidP="001A69EF">
      <w:pPr>
        <w:widowControl w:val="0"/>
        <w:spacing w:line="240" w:lineRule="auto"/>
        <w:jc w:val="center"/>
        <w:rPr>
          <w:rFonts w:ascii="Arial" w:hAnsi="Arial" w:cs="Arial"/>
          <w:b/>
          <w:smallCaps/>
          <w:lang w:val="es-AR"/>
        </w:rPr>
      </w:pPr>
      <w:r w:rsidRPr="005C6A5D">
        <w:rPr>
          <w:rFonts w:ascii="Arial" w:hAnsi="Arial" w:cs="Arial"/>
          <w:b/>
          <w:smallCaps/>
          <w:lang w:val="es-AR"/>
        </w:rPr>
        <w:t>Notas</w:t>
      </w:r>
    </w:p>
    <w:p w:rsidR="006D1E3B" w:rsidRPr="005C6A5D" w:rsidRDefault="006D1E3B" w:rsidP="001A69EF">
      <w:pPr>
        <w:widowControl w:val="0"/>
        <w:spacing w:line="240" w:lineRule="auto"/>
        <w:jc w:val="both"/>
        <w:rPr>
          <w:rFonts w:ascii="Arial" w:hAnsi="Arial" w:cs="Arial"/>
          <w:lang w:val="es-AR"/>
        </w:rPr>
      </w:pPr>
    </w:p>
    <w:p w:rsidR="006D1E3B" w:rsidRPr="005C6A5D" w:rsidRDefault="001909DC" w:rsidP="001A69EF">
      <w:pPr>
        <w:pStyle w:val="FootnoteText"/>
        <w:keepNext w:val="0"/>
        <w:keepLines w:val="0"/>
        <w:widowControl w:val="0"/>
        <w:numPr>
          <w:ilvl w:val="0"/>
          <w:numId w:val="1"/>
        </w:numPr>
        <w:spacing w:before="200" w:after="200"/>
        <w:rPr>
          <w:rFonts w:ascii="Arial" w:hAnsi="Arial" w:cs="Arial"/>
          <w:spacing w:val="0"/>
          <w:sz w:val="22"/>
          <w:szCs w:val="22"/>
        </w:rPr>
      </w:pPr>
      <w:r w:rsidRPr="005C6A5D">
        <w:rPr>
          <w:rFonts w:ascii="Arial" w:hAnsi="Arial" w:cs="Arial"/>
          <w:sz w:val="22"/>
          <w:szCs w:val="22"/>
          <w:lang w:val="es-AR"/>
        </w:rPr>
        <w:t xml:space="preserve">Nota 1: Según la clasificación del Sistema de Medición de la Calidad de la Educación (SIMCE), que divide a los estudiantes en cinco grupos socioeconómicos, las escuelas municipales atienden al 75% de los estudiantes con clasificación socioeconómica baja y al 70% de los clasificados medio–bajo. Ver: </w:t>
      </w:r>
      <w:r w:rsidR="006D1E3B" w:rsidRPr="005C6A5D">
        <w:rPr>
          <w:rFonts w:ascii="Arial" w:hAnsi="Arial" w:cs="Arial"/>
          <w:spacing w:val="0"/>
          <w:sz w:val="22"/>
          <w:szCs w:val="22"/>
          <w:lang w:val="es-AR"/>
        </w:rPr>
        <w:t xml:space="preserve">Nota Técnica del Sector Educación 2014-2017 para Chile, SCL/EDU, 2014. </w:t>
      </w:r>
    </w:p>
    <w:p w:rsidR="006D1E3B" w:rsidRPr="001A69EF" w:rsidRDefault="00F71E64" w:rsidP="001A69EF">
      <w:pPr>
        <w:pStyle w:val="FootnoteText"/>
        <w:keepNext w:val="0"/>
        <w:keepLines w:val="0"/>
        <w:widowControl w:val="0"/>
        <w:numPr>
          <w:ilvl w:val="0"/>
          <w:numId w:val="1"/>
        </w:numPr>
        <w:spacing w:before="200" w:after="200"/>
        <w:rPr>
          <w:rFonts w:ascii="Arial" w:hAnsi="Arial" w:cs="Arial"/>
          <w:spacing w:val="0"/>
          <w:sz w:val="22"/>
          <w:szCs w:val="22"/>
        </w:rPr>
      </w:pPr>
      <w:r w:rsidRPr="005C6A5D">
        <w:rPr>
          <w:rFonts w:ascii="Arial" w:hAnsi="Arial" w:cs="Arial"/>
          <w:spacing w:val="0"/>
          <w:sz w:val="22"/>
          <w:szCs w:val="22"/>
          <w:lang w:val="es-AR"/>
        </w:rPr>
        <w:t>Nota 2:</w:t>
      </w:r>
      <w:r w:rsidR="00EC0577" w:rsidRPr="005C6A5D">
        <w:rPr>
          <w:rFonts w:ascii="Arial" w:hAnsi="Arial" w:cs="Arial"/>
          <w:sz w:val="22"/>
          <w:szCs w:val="22"/>
          <w:lang w:val="es-AR"/>
        </w:rPr>
        <w:t xml:space="preserve"> </w:t>
      </w:r>
      <w:r w:rsidR="00D40FF8" w:rsidRPr="005C6A5D">
        <w:rPr>
          <w:rFonts w:ascii="Arial" w:hAnsi="Arial" w:cs="Arial"/>
          <w:sz w:val="22"/>
          <w:szCs w:val="22"/>
          <w:lang w:val="es-AR"/>
        </w:rPr>
        <w:t xml:space="preserve">En contraste, estas tasas fueron de 36% en lectura y 46% en matemática en los colegios particulares subvencionados y de 26% y 33% en los colegios particulares pagados. </w:t>
      </w:r>
      <w:r w:rsidR="00EC0577" w:rsidRPr="005C6A5D">
        <w:rPr>
          <w:rFonts w:ascii="Arial" w:hAnsi="Arial" w:cs="Arial"/>
          <w:sz w:val="22"/>
          <w:szCs w:val="22"/>
          <w:lang w:val="es-AR"/>
        </w:rPr>
        <w:t xml:space="preserve">Como referencia, en el caso de lectura de 4º básico, el nivel insuficiente de logro agrupa a estudiantes que están aprendiendo a leer frases breves, y que no pueden en forma autónoma extraer información explícita fácil de encontrar en los textos.  </w:t>
      </w:r>
      <w:r w:rsidR="006D1E3B" w:rsidRPr="005C6A5D">
        <w:rPr>
          <w:rFonts w:ascii="Arial" w:hAnsi="Arial" w:cs="Arial"/>
          <w:spacing w:val="0"/>
          <w:sz w:val="22"/>
          <w:szCs w:val="22"/>
          <w:lang w:val="es-AR"/>
        </w:rPr>
        <w:t>Datos de SIMCE 2013 proporcionados por el MINEDUC (2015).</w:t>
      </w:r>
      <w:r w:rsidR="00B90F1F" w:rsidRPr="005C6A5D">
        <w:rPr>
          <w:rFonts w:ascii="Arial" w:hAnsi="Arial" w:cs="Arial"/>
          <w:spacing w:val="0"/>
          <w:sz w:val="22"/>
          <w:szCs w:val="22"/>
          <w:lang w:val="es-AR"/>
        </w:rPr>
        <w:t xml:space="preserve"> </w:t>
      </w:r>
    </w:p>
    <w:p w:rsidR="00DC77AD" w:rsidRPr="005C6A5D" w:rsidRDefault="00DC77AD" w:rsidP="001A69EF">
      <w:pPr>
        <w:pStyle w:val="FootnoteText"/>
        <w:keepNext w:val="0"/>
        <w:keepLines w:val="0"/>
        <w:widowControl w:val="0"/>
        <w:numPr>
          <w:ilvl w:val="0"/>
          <w:numId w:val="1"/>
        </w:numPr>
        <w:spacing w:before="200" w:after="200"/>
        <w:rPr>
          <w:rFonts w:ascii="Arial" w:hAnsi="Arial" w:cs="Arial"/>
          <w:spacing w:val="0"/>
          <w:sz w:val="22"/>
          <w:szCs w:val="22"/>
        </w:rPr>
      </w:pPr>
      <w:r w:rsidRPr="005C6A5D">
        <w:rPr>
          <w:rFonts w:ascii="Arial" w:hAnsi="Arial" w:cs="Arial"/>
          <w:spacing w:val="0"/>
          <w:sz w:val="22"/>
          <w:szCs w:val="22"/>
          <w:lang w:val="es-AR"/>
        </w:rPr>
        <w:t xml:space="preserve">Nota </w:t>
      </w:r>
      <w:r w:rsidR="00BE5D5E" w:rsidRPr="005C6A5D">
        <w:rPr>
          <w:rFonts w:ascii="Arial" w:hAnsi="Arial" w:cs="Arial"/>
          <w:spacing w:val="0"/>
          <w:sz w:val="22"/>
          <w:szCs w:val="22"/>
          <w:lang w:val="es-AR"/>
        </w:rPr>
        <w:t>3</w:t>
      </w:r>
      <w:r w:rsidRPr="005C6A5D">
        <w:rPr>
          <w:rFonts w:ascii="Arial" w:hAnsi="Arial" w:cs="Arial"/>
          <w:spacing w:val="0"/>
          <w:sz w:val="22"/>
          <w:szCs w:val="22"/>
          <w:lang w:val="es-AR"/>
        </w:rPr>
        <w:t xml:space="preserve">: </w:t>
      </w:r>
      <w:r w:rsidR="00A14C5E" w:rsidRPr="005C6A5D">
        <w:rPr>
          <w:rFonts w:ascii="Arial" w:hAnsi="Arial" w:cs="Arial"/>
          <w:sz w:val="22"/>
          <w:szCs w:val="22"/>
          <w:lang w:val="es-AR"/>
        </w:rPr>
        <w:t>E</w:t>
      </w:r>
      <w:r w:rsidRPr="005C6A5D">
        <w:rPr>
          <w:rFonts w:ascii="Arial" w:hAnsi="Arial" w:cs="Arial"/>
          <w:sz w:val="22"/>
          <w:szCs w:val="22"/>
          <w:lang w:val="es-AR"/>
        </w:rPr>
        <w:t xml:space="preserve">n contraste, estas tasas fueron de 41% en lectura y 35% en matemática en los colegios particulares subvencionados y de 16% y 6% en los colegios particulares pagados. </w:t>
      </w:r>
      <w:r w:rsidRPr="005C6A5D">
        <w:rPr>
          <w:rFonts w:ascii="Arial" w:hAnsi="Arial" w:cs="Arial"/>
          <w:spacing w:val="0"/>
          <w:sz w:val="22"/>
          <w:szCs w:val="22"/>
          <w:lang w:val="es-AR"/>
        </w:rPr>
        <w:t xml:space="preserve">Datos de SIMCE 2013 proporcionados por el MINEDUC (2015). </w:t>
      </w:r>
    </w:p>
    <w:p w:rsidR="006D1E3B" w:rsidRPr="005C6A5D" w:rsidRDefault="00F71E64" w:rsidP="001A69EF">
      <w:pPr>
        <w:pStyle w:val="FootnoteText"/>
        <w:keepNext w:val="0"/>
        <w:keepLines w:val="0"/>
        <w:widowControl w:val="0"/>
        <w:numPr>
          <w:ilvl w:val="0"/>
          <w:numId w:val="1"/>
        </w:numPr>
        <w:spacing w:before="200" w:after="200"/>
        <w:rPr>
          <w:rFonts w:ascii="Arial" w:hAnsi="Arial" w:cs="Arial"/>
          <w:spacing w:val="0"/>
          <w:sz w:val="22"/>
          <w:szCs w:val="22"/>
        </w:rPr>
      </w:pPr>
      <w:r w:rsidRPr="005C6A5D">
        <w:rPr>
          <w:rFonts w:ascii="Arial" w:hAnsi="Arial" w:cs="Arial"/>
          <w:spacing w:val="0"/>
          <w:sz w:val="22"/>
          <w:szCs w:val="22"/>
          <w:lang w:val="es-AR"/>
        </w:rPr>
        <w:t xml:space="preserve">Nota </w:t>
      </w:r>
      <w:r w:rsidR="00BE5D5E" w:rsidRPr="005C6A5D">
        <w:rPr>
          <w:rFonts w:ascii="Arial" w:hAnsi="Arial" w:cs="Arial"/>
          <w:spacing w:val="0"/>
          <w:sz w:val="22"/>
          <w:szCs w:val="22"/>
          <w:lang w:val="es-AR"/>
        </w:rPr>
        <w:t>4</w:t>
      </w:r>
      <w:r w:rsidRPr="005C6A5D">
        <w:rPr>
          <w:rFonts w:ascii="Arial" w:hAnsi="Arial" w:cs="Arial"/>
          <w:spacing w:val="0"/>
          <w:sz w:val="22"/>
          <w:szCs w:val="22"/>
          <w:lang w:val="es-AR"/>
        </w:rPr>
        <w:t xml:space="preserve">: </w:t>
      </w:r>
      <w:r w:rsidR="006D1E3B" w:rsidRPr="005C6A5D">
        <w:rPr>
          <w:rFonts w:ascii="Arial" w:hAnsi="Arial" w:cs="Arial"/>
          <w:spacing w:val="0"/>
          <w:sz w:val="22"/>
          <w:szCs w:val="22"/>
          <w:lang w:val="es-AR"/>
        </w:rPr>
        <w:t>Datos de SIMCE 2013 proporcionados por el MINEDUC (2015).</w:t>
      </w:r>
    </w:p>
    <w:p w:rsidR="00EC64F6" w:rsidRPr="001A69EF" w:rsidRDefault="00F71E64" w:rsidP="001A69EF">
      <w:pPr>
        <w:pStyle w:val="ListParagraph"/>
        <w:widowControl w:val="0"/>
        <w:numPr>
          <w:ilvl w:val="0"/>
          <w:numId w:val="1"/>
        </w:numPr>
        <w:spacing w:before="200" w:line="240" w:lineRule="auto"/>
        <w:contextualSpacing w:val="0"/>
        <w:jc w:val="both"/>
        <w:rPr>
          <w:rFonts w:ascii="Arial" w:hAnsi="Arial" w:cs="Arial"/>
          <w:lang w:val="es-AR"/>
        </w:rPr>
      </w:pPr>
      <w:r w:rsidRPr="005C6A5D">
        <w:rPr>
          <w:rFonts w:ascii="Arial" w:hAnsi="Arial" w:cs="Arial"/>
        </w:rPr>
        <w:t xml:space="preserve">Nota </w:t>
      </w:r>
      <w:r w:rsidR="00BE5D5E" w:rsidRPr="005C6A5D">
        <w:rPr>
          <w:rFonts w:ascii="Arial" w:hAnsi="Arial" w:cs="Arial"/>
        </w:rPr>
        <w:t>5</w:t>
      </w:r>
      <w:r w:rsidRPr="005C6A5D">
        <w:rPr>
          <w:rFonts w:ascii="Arial" w:hAnsi="Arial" w:cs="Arial"/>
        </w:rPr>
        <w:t xml:space="preserve">: </w:t>
      </w:r>
      <w:r w:rsidR="006D1E3B" w:rsidRPr="005C6A5D">
        <w:rPr>
          <w:rFonts w:ascii="Arial" w:hAnsi="Arial" w:cs="Arial"/>
        </w:rPr>
        <w:t>Elacqua, Martinez y Santos (2015) Voucher policies and the response of for profit and religious schools: Evidence from Chile. Ed. (P. Dixon) Handbook of International Development and Education.</w:t>
      </w:r>
      <w:r w:rsidR="00EC64F6" w:rsidRPr="005C6A5D">
        <w:rPr>
          <w:rFonts w:ascii="Arial" w:hAnsi="Arial" w:cs="Arial"/>
        </w:rPr>
        <w:t xml:space="preserve"> </w:t>
      </w:r>
      <w:r w:rsidR="00EC64F6" w:rsidRPr="001A69EF">
        <w:rPr>
          <w:rFonts w:ascii="Arial" w:hAnsi="Arial" w:cs="Arial"/>
          <w:lang w:val="es-AR"/>
        </w:rPr>
        <w:t xml:space="preserve"> </w:t>
      </w:r>
    </w:p>
    <w:p w:rsidR="00665112" w:rsidRPr="001A69EF" w:rsidRDefault="00F71E64" w:rsidP="001A69EF">
      <w:pPr>
        <w:pStyle w:val="ListParagraph"/>
        <w:widowControl w:val="0"/>
        <w:numPr>
          <w:ilvl w:val="0"/>
          <w:numId w:val="1"/>
        </w:numPr>
        <w:spacing w:before="200" w:line="240" w:lineRule="auto"/>
        <w:contextualSpacing w:val="0"/>
        <w:jc w:val="both"/>
        <w:rPr>
          <w:rFonts w:ascii="Arial" w:hAnsi="Arial" w:cs="Arial"/>
          <w:lang w:val="es-AR"/>
        </w:rPr>
      </w:pPr>
      <w:r w:rsidRPr="001A69EF">
        <w:rPr>
          <w:rFonts w:ascii="Arial" w:hAnsi="Arial" w:cs="Arial"/>
          <w:lang w:val="es-AR"/>
        </w:rPr>
        <w:t xml:space="preserve">Nota </w:t>
      </w:r>
      <w:r w:rsidR="00BE5D5E" w:rsidRPr="001A69EF">
        <w:rPr>
          <w:rFonts w:ascii="Arial" w:hAnsi="Arial" w:cs="Arial"/>
          <w:lang w:val="es-AR"/>
        </w:rPr>
        <w:t>6</w:t>
      </w:r>
      <w:r w:rsidRPr="001A69EF">
        <w:rPr>
          <w:rFonts w:ascii="Arial" w:hAnsi="Arial" w:cs="Arial"/>
          <w:lang w:val="es-AR"/>
        </w:rPr>
        <w:t>:</w:t>
      </w:r>
      <w:r w:rsidR="005A40EB" w:rsidRPr="001A69EF">
        <w:rPr>
          <w:rFonts w:ascii="Arial" w:hAnsi="Arial" w:cs="Arial"/>
          <w:lang w:val="es-AR"/>
        </w:rPr>
        <w:t xml:space="preserve"> </w:t>
      </w:r>
      <w:r w:rsidR="006D1E3B" w:rsidRPr="001A69EF">
        <w:rPr>
          <w:rFonts w:ascii="Arial" w:hAnsi="Arial" w:cs="Arial"/>
          <w:lang w:val="es-ES_tradnl"/>
        </w:rPr>
        <w:t>Nota Técnica del Sector Educación 2014-2017 para Chile, SCL/EDU, 2014.</w:t>
      </w:r>
      <w:r w:rsidR="002E1CA0" w:rsidRPr="001A69EF">
        <w:rPr>
          <w:rFonts w:ascii="Arial" w:hAnsi="Arial" w:cs="Arial"/>
          <w:lang w:val="es-ES_tradnl"/>
        </w:rPr>
        <w:t xml:space="preserve"> </w:t>
      </w:r>
    </w:p>
    <w:p w:rsidR="00CE60FF" w:rsidRPr="001A69EF" w:rsidRDefault="00665112" w:rsidP="001A69EF">
      <w:pPr>
        <w:pStyle w:val="ListParagraph"/>
        <w:widowControl w:val="0"/>
        <w:numPr>
          <w:ilvl w:val="0"/>
          <w:numId w:val="1"/>
        </w:numPr>
        <w:spacing w:before="200" w:line="240" w:lineRule="auto"/>
        <w:contextualSpacing w:val="0"/>
        <w:jc w:val="both"/>
        <w:rPr>
          <w:rFonts w:ascii="Arial" w:hAnsi="Arial" w:cs="Arial"/>
          <w:lang w:val="es-AR"/>
        </w:rPr>
      </w:pPr>
      <w:r w:rsidRPr="001A69EF">
        <w:rPr>
          <w:rFonts w:ascii="Arial" w:hAnsi="Arial" w:cs="Arial"/>
          <w:lang w:val="es-ES_tradnl"/>
        </w:rPr>
        <w:t xml:space="preserve">Nota 7: </w:t>
      </w:r>
      <w:r w:rsidR="002E1CA0" w:rsidRPr="001A69EF">
        <w:rPr>
          <w:rFonts w:ascii="Arial" w:hAnsi="Arial" w:cs="Arial"/>
          <w:lang w:val="es-ES_tradnl"/>
        </w:rPr>
        <w:t>Entre 2000 y 2011, en sólo 15 municipios (de un total de 345) no se ha registrado una caída de la matrícula de la educación pública. Dicho descenso varía entre municipios, con algunos que han registrado un descenso de hasta el 25% mientras otros han registrado descensos de hasta un 50% menos matrícula en escuelas públicas entre 2000 y 2011</w:t>
      </w:r>
      <w:r w:rsidR="003E0CDF" w:rsidRPr="001A69EF">
        <w:rPr>
          <w:rFonts w:ascii="Arial" w:hAnsi="Arial" w:cs="Arial"/>
          <w:lang w:val="es-ES_tradnl"/>
        </w:rPr>
        <w:t>. Ver: BID (2014) Estudio georreferenciado de la oferta de educación en Chile</w:t>
      </w:r>
      <w:r w:rsidR="002E1CA0" w:rsidRPr="001A69EF">
        <w:rPr>
          <w:rFonts w:ascii="Arial" w:hAnsi="Arial" w:cs="Arial"/>
          <w:lang w:val="es-ES_tradnl"/>
        </w:rPr>
        <w:t>.</w:t>
      </w:r>
      <w:r w:rsidR="00BE5D5E" w:rsidRPr="001A69EF">
        <w:rPr>
          <w:rFonts w:ascii="Arial" w:hAnsi="Arial" w:cs="Arial"/>
          <w:lang w:val="es-ES_tradnl"/>
        </w:rPr>
        <w:t xml:space="preserve"> </w:t>
      </w:r>
    </w:p>
    <w:p w:rsidR="006D1E3B" w:rsidRPr="005C6A5D" w:rsidRDefault="00F71E64" w:rsidP="001A69EF">
      <w:pPr>
        <w:pStyle w:val="FootnoteText"/>
        <w:keepNext w:val="0"/>
        <w:keepLines w:val="0"/>
        <w:widowControl w:val="0"/>
        <w:numPr>
          <w:ilvl w:val="0"/>
          <w:numId w:val="1"/>
        </w:numPr>
        <w:spacing w:before="200" w:after="200"/>
        <w:rPr>
          <w:rFonts w:ascii="Arial" w:hAnsi="Arial" w:cs="Arial"/>
          <w:sz w:val="22"/>
          <w:szCs w:val="22"/>
          <w:lang w:val="es-AR"/>
        </w:rPr>
      </w:pPr>
      <w:r w:rsidRPr="005C6A5D">
        <w:rPr>
          <w:rFonts w:ascii="Arial" w:hAnsi="Arial" w:cs="Arial"/>
          <w:spacing w:val="0"/>
          <w:sz w:val="22"/>
          <w:szCs w:val="22"/>
          <w:lang w:val="es-AR"/>
        </w:rPr>
        <w:t xml:space="preserve">Nota </w:t>
      </w:r>
      <w:r w:rsidR="006954FA" w:rsidRPr="005C6A5D">
        <w:rPr>
          <w:rFonts w:ascii="Arial" w:hAnsi="Arial" w:cs="Arial"/>
          <w:spacing w:val="0"/>
          <w:sz w:val="22"/>
          <w:szCs w:val="22"/>
          <w:lang w:val="es-AR"/>
        </w:rPr>
        <w:t>8</w:t>
      </w:r>
      <w:r w:rsidRPr="005C6A5D">
        <w:rPr>
          <w:rFonts w:ascii="Arial" w:hAnsi="Arial" w:cs="Arial"/>
          <w:spacing w:val="0"/>
          <w:sz w:val="22"/>
          <w:szCs w:val="22"/>
          <w:lang w:val="es-AR"/>
        </w:rPr>
        <w:t xml:space="preserve">: </w:t>
      </w:r>
      <w:r w:rsidR="006D1E3B" w:rsidRPr="005C6A5D">
        <w:rPr>
          <w:rFonts w:ascii="Arial" w:hAnsi="Arial" w:cs="Arial"/>
          <w:sz w:val="22"/>
          <w:szCs w:val="22"/>
        </w:rPr>
        <w:t>En 2015 fue promulgada la Ley de Inclusión Escolar</w:t>
      </w:r>
      <w:r w:rsidR="001C5980" w:rsidRPr="005C6A5D">
        <w:rPr>
          <w:rFonts w:ascii="Arial" w:hAnsi="Arial" w:cs="Arial"/>
          <w:sz w:val="22"/>
          <w:szCs w:val="22"/>
        </w:rPr>
        <w:t xml:space="preserve"> (ley 20.845, promulgada el 29 de mayo de 2015)</w:t>
      </w:r>
      <w:r w:rsidR="006D1E3B" w:rsidRPr="005C6A5D">
        <w:rPr>
          <w:rFonts w:ascii="Arial" w:hAnsi="Arial" w:cs="Arial"/>
          <w:sz w:val="22"/>
          <w:szCs w:val="22"/>
        </w:rPr>
        <w:t xml:space="preserve">, diseñada para promover la integración socioeconómica en las escuelas y un mejor funcionamiento del sistema mixto educativo en el país. Esta ley elimina gradualmente el financiamiento compartido (lo que llevará a que la educación particular subvencionada sea gratuita), prohíbe el lucro por parte de sostenedores privados, y regula los procesos de admisión. Los posibles efectos de esta ley sobre la matrícula del sector público no son aún claros. Por un lado, es posible que afecte negativamente la matricula del sector público al eliminar barreras de acceso a la educación particular subvencionada. Por otro lado, es posible que el número de colegios particulares subvencionados se reduzca, como consecuencia de la prohibición del lucro.   </w:t>
      </w:r>
    </w:p>
    <w:p w:rsidR="006D1E3B" w:rsidRPr="005C6A5D" w:rsidRDefault="00F71E64" w:rsidP="001A69EF">
      <w:pPr>
        <w:pStyle w:val="FootnoteText"/>
        <w:keepNext w:val="0"/>
        <w:keepLines w:val="0"/>
        <w:widowControl w:val="0"/>
        <w:numPr>
          <w:ilvl w:val="0"/>
          <w:numId w:val="1"/>
        </w:numPr>
        <w:spacing w:before="200" w:after="200"/>
        <w:rPr>
          <w:rFonts w:ascii="Arial" w:hAnsi="Arial" w:cs="Arial"/>
          <w:spacing w:val="0"/>
          <w:sz w:val="22"/>
          <w:szCs w:val="22"/>
          <w:lang w:val="es-AR"/>
        </w:rPr>
      </w:pPr>
      <w:r w:rsidRPr="005C6A5D">
        <w:rPr>
          <w:rFonts w:ascii="Arial" w:hAnsi="Arial" w:cs="Arial"/>
          <w:spacing w:val="0"/>
          <w:sz w:val="22"/>
          <w:szCs w:val="22"/>
          <w:lang w:val="es-AR"/>
        </w:rPr>
        <w:t xml:space="preserve">Nota </w:t>
      </w:r>
      <w:r w:rsidR="00F03B3B" w:rsidRPr="005C6A5D">
        <w:rPr>
          <w:rFonts w:ascii="Arial" w:hAnsi="Arial" w:cs="Arial"/>
          <w:spacing w:val="0"/>
          <w:sz w:val="22"/>
          <w:szCs w:val="22"/>
          <w:lang w:val="es-AR"/>
        </w:rPr>
        <w:t>9</w:t>
      </w:r>
      <w:r w:rsidRPr="005C6A5D">
        <w:rPr>
          <w:rFonts w:ascii="Arial" w:hAnsi="Arial" w:cs="Arial"/>
          <w:spacing w:val="0"/>
          <w:sz w:val="22"/>
          <w:szCs w:val="22"/>
          <w:lang w:val="es-AR"/>
        </w:rPr>
        <w:t xml:space="preserve">: </w:t>
      </w:r>
      <w:r w:rsidR="006D1E3B" w:rsidRPr="005C6A5D">
        <w:rPr>
          <w:rFonts w:ascii="Arial" w:hAnsi="Arial" w:cs="Arial"/>
          <w:spacing w:val="0"/>
          <w:sz w:val="22"/>
          <w:szCs w:val="22"/>
          <w:lang w:val="es-AR"/>
        </w:rPr>
        <w:t xml:space="preserve">La actual estructura de financiamiento de la educación (sobre la base de una subvención per cápita) no contempla fondos específicos para financiar las estructuras de gestión a nivel municipal, y la pérdida de matrícula del sector público ha profundizado la brecha entre la necesidad de equipos a nivel local para la gestión </w:t>
      </w:r>
      <w:r w:rsidR="006D1E3B" w:rsidRPr="005C6A5D">
        <w:rPr>
          <w:rFonts w:ascii="Arial" w:hAnsi="Arial" w:cs="Arial"/>
          <w:spacing w:val="0"/>
          <w:sz w:val="22"/>
          <w:szCs w:val="22"/>
          <w:lang w:val="es-AR"/>
        </w:rPr>
        <w:lastRenderedPageBreak/>
        <w:t>técnico pedagógica y las capacidades financieras que los municipios tienen para poder desarrollar dichos equipos. Los municipios pequeños se ven especialmente afectados por este esquema de financiamiento y la pérdida de matrícula, ya que mantienen altos costos fijos de operación básica de sus escuelas. La reforma busca revertir esta tendencia a través de la modificación de la escala de operación de la gestión local, y un financiamiento basal para la estructura de gestión local.</w:t>
      </w:r>
    </w:p>
    <w:p w:rsidR="006D1E3B" w:rsidRPr="005C6A5D" w:rsidRDefault="00064D05" w:rsidP="001A69EF">
      <w:pPr>
        <w:pStyle w:val="ListParagraph"/>
        <w:widowControl w:val="0"/>
        <w:numPr>
          <w:ilvl w:val="0"/>
          <w:numId w:val="1"/>
        </w:numPr>
        <w:tabs>
          <w:tab w:val="left" w:pos="0"/>
        </w:tabs>
        <w:spacing w:before="200" w:line="240" w:lineRule="auto"/>
        <w:contextualSpacing w:val="0"/>
        <w:jc w:val="both"/>
        <w:rPr>
          <w:rFonts w:ascii="Arial" w:hAnsi="Arial" w:cs="Arial"/>
          <w:lang w:val="es-ES_tradnl"/>
        </w:rPr>
      </w:pPr>
      <w:r w:rsidRPr="005C6A5D">
        <w:rPr>
          <w:rFonts w:ascii="Arial" w:hAnsi="Arial" w:cs="Arial"/>
          <w:lang w:val="es-AR"/>
        </w:rPr>
        <w:t xml:space="preserve">Nota </w:t>
      </w:r>
      <w:r w:rsidR="00F97811" w:rsidRPr="005C6A5D">
        <w:rPr>
          <w:rFonts w:ascii="Arial" w:hAnsi="Arial" w:cs="Arial"/>
          <w:lang w:val="es-AR"/>
        </w:rPr>
        <w:t>10</w:t>
      </w:r>
      <w:r w:rsidRPr="005C6A5D">
        <w:rPr>
          <w:rFonts w:ascii="Arial" w:hAnsi="Arial" w:cs="Arial"/>
          <w:lang w:val="es-AR"/>
        </w:rPr>
        <w:t xml:space="preserve">: </w:t>
      </w:r>
      <w:r w:rsidR="006D1E3B" w:rsidRPr="005C6A5D">
        <w:rPr>
          <w:rFonts w:ascii="Arial" w:hAnsi="Arial" w:cs="Arial"/>
          <w:bCs/>
          <w:lang w:val="es-ES_tradnl"/>
        </w:rPr>
        <w:t xml:space="preserve">POLITEIA (2008) Estudio mejoramiento de la gestión y la calidad de la educación municipal, Informe final. Santiago, Chile; Benedetti Bustos, C. (2010) Análisis y evaluación de la gestión educacional municipal (mimeo); Navarro, L. (2010) Criterios y estrategias de gestión de la educación pública en Chile (mimeo). </w:t>
      </w:r>
    </w:p>
    <w:p w:rsidR="006D1E3B" w:rsidRPr="005C6A5D" w:rsidRDefault="00064D05" w:rsidP="001A69EF">
      <w:pPr>
        <w:pStyle w:val="FootnoteText"/>
        <w:keepNext w:val="0"/>
        <w:keepLines w:val="0"/>
        <w:widowControl w:val="0"/>
        <w:numPr>
          <w:ilvl w:val="0"/>
          <w:numId w:val="1"/>
        </w:numPr>
        <w:spacing w:before="200" w:after="200"/>
        <w:rPr>
          <w:rFonts w:ascii="Arial" w:hAnsi="Arial" w:cs="Arial"/>
          <w:spacing w:val="0"/>
          <w:sz w:val="22"/>
          <w:szCs w:val="22"/>
          <w:lang w:val="es-AR"/>
        </w:rPr>
      </w:pPr>
      <w:r w:rsidRPr="005C6A5D">
        <w:rPr>
          <w:rFonts w:ascii="Arial" w:hAnsi="Arial" w:cs="Arial"/>
          <w:spacing w:val="0"/>
          <w:sz w:val="22"/>
          <w:szCs w:val="22"/>
        </w:rPr>
        <w:t>Nota 1</w:t>
      </w:r>
      <w:r w:rsidR="00F97811" w:rsidRPr="005C6A5D">
        <w:rPr>
          <w:rFonts w:ascii="Arial" w:hAnsi="Arial" w:cs="Arial"/>
          <w:spacing w:val="0"/>
          <w:sz w:val="22"/>
          <w:szCs w:val="22"/>
        </w:rPr>
        <w:t>1</w:t>
      </w:r>
      <w:r w:rsidRPr="005C6A5D">
        <w:rPr>
          <w:rFonts w:ascii="Arial" w:hAnsi="Arial" w:cs="Arial"/>
          <w:spacing w:val="0"/>
          <w:sz w:val="22"/>
          <w:szCs w:val="22"/>
        </w:rPr>
        <w:t xml:space="preserve">: </w:t>
      </w:r>
      <w:r w:rsidR="006D1E3B" w:rsidRPr="005C6A5D">
        <w:rPr>
          <w:rFonts w:ascii="Arial" w:hAnsi="Arial" w:cs="Arial"/>
          <w:bCs/>
          <w:spacing w:val="0"/>
          <w:sz w:val="22"/>
          <w:szCs w:val="22"/>
        </w:rPr>
        <w:t>Bertoglia, Rackzynski y Valderrama (2011). Treinta años de política educativa descentralizada con efectos tardíos en calidad y equidad de la educación. ¿Ausencia de enfoque territorial?, Santiago: RIMISP</w:t>
      </w:r>
    </w:p>
    <w:p w:rsidR="006D1E3B" w:rsidRPr="005C6A5D" w:rsidRDefault="00064D05" w:rsidP="001A69EF">
      <w:pPr>
        <w:pStyle w:val="FootnoteText"/>
        <w:keepNext w:val="0"/>
        <w:keepLines w:val="0"/>
        <w:widowControl w:val="0"/>
        <w:numPr>
          <w:ilvl w:val="0"/>
          <w:numId w:val="1"/>
        </w:numPr>
        <w:spacing w:before="200" w:after="200"/>
        <w:rPr>
          <w:rFonts w:ascii="Arial" w:hAnsi="Arial" w:cs="Arial"/>
          <w:spacing w:val="0"/>
          <w:sz w:val="22"/>
          <w:szCs w:val="22"/>
        </w:rPr>
      </w:pPr>
      <w:r w:rsidRPr="005C6A5D">
        <w:rPr>
          <w:rFonts w:ascii="Arial" w:hAnsi="Arial" w:cs="Arial"/>
          <w:spacing w:val="0"/>
          <w:sz w:val="22"/>
          <w:szCs w:val="22"/>
          <w:lang w:val="es-AR"/>
        </w:rPr>
        <w:t>Nota 1</w:t>
      </w:r>
      <w:r w:rsidR="00EA3058" w:rsidRPr="005C6A5D">
        <w:rPr>
          <w:rFonts w:ascii="Arial" w:hAnsi="Arial" w:cs="Arial"/>
          <w:spacing w:val="0"/>
          <w:sz w:val="22"/>
          <w:szCs w:val="22"/>
          <w:lang w:val="es-AR"/>
        </w:rPr>
        <w:t>2</w:t>
      </w:r>
      <w:r w:rsidRPr="005C6A5D">
        <w:rPr>
          <w:rFonts w:ascii="Arial" w:hAnsi="Arial" w:cs="Arial"/>
          <w:spacing w:val="0"/>
          <w:sz w:val="22"/>
          <w:szCs w:val="22"/>
          <w:lang w:val="es-AR"/>
        </w:rPr>
        <w:t>:</w:t>
      </w:r>
      <w:r w:rsidR="007D1986" w:rsidRPr="005C6A5D">
        <w:rPr>
          <w:rFonts w:ascii="Arial" w:hAnsi="Arial" w:cs="Arial"/>
          <w:spacing w:val="0"/>
          <w:sz w:val="22"/>
          <w:szCs w:val="22"/>
        </w:rPr>
        <w:t xml:space="preserve"> </w:t>
      </w:r>
      <w:r w:rsidR="006D1E3B" w:rsidRPr="005C6A5D">
        <w:rPr>
          <w:rFonts w:ascii="Arial" w:hAnsi="Arial" w:cs="Arial"/>
          <w:spacing w:val="0"/>
          <w:sz w:val="22"/>
          <w:szCs w:val="22"/>
        </w:rPr>
        <w:t>Raczynski, D., Hernandez, M., Weinstein, J., y Miranda, N. (2014). Diagnóstico de la Capacidad Institucional para el Monitoreo y Provisión de Soporte Pedagógico en el Sector Educativo Chileno. Informe para el BID, documento sin publicar.</w:t>
      </w:r>
      <w:r w:rsidR="00CF2972" w:rsidRPr="005C6A5D">
        <w:rPr>
          <w:rFonts w:ascii="Arial" w:hAnsi="Arial" w:cs="Arial"/>
          <w:spacing w:val="0"/>
          <w:sz w:val="22"/>
          <w:szCs w:val="22"/>
        </w:rPr>
        <w:t xml:space="preserve"> </w:t>
      </w:r>
    </w:p>
    <w:p w:rsidR="00927443" w:rsidRPr="005C6A5D" w:rsidRDefault="00927443" w:rsidP="001A69EF">
      <w:pPr>
        <w:pStyle w:val="FootnoteText"/>
        <w:keepNext w:val="0"/>
        <w:keepLines w:val="0"/>
        <w:widowControl w:val="0"/>
        <w:numPr>
          <w:ilvl w:val="0"/>
          <w:numId w:val="1"/>
        </w:numPr>
        <w:spacing w:before="200" w:after="200"/>
        <w:rPr>
          <w:rFonts w:ascii="Arial" w:hAnsi="Arial" w:cs="Arial"/>
          <w:spacing w:val="0"/>
          <w:sz w:val="22"/>
          <w:szCs w:val="22"/>
        </w:rPr>
      </w:pPr>
      <w:r w:rsidRPr="005C6A5D">
        <w:rPr>
          <w:rFonts w:ascii="Arial" w:hAnsi="Arial" w:cs="Arial"/>
          <w:spacing w:val="0"/>
          <w:sz w:val="22"/>
          <w:szCs w:val="22"/>
          <w:lang w:val="es-AR"/>
        </w:rPr>
        <w:t>Nota 13:</w:t>
      </w:r>
      <w:r w:rsidRPr="005C6A5D">
        <w:rPr>
          <w:rFonts w:ascii="Arial" w:hAnsi="Arial" w:cs="Arial"/>
          <w:spacing w:val="0"/>
          <w:sz w:val="22"/>
          <w:szCs w:val="22"/>
        </w:rPr>
        <w:t xml:space="preserve"> Raczynski, D., Hernandez, M., Weinstein, J., y Miranda, N. (2014). Diagnóstico de la Capacidad Institucional para el Monitoreo y Provisión de Soporte Pedagógico en el Sector Educativo Chileno. Informe para el BID, documento sin publicar</w:t>
      </w:r>
    </w:p>
    <w:p w:rsidR="006D1E3B" w:rsidRDefault="00064D05" w:rsidP="001A69EF">
      <w:pPr>
        <w:pStyle w:val="FootnoteText"/>
        <w:keepNext w:val="0"/>
        <w:keepLines w:val="0"/>
        <w:widowControl w:val="0"/>
        <w:numPr>
          <w:ilvl w:val="0"/>
          <w:numId w:val="1"/>
        </w:numPr>
        <w:spacing w:before="200" w:after="200"/>
        <w:rPr>
          <w:rFonts w:ascii="Arial" w:hAnsi="Arial" w:cs="Arial"/>
          <w:spacing w:val="0"/>
          <w:sz w:val="22"/>
          <w:szCs w:val="22"/>
          <w:lang w:val="es-AR"/>
        </w:rPr>
      </w:pPr>
      <w:r w:rsidRPr="005C6A5D">
        <w:rPr>
          <w:rFonts w:ascii="Arial" w:hAnsi="Arial" w:cs="Arial"/>
          <w:spacing w:val="0"/>
          <w:sz w:val="22"/>
          <w:szCs w:val="22"/>
        </w:rPr>
        <w:t>Nota 1</w:t>
      </w:r>
      <w:r w:rsidR="00B77A59" w:rsidRPr="005C6A5D">
        <w:rPr>
          <w:rFonts w:ascii="Arial" w:hAnsi="Arial" w:cs="Arial"/>
          <w:spacing w:val="0"/>
          <w:sz w:val="22"/>
          <w:szCs w:val="22"/>
        </w:rPr>
        <w:t>4</w:t>
      </w:r>
      <w:r w:rsidRPr="005C6A5D">
        <w:rPr>
          <w:rFonts w:ascii="Arial" w:hAnsi="Arial" w:cs="Arial"/>
          <w:spacing w:val="0"/>
          <w:sz w:val="22"/>
          <w:szCs w:val="22"/>
        </w:rPr>
        <w:t xml:space="preserve">: </w:t>
      </w:r>
      <w:r w:rsidR="006D1E3B" w:rsidRPr="005C6A5D">
        <w:rPr>
          <w:rFonts w:ascii="Arial" w:hAnsi="Arial" w:cs="Arial"/>
          <w:spacing w:val="0"/>
          <w:sz w:val="22"/>
          <w:szCs w:val="22"/>
          <w:lang w:val="es-AR"/>
        </w:rPr>
        <w:t xml:space="preserve">Jaimovich, A (2014) Arquitectura institucional para la mejora escolar. BID, División de Educación. </w:t>
      </w:r>
    </w:p>
    <w:p w:rsidR="006425E7" w:rsidRPr="005C6A5D" w:rsidRDefault="00C74728" w:rsidP="003660D8">
      <w:pPr>
        <w:pStyle w:val="FootnoteText"/>
        <w:keepNext w:val="0"/>
        <w:keepLines w:val="0"/>
        <w:widowControl w:val="0"/>
        <w:numPr>
          <w:ilvl w:val="0"/>
          <w:numId w:val="1"/>
        </w:numPr>
        <w:spacing w:before="200" w:after="200"/>
        <w:rPr>
          <w:rFonts w:ascii="Arial" w:hAnsi="Arial" w:cs="Arial"/>
          <w:spacing w:val="0"/>
          <w:sz w:val="22"/>
          <w:szCs w:val="22"/>
          <w:lang w:val="es-AR"/>
        </w:rPr>
      </w:pPr>
      <w:r>
        <w:rPr>
          <w:rFonts w:ascii="Arial" w:hAnsi="Arial" w:cs="Arial"/>
          <w:spacing w:val="0"/>
          <w:sz w:val="22"/>
          <w:szCs w:val="22"/>
          <w:lang w:val="es-AR"/>
        </w:rPr>
        <w:t xml:space="preserve">Nota 15: </w:t>
      </w:r>
      <w:bookmarkStart w:id="0" w:name="_GoBack"/>
      <w:bookmarkEnd w:id="0"/>
      <w:r w:rsidR="00E3621C">
        <w:rPr>
          <w:rFonts w:ascii="Arial" w:hAnsi="Arial" w:cs="Arial"/>
          <w:spacing w:val="0"/>
          <w:sz w:val="22"/>
          <w:szCs w:val="22"/>
          <w:lang w:val="es-AR"/>
        </w:rPr>
        <w:t xml:space="preserve">Esta operación se concentra en los aspectos de gestión del sistema educativo público en un contexto en el que el Gobierno está llevando adelante una serie de iniciativas que </w:t>
      </w:r>
      <w:r w:rsidR="00A32D2A">
        <w:rPr>
          <w:rFonts w:ascii="Arial" w:hAnsi="Arial" w:cs="Arial"/>
          <w:spacing w:val="0"/>
          <w:sz w:val="22"/>
          <w:szCs w:val="22"/>
          <w:lang w:val="es-AR"/>
        </w:rPr>
        <w:t xml:space="preserve">también </w:t>
      </w:r>
      <w:r w:rsidR="00E3621C">
        <w:rPr>
          <w:rFonts w:ascii="Arial" w:hAnsi="Arial" w:cs="Arial"/>
          <w:spacing w:val="0"/>
          <w:sz w:val="22"/>
          <w:szCs w:val="22"/>
          <w:lang w:val="es-AR"/>
        </w:rPr>
        <w:t xml:space="preserve">intentan </w:t>
      </w:r>
      <w:r w:rsidR="00A32D2A">
        <w:rPr>
          <w:rFonts w:ascii="Arial" w:hAnsi="Arial" w:cs="Arial"/>
          <w:spacing w:val="0"/>
          <w:sz w:val="22"/>
          <w:szCs w:val="22"/>
          <w:lang w:val="es-AR"/>
        </w:rPr>
        <w:t xml:space="preserve">producir </w:t>
      </w:r>
      <w:r w:rsidR="00E3621C">
        <w:rPr>
          <w:rFonts w:ascii="Arial" w:hAnsi="Arial" w:cs="Arial"/>
          <w:spacing w:val="0"/>
          <w:sz w:val="22"/>
          <w:szCs w:val="22"/>
          <w:lang w:val="es-AR"/>
        </w:rPr>
        <w:t>mejora</w:t>
      </w:r>
      <w:r w:rsidR="00A32D2A">
        <w:rPr>
          <w:rFonts w:ascii="Arial" w:hAnsi="Arial" w:cs="Arial"/>
          <w:spacing w:val="0"/>
          <w:sz w:val="22"/>
          <w:szCs w:val="22"/>
          <w:lang w:val="es-AR"/>
        </w:rPr>
        <w:t xml:space="preserve">s en </w:t>
      </w:r>
      <w:r w:rsidR="00E3621C">
        <w:rPr>
          <w:rFonts w:ascii="Arial" w:hAnsi="Arial" w:cs="Arial"/>
          <w:spacing w:val="0"/>
          <w:sz w:val="22"/>
          <w:szCs w:val="22"/>
          <w:lang w:val="es-AR"/>
        </w:rPr>
        <w:t>la calidad educativa. Entre estas iniciativas cabe mencionar:  el ingreso de un proyecto de Ley de reforma de la carrera docente al Congreso Nacional, la creación de dos Centros de Liderazgo Educativo con la finalidad de fortalecer e</w:t>
      </w:r>
      <w:r w:rsidR="002B0EE3">
        <w:rPr>
          <w:rFonts w:ascii="Arial" w:hAnsi="Arial" w:cs="Arial"/>
          <w:spacing w:val="0"/>
          <w:sz w:val="22"/>
          <w:szCs w:val="22"/>
          <w:lang w:val="es-AR"/>
        </w:rPr>
        <w:t>l liderazgo escolar y en los niveles i</w:t>
      </w:r>
      <w:r w:rsidR="00E3621C">
        <w:rPr>
          <w:rFonts w:ascii="Arial" w:hAnsi="Arial" w:cs="Arial"/>
          <w:spacing w:val="0"/>
          <w:sz w:val="22"/>
          <w:szCs w:val="22"/>
          <w:lang w:val="es-AR"/>
        </w:rPr>
        <w:t xml:space="preserve">ntermedios de gobierno del sistema, </w:t>
      </w:r>
      <w:r w:rsidR="007F6A15">
        <w:rPr>
          <w:rFonts w:ascii="Arial" w:hAnsi="Arial" w:cs="Arial"/>
          <w:spacing w:val="0"/>
          <w:sz w:val="22"/>
          <w:szCs w:val="22"/>
          <w:lang w:val="es-AR"/>
        </w:rPr>
        <w:t xml:space="preserve">una política de fortalecimiento de la educación pública con foco en el mejoramiento de la infraestructura y equipamiento escolar, una política de fortalecimiento de la educación técnico profesional con foco en la mejora de </w:t>
      </w:r>
      <w:r w:rsidR="00A32D2A">
        <w:rPr>
          <w:rFonts w:ascii="Arial" w:hAnsi="Arial" w:cs="Arial"/>
          <w:spacing w:val="0"/>
          <w:sz w:val="22"/>
          <w:szCs w:val="22"/>
          <w:lang w:val="es-AR"/>
        </w:rPr>
        <w:t xml:space="preserve">sus </w:t>
      </w:r>
      <w:r w:rsidR="007F6A15">
        <w:rPr>
          <w:rFonts w:ascii="Arial" w:hAnsi="Arial" w:cs="Arial"/>
          <w:spacing w:val="0"/>
          <w:sz w:val="22"/>
          <w:szCs w:val="22"/>
          <w:lang w:val="es-AR"/>
        </w:rPr>
        <w:t>mecanismos de regulación y su alineación con el sector productivo</w:t>
      </w:r>
      <w:r w:rsidR="000A052F">
        <w:rPr>
          <w:rFonts w:ascii="Arial" w:hAnsi="Arial" w:cs="Arial"/>
          <w:spacing w:val="0"/>
          <w:sz w:val="22"/>
          <w:szCs w:val="22"/>
          <w:lang w:val="es-AR"/>
        </w:rPr>
        <w:t>, entre otras políticas</w:t>
      </w:r>
      <w:r w:rsidR="007F6A15">
        <w:rPr>
          <w:rFonts w:ascii="Arial" w:hAnsi="Arial" w:cs="Arial"/>
          <w:spacing w:val="0"/>
          <w:sz w:val="22"/>
          <w:szCs w:val="22"/>
          <w:lang w:val="es-AR"/>
        </w:rPr>
        <w:t xml:space="preserve">. </w:t>
      </w:r>
      <w:r w:rsidR="00A117AE">
        <w:rPr>
          <w:rFonts w:ascii="Arial" w:hAnsi="Arial" w:cs="Arial"/>
          <w:spacing w:val="0"/>
          <w:sz w:val="22"/>
          <w:szCs w:val="22"/>
          <w:lang w:val="es-AR"/>
        </w:rPr>
        <w:t xml:space="preserve">Esta operación tendrá en cuenta la necesaria coordinación con las políticas mencionadas con la finalidad de </w:t>
      </w:r>
      <w:r w:rsidR="00A32D2A">
        <w:rPr>
          <w:rFonts w:ascii="Arial" w:hAnsi="Arial" w:cs="Arial"/>
          <w:spacing w:val="0"/>
          <w:sz w:val="22"/>
          <w:szCs w:val="22"/>
          <w:lang w:val="es-AR"/>
        </w:rPr>
        <w:t>mejora</w:t>
      </w:r>
      <w:r w:rsidR="00A117AE">
        <w:rPr>
          <w:rFonts w:ascii="Arial" w:hAnsi="Arial" w:cs="Arial"/>
          <w:spacing w:val="0"/>
          <w:sz w:val="22"/>
          <w:szCs w:val="22"/>
          <w:lang w:val="es-AR"/>
        </w:rPr>
        <w:t xml:space="preserve">r </w:t>
      </w:r>
      <w:r w:rsidR="00A32D2A">
        <w:rPr>
          <w:rFonts w:ascii="Arial" w:hAnsi="Arial" w:cs="Arial"/>
          <w:spacing w:val="0"/>
          <w:sz w:val="22"/>
          <w:szCs w:val="22"/>
          <w:lang w:val="es-AR"/>
        </w:rPr>
        <w:t>la calidad de los aprendizajes de los estudiantes del sector público.</w:t>
      </w:r>
      <w:r w:rsidR="001367CC">
        <w:rPr>
          <w:rFonts w:ascii="Arial" w:hAnsi="Arial" w:cs="Arial"/>
          <w:spacing w:val="0"/>
          <w:sz w:val="22"/>
          <w:szCs w:val="22"/>
          <w:lang w:val="es-AR"/>
        </w:rPr>
        <w:t xml:space="preserve"> </w:t>
      </w:r>
    </w:p>
    <w:p w:rsidR="006D1E3B" w:rsidRPr="005C6A5D" w:rsidRDefault="002D353C" w:rsidP="001A69EF">
      <w:pPr>
        <w:pStyle w:val="FootnoteText"/>
        <w:keepNext w:val="0"/>
        <w:keepLines w:val="0"/>
        <w:widowControl w:val="0"/>
        <w:numPr>
          <w:ilvl w:val="0"/>
          <w:numId w:val="1"/>
        </w:numPr>
        <w:spacing w:before="200" w:after="200"/>
        <w:rPr>
          <w:rFonts w:ascii="Arial" w:hAnsi="Arial" w:cs="Arial"/>
          <w:spacing w:val="0"/>
          <w:sz w:val="22"/>
          <w:szCs w:val="22"/>
          <w:lang w:val="es-AR"/>
        </w:rPr>
      </w:pPr>
      <w:r w:rsidRPr="005C6A5D">
        <w:rPr>
          <w:rFonts w:ascii="Arial" w:hAnsi="Arial" w:cs="Arial"/>
          <w:spacing w:val="0"/>
          <w:sz w:val="22"/>
          <w:szCs w:val="22"/>
          <w:lang w:val="en-US"/>
        </w:rPr>
        <w:t>Nota 1</w:t>
      </w:r>
      <w:r w:rsidR="00D40C39">
        <w:rPr>
          <w:rFonts w:ascii="Arial" w:hAnsi="Arial" w:cs="Arial"/>
          <w:spacing w:val="0"/>
          <w:sz w:val="22"/>
          <w:szCs w:val="22"/>
          <w:lang w:val="en-US"/>
        </w:rPr>
        <w:t>6</w:t>
      </w:r>
      <w:r w:rsidRPr="005C6A5D">
        <w:rPr>
          <w:rFonts w:ascii="Arial" w:hAnsi="Arial" w:cs="Arial"/>
          <w:spacing w:val="0"/>
          <w:sz w:val="22"/>
          <w:szCs w:val="22"/>
          <w:lang w:val="en-US"/>
        </w:rPr>
        <w:t xml:space="preserve">: </w:t>
      </w:r>
      <w:r w:rsidR="006D1E3B" w:rsidRPr="005C6A5D">
        <w:rPr>
          <w:rFonts w:ascii="Arial" w:hAnsi="Arial" w:cs="Arial"/>
          <w:spacing w:val="0"/>
          <w:sz w:val="22"/>
          <w:szCs w:val="22"/>
          <w:lang w:val="en-US"/>
        </w:rPr>
        <w:t xml:space="preserve">Whitehurst, Chingos y Galleher, (2013). Do districts matter? </w:t>
      </w:r>
      <w:r w:rsidR="006D1E3B" w:rsidRPr="005C6A5D">
        <w:rPr>
          <w:rFonts w:ascii="Arial" w:hAnsi="Arial" w:cs="Arial"/>
          <w:spacing w:val="0"/>
          <w:sz w:val="22"/>
          <w:szCs w:val="22"/>
        </w:rPr>
        <w:t xml:space="preserve">Washington, DC: Brookings. </w:t>
      </w:r>
      <w:r w:rsidR="006D1E3B" w:rsidRPr="005C6A5D">
        <w:rPr>
          <w:rFonts w:ascii="Arial" w:hAnsi="Arial" w:cs="Arial"/>
          <w:spacing w:val="0"/>
          <w:sz w:val="22"/>
          <w:szCs w:val="22"/>
          <w:lang w:val="es-AR"/>
        </w:rPr>
        <w:t>Los autores estiman que la efectividad docente está asociada a 0.16 desviaciones estándar en aprendizaje estudiantil, y el liderazgo a nivel escolar está asociado a 0.14 desviaciones estándares.</w:t>
      </w:r>
    </w:p>
    <w:p w:rsidR="006D1E3B" w:rsidRPr="005C6A5D" w:rsidRDefault="002351EF" w:rsidP="001A69EF">
      <w:pPr>
        <w:pStyle w:val="FootnoteText"/>
        <w:keepNext w:val="0"/>
        <w:keepLines w:val="0"/>
        <w:widowControl w:val="0"/>
        <w:numPr>
          <w:ilvl w:val="0"/>
          <w:numId w:val="1"/>
        </w:numPr>
        <w:spacing w:before="200" w:after="200"/>
        <w:rPr>
          <w:rFonts w:ascii="Arial" w:hAnsi="Arial" w:cs="Arial"/>
          <w:spacing w:val="0"/>
          <w:sz w:val="22"/>
          <w:szCs w:val="22"/>
          <w:lang w:val="en-US"/>
        </w:rPr>
      </w:pPr>
      <w:r w:rsidRPr="005C6A5D">
        <w:rPr>
          <w:rFonts w:ascii="Arial" w:hAnsi="Arial" w:cs="Arial"/>
          <w:spacing w:val="0"/>
          <w:sz w:val="22"/>
          <w:szCs w:val="22"/>
          <w:lang w:val="en-US"/>
        </w:rPr>
        <w:t>Nota 1</w:t>
      </w:r>
      <w:r w:rsidR="00D40C39">
        <w:rPr>
          <w:rFonts w:ascii="Arial" w:hAnsi="Arial" w:cs="Arial"/>
          <w:spacing w:val="0"/>
          <w:sz w:val="22"/>
          <w:szCs w:val="22"/>
          <w:lang w:val="en-US"/>
        </w:rPr>
        <w:t>7</w:t>
      </w:r>
      <w:r w:rsidRPr="005C6A5D">
        <w:rPr>
          <w:rFonts w:ascii="Arial" w:hAnsi="Arial" w:cs="Arial"/>
          <w:spacing w:val="0"/>
          <w:sz w:val="22"/>
          <w:szCs w:val="22"/>
          <w:lang w:val="en-US"/>
        </w:rPr>
        <w:t xml:space="preserve">: </w:t>
      </w:r>
      <w:r w:rsidR="006D1E3B" w:rsidRPr="005C6A5D">
        <w:rPr>
          <w:rFonts w:ascii="Arial" w:hAnsi="Arial" w:cs="Arial"/>
          <w:spacing w:val="0"/>
          <w:sz w:val="22"/>
          <w:szCs w:val="22"/>
          <w:lang w:val="en-US"/>
        </w:rPr>
        <w:t>Louis, K. S., Leithwood, K., Wahlstrom, K., Anderson, S. (2010). Learning from leadership: Investigating the links to improved student learning. New York: The Wallace Foundation.</w:t>
      </w:r>
    </w:p>
    <w:p w:rsidR="006D1E3B" w:rsidRPr="00C74728" w:rsidRDefault="002351EF" w:rsidP="001A69EF">
      <w:pPr>
        <w:pStyle w:val="FootnoteText"/>
        <w:keepNext w:val="0"/>
        <w:keepLines w:val="0"/>
        <w:widowControl w:val="0"/>
        <w:numPr>
          <w:ilvl w:val="0"/>
          <w:numId w:val="1"/>
        </w:numPr>
        <w:spacing w:before="200" w:after="200"/>
        <w:rPr>
          <w:rFonts w:ascii="Arial" w:hAnsi="Arial" w:cs="Arial"/>
          <w:spacing w:val="0"/>
          <w:sz w:val="22"/>
          <w:szCs w:val="22"/>
        </w:rPr>
      </w:pPr>
      <w:r w:rsidRPr="005C6A5D">
        <w:rPr>
          <w:rFonts w:ascii="Arial" w:hAnsi="Arial" w:cs="Arial"/>
          <w:spacing w:val="0"/>
          <w:sz w:val="22"/>
          <w:szCs w:val="22"/>
        </w:rPr>
        <w:t>Nota 1</w:t>
      </w:r>
      <w:r w:rsidR="00D40C39">
        <w:rPr>
          <w:rFonts w:ascii="Arial" w:hAnsi="Arial" w:cs="Arial"/>
          <w:spacing w:val="0"/>
          <w:sz w:val="22"/>
          <w:szCs w:val="22"/>
        </w:rPr>
        <w:t>8</w:t>
      </w:r>
      <w:r w:rsidRPr="005C6A5D">
        <w:rPr>
          <w:rFonts w:ascii="Arial" w:hAnsi="Arial" w:cs="Arial"/>
          <w:spacing w:val="0"/>
          <w:sz w:val="22"/>
          <w:szCs w:val="22"/>
        </w:rPr>
        <w:t xml:space="preserve">: </w:t>
      </w:r>
      <w:r w:rsidR="006D1E3B" w:rsidRPr="005C6A5D">
        <w:rPr>
          <w:rFonts w:ascii="Arial" w:hAnsi="Arial" w:cs="Arial"/>
          <w:spacing w:val="0"/>
          <w:sz w:val="22"/>
          <w:szCs w:val="22"/>
        </w:rPr>
        <w:t xml:space="preserve">Larrañaga, O., Peirano, C. &amp; Falck, D. (2009). </w:t>
      </w:r>
      <w:r w:rsidR="006D1E3B" w:rsidRPr="005C6A5D">
        <w:rPr>
          <w:rFonts w:ascii="Arial" w:hAnsi="Arial" w:cs="Arial"/>
          <w:spacing w:val="0"/>
          <w:sz w:val="22"/>
          <w:szCs w:val="22"/>
          <w:lang w:val="es-AR"/>
        </w:rPr>
        <w:t xml:space="preserve">Una mirada al interior del sector municipal”. En M. Marcel &amp; Raczynski (Eds.). La asignatura pendiente. Claves para la Revalidación de la Educación Pública de Gestión Local en Chile. </w:t>
      </w:r>
      <w:r w:rsidR="006D1E3B" w:rsidRPr="00C74728">
        <w:rPr>
          <w:rFonts w:ascii="Arial" w:hAnsi="Arial" w:cs="Arial"/>
          <w:spacing w:val="0"/>
          <w:sz w:val="22"/>
          <w:szCs w:val="22"/>
        </w:rPr>
        <w:t xml:space="preserve">Parte II. pp. 77-97). </w:t>
      </w:r>
      <w:r w:rsidR="006D1E3B" w:rsidRPr="00C74728">
        <w:rPr>
          <w:rFonts w:ascii="Arial" w:hAnsi="Arial" w:cs="Arial"/>
          <w:spacing w:val="0"/>
          <w:sz w:val="22"/>
          <w:szCs w:val="22"/>
        </w:rPr>
        <w:lastRenderedPageBreak/>
        <w:t>Santiago, Chile: Uqbar Editores y CIEPLAN.</w:t>
      </w:r>
    </w:p>
    <w:p w:rsidR="006D1E3B" w:rsidRPr="005C6A5D" w:rsidRDefault="002351EF" w:rsidP="001A69EF">
      <w:pPr>
        <w:pStyle w:val="FootnoteText"/>
        <w:keepNext w:val="0"/>
        <w:keepLines w:val="0"/>
        <w:widowControl w:val="0"/>
        <w:numPr>
          <w:ilvl w:val="0"/>
          <w:numId w:val="1"/>
        </w:numPr>
        <w:spacing w:before="200" w:after="200"/>
        <w:rPr>
          <w:rFonts w:ascii="Arial" w:hAnsi="Arial" w:cs="Arial"/>
          <w:spacing w:val="0"/>
          <w:sz w:val="22"/>
          <w:szCs w:val="22"/>
          <w:lang w:val="en-US"/>
        </w:rPr>
      </w:pPr>
      <w:r w:rsidRPr="006F0357">
        <w:rPr>
          <w:rFonts w:ascii="Arial" w:hAnsi="Arial" w:cs="Arial"/>
          <w:spacing w:val="0"/>
          <w:sz w:val="22"/>
          <w:szCs w:val="22"/>
          <w:lang w:val="en-US"/>
        </w:rPr>
        <w:t>Nota 1</w:t>
      </w:r>
      <w:r w:rsidR="00D40C39">
        <w:rPr>
          <w:rFonts w:ascii="Arial" w:hAnsi="Arial" w:cs="Arial"/>
          <w:spacing w:val="0"/>
          <w:sz w:val="22"/>
          <w:szCs w:val="22"/>
          <w:lang w:val="en-US"/>
        </w:rPr>
        <w:t>9</w:t>
      </w:r>
      <w:r w:rsidRPr="005C6A5D">
        <w:rPr>
          <w:rFonts w:ascii="Arial" w:hAnsi="Arial" w:cs="Arial"/>
          <w:spacing w:val="0"/>
          <w:sz w:val="22"/>
          <w:szCs w:val="22"/>
          <w:lang w:val="en-US"/>
        </w:rPr>
        <w:t>: L</w:t>
      </w:r>
      <w:r w:rsidR="006D1E3B" w:rsidRPr="005C6A5D">
        <w:rPr>
          <w:rFonts w:ascii="Arial" w:hAnsi="Arial" w:cs="Arial"/>
          <w:bCs/>
          <w:spacing w:val="0"/>
          <w:sz w:val="22"/>
          <w:szCs w:val="22"/>
          <w:lang w:val="en-US"/>
        </w:rPr>
        <w:t xml:space="preserve">eithwood, K. (2013). Strong districts and their leadership: </w:t>
      </w:r>
      <w:r w:rsidR="006D1E3B" w:rsidRPr="005C6A5D">
        <w:rPr>
          <w:rFonts w:ascii="Arial" w:hAnsi="Arial" w:cs="Arial"/>
          <w:spacing w:val="0"/>
          <w:sz w:val="22"/>
          <w:szCs w:val="22"/>
          <w:lang w:val="en-US"/>
        </w:rPr>
        <w:t>A paper commissioned by</w:t>
      </w:r>
      <w:r w:rsidR="006D1E3B" w:rsidRPr="005C6A5D">
        <w:rPr>
          <w:rFonts w:ascii="Arial" w:hAnsi="Arial" w:cs="Arial"/>
          <w:bCs/>
          <w:spacing w:val="0"/>
          <w:sz w:val="22"/>
          <w:szCs w:val="22"/>
          <w:lang w:val="en-US"/>
        </w:rPr>
        <w:t xml:space="preserve"> </w:t>
      </w:r>
      <w:r w:rsidR="006D1E3B" w:rsidRPr="005C6A5D">
        <w:rPr>
          <w:rFonts w:ascii="Arial" w:hAnsi="Arial" w:cs="Arial"/>
          <w:iCs/>
          <w:spacing w:val="0"/>
          <w:sz w:val="22"/>
          <w:szCs w:val="22"/>
          <w:lang w:val="en-US"/>
        </w:rPr>
        <w:t>the Council of Ontario Directors of Education</w:t>
      </w:r>
      <w:r w:rsidR="006D1E3B" w:rsidRPr="005C6A5D">
        <w:rPr>
          <w:rFonts w:ascii="Arial" w:hAnsi="Arial" w:cs="Arial"/>
          <w:bCs/>
          <w:spacing w:val="0"/>
          <w:sz w:val="22"/>
          <w:szCs w:val="22"/>
          <w:lang w:val="en-US"/>
        </w:rPr>
        <w:t xml:space="preserve"> </w:t>
      </w:r>
      <w:r w:rsidR="006D1E3B" w:rsidRPr="005C6A5D">
        <w:rPr>
          <w:rFonts w:ascii="Arial" w:hAnsi="Arial" w:cs="Arial"/>
          <w:spacing w:val="0"/>
          <w:sz w:val="22"/>
          <w:szCs w:val="22"/>
          <w:lang w:val="en-US"/>
        </w:rPr>
        <w:t xml:space="preserve">and </w:t>
      </w:r>
      <w:r w:rsidR="006D1E3B" w:rsidRPr="005C6A5D">
        <w:rPr>
          <w:rFonts w:ascii="Arial" w:hAnsi="Arial" w:cs="Arial"/>
          <w:iCs/>
          <w:spacing w:val="0"/>
          <w:sz w:val="22"/>
          <w:szCs w:val="22"/>
          <w:lang w:val="en-US"/>
        </w:rPr>
        <w:t>The Institute for Education Leadership.</w:t>
      </w:r>
    </w:p>
    <w:p w:rsidR="00A56E54" w:rsidRPr="001A69EF" w:rsidRDefault="002351EF" w:rsidP="001A69EF">
      <w:pPr>
        <w:pStyle w:val="ListParagraph"/>
        <w:widowControl w:val="0"/>
        <w:numPr>
          <w:ilvl w:val="0"/>
          <w:numId w:val="1"/>
        </w:numPr>
        <w:autoSpaceDE w:val="0"/>
        <w:autoSpaceDN w:val="0"/>
        <w:adjustRightInd w:val="0"/>
        <w:spacing w:before="200" w:line="240" w:lineRule="auto"/>
        <w:contextualSpacing w:val="0"/>
        <w:jc w:val="both"/>
        <w:rPr>
          <w:rFonts w:ascii="Arial" w:hAnsi="Arial" w:cs="Arial"/>
        </w:rPr>
      </w:pPr>
      <w:r w:rsidRPr="005C6A5D">
        <w:rPr>
          <w:rFonts w:ascii="Arial" w:hAnsi="Arial" w:cs="Arial"/>
        </w:rPr>
        <w:t xml:space="preserve">Nota </w:t>
      </w:r>
      <w:r w:rsidR="00D40C39">
        <w:rPr>
          <w:rFonts w:ascii="Arial" w:hAnsi="Arial" w:cs="Arial"/>
        </w:rPr>
        <w:t>20</w:t>
      </w:r>
      <w:r w:rsidRPr="005C6A5D">
        <w:rPr>
          <w:rFonts w:ascii="Arial" w:hAnsi="Arial" w:cs="Arial"/>
        </w:rPr>
        <w:t xml:space="preserve">: </w:t>
      </w:r>
      <w:r w:rsidR="006D1E3B" w:rsidRPr="005C6A5D">
        <w:rPr>
          <w:rFonts w:ascii="Arial" w:hAnsi="Arial" w:cs="Arial"/>
        </w:rPr>
        <w:t xml:space="preserve">Honig, M. I., Copland, M. A., Rainey, L., Lorton, J. A., &amp; Newton, M. (2010). School district central office transformation for teaching and learning improvement: A report to the Wallace Foundation. Seattle, WA: The Center for the Study of Teaching and Policy; Childress, S., Elmore, R.F., Grossman, A. and Johnson, S.M. (Eds.) (2007). Managing School Districts for High Performance: Cases in Public Education Leadership. Cambridge, MA: Harvard Education Press. </w:t>
      </w:r>
    </w:p>
    <w:p w:rsidR="00A56E54" w:rsidRPr="001A69EF" w:rsidRDefault="002351EF" w:rsidP="001A69EF">
      <w:pPr>
        <w:pStyle w:val="ListParagraph"/>
        <w:widowControl w:val="0"/>
        <w:numPr>
          <w:ilvl w:val="0"/>
          <w:numId w:val="1"/>
        </w:numPr>
        <w:autoSpaceDE w:val="0"/>
        <w:autoSpaceDN w:val="0"/>
        <w:adjustRightInd w:val="0"/>
        <w:spacing w:before="200" w:line="240" w:lineRule="auto"/>
        <w:contextualSpacing w:val="0"/>
        <w:jc w:val="both"/>
        <w:rPr>
          <w:rFonts w:ascii="Arial" w:hAnsi="Arial" w:cs="Arial"/>
        </w:rPr>
      </w:pPr>
      <w:r w:rsidRPr="005C6A5D">
        <w:rPr>
          <w:rFonts w:ascii="Arial" w:hAnsi="Arial" w:cs="Arial"/>
        </w:rPr>
        <w:t xml:space="preserve">Nota </w:t>
      </w:r>
      <w:r w:rsidR="00D47629" w:rsidRPr="005C6A5D">
        <w:rPr>
          <w:rFonts w:ascii="Arial" w:hAnsi="Arial" w:cs="Arial"/>
        </w:rPr>
        <w:t>2</w:t>
      </w:r>
      <w:r w:rsidR="00D40C39">
        <w:rPr>
          <w:rFonts w:ascii="Arial" w:hAnsi="Arial" w:cs="Arial"/>
        </w:rPr>
        <w:t>1</w:t>
      </w:r>
      <w:r w:rsidRPr="005C6A5D">
        <w:rPr>
          <w:rFonts w:ascii="Arial" w:hAnsi="Arial" w:cs="Arial"/>
        </w:rPr>
        <w:t xml:space="preserve">: </w:t>
      </w:r>
      <w:r w:rsidR="006D1E3B" w:rsidRPr="005C6A5D">
        <w:rPr>
          <w:rFonts w:ascii="Arial" w:hAnsi="Arial" w:cs="Arial"/>
        </w:rPr>
        <w:t xml:space="preserve">Augustine, C. H., Gonzalez, G., Ikemoto, G. S., Russell, J., Zellman, G. L., Constant, L.,&amp;. Dembosky, J. W. (2009). </w:t>
      </w:r>
      <w:r w:rsidR="006D1E3B" w:rsidRPr="005C6A5D">
        <w:rPr>
          <w:rFonts w:ascii="Arial" w:hAnsi="Arial" w:cs="Arial"/>
          <w:iCs/>
        </w:rPr>
        <w:t>Improving school leadership: The promise of cohesive leadership systems</w:t>
      </w:r>
      <w:r w:rsidR="006D1E3B" w:rsidRPr="005C6A5D">
        <w:rPr>
          <w:rFonts w:ascii="Arial" w:hAnsi="Arial" w:cs="Arial"/>
        </w:rPr>
        <w:t xml:space="preserve">. Santa Monica, CA: RAND Corporation; </w:t>
      </w:r>
      <w:r w:rsidR="006D1E3B" w:rsidRPr="005C6A5D">
        <w:rPr>
          <w:rFonts w:ascii="Arial" w:hAnsi="Arial" w:cs="Arial"/>
          <w:bCs/>
        </w:rPr>
        <w:t xml:space="preserve">Ikemoto, G., Taliaferro, L., Fenton, B. and Davis, J. (2014). Great principals at scale: Creating district conditions that enable all principals to be effective. Dallas, TX: </w:t>
      </w:r>
      <w:r w:rsidR="006D1E3B" w:rsidRPr="005C6A5D">
        <w:rPr>
          <w:rFonts w:ascii="Arial" w:hAnsi="Arial" w:cs="Arial"/>
        </w:rPr>
        <w:t>George W. Bush Institute at the George W. Bush Presidential Center.</w:t>
      </w:r>
    </w:p>
    <w:p w:rsidR="00B52FDE" w:rsidRPr="001A69EF" w:rsidRDefault="0058506A" w:rsidP="001A69EF">
      <w:pPr>
        <w:pStyle w:val="ListParagraph"/>
        <w:widowControl w:val="0"/>
        <w:numPr>
          <w:ilvl w:val="0"/>
          <w:numId w:val="1"/>
        </w:numPr>
        <w:autoSpaceDE w:val="0"/>
        <w:autoSpaceDN w:val="0"/>
        <w:adjustRightInd w:val="0"/>
        <w:spacing w:before="200" w:line="240" w:lineRule="auto"/>
        <w:contextualSpacing w:val="0"/>
        <w:jc w:val="both"/>
        <w:rPr>
          <w:rFonts w:ascii="Arial" w:hAnsi="Arial" w:cs="Arial"/>
          <w:lang w:val="es-ES_tradnl"/>
        </w:rPr>
      </w:pPr>
      <w:r w:rsidRPr="001A69EF">
        <w:rPr>
          <w:rFonts w:ascii="Arial" w:hAnsi="Arial" w:cs="Arial"/>
        </w:rPr>
        <w:t xml:space="preserve">Nota </w:t>
      </w:r>
      <w:r w:rsidR="00A958BE" w:rsidRPr="001A69EF">
        <w:rPr>
          <w:rFonts w:ascii="Arial" w:hAnsi="Arial" w:cs="Arial"/>
        </w:rPr>
        <w:t>2</w:t>
      </w:r>
      <w:r w:rsidR="00D40C39">
        <w:rPr>
          <w:rFonts w:ascii="Arial" w:hAnsi="Arial" w:cs="Arial"/>
        </w:rPr>
        <w:t>2</w:t>
      </w:r>
      <w:r w:rsidRPr="001A69EF">
        <w:rPr>
          <w:rFonts w:ascii="Arial" w:hAnsi="Arial" w:cs="Arial"/>
        </w:rPr>
        <w:t xml:space="preserve">: </w:t>
      </w:r>
      <w:r w:rsidR="00B075C8" w:rsidRPr="005C6A5D">
        <w:rPr>
          <w:rFonts w:ascii="Arial" w:hAnsi="Arial" w:cs="Arial"/>
        </w:rPr>
        <w:t>Louis, K. S., Leithwood, K., Wahlstrom, K., Anderson, S. (2010). Learning from leadership: Investigating the links to improved student learning. New York: The Wallace Foundation</w:t>
      </w:r>
      <w:r w:rsidR="006D1E3B" w:rsidRPr="005C6A5D">
        <w:rPr>
          <w:rFonts w:ascii="Arial" w:hAnsi="Arial" w:cs="Arial"/>
          <w:lang w:val="es-ES_tradnl"/>
        </w:rPr>
        <w:t xml:space="preserve">. </w:t>
      </w:r>
    </w:p>
    <w:p w:rsidR="00F50459" w:rsidRPr="001A69EF" w:rsidRDefault="00B52FDE" w:rsidP="001A69EF">
      <w:pPr>
        <w:pStyle w:val="ListParagraph"/>
        <w:widowControl w:val="0"/>
        <w:numPr>
          <w:ilvl w:val="0"/>
          <w:numId w:val="1"/>
        </w:numPr>
        <w:autoSpaceDE w:val="0"/>
        <w:autoSpaceDN w:val="0"/>
        <w:adjustRightInd w:val="0"/>
        <w:spacing w:before="200" w:line="240" w:lineRule="auto"/>
        <w:contextualSpacing w:val="0"/>
        <w:jc w:val="both"/>
        <w:rPr>
          <w:rFonts w:ascii="Arial" w:hAnsi="Arial" w:cs="Arial"/>
          <w:lang w:val="es-ES_tradnl"/>
        </w:rPr>
      </w:pPr>
      <w:r w:rsidRPr="005C6A5D">
        <w:rPr>
          <w:rFonts w:ascii="Arial" w:hAnsi="Arial" w:cs="Arial"/>
          <w:lang w:val="es-ES_tradnl"/>
        </w:rPr>
        <w:t xml:space="preserve">Nota </w:t>
      </w:r>
      <w:r w:rsidR="000162D6" w:rsidRPr="001A69EF">
        <w:rPr>
          <w:rFonts w:ascii="Arial" w:hAnsi="Arial" w:cs="Arial"/>
          <w:lang w:val="es-ES_tradnl"/>
        </w:rPr>
        <w:t>2</w:t>
      </w:r>
      <w:r w:rsidR="00D40C39">
        <w:rPr>
          <w:rFonts w:ascii="Arial" w:hAnsi="Arial" w:cs="Arial"/>
          <w:lang w:val="es-ES_tradnl"/>
        </w:rPr>
        <w:t>3</w:t>
      </w:r>
      <w:r w:rsidR="001A69EF">
        <w:rPr>
          <w:rFonts w:ascii="Arial" w:hAnsi="Arial" w:cs="Arial"/>
          <w:lang w:val="es-ES_tradnl"/>
        </w:rPr>
        <w:t xml:space="preserve">: </w:t>
      </w:r>
      <w:r w:rsidRPr="005C6A5D">
        <w:rPr>
          <w:rFonts w:ascii="Arial" w:hAnsi="Arial" w:cs="Arial"/>
          <w:lang w:val="es-ES_tradnl"/>
        </w:rPr>
        <w:t xml:space="preserve">Entre estas consultorías </w:t>
      </w:r>
      <w:r w:rsidRPr="005C6A5D">
        <w:rPr>
          <w:rFonts w:ascii="Arial" w:hAnsi="Arial" w:cs="Arial"/>
          <w:lang w:val="es-AR"/>
        </w:rPr>
        <w:t xml:space="preserve">cabe destacar: (a) un diagnóstico de la capacidad institucional para el monitoreo y provisión de soporte pedagógico en Chile; (b) un análisis comparado sobre mecanismos de formación de liderazgo sistémico, incluyendo recomendaciones para Chile; (c) un estudio sobre la situación actual del personal del sector educativo municipal; (d) un análisis del diseño institucional para la educación pública; (e) un análisis de la situación de la carrera docente en Chile; y (f) un estudio georreferenciado de la oferta de educación pública en el país, entre otros. </w:t>
      </w:r>
    </w:p>
    <w:p w:rsidR="00F50459" w:rsidRPr="005C6A5D" w:rsidRDefault="00F50459" w:rsidP="001A69EF">
      <w:pPr>
        <w:pStyle w:val="ListParagraph"/>
        <w:widowControl w:val="0"/>
        <w:numPr>
          <w:ilvl w:val="0"/>
          <w:numId w:val="1"/>
        </w:numPr>
        <w:autoSpaceDE w:val="0"/>
        <w:autoSpaceDN w:val="0"/>
        <w:adjustRightInd w:val="0"/>
        <w:spacing w:before="200" w:line="240" w:lineRule="auto"/>
        <w:contextualSpacing w:val="0"/>
        <w:jc w:val="both"/>
        <w:rPr>
          <w:rFonts w:ascii="Arial" w:hAnsi="Arial" w:cs="Arial"/>
          <w:lang w:val="es-ES_tradnl"/>
        </w:rPr>
      </w:pPr>
      <w:r w:rsidRPr="001A69EF">
        <w:rPr>
          <w:rFonts w:ascii="Arial" w:hAnsi="Arial" w:cs="Arial"/>
          <w:lang w:val="es-ES_tradnl"/>
        </w:rPr>
        <w:t xml:space="preserve">Nota </w:t>
      </w:r>
      <w:r w:rsidR="00EE4CE7" w:rsidRPr="001A69EF">
        <w:rPr>
          <w:rFonts w:ascii="Arial" w:hAnsi="Arial" w:cs="Arial"/>
          <w:lang w:val="es-ES_tradnl"/>
        </w:rPr>
        <w:t>2</w:t>
      </w:r>
      <w:r w:rsidR="00D40C39">
        <w:rPr>
          <w:rFonts w:ascii="Arial" w:hAnsi="Arial" w:cs="Arial"/>
          <w:lang w:val="es-ES_tradnl"/>
        </w:rPr>
        <w:t>4</w:t>
      </w:r>
      <w:r w:rsidRPr="001A69EF">
        <w:rPr>
          <w:rFonts w:ascii="Arial" w:hAnsi="Arial" w:cs="Arial"/>
          <w:lang w:val="es-ES_tradnl"/>
        </w:rPr>
        <w:t xml:space="preserve">: </w:t>
      </w:r>
      <w:r w:rsidRPr="005C6A5D">
        <w:rPr>
          <w:rFonts w:ascii="Arial" w:hAnsi="Arial" w:cs="Arial"/>
          <w:lang w:val="es-AR"/>
        </w:rPr>
        <w:t>Los sistemas educativos analizados en este estudio, a través de estudios de casos, fueron: Ontario, Massachusetts, Finlandia, Nueva Zelandia, y los Países Bajos.</w:t>
      </w:r>
      <w:r w:rsidR="005D7DC6" w:rsidRPr="005C6A5D">
        <w:rPr>
          <w:rFonts w:ascii="Arial" w:hAnsi="Arial" w:cs="Arial"/>
          <w:lang w:val="es-AR"/>
        </w:rPr>
        <w:t xml:space="preserve"> </w:t>
      </w:r>
    </w:p>
    <w:p w:rsidR="006D1E3B" w:rsidRPr="001A69EF" w:rsidRDefault="0058506A" w:rsidP="001A69EF">
      <w:pPr>
        <w:pStyle w:val="FootnoteText"/>
        <w:keepNext w:val="0"/>
        <w:keepLines w:val="0"/>
        <w:widowControl w:val="0"/>
        <w:numPr>
          <w:ilvl w:val="0"/>
          <w:numId w:val="1"/>
        </w:numPr>
        <w:spacing w:before="200" w:after="200"/>
        <w:rPr>
          <w:rFonts w:ascii="Arial" w:hAnsi="Arial" w:cs="Arial"/>
          <w:sz w:val="22"/>
          <w:szCs w:val="22"/>
          <w:lang w:val="es-AR"/>
        </w:rPr>
      </w:pPr>
      <w:r w:rsidRPr="005C6A5D">
        <w:rPr>
          <w:rFonts w:ascii="Arial" w:hAnsi="Arial" w:cs="Arial"/>
          <w:sz w:val="22"/>
          <w:szCs w:val="22"/>
        </w:rPr>
        <w:t>Nota 2</w:t>
      </w:r>
      <w:r w:rsidR="00D40C39">
        <w:rPr>
          <w:rFonts w:ascii="Arial" w:hAnsi="Arial" w:cs="Arial"/>
          <w:sz w:val="22"/>
          <w:szCs w:val="22"/>
        </w:rPr>
        <w:t>5</w:t>
      </w:r>
      <w:r w:rsidRPr="005C6A5D">
        <w:rPr>
          <w:rFonts w:ascii="Arial" w:hAnsi="Arial" w:cs="Arial"/>
          <w:sz w:val="22"/>
          <w:szCs w:val="22"/>
        </w:rPr>
        <w:t xml:space="preserve">: </w:t>
      </w:r>
      <w:r w:rsidR="00243FAC" w:rsidRPr="005C6A5D">
        <w:rPr>
          <w:rFonts w:ascii="Arial" w:hAnsi="Arial" w:cs="Arial"/>
          <w:spacing w:val="0"/>
          <w:sz w:val="22"/>
          <w:szCs w:val="22"/>
          <w:lang w:val="es-AR"/>
        </w:rPr>
        <w:t>Jaimovich, A (2014) Arquitectura institucional para la mejora escolar. BID, División de Educación</w:t>
      </w:r>
      <w:r w:rsidR="006D1E3B" w:rsidRPr="005C6A5D">
        <w:rPr>
          <w:rFonts w:ascii="Arial" w:hAnsi="Arial" w:cs="Arial"/>
          <w:spacing w:val="0"/>
          <w:sz w:val="22"/>
          <w:szCs w:val="22"/>
          <w:lang w:val="es-AR"/>
        </w:rPr>
        <w:t xml:space="preserve">. </w:t>
      </w:r>
    </w:p>
    <w:p w:rsidR="005C138B" w:rsidRPr="001A69EF" w:rsidRDefault="00921D18" w:rsidP="001A69EF">
      <w:pPr>
        <w:pStyle w:val="FootnoteText"/>
        <w:keepNext w:val="0"/>
        <w:keepLines w:val="0"/>
        <w:widowControl w:val="0"/>
        <w:numPr>
          <w:ilvl w:val="0"/>
          <w:numId w:val="1"/>
        </w:numPr>
        <w:spacing w:before="200" w:after="200"/>
        <w:rPr>
          <w:rFonts w:ascii="Arial" w:hAnsi="Arial" w:cs="Arial"/>
          <w:sz w:val="22"/>
          <w:szCs w:val="22"/>
          <w:lang w:val="es-AR"/>
        </w:rPr>
      </w:pPr>
      <w:r w:rsidRPr="001A69EF">
        <w:rPr>
          <w:rFonts w:ascii="Arial" w:hAnsi="Arial" w:cs="Arial"/>
          <w:spacing w:val="0"/>
          <w:sz w:val="22"/>
          <w:szCs w:val="22"/>
          <w:lang w:val="es-AR"/>
        </w:rPr>
        <w:t>Nota 2</w:t>
      </w:r>
      <w:r w:rsidR="00D40C39">
        <w:rPr>
          <w:rFonts w:ascii="Arial" w:hAnsi="Arial" w:cs="Arial"/>
          <w:spacing w:val="0"/>
          <w:sz w:val="22"/>
          <w:szCs w:val="22"/>
          <w:lang w:val="es-AR"/>
        </w:rPr>
        <w:t>6</w:t>
      </w:r>
      <w:r w:rsidR="005C138B" w:rsidRPr="005C6A5D">
        <w:rPr>
          <w:rFonts w:ascii="Arial" w:hAnsi="Arial" w:cs="Arial"/>
          <w:spacing w:val="0"/>
          <w:sz w:val="22"/>
          <w:szCs w:val="22"/>
          <w:lang w:val="es-AR"/>
        </w:rPr>
        <w:t>: Una vez en régimen (aprobado el proyecto de Ley), se estima que la UNIEP/DEP contará co</w:t>
      </w:r>
      <w:r w:rsidR="00A85423" w:rsidRPr="005C6A5D">
        <w:rPr>
          <w:rFonts w:ascii="Arial" w:hAnsi="Arial" w:cs="Arial"/>
          <w:spacing w:val="0"/>
          <w:sz w:val="22"/>
          <w:szCs w:val="22"/>
          <w:lang w:val="es-AR"/>
        </w:rPr>
        <w:t>n un total de 22</w:t>
      </w:r>
      <w:r w:rsidR="004B6DD0" w:rsidRPr="005C6A5D">
        <w:rPr>
          <w:rFonts w:ascii="Arial" w:hAnsi="Arial" w:cs="Arial"/>
          <w:spacing w:val="0"/>
          <w:sz w:val="22"/>
          <w:szCs w:val="22"/>
          <w:lang w:val="es-AR"/>
        </w:rPr>
        <w:t>2</w:t>
      </w:r>
      <w:r w:rsidR="00A85423" w:rsidRPr="005C6A5D">
        <w:rPr>
          <w:rFonts w:ascii="Arial" w:hAnsi="Arial" w:cs="Arial"/>
          <w:spacing w:val="0"/>
          <w:sz w:val="22"/>
          <w:szCs w:val="22"/>
          <w:lang w:val="es-AR"/>
        </w:rPr>
        <w:t xml:space="preserve"> funcionarios, incluyendo personal administrativo y técnico. Dicha dotación de personal </w:t>
      </w:r>
      <w:r w:rsidR="002F7A4F" w:rsidRPr="005C6A5D">
        <w:rPr>
          <w:rFonts w:ascii="Arial" w:hAnsi="Arial" w:cs="Arial"/>
          <w:spacing w:val="0"/>
          <w:sz w:val="22"/>
          <w:szCs w:val="22"/>
          <w:lang w:val="es-AR"/>
        </w:rPr>
        <w:t xml:space="preserve">se basa en un estudio realizado por el MINEDUC (MINEDUC, 2015, documento interno). </w:t>
      </w:r>
      <w:r w:rsidR="008274F7" w:rsidRPr="005C6A5D">
        <w:rPr>
          <w:rFonts w:ascii="Arial" w:hAnsi="Arial" w:cs="Arial"/>
          <w:spacing w:val="0"/>
          <w:sz w:val="22"/>
          <w:szCs w:val="22"/>
          <w:lang w:val="es-AR"/>
        </w:rPr>
        <w:t xml:space="preserve">En el marco del programa CH-L1081, se ha definido capacitar a 146 de estos 220 funcionarios, que son los que se estiman serán necesarios para la coordinación a nivel central </w:t>
      </w:r>
      <w:r w:rsidR="0029439F" w:rsidRPr="005C6A5D">
        <w:rPr>
          <w:rFonts w:ascii="Arial" w:hAnsi="Arial" w:cs="Arial"/>
          <w:spacing w:val="0"/>
          <w:sz w:val="22"/>
          <w:szCs w:val="22"/>
          <w:lang w:val="es-AR"/>
        </w:rPr>
        <w:t xml:space="preserve">del conjunto de SLEs (31) que está planificado implementar a lo largo de la vida del programa. </w:t>
      </w:r>
      <w:r w:rsidR="00516698" w:rsidRPr="005C6A5D">
        <w:rPr>
          <w:rFonts w:ascii="Arial" w:hAnsi="Arial" w:cs="Arial"/>
          <w:spacing w:val="0"/>
          <w:sz w:val="22"/>
          <w:szCs w:val="22"/>
          <w:lang w:val="es-AR"/>
        </w:rPr>
        <w:t xml:space="preserve">Dicha estimación se ha realizado sobre la base </w:t>
      </w:r>
      <w:r w:rsidR="004930E5" w:rsidRPr="005C6A5D">
        <w:rPr>
          <w:rFonts w:ascii="Arial" w:hAnsi="Arial" w:cs="Arial"/>
          <w:spacing w:val="0"/>
          <w:sz w:val="22"/>
          <w:szCs w:val="22"/>
          <w:lang w:val="es-AR"/>
        </w:rPr>
        <w:t xml:space="preserve">de las funciones mínimas que necesitan estar cubiertas con la </w:t>
      </w:r>
      <w:r w:rsidR="00D429DF" w:rsidRPr="005C6A5D">
        <w:rPr>
          <w:rFonts w:ascii="Arial" w:hAnsi="Arial" w:cs="Arial"/>
          <w:spacing w:val="0"/>
          <w:sz w:val="22"/>
          <w:szCs w:val="22"/>
          <w:lang w:val="es-AR"/>
        </w:rPr>
        <w:t>dotación</w:t>
      </w:r>
      <w:r w:rsidR="004930E5" w:rsidRPr="005C6A5D">
        <w:rPr>
          <w:rFonts w:ascii="Arial" w:hAnsi="Arial" w:cs="Arial"/>
          <w:spacing w:val="0"/>
          <w:sz w:val="22"/>
          <w:szCs w:val="22"/>
          <w:lang w:val="es-AR"/>
        </w:rPr>
        <w:t xml:space="preserve"> de personal a nivel central </w:t>
      </w:r>
      <w:r w:rsidR="00D429DF" w:rsidRPr="005C6A5D">
        <w:rPr>
          <w:rFonts w:ascii="Arial" w:hAnsi="Arial" w:cs="Arial"/>
          <w:spacing w:val="0"/>
          <w:sz w:val="22"/>
          <w:szCs w:val="22"/>
          <w:lang w:val="es-AR"/>
        </w:rPr>
        <w:t>para el buen funcionamiento de los SLEs.</w:t>
      </w:r>
    </w:p>
    <w:p w:rsidR="001D1AEA" w:rsidRPr="001A69EF" w:rsidRDefault="001D1AEA" w:rsidP="001A69EF">
      <w:pPr>
        <w:pStyle w:val="FootnoteText"/>
        <w:keepNext w:val="0"/>
        <w:keepLines w:val="0"/>
        <w:widowControl w:val="0"/>
        <w:numPr>
          <w:ilvl w:val="0"/>
          <w:numId w:val="1"/>
        </w:numPr>
        <w:spacing w:before="200" w:after="200"/>
        <w:rPr>
          <w:rFonts w:ascii="Arial" w:hAnsi="Arial" w:cs="Arial"/>
          <w:sz w:val="22"/>
          <w:szCs w:val="22"/>
          <w:lang w:val="es-AR"/>
        </w:rPr>
      </w:pPr>
      <w:r w:rsidRPr="005C6A5D">
        <w:rPr>
          <w:rFonts w:ascii="Arial" w:hAnsi="Arial" w:cs="Arial"/>
          <w:spacing w:val="0"/>
          <w:sz w:val="22"/>
          <w:szCs w:val="22"/>
          <w:lang w:val="es-AR"/>
        </w:rPr>
        <w:t xml:space="preserve">Nota </w:t>
      </w:r>
      <w:r w:rsidR="00921D18" w:rsidRPr="001A69EF">
        <w:rPr>
          <w:rFonts w:ascii="Arial" w:hAnsi="Arial" w:cs="Arial"/>
          <w:spacing w:val="0"/>
          <w:sz w:val="22"/>
          <w:szCs w:val="22"/>
          <w:lang w:val="es-AR"/>
        </w:rPr>
        <w:t>2</w:t>
      </w:r>
      <w:r w:rsidR="00D40C39">
        <w:rPr>
          <w:rFonts w:ascii="Arial" w:hAnsi="Arial" w:cs="Arial"/>
          <w:spacing w:val="0"/>
          <w:sz w:val="22"/>
          <w:szCs w:val="22"/>
          <w:lang w:val="es-AR"/>
        </w:rPr>
        <w:t>7</w:t>
      </w:r>
      <w:r w:rsidRPr="005C6A5D">
        <w:rPr>
          <w:rFonts w:ascii="Arial" w:hAnsi="Arial" w:cs="Arial"/>
          <w:spacing w:val="0"/>
          <w:sz w:val="22"/>
          <w:szCs w:val="22"/>
          <w:lang w:val="es-AR"/>
        </w:rPr>
        <w:t xml:space="preserve">: </w:t>
      </w:r>
      <w:r w:rsidR="0050300E" w:rsidRPr="001A69EF">
        <w:rPr>
          <w:rFonts w:ascii="Arial" w:hAnsi="Arial" w:cs="Arial"/>
          <w:spacing w:val="0"/>
          <w:sz w:val="22"/>
          <w:szCs w:val="22"/>
          <w:lang w:val="es-AR"/>
        </w:rPr>
        <w:t xml:space="preserve">Se estima </w:t>
      </w:r>
      <w:r w:rsidR="00F73E90" w:rsidRPr="005C6A5D">
        <w:rPr>
          <w:rFonts w:ascii="Arial" w:hAnsi="Arial" w:cs="Arial"/>
          <w:spacing w:val="0"/>
          <w:sz w:val="22"/>
          <w:szCs w:val="22"/>
          <w:lang w:val="es-AR"/>
        </w:rPr>
        <w:t xml:space="preserve">proveer </w:t>
      </w:r>
      <w:r w:rsidR="00EA5940" w:rsidRPr="005C6A5D">
        <w:rPr>
          <w:rFonts w:ascii="Arial" w:hAnsi="Arial" w:cs="Arial"/>
          <w:spacing w:val="0"/>
          <w:sz w:val="22"/>
          <w:szCs w:val="22"/>
          <w:lang w:val="es-AR"/>
        </w:rPr>
        <w:t>146 paquetes individuales de equipo de oficina pa</w:t>
      </w:r>
      <w:r w:rsidR="009B4C09" w:rsidRPr="005C6A5D">
        <w:rPr>
          <w:rFonts w:ascii="Arial" w:hAnsi="Arial" w:cs="Arial"/>
          <w:spacing w:val="0"/>
          <w:sz w:val="22"/>
          <w:szCs w:val="22"/>
          <w:lang w:val="es-AR"/>
        </w:rPr>
        <w:t xml:space="preserve">ra el personal de la UINEP/DEP (ver Nota </w:t>
      </w:r>
      <w:r w:rsidR="00921D18" w:rsidRPr="005C6A5D">
        <w:rPr>
          <w:rFonts w:ascii="Arial" w:hAnsi="Arial" w:cs="Arial"/>
          <w:spacing w:val="0"/>
          <w:sz w:val="22"/>
          <w:szCs w:val="22"/>
          <w:lang w:val="es-AR"/>
        </w:rPr>
        <w:t>24</w:t>
      </w:r>
      <w:r w:rsidR="009B4C09" w:rsidRPr="005C6A5D">
        <w:rPr>
          <w:rFonts w:ascii="Arial" w:hAnsi="Arial" w:cs="Arial"/>
          <w:spacing w:val="0"/>
          <w:sz w:val="22"/>
          <w:szCs w:val="22"/>
          <w:lang w:val="es-AR"/>
        </w:rPr>
        <w:t xml:space="preserve">). </w:t>
      </w:r>
    </w:p>
    <w:p w:rsidR="00E3035E" w:rsidRPr="005C6A5D" w:rsidRDefault="00E3035E" w:rsidP="001A69EF">
      <w:pPr>
        <w:pStyle w:val="FootnoteText"/>
        <w:keepNext w:val="0"/>
        <w:keepLines w:val="0"/>
        <w:widowControl w:val="0"/>
        <w:numPr>
          <w:ilvl w:val="0"/>
          <w:numId w:val="1"/>
        </w:numPr>
        <w:spacing w:before="200" w:after="200"/>
        <w:rPr>
          <w:rFonts w:ascii="Arial" w:hAnsi="Arial" w:cs="Arial"/>
          <w:spacing w:val="0"/>
          <w:sz w:val="22"/>
          <w:szCs w:val="22"/>
          <w:lang w:val="es-AR"/>
        </w:rPr>
      </w:pPr>
      <w:r w:rsidRPr="005C6A5D">
        <w:rPr>
          <w:rFonts w:ascii="Arial" w:hAnsi="Arial" w:cs="Arial"/>
          <w:spacing w:val="0"/>
          <w:sz w:val="22"/>
          <w:szCs w:val="22"/>
          <w:lang w:val="es-AR"/>
        </w:rPr>
        <w:t xml:space="preserve">Nota </w:t>
      </w:r>
      <w:r w:rsidR="00921D18" w:rsidRPr="005C6A5D">
        <w:rPr>
          <w:rFonts w:ascii="Arial" w:hAnsi="Arial" w:cs="Arial"/>
          <w:spacing w:val="0"/>
          <w:sz w:val="22"/>
          <w:szCs w:val="22"/>
          <w:lang w:val="es-AR"/>
        </w:rPr>
        <w:t>2</w:t>
      </w:r>
      <w:r w:rsidR="00D40C39">
        <w:rPr>
          <w:rFonts w:ascii="Arial" w:hAnsi="Arial" w:cs="Arial"/>
          <w:spacing w:val="0"/>
          <w:sz w:val="22"/>
          <w:szCs w:val="22"/>
          <w:lang w:val="es-AR"/>
        </w:rPr>
        <w:t>8</w:t>
      </w:r>
      <w:r w:rsidRPr="005C6A5D">
        <w:rPr>
          <w:rFonts w:ascii="Arial" w:hAnsi="Arial" w:cs="Arial"/>
          <w:spacing w:val="0"/>
          <w:sz w:val="22"/>
          <w:szCs w:val="22"/>
          <w:lang w:val="es-AR"/>
        </w:rPr>
        <w:t xml:space="preserve">: </w:t>
      </w:r>
      <w:r w:rsidR="003E0709" w:rsidRPr="001A69EF">
        <w:rPr>
          <w:rFonts w:ascii="Arial" w:hAnsi="Arial" w:cs="Arial"/>
          <w:spacing w:val="0"/>
          <w:sz w:val="22"/>
          <w:szCs w:val="22"/>
          <w:lang w:val="es-AR"/>
        </w:rPr>
        <w:t xml:space="preserve">El programa financiará las contrataciones de  46 personas en total por todo el período de ejecución.  El personal total de la UINEP/DEP se estima será 146 personas </w:t>
      </w:r>
      <w:r w:rsidR="003E0709" w:rsidRPr="001A69EF">
        <w:rPr>
          <w:rFonts w:ascii="Arial" w:hAnsi="Arial" w:cs="Arial"/>
          <w:spacing w:val="0"/>
          <w:sz w:val="22"/>
          <w:szCs w:val="22"/>
          <w:lang w:val="es-AR"/>
        </w:rPr>
        <w:lastRenderedPageBreak/>
        <w:t>hacia el final del 4to año del programa. Dicha diferencia de 100 personas será financiada en forma directa por el MINEDUC.</w:t>
      </w:r>
    </w:p>
    <w:p w:rsidR="00DB3C83" w:rsidRPr="001A69EF" w:rsidRDefault="00DB3C83" w:rsidP="001A69EF">
      <w:pPr>
        <w:pStyle w:val="FootnoteText"/>
        <w:keepNext w:val="0"/>
        <w:keepLines w:val="0"/>
        <w:widowControl w:val="0"/>
        <w:numPr>
          <w:ilvl w:val="0"/>
          <w:numId w:val="1"/>
        </w:numPr>
        <w:spacing w:before="200" w:after="200"/>
        <w:rPr>
          <w:rFonts w:ascii="Arial" w:hAnsi="Arial" w:cs="Arial"/>
          <w:spacing w:val="0"/>
          <w:sz w:val="22"/>
          <w:szCs w:val="22"/>
          <w:lang w:val="es-AR"/>
        </w:rPr>
      </w:pPr>
      <w:r w:rsidRPr="005C6A5D">
        <w:rPr>
          <w:rFonts w:ascii="Arial" w:hAnsi="Arial" w:cs="Arial"/>
          <w:spacing w:val="0"/>
          <w:sz w:val="22"/>
          <w:szCs w:val="22"/>
          <w:lang w:val="es-AR"/>
        </w:rPr>
        <w:t xml:space="preserve">Nota </w:t>
      </w:r>
      <w:r w:rsidR="00921D18" w:rsidRPr="005C6A5D">
        <w:rPr>
          <w:rFonts w:ascii="Arial" w:hAnsi="Arial" w:cs="Arial"/>
          <w:spacing w:val="0"/>
          <w:sz w:val="22"/>
          <w:szCs w:val="22"/>
          <w:lang w:val="es-AR"/>
        </w:rPr>
        <w:t>2</w:t>
      </w:r>
      <w:r w:rsidR="00D40C39">
        <w:rPr>
          <w:rFonts w:ascii="Arial" w:hAnsi="Arial" w:cs="Arial"/>
          <w:spacing w:val="0"/>
          <w:sz w:val="22"/>
          <w:szCs w:val="22"/>
          <w:lang w:val="es-AR"/>
        </w:rPr>
        <w:t>9</w:t>
      </w:r>
      <w:r w:rsidRPr="005C6A5D">
        <w:rPr>
          <w:rFonts w:ascii="Arial" w:hAnsi="Arial" w:cs="Arial"/>
          <w:spacing w:val="0"/>
          <w:sz w:val="22"/>
          <w:szCs w:val="22"/>
          <w:lang w:val="es-AR"/>
        </w:rPr>
        <w:t xml:space="preserve">: Ver párrafo 1.9 del POD para información acerca de la gradualidad de implementación y las fases del plan de anticipación en cada territorio. </w:t>
      </w:r>
      <w:r w:rsidR="006F0357" w:rsidRPr="00822C6A">
        <w:rPr>
          <w:rFonts w:ascii="Arial" w:hAnsi="Arial" w:cs="Arial"/>
          <w:sz w:val="22"/>
          <w:szCs w:val="22"/>
          <w:lang w:val="es-AR"/>
        </w:rPr>
        <w:t>Los módulos de herramientas de gestión local se implementarán durante dos años en los primeros 6 territorios que ingresarán al programa, y una versión ajustada de dichos módulos será implementada por un año en cada uno de los siguientes 25 territorios que ingresen al programa.</w:t>
      </w:r>
    </w:p>
    <w:p w:rsidR="000E1072" w:rsidRPr="001A69EF" w:rsidRDefault="000E1072" w:rsidP="001A69EF">
      <w:pPr>
        <w:pStyle w:val="FootnoteText"/>
        <w:keepNext w:val="0"/>
        <w:keepLines w:val="0"/>
        <w:widowControl w:val="0"/>
        <w:numPr>
          <w:ilvl w:val="0"/>
          <w:numId w:val="1"/>
        </w:numPr>
        <w:spacing w:before="200" w:after="200"/>
        <w:rPr>
          <w:rFonts w:ascii="Arial" w:hAnsi="Arial" w:cs="Arial"/>
          <w:sz w:val="22"/>
          <w:szCs w:val="22"/>
          <w:lang w:val="es-AR"/>
        </w:rPr>
      </w:pPr>
      <w:r w:rsidRPr="001A69EF">
        <w:rPr>
          <w:rFonts w:ascii="Arial" w:hAnsi="Arial" w:cs="Arial"/>
          <w:spacing w:val="0"/>
          <w:sz w:val="22"/>
          <w:szCs w:val="22"/>
          <w:lang w:val="es-AR"/>
        </w:rPr>
        <w:t xml:space="preserve">Nota </w:t>
      </w:r>
      <w:r w:rsidR="00D40C39">
        <w:rPr>
          <w:rFonts w:ascii="Arial" w:hAnsi="Arial" w:cs="Arial"/>
          <w:spacing w:val="0"/>
          <w:sz w:val="22"/>
          <w:szCs w:val="22"/>
          <w:lang w:val="es-AR"/>
        </w:rPr>
        <w:t>30</w:t>
      </w:r>
      <w:r w:rsidRPr="001A69EF">
        <w:rPr>
          <w:rFonts w:ascii="Arial" w:hAnsi="Arial" w:cs="Arial"/>
          <w:spacing w:val="0"/>
          <w:sz w:val="22"/>
          <w:szCs w:val="22"/>
          <w:lang w:val="es-AR"/>
        </w:rPr>
        <w:t xml:space="preserve">: </w:t>
      </w:r>
      <w:r w:rsidR="006C0066" w:rsidRPr="005C6A5D">
        <w:rPr>
          <w:rFonts w:ascii="Arial" w:hAnsi="Arial" w:cs="Arial"/>
          <w:spacing w:val="0"/>
          <w:sz w:val="22"/>
          <w:szCs w:val="22"/>
          <w:lang w:val="es-AR"/>
        </w:rPr>
        <w:t xml:space="preserve">La aprobación de los estándares </w:t>
      </w:r>
      <w:r w:rsidR="00187A33" w:rsidRPr="005C6A5D">
        <w:rPr>
          <w:rFonts w:ascii="Arial" w:hAnsi="Arial" w:cs="Arial"/>
          <w:spacing w:val="0"/>
          <w:sz w:val="22"/>
          <w:szCs w:val="22"/>
          <w:lang w:val="es-AR"/>
        </w:rPr>
        <w:t xml:space="preserve">de evaluación </w:t>
      </w:r>
      <w:r w:rsidR="006C0066" w:rsidRPr="005C6A5D">
        <w:rPr>
          <w:rFonts w:ascii="Arial" w:hAnsi="Arial" w:cs="Arial"/>
          <w:spacing w:val="0"/>
          <w:sz w:val="22"/>
          <w:szCs w:val="22"/>
          <w:lang w:val="es-AR"/>
        </w:rPr>
        <w:t xml:space="preserve">es </w:t>
      </w:r>
      <w:r w:rsidR="00187A33" w:rsidRPr="005C6A5D">
        <w:rPr>
          <w:rFonts w:ascii="Arial" w:hAnsi="Arial" w:cs="Arial"/>
          <w:spacing w:val="0"/>
          <w:sz w:val="22"/>
          <w:szCs w:val="22"/>
          <w:lang w:val="es-AR"/>
        </w:rPr>
        <w:t>competencia del Consejo Nacional de Educación. El programa se enfocará en la generación de dichos estándares y su validación a través de consultas y talleres con expertos, previo al proceso de aprobación por parte del Consejo Nacional de Educación.</w:t>
      </w:r>
    </w:p>
    <w:p w:rsidR="00052D7A" w:rsidRPr="005C6A5D" w:rsidRDefault="00052D7A" w:rsidP="001A69EF">
      <w:pPr>
        <w:pStyle w:val="FootnoteText"/>
        <w:keepNext w:val="0"/>
        <w:keepLines w:val="0"/>
        <w:widowControl w:val="0"/>
        <w:numPr>
          <w:ilvl w:val="0"/>
          <w:numId w:val="1"/>
        </w:numPr>
        <w:spacing w:before="200" w:after="200"/>
        <w:rPr>
          <w:rFonts w:ascii="Arial" w:hAnsi="Arial" w:cs="Arial"/>
          <w:spacing w:val="0"/>
          <w:sz w:val="22"/>
          <w:szCs w:val="22"/>
          <w:lang w:val="es-AR"/>
        </w:rPr>
      </w:pPr>
      <w:r w:rsidRPr="005C6A5D">
        <w:rPr>
          <w:rFonts w:ascii="Arial" w:hAnsi="Arial" w:cs="Arial"/>
          <w:spacing w:val="0"/>
          <w:sz w:val="22"/>
          <w:szCs w:val="22"/>
          <w:lang w:val="es-AR"/>
        </w:rPr>
        <w:t xml:space="preserve">Nota </w:t>
      </w:r>
      <w:r w:rsidR="00F912D1" w:rsidRPr="001A69EF">
        <w:rPr>
          <w:rFonts w:ascii="Arial" w:hAnsi="Arial" w:cs="Arial"/>
          <w:spacing w:val="0"/>
          <w:sz w:val="22"/>
          <w:szCs w:val="22"/>
          <w:lang w:val="es-AR"/>
        </w:rPr>
        <w:t>3</w:t>
      </w:r>
      <w:r w:rsidR="00D40C39">
        <w:rPr>
          <w:rFonts w:ascii="Arial" w:hAnsi="Arial" w:cs="Arial"/>
          <w:spacing w:val="0"/>
          <w:sz w:val="22"/>
          <w:szCs w:val="22"/>
          <w:lang w:val="es-AR"/>
        </w:rPr>
        <w:t>1</w:t>
      </w:r>
      <w:r w:rsidRPr="005C6A5D">
        <w:rPr>
          <w:rFonts w:ascii="Arial" w:hAnsi="Arial" w:cs="Arial"/>
          <w:spacing w:val="0"/>
          <w:sz w:val="22"/>
          <w:szCs w:val="22"/>
          <w:lang w:val="es-AR"/>
        </w:rPr>
        <w:t xml:space="preserve">: </w:t>
      </w:r>
      <w:r w:rsidRPr="001A69EF">
        <w:rPr>
          <w:rFonts w:ascii="Arial" w:hAnsi="Arial" w:cs="Arial"/>
          <w:spacing w:val="0"/>
          <w:sz w:val="22"/>
          <w:szCs w:val="22"/>
          <w:lang w:val="es-AR"/>
        </w:rPr>
        <w:t>Se estima un promedio de 10 personas por cada territorio (SLE), incluyendo personal de las DEPROVs, Agencia de la Calidad, y Superintendencia de Educación</w:t>
      </w:r>
      <w:r w:rsidRPr="005C6A5D">
        <w:rPr>
          <w:rFonts w:ascii="Arial" w:hAnsi="Arial" w:cs="Arial"/>
          <w:spacing w:val="0"/>
          <w:sz w:val="22"/>
          <w:szCs w:val="22"/>
          <w:lang w:val="es-AR"/>
        </w:rPr>
        <w:t xml:space="preserve">. </w:t>
      </w:r>
      <w:r w:rsidR="00AC779B" w:rsidRPr="005C6A5D">
        <w:rPr>
          <w:rFonts w:ascii="Arial" w:hAnsi="Arial" w:cs="Arial"/>
          <w:spacing w:val="0"/>
          <w:sz w:val="22"/>
          <w:szCs w:val="22"/>
          <w:lang w:val="es-AR"/>
        </w:rPr>
        <w:t xml:space="preserve">Este número incluye la totalidad del personal del SAC que estará </w:t>
      </w:r>
      <w:r w:rsidR="00117D13" w:rsidRPr="005C6A5D">
        <w:rPr>
          <w:rFonts w:ascii="Arial" w:hAnsi="Arial" w:cs="Arial"/>
          <w:spacing w:val="0"/>
          <w:sz w:val="22"/>
          <w:szCs w:val="22"/>
          <w:lang w:val="es-AR"/>
        </w:rPr>
        <w:t xml:space="preserve">afectado a la educación pública en los territorios participantes del programa. </w:t>
      </w:r>
    </w:p>
    <w:p w:rsidR="00B52FDE" w:rsidRPr="005C6A5D" w:rsidRDefault="00060145" w:rsidP="001A69EF">
      <w:pPr>
        <w:pStyle w:val="FootnoteText"/>
        <w:keepNext w:val="0"/>
        <w:keepLines w:val="0"/>
        <w:widowControl w:val="0"/>
        <w:numPr>
          <w:ilvl w:val="0"/>
          <w:numId w:val="1"/>
        </w:numPr>
        <w:spacing w:before="200" w:after="200"/>
        <w:rPr>
          <w:rFonts w:ascii="Arial" w:hAnsi="Arial" w:cs="Arial"/>
          <w:sz w:val="22"/>
          <w:szCs w:val="22"/>
          <w:lang w:val="es-AR"/>
        </w:rPr>
      </w:pPr>
      <w:r w:rsidRPr="005C6A5D">
        <w:rPr>
          <w:rFonts w:ascii="Arial" w:hAnsi="Arial" w:cs="Arial"/>
          <w:sz w:val="22"/>
          <w:szCs w:val="22"/>
          <w:lang w:val="es-AR"/>
        </w:rPr>
        <w:t xml:space="preserve">Nota </w:t>
      </w:r>
      <w:r w:rsidR="00921D18" w:rsidRPr="001A69EF">
        <w:rPr>
          <w:rFonts w:ascii="Arial" w:hAnsi="Arial" w:cs="Arial"/>
          <w:sz w:val="22"/>
          <w:szCs w:val="22"/>
          <w:lang w:val="es-AR"/>
        </w:rPr>
        <w:t>3</w:t>
      </w:r>
      <w:r w:rsidR="00D40C39">
        <w:rPr>
          <w:rFonts w:ascii="Arial" w:hAnsi="Arial" w:cs="Arial"/>
          <w:sz w:val="22"/>
          <w:szCs w:val="22"/>
          <w:lang w:val="es-AR"/>
        </w:rPr>
        <w:t>2</w:t>
      </w:r>
      <w:r w:rsidRPr="005C6A5D">
        <w:rPr>
          <w:rFonts w:ascii="Arial" w:hAnsi="Arial" w:cs="Arial"/>
          <w:sz w:val="22"/>
          <w:szCs w:val="22"/>
          <w:lang w:val="es-AR"/>
        </w:rPr>
        <w:t xml:space="preserve">: Datos proporcionados por el MINEDUC (2015). </w:t>
      </w:r>
    </w:p>
    <w:p w:rsidR="00FB2A41" w:rsidRPr="001A69EF" w:rsidRDefault="0058506A" w:rsidP="001A69EF">
      <w:pPr>
        <w:pStyle w:val="ListParagraph"/>
        <w:widowControl w:val="0"/>
        <w:numPr>
          <w:ilvl w:val="0"/>
          <w:numId w:val="1"/>
        </w:numPr>
        <w:spacing w:before="200" w:line="240" w:lineRule="auto"/>
        <w:contextualSpacing w:val="0"/>
        <w:jc w:val="both"/>
        <w:rPr>
          <w:rFonts w:ascii="Arial" w:hAnsi="Arial" w:cs="Arial"/>
          <w:lang w:val="es-AR"/>
        </w:rPr>
      </w:pPr>
      <w:r w:rsidRPr="005C6A5D">
        <w:rPr>
          <w:rFonts w:ascii="Arial" w:hAnsi="Arial" w:cs="Arial"/>
          <w:lang w:val="es-AR"/>
        </w:rPr>
        <w:t xml:space="preserve">Nota </w:t>
      </w:r>
      <w:r w:rsidR="00682388" w:rsidRPr="005C6A5D">
        <w:rPr>
          <w:rFonts w:ascii="Arial" w:hAnsi="Arial" w:cs="Arial"/>
          <w:lang w:val="es-AR"/>
        </w:rPr>
        <w:t>3</w:t>
      </w:r>
      <w:r w:rsidR="00D40C39">
        <w:rPr>
          <w:rFonts w:ascii="Arial" w:hAnsi="Arial" w:cs="Arial"/>
          <w:lang w:val="es-AR"/>
        </w:rPr>
        <w:t>3</w:t>
      </w:r>
      <w:r w:rsidRPr="005C6A5D">
        <w:rPr>
          <w:rFonts w:ascii="Arial" w:hAnsi="Arial" w:cs="Arial"/>
          <w:lang w:val="es-AR"/>
        </w:rPr>
        <w:t xml:space="preserve">: </w:t>
      </w:r>
      <w:r w:rsidR="006D1E3B" w:rsidRPr="005C6A5D">
        <w:rPr>
          <w:rFonts w:ascii="Arial" w:hAnsi="Arial" w:cs="Arial"/>
          <w:lang w:val="es-AR"/>
        </w:rPr>
        <w:t xml:space="preserve">El informe de  McKinsey del 2010 sobre los sistemas escolares que internacionalmente han mejorado de manera más notable indica que se requieren por lo menos seis años para comenzar a ver cambios. Similarmente, para el caso de distritos escolares en USA, Slavin et al. sugieren que los efectos positivos de las reformas institucionales solo se vieron después del cuarto año (ver Slavin, R.E. et al. </w:t>
      </w:r>
      <w:r w:rsidR="006D1E3B" w:rsidRPr="005C6A5D">
        <w:rPr>
          <w:rFonts w:ascii="Arial" w:hAnsi="Arial" w:cs="Arial"/>
        </w:rPr>
        <w:t xml:space="preserve">(2013) Effects of a Data-Driven District Reform Model on State Assessment Outcomes. </w:t>
      </w:r>
      <w:r w:rsidR="006D1E3B" w:rsidRPr="005C6A5D">
        <w:rPr>
          <w:rFonts w:ascii="Arial" w:hAnsi="Arial" w:cs="Arial"/>
          <w:lang w:val="es-AR"/>
        </w:rPr>
        <w:t>American Education Research Journal, 50(2)).</w:t>
      </w:r>
      <w:r w:rsidR="0089186F" w:rsidRPr="005C6A5D">
        <w:rPr>
          <w:rFonts w:ascii="Arial" w:hAnsi="Arial" w:cs="Arial"/>
          <w:lang w:val="es-AR"/>
        </w:rPr>
        <w:t xml:space="preserve"> </w:t>
      </w:r>
    </w:p>
    <w:p w:rsidR="00FB2A41" w:rsidRPr="005C6A5D" w:rsidRDefault="00FB2A41" w:rsidP="001A69EF">
      <w:pPr>
        <w:pStyle w:val="ListParagraph"/>
        <w:widowControl w:val="0"/>
        <w:numPr>
          <w:ilvl w:val="0"/>
          <w:numId w:val="1"/>
        </w:numPr>
        <w:spacing w:before="200" w:line="240" w:lineRule="auto"/>
        <w:contextualSpacing w:val="0"/>
        <w:jc w:val="both"/>
        <w:rPr>
          <w:rFonts w:ascii="Arial" w:hAnsi="Arial" w:cs="Arial"/>
          <w:lang w:val="es-AR"/>
        </w:rPr>
      </w:pPr>
      <w:r w:rsidRPr="005C6A5D">
        <w:rPr>
          <w:rFonts w:ascii="Arial" w:hAnsi="Arial" w:cs="Arial"/>
          <w:lang w:val="es-AR"/>
        </w:rPr>
        <w:t xml:space="preserve">Nota </w:t>
      </w:r>
      <w:r w:rsidR="00682388" w:rsidRPr="005C6A5D">
        <w:rPr>
          <w:rFonts w:ascii="Arial" w:hAnsi="Arial" w:cs="Arial"/>
          <w:lang w:val="es-AR"/>
        </w:rPr>
        <w:t>3</w:t>
      </w:r>
      <w:r w:rsidR="00D40C39">
        <w:rPr>
          <w:rFonts w:ascii="Arial" w:hAnsi="Arial" w:cs="Arial"/>
          <w:lang w:val="es-AR"/>
        </w:rPr>
        <w:t>4</w:t>
      </w:r>
      <w:r w:rsidRPr="005C6A5D">
        <w:rPr>
          <w:rFonts w:ascii="Arial" w:hAnsi="Arial" w:cs="Arial"/>
          <w:lang w:val="es-AR"/>
        </w:rPr>
        <w:t>: La UCP fue creada en 2014 a partir de la aprobación de la operación CH-L1082, Programa de Expansión de la Educación Parvularia, y tiene como función proveer soporte transversal a las Unidades Ejecutoras de programas del BID en el MINEDUC. Sus funciones se centran principalmente en el apoyo metodológico en lo relacionado con los procedimientos y herramientas del Banco. Se ha mantenido la participación de esta unidad como apoyo a la U</w:t>
      </w:r>
      <w:r w:rsidR="00120305" w:rsidRPr="005C6A5D">
        <w:rPr>
          <w:rFonts w:ascii="Arial" w:hAnsi="Arial" w:cs="Arial"/>
          <w:lang w:val="es-AR"/>
        </w:rPr>
        <w:t xml:space="preserve">INEP </w:t>
      </w:r>
      <w:r w:rsidRPr="005C6A5D">
        <w:rPr>
          <w:rFonts w:ascii="Arial" w:hAnsi="Arial" w:cs="Arial"/>
          <w:lang w:val="es-AR"/>
        </w:rPr>
        <w:t xml:space="preserve">para aprovechar el </w:t>
      </w:r>
      <w:r w:rsidRPr="005C6A5D">
        <w:rPr>
          <w:rFonts w:ascii="Arial" w:hAnsi="Arial" w:cs="Arial"/>
          <w:i/>
          <w:lang w:val="es-AR"/>
        </w:rPr>
        <w:t>expertise</w:t>
      </w:r>
      <w:r w:rsidRPr="005C6A5D">
        <w:rPr>
          <w:rFonts w:ascii="Arial" w:hAnsi="Arial" w:cs="Arial"/>
          <w:lang w:val="es-AR"/>
        </w:rPr>
        <w:t xml:space="preserve"> que </w:t>
      </w:r>
      <w:r w:rsidR="00700C35" w:rsidRPr="005C6A5D">
        <w:rPr>
          <w:rFonts w:ascii="Arial" w:hAnsi="Arial" w:cs="Arial"/>
          <w:lang w:val="es-AR"/>
        </w:rPr>
        <w:t xml:space="preserve">la UCP </w:t>
      </w:r>
      <w:r w:rsidRPr="005C6A5D">
        <w:rPr>
          <w:rFonts w:ascii="Arial" w:hAnsi="Arial" w:cs="Arial"/>
          <w:lang w:val="es-AR"/>
        </w:rPr>
        <w:t>ha desarrollado a raíz de su provisión de soporte a la Unidad Ejecutora del programa CH-L1082.</w:t>
      </w:r>
    </w:p>
    <w:p w:rsidR="00A56E54" w:rsidRPr="005C6A5D" w:rsidRDefault="00A56E54" w:rsidP="001A69EF">
      <w:pPr>
        <w:pStyle w:val="ListParagraph"/>
        <w:widowControl w:val="0"/>
        <w:spacing w:line="240" w:lineRule="auto"/>
        <w:jc w:val="both"/>
        <w:rPr>
          <w:rFonts w:ascii="Arial" w:hAnsi="Arial" w:cs="Arial"/>
          <w:lang w:val="es-AR"/>
        </w:rPr>
      </w:pPr>
    </w:p>
    <w:sectPr w:rsidR="00A56E54" w:rsidRPr="005C6A5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73C5419"/>
    <w:multiLevelType w:val="hybridMultilevel"/>
    <w:tmpl w:val="1DD832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oNotDisplayPageBoundaries/>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1E3B"/>
    <w:rsid w:val="00013830"/>
    <w:rsid w:val="000162D6"/>
    <w:rsid w:val="00052D7A"/>
    <w:rsid w:val="00060145"/>
    <w:rsid w:val="00064D05"/>
    <w:rsid w:val="000A052F"/>
    <w:rsid w:val="000E1072"/>
    <w:rsid w:val="000F366A"/>
    <w:rsid w:val="00100CA4"/>
    <w:rsid w:val="001028AF"/>
    <w:rsid w:val="00117D13"/>
    <w:rsid w:val="00120305"/>
    <w:rsid w:val="001367CC"/>
    <w:rsid w:val="001673BA"/>
    <w:rsid w:val="00187A33"/>
    <w:rsid w:val="001909DC"/>
    <w:rsid w:val="001A69EF"/>
    <w:rsid w:val="001C3BE0"/>
    <w:rsid w:val="001C5980"/>
    <w:rsid w:val="001D1AEA"/>
    <w:rsid w:val="002351EF"/>
    <w:rsid w:val="00243FAC"/>
    <w:rsid w:val="0029439F"/>
    <w:rsid w:val="002B0EE3"/>
    <w:rsid w:val="002D353C"/>
    <w:rsid w:val="002E1CA0"/>
    <w:rsid w:val="002F7A4F"/>
    <w:rsid w:val="003660D8"/>
    <w:rsid w:val="003976E5"/>
    <w:rsid w:val="003A5ED3"/>
    <w:rsid w:val="003B0F5B"/>
    <w:rsid w:val="003E01E1"/>
    <w:rsid w:val="003E0709"/>
    <w:rsid w:val="003E0CDF"/>
    <w:rsid w:val="00400BAA"/>
    <w:rsid w:val="004930E5"/>
    <w:rsid w:val="004A3084"/>
    <w:rsid w:val="004B6DD0"/>
    <w:rsid w:val="004E5281"/>
    <w:rsid w:val="0050300E"/>
    <w:rsid w:val="00516698"/>
    <w:rsid w:val="00564C7A"/>
    <w:rsid w:val="0058506A"/>
    <w:rsid w:val="00592468"/>
    <w:rsid w:val="005A40EB"/>
    <w:rsid w:val="005B35CD"/>
    <w:rsid w:val="005C138B"/>
    <w:rsid w:val="005C6A5D"/>
    <w:rsid w:val="005C7D6A"/>
    <w:rsid w:val="005D7DC6"/>
    <w:rsid w:val="006425E7"/>
    <w:rsid w:val="00665112"/>
    <w:rsid w:val="00682388"/>
    <w:rsid w:val="006954FA"/>
    <w:rsid w:val="006C0066"/>
    <w:rsid w:val="006D1E3B"/>
    <w:rsid w:val="006F0357"/>
    <w:rsid w:val="00700C35"/>
    <w:rsid w:val="007666D2"/>
    <w:rsid w:val="007D1986"/>
    <w:rsid w:val="007F6072"/>
    <w:rsid w:val="007F6A15"/>
    <w:rsid w:val="008274F7"/>
    <w:rsid w:val="00886CC8"/>
    <w:rsid w:val="0089186F"/>
    <w:rsid w:val="00921D18"/>
    <w:rsid w:val="00927443"/>
    <w:rsid w:val="00964831"/>
    <w:rsid w:val="009B0C59"/>
    <w:rsid w:val="009B1EB2"/>
    <w:rsid w:val="009B4C09"/>
    <w:rsid w:val="00A117AE"/>
    <w:rsid w:val="00A14C5E"/>
    <w:rsid w:val="00A32D2A"/>
    <w:rsid w:val="00A56E54"/>
    <w:rsid w:val="00A65DCC"/>
    <w:rsid w:val="00A735AC"/>
    <w:rsid w:val="00A85423"/>
    <w:rsid w:val="00A958BE"/>
    <w:rsid w:val="00AC779B"/>
    <w:rsid w:val="00AD0235"/>
    <w:rsid w:val="00B075C8"/>
    <w:rsid w:val="00B424ED"/>
    <w:rsid w:val="00B52FDE"/>
    <w:rsid w:val="00B77A59"/>
    <w:rsid w:val="00B90F1F"/>
    <w:rsid w:val="00BE5D5E"/>
    <w:rsid w:val="00C42BCF"/>
    <w:rsid w:val="00C74728"/>
    <w:rsid w:val="00C77250"/>
    <w:rsid w:val="00CE60FF"/>
    <w:rsid w:val="00CF2972"/>
    <w:rsid w:val="00D40C39"/>
    <w:rsid w:val="00D40FF8"/>
    <w:rsid w:val="00D429DF"/>
    <w:rsid w:val="00D47629"/>
    <w:rsid w:val="00D518F3"/>
    <w:rsid w:val="00DA13AE"/>
    <w:rsid w:val="00DB3C83"/>
    <w:rsid w:val="00DC77AD"/>
    <w:rsid w:val="00E3035E"/>
    <w:rsid w:val="00E3621C"/>
    <w:rsid w:val="00EA3058"/>
    <w:rsid w:val="00EA5940"/>
    <w:rsid w:val="00EC0577"/>
    <w:rsid w:val="00EC64F6"/>
    <w:rsid w:val="00ED7F70"/>
    <w:rsid w:val="00EE4CE7"/>
    <w:rsid w:val="00F03B3B"/>
    <w:rsid w:val="00F2433A"/>
    <w:rsid w:val="00F41BAC"/>
    <w:rsid w:val="00F43C03"/>
    <w:rsid w:val="00F50459"/>
    <w:rsid w:val="00F71E64"/>
    <w:rsid w:val="00F73E90"/>
    <w:rsid w:val="00F912D1"/>
    <w:rsid w:val="00F97811"/>
    <w:rsid w:val="00FA741F"/>
    <w:rsid w:val="00FB2A41"/>
    <w:rsid w:val="00FD47A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fn"/>
    <w:basedOn w:val="Normal"/>
    <w:link w:val="FootnoteTextChar"/>
    <w:uiPriority w:val="99"/>
    <w:rsid w:val="006D1E3B"/>
    <w:pPr>
      <w:keepNext/>
      <w:keepLines/>
      <w:spacing w:after="120" w:line="240" w:lineRule="auto"/>
      <w:ind w:left="288" w:hanging="288"/>
      <w:jc w:val="both"/>
    </w:pPr>
    <w:rPr>
      <w:rFonts w:ascii="Times New Roman" w:eastAsia="Times New Roman" w:hAnsi="Times New Roman" w:cs="Times New Roman"/>
      <w:spacing w:val="-3"/>
      <w:sz w:val="20"/>
      <w:szCs w:val="20"/>
      <w:lang w:val="es-ES_tradnl"/>
    </w:rPr>
  </w:style>
  <w:style w:type="character" w:customStyle="1" w:styleId="FootnoteTextChar">
    <w:name w:val="Footnote Text Char"/>
    <w:aliases w:val="fn Char"/>
    <w:basedOn w:val="DefaultParagraphFont"/>
    <w:link w:val="FootnoteText"/>
    <w:uiPriority w:val="99"/>
    <w:rsid w:val="006D1E3B"/>
    <w:rPr>
      <w:rFonts w:ascii="Times New Roman" w:eastAsia="Times New Roman" w:hAnsi="Times New Roman" w:cs="Times New Roman"/>
      <w:spacing w:val="-3"/>
      <w:sz w:val="20"/>
      <w:szCs w:val="20"/>
      <w:lang w:val="es-ES_tradnl"/>
    </w:rPr>
  </w:style>
  <w:style w:type="character" w:styleId="FootnoteReference">
    <w:name w:val="footnote reference"/>
    <w:basedOn w:val="DefaultParagraphFont"/>
    <w:uiPriority w:val="99"/>
    <w:rsid w:val="006D1E3B"/>
    <w:rPr>
      <w:vertAlign w:val="superscript"/>
    </w:rPr>
  </w:style>
  <w:style w:type="paragraph" w:styleId="ListParagraph">
    <w:name w:val="List Paragraph"/>
    <w:basedOn w:val="Normal"/>
    <w:uiPriority w:val="34"/>
    <w:qFormat/>
    <w:rsid w:val="00564C7A"/>
    <w:pPr>
      <w:ind w:left="720"/>
      <w:contextualSpacing/>
    </w:pPr>
  </w:style>
  <w:style w:type="paragraph" w:styleId="BalloonText">
    <w:name w:val="Balloon Text"/>
    <w:basedOn w:val="Normal"/>
    <w:link w:val="BalloonTextChar"/>
    <w:uiPriority w:val="99"/>
    <w:semiHidden/>
    <w:unhideWhenUsed/>
    <w:rsid w:val="0006014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6014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fn"/>
    <w:basedOn w:val="Normal"/>
    <w:link w:val="FootnoteTextChar"/>
    <w:uiPriority w:val="99"/>
    <w:rsid w:val="006D1E3B"/>
    <w:pPr>
      <w:keepNext/>
      <w:keepLines/>
      <w:spacing w:after="120" w:line="240" w:lineRule="auto"/>
      <w:ind w:left="288" w:hanging="288"/>
      <w:jc w:val="both"/>
    </w:pPr>
    <w:rPr>
      <w:rFonts w:ascii="Times New Roman" w:eastAsia="Times New Roman" w:hAnsi="Times New Roman" w:cs="Times New Roman"/>
      <w:spacing w:val="-3"/>
      <w:sz w:val="20"/>
      <w:szCs w:val="20"/>
      <w:lang w:val="es-ES_tradnl"/>
    </w:rPr>
  </w:style>
  <w:style w:type="character" w:customStyle="1" w:styleId="FootnoteTextChar">
    <w:name w:val="Footnote Text Char"/>
    <w:aliases w:val="fn Char"/>
    <w:basedOn w:val="DefaultParagraphFont"/>
    <w:link w:val="FootnoteText"/>
    <w:uiPriority w:val="99"/>
    <w:rsid w:val="006D1E3B"/>
    <w:rPr>
      <w:rFonts w:ascii="Times New Roman" w:eastAsia="Times New Roman" w:hAnsi="Times New Roman" w:cs="Times New Roman"/>
      <w:spacing w:val="-3"/>
      <w:sz w:val="20"/>
      <w:szCs w:val="20"/>
      <w:lang w:val="es-ES_tradnl"/>
    </w:rPr>
  </w:style>
  <w:style w:type="character" w:styleId="FootnoteReference">
    <w:name w:val="footnote reference"/>
    <w:basedOn w:val="DefaultParagraphFont"/>
    <w:uiPriority w:val="99"/>
    <w:rsid w:val="006D1E3B"/>
    <w:rPr>
      <w:vertAlign w:val="superscript"/>
    </w:rPr>
  </w:style>
  <w:style w:type="paragraph" w:styleId="ListParagraph">
    <w:name w:val="List Paragraph"/>
    <w:basedOn w:val="Normal"/>
    <w:uiPriority w:val="34"/>
    <w:qFormat/>
    <w:rsid w:val="00564C7A"/>
    <w:pPr>
      <w:ind w:left="720"/>
      <w:contextualSpacing/>
    </w:pPr>
  </w:style>
  <w:style w:type="paragraph" w:styleId="BalloonText">
    <w:name w:val="Balloon Text"/>
    <w:basedOn w:val="Normal"/>
    <w:link w:val="BalloonTextChar"/>
    <w:uiPriority w:val="99"/>
    <w:semiHidden/>
    <w:unhideWhenUsed/>
    <w:rsid w:val="0006014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6014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13" Type="http://schemas.openxmlformats.org/officeDocument/2006/relationships/customXml" Target="../customXml/item6.xml"/><Relationship Id="rId3" Type="http://schemas.openxmlformats.org/officeDocument/2006/relationships/styles" Target="styles.xml"/><Relationship Id="rId7" Type="http://schemas.openxmlformats.org/officeDocument/2006/relationships/fontTable" Target="fontTable.xml"/><Relationship Id="rId12" Type="http://schemas.openxmlformats.org/officeDocument/2006/relationships/customXml" Target="../customXml/item5.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ustomXml" Target="../customXml/item4.xml"/><Relationship Id="rId5" Type="http://schemas.openxmlformats.org/officeDocument/2006/relationships/settings" Target="settings.xml"/><Relationship Id="rId10" Type="http://schemas.openxmlformats.org/officeDocument/2006/relationships/customXml" Target="../customXml/item3.xml"/><Relationship Id="rId4" Type="http://schemas.microsoft.com/office/2007/relationships/stylesWithEffects" Target="stylesWithEffects.xml"/><Relationship Id="rId9"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CFA566EB1CC3F5488A8565EF68759FB7" ma:contentTypeVersion="0" ma:contentTypeDescription="A content type to manage public (operations) IDB documents" ma:contentTypeScope="" ma:versionID="ea4676ea29e249aa549f91b1bb0a0620">
  <xsd:schema xmlns:xsd="http://www.w3.org/2001/XMLSchema" xmlns:xs="http://www.w3.org/2001/XMLSchema" xmlns:p="http://schemas.microsoft.com/office/2006/metadata/properties" xmlns:ns2="9c571b2f-e523-4ab2-ba2e-09e151a03ef4" targetNamespace="http://schemas.microsoft.com/office/2006/metadata/properties" ma:root="true" ma:fieldsID="5cef9acc7f5f2c21ae68466fda6a47c8"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c09f7d02-9c79-4040-8fb6-60e7837b3d3f}" ma:internalName="TaxCatchAll" ma:showField="CatchAllData" ma:web="e5f1387b-93c4-4727-9a71-194fef630f9e">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c09f7d02-9c79-4040-8fb6-60e7837b3d3f}" ma:internalName="TaxCatchAllLabel" ma:readOnly="true" ma:showField="CatchAllDataLabel" ma:web="e5f1387b-93c4-4727-9a71-194fef630f9e">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file>

<file path=customXml/item4.xml><?xml version="1.0" encoding="utf-8"?>
<?mso-contentType ?>
<SharedContentType xmlns="Microsoft.SharePoint.Taxonomy.ContentTypeSync" SourceId="cf0be0ad-272c-4e7f-a157-3f0abda6cde5" ContentTypeId="0x01010046CF21643EE8D14686A648AA6DAD0892" PreviousValue="false"/>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p:properties xmlns:p="http://schemas.microsoft.com/office/2006/metadata/properties" xmlns:xsi="http://www.w3.org/2001/XMLSchema-instance" xmlns:pc="http://schemas.microsoft.com/office/infopath/2007/PartnerControls">
  <documentManagement>
    <Project_x0020_Document_x0020_Type xmlns="9c571b2f-e523-4ab2-ba2e-09e151a03ef4" xsi:nil="true"/>
    <Abstract xmlns="9c571b2f-e523-4ab2-ba2e-09e151a03ef4" xsi:nil="true"/>
    <Disclosure_x0020_Activity xmlns="9c571b2f-e523-4ab2-ba2e-09e151a03ef4">Loan Proposal</Disclosure_x0020_Activity>
    <Key_x0020_Document xmlns="9c571b2f-e523-4ab2-ba2e-09e151a03ef4">false</Key_x0020_Document>
    <Division_x0020_or_x0020_Unit xmlns="9c571b2f-e523-4ab2-ba2e-09e151a03ef4">SCL/EDU</Division_x0020_or_x0020_Unit>
    <Other_x0020_Author xmlns="9c571b2f-e523-4ab2-ba2e-09e151a03ef4" xsi:nil="true"/>
    <Region xmlns="9c571b2f-e523-4ab2-ba2e-09e151a03ef4" xsi:nil="true"/>
    <IDBDocs_x0020_Number xmlns="9c571b2f-e523-4ab2-ba2e-09e151a03ef4">39901247</IDBDocs_x0020_Number>
    <Document_x0020_Author xmlns="9c571b2f-e523-4ab2-ba2e-09e151a03ef4">Jaimovich, Analia Veronica</Document_x0020_Author>
    <Publication_x0020_Type xmlns="9c571b2f-e523-4ab2-ba2e-09e151a03ef4" xsi:nil="true"/>
    <Operation_x0020_Type xmlns="9c571b2f-e523-4ab2-ba2e-09e151a03ef4" xsi:nil="true"/>
    <TaxCatchAll xmlns="9c571b2f-e523-4ab2-ba2e-09e151a03ef4">
      <Value>7</Value>
      <Value>6</Value>
    </TaxCatchAll>
    <Fiscal_x0020_Year_x0020_IDB xmlns="9c571b2f-e523-4ab2-ba2e-09e151a03ef4">2015</Fiscal_x0020_Year_x0020_IDB>
    <Issue_x0020_Date xmlns="9c571b2f-e523-4ab2-ba2e-09e151a03ef4" xsi:nil="true"/>
    <m555d3814edf4817b4410a4e57f94ce9 xmlns="9c571b2f-e523-4ab2-ba2e-09e151a03ef4">
      <Terms xmlns="http://schemas.microsoft.com/office/infopath/2007/PartnerControls"/>
    </m555d3814edf4817b4410a4e57f94ce9>
    <Project_x0020_Number xmlns="9c571b2f-e523-4ab2-ba2e-09e151a03ef4">CH-L1081</Project_x0020_Number>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o5138a91267540169645e33d09c9ddc6>
    <Package_x0020_Code xmlns="9c571b2f-e523-4ab2-ba2e-09e151a03ef4" xsi:nil="true"/>
    <Migration_x0020_Info xmlns="9c571b2f-e523-4ab2-ba2e-09e151a03ef4">&lt;Data&gt;&lt;APPLICATION&gt;MS WORD&lt;/APPLICATION&gt;&lt;USER_STAGE&gt;Loan Proposal&lt;/USER_STAGE&gt;&lt;PD_OBJ_TYPE&gt;0&lt;/PD_OBJ_TYPE&gt;&lt;MAKERECORD&gt;N&lt;/MAKERECORD&gt;&lt;/Data&gt;</Migration_x0020_Info>
    <Approval_x0020_Number xmlns="9c571b2f-e523-4ab2-ba2e-09e151a03ef4" xsi:nil="true"/>
    <Access_x0020_to_x0020_Information_x00a0_Policy xmlns="9c571b2f-e523-4ab2-ba2e-09e151a03ef4">Public</Access_x0020_to_x0020_Information_x00a0_Policy>
    <Business_x0020_Area xmlns="9c571b2f-e523-4ab2-ba2e-09e151a03ef4" xsi:nil="true"/>
    <SISCOR_x0020_Number xmlns="9c571b2f-e523-4ab2-ba2e-09e151a03ef4" xsi:nil="true"/>
    <Webtopic xmlns="9c571b2f-e523-4ab2-ba2e-09e151a03ef4">ED-EDU</Webtopic>
    <Identifier xmlns="9c571b2f-e523-4ab2-ba2e-09e151a03ef4"> </Identifier>
    <Publishing_x0020_House xmlns="9c571b2f-e523-4ab2-ba2e-09e151a03ef4" xsi:nil="true"/>
    <Document_x0020_Language_x0020_IDB xmlns="9c571b2f-e523-4ab2-ba2e-09e151a03ef4">Spanish</Document_x0020_Language_x0020_IDB>
    <KP_x0020_Topics xmlns="9c571b2f-e523-4ab2-ba2e-09e151a03ef4" xsi:nil="true"/>
    <Phase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fd0e48b6a66848a9885f717e5bbf40c4>
    <e559ffcc31d34167856647188be35015 xmlns="9c571b2f-e523-4ab2-ba2e-09e151a03ef4">
      <Terms xmlns="http://schemas.microsoft.com/office/infopath/2007/PartnerControls"/>
    </e559ffcc31d34167856647188be35015>
    <c456731dbc904a5fb605ec556c33e883 xmlns="9c571b2f-e523-4ab2-ba2e-09e151a03ef4">
      <Terms xmlns="http://schemas.microsoft.com/office/infopath/2007/PartnerControls"/>
    </c456731dbc904a5fb605ec556c33e883>
    <Editor1 xmlns="9c571b2f-e523-4ab2-ba2e-09e151a03ef4" xsi:nil="true"/>
    <j8b96605ee2f4c4e988849e658583fee xmlns="9c571b2f-e523-4ab2-ba2e-09e151a03ef4">
      <Terms xmlns="http://schemas.microsoft.com/office/infopath/2007/PartnerControls"/>
    </j8b96605ee2f4c4e988849e658583fee>
  </documentManagement>
</p:properties>
</file>

<file path=customXml/itemProps1.xml><?xml version="1.0" encoding="utf-8"?>
<ds:datastoreItem xmlns:ds="http://schemas.openxmlformats.org/officeDocument/2006/customXml" ds:itemID="{35F6B740-BFC9-4652-B051-2E02B03FD9BB}"/>
</file>

<file path=customXml/itemProps2.xml><?xml version="1.0" encoding="utf-8"?>
<ds:datastoreItem xmlns:ds="http://schemas.openxmlformats.org/officeDocument/2006/customXml" ds:itemID="{1D5155B9-C71F-4526-84ED-962CFE99AAF6}"/>
</file>

<file path=customXml/itemProps3.xml><?xml version="1.0" encoding="utf-8"?>
<ds:datastoreItem xmlns:ds="http://schemas.openxmlformats.org/officeDocument/2006/customXml" ds:itemID="{389449AB-2677-449F-BAE5-A3BBE5D8F4CB}"/>
</file>

<file path=customXml/itemProps4.xml><?xml version="1.0" encoding="utf-8"?>
<ds:datastoreItem xmlns:ds="http://schemas.openxmlformats.org/officeDocument/2006/customXml" ds:itemID="{37139A20-B818-472D-BFED-5EAB656A8C57}"/>
</file>

<file path=customXml/itemProps5.xml><?xml version="1.0" encoding="utf-8"?>
<ds:datastoreItem xmlns:ds="http://schemas.openxmlformats.org/officeDocument/2006/customXml" ds:itemID="{1D22CCAC-63D0-46AB-9D20-B9B5291B03A8}"/>
</file>

<file path=customXml/itemProps6.xml><?xml version="1.0" encoding="utf-8"?>
<ds:datastoreItem xmlns:ds="http://schemas.openxmlformats.org/officeDocument/2006/customXml" ds:itemID="{876D25A6-87A6-469A-BFA0-F5D4B23ACCF5}"/>
</file>

<file path=docProps/app.xml><?xml version="1.0" encoding="utf-8"?>
<Properties xmlns="http://schemas.openxmlformats.org/officeDocument/2006/extended-properties" xmlns:vt="http://schemas.openxmlformats.org/officeDocument/2006/docPropsVTypes">
  <Template>Normal.dotm</Template>
  <TotalTime>3</TotalTime>
  <Pages>4</Pages>
  <Words>1812</Words>
  <Characters>10330</Characters>
  <Application>Microsoft Office Word</Application>
  <DocSecurity>4</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12118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EEO5 Notas</dc:title>
  <dc:creator>IADB</dc:creator>
  <cp:lastModifiedBy>IADB</cp:lastModifiedBy>
  <cp:revision>2</cp:revision>
  <dcterms:created xsi:type="dcterms:W3CDTF">2015-11-23T16:31:00Z</dcterms:created>
  <dcterms:modified xsi:type="dcterms:W3CDTF">2015-11-23T16:31:00Z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ub_x002d_Sector">
    <vt:lpwstr/>
  </property>
  <property fmtid="{D5CDD505-2E9C-101B-9397-08002B2CF9AE}" pid="4" name="ContentTypeId">
    <vt:lpwstr>0x01010046CF21643EE8D14686A648AA6DAD089200CFA566EB1CC3F5488A8565EF68759FB7</vt:lpwstr>
  </property>
  <property fmtid="{D5CDD505-2E9C-101B-9397-08002B2CF9AE}" pid="5" name="TaxKeywordTaxHTField">
    <vt:lpwstr/>
  </property>
  <property fmtid="{D5CDD505-2E9C-101B-9397-08002B2CF9AE}" pid="6" name="Series Operations IDB">
    <vt:lpwstr>6;#Unclassified|a6dff32e-d477-44cd-a56b-85efe9e0a56c</vt:lpwstr>
  </property>
  <property fmtid="{D5CDD505-2E9C-101B-9397-08002B2CF9AE}" pid="7" name="Sub-Sector">
    <vt:lpwstr/>
  </property>
  <property fmtid="{D5CDD505-2E9C-101B-9397-08002B2CF9AE}" pid="8" name="Country">
    <vt:lpwstr/>
  </property>
  <property fmtid="{D5CDD505-2E9C-101B-9397-08002B2CF9AE}" pid="9" name="Fund IDB">
    <vt:lpwstr/>
  </property>
  <property fmtid="{D5CDD505-2E9C-101B-9397-08002B2CF9AE}" pid="10" name="Series_x0020_Operations_x0020_IDB">
    <vt:lpwstr>6;#Unclassified|a6dff32e-d477-44cd-a56b-85efe9e0a56c</vt:lpwstr>
  </property>
  <property fmtid="{D5CDD505-2E9C-101B-9397-08002B2CF9AE}" pid="11" name="To:">
    <vt:lpwstr/>
  </property>
  <property fmtid="{D5CDD505-2E9C-101B-9397-08002B2CF9AE}" pid="12" name="From:">
    <vt:lpwstr/>
  </property>
  <property fmtid="{D5CDD505-2E9C-101B-9397-08002B2CF9AE}" pid="13" name="Sector IDB">
    <vt:lpwstr/>
  </property>
  <property fmtid="{D5CDD505-2E9C-101B-9397-08002B2CF9AE}" pid="14" name="Function Operations IDB">
    <vt:lpwstr>7;#IDBDocs|cca77002-e150-4b2d-ab1f-1d7a7cdcae16</vt:lpwstr>
  </property>
</Properties>
</file>