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body>
    <w:p w:rsidR="00CC34CE" w:rsidP="00D64157" w:rsidRDefault="00CC34CE" w14:paraId="0D81E257" w14:textId="77777777">
      <w:pPr>
        <w:pStyle w:val="SubSubPar"/>
        <w:tabs>
          <w:tab w:val="clear" w:pos="1152"/>
        </w:tabs>
        <w:spacing w:after="0"/>
        <w:ind w:left="0" w:firstLine="0"/>
        <w:jc w:val="center"/>
        <w:rPr>
          <w:rFonts w:ascii="Arial" w:hAnsi="Arial" w:cs="Arial"/>
          <w:smallCaps/>
          <w:sz w:val="22"/>
          <w:szCs w:val="22"/>
          <w:lang w:val="es-ES"/>
        </w:rPr>
      </w:pPr>
      <w:bookmarkStart w:name="_Toc38020440" w:id="0"/>
    </w:p>
    <w:p w:rsidRPr="00F30598" w:rsidR="00D64157" w:rsidP="00D64157" w:rsidRDefault="00D64157" w14:paraId="58755241" w14:textId="70A1E2AC">
      <w:pPr>
        <w:pStyle w:val="SubSubPar"/>
        <w:tabs>
          <w:tab w:val="clear" w:pos="1152"/>
        </w:tabs>
        <w:spacing w:after="0"/>
        <w:ind w:left="0" w:firstLine="0"/>
        <w:jc w:val="center"/>
        <w:rPr>
          <w:rFonts w:ascii="Arial" w:hAnsi="Arial" w:cs="Arial"/>
          <w:smallCaps/>
          <w:sz w:val="22"/>
          <w:szCs w:val="22"/>
          <w:lang w:val="es-ES"/>
        </w:rPr>
      </w:pPr>
      <w:r w:rsidRPr="00F30598">
        <w:rPr>
          <w:rFonts w:ascii="Arial" w:hAnsi="Arial" w:cs="Arial"/>
          <w:smallCaps/>
          <w:sz w:val="22"/>
          <w:szCs w:val="22"/>
          <w:lang w:val="es-ES"/>
        </w:rPr>
        <w:t>Documento del Banco Interamericano de Desarrollo</w:t>
      </w:r>
    </w:p>
    <w:p w:rsidRPr="00F30598" w:rsidR="00D64157" w:rsidP="00D64157" w:rsidRDefault="00D64157" w14:paraId="27E1778F" w14:textId="77777777">
      <w:pPr>
        <w:tabs>
          <w:tab w:val="left" w:pos="1440"/>
          <w:tab w:val="left" w:pos="3060"/>
        </w:tabs>
        <w:jc w:val="center"/>
        <w:rPr>
          <w:rFonts w:ascii="Arial" w:hAnsi="Arial" w:cs="Arial"/>
          <w:smallCaps/>
          <w:lang w:val="es-ES"/>
        </w:rPr>
      </w:pPr>
    </w:p>
    <w:p w:rsidRPr="00F30598" w:rsidR="00D64157" w:rsidP="00D64157" w:rsidRDefault="00D64157" w14:paraId="0FB46AAA" w14:textId="77777777">
      <w:pPr>
        <w:tabs>
          <w:tab w:val="left" w:pos="1440"/>
          <w:tab w:val="left" w:pos="3060"/>
        </w:tabs>
        <w:jc w:val="center"/>
        <w:rPr>
          <w:rFonts w:ascii="Arial" w:hAnsi="Arial" w:cs="Arial"/>
          <w:smallCaps/>
          <w:lang w:val="es-ES"/>
        </w:rPr>
      </w:pPr>
    </w:p>
    <w:p w:rsidRPr="00F30598" w:rsidR="00D64157" w:rsidP="00D64157" w:rsidRDefault="00D64157" w14:paraId="176CBAB3" w14:textId="77777777">
      <w:pPr>
        <w:tabs>
          <w:tab w:val="left" w:pos="1440"/>
          <w:tab w:val="left" w:pos="3060"/>
        </w:tabs>
        <w:jc w:val="center"/>
        <w:rPr>
          <w:rFonts w:ascii="Arial" w:hAnsi="Arial" w:cs="Arial"/>
          <w:b/>
          <w:smallCaps/>
          <w:sz w:val="28"/>
          <w:szCs w:val="28"/>
          <w:lang w:val="es-ES"/>
        </w:rPr>
      </w:pPr>
      <w:r w:rsidRPr="00F30598">
        <w:rPr>
          <w:rFonts w:ascii="Arial" w:hAnsi="Arial" w:cs="Arial"/>
          <w:b/>
          <w:smallCaps/>
          <w:sz w:val="28"/>
          <w:szCs w:val="28"/>
          <w:lang w:val="es-ES"/>
        </w:rPr>
        <w:t>BOLIVIA</w:t>
      </w:r>
    </w:p>
    <w:p w:rsidRPr="00F30598" w:rsidR="00D64157" w:rsidP="00D64157" w:rsidRDefault="00D64157" w14:paraId="41432EAF" w14:textId="77777777">
      <w:pPr>
        <w:tabs>
          <w:tab w:val="left" w:pos="1440"/>
          <w:tab w:val="left" w:pos="3060"/>
        </w:tabs>
        <w:jc w:val="center"/>
        <w:rPr>
          <w:rFonts w:ascii="Arial" w:hAnsi="Arial" w:cs="Arial"/>
          <w:smallCaps/>
          <w:lang w:val="es-ES"/>
        </w:rPr>
      </w:pPr>
    </w:p>
    <w:p w:rsidR="00D64157" w:rsidP="00D64157" w:rsidRDefault="00D64157" w14:paraId="4962B841" w14:textId="0A1115AA">
      <w:pPr>
        <w:tabs>
          <w:tab w:val="left" w:pos="1440"/>
          <w:tab w:val="left" w:pos="3060"/>
        </w:tabs>
        <w:jc w:val="center"/>
        <w:rPr>
          <w:rFonts w:ascii="Arial" w:hAnsi="Arial" w:cs="Arial"/>
          <w:smallCaps/>
          <w:lang w:val="es-ES"/>
        </w:rPr>
      </w:pPr>
    </w:p>
    <w:p w:rsidR="003C4982" w:rsidP="00D64157" w:rsidRDefault="003C4982" w14:paraId="4C78DF51" w14:textId="541C07FB">
      <w:pPr>
        <w:tabs>
          <w:tab w:val="left" w:pos="1440"/>
          <w:tab w:val="left" w:pos="3060"/>
        </w:tabs>
        <w:jc w:val="center"/>
        <w:rPr>
          <w:rFonts w:ascii="Arial" w:hAnsi="Arial" w:cs="Arial"/>
          <w:smallCaps/>
          <w:lang w:val="es-ES"/>
        </w:rPr>
      </w:pPr>
    </w:p>
    <w:p w:rsidR="003C4982" w:rsidP="00D64157" w:rsidRDefault="003C4982" w14:paraId="526B150E" w14:textId="71139100">
      <w:pPr>
        <w:tabs>
          <w:tab w:val="left" w:pos="1440"/>
          <w:tab w:val="left" w:pos="3060"/>
        </w:tabs>
        <w:jc w:val="center"/>
        <w:rPr>
          <w:rFonts w:ascii="Arial" w:hAnsi="Arial" w:cs="Arial"/>
          <w:smallCaps/>
          <w:lang w:val="es-ES"/>
        </w:rPr>
      </w:pPr>
    </w:p>
    <w:p w:rsidR="003C4982" w:rsidP="00D64157" w:rsidRDefault="003C4982" w14:paraId="16AEA1D1" w14:textId="4482894C">
      <w:pPr>
        <w:tabs>
          <w:tab w:val="left" w:pos="1440"/>
          <w:tab w:val="left" w:pos="3060"/>
        </w:tabs>
        <w:jc w:val="center"/>
        <w:rPr>
          <w:rFonts w:ascii="Arial" w:hAnsi="Arial" w:cs="Arial"/>
          <w:smallCaps/>
          <w:lang w:val="es-ES"/>
        </w:rPr>
      </w:pPr>
    </w:p>
    <w:p w:rsidRPr="00F30598" w:rsidR="003C4982" w:rsidP="00D64157" w:rsidRDefault="003C4982" w14:paraId="5ED9EF31" w14:textId="77777777">
      <w:pPr>
        <w:tabs>
          <w:tab w:val="left" w:pos="1440"/>
          <w:tab w:val="left" w:pos="3060"/>
        </w:tabs>
        <w:jc w:val="center"/>
        <w:rPr>
          <w:rFonts w:ascii="Arial" w:hAnsi="Arial" w:cs="Arial"/>
          <w:smallCaps/>
          <w:lang w:val="es-ES"/>
        </w:rPr>
      </w:pPr>
    </w:p>
    <w:p w:rsidRPr="003C4982" w:rsidR="00D64157" w:rsidP="00D64157" w:rsidRDefault="00D64157" w14:paraId="16313A24" w14:textId="5A79B491">
      <w:pPr>
        <w:pStyle w:val="Newpage"/>
        <w:rPr>
          <w:rFonts w:ascii="Arial" w:hAnsi="Arial"/>
          <w:b w:val="0"/>
          <w:caps/>
          <w:sz w:val="22"/>
          <w:szCs w:val="22"/>
          <w:lang w:val="es-ES_tradnl"/>
        </w:rPr>
      </w:pPr>
      <w:r w:rsidRPr="00F30598">
        <w:rPr>
          <w:rFonts w:ascii="Arial" w:hAnsi="Arial"/>
          <w:sz w:val="28"/>
          <w:szCs w:val="28"/>
          <w:lang w:val="es-ES_tradnl"/>
        </w:rPr>
        <w:t>A</w:t>
      </w:r>
      <w:r w:rsidR="003C4982">
        <w:rPr>
          <w:rFonts w:ascii="Arial" w:hAnsi="Arial"/>
          <w:sz w:val="28"/>
          <w:szCs w:val="28"/>
          <w:lang w:val="es-ES_tradnl"/>
        </w:rPr>
        <w:t>poyo a Poblaciones Vulnerables Afectadas por Coronavirus</w:t>
      </w:r>
    </w:p>
    <w:p w:rsidRPr="003C4982" w:rsidR="00D64157" w:rsidP="00D64157" w:rsidRDefault="00D64157" w14:paraId="79903C3C" w14:textId="77777777">
      <w:pPr>
        <w:pStyle w:val="Newpage"/>
        <w:rPr>
          <w:rFonts w:ascii="Arial" w:hAnsi="Arial"/>
          <w:b w:val="0"/>
          <w:caps/>
          <w:sz w:val="22"/>
          <w:szCs w:val="22"/>
          <w:lang w:val="es-ES_tradnl"/>
        </w:rPr>
      </w:pPr>
    </w:p>
    <w:p w:rsidRPr="00AC6429" w:rsidR="00D64157" w:rsidP="00D64157" w:rsidRDefault="00D64157" w14:paraId="2D63BCBD" w14:textId="77777777">
      <w:pPr>
        <w:tabs>
          <w:tab w:val="left" w:pos="1440"/>
          <w:tab w:val="left" w:pos="3060"/>
        </w:tabs>
        <w:jc w:val="center"/>
        <w:rPr>
          <w:rFonts w:ascii="Arial" w:hAnsi="Arial" w:cs="Arial"/>
          <w:b/>
          <w:smallCaps/>
          <w:lang w:val="es-ES_tradnl"/>
        </w:rPr>
      </w:pPr>
      <w:r w:rsidRPr="00AC6429">
        <w:rPr>
          <w:rFonts w:ascii="Arial" w:hAnsi="Arial" w:cs="Arial"/>
          <w:b/>
          <w:smallCaps/>
          <w:lang w:val="es-ES_tradnl"/>
        </w:rPr>
        <w:t>(BO-L1216)</w:t>
      </w:r>
    </w:p>
    <w:p w:rsidRPr="00AC6429" w:rsidR="00D64157" w:rsidP="00D64157" w:rsidRDefault="00D64157" w14:paraId="664C6AB6" w14:textId="73E52FDA">
      <w:pPr>
        <w:tabs>
          <w:tab w:val="left" w:pos="1440"/>
          <w:tab w:val="left" w:pos="3060"/>
        </w:tabs>
        <w:jc w:val="center"/>
        <w:rPr>
          <w:rFonts w:ascii="Arial" w:hAnsi="Arial" w:cs="Arial"/>
          <w:smallCaps/>
          <w:lang w:val="es-ES_tradnl"/>
        </w:rPr>
      </w:pPr>
    </w:p>
    <w:p w:rsidRPr="00AC6429" w:rsidR="003C4982" w:rsidP="00D64157" w:rsidRDefault="003C4982" w14:paraId="3A69B256" w14:textId="03EB55B4">
      <w:pPr>
        <w:tabs>
          <w:tab w:val="left" w:pos="1440"/>
          <w:tab w:val="left" w:pos="3060"/>
        </w:tabs>
        <w:jc w:val="center"/>
        <w:rPr>
          <w:rFonts w:ascii="Arial" w:hAnsi="Arial" w:cs="Arial"/>
          <w:smallCaps/>
          <w:lang w:val="es-ES_tradnl"/>
        </w:rPr>
      </w:pPr>
    </w:p>
    <w:p w:rsidRPr="00AC6429" w:rsidR="003C4982" w:rsidP="00D64157" w:rsidRDefault="003C4982" w14:paraId="7643804D" w14:textId="169E06BB">
      <w:pPr>
        <w:tabs>
          <w:tab w:val="left" w:pos="1440"/>
          <w:tab w:val="left" w:pos="3060"/>
        </w:tabs>
        <w:jc w:val="center"/>
        <w:rPr>
          <w:rFonts w:ascii="Arial" w:hAnsi="Arial" w:cs="Arial"/>
          <w:smallCaps/>
          <w:lang w:val="es-ES_tradnl"/>
        </w:rPr>
      </w:pPr>
    </w:p>
    <w:p w:rsidRPr="00AC6429" w:rsidR="003C4982" w:rsidP="00D64157" w:rsidRDefault="003C4982" w14:paraId="4774F80B" w14:textId="6D5C9C1B">
      <w:pPr>
        <w:tabs>
          <w:tab w:val="left" w:pos="1440"/>
          <w:tab w:val="left" w:pos="3060"/>
        </w:tabs>
        <w:jc w:val="center"/>
        <w:rPr>
          <w:rFonts w:ascii="Arial" w:hAnsi="Arial" w:cs="Arial"/>
          <w:smallCaps/>
          <w:lang w:val="es-ES_tradnl"/>
        </w:rPr>
      </w:pPr>
    </w:p>
    <w:p w:rsidRPr="00AC6429" w:rsidR="003C4982" w:rsidP="00D64157" w:rsidRDefault="003C4982" w14:paraId="14DD970C" w14:textId="77777777">
      <w:pPr>
        <w:tabs>
          <w:tab w:val="left" w:pos="1440"/>
          <w:tab w:val="left" w:pos="3060"/>
        </w:tabs>
        <w:jc w:val="center"/>
        <w:rPr>
          <w:rFonts w:ascii="Arial" w:hAnsi="Arial" w:cs="Arial"/>
          <w:smallCaps/>
          <w:lang w:val="es-ES_tradnl"/>
        </w:rPr>
      </w:pPr>
    </w:p>
    <w:p w:rsidRPr="00F30598" w:rsidR="00D64157" w:rsidP="00D64157" w:rsidRDefault="00D64157" w14:paraId="1CA6AFF8" w14:textId="77777777">
      <w:pPr>
        <w:tabs>
          <w:tab w:val="left" w:pos="1440"/>
          <w:tab w:val="left" w:pos="3060"/>
        </w:tabs>
        <w:jc w:val="center"/>
        <w:outlineLvl w:val="0"/>
        <w:rPr>
          <w:rFonts w:ascii="Arial" w:hAnsi="Arial" w:cs="Arial"/>
          <w:b/>
          <w:szCs w:val="24"/>
          <w:lang w:val="es-ES_tradnl"/>
        </w:rPr>
      </w:pPr>
      <w:proofErr w:type="spellStart"/>
      <w:r w:rsidRPr="00F30598">
        <w:rPr>
          <w:rFonts w:ascii="Arial" w:hAnsi="Arial" w:cs="Arial"/>
          <w:b/>
          <w:smallCaps/>
          <w:szCs w:val="24"/>
          <w:lang w:val="es-ES"/>
        </w:rPr>
        <w:t>An</w:t>
      </w:r>
      <w:r w:rsidRPr="00F30598">
        <w:rPr>
          <w:rFonts w:ascii="Arial" w:hAnsi="Arial" w:cs="Arial"/>
          <w:b/>
          <w:smallCaps/>
          <w:szCs w:val="24"/>
          <w:lang w:val="es-ES_tradnl"/>
        </w:rPr>
        <w:t>álisis</w:t>
      </w:r>
      <w:proofErr w:type="spellEnd"/>
      <w:r w:rsidRPr="00F30598">
        <w:rPr>
          <w:rFonts w:ascii="Arial" w:hAnsi="Arial" w:cs="Arial"/>
          <w:b/>
          <w:smallCaps/>
          <w:szCs w:val="24"/>
          <w:lang w:val="es-ES_tradnl"/>
        </w:rPr>
        <w:t xml:space="preserve"> Económico</w:t>
      </w:r>
    </w:p>
    <w:p w:rsidRPr="00F30598" w:rsidR="00D64157" w:rsidP="00D64157" w:rsidRDefault="00D64157" w14:paraId="41B98D7E" w14:textId="77777777">
      <w:pPr>
        <w:tabs>
          <w:tab w:val="left" w:pos="1440"/>
          <w:tab w:val="left" w:pos="3060"/>
        </w:tabs>
        <w:jc w:val="center"/>
        <w:rPr>
          <w:rFonts w:ascii="Arial" w:hAnsi="Arial" w:cs="Arial"/>
          <w:lang w:val="es-ES"/>
        </w:rPr>
      </w:pPr>
    </w:p>
    <w:p w:rsidRPr="00F30598" w:rsidR="00D64157" w:rsidP="00D64157" w:rsidRDefault="00D64157" w14:paraId="0675F0CC" w14:textId="77777777">
      <w:pPr>
        <w:tabs>
          <w:tab w:val="left" w:pos="1440"/>
          <w:tab w:val="left" w:pos="3060"/>
        </w:tabs>
        <w:jc w:val="center"/>
        <w:rPr>
          <w:rFonts w:ascii="Arial" w:hAnsi="Arial" w:cs="Arial"/>
          <w:lang w:val="es-ES"/>
        </w:rPr>
      </w:pPr>
    </w:p>
    <w:p w:rsidRPr="00F30598" w:rsidR="00D64157" w:rsidP="00D64157" w:rsidRDefault="00D64157" w14:paraId="75A3634D" w14:textId="77777777">
      <w:pPr>
        <w:tabs>
          <w:tab w:val="left" w:pos="1440"/>
          <w:tab w:val="left" w:pos="3060"/>
        </w:tabs>
        <w:spacing w:after="0" w:line="288" w:lineRule="auto"/>
        <w:outlineLvl w:val="0"/>
        <w:rPr>
          <w:rFonts w:ascii="Arial" w:hAnsi="Arial" w:cs="Arial"/>
          <w:b/>
          <w:smallCaps/>
          <w:lang w:val="es-ES_tradnl"/>
        </w:rPr>
      </w:pPr>
    </w:p>
    <w:p w:rsidRPr="00F30598" w:rsidR="00D64157" w:rsidP="00D64157" w:rsidRDefault="00D64157" w14:paraId="572493D9" w14:textId="77777777">
      <w:pPr>
        <w:tabs>
          <w:tab w:val="left" w:pos="1440"/>
          <w:tab w:val="left" w:pos="3060"/>
        </w:tabs>
        <w:jc w:val="center"/>
        <w:rPr>
          <w:rFonts w:ascii="Arial" w:hAnsi="Arial" w:cs="Arial"/>
          <w:lang w:val="es-ES_tradnl"/>
        </w:rPr>
      </w:pPr>
    </w:p>
    <w:p w:rsidRPr="00F30598" w:rsidR="00D64157" w:rsidP="00D64157" w:rsidRDefault="00D64157" w14:paraId="3148C0BA" w14:textId="77777777">
      <w:pPr>
        <w:tabs>
          <w:tab w:val="left" w:pos="1440"/>
          <w:tab w:val="left" w:pos="3060"/>
        </w:tabs>
        <w:jc w:val="center"/>
        <w:rPr>
          <w:rFonts w:ascii="Arial" w:hAnsi="Arial" w:cs="Arial"/>
          <w:lang w:val="es-ES_tradnl"/>
        </w:rPr>
      </w:pPr>
    </w:p>
    <w:p w:rsidRPr="00F30598" w:rsidR="00D64157" w:rsidP="00D64157" w:rsidRDefault="00D64157" w14:paraId="4F1671B1" w14:textId="77777777">
      <w:pPr>
        <w:tabs>
          <w:tab w:val="left" w:pos="1440"/>
          <w:tab w:val="left" w:pos="3060"/>
        </w:tabs>
        <w:jc w:val="center"/>
        <w:rPr>
          <w:rFonts w:ascii="Arial" w:hAnsi="Arial" w:cs="Arial"/>
          <w:lang w:val="es-ES_tradnl"/>
        </w:rPr>
      </w:pPr>
    </w:p>
    <w:p w:rsidRPr="00F30598" w:rsidR="00D64157" w:rsidP="00D64157" w:rsidRDefault="00D64157" w14:paraId="2B147023" w14:textId="77777777">
      <w:pPr>
        <w:tabs>
          <w:tab w:val="left" w:pos="1440"/>
          <w:tab w:val="left" w:pos="3060"/>
        </w:tabs>
        <w:jc w:val="center"/>
        <w:rPr>
          <w:rFonts w:ascii="Arial" w:hAnsi="Arial" w:cs="Arial"/>
          <w:lang w:val="es-ES_tradnl"/>
        </w:rPr>
      </w:pPr>
    </w:p>
    <w:p w:rsidRPr="00F30598" w:rsidR="00D64157" w:rsidP="00D64157" w:rsidRDefault="00D64157" w14:paraId="4A1ECA94" w14:textId="77777777">
      <w:pPr>
        <w:tabs>
          <w:tab w:val="left" w:pos="1440"/>
          <w:tab w:val="left" w:pos="3060"/>
        </w:tabs>
        <w:jc w:val="center"/>
        <w:rPr>
          <w:rFonts w:ascii="Arial" w:hAnsi="Arial" w:cs="Arial"/>
          <w:lang w:val="es-ES_tradnl"/>
        </w:rPr>
      </w:pPr>
    </w:p>
    <w:p w:rsidRPr="00F30598" w:rsidR="00D64157" w:rsidP="00D64157" w:rsidRDefault="00D64157" w14:paraId="1A4E5DC5" w14:textId="77777777">
      <w:pPr>
        <w:tabs>
          <w:tab w:val="left" w:pos="1440"/>
          <w:tab w:val="left" w:pos="3060"/>
        </w:tabs>
        <w:jc w:val="center"/>
        <w:rPr>
          <w:rFonts w:ascii="Arial" w:hAnsi="Arial" w:cs="Arial"/>
          <w:lang w:val="es-ES_tradnl"/>
        </w:rPr>
      </w:pPr>
    </w:p>
    <w:p w:rsidRPr="00F30598" w:rsidR="00D64157" w:rsidP="00D64157" w:rsidRDefault="00D64157" w14:paraId="4B70056A" w14:textId="29816BF3">
      <w:pPr>
        <w:pStyle w:val="BodyText"/>
        <w:pBdr>
          <w:top w:val="single" w:color="auto" w:sz="4" w:space="1"/>
          <w:left w:val="single" w:color="auto" w:sz="4" w:space="4"/>
          <w:bottom w:val="single" w:color="auto" w:sz="4" w:space="1"/>
          <w:right w:val="single" w:color="auto" w:sz="4" w:space="4"/>
        </w:pBdr>
        <w:tabs>
          <w:tab w:val="left" w:pos="1440"/>
        </w:tabs>
        <w:jc w:val="both"/>
        <w:rPr>
          <w:rFonts w:ascii="Arial" w:hAnsi="Arial" w:cs="Arial"/>
          <w:sz w:val="20"/>
          <w:lang w:val="es-ES"/>
        </w:rPr>
      </w:pPr>
      <w:r w:rsidRPr="00F30598">
        <w:rPr>
          <w:rFonts w:ascii="Arial" w:hAnsi="Arial" w:cs="Arial"/>
          <w:sz w:val="20"/>
          <w:lang w:val="es-ES"/>
        </w:rPr>
        <w:t xml:space="preserve">Este documento fue preparado por </w:t>
      </w:r>
      <w:r w:rsidRPr="00F30598" w:rsidR="00534B1C">
        <w:rPr>
          <w:rFonts w:ascii="Arial" w:hAnsi="Arial" w:cs="Arial"/>
          <w:sz w:val="20"/>
          <w:lang w:val="es-ES"/>
        </w:rPr>
        <w:t>Gabriel Filc</w:t>
      </w:r>
      <w:r w:rsidRPr="00F30598" w:rsidR="00D45FE8">
        <w:rPr>
          <w:rFonts w:ascii="Arial" w:hAnsi="Arial" w:cs="Arial"/>
          <w:sz w:val="20"/>
          <w:lang w:val="es-ES"/>
        </w:rPr>
        <w:t xml:space="preserve"> y</w:t>
      </w:r>
      <w:r w:rsidRPr="00F30598" w:rsidR="00534B1C">
        <w:rPr>
          <w:rFonts w:ascii="Arial" w:hAnsi="Arial" w:cs="Arial"/>
          <w:sz w:val="20"/>
          <w:lang w:val="es-ES"/>
        </w:rPr>
        <w:t xml:space="preserve"> </w:t>
      </w:r>
      <w:r w:rsidRPr="00F30598">
        <w:rPr>
          <w:rFonts w:ascii="Arial" w:hAnsi="Arial" w:cs="Arial"/>
          <w:sz w:val="20"/>
          <w:lang w:val="es-ES"/>
        </w:rPr>
        <w:t xml:space="preserve">Pablo Ibarrarán.  </w:t>
      </w:r>
    </w:p>
    <w:p w:rsidRPr="00F30598" w:rsidR="00D64157" w:rsidP="00D64157" w:rsidRDefault="00D64157" w14:paraId="238C8BDA" w14:textId="77777777">
      <w:pPr>
        <w:tabs>
          <w:tab w:val="left" w:pos="1440"/>
          <w:tab w:val="left" w:pos="3060"/>
        </w:tabs>
        <w:outlineLvl w:val="0"/>
        <w:rPr>
          <w:rFonts w:ascii="Arial" w:hAnsi="Arial" w:cs="Arial"/>
          <w:sz w:val="20"/>
          <w:lang w:val="es-ES"/>
        </w:rPr>
      </w:pPr>
      <w:r w:rsidRPr="00F30598">
        <w:rPr>
          <w:rFonts w:ascii="Arial" w:hAnsi="Arial" w:cs="Arial"/>
          <w:sz w:val="20"/>
          <w:lang w:val="es-ES"/>
        </w:rPr>
        <w:t xml:space="preserve">; </w:t>
      </w:r>
    </w:p>
    <w:p w:rsidRPr="00F30598" w:rsidR="00D64157" w:rsidP="00D64157" w:rsidRDefault="00D64157" w14:paraId="61DDE397" w14:textId="77777777">
      <w:pPr>
        <w:tabs>
          <w:tab w:val="left" w:pos="1440"/>
          <w:tab w:val="left" w:pos="3060"/>
        </w:tabs>
        <w:outlineLvl w:val="0"/>
        <w:rPr>
          <w:rFonts w:ascii="Arial" w:hAnsi="Arial" w:cs="Arial"/>
          <w:sz w:val="20"/>
          <w:lang w:val="es-ES"/>
        </w:rPr>
      </w:pPr>
    </w:p>
    <w:sdt>
      <w:sdtPr>
        <w:rPr>
          <w:rFonts w:ascii="Arial Bold" w:hAnsi="Arial Bold" w:cs="Arial" w:eastAsiaTheme="minorHAnsi"/>
          <w:b/>
          <w:bCs/>
          <w:smallCaps/>
          <w:color w:val="auto"/>
          <w:sz w:val="24"/>
          <w:szCs w:val="24"/>
        </w:rPr>
        <w:id w:val="2109699726"/>
        <w:docPartObj>
          <w:docPartGallery w:val="Table of Contents"/>
          <w:docPartUnique/>
        </w:docPartObj>
      </w:sdtPr>
      <w:sdtEndPr>
        <w:rPr>
          <w:rFonts w:ascii="Arial" w:hAnsi="Arial"/>
          <w:smallCaps w:val="0"/>
          <w:noProof/>
          <w:sz w:val="22"/>
          <w:szCs w:val="22"/>
        </w:rPr>
      </w:sdtEndPr>
      <w:sdtContent>
        <w:p w:rsidRPr="003C4982" w:rsidR="002B06CF" w:rsidP="003C4982" w:rsidRDefault="002B06CF" w14:paraId="2EABE6AE" w14:textId="4AC625A1">
          <w:pPr>
            <w:pStyle w:val="TOCHeading"/>
            <w:spacing w:after="240"/>
            <w:jc w:val="center"/>
            <w:rPr>
              <w:rFonts w:ascii="Arial Bold" w:hAnsi="Arial Bold" w:cs="Arial"/>
              <w:b/>
              <w:bCs/>
              <w:smallCaps/>
              <w:sz w:val="24"/>
              <w:szCs w:val="24"/>
            </w:rPr>
          </w:pPr>
          <w:proofErr w:type="spellStart"/>
          <w:r w:rsidRPr="003C4982">
            <w:rPr>
              <w:rFonts w:ascii="Arial Bold" w:hAnsi="Arial Bold" w:cs="Arial"/>
              <w:b/>
              <w:bCs/>
              <w:smallCaps/>
              <w:sz w:val="24"/>
              <w:szCs w:val="24"/>
            </w:rPr>
            <w:t>Conten</w:t>
          </w:r>
          <w:r w:rsidRPr="003C4982" w:rsidR="00D0671B">
            <w:rPr>
              <w:rFonts w:ascii="Arial Bold" w:hAnsi="Arial Bold" w:cs="Arial"/>
              <w:b/>
              <w:bCs/>
              <w:smallCaps/>
              <w:sz w:val="24"/>
              <w:szCs w:val="24"/>
            </w:rPr>
            <w:t>ido</w:t>
          </w:r>
          <w:proofErr w:type="spellEnd"/>
        </w:p>
        <w:p w:rsidRPr="00F30598" w:rsidR="002B06CF" w:rsidRDefault="002B06CF" w14:paraId="33D6E367" w14:textId="4A0334F2">
          <w:pPr>
            <w:pStyle w:val="TOC1"/>
            <w:tabs>
              <w:tab w:val="right" w:leader="dot" w:pos="8828"/>
            </w:tabs>
            <w:rPr>
              <w:rFonts w:ascii="Arial" w:hAnsi="Arial" w:cs="Arial" w:eastAsiaTheme="minorEastAsia"/>
              <w:noProof/>
            </w:rPr>
          </w:pPr>
          <w:r w:rsidRPr="00F30598">
            <w:rPr>
              <w:rFonts w:ascii="Arial" w:hAnsi="Arial" w:cs="Arial"/>
            </w:rPr>
            <w:fldChar w:fldCharType="begin"/>
          </w:r>
          <w:r w:rsidRPr="00F30598">
            <w:rPr>
              <w:rFonts w:ascii="Arial" w:hAnsi="Arial" w:cs="Arial"/>
            </w:rPr>
            <w:instrText xml:space="preserve"> TOC \o "1-3" \h \z \u </w:instrText>
          </w:r>
          <w:r w:rsidRPr="00F30598">
            <w:rPr>
              <w:rFonts w:ascii="Arial" w:hAnsi="Arial" w:cs="Arial"/>
            </w:rPr>
            <w:fldChar w:fldCharType="separate"/>
          </w:r>
          <w:hyperlink w:history="1" w:anchor="_Toc38020651">
            <w:r w:rsidRPr="00F30598">
              <w:rPr>
                <w:rStyle w:val="Hyperlink"/>
                <w:rFonts w:ascii="Arial" w:hAnsi="Arial" w:cs="Arial"/>
                <w:noProof/>
              </w:rPr>
              <w:t>INTRODUCCION</w:t>
            </w:r>
            <w:r w:rsidRPr="00F30598">
              <w:rPr>
                <w:rFonts w:ascii="Arial" w:hAnsi="Arial" w:cs="Arial"/>
                <w:noProof/>
                <w:webHidden/>
              </w:rPr>
              <w:tab/>
            </w:r>
            <w:r w:rsidRPr="00F30598">
              <w:rPr>
                <w:rFonts w:ascii="Arial" w:hAnsi="Arial" w:cs="Arial"/>
                <w:noProof/>
                <w:webHidden/>
              </w:rPr>
              <w:fldChar w:fldCharType="begin"/>
            </w:r>
            <w:r w:rsidRPr="00F30598">
              <w:rPr>
                <w:rFonts w:ascii="Arial" w:hAnsi="Arial" w:cs="Arial"/>
                <w:noProof/>
                <w:webHidden/>
              </w:rPr>
              <w:instrText xml:space="preserve"> PAGEREF _Toc38020651 \h </w:instrText>
            </w:r>
            <w:r w:rsidRPr="00F30598">
              <w:rPr>
                <w:rFonts w:ascii="Arial" w:hAnsi="Arial" w:cs="Arial"/>
                <w:noProof/>
                <w:webHidden/>
              </w:rPr>
            </w:r>
            <w:r w:rsidRPr="00F30598">
              <w:rPr>
                <w:rFonts w:ascii="Arial" w:hAnsi="Arial" w:cs="Arial"/>
                <w:noProof/>
                <w:webHidden/>
              </w:rPr>
              <w:fldChar w:fldCharType="separate"/>
            </w:r>
            <w:r w:rsidR="00584928">
              <w:rPr>
                <w:rFonts w:ascii="Arial" w:hAnsi="Arial" w:cs="Arial"/>
                <w:noProof/>
                <w:webHidden/>
              </w:rPr>
              <w:t>3</w:t>
            </w:r>
            <w:r w:rsidRPr="00F30598">
              <w:rPr>
                <w:rFonts w:ascii="Arial" w:hAnsi="Arial" w:cs="Arial"/>
                <w:noProof/>
                <w:webHidden/>
              </w:rPr>
              <w:fldChar w:fldCharType="end"/>
            </w:r>
          </w:hyperlink>
        </w:p>
        <w:p w:rsidRPr="00F30598" w:rsidR="002B06CF" w:rsidRDefault="00BD4265" w14:paraId="55DEA92E" w14:textId="177F2242">
          <w:pPr>
            <w:pStyle w:val="TOC1"/>
            <w:tabs>
              <w:tab w:val="right" w:leader="dot" w:pos="8828"/>
            </w:tabs>
            <w:rPr>
              <w:rFonts w:ascii="Arial" w:hAnsi="Arial" w:cs="Arial" w:eastAsiaTheme="minorEastAsia"/>
              <w:noProof/>
            </w:rPr>
          </w:pPr>
          <w:hyperlink w:history="1" w:anchor="_Toc38020652">
            <w:r w:rsidRPr="00F30598" w:rsidR="002B06CF">
              <w:rPr>
                <w:rStyle w:val="Hyperlink"/>
                <w:rFonts w:ascii="Arial" w:hAnsi="Arial" w:cs="Arial"/>
                <w:noProof/>
              </w:rPr>
              <w:t>BREVE DESCRIPCIÓN DEL PROYECTO</w:t>
            </w:r>
            <w:r w:rsidRPr="00F30598" w:rsidR="002B06CF">
              <w:rPr>
                <w:rFonts w:ascii="Arial" w:hAnsi="Arial" w:cs="Arial"/>
                <w:noProof/>
                <w:webHidden/>
              </w:rPr>
              <w:tab/>
            </w:r>
            <w:r w:rsidRPr="00F30598" w:rsidR="002B06CF">
              <w:rPr>
                <w:rFonts w:ascii="Arial" w:hAnsi="Arial" w:cs="Arial"/>
                <w:noProof/>
                <w:webHidden/>
              </w:rPr>
              <w:fldChar w:fldCharType="begin"/>
            </w:r>
            <w:r w:rsidRPr="00F30598" w:rsidR="002B06CF">
              <w:rPr>
                <w:rFonts w:ascii="Arial" w:hAnsi="Arial" w:cs="Arial"/>
                <w:noProof/>
                <w:webHidden/>
              </w:rPr>
              <w:instrText xml:space="preserve"> PAGEREF _Toc38020652 \h </w:instrText>
            </w:r>
            <w:r w:rsidRPr="00F30598" w:rsidR="002B06CF">
              <w:rPr>
                <w:rFonts w:ascii="Arial" w:hAnsi="Arial" w:cs="Arial"/>
                <w:noProof/>
                <w:webHidden/>
              </w:rPr>
            </w:r>
            <w:r w:rsidRPr="00F30598" w:rsidR="002B06CF">
              <w:rPr>
                <w:rFonts w:ascii="Arial" w:hAnsi="Arial" w:cs="Arial"/>
                <w:noProof/>
                <w:webHidden/>
              </w:rPr>
              <w:fldChar w:fldCharType="separate"/>
            </w:r>
            <w:r w:rsidR="00584928">
              <w:rPr>
                <w:rFonts w:ascii="Arial" w:hAnsi="Arial" w:cs="Arial"/>
                <w:noProof/>
                <w:webHidden/>
              </w:rPr>
              <w:t>3</w:t>
            </w:r>
            <w:r w:rsidRPr="00F30598" w:rsidR="002B06CF">
              <w:rPr>
                <w:rFonts w:ascii="Arial" w:hAnsi="Arial" w:cs="Arial"/>
                <w:noProof/>
                <w:webHidden/>
              </w:rPr>
              <w:fldChar w:fldCharType="end"/>
            </w:r>
          </w:hyperlink>
        </w:p>
        <w:p w:rsidRPr="00F30598" w:rsidR="002B06CF" w:rsidRDefault="00BD4265" w14:paraId="5A0D1D7B" w14:textId="6D9A3F20">
          <w:pPr>
            <w:pStyle w:val="TOC1"/>
            <w:tabs>
              <w:tab w:val="right" w:leader="dot" w:pos="8828"/>
            </w:tabs>
            <w:rPr>
              <w:rStyle w:val="Hyperlink"/>
              <w:rFonts w:ascii="Arial" w:hAnsi="Arial" w:cs="Arial"/>
              <w:noProof/>
            </w:rPr>
          </w:pPr>
          <w:hyperlink w:history="1" w:anchor="_Toc38020653">
            <w:r w:rsidRPr="00F30598" w:rsidR="002B06CF">
              <w:rPr>
                <w:rStyle w:val="Hyperlink"/>
                <w:rFonts w:ascii="Arial" w:hAnsi="Arial" w:cs="Arial"/>
                <w:noProof/>
              </w:rPr>
              <w:t>ANÁLISIS ECONÓMICO DEL PROYECTO ESPECÍFICO</w:t>
            </w:r>
            <w:r w:rsidRPr="00F30598" w:rsidR="002B06CF">
              <w:rPr>
                <w:rFonts w:ascii="Arial" w:hAnsi="Arial" w:cs="Arial"/>
                <w:noProof/>
                <w:webHidden/>
              </w:rPr>
              <w:tab/>
            </w:r>
            <w:r w:rsidRPr="00F30598" w:rsidR="002B06CF">
              <w:rPr>
                <w:rFonts w:ascii="Arial" w:hAnsi="Arial" w:cs="Arial"/>
                <w:noProof/>
                <w:webHidden/>
              </w:rPr>
              <w:fldChar w:fldCharType="begin"/>
            </w:r>
            <w:r w:rsidRPr="00F30598" w:rsidR="002B06CF">
              <w:rPr>
                <w:rFonts w:ascii="Arial" w:hAnsi="Arial" w:cs="Arial"/>
                <w:noProof/>
                <w:webHidden/>
              </w:rPr>
              <w:instrText xml:space="preserve"> PAGEREF _Toc38020653 \h </w:instrText>
            </w:r>
            <w:r w:rsidRPr="00F30598" w:rsidR="002B06CF">
              <w:rPr>
                <w:rFonts w:ascii="Arial" w:hAnsi="Arial" w:cs="Arial"/>
                <w:noProof/>
                <w:webHidden/>
              </w:rPr>
            </w:r>
            <w:r w:rsidRPr="00F30598" w:rsidR="002B06CF">
              <w:rPr>
                <w:rFonts w:ascii="Arial" w:hAnsi="Arial" w:cs="Arial"/>
                <w:noProof/>
                <w:webHidden/>
              </w:rPr>
              <w:fldChar w:fldCharType="separate"/>
            </w:r>
            <w:r w:rsidR="00584928">
              <w:rPr>
                <w:rFonts w:ascii="Arial" w:hAnsi="Arial" w:cs="Arial"/>
                <w:noProof/>
                <w:webHidden/>
              </w:rPr>
              <w:t>4</w:t>
            </w:r>
            <w:r w:rsidRPr="00F30598" w:rsidR="002B06CF">
              <w:rPr>
                <w:rFonts w:ascii="Arial" w:hAnsi="Arial" w:cs="Arial"/>
                <w:noProof/>
                <w:webHidden/>
              </w:rPr>
              <w:fldChar w:fldCharType="end"/>
            </w:r>
          </w:hyperlink>
        </w:p>
        <w:p w:rsidRPr="00F30598" w:rsidR="002B06CF" w:rsidRDefault="00BD4265" w14:paraId="4430D45F" w14:textId="41171951">
          <w:pPr>
            <w:pStyle w:val="TOC1"/>
            <w:tabs>
              <w:tab w:val="right" w:leader="dot" w:pos="8828"/>
            </w:tabs>
            <w:rPr>
              <w:rFonts w:ascii="Arial" w:hAnsi="Arial" w:cs="Arial" w:eastAsiaTheme="minorEastAsia"/>
              <w:noProof/>
            </w:rPr>
          </w:pPr>
          <w:hyperlink w:history="1" w:anchor="_Toc38020654">
            <w:r w:rsidRPr="00F30598" w:rsidR="002B06CF">
              <w:rPr>
                <w:rStyle w:val="Hyperlink"/>
                <w:rFonts w:ascii="Arial" w:hAnsi="Arial" w:cs="Arial"/>
                <w:noProof/>
              </w:rPr>
              <w:t>INTRODUCCIÓN AL ANÁLISIS ECONÓMICO DEL PROTOTIPO</w:t>
            </w:r>
            <w:r w:rsidRPr="00F30598" w:rsidR="002B06CF">
              <w:rPr>
                <w:rFonts w:ascii="Arial" w:hAnsi="Arial" w:cs="Arial"/>
                <w:noProof/>
                <w:webHidden/>
              </w:rPr>
              <w:tab/>
            </w:r>
            <w:r w:rsidRPr="00F30598" w:rsidR="002B06CF">
              <w:rPr>
                <w:rFonts w:ascii="Arial" w:hAnsi="Arial" w:cs="Arial"/>
                <w:noProof/>
                <w:webHidden/>
              </w:rPr>
              <w:fldChar w:fldCharType="begin"/>
            </w:r>
            <w:r w:rsidRPr="00F30598" w:rsidR="002B06CF">
              <w:rPr>
                <w:rFonts w:ascii="Arial" w:hAnsi="Arial" w:cs="Arial"/>
                <w:noProof/>
                <w:webHidden/>
              </w:rPr>
              <w:instrText xml:space="preserve"> PAGEREF _Toc38020654 \h </w:instrText>
            </w:r>
            <w:r w:rsidRPr="00F30598" w:rsidR="002B06CF">
              <w:rPr>
                <w:rFonts w:ascii="Arial" w:hAnsi="Arial" w:cs="Arial"/>
                <w:noProof/>
                <w:webHidden/>
              </w:rPr>
            </w:r>
            <w:r w:rsidRPr="00F30598" w:rsidR="002B06CF">
              <w:rPr>
                <w:rFonts w:ascii="Arial" w:hAnsi="Arial" w:cs="Arial"/>
                <w:noProof/>
                <w:webHidden/>
              </w:rPr>
              <w:fldChar w:fldCharType="separate"/>
            </w:r>
            <w:r w:rsidR="00584928">
              <w:rPr>
                <w:rFonts w:ascii="Arial" w:hAnsi="Arial" w:cs="Arial"/>
                <w:noProof/>
                <w:webHidden/>
              </w:rPr>
              <w:t>6</w:t>
            </w:r>
            <w:r w:rsidRPr="00F30598" w:rsidR="002B06CF">
              <w:rPr>
                <w:rFonts w:ascii="Arial" w:hAnsi="Arial" w:cs="Arial"/>
                <w:noProof/>
                <w:webHidden/>
              </w:rPr>
              <w:fldChar w:fldCharType="end"/>
            </w:r>
          </w:hyperlink>
        </w:p>
        <w:p w:rsidRPr="00F30598" w:rsidR="002B06CF" w:rsidRDefault="00BD4265" w14:paraId="20500E70" w14:textId="1F70B827">
          <w:pPr>
            <w:pStyle w:val="TOC1"/>
            <w:tabs>
              <w:tab w:val="right" w:leader="dot" w:pos="8828"/>
            </w:tabs>
            <w:rPr>
              <w:rFonts w:ascii="Arial" w:hAnsi="Arial" w:cs="Arial" w:eastAsiaTheme="minorEastAsia"/>
              <w:noProof/>
            </w:rPr>
          </w:pPr>
          <w:hyperlink w:history="1" w:anchor="_Toc38020655">
            <w:r w:rsidRPr="00F30598" w:rsidR="002B06CF">
              <w:rPr>
                <w:rStyle w:val="Hyperlink"/>
                <w:rFonts w:ascii="Arial" w:hAnsi="Arial" w:cs="Arial"/>
                <w:noProof/>
              </w:rPr>
              <w:t>EFECTO SOBRE EL CONSUMO</w:t>
            </w:r>
            <w:r w:rsidRPr="00F30598" w:rsidR="002B06CF">
              <w:rPr>
                <w:rFonts w:ascii="Arial" w:hAnsi="Arial" w:cs="Arial"/>
                <w:noProof/>
                <w:webHidden/>
              </w:rPr>
              <w:tab/>
            </w:r>
            <w:r w:rsidRPr="00F30598" w:rsidR="002B06CF">
              <w:rPr>
                <w:rFonts w:ascii="Arial" w:hAnsi="Arial" w:cs="Arial"/>
                <w:noProof/>
                <w:webHidden/>
              </w:rPr>
              <w:fldChar w:fldCharType="begin"/>
            </w:r>
            <w:r w:rsidRPr="00F30598" w:rsidR="002B06CF">
              <w:rPr>
                <w:rFonts w:ascii="Arial" w:hAnsi="Arial" w:cs="Arial"/>
                <w:noProof/>
                <w:webHidden/>
              </w:rPr>
              <w:instrText xml:space="preserve"> PAGEREF _Toc38020655 \h </w:instrText>
            </w:r>
            <w:r w:rsidRPr="00F30598" w:rsidR="002B06CF">
              <w:rPr>
                <w:rFonts w:ascii="Arial" w:hAnsi="Arial" w:cs="Arial"/>
                <w:noProof/>
                <w:webHidden/>
              </w:rPr>
            </w:r>
            <w:r w:rsidRPr="00F30598" w:rsidR="002B06CF">
              <w:rPr>
                <w:rFonts w:ascii="Arial" w:hAnsi="Arial" w:cs="Arial"/>
                <w:noProof/>
                <w:webHidden/>
              </w:rPr>
              <w:fldChar w:fldCharType="separate"/>
            </w:r>
            <w:r w:rsidR="00584928">
              <w:rPr>
                <w:rFonts w:ascii="Arial" w:hAnsi="Arial" w:cs="Arial"/>
                <w:noProof/>
                <w:webHidden/>
              </w:rPr>
              <w:t>9</w:t>
            </w:r>
            <w:r w:rsidRPr="00F30598" w:rsidR="002B06CF">
              <w:rPr>
                <w:rFonts w:ascii="Arial" w:hAnsi="Arial" w:cs="Arial"/>
                <w:noProof/>
                <w:webHidden/>
              </w:rPr>
              <w:fldChar w:fldCharType="end"/>
            </w:r>
          </w:hyperlink>
        </w:p>
        <w:p w:rsidRPr="00F30598" w:rsidR="002B06CF" w:rsidRDefault="00BD4265" w14:paraId="3A46B4EE" w14:textId="275D33F1">
          <w:pPr>
            <w:pStyle w:val="TOC1"/>
            <w:tabs>
              <w:tab w:val="right" w:leader="dot" w:pos="8828"/>
            </w:tabs>
            <w:rPr>
              <w:rFonts w:ascii="Arial" w:hAnsi="Arial" w:cs="Arial" w:eastAsiaTheme="minorEastAsia"/>
              <w:noProof/>
            </w:rPr>
          </w:pPr>
          <w:hyperlink w:history="1" w:anchor="_Toc38020656">
            <w:r w:rsidRPr="00F30598" w:rsidR="002B06CF">
              <w:rPr>
                <w:rStyle w:val="Hyperlink"/>
                <w:rFonts w:ascii="Arial" w:hAnsi="Arial" w:cs="Arial"/>
                <w:b/>
                <w:noProof/>
              </w:rPr>
              <w:t>Multiplicador de las transferencias monetarias</w:t>
            </w:r>
            <w:r w:rsidRPr="00F30598" w:rsidR="002B06CF">
              <w:rPr>
                <w:rFonts w:ascii="Arial" w:hAnsi="Arial" w:cs="Arial"/>
                <w:noProof/>
                <w:webHidden/>
              </w:rPr>
              <w:tab/>
            </w:r>
            <w:r w:rsidRPr="00F30598" w:rsidR="002B06CF">
              <w:rPr>
                <w:rFonts w:ascii="Arial" w:hAnsi="Arial" w:cs="Arial"/>
                <w:noProof/>
                <w:webHidden/>
              </w:rPr>
              <w:fldChar w:fldCharType="begin"/>
            </w:r>
            <w:r w:rsidRPr="00F30598" w:rsidR="002B06CF">
              <w:rPr>
                <w:rFonts w:ascii="Arial" w:hAnsi="Arial" w:cs="Arial"/>
                <w:noProof/>
                <w:webHidden/>
              </w:rPr>
              <w:instrText xml:space="preserve"> PAGEREF _Toc38020656 \h </w:instrText>
            </w:r>
            <w:r w:rsidRPr="00F30598" w:rsidR="002B06CF">
              <w:rPr>
                <w:rFonts w:ascii="Arial" w:hAnsi="Arial" w:cs="Arial"/>
                <w:noProof/>
                <w:webHidden/>
              </w:rPr>
            </w:r>
            <w:r w:rsidRPr="00F30598" w:rsidR="002B06CF">
              <w:rPr>
                <w:rFonts w:ascii="Arial" w:hAnsi="Arial" w:cs="Arial"/>
                <w:noProof/>
                <w:webHidden/>
              </w:rPr>
              <w:fldChar w:fldCharType="separate"/>
            </w:r>
            <w:r w:rsidR="00584928">
              <w:rPr>
                <w:rFonts w:ascii="Arial" w:hAnsi="Arial" w:cs="Arial"/>
                <w:noProof/>
                <w:webHidden/>
              </w:rPr>
              <w:t>9</w:t>
            </w:r>
            <w:r w:rsidRPr="00F30598" w:rsidR="002B06CF">
              <w:rPr>
                <w:rFonts w:ascii="Arial" w:hAnsi="Arial" w:cs="Arial"/>
                <w:noProof/>
                <w:webHidden/>
              </w:rPr>
              <w:fldChar w:fldCharType="end"/>
            </w:r>
          </w:hyperlink>
        </w:p>
        <w:p w:rsidRPr="00F30598" w:rsidR="002B06CF" w:rsidRDefault="00BD4265" w14:paraId="4597EAEC" w14:textId="27585FD4">
          <w:pPr>
            <w:pStyle w:val="TOC2"/>
            <w:tabs>
              <w:tab w:val="right" w:leader="dot" w:pos="8828"/>
            </w:tabs>
            <w:rPr>
              <w:rFonts w:ascii="Arial" w:hAnsi="Arial" w:cs="Arial" w:eastAsiaTheme="minorEastAsia"/>
              <w:noProof/>
            </w:rPr>
          </w:pPr>
          <w:hyperlink w:history="1" w:anchor="_Toc38020657">
            <w:r w:rsidRPr="00F30598" w:rsidR="002B06CF">
              <w:rPr>
                <w:rStyle w:val="Hyperlink"/>
                <w:rFonts w:ascii="Arial" w:hAnsi="Arial" w:cs="Arial"/>
                <w:b/>
                <w:noProof/>
              </w:rPr>
              <w:t>RESULTADOS</w:t>
            </w:r>
            <w:r w:rsidRPr="00F30598" w:rsidR="002B06CF">
              <w:rPr>
                <w:rFonts w:ascii="Arial" w:hAnsi="Arial" w:cs="Arial"/>
                <w:noProof/>
                <w:webHidden/>
              </w:rPr>
              <w:tab/>
            </w:r>
            <w:r w:rsidRPr="00F30598" w:rsidR="002B06CF">
              <w:rPr>
                <w:rFonts w:ascii="Arial" w:hAnsi="Arial" w:cs="Arial"/>
                <w:noProof/>
                <w:webHidden/>
              </w:rPr>
              <w:fldChar w:fldCharType="begin"/>
            </w:r>
            <w:r w:rsidRPr="00F30598" w:rsidR="002B06CF">
              <w:rPr>
                <w:rFonts w:ascii="Arial" w:hAnsi="Arial" w:cs="Arial"/>
                <w:noProof/>
                <w:webHidden/>
              </w:rPr>
              <w:instrText xml:space="preserve"> PAGEREF _Toc38020657 \h </w:instrText>
            </w:r>
            <w:r w:rsidRPr="00F30598" w:rsidR="002B06CF">
              <w:rPr>
                <w:rFonts w:ascii="Arial" w:hAnsi="Arial" w:cs="Arial"/>
                <w:noProof/>
                <w:webHidden/>
              </w:rPr>
            </w:r>
            <w:r w:rsidRPr="00F30598" w:rsidR="002B06CF">
              <w:rPr>
                <w:rFonts w:ascii="Arial" w:hAnsi="Arial" w:cs="Arial"/>
                <w:noProof/>
                <w:webHidden/>
              </w:rPr>
              <w:fldChar w:fldCharType="separate"/>
            </w:r>
            <w:r w:rsidR="00584928">
              <w:rPr>
                <w:rFonts w:ascii="Arial" w:hAnsi="Arial" w:cs="Arial"/>
                <w:noProof/>
                <w:webHidden/>
              </w:rPr>
              <w:t>17</w:t>
            </w:r>
            <w:r w:rsidRPr="00F30598" w:rsidR="002B06CF">
              <w:rPr>
                <w:rFonts w:ascii="Arial" w:hAnsi="Arial" w:cs="Arial"/>
                <w:noProof/>
                <w:webHidden/>
              </w:rPr>
              <w:fldChar w:fldCharType="end"/>
            </w:r>
          </w:hyperlink>
        </w:p>
        <w:p w:rsidRPr="00F30598" w:rsidR="002B06CF" w:rsidRDefault="00BD4265" w14:paraId="701C3F1E" w14:textId="2D7773D0">
          <w:pPr>
            <w:pStyle w:val="TOC1"/>
            <w:tabs>
              <w:tab w:val="right" w:leader="dot" w:pos="8828"/>
            </w:tabs>
            <w:rPr>
              <w:rFonts w:ascii="Arial" w:hAnsi="Arial" w:cs="Arial" w:eastAsiaTheme="minorEastAsia"/>
              <w:noProof/>
            </w:rPr>
          </w:pPr>
          <w:hyperlink w:history="1" w:anchor="_Toc38020658">
            <w:r w:rsidRPr="00F30598" w:rsidR="002B06CF">
              <w:rPr>
                <w:rStyle w:val="Hyperlink"/>
                <w:rFonts w:ascii="Arial" w:hAnsi="Arial" w:cs="Arial"/>
                <w:noProof/>
              </w:rPr>
              <w:t>COMPONENTE 1</w:t>
            </w:r>
            <w:r w:rsidRPr="00F30598" w:rsidR="002B06CF">
              <w:rPr>
                <w:rFonts w:ascii="Arial" w:hAnsi="Arial" w:cs="Arial"/>
                <w:noProof/>
                <w:webHidden/>
              </w:rPr>
              <w:tab/>
            </w:r>
            <w:r w:rsidRPr="00F30598" w:rsidR="002B06CF">
              <w:rPr>
                <w:rFonts w:ascii="Arial" w:hAnsi="Arial" w:cs="Arial"/>
                <w:noProof/>
                <w:webHidden/>
              </w:rPr>
              <w:fldChar w:fldCharType="begin"/>
            </w:r>
            <w:r w:rsidRPr="00F30598" w:rsidR="002B06CF">
              <w:rPr>
                <w:rFonts w:ascii="Arial" w:hAnsi="Arial" w:cs="Arial"/>
                <w:noProof/>
                <w:webHidden/>
              </w:rPr>
              <w:instrText xml:space="preserve"> PAGEREF _Toc38020658 \h </w:instrText>
            </w:r>
            <w:r w:rsidRPr="00F30598" w:rsidR="002B06CF">
              <w:rPr>
                <w:rFonts w:ascii="Arial" w:hAnsi="Arial" w:cs="Arial"/>
                <w:noProof/>
                <w:webHidden/>
              </w:rPr>
            </w:r>
            <w:r w:rsidRPr="00F30598" w:rsidR="002B06CF">
              <w:rPr>
                <w:rFonts w:ascii="Arial" w:hAnsi="Arial" w:cs="Arial"/>
                <w:noProof/>
                <w:webHidden/>
              </w:rPr>
              <w:fldChar w:fldCharType="separate"/>
            </w:r>
            <w:r w:rsidR="00584928">
              <w:rPr>
                <w:rFonts w:ascii="Arial" w:hAnsi="Arial" w:cs="Arial"/>
                <w:noProof/>
                <w:webHidden/>
              </w:rPr>
              <w:t>20</w:t>
            </w:r>
            <w:r w:rsidRPr="00F30598" w:rsidR="002B06CF">
              <w:rPr>
                <w:rFonts w:ascii="Arial" w:hAnsi="Arial" w:cs="Arial"/>
                <w:noProof/>
                <w:webHidden/>
              </w:rPr>
              <w:fldChar w:fldCharType="end"/>
            </w:r>
          </w:hyperlink>
        </w:p>
        <w:p w:rsidRPr="00F30598" w:rsidR="002B06CF" w:rsidRDefault="00BD4265" w14:paraId="06AE4482" w14:textId="5E2B7EB0">
          <w:pPr>
            <w:pStyle w:val="TOC2"/>
            <w:tabs>
              <w:tab w:val="right" w:leader="dot" w:pos="8828"/>
            </w:tabs>
            <w:rPr>
              <w:rFonts w:ascii="Arial" w:hAnsi="Arial" w:cs="Arial" w:eastAsiaTheme="minorEastAsia"/>
              <w:noProof/>
            </w:rPr>
          </w:pPr>
          <w:hyperlink w:history="1" w:anchor="_Toc38020659">
            <w:r w:rsidRPr="00F30598" w:rsidR="002B06CF">
              <w:rPr>
                <w:rStyle w:val="Hyperlink"/>
                <w:rFonts w:ascii="Arial" w:hAnsi="Arial" w:cs="Arial"/>
                <w:b/>
                <w:noProof/>
              </w:rPr>
              <w:t>RESULTADOS</w:t>
            </w:r>
            <w:r w:rsidRPr="00F30598" w:rsidR="002B06CF">
              <w:rPr>
                <w:rFonts w:ascii="Arial" w:hAnsi="Arial" w:cs="Arial"/>
                <w:noProof/>
                <w:webHidden/>
              </w:rPr>
              <w:tab/>
            </w:r>
            <w:r w:rsidRPr="00F30598" w:rsidR="002B06CF">
              <w:rPr>
                <w:rFonts w:ascii="Arial" w:hAnsi="Arial" w:cs="Arial"/>
                <w:noProof/>
                <w:webHidden/>
              </w:rPr>
              <w:fldChar w:fldCharType="begin"/>
            </w:r>
            <w:r w:rsidRPr="00F30598" w:rsidR="002B06CF">
              <w:rPr>
                <w:rFonts w:ascii="Arial" w:hAnsi="Arial" w:cs="Arial"/>
                <w:noProof/>
                <w:webHidden/>
              </w:rPr>
              <w:instrText xml:space="preserve"> PAGEREF _Toc38020659 \h </w:instrText>
            </w:r>
            <w:r w:rsidRPr="00F30598" w:rsidR="002B06CF">
              <w:rPr>
                <w:rFonts w:ascii="Arial" w:hAnsi="Arial" w:cs="Arial"/>
                <w:noProof/>
                <w:webHidden/>
              </w:rPr>
            </w:r>
            <w:r w:rsidRPr="00F30598" w:rsidR="002B06CF">
              <w:rPr>
                <w:rFonts w:ascii="Arial" w:hAnsi="Arial" w:cs="Arial"/>
                <w:noProof/>
                <w:webHidden/>
              </w:rPr>
              <w:fldChar w:fldCharType="separate"/>
            </w:r>
            <w:r w:rsidR="00584928">
              <w:rPr>
                <w:rFonts w:ascii="Arial" w:hAnsi="Arial" w:cs="Arial"/>
                <w:noProof/>
                <w:webHidden/>
              </w:rPr>
              <w:t>23</w:t>
            </w:r>
            <w:r w:rsidRPr="00F30598" w:rsidR="002B06CF">
              <w:rPr>
                <w:rFonts w:ascii="Arial" w:hAnsi="Arial" w:cs="Arial"/>
                <w:noProof/>
                <w:webHidden/>
              </w:rPr>
              <w:fldChar w:fldCharType="end"/>
            </w:r>
          </w:hyperlink>
        </w:p>
        <w:p w:rsidRPr="00F30598" w:rsidR="002B06CF" w:rsidRDefault="00BD4265" w14:paraId="6686E433" w14:textId="79B597D9">
          <w:pPr>
            <w:pStyle w:val="TOC2"/>
            <w:tabs>
              <w:tab w:val="right" w:leader="dot" w:pos="8828"/>
            </w:tabs>
            <w:rPr>
              <w:rFonts w:ascii="Arial" w:hAnsi="Arial" w:cs="Arial" w:eastAsiaTheme="minorEastAsia"/>
              <w:noProof/>
            </w:rPr>
          </w:pPr>
          <w:hyperlink w:history="1" w:anchor="_Toc38020660">
            <w:r w:rsidRPr="00F30598" w:rsidR="002B06CF">
              <w:rPr>
                <w:rStyle w:val="Hyperlink"/>
                <w:rFonts w:ascii="Arial" w:hAnsi="Arial" w:cs="Arial"/>
                <w:b/>
                <w:noProof/>
              </w:rPr>
              <w:t>Análisis de sensibilidad</w:t>
            </w:r>
            <w:r w:rsidRPr="00F30598" w:rsidR="002B06CF">
              <w:rPr>
                <w:rFonts w:ascii="Arial" w:hAnsi="Arial" w:cs="Arial"/>
                <w:noProof/>
                <w:webHidden/>
              </w:rPr>
              <w:tab/>
            </w:r>
            <w:r w:rsidRPr="00F30598" w:rsidR="002B06CF">
              <w:rPr>
                <w:rFonts w:ascii="Arial" w:hAnsi="Arial" w:cs="Arial"/>
                <w:noProof/>
                <w:webHidden/>
              </w:rPr>
              <w:fldChar w:fldCharType="begin"/>
            </w:r>
            <w:r w:rsidRPr="00F30598" w:rsidR="002B06CF">
              <w:rPr>
                <w:rFonts w:ascii="Arial" w:hAnsi="Arial" w:cs="Arial"/>
                <w:noProof/>
                <w:webHidden/>
              </w:rPr>
              <w:instrText xml:space="preserve"> PAGEREF _Toc38020660 \h </w:instrText>
            </w:r>
            <w:r w:rsidRPr="00F30598" w:rsidR="002B06CF">
              <w:rPr>
                <w:rFonts w:ascii="Arial" w:hAnsi="Arial" w:cs="Arial"/>
                <w:noProof/>
                <w:webHidden/>
              </w:rPr>
            </w:r>
            <w:r w:rsidRPr="00F30598" w:rsidR="002B06CF">
              <w:rPr>
                <w:rFonts w:ascii="Arial" w:hAnsi="Arial" w:cs="Arial"/>
                <w:noProof/>
                <w:webHidden/>
              </w:rPr>
              <w:fldChar w:fldCharType="separate"/>
            </w:r>
            <w:r w:rsidR="00584928">
              <w:rPr>
                <w:rFonts w:ascii="Arial" w:hAnsi="Arial" w:cs="Arial"/>
                <w:noProof/>
                <w:webHidden/>
              </w:rPr>
              <w:t>24</w:t>
            </w:r>
            <w:r w:rsidRPr="00F30598" w:rsidR="002B06CF">
              <w:rPr>
                <w:rFonts w:ascii="Arial" w:hAnsi="Arial" w:cs="Arial"/>
                <w:noProof/>
                <w:webHidden/>
              </w:rPr>
              <w:fldChar w:fldCharType="end"/>
            </w:r>
          </w:hyperlink>
        </w:p>
        <w:p w:rsidRPr="00F30598" w:rsidR="002B06CF" w:rsidRDefault="00BD4265" w14:paraId="5FED6279" w14:textId="7C406337">
          <w:pPr>
            <w:pStyle w:val="TOC1"/>
            <w:tabs>
              <w:tab w:val="right" w:leader="dot" w:pos="8828"/>
            </w:tabs>
            <w:rPr>
              <w:rFonts w:ascii="Arial" w:hAnsi="Arial" w:cs="Arial" w:eastAsiaTheme="minorEastAsia"/>
              <w:noProof/>
            </w:rPr>
          </w:pPr>
          <w:hyperlink w:history="1" w:anchor="_Toc38020661">
            <w:r w:rsidRPr="00F30598" w:rsidR="002B06CF">
              <w:rPr>
                <w:rStyle w:val="Hyperlink"/>
                <w:rFonts w:ascii="Arial" w:hAnsi="Arial" w:cs="Arial"/>
                <w:noProof/>
              </w:rPr>
              <w:t>COMPONENTE 3</w:t>
            </w:r>
            <w:r w:rsidRPr="00F30598" w:rsidR="002B06CF">
              <w:rPr>
                <w:rFonts w:ascii="Arial" w:hAnsi="Arial" w:cs="Arial"/>
                <w:noProof/>
                <w:webHidden/>
              </w:rPr>
              <w:tab/>
            </w:r>
            <w:r w:rsidRPr="00F30598" w:rsidR="002B06CF">
              <w:rPr>
                <w:rFonts w:ascii="Arial" w:hAnsi="Arial" w:cs="Arial"/>
                <w:noProof/>
                <w:webHidden/>
              </w:rPr>
              <w:fldChar w:fldCharType="begin"/>
            </w:r>
            <w:r w:rsidRPr="00F30598" w:rsidR="002B06CF">
              <w:rPr>
                <w:rFonts w:ascii="Arial" w:hAnsi="Arial" w:cs="Arial"/>
                <w:noProof/>
                <w:webHidden/>
              </w:rPr>
              <w:instrText xml:space="preserve"> PAGEREF _Toc38020661 \h </w:instrText>
            </w:r>
            <w:r w:rsidRPr="00F30598" w:rsidR="002B06CF">
              <w:rPr>
                <w:rFonts w:ascii="Arial" w:hAnsi="Arial" w:cs="Arial"/>
                <w:noProof/>
                <w:webHidden/>
              </w:rPr>
            </w:r>
            <w:r w:rsidRPr="00F30598" w:rsidR="002B06CF">
              <w:rPr>
                <w:rFonts w:ascii="Arial" w:hAnsi="Arial" w:cs="Arial"/>
                <w:noProof/>
                <w:webHidden/>
              </w:rPr>
              <w:fldChar w:fldCharType="separate"/>
            </w:r>
            <w:r w:rsidR="00584928">
              <w:rPr>
                <w:rFonts w:ascii="Arial" w:hAnsi="Arial" w:cs="Arial"/>
                <w:noProof/>
                <w:webHidden/>
              </w:rPr>
              <w:t>26</w:t>
            </w:r>
            <w:r w:rsidRPr="00F30598" w:rsidR="002B06CF">
              <w:rPr>
                <w:rFonts w:ascii="Arial" w:hAnsi="Arial" w:cs="Arial"/>
                <w:noProof/>
                <w:webHidden/>
              </w:rPr>
              <w:fldChar w:fldCharType="end"/>
            </w:r>
          </w:hyperlink>
        </w:p>
        <w:p w:rsidRPr="00F30598" w:rsidR="002B06CF" w:rsidRDefault="00BD4265" w14:paraId="30E7B604" w14:textId="4A2E69CA">
          <w:pPr>
            <w:pStyle w:val="TOC2"/>
            <w:tabs>
              <w:tab w:val="right" w:leader="dot" w:pos="8828"/>
            </w:tabs>
            <w:rPr>
              <w:rFonts w:ascii="Arial" w:hAnsi="Arial" w:cs="Arial" w:eastAsiaTheme="minorEastAsia"/>
              <w:noProof/>
            </w:rPr>
          </w:pPr>
          <w:hyperlink w:history="1" w:anchor="_Toc38020662">
            <w:r w:rsidRPr="00F30598" w:rsidR="002B06CF">
              <w:rPr>
                <w:rStyle w:val="Hyperlink"/>
                <w:rFonts w:ascii="Arial" w:hAnsi="Arial" w:cs="Arial"/>
                <w:noProof/>
              </w:rPr>
              <w:t>RESULTADOS</w:t>
            </w:r>
            <w:r w:rsidRPr="00F30598" w:rsidR="002B06CF">
              <w:rPr>
                <w:rFonts w:ascii="Arial" w:hAnsi="Arial" w:cs="Arial"/>
                <w:noProof/>
                <w:webHidden/>
              </w:rPr>
              <w:tab/>
            </w:r>
            <w:r w:rsidRPr="00F30598" w:rsidR="002B06CF">
              <w:rPr>
                <w:rFonts w:ascii="Arial" w:hAnsi="Arial" w:cs="Arial"/>
                <w:noProof/>
                <w:webHidden/>
              </w:rPr>
              <w:fldChar w:fldCharType="begin"/>
            </w:r>
            <w:r w:rsidRPr="00F30598" w:rsidR="002B06CF">
              <w:rPr>
                <w:rFonts w:ascii="Arial" w:hAnsi="Arial" w:cs="Arial"/>
                <w:noProof/>
                <w:webHidden/>
              </w:rPr>
              <w:instrText xml:space="preserve"> PAGEREF _Toc38020662 \h </w:instrText>
            </w:r>
            <w:r w:rsidRPr="00F30598" w:rsidR="002B06CF">
              <w:rPr>
                <w:rFonts w:ascii="Arial" w:hAnsi="Arial" w:cs="Arial"/>
                <w:noProof/>
                <w:webHidden/>
              </w:rPr>
            </w:r>
            <w:r w:rsidRPr="00F30598" w:rsidR="002B06CF">
              <w:rPr>
                <w:rFonts w:ascii="Arial" w:hAnsi="Arial" w:cs="Arial"/>
                <w:noProof/>
                <w:webHidden/>
              </w:rPr>
              <w:fldChar w:fldCharType="separate"/>
            </w:r>
            <w:r w:rsidR="00584928">
              <w:rPr>
                <w:rFonts w:ascii="Arial" w:hAnsi="Arial" w:cs="Arial"/>
                <w:noProof/>
                <w:webHidden/>
              </w:rPr>
              <w:t>27</w:t>
            </w:r>
            <w:r w:rsidRPr="00F30598" w:rsidR="002B06CF">
              <w:rPr>
                <w:rFonts w:ascii="Arial" w:hAnsi="Arial" w:cs="Arial"/>
                <w:noProof/>
                <w:webHidden/>
              </w:rPr>
              <w:fldChar w:fldCharType="end"/>
            </w:r>
          </w:hyperlink>
        </w:p>
        <w:p w:rsidRPr="00F30598" w:rsidR="002B06CF" w:rsidRDefault="00BD4265" w14:paraId="443E8D2C" w14:textId="73AA18FA">
          <w:pPr>
            <w:pStyle w:val="TOC1"/>
            <w:tabs>
              <w:tab w:val="right" w:leader="dot" w:pos="8828"/>
            </w:tabs>
            <w:rPr>
              <w:rFonts w:ascii="Arial" w:hAnsi="Arial" w:cs="Arial" w:eastAsiaTheme="minorEastAsia"/>
              <w:noProof/>
            </w:rPr>
          </w:pPr>
          <w:hyperlink w:history="1" w:anchor="_Toc38020663">
            <w:r w:rsidRPr="00F30598" w:rsidR="002B06CF">
              <w:rPr>
                <w:rStyle w:val="Hyperlink"/>
                <w:rFonts w:ascii="Arial" w:hAnsi="Arial" w:cs="Arial"/>
                <w:noProof/>
              </w:rPr>
              <w:t>COMPONENTE 4</w:t>
            </w:r>
            <w:r w:rsidRPr="00F30598" w:rsidR="002B06CF">
              <w:rPr>
                <w:rFonts w:ascii="Arial" w:hAnsi="Arial" w:cs="Arial"/>
                <w:noProof/>
                <w:webHidden/>
              </w:rPr>
              <w:tab/>
            </w:r>
            <w:r w:rsidRPr="00F30598" w:rsidR="002B06CF">
              <w:rPr>
                <w:rFonts w:ascii="Arial" w:hAnsi="Arial" w:cs="Arial"/>
                <w:noProof/>
                <w:webHidden/>
              </w:rPr>
              <w:fldChar w:fldCharType="begin"/>
            </w:r>
            <w:r w:rsidRPr="00F30598" w:rsidR="002B06CF">
              <w:rPr>
                <w:rFonts w:ascii="Arial" w:hAnsi="Arial" w:cs="Arial"/>
                <w:noProof/>
                <w:webHidden/>
              </w:rPr>
              <w:instrText xml:space="preserve"> PAGEREF _Toc38020663 \h </w:instrText>
            </w:r>
            <w:r w:rsidRPr="00F30598" w:rsidR="002B06CF">
              <w:rPr>
                <w:rFonts w:ascii="Arial" w:hAnsi="Arial" w:cs="Arial"/>
                <w:noProof/>
                <w:webHidden/>
              </w:rPr>
            </w:r>
            <w:r w:rsidRPr="00F30598" w:rsidR="002B06CF">
              <w:rPr>
                <w:rFonts w:ascii="Arial" w:hAnsi="Arial" w:cs="Arial"/>
                <w:noProof/>
                <w:webHidden/>
              </w:rPr>
              <w:fldChar w:fldCharType="separate"/>
            </w:r>
            <w:r w:rsidR="00584928">
              <w:rPr>
                <w:rFonts w:ascii="Arial" w:hAnsi="Arial" w:cs="Arial"/>
                <w:noProof/>
                <w:webHidden/>
              </w:rPr>
              <w:t>28</w:t>
            </w:r>
            <w:r w:rsidRPr="00F30598" w:rsidR="002B06CF">
              <w:rPr>
                <w:rFonts w:ascii="Arial" w:hAnsi="Arial" w:cs="Arial"/>
                <w:noProof/>
                <w:webHidden/>
              </w:rPr>
              <w:fldChar w:fldCharType="end"/>
            </w:r>
          </w:hyperlink>
        </w:p>
        <w:p w:rsidRPr="00F30598" w:rsidR="002B06CF" w:rsidRDefault="00BD4265" w14:paraId="2EBAA308" w14:textId="60E978FD">
          <w:pPr>
            <w:pStyle w:val="TOC2"/>
            <w:tabs>
              <w:tab w:val="right" w:leader="dot" w:pos="8828"/>
            </w:tabs>
            <w:rPr>
              <w:rFonts w:ascii="Arial" w:hAnsi="Arial" w:cs="Arial" w:eastAsiaTheme="minorEastAsia"/>
              <w:noProof/>
            </w:rPr>
          </w:pPr>
          <w:hyperlink w:history="1" w:anchor="_Toc38020664">
            <w:r w:rsidRPr="00F30598" w:rsidR="002B06CF">
              <w:rPr>
                <w:rStyle w:val="Hyperlink"/>
                <w:rFonts w:ascii="Arial" w:hAnsi="Arial" w:cs="Arial"/>
                <w:b/>
                <w:noProof/>
              </w:rPr>
              <w:t>RESULTADOS</w:t>
            </w:r>
            <w:r w:rsidRPr="00F30598" w:rsidR="002B06CF">
              <w:rPr>
                <w:rFonts w:ascii="Arial" w:hAnsi="Arial" w:cs="Arial"/>
                <w:noProof/>
                <w:webHidden/>
              </w:rPr>
              <w:tab/>
            </w:r>
            <w:r w:rsidRPr="00F30598" w:rsidR="002B06CF">
              <w:rPr>
                <w:rFonts w:ascii="Arial" w:hAnsi="Arial" w:cs="Arial"/>
                <w:noProof/>
                <w:webHidden/>
              </w:rPr>
              <w:fldChar w:fldCharType="begin"/>
            </w:r>
            <w:r w:rsidRPr="00F30598" w:rsidR="002B06CF">
              <w:rPr>
                <w:rFonts w:ascii="Arial" w:hAnsi="Arial" w:cs="Arial"/>
                <w:noProof/>
                <w:webHidden/>
              </w:rPr>
              <w:instrText xml:space="preserve"> PAGEREF _Toc38020664 \h </w:instrText>
            </w:r>
            <w:r w:rsidRPr="00F30598" w:rsidR="002B06CF">
              <w:rPr>
                <w:rFonts w:ascii="Arial" w:hAnsi="Arial" w:cs="Arial"/>
                <w:noProof/>
                <w:webHidden/>
              </w:rPr>
            </w:r>
            <w:r w:rsidRPr="00F30598" w:rsidR="002B06CF">
              <w:rPr>
                <w:rFonts w:ascii="Arial" w:hAnsi="Arial" w:cs="Arial"/>
                <w:noProof/>
                <w:webHidden/>
              </w:rPr>
              <w:fldChar w:fldCharType="separate"/>
            </w:r>
            <w:r w:rsidR="00584928">
              <w:rPr>
                <w:rFonts w:ascii="Arial" w:hAnsi="Arial" w:cs="Arial"/>
                <w:noProof/>
                <w:webHidden/>
              </w:rPr>
              <w:t>30</w:t>
            </w:r>
            <w:r w:rsidRPr="00F30598" w:rsidR="002B06CF">
              <w:rPr>
                <w:rFonts w:ascii="Arial" w:hAnsi="Arial" w:cs="Arial"/>
                <w:noProof/>
                <w:webHidden/>
              </w:rPr>
              <w:fldChar w:fldCharType="end"/>
            </w:r>
          </w:hyperlink>
        </w:p>
        <w:p w:rsidRPr="00F30598" w:rsidR="002B06CF" w:rsidRDefault="00BD4265" w14:paraId="490D3FC6" w14:textId="176F2EFC">
          <w:pPr>
            <w:pStyle w:val="TOC2"/>
            <w:tabs>
              <w:tab w:val="right" w:leader="dot" w:pos="8828"/>
            </w:tabs>
            <w:rPr>
              <w:rFonts w:ascii="Arial" w:hAnsi="Arial" w:cs="Arial" w:eastAsiaTheme="minorEastAsia"/>
              <w:noProof/>
            </w:rPr>
          </w:pPr>
          <w:hyperlink w:history="1" w:anchor="_Toc38020665">
            <w:r w:rsidRPr="00F30598" w:rsidR="002B06CF">
              <w:rPr>
                <w:rStyle w:val="Hyperlink"/>
                <w:rFonts w:ascii="Arial" w:hAnsi="Arial" w:cs="Arial"/>
                <w:b/>
                <w:noProof/>
              </w:rPr>
              <w:t>Análisis de Sensibilidad</w:t>
            </w:r>
            <w:r w:rsidRPr="00F30598" w:rsidR="002B06CF">
              <w:rPr>
                <w:rFonts w:ascii="Arial" w:hAnsi="Arial" w:cs="Arial"/>
                <w:noProof/>
                <w:webHidden/>
              </w:rPr>
              <w:tab/>
            </w:r>
            <w:r w:rsidRPr="00F30598" w:rsidR="002B06CF">
              <w:rPr>
                <w:rFonts w:ascii="Arial" w:hAnsi="Arial" w:cs="Arial"/>
                <w:noProof/>
                <w:webHidden/>
              </w:rPr>
              <w:fldChar w:fldCharType="begin"/>
            </w:r>
            <w:r w:rsidRPr="00F30598" w:rsidR="002B06CF">
              <w:rPr>
                <w:rFonts w:ascii="Arial" w:hAnsi="Arial" w:cs="Arial"/>
                <w:noProof/>
                <w:webHidden/>
              </w:rPr>
              <w:instrText xml:space="preserve"> PAGEREF _Toc38020665 \h </w:instrText>
            </w:r>
            <w:r w:rsidRPr="00F30598" w:rsidR="002B06CF">
              <w:rPr>
                <w:rFonts w:ascii="Arial" w:hAnsi="Arial" w:cs="Arial"/>
                <w:noProof/>
                <w:webHidden/>
              </w:rPr>
            </w:r>
            <w:r w:rsidRPr="00F30598" w:rsidR="002B06CF">
              <w:rPr>
                <w:rFonts w:ascii="Arial" w:hAnsi="Arial" w:cs="Arial"/>
                <w:noProof/>
                <w:webHidden/>
              </w:rPr>
              <w:fldChar w:fldCharType="separate"/>
            </w:r>
            <w:r w:rsidR="00584928">
              <w:rPr>
                <w:rFonts w:ascii="Arial" w:hAnsi="Arial" w:cs="Arial"/>
                <w:noProof/>
                <w:webHidden/>
              </w:rPr>
              <w:t>31</w:t>
            </w:r>
            <w:r w:rsidRPr="00F30598" w:rsidR="002B06CF">
              <w:rPr>
                <w:rFonts w:ascii="Arial" w:hAnsi="Arial" w:cs="Arial"/>
                <w:noProof/>
                <w:webHidden/>
              </w:rPr>
              <w:fldChar w:fldCharType="end"/>
            </w:r>
          </w:hyperlink>
        </w:p>
        <w:p w:rsidRPr="00F30598" w:rsidR="002B06CF" w:rsidRDefault="00BD4265" w14:paraId="1C546EEA" w14:textId="52221941">
          <w:pPr>
            <w:pStyle w:val="TOC2"/>
            <w:tabs>
              <w:tab w:val="right" w:leader="dot" w:pos="8828"/>
            </w:tabs>
            <w:rPr>
              <w:rFonts w:ascii="Arial" w:hAnsi="Arial" w:cs="Arial" w:eastAsiaTheme="minorEastAsia"/>
              <w:noProof/>
            </w:rPr>
          </w:pPr>
          <w:hyperlink w:history="1" w:anchor="_Toc38020666">
            <w:r w:rsidRPr="00F30598" w:rsidR="002B06CF">
              <w:rPr>
                <w:rStyle w:val="Hyperlink"/>
                <w:rFonts w:ascii="Arial" w:hAnsi="Arial" w:cs="Arial"/>
                <w:noProof/>
                <w:lang w:val="es-ES_tradnl"/>
              </w:rPr>
              <w:t>COMPONENTE 5</w:t>
            </w:r>
            <w:r w:rsidRPr="00F30598" w:rsidR="002B06CF">
              <w:rPr>
                <w:rFonts w:ascii="Arial" w:hAnsi="Arial" w:cs="Arial"/>
                <w:noProof/>
                <w:webHidden/>
              </w:rPr>
              <w:tab/>
            </w:r>
            <w:r w:rsidRPr="00F30598" w:rsidR="002B06CF">
              <w:rPr>
                <w:rFonts w:ascii="Arial" w:hAnsi="Arial" w:cs="Arial"/>
                <w:noProof/>
                <w:webHidden/>
              </w:rPr>
              <w:fldChar w:fldCharType="begin"/>
            </w:r>
            <w:r w:rsidRPr="00F30598" w:rsidR="002B06CF">
              <w:rPr>
                <w:rFonts w:ascii="Arial" w:hAnsi="Arial" w:cs="Arial"/>
                <w:noProof/>
                <w:webHidden/>
              </w:rPr>
              <w:instrText xml:space="preserve"> PAGEREF _Toc38020666 \h </w:instrText>
            </w:r>
            <w:r w:rsidRPr="00F30598" w:rsidR="002B06CF">
              <w:rPr>
                <w:rFonts w:ascii="Arial" w:hAnsi="Arial" w:cs="Arial"/>
                <w:noProof/>
                <w:webHidden/>
              </w:rPr>
            </w:r>
            <w:r w:rsidRPr="00F30598" w:rsidR="002B06CF">
              <w:rPr>
                <w:rFonts w:ascii="Arial" w:hAnsi="Arial" w:cs="Arial"/>
                <w:noProof/>
                <w:webHidden/>
              </w:rPr>
              <w:fldChar w:fldCharType="separate"/>
            </w:r>
            <w:r w:rsidR="00584928">
              <w:rPr>
                <w:rFonts w:ascii="Arial" w:hAnsi="Arial" w:cs="Arial"/>
                <w:noProof/>
                <w:webHidden/>
              </w:rPr>
              <w:t>32</w:t>
            </w:r>
            <w:r w:rsidRPr="00F30598" w:rsidR="002B06CF">
              <w:rPr>
                <w:rFonts w:ascii="Arial" w:hAnsi="Arial" w:cs="Arial"/>
                <w:noProof/>
                <w:webHidden/>
              </w:rPr>
              <w:fldChar w:fldCharType="end"/>
            </w:r>
          </w:hyperlink>
        </w:p>
        <w:p w:rsidRPr="00F30598" w:rsidR="002B06CF" w:rsidRDefault="00BD4265" w14:paraId="6E2FD4A2" w14:textId="4B6E1A44">
          <w:pPr>
            <w:pStyle w:val="TOC1"/>
            <w:tabs>
              <w:tab w:val="right" w:leader="dot" w:pos="8828"/>
            </w:tabs>
            <w:rPr>
              <w:rFonts w:ascii="Arial" w:hAnsi="Arial" w:cs="Arial" w:eastAsiaTheme="minorEastAsia"/>
              <w:noProof/>
            </w:rPr>
          </w:pPr>
          <w:hyperlink w:history="1" w:anchor="_Toc38020667">
            <w:r w:rsidRPr="00F30598" w:rsidR="002B06CF">
              <w:rPr>
                <w:rStyle w:val="Hyperlink"/>
                <w:rFonts w:ascii="Arial" w:hAnsi="Arial" w:cs="Arial"/>
                <w:noProof/>
              </w:rPr>
              <w:t>EFECTO GENERAL EN MORTALIDAD Y MORBILIDAD</w:t>
            </w:r>
            <w:r w:rsidRPr="00F30598" w:rsidR="002B06CF">
              <w:rPr>
                <w:rFonts w:ascii="Arial" w:hAnsi="Arial" w:cs="Arial"/>
                <w:noProof/>
                <w:webHidden/>
              </w:rPr>
              <w:tab/>
            </w:r>
            <w:r w:rsidRPr="00F30598" w:rsidR="002B06CF">
              <w:rPr>
                <w:rFonts w:ascii="Arial" w:hAnsi="Arial" w:cs="Arial"/>
                <w:noProof/>
                <w:webHidden/>
              </w:rPr>
              <w:fldChar w:fldCharType="begin"/>
            </w:r>
            <w:r w:rsidRPr="00F30598" w:rsidR="002B06CF">
              <w:rPr>
                <w:rFonts w:ascii="Arial" w:hAnsi="Arial" w:cs="Arial"/>
                <w:noProof/>
                <w:webHidden/>
              </w:rPr>
              <w:instrText xml:space="preserve"> PAGEREF _Toc38020667 \h </w:instrText>
            </w:r>
            <w:r w:rsidRPr="00F30598" w:rsidR="002B06CF">
              <w:rPr>
                <w:rFonts w:ascii="Arial" w:hAnsi="Arial" w:cs="Arial"/>
                <w:noProof/>
                <w:webHidden/>
              </w:rPr>
            </w:r>
            <w:r w:rsidRPr="00F30598" w:rsidR="002B06CF">
              <w:rPr>
                <w:rFonts w:ascii="Arial" w:hAnsi="Arial" w:cs="Arial"/>
                <w:noProof/>
                <w:webHidden/>
              </w:rPr>
              <w:fldChar w:fldCharType="separate"/>
            </w:r>
            <w:r w:rsidR="00584928">
              <w:rPr>
                <w:rFonts w:ascii="Arial" w:hAnsi="Arial" w:cs="Arial"/>
                <w:noProof/>
                <w:webHidden/>
              </w:rPr>
              <w:t>38</w:t>
            </w:r>
            <w:r w:rsidRPr="00F30598" w:rsidR="002B06CF">
              <w:rPr>
                <w:rFonts w:ascii="Arial" w:hAnsi="Arial" w:cs="Arial"/>
                <w:noProof/>
                <w:webHidden/>
              </w:rPr>
              <w:fldChar w:fldCharType="end"/>
            </w:r>
          </w:hyperlink>
        </w:p>
        <w:p w:rsidRPr="00F30598" w:rsidR="002B06CF" w:rsidRDefault="00BD4265" w14:paraId="3BFD2B96" w14:textId="77F871CF">
          <w:pPr>
            <w:pStyle w:val="TOC1"/>
            <w:tabs>
              <w:tab w:val="right" w:leader="dot" w:pos="8828"/>
            </w:tabs>
            <w:rPr>
              <w:rFonts w:ascii="Arial" w:hAnsi="Arial" w:cs="Arial" w:eastAsiaTheme="minorEastAsia"/>
              <w:noProof/>
            </w:rPr>
          </w:pPr>
          <w:hyperlink w:history="1" w:anchor="_Toc38020668">
            <w:r w:rsidRPr="00F30598" w:rsidR="002B06CF">
              <w:rPr>
                <w:rStyle w:val="Hyperlink"/>
                <w:rFonts w:ascii="Arial" w:hAnsi="Arial" w:cs="Arial"/>
                <w:noProof/>
              </w:rPr>
              <w:t>CONCLUSIONES</w:t>
            </w:r>
            <w:r w:rsidRPr="00F30598" w:rsidR="002B06CF">
              <w:rPr>
                <w:rFonts w:ascii="Arial" w:hAnsi="Arial" w:cs="Arial"/>
                <w:noProof/>
                <w:webHidden/>
              </w:rPr>
              <w:tab/>
            </w:r>
            <w:r w:rsidRPr="00F30598" w:rsidR="002B06CF">
              <w:rPr>
                <w:rFonts w:ascii="Arial" w:hAnsi="Arial" w:cs="Arial"/>
                <w:noProof/>
                <w:webHidden/>
              </w:rPr>
              <w:fldChar w:fldCharType="begin"/>
            </w:r>
            <w:r w:rsidRPr="00F30598" w:rsidR="002B06CF">
              <w:rPr>
                <w:rFonts w:ascii="Arial" w:hAnsi="Arial" w:cs="Arial"/>
                <w:noProof/>
                <w:webHidden/>
              </w:rPr>
              <w:instrText xml:space="preserve"> PAGEREF _Toc38020668 \h </w:instrText>
            </w:r>
            <w:r w:rsidRPr="00F30598" w:rsidR="002B06CF">
              <w:rPr>
                <w:rFonts w:ascii="Arial" w:hAnsi="Arial" w:cs="Arial"/>
                <w:noProof/>
                <w:webHidden/>
              </w:rPr>
            </w:r>
            <w:r w:rsidRPr="00F30598" w:rsidR="002B06CF">
              <w:rPr>
                <w:rFonts w:ascii="Arial" w:hAnsi="Arial" w:cs="Arial"/>
                <w:noProof/>
                <w:webHidden/>
              </w:rPr>
              <w:fldChar w:fldCharType="separate"/>
            </w:r>
            <w:r w:rsidR="00584928">
              <w:rPr>
                <w:rFonts w:ascii="Arial" w:hAnsi="Arial" w:cs="Arial"/>
                <w:noProof/>
                <w:webHidden/>
              </w:rPr>
              <w:t>40</w:t>
            </w:r>
            <w:r w:rsidRPr="00F30598" w:rsidR="002B06CF">
              <w:rPr>
                <w:rFonts w:ascii="Arial" w:hAnsi="Arial" w:cs="Arial"/>
                <w:noProof/>
                <w:webHidden/>
              </w:rPr>
              <w:fldChar w:fldCharType="end"/>
            </w:r>
          </w:hyperlink>
        </w:p>
        <w:p w:rsidRPr="00F30598" w:rsidR="002B06CF" w:rsidRDefault="00BD4265" w14:paraId="7A7DE025" w14:textId="3FBB7952">
          <w:pPr>
            <w:pStyle w:val="TOC1"/>
            <w:tabs>
              <w:tab w:val="right" w:leader="dot" w:pos="8828"/>
            </w:tabs>
            <w:rPr>
              <w:rFonts w:ascii="Arial" w:hAnsi="Arial" w:cs="Arial" w:eastAsiaTheme="minorEastAsia"/>
              <w:noProof/>
            </w:rPr>
          </w:pPr>
          <w:hyperlink w:history="1" w:anchor="_Toc38020669">
            <w:r w:rsidRPr="00F30598" w:rsidR="002B06CF">
              <w:rPr>
                <w:rStyle w:val="Hyperlink"/>
                <w:rFonts w:ascii="Arial" w:hAnsi="Arial" w:cs="Arial"/>
                <w:noProof/>
              </w:rPr>
              <w:t>REFERENCIAS</w:t>
            </w:r>
            <w:r w:rsidRPr="00F30598" w:rsidR="002B06CF">
              <w:rPr>
                <w:rFonts w:ascii="Arial" w:hAnsi="Arial" w:cs="Arial"/>
                <w:noProof/>
                <w:webHidden/>
              </w:rPr>
              <w:tab/>
            </w:r>
            <w:r w:rsidRPr="00F30598" w:rsidR="002B06CF">
              <w:rPr>
                <w:rFonts w:ascii="Arial" w:hAnsi="Arial" w:cs="Arial"/>
                <w:noProof/>
                <w:webHidden/>
              </w:rPr>
              <w:fldChar w:fldCharType="begin"/>
            </w:r>
            <w:r w:rsidRPr="00F30598" w:rsidR="002B06CF">
              <w:rPr>
                <w:rFonts w:ascii="Arial" w:hAnsi="Arial" w:cs="Arial"/>
                <w:noProof/>
                <w:webHidden/>
              </w:rPr>
              <w:instrText xml:space="preserve"> PAGEREF _Toc38020669 \h </w:instrText>
            </w:r>
            <w:r w:rsidRPr="00F30598" w:rsidR="002B06CF">
              <w:rPr>
                <w:rFonts w:ascii="Arial" w:hAnsi="Arial" w:cs="Arial"/>
                <w:noProof/>
                <w:webHidden/>
              </w:rPr>
            </w:r>
            <w:r w:rsidRPr="00F30598" w:rsidR="002B06CF">
              <w:rPr>
                <w:rFonts w:ascii="Arial" w:hAnsi="Arial" w:cs="Arial"/>
                <w:noProof/>
                <w:webHidden/>
              </w:rPr>
              <w:fldChar w:fldCharType="separate"/>
            </w:r>
            <w:r w:rsidR="00584928">
              <w:rPr>
                <w:rFonts w:ascii="Arial" w:hAnsi="Arial" w:cs="Arial"/>
                <w:noProof/>
                <w:webHidden/>
              </w:rPr>
              <w:t>42</w:t>
            </w:r>
            <w:r w:rsidRPr="00F30598" w:rsidR="002B06CF">
              <w:rPr>
                <w:rFonts w:ascii="Arial" w:hAnsi="Arial" w:cs="Arial"/>
                <w:noProof/>
                <w:webHidden/>
              </w:rPr>
              <w:fldChar w:fldCharType="end"/>
            </w:r>
          </w:hyperlink>
        </w:p>
        <w:p w:rsidRPr="00F30598" w:rsidR="002B06CF" w:rsidRDefault="002B06CF" w14:paraId="13BD77FB" w14:textId="2653A5A6">
          <w:pPr>
            <w:rPr>
              <w:rFonts w:ascii="Arial" w:hAnsi="Arial" w:cs="Arial"/>
            </w:rPr>
          </w:pPr>
          <w:r w:rsidRPr="00F30598">
            <w:rPr>
              <w:rFonts w:ascii="Arial" w:hAnsi="Arial" w:cs="Arial"/>
              <w:b/>
              <w:bCs/>
              <w:noProof/>
            </w:rPr>
            <w:fldChar w:fldCharType="end"/>
          </w:r>
        </w:p>
      </w:sdtContent>
    </w:sdt>
    <w:p w:rsidRPr="00F30598" w:rsidR="00D64157" w:rsidRDefault="00D64157" w14:paraId="2FD7A38F" w14:textId="236358BD">
      <w:pPr>
        <w:rPr>
          <w:rFonts w:ascii="Arial" w:hAnsi="Arial" w:cs="Arial" w:eastAsiaTheme="majorEastAsia"/>
          <w:color w:val="2E74B5" w:themeColor="accent1" w:themeShade="BF"/>
          <w:sz w:val="32"/>
          <w:szCs w:val="32"/>
          <w:lang w:val="es-AR"/>
        </w:rPr>
      </w:pPr>
      <w:r w:rsidRPr="00F30598">
        <w:rPr>
          <w:rFonts w:ascii="Arial" w:hAnsi="Arial" w:cs="Arial"/>
        </w:rPr>
        <w:br w:type="page"/>
      </w:r>
    </w:p>
    <w:p w:rsidRPr="00AC6429" w:rsidR="002B06CF" w:rsidP="006B19C6" w:rsidRDefault="002B06CF" w14:paraId="011D8088" w14:textId="77777777">
      <w:pPr>
        <w:pStyle w:val="Heading1"/>
        <w:spacing w:line="360" w:lineRule="auto"/>
        <w:rPr>
          <w:rFonts w:ascii="Arial Bold" w:hAnsi="Arial Bold" w:cs="Arial"/>
          <w:b/>
          <w:bCs/>
          <w:smallCaps/>
          <w:sz w:val="24"/>
          <w:szCs w:val="24"/>
          <w:lang w:val="es-ES_tradnl"/>
        </w:rPr>
      </w:pPr>
      <w:bookmarkStart w:name="_Toc38020651" w:id="1"/>
      <w:r w:rsidRPr="00AC6429">
        <w:rPr>
          <w:rFonts w:ascii="Arial Bold" w:hAnsi="Arial Bold" w:cs="Arial"/>
          <w:b/>
          <w:bCs/>
          <w:smallCaps/>
          <w:sz w:val="24"/>
          <w:szCs w:val="24"/>
          <w:lang w:val="es-ES_tradnl"/>
        </w:rPr>
        <w:lastRenderedPageBreak/>
        <w:t>INTRODUCCION</w:t>
      </w:r>
      <w:bookmarkEnd w:id="1"/>
    </w:p>
    <w:p w:rsidR="003B2CA4" w:rsidP="17D008AF" w:rsidRDefault="00E03B3C" w14:paraId="36F6CC64" w14:textId="0BE69A9F">
      <w:pPr>
        <w:pStyle w:val="ColorfulList-Accent11"/>
        <w:spacing w:before="120" w:after="120" w:line="240" w:lineRule="auto"/>
        <w:ind w:left="0"/>
        <w:contextualSpacing w:val="0"/>
        <w:jc w:val="both"/>
        <w:rPr>
          <w:rFonts w:ascii="Arial" w:hAnsi="Arial" w:cs="Arial"/>
          <w:lang w:val="es-ES"/>
        </w:rPr>
      </w:pPr>
      <w:bookmarkStart w:name="_Toc38020652" w:id="2"/>
      <w:r w:rsidRPr="17D008AF">
        <w:rPr>
          <w:rFonts w:ascii="Arial" w:hAnsi="Arial" w:cs="Arial"/>
          <w:lang w:val="es-ES"/>
        </w:rPr>
        <w:t>La crisis que se desarrolla rápidamente por la pandemia del coronavirus presenta un desafío histórico para el mundo y para los países de América Latina y el Caribe.</w:t>
      </w:r>
      <w:r w:rsidRPr="17D008AF" w:rsidR="003B2CA4">
        <w:rPr>
          <w:rFonts w:ascii="Arial" w:hAnsi="Arial" w:cs="Arial"/>
          <w:lang w:val="es-ES"/>
        </w:rPr>
        <w:t xml:space="preserve"> </w:t>
      </w:r>
      <w:r w:rsidRPr="17D008AF">
        <w:rPr>
          <w:rFonts w:ascii="Arial" w:hAnsi="Arial" w:cs="Arial"/>
          <w:lang w:val="es-ES"/>
        </w:rPr>
        <w:t>Además del riesgo que implica para la salud, la pandemia podría reducir los ingresos y eliminar los empleos de millones de personas. Aunque es difícil predecir cuál será el impacto a mediano y largo plazo, está claro que nuestra región deberá desarrollar soluciones rápidas e innovadoras para superar los efectos de este virus a nivel social, sanitario, económico y fiscal.</w:t>
      </w:r>
      <w:r w:rsidRPr="17D008AF" w:rsidR="00FE03D7">
        <w:rPr>
          <w:rFonts w:ascii="Arial" w:hAnsi="Arial" w:cs="Arial"/>
          <w:lang w:val="es-ES"/>
        </w:rPr>
        <w:t xml:space="preserve"> </w:t>
      </w:r>
      <w:r w:rsidRPr="17D008AF" w:rsidR="003B2CA4">
        <w:rPr>
          <w:rFonts w:ascii="Arial" w:hAnsi="Arial" w:cs="Arial"/>
          <w:lang w:val="es-ES"/>
        </w:rPr>
        <w:t xml:space="preserve">En este contexto, una de las áreas prioritarias de trabajo </w:t>
      </w:r>
      <w:r w:rsidRPr="17D008AF" w:rsidR="007F6DED">
        <w:rPr>
          <w:rFonts w:ascii="Arial" w:hAnsi="Arial" w:cs="Arial"/>
          <w:lang w:val="es-ES"/>
        </w:rPr>
        <w:t xml:space="preserve">en el Banco </w:t>
      </w:r>
      <w:r w:rsidRPr="17D008AF" w:rsidR="003B2CA4">
        <w:rPr>
          <w:rFonts w:ascii="Arial" w:hAnsi="Arial" w:cs="Arial"/>
          <w:lang w:val="es-ES"/>
        </w:rPr>
        <w:t>es el Apoyo a Poblaciones Vulnerables</w:t>
      </w:r>
      <w:r w:rsidRPr="17D008AF" w:rsidR="00FE03D7">
        <w:rPr>
          <w:rFonts w:ascii="Arial" w:hAnsi="Arial" w:cs="Arial"/>
          <w:lang w:val="es-ES"/>
        </w:rPr>
        <w:t xml:space="preserve"> frente al COVID-19. Este grupo incluye a las personas vulnerables por ingreso (aproximado como tener un ingreso per cápita diario de USD12.5 o menos) así como a otras poblaciones particularmente vulnerables en este contexto específico, como son l</w:t>
      </w:r>
      <w:r w:rsidRPr="17D008AF" w:rsidR="008E2425">
        <w:rPr>
          <w:rFonts w:ascii="Arial" w:hAnsi="Arial" w:cs="Arial"/>
          <w:lang w:val="es-ES"/>
        </w:rPr>
        <w:t>as personas mayores de 60 años que presentan mayor tasa de fatalidad</w:t>
      </w:r>
      <w:r w:rsidRPr="17D008AF" w:rsidR="007F6DED">
        <w:rPr>
          <w:rFonts w:ascii="Arial" w:hAnsi="Arial" w:cs="Arial"/>
          <w:lang w:val="es-ES"/>
        </w:rPr>
        <w:t>.</w:t>
      </w:r>
      <w:r w:rsidRPr="17D008AF" w:rsidR="003B2CA4">
        <w:rPr>
          <w:rFonts w:ascii="Arial" w:hAnsi="Arial" w:cs="Arial"/>
          <w:lang w:val="es-ES"/>
        </w:rPr>
        <w:t xml:space="preserve"> </w:t>
      </w:r>
    </w:p>
    <w:p w:rsidRPr="00F30598" w:rsidR="00D64157" w:rsidP="00DA26F4" w:rsidRDefault="00D64157" w14:paraId="740DFCA2" w14:textId="636D645E">
      <w:pPr>
        <w:pStyle w:val="ColorfulList-Accent11"/>
        <w:spacing w:before="120" w:after="120" w:line="240" w:lineRule="auto"/>
        <w:ind w:left="0"/>
        <w:contextualSpacing w:val="0"/>
        <w:jc w:val="both"/>
        <w:rPr>
          <w:rFonts w:ascii="Arial" w:hAnsi="Arial" w:cs="Arial"/>
          <w:bCs/>
          <w:lang w:val="es-ES_tradnl"/>
        </w:rPr>
      </w:pPr>
      <w:r w:rsidRPr="00F30598">
        <w:rPr>
          <w:rFonts w:ascii="Arial" w:hAnsi="Arial" w:cs="Arial"/>
          <w:bCs/>
          <w:lang w:val="es-ES_tradnl"/>
        </w:rPr>
        <w:t>Este documento presenta, a través de un ejercicio de análisis costo-beneficio, la justificación económica de la operación Apoyo a Poblaciones Vulnerables Afectadas por Coronavirus en Bolivia (BO-L1216). La operación sigue el prototipo correspondiente, mismo que fue aprobado y cuenta con un análisis económico para las principales intervenciones que ha sido debidamente validado. Dicho análisis se incluye en este documento como anexo y explica la metodología, supuestos y demás elementos del análisis.</w:t>
      </w:r>
    </w:p>
    <w:p w:rsidRPr="00F30598" w:rsidR="00D64157" w:rsidP="00DA26F4" w:rsidRDefault="00D64157" w14:paraId="72B259DE" w14:textId="77777777">
      <w:pPr>
        <w:pStyle w:val="ColorfulList-Accent11"/>
        <w:spacing w:before="120" w:after="120" w:line="240" w:lineRule="auto"/>
        <w:ind w:left="0"/>
        <w:contextualSpacing w:val="0"/>
        <w:jc w:val="both"/>
        <w:rPr>
          <w:rFonts w:ascii="Arial" w:hAnsi="Arial" w:cs="Arial"/>
          <w:bCs/>
          <w:lang w:val="es-ES_tradnl"/>
        </w:rPr>
      </w:pPr>
      <w:r w:rsidRPr="00F30598">
        <w:rPr>
          <w:rFonts w:ascii="Arial" w:hAnsi="Arial" w:cs="Arial"/>
          <w:bCs/>
          <w:lang w:val="es-ES_tradnl"/>
        </w:rPr>
        <w:t>En las siguientes secciones se presenta una muy breve descripción del proyecto (para más detalles se refiere al documento de proyecto), y los elementos básicos del análisis aplicado a las intervenciones que se incluyen en esta operación.</w:t>
      </w:r>
    </w:p>
    <w:p w:rsidRPr="00F30598" w:rsidR="00D64157" w:rsidP="17D008AF" w:rsidRDefault="00431FA1" w14:paraId="77335026" w14:textId="2C97EFB7">
      <w:pPr>
        <w:pStyle w:val="ColorfulList-Accent11"/>
        <w:spacing w:before="120" w:after="120" w:line="240" w:lineRule="auto"/>
        <w:ind w:left="0"/>
        <w:contextualSpacing w:val="0"/>
        <w:jc w:val="both"/>
        <w:rPr>
          <w:rFonts w:ascii="Arial" w:hAnsi="Arial" w:cs="Arial"/>
          <w:lang w:val="es-ES"/>
        </w:rPr>
      </w:pPr>
      <w:r w:rsidRPr="17D008AF">
        <w:rPr>
          <w:rFonts w:ascii="Arial" w:hAnsi="Arial" w:cs="Arial"/>
          <w:lang w:val="es-ES"/>
        </w:rPr>
        <w:t>Con una tasa de descuento de 5%, el</w:t>
      </w:r>
      <w:r w:rsidRPr="17D008AF" w:rsidR="00D64157">
        <w:rPr>
          <w:rFonts w:ascii="Arial" w:hAnsi="Arial" w:cs="Arial"/>
          <w:lang w:val="es-ES"/>
        </w:rPr>
        <w:t xml:space="preserve"> análisis muestra que el VPN de la operación es de </w:t>
      </w:r>
      <w:r w:rsidRPr="17D008AF">
        <w:rPr>
          <w:rFonts w:ascii="Arial" w:hAnsi="Arial" w:cs="Arial"/>
          <w:lang w:val="es-ES"/>
        </w:rPr>
        <w:t>USD</w:t>
      </w:r>
      <w:r w:rsidRPr="17D008AF" w:rsidR="00AC6429">
        <w:rPr>
          <w:rFonts w:ascii="Arial" w:hAnsi="Arial" w:cs="Arial"/>
          <w:lang w:val="es-ES"/>
        </w:rPr>
        <w:t>66,2</w:t>
      </w:r>
      <w:r w:rsidRPr="17D008AF">
        <w:rPr>
          <w:rFonts w:ascii="Arial" w:hAnsi="Arial" w:cs="Arial"/>
          <w:lang w:val="es-ES"/>
        </w:rPr>
        <w:t xml:space="preserve"> millones</w:t>
      </w:r>
      <w:r w:rsidRPr="17D008AF" w:rsidR="00D64157">
        <w:rPr>
          <w:rFonts w:ascii="Arial" w:hAnsi="Arial" w:cs="Arial"/>
          <w:lang w:val="es-ES"/>
        </w:rPr>
        <w:t>, con un</w:t>
      </w:r>
      <w:r w:rsidRPr="17D008AF" w:rsidR="00560304">
        <w:rPr>
          <w:rFonts w:ascii="Arial" w:hAnsi="Arial" w:cs="Arial"/>
          <w:lang w:val="es-ES"/>
        </w:rPr>
        <w:t>a</w:t>
      </w:r>
      <w:r w:rsidRPr="17D008AF" w:rsidR="00D64157">
        <w:rPr>
          <w:rFonts w:ascii="Arial" w:hAnsi="Arial" w:cs="Arial"/>
          <w:lang w:val="es-ES"/>
        </w:rPr>
        <w:t xml:space="preserve"> </w:t>
      </w:r>
      <w:r w:rsidRPr="17D008AF" w:rsidR="00560304">
        <w:rPr>
          <w:rFonts w:ascii="Arial" w:hAnsi="Arial" w:cs="Arial"/>
          <w:lang w:val="es-ES"/>
        </w:rPr>
        <w:t>razón</w:t>
      </w:r>
      <w:r w:rsidRPr="17D008AF" w:rsidR="00D64157">
        <w:rPr>
          <w:rFonts w:ascii="Arial" w:hAnsi="Arial" w:cs="Arial"/>
          <w:lang w:val="es-ES"/>
        </w:rPr>
        <w:t xml:space="preserve"> beneficio</w:t>
      </w:r>
      <w:r w:rsidRPr="17D008AF" w:rsidR="00A552B4">
        <w:rPr>
          <w:rFonts w:ascii="Arial" w:hAnsi="Arial" w:cs="Arial"/>
          <w:lang w:val="es-ES"/>
        </w:rPr>
        <w:t>/</w:t>
      </w:r>
      <w:r w:rsidRPr="17D008AF" w:rsidR="00D64157">
        <w:rPr>
          <w:rFonts w:ascii="Arial" w:hAnsi="Arial" w:cs="Arial"/>
          <w:lang w:val="es-ES"/>
        </w:rPr>
        <w:t xml:space="preserve">costo de </w:t>
      </w:r>
      <w:r w:rsidRPr="17D008AF">
        <w:rPr>
          <w:rFonts w:ascii="Arial" w:hAnsi="Arial" w:cs="Arial"/>
          <w:lang w:val="es-ES"/>
        </w:rPr>
        <w:t>1</w:t>
      </w:r>
      <w:r w:rsidRPr="17D008AF" w:rsidR="00560304">
        <w:rPr>
          <w:rFonts w:ascii="Arial" w:hAnsi="Arial" w:cs="Arial"/>
          <w:lang w:val="es-ES"/>
        </w:rPr>
        <w:t>,</w:t>
      </w:r>
      <w:r w:rsidRPr="17D008AF">
        <w:rPr>
          <w:rFonts w:ascii="Arial" w:hAnsi="Arial" w:cs="Arial"/>
          <w:lang w:val="es-ES"/>
        </w:rPr>
        <w:t>1</w:t>
      </w:r>
      <w:r w:rsidRPr="17D008AF" w:rsidR="007F0091">
        <w:rPr>
          <w:rFonts w:ascii="Arial" w:hAnsi="Arial" w:cs="Arial"/>
          <w:lang w:val="es-ES"/>
        </w:rPr>
        <w:t>3</w:t>
      </w:r>
      <w:r w:rsidRPr="17D008AF" w:rsidR="00D64157">
        <w:rPr>
          <w:rFonts w:ascii="Arial" w:hAnsi="Arial" w:cs="Arial"/>
          <w:lang w:val="es-ES"/>
        </w:rPr>
        <w:t xml:space="preserve"> y una tasa interna de retorno de </w:t>
      </w:r>
      <w:r w:rsidRPr="17D008AF">
        <w:rPr>
          <w:rFonts w:ascii="Arial" w:hAnsi="Arial" w:cs="Arial"/>
          <w:lang w:val="es-ES"/>
        </w:rPr>
        <w:t>1</w:t>
      </w:r>
      <w:r w:rsidRPr="17D008AF" w:rsidR="00623D18">
        <w:rPr>
          <w:rFonts w:ascii="Arial" w:hAnsi="Arial" w:cs="Arial"/>
          <w:lang w:val="es-ES"/>
        </w:rPr>
        <w:t>5</w:t>
      </w:r>
      <w:r w:rsidRPr="17D008AF" w:rsidR="00DD4265">
        <w:rPr>
          <w:rFonts w:ascii="Arial" w:hAnsi="Arial" w:cs="Arial"/>
          <w:lang w:val="es-ES"/>
        </w:rPr>
        <w:t>,</w:t>
      </w:r>
      <w:r w:rsidRPr="17D008AF" w:rsidR="007F0091">
        <w:rPr>
          <w:rFonts w:ascii="Arial" w:hAnsi="Arial" w:cs="Arial"/>
          <w:lang w:val="es-ES"/>
        </w:rPr>
        <w:t>51</w:t>
      </w:r>
      <w:r w:rsidRPr="17D008AF">
        <w:rPr>
          <w:rFonts w:ascii="Arial" w:hAnsi="Arial" w:cs="Arial"/>
          <w:lang w:val="es-ES"/>
        </w:rPr>
        <w:t>%</w:t>
      </w:r>
      <w:r w:rsidRPr="17D008AF" w:rsidR="00D64157">
        <w:rPr>
          <w:rFonts w:ascii="Arial" w:hAnsi="Arial" w:cs="Arial"/>
          <w:lang w:val="es-ES"/>
        </w:rPr>
        <w:t xml:space="preserve">. </w:t>
      </w:r>
      <w:r w:rsidRPr="17D008AF" w:rsidR="00DD4265">
        <w:rPr>
          <w:rFonts w:ascii="Arial" w:hAnsi="Arial" w:cs="Arial"/>
          <w:lang w:val="es-ES"/>
        </w:rPr>
        <w:t>El VPN del subcomponente 1.1 es</w:t>
      </w:r>
      <w:r w:rsidRPr="17D008AF" w:rsidR="00F64049">
        <w:rPr>
          <w:rFonts w:ascii="Arial" w:hAnsi="Arial" w:cs="Arial"/>
          <w:lang w:val="es-ES"/>
        </w:rPr>
        <w:t xml:space="preserve"> USD</w:t>
      </w:r>
      <w:r w:rsidRPr="17D008AF" w:rsidR="007F0091">
        <w:rPr>
          <w:rFonts w:ascii="Arial" w:hAnsi="Arial" w:cs="Arial"/>
          <w:lang w:val="es-ES"/>
        </w:rPr>
        <w:t>58,</w:t>
      </w:r>
      <w:r w:rsidRPr="17D008AF" w:rsidR="00A4351A">
        <w:rPr>
          <w:rFonts w:ascii="Arial" w:hAnsi="Arial" w:cs="Arial"/>
          <w:lang w:val="es-ES"/>
        </w:rPr>
        <w:t>87</w:t>
      </w:r>
      <w:r w:rsidRPr="17D008AF" w:rsidR="00F64049">
        <w:rPr>
          <w:rFonts w:ascii="Arial" w:hAnsi="Arial" w:cs="Arial"/>
          <w:lang w:val="es-ES"/>
        </w:rPr>
        <w:t xml:space="preserve"> millones</w:t>
      </w:r>
      <w:r w:rsidRPr="17D008AF" w:rsidR="00DD4265">
        <w:rPr>
          <w:rFonts w:ascii="Arial" w:hAnsi="Arial" w:cs="Arial"/>
          <w:lang w:val="es-ES"/>
        </w:rPr>
        <w:t xml:space="preserve"> y del subcomponente 1.2 es </w:t>
      </w:r>
      <w:r w:rsidRPr="17D008AF" w:rsidR="00F64049">
        <w:rPr>
          <w:rFonts w:ascii="Arial" w:hAnsi="Arial" w:cs="Arial"/>
          <w:lang w:val="es-ES"/>
        </w:rPr>
        <w:t>USD</w:t>
      </w:r>
      <w:r w:rsidRPr="17D008AF" w:rsidR="00360641">
        <w:rPr>
          <w:rFonts w:ascii="Arial" w:hAnsi="Arial" w:cs="Arial"/>
          <w:lang w:val="es-ES"/>
        </w:rPr>
        <w:t>7</w:t>
      </w:r>
      <w:r w:rsidRPr="17D008AF" w:rsidR="00F64049">
        <w:rPr>
          <w:rFonts w:ascii="Arial" w:hAnsi="Arial" w:cs="Arial"/>
          <w:lang w:val="es-ES"/>
        </w:rPr>
        <w:t>,</w:t>
      </w:r>
      <w:r w:rsidRPr="17D008AF" w:rsidR="00360641">
        <w:rPr>
          <w:rFonts w:ascii="Arial" w:hAnsi="Arial" w:cs="Arial"/>
          <w:lang w:val="es-ES"/>
        </w:rPr>
        <w:t>3</w:t>
      </w:r>
      <w:r w:rsidRPr="17D008AF" w:rsidR="00F64049">
        <w:rPr>
          <w:rFonts w:ascii="Arial" w:hAnsi="Arial" w:cs="Arial"/>
          <w:lang w:val="es-ES"/>
        </w:rPr>
        <w:t xml:space="preserve"> millones</w:t>
      </w:r>
      <w:r w:rsidRPr="17D008AF" w:rsidR="00DD4265">
        <w:rPr>
          <w:rFonts w:ascii="Arial" w:hAnsi="Arial" w:cs="Arial"/>
          <w:lang w:val="es-ES"/>
        </w:rPr>
        <w:t xml:space="preserve">.  </w:t>
      </w:r>
      <w:r w:rsidRPr="17D008AF" w:rsidR="00D64157">
        <w:rPr>
          <w:rFonts w:ascii="Arial" w:hAnsi="Arial" w:cs="Arial"/>
          <w:lang w:val="es-ES"/>
        </w:rPr>
        <w:t>Los resultados son robustos análisis de sensibilidad</w:t>
      </w:r>
      <w:r w:rsidRPr="17D008AF">
        <w:rPr>
          <w:rFonts w:ascii="Arial" w:hAnsi="Arial" w:cs="Arial"/>
          <w:lang w:val="es-ES"/>
        </w:rPr>
        <w:t xml:space="preserve">, con una tasa de descuento de 12% </w:t>
      </w:r>
      <w:r w:rsidRPr="17D008AF" w:rsidR="00DD4265">
        <w:rPr>
          <w:rFonts w:ascii="Arial" w:hAnsi="Arial" w:cs="Arial"/>
          <w:lang w:val="es-ES"/>
        </w:rPr>
        <w:t>el VPN es de USD</w:t>
      </w:r>
      <w:r w:rsidRPr="17D008AF" w:rsidR="00A4351A">
        <w:rPr>
          <w:rFonts w:ascii="Arial" w:hAnsi="Arial" w:cs="Arial"/>
          <w:lang w:val="es-ES"/>
        </w:rPr>
        <w:t>6</w:t>
      </w:r>
      <w:r w:rsidRPr="17D008AF" w:rsidR="00560304">
        <w:rPr>
          <w:rFonts w:ascii="Arial" w:hAnsi="Arial" w:cs="Arial"/>
          <w:lang w:val="es-ES"/>
        </w:rPr>
        <w:t>1,3</w:t>
      </w:r>
      <w:r w:rsidRPr="17D008AF" w:rsidR="00DD4265">
        <w:rPr>
          <w:rFonts w:ascii="Arial" w:hAnsi="Arial" w:cs="Arial"/>
          <w:lang w:val="es-ES"/>
        </w:rPr>
        <w:t xml:space="preserve"> millones</w:t>
      </w:r>
      <w:r w:rsidRPr="17D008AF" w:rsidR="00534B1C">
        <w:rPr>
          <w:rFonts w:ascii="Arial" w:hAnsi="Arial" w:cs="Arial"/>
          <w:lang w:val="es-ES"/>
        </w:rPr>
        <w:t xml:space="preserve">. </w:t>
      </w:r>
    </w:p>
    <w:p w:rsidRPr="00F30598" w:rsidR="002B06CF" w:rsidP="006B19C6" w:rsidRDefault="002B06CF" w14:paraId="007F70F6" w14:textId="6A8A24D4">
      <w:pPr>
        <w:pStyle w:val="Heading1"/>
        <w:spacing w:line="360" w:lineRule="auto"/>
        <w:rPr>
          <w:rFonts w:ascii="Arial" w:hAnsi="Arial" w:cs="Arial"/>
        </w:rPr>
      </w:pPr>
      <w:r w:rsidRPr="003C4982">
        <w:rPr>
          <w:rFonts w:ascii="Arial Bold" w:hAnsi="Arial Bold" w:cs="Arial"/>
          <w:b/>
          <w:bCs/>
          <w:smallCaps/>
          <w:sz w:val="24"/>
          <w:szCs w:val="24"/>
          <w:lang w:val="es-ES_tradnl"/>
        </w:rPr>
        <w:t>BREVE DESCRIPCIÓN DEL PROYECTO</w:t>
      </w:r>
      <w:bookmarkEnd w:id="2"/>
      <w:r w:rsidRPr="00F30598" w:rsidR="00D64157">
        <w:rPr>
          <w:rStyle w:val="FootnoteReference"/>
          <w:rFonts w:ascii="Arial" w:hAnsi="Arial" w:cs="Arial"/>
        </w:rPr>
        <w:footnoteReference w:id="2"/>
      </w:r>
    </w:p>
    <w:p w:rsidRPr="00F30598" w:rsidR="00D64157" w:rsidP="00DA26F4" w:rsidRDefault="00D64157" w14:paraId="3C189373" w14:textId="4FFAFB5E">
      <w:pPr>
        <w:spacing w:before="120" w:after="120" w:line="240" w:lineRule="auto"/>
        <w:jc w:val="both"/>
        <w:rPr>
          <w:rFonts w:ascii="Arial" w:hAnsi="Arial" w:cs="Arial"/>
          <w:lang w:val="es-AR"/>
        </w:rPr>
      </w:pPr>
      <w:r w:rsidRPr="00F30598">
        <w:rPr>
          <w:rFonts w:ascii="Arial" w:hAnsi="Arial" w:cs="Arial"/>
          <w:lang w:val="es-AR"/>
        </w:rPr>
        <w:t>El objetivo de desarrollo general de este proyecto es contribuir a asegurar niveles mínimos de calidad de vida de las personas vulnerables frente a la crisis causada por el COVID-19. El objetivo específico es apoyar niveles mínimos de ingreso de personas afectadas por el coronavirus, en el periodo inmediato y durante la recuperación. La operación está estructurada en un componente y dos subcomponentes:</w:t>
      </w:r>
    </w:p>
    <w:p w:rsidRPr="0002343C" w:rsidR="00AE3947" w:rsidP="00AE3947" w:rsidRDefault="00AE3947" w14:paraId="3FD42EAF" w14:textId="06810239">
      <w:pPr>
        <w:spacing w:before="120" w:after="120"/>
        <w:jc w:val="both"/>
        <w:rPr>
          <w:rFonts w:ascii="Arial" w:hAnsi="Arial" w:cs="Arial"/>
          <w:lang w:val="es-ES_tradnl"/>
        </w:rPr>
      </w:pPr>
      <w:r w:rsidRPr="0002343C">
        <w:rPr>
          <w:rFonts w:ascii="Arial" w:hAnsi="Arial" w:cs="Arial"/>
          <w:b/>
          <w:bCs/>
          <w:lang w:val="es-ES_tradnl"/>
        </w:rPr>
        <w:t xml:space="preserve">Subcomponente 1.1. Protección de poblaciones vulnerables mediante el uso del programa Renta Dignidad. </w:t>
      </w:r>
      <w:r w:rsidRPr="0002343C">
        <w:rPr>
          <w:rFonts w:ascii="Arial" w:hAnsi="Arial" w:cs="Arial"/>
          <w:b/>
          <w:lang w:val="es-ES_tradnl"/>
        </w:rPr>
        <w:t>(US$405,3 millones)</w:t>
      </w:r>
      <w:r w:rsidRPr="0002343C">
        <w:rPr>
          <w:rFonts w:ascii="Arial" w:hAnsi="Arial" w:cs="Arial"/>
          <w:lang w:val="es-ES_tradnl"/>
        </w:rPr>
        <w:t xml:space="preserve"> Este componente financiará parcialmente las transferencias monetarias a personas que participan del programa Renta Dignidad (en particular los mayores de 60 años que no reciben ingresos por jubilación). Se incluyen aquí parte de los pagos regulares de Renta Dignidad durante los meses asociados con la crisis y recuperación (BOB 350; US$50,9 a cada persona sin jubilación u otro ingreso proveniente del Estado), así como el pago adicional anunciado como parte de las medidas económicas para atender la emergencia sanitaria bajo la Canasta Familiar, que consiste en el pago de BOB 400 a los beneficiarios que reciben Renta Dignidad y no cuentan con jubilación u otra renta. Específicamente, se planea cubrir el 100% del pago extraordinario bajo la Canasta Familiar para aproximadamente 50% de beneficiarios que reciben Renta </w:t>
      </w:r>
      <w:r w:rsidRPr="0002343C">
        <w:rPr>
          <w:rFonts w:ascii="Arial" w:hAnsi="Arial" w:cs="Arial"/>
          <w:lang w:val="es-ES_tradnl"/>
        </w:rPr>
        <w:lastRenderedPageBreak/>
        <w:t>Dignidad y no cuentan con jubilación y el 100% de 4 pagos mensuales programados también para alrededor del 50% de los beneficiarios que reciben Renta Dignidad y no cuentan con jubilación</w:t>
      </w:r>
      <w:r w:rsidRPr="00F203AB">
        <w:rPr>
          <w:rStyle w:val="FootnoteReference"/>
          <w:rFonts w:ascii="Arial" w:hAnsi="Arial" w:cs="Arial"/>
        </w:rPr>
        <w:footnoteReference w:id="3"/>
      </w:r>
      <w:r w:rsidRPr="0002343C">
        <w:rPr>
          <w:rFonts w:ascii="Arial" w:hAnsi="Arial" w:cs="Arial"/>
          <w:lang w:val="es-ES_tradnl"/>
        </w:rPr>
        <w:t xml:space="preserve">. </w:t>
      </w:r>
      <w:r w:rsidRPr="002A4BB8">
        <w:rPr>
          <w:rFonts w:ascii="Arial" w:hAnsi="Arial" w:cs="Arial"/>
          <w:lang w:val="es-ES_tradnl"/>
        </w:rPr>
        <w:t xml:space="preserve">Se espera que la mayoría de los beneficiarios de los bonos sean mujeres (en 2019 fueron 54%). </w:t>
      </w:r>
      <w:r w:rsidRPr="0002343C">
        <w:rPr>
          <w:rFonts w:ascii="Arial" w:hAnsi="Arial" w:cs="Arial"/>
          <w:lang w:val="es-ES_tradnl"/>
        </w:rPr>
        <w:t>Como parte de la entrega de los bonos, el Gobierno de Bolivia está fortaleciendo las estrategias de comunicación con los pueblos indígenas sobre temas relacionados con COVID-19, incluyendo los criterios de elegibilidad, requisitos y forma de cobrar la CF y la RD durante la emergencia sanitaria</w:t>
      </w:r>
      <w:r>
        <w:rPr>
          <w:rStyle w:val="FootnoteReference"/>
          <w:rFonts w:ascii="Arial" w:hAnsi="Arial" w:cs="Arial"/>
        </w:rPr>
        <w:footnoteReference w:id="4"/>
      </w:r>
      <w:r w:rsidRPr="0002343C">
        <w:rPr>
          <w:rFonts w:ascii="Arial" w:hAnsi="Arial" w:cs="Arial"/>
          <w:lang w:val="es-ES_tradnl"/>
        </w:rPr>
        <w:t xml:space="preserve">. </w:t>
      </w:r>
    </w:p>
    <w:p w:rsidR="00D64157" w:rsidP="00AE3947" w:rsidRDefault="00AE3947" w14:paraId="0895D973" w14:textId="4A0FCAC3">
      <w:pPr>
        <w:spacing w:before="120" w:after="120" w:line="240" w:lineRule="auto"/>
        <w:jc w:val="both"/>
        <w:rPr>
          <w:rFonts w:ascii="Arial" w:hAnsi="Arial" w:cs="Arial"/>
          <w:lang w:val="es-AR"/>
        </w:rPr>
      </w:pPr>
      <w:r w:rsidRPr="00AE3947">
        <w:rPr>
          <w:rFonts w:ascii="Arial" w:hAnsi="Arial" w:cs="Arial"/>
          <w:b/>
          <w:bCs/>
          <w:lang w:val="es-ES_tradnl"/>
        </w:rPr>
        <w:t>Subcomponente 1.2. Protección para apoyar el consumo básico de electricidad de la población vulnerable. (US$44,5 millones)</w:t>
      </w:r>
      <w:r w:rsidRPr="00F203AB">
        <w:rPr>
          <w:rStyle w:val="FootnoteReference"/>
          <w:rFonts w:ascii="Arial" w:hAnsi="Arial" w:cs="Arial"/>
        </w:rPr>
        <w:footnoteReference w:id="5"/>
      </w:r>
      <w:r w:rsidRPr="00AE3947">
        <w:rPr>
          <w:rFonts w:ascii="Arial" w:hAnsi="Arial" w:cs="Arial"/>
          <w:b/>
          <w:bCs/>
          <w:lang w:val="es-ES_tradnl"/>
        </w:rPr>
        <w:t xml:space="preserve">. </w:t>
      </w:r>
      <w:r w:rsidRPr="00AE3947">
        <w:rPr>
          <w:rFonts w:ascii="Arial" w:hAnsi="Arial" w:cs="Arial"/>
          <w:lang w:val="es-ES_tradnl"/>
        </w:rPr>
        <w:t>Reconociendo la relevancia de generar capacidad de pago del servicio de electricidad para evitar que se pronuncien aún más las desigualdades socioeconómicas de acceso, en particular para la población vulnerable, se apoyará hasta el 100% del pago de las facturas eléctricas de abril, mayo y junio de 2020 de los hogares con consumo de hasta BOB 120 mensuales (US$17)</w:t>
      </w:r>
      <w:r w:rsidRPr="00F203AB">
        <w:rPr>
          <w:rStyle w:val="FootnoteReference"/>
          <w:rFonts w:ascii="Arial" w:hAnsi="Arial" w:cs="Arial"/>
        </w:rPr>
        <w:footnoteReference w:id="6"/>
      </w:r>
      <w:r w:rsidRPr="00AE3947">
        <w:rPr>
          <w:rFonts w:ascii="Arial" w:hAnsi="Arial" w:cs="Arial"/>
          <w:lang w:val="es-ES_tradnl"/>
        </w:rPr>
        <w:t>. Se estima que hay alrededor de dos millones de clientes con un consumo igual o menor de BOB 120 mensuales (US$17)</w:t>
      </w:r>
      <w:r>
        <w:rPr>
          <w:rStyle w:val="FootnoteReference"/>
          <w:rFonts w:ascii="Arial" w:hAnsi="Arial" w:cs="Arial"/>
        </w:rPr>
        <w:footnoteReference w:id="7"/>
      </w:r>
      <w:r w:rsidRPr="00AE3947">
        <w:rPr>
          <w:rFonts w:ascii="Arial" w:hAnsi="Arial" w:cs="Arial"/>
          <w:lang w:val="es-ES_tradnl"/>
        </w:rPr>
        <w:t>.</w:t>
      </w:r>
    </w:p>
    <w:p w:rsidRPr="00DA58E9" w:rsidR="002B06CF" w:rsidP="00DA58E9" w:rsidRDefault="002B06CF" w14:paraId="7C06C806" w14:textId="3F197E9D">
      <w:pPr>
        <w:pStyle w:val="Heading1"/>
        <w:spacing w:after="240" w:line="240" w:lineRule="auto"/>
        <w:rPr>
          <w:rFonts w:ascii="Arial Bold" w:hAnsi="Arial Bold" w:cs="Arial"/>
          <w:b/>
          <w:bCs/>
          <w:smallCaps/>
          <w:sz w:val="24"/>
          <w:szCs w:val="24"/>
          <w:lang w:val="es-ES_tradnl"/>
        </w:rPr>
      </w:pPr>
      <w:bookmarkStart w:name="_Toc38020653" w:id="3"/>
      <w:r w:rsidRPr="00DA58E9">
        <w:rPr>
          <w:rFonts w:ascii="Arial Bold" w:hAnsi="Arial Bold" w:cs="Arial"/>
          <w:b/>
          <w:bCs/>
          <w:smallCaps/>
          <w:sz w:val="24"/>
          <w:szCs w:val="24"/>
          <w:lang w:val="es-ES_tradnl"/>
        </w:rPr>
        <w:t>ANÁLISIS ECONÓMICO DE</w:t>
      </w:r>
      <w:bookmarkEnd w:id="3"/>
      <w:r w:rsidRPr="00DA58E9" w:rsidR="00D0671B">
        <w:rPr>
          <w:rFonts w:ascii="Arial Bold" w:hAnsi="Arial Bold" w:cs="Arial"/>
          <w:b/>
          <w:bCs/>
          <w:smallCaps/>
          <w:sz w:val="24"/>
          <w:szCs w:val="24"/>
          <w:lang w:val="es-ES_tradnl"/>
        </w:rPr>
        <w:t>L PROGRAMA DE APOYO A POBLACIONES VULNERABLES EN BOLIVIA</w:t>
      </w:r>
    </w:p>
    <w:p w:rsidRPr="00F30598" w:rsidR="00926D5C" w:rsidP="00DA58E9" w:rsidRDefault="00926D5C" w14:paraId="3491B01D" w14:textId="758DBCA1">
      <w:pPr>
        <w:pStyle w:val="ColorfulList-Accent11"/>
        <w:spacing w:before="120" w:after="120" w:line="240" w:lineRule="auto"/>
        <w:ind w:left="0"/>
        <w:contextualSpacing w:val="0"/>
        <w:jc w:val="both"/>
        <w:rPr>
          <w:rFonts w:ascii="Arial" w:hAnsi="Arial" w:cs="Arial"/>
          <w:b/>
          <w:lang w:val="es-ES_tradnl"/>
        </w:rPr>
      </w:pPr>
      <w:r w:rsidRPr="00F30598">
        <w:rPr>
          <w:rFonts w:ascii="Arial" w:hAnsi="Arial" w:cs="Arial"/>
          <w:b/>
          <w:lang w:val="es-ES_tradnl"/>
        </w:rPr>
        <w:t>Enfoque general</w:t>
      </w:r>
    </w:p>
    <w:p w:rsidRPr="00F30598" w:rsidR="00926D5C" w:rsidP="00DA58E9" w:rsidRDefault="00926D5C" w14:paraId="224A97DC" w14:textId="2477F236">
      <w:pPr>
        <w:spacing w:before="120" w:after="120" w:line="240" w:lineRule="auto"/>
        <w:jc w:val="both"/>
        <w:rPr>
          <w:rFonts w:ascii="Arial" w:hAnsi="Arial" w:eastAsia="Arial" w:cs="Arial"/>
          <w:lang w:val="es-ES_tradnl"/>
        </w:rPr>
      </w:pPr>
      <w:r w:rsidRPr="00F30598">
        <w:rPr>
          <w:rFonts w:ascii="Arial" w:hAnsi="Arial" w:eastAsia="Arial" w:cs="Arial"/>
          <w:lang w:val="es-ES_tradnl"/>
        </w:rPr>
        <w:t xml:space="preserve">El análisis económico </w:t>
      </w:r>
      <w:r w:rsidR="003F74A0">
        <w:rPr>
          <w:rFonts w:ascii="Arial" w:hAnsi="Arial" w:eastAsia="Arial" w:cs="Arial"/>
          <w:lang w:val="es-ES_tradnl"/>
        </w:rPr>
        <w:t xml:space="preserve">general </w:t>
      </w:r>
      <w:r w:rsidRPr="00F30598">
        <w:rPr>
          <w:rFonts w:ascii="Arial" w:hAnsi="Arial" w:eastAsia="Arial" w:cs="Arial"/>
          <w:lang w:val="es-ES_tradnl"/>
        </w:rPr>
        <w:t>presentado en el anexo cuantifica beneficios de dos tipos asociados a las intervenciones contempladas en el prototipo. En primer lugar, y dado que varias de las intervenciones buscan transferir recursos a las familias vulnerables que están viendo afectados sus ingresos de manera significativa, se presentan los beneficios asociados al efecto multiplicador en la economía que tiene el gasto de las familias beneficiarias de transferencias, así como las ventajas de poder suavizar el patrón de consumo de las familias (modelado, siguiendo la literatura, a partir de evitar que los menores deban abandonar la escuela para apoyar a sus familias) . En segundo lugar, se presentan los beneficios asociados a la preservación del capital humano ante la crisis</w:t>
      </w:r>
      <w:r w:rsidR="00B07E90">
        <w:rPr>
          <w:rFonts w:ascii="Arial" w:hAnsi="Arial" w:eastAsia="Arial" w:cs="Arial"/>
          <w:lang w:val="es-ES_tradnl"/>
        </w:rPr>
        <w:t xml:space="preserve"> de intervenciones asociada con el mercado laboral y el sector educativo. </w:t>
      </w:r>
    </w:p>
    <w:p w:rsidRPr="00F30598" w:rsidR="00926D5C" w:rsidP="00DA58E9" w:rsidRDefault="00A8366D" w14:paraId="3EFD76B1" w14:textId="5A737617">
      <w:pPr>
        <w:spacing w:before="120" w:after="120" w:line="240" w:lineRule="auto"/>
        <w:jc w:val="both"/>
        <w:rPr>
          <w:rFonts w:ascii="Arial" w:hAnsi="Arial" w:eastAsia="Arial" w:cs="Arial"/>
          <w:lang w:val="es-ES_tradnl"/>
        </w:rPr>
      </w:pPr>
      <w:r w:rsidRPr="00F30598">
        <w:rPr>
          <w:rFonts w:ascii="Arial" w:hAnsi="Arial" w:eastAsia="Arial" w:cs="Arial"/>
          <w:lang w:val="es-ES_tradnl"/>
        </w:rPr>
        <w:t xml:space="preserve"> </w:t>
      </w:r>
      <w:r w:rsidRPr="00F30598" w:rsidR="00926D5C">
        <w:rPr>
          <w:rFonts w:ascii="Arial" w:hAnsi="Arial" w:eastAsia="Arial" w:cs="Arial"/>
          <w:lang w:val="es-ES_tradnl"/>
        </w:rPr>
        <w:t xml:space="preserve">Para la presente operación, y dado que los apoyos consisten principalmente en transferencias a personas mayores de 60 años, </w:t>
      </w:r>
      <w:r w:rsidR="00D0671B">
        <w:rPr>
          <w:rFonts w:ascii="Arial" w:hAnsi="Arial" w:eastAsia="Arial" w:cs="Arial"/>
          <w:lang w:val="es-ES_tradnl"/>
        </w:rPr>
        <w:t xml:space="preserve">así como </w:t>
      </w:r>
      <w:r>
        <w:rPr>
          <w:rFonts w:ascii="Arial" w:hAnsi="Arial" w:eastAsia="Arial" w:cs="Arial"/>
          <w:lang w:val="es-ES_tradnl"/>
        </w:rPr>
        <w:t xml:space="preserve">apoyos para cubrir las facturas de electricidad de familias con bajo consumo energético, </w:t>
      </w:r>
      <w:r w:rsidRPr="00F30598" w:rsidR="00926D5C">
        <w:rPr>
          <w:rFonts w:ascii="Arial" w:hAnsi="Arial" w:eastAsia="Arial" w:cs="Arial"/>
          <w:lang w:val="es-ES_tradnl"/>
        </w:rPr>
        <w:t xml:space="preserve">únicamente se modelará el impacto asociado </w:t>
      </w:r>
      <w:r w:rsidR="00C44AE8">
        <w:rPr>
          <w:rFonts w:ascii="Arial" w:hAnsi="Arial" w:eastAsia="Arial" w:cs="Arial"/>
          <w:lang w:val="es-ES_tradnl"/>
        </w:rPr>
        <w:t>a</w:t>
      </w:r>
      <w:r w:rsidRPr="00F30598" w:rsidR="00926D5C">
        <w:rPr>
          <w:rFonts w:ascii="Arial" w:hAnsi="Arial" w:eastAsia="Arial" w:cs="Arial"/>
          <w:lang w:val="es-ES_tradnl"/>
        </w:rPr>
        <w:t xml:space="preserve">l efecto multiplicador, que se detalla en el anexo en la sección </w:t>
      </w:r>
      <w:r w:rsidRPr="00F30598" w:rsidR="00534B1C">
        <w:rPr>
          <w:rFonts w:ascii="Arial" w:hAnsi="Arial" w:eastAsia="Arial" w:cs="Arial"/>
          <w:lang w:val="es-ES_tradnl"/>
        </w:rPr>
        <w:t>correspondiente del anexo</w:t>
      </w:r>
      <w:r w:rsidRPr="00F30598" w:rsidR="00926D5C">
        <w:rPr>
          <w:rFonts w:ascii="Arial" w:hAnsi="Arial" w:eastAsia="Arial" w:cs="Arial"/>
          <w:lang w:val="es-ES_tradnl"/>
        </w:rPr>
        <w:t>. E</w:t>
      </w:r>
      <w:r>
        <w:rPr>
          <w:rFonts w:ascii="Arial" w:hAnsi="Arial" w:eastAsia="Arial" w:cs="Arial"/>
          <w:lang w:val="es-ES_tradnl"/>
        </w:rPr>
        <w:t>sto debe considerarse como un análisis conservado</w:t>
      </w:r>
      <w:r w:rsidR="0004349E">
        <w:rPr>
          <w:rFonts w:ascii="Arial" w:hAnsi="Arial" w:eastAsia="Arial" w:cs="Arial"/>
          <w:lang w:val="es-ES_tradnl"/>
        </w:rPr>
        <w:t>r</w:t>
      </w:r>
      <w:r>
        <w:rPr>
          <w:rFonts w:ascii="Arial" w:hAnsi="Arial" w:eastAsia="Arial" w:cs="Arial"/>
          <w:lang w:val="es-ES_tradnl"/>
        </w:rPr>
        <w:t xml:space="preserve">, puesto que el objetivo último de reducir los contagios por coronavirus gracias al distanciamiento </w:t>
      </w:r>
      <w:r>
        <w:rPr>
          <w:rFonts w:ascii="Arial" w:hAnsi="Arial" w:eastAsia="Arial" w:cs="Arial"/>
          <w:lang w:val="es-ES_tradnl"/>
        </w:rPr>
        <w:lastRenderedPageBreak/>
        <w:t>social, que es fortalecido con las transferencias, no está cuantificado aquí. No obstante, en el anexo se discuten estos beneficios adicionales</w:t>
      </w:r>
      <w:r w:rsidRPr="00F30598" w:rsidR="00534B1C">
        <w:rPr>
          <w:rFonts w:ascii="Arial" w:hAnsi="Arial" w:eastAsia="Arial" w:cs="Arial"/>
          <w:lang w:val="es-ES_tradnl"/>
        </w:rPr>
        <w:t xml:space="preserve">. </w:t>
      </w:r>
    </w:p>
    <w:p w:rsidRPr="00F30598" w:rsidR="00926D5C" w:rsidP="00DA58E9" w:rsidRDefault="00926D5C" w14:paraId="1CBF385F" w14:textId="0D6151E0">
      <w:pPr>
        <w:spacing w:before="120" w:after="120" w:line="240" w:lineRule="auto"/>
        <w:rPr>
          <w:rFonts w:ascii="Arial" w:hAnsi="Arial" w:eastAsia="Arial" w:cs="Arial"/>
          <w:b/>
          <w:bCs/>
          <w:lang w:val="es-ES_tradnl"/>
        </w:rPr>
      </w:pPr>
      <w:r w:rsidRPr="00F30598">
        <w:rPr>
          <w:rFonts w:ascii="Arial" w:hAnsi="Arial" w:eastAsia="Arial" w:cs="Arial"/>
          <w:b/>
          <w:bCs/>
          <w:lang w:val="es-ES_tradnl"/>
        </w:rPr>
        <w:t>Datos específicos</w:t>
      </w:r>
    </w:p>
    <w:p w:rsidR="00926D5C" w:rsidP="00DA58E9" w:rsidRDefault="00926D5C" w14:paraId="7E8B118E" w14:textId="1EDC5511">
      <w:pPr>
        <w:spacing w:before="120" w:after="120" w:line="240" w:lineRule="auto"/>
        <w:jc w:val="both"/>
        <w:rPr>
          <w:rFonts w:ascii="Arial" w:hAnsi="Arial" w:eastAsia="Arial" w:cs="Arial"/>
          <w:lang w:val="es-ES_tradnl"/>
        </w:rPr>
      </w:pPr>
      <w:r w:rsidRPr="00F30598">
        <w:rPr>
          <w:rFonts w:ascii="Arial" w:hAnsi="Arial" w:eastAsia="Arial" w:cs="Arial"/>
          <w:lang w:val="es-ES_tradnl"/>
        </w:rPr>
        <w:t>A partir de la herramienta Excel que acompaña el análisis, se incluyeron los siguientes parámetros para el análisis</w:t>
      </w:r>
      <w:r w:rsidR="00BB38DA">
        <w:rPr>
          <w:rFonts w:ascii="Arial" w:hAnsi="Arial" w:eastAsia="Arial" w:cs="Arial"/>
          <w:lang w:val="es-ES_tradnl"/>
        </w:rPr>
        <w:t xml:space="preserve">. Las celdas en verde muestran las características específicas de los programas, las azules características del país y las amarillas parámetros del </w:t>
      </w:r>
      <w:r w:rsidR="007B56F1">
        <w:rPr>
          <w:rFonts w:ascii="Arial" w:hAnsi="Arial" w:eastAsia="Arial" w:cs="Arial"/>
          <w:lang w:val="es-ES_tradnl"/>
        </w:rPr>
        <w:t xml:space="preserve">que varían en el </w:t>
      </w:r>
      <w:r w:rsidR="00BB38DA">
        <w:rPr>
          <w:rFonts w:ascii="Arial" w:hAnsi="Arial" w:eastAsia="Arial" w:cs="Arial"/>
          <w:lang w:val="es-ES_tradnl"/>
        </w:rPr>
        <w:t xml:space="preserve">análisis </w:t>
      </w:r>
      <w:r w:rsidR="007B56F1">
        <w:rPr>
          <w:rFonts w:ascii="Arial" w:hAnsi="Arial" w:eastAsia="Arial" w:cs="Arial"/>
          <w:lang w:val="es-ES_tradnl"/>
        </w:rPr>
        <w:t>de sensibilidad</w:t>
      </w:r>
      <w:r w:rsidR="00BB38DA">
        <w:rPr>
          <w:rFonts w:ascii="Arial" w:hAnsi="Arial" w:eastAsia="Arial" w:cs="Arial"/>
          <w:lang w:val="es-ES_tradnl"/>
        </w:rPr>
        <w:t>.</w:t>
      </w:r>
      <w:r w:rsidR="00E34385">
        <w:rPr>
          <w:rFonts w:ascii="Arial" w:hAnsi="Arial" w:eastAsia="Arial" w:cs="Arial"/>
          <w:lang w:val="es-ES_tradnl"/>
        </w:rPr>
        <w:t xml:space="preserve"> Los </w:t>
      </w:r>
      <w:r w:rsidR="007A2D9E">
        <w:rPr>
          <w:rFonts w:ascii="Arial" w:hAnsi="Arial" w:eastAsia="Arial" w:cs="Arial"/>
          <w:lang w:val="es-ES_tradnl"/>
        </w:rPr>
        <w:t xml:space="preserve">parámetros </w:t>
      </w:r>
      <w:r w:rsidR="00E34385">
        <w:rPr>
          <w:rFonts w:ascii="Arial" w:hAnsi="Arial" w:eastAsia="Arial" w:cs="Arial"/>
          <w:lang w:val="es-ES_tradnl"/>
        </w:rPr>
        <w:t>clave son la efectividad del multiplicador</w:t>
      </w:r>
      <w:r w:rsidR="007A2D9E">
        <w:rPr>
          <w:rFonts w:ascii="Arial" w:hAnsi="Arial" w:eastAsia="Arial" w:cs="Arial"/>
          <w:lang w:val="es-ES_tradnl"/>
        </w:rPr>
        <w:t>,</w:t>
      </w:r>
      <w:r w:rsidR="00E34385">
        <w:rPr>
          <w:rFonts w:ascii="Arial" w:hAnsi="Arial" w:eastAsia="Arial" w:cs="Arial"/>
          <w:lang w:val="es-ES_tradnl"/>
        </w:rPr>
        <w:t xml:space="preserve"> </w:t>
      </w:r>
      <w:r w:rsidR="000924A8">
        <w:rPr>
          <w:rFonts w:ascii="Arial" w:hAnsi="Arial" w:eastAsia="Arial" w:cs="Arial"/>
          <w:lang w:val="es-ES_tradnl"/>
        </w:rPr>
        <w:t>qu</w:t>
      </w:r>
      <w:r w:rsidR="009F0DDB">
        <w:rPr>
          <w:rFonts w:ascii="Arial" w:hAnsi="Arial" w:eastAsia="Arial" w:cs="Arial"/>
          <w:lang w:val="es-ES_tradnl"/>
        </w:rPr>
        <w:t xml:space="preserve">e mide que porcentaje del beneficio potencial se espera alcanzar y </w:t>
      </w:r>
      <w:r w:rsidR="00E34385">
        <w:rPr>
          <w:rFonts w:ascii="Arial" w:hAnsi="Arial" w:eastAsia="Arial" w:cs="Arial"/>
          <w:lang w:val="es-ES_tradnl"/>
        </w:rPr>
        <w:t>se mantuvo en 80% considerando las restricciones a la actividad económica</w:t>
      </w:r>
      <w:r w:rsidR="007A2D9E">
        <w:rPr>
          <w:rFonts w:ascii="Arial" w:hAnsi="Arial" w:eastAsia="Arial" w:cs="Arial"/>
          <w:lang w:val="es-ES_tradnl"/>
        </w:rPr>
        <w:t xml:space="preserve"> (siguiendo el enfoque del análisis general)</w:t>
      </w:r>
      <w:r w:rsidR="00E34385">
        <w:rPr>
          <w:rFonts w:ascii="Arial" w:hAnsi="Arial" w:eastAsia="Arial" w:cs="Arial"/>
          <w:lang w:val="es-ES_tradnl"/>
        </w:rPr>
        <w:t>, la propensión al consumo que es de 0.68 y la propensión a importar de 0.36 (</w:t>
      </w:r>
      <w:r w:rsidR="00502C79">
        <w:rPr>
          <w:rFonts w:ascii="Arial" w:hAnsi="Arial" w:eastAsia="Arial" w:cs="Arial"/>
          <w:lang w:val="es-ES_tradnl"/>
        </w:rPr>
        <w:t xml:space="preserve">en </w:t>
      </w:r>
      <w:r w:rsidR="00E34385">
        <w:rPr>
          <w:rFonts w:ascii="Arial" w:hAnsi="Arial" w:eastAsia="Arial" w:cs="Arial"/>
          <w:lang w:val="es-ES_tradnl"/>
        </w:rPr>
        <w:t xml:space="preserve">el primero se plantea un </w:t>
      </w:r>
      <w:r w:rsidR="00502C79">
        <w:rPr>
          <w:rFonts w:ascii="Arial" w:hAnsi="Arial" w:eastAsia="Arial" w:cs="Arial"/>
          <w:lang w:val="es-ES_tradnl"/>
        </w:rPr>
        <w:t xml:space="preserve">valor </w:t>
      </w:r>
      <w:r w:rsidR="00E34385">
        <w:rPr>
          <w:rFonts w:ascii="Arial" w:hAnsi="Arial" w:eastAsia="Arial" w:cs="Arial"/>
          <w:lang w:val="es-ES_tradnl"/>
        </w:rPr>
        <w:t xml:space="preserve">ligeramente superior al observado en los último años </w:t>
      </w:r>
      <w:r w:rsidR="002E61A2">
        <w:rPr>
          <w:rFonts w:ascii="Arial" w:hAnsi="Arial" w:eastAsia="Arial" w:cs="Arial"/>
          <w:lang w:val="es-ES_tradnl"/>
        </w:rPr>
        <w:t xml:space="preserve">en </w:t>
      </w:r>
      <w:r w:rsidR="00C44864">
        <w:rPr>
          <w:rFonts w:ascii="Arial" w:hAnsi="Arial" w:eastAsia="Arial" w:cs="Arial"/>
          <w:lang w:val="es-ES_tradnl"/>
        </w:rPr>
        <w:t>los</w:t>
      </w:r>
      <w:r w:rsidR="002E61A2">
        <w:rPr>
          <w:rFonts w:ascii="Arial" w:hAnsi="Arial" w:eastAsia="Arial" w:cs="Arial"/>
          <w:lang w:val="es-ES_tradnl"/>
        </w:rPr>
        <w:t xml:space="preserve"> WDI </w:t>
      </w:r>
      <w:r w:rsidR="00E34385">
        <w:rPr>
          <w:rFonts w:ascii="Arial" w:hAnsi="Arial" w:eastAsia="Arial" w:cs="Arial"/>
          <w:lang w:val="es-ES_tradnl"/>
        </w:rPr>
        <w:t>debido a que se espera que en este contexto aumenta la proporción del ingreso que se consume dada la disminución general del ingreso, y el valor es menor al reportado en 2011 que era de 0.71; el último dato podría ser más bajo dadas las restricciones a los flujos comerciales)</w:t>
      </w:r>
      <w:r w:rsidR="002A4BB8">
        <w:rPr>
          <w:rFonts w:ascii="Arial" w:hAnsi="Arial" w:eastAsia="Arial" w:cs="Arial"/>
          <w:lang w:val="es-ES_tradnl"/>
        </w:rPr>
        <w:t>.</w:t>
      </w:r>
    </w:p>
    <w:p w:rsidR="00F467F9" w:rsidP="00DA58E9" w:rsidRDefault="00F467F9" w14:paraId="00385430" w14:textId="0C0254D6">
      <w:pPr>
        <w:spacing w:before="120" w:after="120" w:line="240" w:lineRule="auto"/>
        <w:jc w:val="both"/>
        <w:rPr>
          <w:rFonts w:ascii="Arial" w:hAnsi="Arial" w:eastAsia="Arial" w:cs="Arial"/>
          <w:lang w:val="es-ES_tradnl"/>
        </w:rPr>
      </w:pPr>
    </w:p>
    <w:p w:rsidR="00F467F9" w:rsidP="00DA58E9" w:rsidRDefault="00F467F9" w14:paraId="507D4D57" w14:textId="147824CE">
      <w:pPr>
        <w:spacing w:before="120" w:after="120" w:line="240" w:lineRule="auto"/>
        <w:jc w:val="both"/>
        <w:rPr>
          <w:rFonts w:ascii="Arial" w:hAnsi="Arial" w:eastAsia="Arial" w:cs="Arial"/>
          <w:lang w:val="es-ES_tradnl"/>
        </w:rPr>
      </w:pPr>
      <w:r w:rsidRPr="00F467F9">
        <w:rPr>
          <w:noProof/>
        </w:rPr>
        <w:drawing>
          <wp:inline distT="0" distB="0" distL="0" distR="0" wp14:anchorId="580A5282" wp14:editId="38DB65FE">
            <wp:extent cx="5612130" cy="2218055"/>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612130" cy="2218055"/>
                    </a:xfrm>
                    <a:prstGeom prst="rect">
                      <a:avLst/>
                    </a:prstGeom>
                    <a:noFill/>
                    <a:ln>
                      <a:noFill/>
                    </a:ln>
                  </pic:spPr>
                </pic:pic>
              </a:graphicData>
            </a:graphic>
          </wp:inline>
        </w:drawing>
      </w:r>
    </w:p>
    <w:p w:rsidR="00E4480A" w:rsidP="00926D5C" w:rsidRDefault="00E4480A" w14:paraId="4A5B2427" w14:textId="77777777">
      <w:pPr>
        <w:spacing w:after="0" w:line="288" w:lineRule="auto"/>
        <w:jc w:val="both"/>
        <w:rPr>
          <w:rFonts w:ascii="Arial" w:hAnsi="Arial" w:eastAsia="Arial" w:cs="Arial"/>
          <w:lang w:val="es-ES_tradnl"/>
        </w:rPr>
      </w:pPr>
    </w:p>
    <w:p w:rsidR="00BB38DA" w:rsidP="00926D5C" w:rsidRDefault="00BB38DA" w14:paraId="7D5962D1" w14:textId="53E49AD0">
      <w:pPr>
        <w:spacing w:after="0" w:line="288" w:lineRule="auto"/>
        <w:rPr>
          <w:rFonts w:ascii="Arial" w:hAnsi="Arial" w:eastAsia="Arial" w:cs="Arial"/>
          <w:b/>
          <w:bCs/>
          <w:lang w:val="es-ES_tradnl"/>
        </w:rPr>
      </w:pPr>
    </w:p>
    <w:p w:rsidR="00BB38DA" w:rsidP="00926D5C" w:rsidRDefault="00BB38DA" w14:paraId="15275C6E" w14:textId="147349D6">
      <w:pPr>
        <w:spacing w:after="0" w:line="288" w:lineRule="auto"/>
        <w:rPr>
          <w:rFonts w:ascii="Arial" w:hAnsi="Arial" w:eastAsia="Arial" w:cs="Arial"/>
          <w:b/>
          <w:bCs/>
          <w:lang w:val="es-ES_tradnl"/>
        </w:rPr>
      </w:pPr>
    </w:p>
    <w:p w:rsidR="002B2660" w:rsidRDefault="002B2660" w14:paraId="420567BA" w14:textId="77777777">
      <w:pPr>
        <w:rPr>
          <w:rFonts w:ascii="Arial" w:hAnsi="Arial" w:eastAsia="Arial" w:cs="Arial"/>
          <w:b/>
          <w:bCs/>
          <w:lang w:val="es-ES_tradnl"/>
        </w:rPr>
      </w:pPr>
      <w:r>
        <w:rPr>
          <w:rFonts w:ascii="Arial" w:hAnsi="Arial" w:eastAsia="Arial" w:cs="Arial"/>
          <w:b/>
          <w:bCs/>
          <w:lang w:val="es-ES_tradnl"/>
        </w:rPr>
        <w:br w:type="page"/>
      </w:r>
    </w:p>
    <w:p w:rsidRPr="00F30598" w:rsidR="00926D5C" w:rsidP="00DA58E9" w:rsidRDefault="00926D5C" w14:paraId="596E2844" w14:textId="4C4F9BBF">
      <w:pPr>
        <w:spacing w:before="120" w:after="120" w:line="240" w:lineRule="auto"/>
        <w:rPr>
          <w:rFonts w:ascii="Arial" w:hAnsi="Arial" w:eastAsia="Arial" w:cs="Arial"/>
          <w:b/>
          <w:bCs/>
          <w:lang w:val="es-ES_tradnl"/>
        </w:rPr>
      </w:pPr>
      <w:r w:rsidRPr="00F30598">
        <w:rPr>
          <w:rFonts w:ascii="Arial" w:hAnsi="Arial" w:eastAsia="Arial" w:cs="Arial"/>
          <w:b/>
          <w:bCs/>
          <w:lang w:val="es-ES_tradnl"/>
        </w:rPr>
        <w:lastRenderedPageBreak/>
        <w:t>Resultados.</w:t>
      </w:r>
      <w:r w:rsidR="00F64D89">
        <w:rPr>
          <w:rStyle w:val="FootnoteReference"/>
          <w:rFonts w:ascii="Arial" w:hAnsi="Arial" w:eastAsia="Arial" w:cs="Arial"/>
          <w:b/>
          <w:bCs/>
          <w:lang w:val="es-ES_tradnl"/>
        </w:rPr>
        <w:footnoteReference w:id="8"/>
      </w:r>
    </w:p>
    <w:p w:rsidR="00D64157" w:rsidP="00DA58E9" w:rsidRDefault="00BB38DA" w14:paraId="7363DE40" w14:textId="6FDE5D13">
      <w:pPr>
        <w:spacing w:before="120" w:after="120" w:line="240" w:lineRule="auto"/>
        <w:jc w:val="both"/>
        <w:rPr>
          <w:rFonts w:ascii="Arial" w:hAnsi="Arial" w:cs="Arial"/>
          <w:lang w:val="es-ES_tradnl"/>
        </w:rPr>
      </w:pPr>
      <w:r>
        <w:rPr>
          <w:rFonts w:ascii="Arial" w:hAnsi="Arial" w:cs="Arial"/>
          <w:lang w:val="es-ES_tradnl"/>
        </w:rPr>
        <w:t>La siguiente tabla muestra los resultados del análisis</w:t>
      </w:r>
      <w:r w:rsidR="00426E7D">
        <w:rPr>
          <w:rFonts w:ascii="Arial" w:hAnsi="Arial" w:cs="Arial"/>
          <w:lang w:val="es-ES_tradnl"/>
        </w:rPr>
        <w:t xml:space="preserve"> con un horizonte de un año</w:t>
      </w:r>
      <w:r>
        <w:rPr>
          <w:rFonts w:ascii="Arial" w:hAnsi="Arial" w:cs="Arial"/>
          <w:lang w:val="es-ES_tradnl"/>
        </w:rPr>
        <w:t>. Como se observa, los resultados son positivo y sugieren que la inversión tendrá rendimientos positivos para el país.</w:t>
      </w:r>
      <w:r w:rsidR="00031A5E">
        <w:rPr>
          <w:rFonts w:ascii="Arial" w:hAnsi="Arial" w:cs="Arial"/>
          <w:lang w:val="es-ES_tradnl"/>
        </w:rPr>
        <w:t xml:space="preserve"> La columna con tasa de descuento 5% es el escenario base.</w:t>
      </w:r>
    </w:p>
    <w:p w:rsidR="00426E7D" w:rsidP="002B2660" w:rsidRDefault="00426E7D" w14:paraId="6C380E89" w14:textId="77777777">
      <w:pPr>
        <w:spacing w:after="0" w:line="288" w:lineRule="auto"/>
        <w:jc w:val="both"/>
        <w:rPr>
          <w:rFonts w:ascii="Arial" w:hAnsi="Arial" w:cs="Arial"/>
          <w:lang w:val="es-ES_tradnl"/>
        </w:rPr>
      </w:pPr>
    </w:p>
    <w:p w:rsidR="002E61A2" w:rsidP="00BB38DA" w:rsidRDefault="00815F2F" w14:paraId="39EAD285" w14:textId="3404DCE6">
      <w:pPr>
        <w:jc w:val="both"/>
        <w:rPr>
          <w:rFonts w:ascii="Arial" w:hAnsi="Arial" w:cs="Arial"/>
          <w:lang w:val="es-ES_tradnl"/>
        </w:rPr>
      </w:pPr>
      <w:r w:rsidRPr="00815F2F">
        <w:rPr>
          <w:noProof/>
        </w:rPr>
        <w:drawing>
          <wp:inline distT="0" distB="0" distL="0" distR="0" wp14:anchorId="5EFDE517" wp14:editId="70F5E15D">
            <wp:extent cx="5612130" cy="1729740"/>
            <wp:effectExtent l="0" t="0" r="762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612130" cy="1729740"/>
                    </a:xfrm>
                    <a:prstGeom prst="rect">
                      <a:avLst/>
                    </a:prstGeom>
                    <a:noFill/>
                    <a:ln>
                      <a:noFill/>
                    </a:ln>
                  </pic:spPr>
                </pic:pic>
              </a:graphicData>
            </a:graphic>
          </wp:inline>
        </w:drawing>
      </w:r>
    </w:p>
    <w:p w:rsidRPr="00F30598" w:rsidR="00426E7D" w:rsidP="17D008AF" w:rsidRDefault="005130C2" w14:paraId="74457A66" w14:textId="7463DBC9">
      <w:pPr>
        <w:jc w:val="both"/>
        <w:rPr>
          <w:rFonts w:ascii="Arial" w:hAnsi="Arial" w:cs="Arial"/>
          <w:lang w:val="es-ES"/>
        </w:rPr>
      </w:pPr>
      <w:r w:rsidRPr="17D008AF">
        <w:rPr>
          <w:rFonts w:ascii="Arial" w:hAnsi="Arial" w:cs="Arial"/>
          <w:lang w:val="es-ES"/>
        </w:rPr>
        <w:t>Asimismo, variando la efectividad del multiplicador según se explica en el análisis general</w:t>
      </w:r>
      <w:r w:rsidRPr="17D008AF" w:rsidR="0002343C">
        <w:rPr>
          <w:rFonts w:ascii="Arial" w:hAnsi="Arial" w:cs="Arial"/>
          <w:lang w:val="es-ES"/>
        </w:rPr>
        <w:t xml:space="preserve"> (y manteniendo una tasa de descuento de 5%)</w:t>
      </w:r>
      <w:r w:rsidRPr="17D008AF">
        <w:rPr>
          <w:rFonts w:ascii="Arial" w:hAnsi="Arial" w:cs="Arial"/>
          <w:lang w:val="es-ES"/>
        </w:rPr>
        <w:t xml:space="preserve">, se observa que el VPN </w:t>
      </w:r>
      <w:r w:rsidRPr="17D008AF" w:rsidR="006605E6">
        <w:rPr>
          <w:rFonts w:ascii="Arial" w:hAnsi="Arial" w:cs="Arial"/>
          <w:lang w:val="es-ES"/>
        </w:rPr>
        <w:t>aumenta de manera significativa si la efectividad sube a 8</w:t>
      </w:r>
      <w:r w:rsidRPr="17D008AF" w:rsidR="00542DC8">
        <w:rPr>
          <w:rFonts w:ascii="Arial" w:hAnsi="Arial" w:cs="Arial"/>
          <w:lang w:val="es-ES"/>
        </w:rPr>
        <w:t>5</w:t>
      </w:r>
      <w:r w:rsidRPr="17D008AF" w:rsidR="006605E6">
        <w:rPr>
          <w:rFonts w:ascii="Arial" w:hAnsi="Arial" w:cs="Arial"/>
          <w:lang w:val="es-ES"/>
        </w:rPr>
        <w:t>% (pasa a USD</w:t>
      </w:r>
      <w:r w:rsidRPr="17D008AF" w:rsidR="007B515E">
        <w:rPr>
          <w:rFonts w:ascii="Arial" w:hAnsi="Arial" w:cs="Arial"/>
          <w:lang w:val="es-ES"/>
        </w:rPr>
        <w:t>97</w:t>
      </w:r>
      <w:r w:rsidRPr="17D008AF" w:rsidR="006605E6">
        <w:rPr>
          <w:rFonts w:ascii="Arial" w:hAnsi="Arial" w:cs="Arial"/>
          <w:lang w:val="es-ES"/>
        </w:rPr>
        <w:t xml:space="preserve"> millones)</w:t>
      </w:r>
      <w:r w:rsidRPr="17D008AF" w:rsidR="00F80067">
        <w:rPr>
          <w:rFonts w:ascii="Arial" w:hAnsi="Arial" w:cs="Arial"/>
          <w:lang w:val="es-ES"/>
        </w:rPr>
        <w:t>, y si la efectividad baja a 75% sigue siendo significativo, con USD</w:t>
      </w:r>
      <w:r w:rsidRPr="17D008AF" w:rsidR="007B515E">
        <w:rPr>
          <w:rFonts w:ascii="Arial" w:hAnsi="Arial" w:cs="Arial"/>
          <w:lang w:val="es-ES"/>
        </w:rPr>
        <w:t>35</w:t>
      </w:r>
      <w:r w:rsidRPr="17D008AF" w:rsidR="00F80067">
        <w:rPr>
          <w:rFonts w:ascii="Arial" w:hAnsi="Arial" w:cs="Arial"/>
          <w:lang w:val="es-ES"/>
        </w:rPr>
        <w:t>,</w:t>
      </w:r>
      <w:r w:rsidRPr="17D008AF" w:rsidR="007B515E">
        <w:rPr>
          <w:rFonts w:ascii="Arial" w:hAnsi="Arial" w:cs="Arial"/>
          <w:lang w:val="es-ES"/>
        </w:rPr>
        <w:t>4</w:t>
      </w:r>
      <w:r w:rsidRPr="17D008AF" w:rsidR="00F80067">
        <w:rPr>
          <w:rFonts w:ascii="Arial" w:hAnsi="Arial" w:cs="Arial"/>
          <w:lang w:val="es-ES"/>
        </w:rPr>
        <w:t xml:space="preserve"> millones.</w:t>
      </w:r>
    </w:p>
    <w:p w:rsidR="002E61A2" w:rsidRDefault="00542DC8" w14:paraId="7194D3C9" w14:textId="3BBE30B8">
      <w:pPr>
        <w:rPr>
          <w:rFonts w:ascii="Arial" w:hAnsi="Arial" w:cs="Arial" w:eastAsiaTheme="majorEastAsia"/>
          <w:color w:val="2E74B5" w:themeColor="accent1" w:themeShade="BF"/>
          <w:sz w:val="32"/>
          <w:szCs w:val="32"/>
          <w:lang w:val="es-AR"/>
        </w:rPr>
      </w:pPr>
      <w:bookmarkStart w:name="_Toc38020654" w:id="4"/>
      <w:r w:rsidRPr="00542DC8">
        <w:rPr>
          <w:noProof/>
        </w:rPr>
        <w:drawing>
          <wp:inline distT="0" distB="0" distL="0" distR="0" wp14:anchorId="32AA0A4F" wp14:editId="33AC4FD4">
            <wp:extent cx="5612130" cy="1729740"/>
            <wp:effectExtent l="0" t="0" r="7620"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612130" cy="1729740"/>
                    </a:xfrm>
                    <a:prstGeom prst="rect">
                      <a:avLst/>
                    </a:prstGeom>
                    <a:noFill/>
                    <a:ln>
                      <a:noFill/>
                    </a:ln>
                  </pic:spPr>
                </pic:pic>
              </a:graphicData>
            </a:graphic>
          </wp:inline>
        </w:drawing>
      </w:r>
      <w:r w:rsidRPr="17D008AF" w:rsidR="00CB780D">
        <w:rPr>
          <w:lang w:val="es-ES"/>
        </w:rPr>
        <w:t xml:space="preserve"> </w:t>
      </w:r>
      <w:r w:rsidRPr="17D008AF" w:rsidR="002E61A2">
        <w:rPr>
          <w:rFonts w:ascii="Arial" w:hAnsi="Arial" w:cs="Arial"/>
          <w:lang w:val="es-ES"/>
        </w:rPr>
        <w:br w:type="page"/>
      </w:r>
    </w:p>
    <w:p w:rsidRPr="00F30598" w:rsidR="007E12AF" w:rsidP="00DA58E9" w:rsidRDefault="00343E9F" w14:paraId="234BF84B" w14:textId="6B3529E3">
      <w:pPr>
        <w:pStyle w:val="Heading1"/>
        <w:spacing w:after="240" w:line="360" w:lineRule="auto"/>
        <w:rPr>
          <w:rFonts w:ascii="Arial" w:hAnsi="Arial" w:cs="Arial"/>
        </w:rPr>
      </w:pPr>
      <w:r w:rsidRPr="00AC6429">
        <w:rPr>
          <w:rFonts w:ascii="Arial Bold" w:hAnsi="Arial Bold" w:cs="Arial"/>
          <w:b/>
          <w:bCs/>
          <w:smallCaps/>
          <w:sz w:val="24"/>
          <w:szCs w:val="24"/>
          <w:lang w:val="es-ES_tradnl"/>
        </w:rPr>
        <w:lastRenderedPageBreak/>
        <w:t>INTRODUCCIÓN</w:t>
      </w:r>
      <w:bookmarkEnd w:id="0"/>
      <w:r w:rsidRPr="00AC6429" w:rsidR="002B06CF">
        <w:rPr>
          <w:rFonts w:ascii="Arial Bold" w:hAnsi="Arial Bold" w:cs="Arial"/>
          <w:b/>
          <w:bCs/>
          <w:smallCaps/>
          <w:sz w:val="24"/>
          <w:szCs w:val="24"/>
          <w:lang w:val="es-ES_tradnl"/>
        </w:rPr>
        <w:t xml:space="preserve"> AL ANÁLISIS ECONÓMICO DEL PROTOTIPO</w:t>
      </w:r>
      <w:bookmarkEnd w:id="4"/>
      <w:r w:rsidRPr="00F30598" w:rsidR="002B06CF">
        <w:rPr>
          <w:rFonts w:ascii="Arial" w:hAnsi="Arial" w:cs="Arial"/>
        </w:rPr>
        <w:t xml:space="preserve"> </w:t>
      </w:r>
    </w:p>
    <w:p w:rsidRPr="00F30598" w:rsidR="00FF5851" w:rsidP="00DA58E9" w:rsidRDefault="007C71A7" w14:paraId="79ECB080" w14:textId="350EBC0F">
      <w:pPr>
        <w:spacing w:before="120" w:after="120" w:line="240" w:lineRule="auto"/>
        <w:jc w:val="both"/>
        <w:rPr>
          <w:rFonts w:ascii="Arial" w:hAnsi="Arial" w:cs="Arial"/>
          <w:sz w:val="24"/>
          <w:szCs w:val="24"/>
          <w:lang w:val="es-AR"/>
        </w:rPr>
      </w:pPr>
      <w:r w:rsidRPr="00F30598">
        <w:rPr>
          <w:rFonts w:ascii="Arial" w:hAnsi="Arial" w:cs="Arial"/>
          <w:sz w:val="24"/>
          <w:szCs w:val="24"/>
          <w:lang w:val="es-AR"/>
        </w:rPr>
        <w:t xml:space="preserve">En este documento se </w:t>
      </w:r>
      <w:r w:rsidRPr="00F30598" w:rsidR="00392C5F">
        <w:rPr>
          <w:rFonts w:ascii="Arial" w:hAnsi="Arial" w:cs="Arial"/>
          <w:sz w:val="24"/>
          <w:szCs w:val="24"/>
          <w:lang w:val="es-AR"/>
        </w:rPr>
        <w:t>presentan los resultados de</w:t>
      </w:r>
      <w:r w:rsidRPr="00F30598" w:rsidR="009B5284">
        <w:rPr>
          <w:rFonts w:ascii="Arial" w:hAnsi="Arial" w:cs="Arial"/>
          <w:sz w:val="24"/>
          <w:szCs w:val="24"/>
          <w:lang w:val="es-AR"/>
        </w:rPr>
        <w:t xml:space="preserve">l </w:t>
      </w:r>
      <w:r w:rsidRPr="00F30598">
        <w:rPr>
          <w:rFonts w:ascii="Arial" w:hAnsi="Arial" w:cs="Arial"/>
          <w:sz w:val="24"/>
          <w:szCs w:val="24"/>
          <w:lang w:val="es-AR"/>
        </w:rPr>
        <w:t>análisis económico sobre una serie de intervenciones enmarcadas en</w:t>
      </w:r>
      <w:r w:rsidRPr="00F30598" w:rsidR="009B5284">
        <w:rPr>
          <w:rFonts w:ascii="Arial" w:hAnsi="Arial" w:cs="Arial"/>
          <w:sz w:val="24"/>
          <w:szCs w:val="24"/>
          <w:lang w:val="es-AR"/>
        </w:rPr>
        <w:t xml:space="preserve"> las intervenciones contempladas en el </w:t>
      </w:r>
      <w:r w:rsidRPr="00F30598" w:rsidR="00F46A09">
        <w:rPr>
          <w:rFonts w:ascii="Arial" w:hAnsi="Arial" w:cs="Arial"/>
          <w:sz w:val="24"/>
          <w:szCs w:val="24"/>
          <w:lang w:val="es-AR"/>
        </w:rPr>
        <w:t xml:space="preserve">prototipo de </w:t>
      </w:r>
      <w:r w:rsidRPr="00F30598" w:rsidR="008A470F">
        <w:rPr>
          <w:rFonts w:ascii="Arial" w:hAnsi="Arial" w:cs="Arial"/>
          <w:sz w:val="24"/>
          <w:szCs w:val="24"/>
          <w:lang w:val="es-AR"/>
        </w:rPr>
        <w:t xml:space="preserve">Apoyo a Poblaciones Vulnerables afectadas por COVID-19, que presenta una serie de </w:t>
      </w:r>
      <w:r w:rsidRPr="00F30598" w:rsidR="00B66B8B">
        <w:rPr>
          <w:rFonts w:ascii="Arial" w:hAnsi="Arial" w:cs="Arial"/>
          <w:sz w:val="24"/>
          <w:szCs w:val="24"/>
          <w:lang w:val="es-AR"/>
        </w:rPr>
        <w:t xml:space="preserve">alternativas para incluir en operaciones de préstamo por parte del Banco Interamericano de Desarrollo a </w:t>
      </w:r>
      <w:r w:rsidRPr="00F30598" w:rsidR="00F32C7D">
        <w:rPr>
          <w:rFonts w:ascii="Arial" w:hAnsi="Arial" w:cs="Arial"/>
          <w:sz w:val="24"/>
          <w:szCs w:val="24"/>
          <w:lang w:val="es-AR"/>
        </w:rPr>
        <w:t xml:space="preserve">los países de la región para mitigar los impactos </w:t>
      </w:r>
      <w:r w:rsidRPr="00F30598" w:rsidR="009D7AF2">
        <w:rPr>
          <w:rFonts w:ascii="Arial" w:hAnsi="Arial" w:cs="Arial"/>
          <w:sz w:val="24"/>
          <w:szCs w:val="24"/>
          <w:lang w:val="es-AR"/>
        </w:rPr>
        <w:t xml:space="preserve">de la pandemia. </w:t>
      </w:r>
      <w:r w:rsidRPr="00F30598">
        <w:rPr>
          <w:rFonts w:ascii="Arial" w:hAnsi="Arial" w:cs="Arial"/>
          <w:sz w:val="24"/>
          <w:szCs w:val="24"/>
          <w:lang w:val="es-AR"/>
        </w:rPr>
        <w:t xml:space="preserve"> Si bien los ejercicios no cubren la totalidad de las intervenciones propuestas, abordan la mayoría de ellas cubriendo todos los</w:t>
      </w:r>
      <w:r w:rsidRPr="00F30598" w:rsidR="0038485E">
        <w:rPr>
          <w:rFonts w:ascii="Arial" w:hAnsi="Arial" w:cs="Arial"/>
          <w:sz w:val="24"/>
          <w:szCs w:val="24"/>
          <w:lang w:val="es-AR"/>
        </w:rPr>
        <w:t xml:space="preserve"> Componente</w:t>
      </w:r>
      <w:r w:rsidRPr="00F30598">
        <w:rPr>
          <w:rFonts w:ascii="Arial" w:hAnsi="Arial" w:cs="Arial"/>
          <w:sz w:val="24"/>
          <w:szCs w:val="24"/>
          <w:lang w:val="es-AR"/>
        </w:rPr>
        <w:t>s. Básicamente, el trabajo intenta cuantificar beneficios de dos tipos.</w:t>
      </w:r>
      <w:r w:rsidRPr="00F30598" w:rsidR="009D7AF2">
        <w:rPr>
          <w:rFonts w:ascii="Arial" w:hAnsi="Arial" w:cs="Arial"/>
          <w:sz w:val="24"/>
          <w:szCs w:val="24"/>
          <w:lang w:val="es-AR"/>
        </w:rPr>
        <w:t xml:space="preserve"> En primer lugar, y dado que varias de las intervenciones buscan transferir recursos a las familias vulnerables que están viendo afectados sus ingresos de manera significativa</w:t>
      </w:r>
      <w:r w:rsidRPr="00F30598" w:rsidR="00A2507D">
        <w:rPr>
          <w:rFonts w:ascii="Arial" w:hAnsi="Arial" w:cs="Arial"/>
          <w:sz w:val="24"/>
          <w:szCs w:val="24"/>
          <w:lang w:val="es-AR"/>
        </w:rPr>
        <w:t xml:space="preserve">, se presentan los </w:t>
      </w:r>
      <w:r w:rsidRPr="00F30598" w:rsidR="00E76A7F">
        <w:rPr>
          <w:rFonts w:ascii="Arial" w:hAnsi="Arial" w:cs="Arial"/>
          <w:sz w:val="24"/>
          <w:szCs w:val="24"/>
          <w:lang w:val="es-AR"/>
        </w:rPr>
        <w:t>beneficios asociados al efecto multiplicador en la economía que tiene el gasto de las familias beneficiarias de transferencias</w:t>
      </w:r>
      <w:r w:rsidRPr="00F30598" w:rsidR="005F14B8">
        <w:rPr>
          <w:rFonts w:ascii="Arial" w:hAnsi="Arial" w:cs="Arial"/>
          <w:sz w:val="24"/>
          <w:szCs w:val="24"/>
          <w:lang w:val="es-AR"/>
        </w:rPr>
        <w:t>, así como las ventajas de poder suavizar el patrón de consumo de l</w:t>
      </w:r>
      <w:r w:rsidRPr="00F30598" w:rsidR="00FF5851">
        <w:rPr>
          <w:rFonts w:ascii="Arial" w:hAnsi="Arial" w:cs="Arial"/>
          <w:sz w:val="24"/>
          <w:szCs w:val="24"/>
          <w:lang w:val="es-AR"/>
        </w:rPr>
        <w:t>a</w:t>
      </w:r>
      <w:r w:rsidRPr="00F30598" w:rsidR="005F14B8">
        <w:rPr>
          <w:rFonts w:ascii="Arial" w:hAnsi="Arial" w:cs="Arial"/>
          <w:sz w:val="24"/>
          <w:szCs w:val="24"/>
          <w:lang w:val="es-AR"/>
        </w:rPr>
        <w:t>s familias</w:t>
      </w:r>
      <w:r w:rsidRPr="00F30598" w:rsidR="009D7AF2">
        <w:rPr>
          <w:rFonts w:ascii="Arial" w:hAnsi="Arial" w:cs="Arial"/>
          <w:sz w:val="24"/>
          <w:szCs w:val="24"/>
          <w:lang w:val="es-AR"/>
        </w:rPr>
        <w:t xml:space="preserve">. </w:t>
      </w:r>
      <w:r w:rsidRPr="00F30598" w:rsidR="00FF5851">
        <w:rPr>
          <w:rFonts w:ascii="Arial" w:hAnsi="Arial" w:cs="Arial"/>
          <w:sz w:val="24"/>
          <w:szCs w:val="24"/>
          <w:lang w:val="es-AR"/>
        </w:rPr>
        <w:t>En segundo lugar</w:t>
      </w:r>
      <w:r w:rsidRPr="00F30598" w:rsidR="00AE1C90">
        <w:rPr>
          <w:rFonts w:ascii="Arial" w:hAnsi="Arial" w:cs="Arial"/>
          <w:sz w:val="24"/>
          <w:szCs w:val="24"/>
          <w:lang w:val="es-AR"/>
        </w:rPr>
        <w:t>, se presentan los beneficios</w:t>
      </w:r>
      <w:r w:rsidRPr="00F30598">
        <w:rPr>
          <w:rFonts w:ascii="Arial" w:hAnsi="Arial" w:cs="Arial"/>
          <w:sz w:val="24"/>
          <w:szCs w:val="24"/>
          <w:lang w:val="es-AR"/>
        </w:rPr>
        <w:t xml:space="preserve"> asociados a la preservación del capital humano ante</w:t>
      </w:r>
      <w:r w:rsidRPr="00F30598" w:rsidR="007007CC">
        <w:rPr>
          <w:rFonts w:ascii="Arial" w:hAnsi="Arial" w:cs="Arial"/>
          <w:sz w:val="24"/>
          <w:szCs w:val="24"/>
          <w:lang w:val="es-AR"/>
        </w:rPr>
        <w:t xml:space="preserve"> la crisis.</w:t>
      </w:r>
    </w:p>
    <w:p w:rsidRPr="00F30598" w:rsidR="007C71A7" w:rsidP="00DA58E9" w:rsidRDefault="007007CC" w14:paraId="7521A752" w14:textId="5D6BE83D">
      <w:pPr>
        <w:spacing w:before="120" w:after="120" w:line="240" w:lineRule="auto"/>
        <w:jc w:val="both"/>
        <w:rPr>
          <w:rFonts w:ascii="Arial" w:hAnsi="Arial" w:cs="Arial"/>
          <w:sz w:val="24"/>
          <w:szCs w:val="24"/>
          <w:lang w:val="es-AR"/>
        </w:rPr>
      </w:pPr>
      <w:r w:rsidRPr="00F30598">
        <w:rPr>
          <w:rFonts w:ascii="Arial" w:hAnsi="Arial" w:cs="Arial"/>
          <w:sz w:val="24"/>
          <w:szCs w:val="24"/>
          <w:lang w:val="es-AR"/>
        </w:rPr>
        <w:t>En algunos casos</w:t>
      </w:r>
      <w:r w:rsidRPr="00F30598" w:rsidR="00FF5851">
        <w:rPr>
          <w:rFonts w:ascii="Arial" w:hAnsi="Arial" w:cs="Arial"/>
          <w:sz w:val="24"/>
          <w:szCs w:val="24"/>
          <w:lang w:val="es-AR"/>
        </w:rPr>
        <w:t>, la pérdida de capital humano</w:t>
      </w:r>
      <w:r w:rsidRPr="00F30598">
        <w:rPr>
          <w:rFonts w:ascii="Arial" w:hAnsi="Arial" w:cs="Arial"/>
          <w:sz w:val="24"/>
          <w:szCs w:val="24"/>
          <w:lang w:val="es-AR"/>
        </w:rPr>
        <w:t xml:space="preserve"> es producto de deterioro o pérdida futura de habilidades y en otros es producto de la mortalidad y morbilidad</w:t>
      </w:r>
      <w:r w:rsidRPr="00F30598" w:rsidR="0015715F">
        <w:rPr>
          <w:rFonts w:ascii="Arial" w:hAnsi="Arial" w:cs="Arial"/>
          <w:sz w:val="24"/>
          <w:szCs w:val="24"/>
          <w:lang w:val="es-AR"/>
        </w:rPr>
        <w:t xml:space="preserve">. </w:t>
      </w:r>
      <w:r w:rsidRPr="00F30598" w:rsidR="00FF5851">
        <w:rPr>
          <w:rFonts w:ascii="Arial" w:hAnsi="Arial" w:cs="Arial"/>
          <w:sz w:val="24"/>
          <w:szCs w:val="24"/>
          <w:lang w:val="es-AR"/>
        </w:rPr>
        <w:t>Los primeros, son producto de efectos sobre la demanda de educación como consecuencia de los shocks de ingreso en los hogares más vulnerables, producto de los efectos sobre la oferta de servicios educativos debido a las medidas de aislamiento social o por perdida de capacidades de los trabajadores como consecuencia de la destrucción de empleos. Los</w:t>
      </w:r>
      <w:r w:rsidRPr="00F30598" w:rsidR="0015715F">
        <w:rPr>
          <w:rFonts w:ascii="Arial" w:hAnsi="Arial" w:cs="Arial"/>
          <w:sz w:val="24"/>
          <w:szCs w:val="24"/>
          <w:lang w:val="es-AR"/>
        </w:rPr>
        <w:t xml:space="preserve"> segundo</w:t>
      </w:r>
      <w:r w:rsidRPr="00F30598" w:rsidR="00FF5851">
        <w:rPr>
          <w:rFonts w:ascii="Arial" w:hAnsi="Arial" w:cs="Arial"/>
          <w:sz w:val="24"/>
          <w:szCs w:val="24"/>
          <w:lang w:val="es-AR"/>
        </w:rPr>
        <w:t>s</w:t>
      </w:r>
      <w:r w:rsidRPr="00F30598" w:rsidR="0015715F">
        <w:rPr>
          <w:rFonts w:ascii="Arial" w:hAnsi="Arial" w:cs="Arial"/>
          <w:sz w:val="24"/>
          <w:szCs w:val="24"/>
          <w:lang w:val="es-AR"/>
        </w:rPr>
        <w:t xml:space="preserve">, </w:t>
      </w:r>
      <w:r w:rsidRPr="00F30598" w:rsidR="00FF5851">
        <w:rPr>
          <w:rFonts w:ascii="Arial" w:hAnsi="Arial" w:cs="Arial"/>
          <w:sz w:val="24"/>
          <w:szCs w:val="24"/>
          <w:lang w:val="es-AR"/>
        </w:rPr>
        <w:t>se asocian a las muertes de población empleada y a días de trabajo perdido por parte de individuos infectados</w:t>
      </w:r>
      <w:r w:rsidRPr="00F30598" w:rsidR="0015715F">
        <w:rPr>
          <w:rFonts w:ascii="Arial" w:hAnsi="Arial" w:cs="Arial"/>
          <w:sz w:val="24"/>
          <w:szCs w:val="24"/>
          <w:lang w:val="es-AR"/>
        </w:rPr>
        <w:t>.</w:t>
      </w:r>
    </w:p>
    <w:p w:rsidRPr="00F30598" w:rsidR="0015715F" w:rsidP="00DA58E9" w:rsidRDefault="0015715F" w14:paraId="3C669EB4" w14:textId="07B5EFCB">
      <w:pPr>
        <w:spacing w:before="120" w:after="120" w:line="240" w:lineRule="auto"/>
        <w:jc w:val="both"/>
        <w:rPr>
          <w:rFonts w:ascii="Arial" w:hAnsi="Arial" w:cs="Arial"/>
          <w:sz w:val="24"/>
          <w:szCs w:val="24"/>
          <w:lang w:val="es-AR"/>
        </w:rPr>
      </w:pPr>
      <w:r w:rsidRPr="00F30598">
        <w:rPr>
          <w:rFonts w:ascii="Arial" w:hAnsi="Arial" w:cs="Arial"/>
          <w:sz w:val="24"/>
          <w:szCs w:val="24"/>
          <w:lang w:val="es-AR"/>
        </w:rPr>
        <w:t xml:space="preserve">Las intervenciones analizadas son las siguientes: </w:t>
      </w:r>
      <w:r w:rsidRPr="00F30598" w:rsidR="008916B7">
        <w:rPr>
          <w:rFonts w:ascii="Arial" w:hAnsi="Arial" w:cs="Arial"/>
          <w:sz w:val="24"/>
          <w:szCs w:val="24"/>
          <w:lang w:val="es-AR"/>
        </w:rPr>
        <w:t>Transferencias a familiares de infectados en situación de vulnerabilidad (Componente 1). Transferencias a población identificada previamente como vulnerable</w:t>
      </w:r>
      <w:r w:rsidRPr="00F30598" w:rsidR="00AB0747">
        <w:rPr>
          <w:rFonts w:ascii="Arial" w:hAnsi="Arial" w:cs="Arial"/>
          <w:sz w:val="24"/>
          <w:szCs w:val="24"/>
          <w:lang w:val="es-AR"/>
        </w:rPr>
        <w:t xml:space="preserve"> que recibe programas sociales o está en </w:t>
      </w:r>
      <w:proofErr w:type="gramStart"/>
      <w:r w:rsidRPr="00F30598" w:rsidR="00AB0747">
        <w:rPr>
          <w:rFonts w:ascii="Arial" w:hAnsi="Arial" w:cs="Arial"/>
          <w:sz w:val="24"/>
          <w:szCs w:val="24"/>
          <w:lang w:val="es-AR"/>
        </w:rPr>
        <w:t>los sistema</w:t>
      </w:r>
      <w:proofErr w:type="gramEnd"/>
      <w:r w:rsidRPr="00F30598" w:rsidR="00AB0747">
        <w:rPr>
          <w:rFonts w:ascii="Arial" w:hAnsi="Arial" w:cs="Arial"/>
          <w:sz w:val="24"/>
          <w:szCs w:val="24"/>
          <w:lang w:val="es-AR"/>
        </w:rPr>
        <w:t xml:space="preserve"> de registro social de los países</w:t>
      </w:r>
      <w:r w:rsidRPr="00F30598" w:rsidR="008916B7">
        <w:rPr>
          <w:rFonts w:ascii="Arial" w:hAnsi="Arial" w:cs="Arial"/>
          <w:sz w:val="24"/>
          <w:szCs w:val="24"/>
          <w:lang w:val="es-AR"/>
        </w:rPr>
        <w:t xml:space="preserve"> (Componente 2). Transferencias a población vulnerable que no era beneficiaria de programas preexistentes</w:t>
      </w:r>
      <w:r w:rsidRPr="00F30598" w:rsidR="00AB0747">
        <w:rPr>
          <w:rFonts w:ascii="Arial" w:hAnsi="Arial" w:cs="Arial"/>
          <w:sz w:val="24"/>
          <w:szCs w:val="24"/>
          <w:lang w:val="es-AR"/>
        </w:rPr>
        <w:t xml:space="preserve"> ni estaba en los sistemas de registro social de los países</w:t>
      </w:r>
      <w:r w:rsidRPr="00F30598" w:rsidR="008916B7">
        <w:rPr>
          <w:rFonts w:ascii="Arial" w:hAnsi="Arial" w:cs="Arial"/>
          <w:sz w:val="24"/>
          <w:szCs w:val="24"/>
          <w:lang w:val="es-AR"/>
        </w:rPr>
        <w:t xml:space="preserve"> (Componente 3). Intervenciones de “Cash </w:t>
      </w:r>
      <w:proofErr w:type="spellStart"/>
      <w:r w:rsidRPr="00F30598" w:rsidR="008916B7">
        <w:rPr>
          <w:rFonts w:ascii="Arial" w:hAnsi="Arial" w:cs="Arial"/>
          <w:sz w:val="24"/>
          <w:szCs w:val="24"/>
          <w:lang w:val="es-AR"/>
        </w:rPr>
        <w:t>for</w:t>
      </w:r>
      <w:proofErr w:type="spellEnd"/>
      <w:r w:rsidRPr="00F30598" w:rsidR="008916B7">
        <w:rPr>
          <w:rFonts w:ascii="Arial" w:hAnsi="Arial" w:cs="Arial"/>
          <w:sz w:val="24"/>
          <w:szCs w:val="24"/>
          <w:lang w:val="es-AR"/>
        </w:rPr>
        <w:t xml:space="preserve"> Training” (Componente 3). </w:t>
      </w:r>
      <w:r w:rsidRPr="00F30598" w:rsidR="00D03CB4">
        <w:rPr>
          <w:rFonts w:ascii="Arial" w:hAnsi="Arial" w:eastAsia="Times New Roman" w:cs="Arial"/>
          <w:sz w:val="24"/>
          <w:szCs w:val="24"/>
          <w:lang w:val="es-MX"/>
        </w:rPr>
        <w:t xml:space="preserve">Subsidios a empresas formales para mantener los niveles de empleo formal (Componente 4). </w:t>
      </w:r>
      <w:bookmarkStart w:name="_Hlk36760503" w:id="5"/>
      <w:r w:rsidRPr="00F30598" w:rsidR="00D03CB4">
        <w:rPr>
          <w:rFonts w:ascii="Arial" w:hAnsi="Arial" w:eastAsia="Times New Roman" w:cs="Arial"/>
          <w:sz w:val="24"/>
          <w:szCs w:val="24"/>
          <w:lang w:val="es-MX"/>
        </w:rPr>
        <w:t xml:space="preserve">Mitigación de </w:t>
      </w:r>
      <w:r w:rsidRPr="00F30598" w:rsidR="00D03CB4">
        <w:rPr>
          <w:rFonts w:ascii="Arial" w:hAnsi="Arial" w:cs="Arial"/>
          <w:sz w:val="24"/>
          <w:szCs w:val="24"/>
          <w:lang w:val="es"/>
        </w:rPr>
        <w:t>los efectos del cierre de los centros educativos</w:t>
      </w:r>
      <w:bookmarkEnd w:id="5"/>
      <w:r w:rsidRPr="00F30598" w:rsidR="00D03CB4">
        <w:rPr>
          <w:rFonts w:ascii="Arial" w:hAnsi="Arial" w:cs="Arial"/>
          <w:sz w:val="24"/>
          <w:szCs w:val="24"/>
          <w:lang w:val="es"/>
        </w:rPr>
        <w:t xml:space="preserve"> (Componente 5).</w:t>
      </w:r>
      <w:r w:rsidRPr="00F30598" w:rsidR="002E146C">
        <w:rPr>
          <w:rFonts w:ascii="Arial" w:hAnsi="Arial" w:cs="Arial"/>
          <w:sz w:val="24"/>
          <w:szCs w:val="24"/>
          <w:lang w:val="es"/>
        </w:rPr>
        <w:t xml:space="preserve"> Vale la pena mencionar que la numeración y nomenclatura de los componentes se refiere al prototipo general, y que las operaciones individuales seguramente tendrán un subconjunto de estos componentes</w:t>
      </w:r>
      <w:r w:rsidRPr="00F30598" w:rsidR="00AB0747">
        <w:rPr>
          <w:rFonts w:ascii="Arial" w:hAnsi="Arial" w:cs="Arial"/>
          <w:sz w:val="24"/>
          <w:szCs w:val="24"/>
          <w:lang w:val="es"/>
        </w:rPr>
        <w:t>.</w:t>
      </w:r>
    </w:p>
    <w:p w:rsidRPr="00F30598" w:rsidR="006F103E" w:rsidP="00DA58E9" w:rsidRDefault="00254BAC" w14:paraId="355D7B53" w14:textId="3042506E">
      <w:pPr>
        <w:spacing w:before="120" w:after="120" w:line="240" w:lineRule="auto"/>
        <w:jc w:val="both"/>
        <w:rPr>
          <w:rFonts w:ascii="Arial" w:hAnsi="Arial" w:cs="Arial"/>
          <w:sz w:val="24"/>
          <w:szCs w:val="24"/>
          <w:lang w:val="es-AR"/>
        </w:rPr>
      </w:pPr>
      <w:r w:rsidRPr="00F30598">
        <w:rPr>
          <w:rFonts w:ascii="Arial" w:hAnsi="Arial" w:cs="Arial"/>
          <w:sz w:val="24"/>
          <w:szCs w:val="24"/>
          <w:lang w:val="es-AR"/>
        </w:rPr>
        <w:t>El documento se estructura de la siguiente manera. En primer lugar, se presenta la estimación del efecto multiplicador de las transferencias. Este ejercicio se realiza para las siguientes intervenciones:</w:t>
      </w:r>
      <w:r w:rsidRPr="00F30598" w:rsidR="007007CC">
        <w:rPr>
          <w:rFonts w:ascii="Arial" w:hAnsi="Arial" w:cs="Arial"/>
          <w:sz w:val="24"/>
          <w:szCs w:val="24"/>
          <w:lang w:val="es-AR"/>
        </w:rPr>
        <w:t xml:space="preserve"> transferencias</w:t>
      </w:r>
      <w:r w:rsidRPr="00F30598" w:rsidR="0038485E">
        <w:rPr>
          <w:rFonts w:ascii="Arial" w:hAnsi="Arial" w:cs="Arial"/>
          <w:sz w:val="24"/>
          <w:szCs w:val="24"/>
          <w:lang w:val="es-AR"/>
        </w:rPr>
        <w:t xml:space="preserve"> Componente</w:t>
      </w:r>
      <w:r w:rsidRPr="00F30598" w:rsidR="007007CC">
        <w:rPr>
          <w:rFonts w:ascii="Arial" w:hAnsi="Arial" w:cs="Arial"/>
          <w:sz w:val="24"/>
          <w:szCs w:val="24"/>
          <w:lang w:val="es-AR"/>
        </w:rPr>
        <w:t xml:space="preserve"> 2, transferencias</w:t>
      </w:r>
      <w:r w:rsidRPr="00F30598" w:rsidR="0038485E">
        <w:rPr>
          <w:rFonts w:ascii="Arial" w:hAnsi="Arial" w:cs="Arial"/>
          <w:sz w:val="24"/>
          <w:szCs w:val="24"/>
          <w:lang w:val="es-AR"/>
        </w:rPr>
        <w:t xml:space="preserve"> Componente</w:t>
      </w:r>
      <w:r w:rsidRPr="00F30598" w:rsidR="007007CC">
        <w:rPr>
          <w:rFonts w:ascii="Arial" w:hAnsi="Arial" w:cs="Arial"/>
          <w:sz w:val="24"/>
          <w:szCs w:val="24"/>
          <w:lang w:val="es-AR"/>
        </w:rPr>
        <w:t xml:space="preserve"> 3 y subsidios</w:t>
      </w:r>
      <w:r w:rsidRPr="00F30598" w:rsidR="008A2DF4">
        <w:rPr>
          <w:rFonts w:ascii="Arial" w:hAnsi="Arial" w:cs="Arial"/>
          <w:sz w:val="24"/>
          <w:szCs w:val="24"/>
          <w:lang w:val="es-AR"/>
        </w:rPr>
        <w:t xml:space="preserve"> a empleos formales de población vulnerable incluidos en </w:t>
      </w:r>
      <w:r w:rsidRPr="00F30598" w:rsidR="007007CC">
        <w:rPr>
          <w:rFonts w:ascii="Arial" w:hAnsi="Arial" w:cs="Arial"/>
          <w:sz w:val="24"/>
          <w:szCs w:val="24"/>
          <w:lang w:val="es-AR"/>
        </w:rPr>
        <w:t>el</w:t>
      </w:r>
      <w:r w:rsidRPr="00F30598" w:rsidR="0038485E">
        <w:rPr>
          <w:rFonts w:ascii="Arial" w:hAnsi="Arial" w:cs="Arial"/>
          <w:sz w:val="24"/>
          <w:szCs w:val="24"/>
          <w:lang w:val="es-AR"/>
        </w:rPr>
        <w:t xml:space="preserve"> Componente</w:t>
      </w:r>
      <w:r w:rsidRPr="00F30598" w:rsidR="007007CC">
        <w:rPr>
          <w:rFonts w:ascii="Arial" w:hAnsi="Arial" w:cs="Arial"/>
          <w:sz w:val="24"/>
          <w:szCs w:val="24"/>
          <w:lang w:val="es-AR"/>
        </w:rPr>
        <w:t xml:space="preserve"> 4</w:t>
      </w:r>
      <w:r w:rsidRPr="00F30598">
        <w:rPr>
          <w:rFonts w:ascii="Arial" w:hAnsi="Arial" w:cs="Arial"/>
          <w:sz w:val="24"/>
          <w:szCs w:val="24"/>
          <w:lang w:val="es-AR"/>
        </w:rPr>
        <w:t xml:space="preserve">. Las transferencias del programa de “cash </w:t>
      </w:r>
      <w:proofErr w:type="spellStart"/>
      <w:r w:rsidRPr="00F30598">
        <w:rPr>
          <w:rFonts w:ascii="Arial" w:hAnsi="Arial" w:cs="Arial"/>
          <w:sz w:val="24"/>
          <w:szCs w:val="24"/>
          <w:lang w:val="es-AR"/>
        </w:rPr>
        <w:t>for</w:t>
      </w:r>
      <w:proofErr w:type="spellEnd"/>
      <w:r w:rsidRPr="00F30598">
        <w:rPr>
          <w:rFonts w:ascii="Arial" w:hAnsi="Arial" w:cs="Arial"/>
          <w:sz w:val="24"/>
          <w:szCs w:val="24"/>
          <w:lang w:val="es-AR"/>
        </w:rPr>
        <w:t xml:space="preserve"> training” y las transferencias del</w:t>
      </w:r>
      <w:r w:rsidRPr="00F30598" w:rsidR="0038485E">
        <w:rPr>
          <w:rFonts w:ascii="Arial" w:hAnsi="Arial" w:cs="Arial"/>
          <w:sz w:val="24"/>
          <w:szCs w:val="24"/>
          <w:lang w:val="es-AR"/>
        </w:rPr>
        <w:t xml:space="preserve"> Componente</w:t>
      </w:r>
      <w:r w:rsidRPr="00F30598">
        <w:rPr>
          <w:rFonts w:ascii="Arial" w:hAnsi="Arial" w:cs="Arial"/>
          <w:sz w:val="24"/>
          <w:szCs w:val="24"/>
          <w:lang w:val="es-AR"/>
        </w:rPr>
        <w:t xml:space="preserve"> 1 no son consideradas porque son programas pequeños muy focalizados</w:t>
      </w:r>
      <w:r w:rsidRPr="00F30598" w:rsidR="007007CC">
        <w:rPr>
          <w:rFonts w:ascii="Arial" w:hAnsi="Arial" w:cs="Arial"/>
          <w:sz w:val="24"/>
          <w:szCs w:val="24"/>
          <w:lang w:val="es-AR"/>
        </w:rPr>
        <w:t xml:space="preserve"> y su efecto multiplicador es menor</w:t>
      </w:r>
      <w:r w:rsidRPr="00F30598">
        <w:rPr>
          <w:rFonts w:ascii="Arial" w:hAnsi="Arial" w:cs="Arial"/>
          <w:sz w:val="24"/>
          <w:szCs w:val="24"/>
          <w:lang w:val="es-AR"/>
        </w:rPr>
        <w:t>. En segundo lugar,</w:t>
      </w:r>
      <w:r w:rsidRPr="00F30598" w:rsidR="007007CC">
        <w:rPr>
          <w:rFonts w:ascii="Arial" w:hAnsi="Arial" w:cs="Arial"/>
          <w:sz w:val="24"/>
          <w:szCs w:val="24"/>
          <w:lang w:val="es-AR"/>
        </w:rPr>
        <w:t xml:space="preserve"> </w:t>
      </w:r>
      <w:r w:rsidRPr="00F30598" w:rsidR="007007CC">
        <w:rPr>
          <w:rFonts w:ascii="Arial" w:hAnsi="Arial" w:cs="Arial"/>
          <w:sz w:val="24"/>
          <w:szCs w:val="24"/>
          <w:lang w:val="es-AR"/>
        </w:rPr>
        <w:lastRenderedPageBreak/>
        <w:t xml:space="preserve">se presenta el análisis del beneficio en términos de </w:t>
      </w:r>
      <w:r w:rsidRPr="00F30598" w:rsidR="00DF02BB">
        <w:rPr>
          <w:rFonts w:ascii="Arial" w:hAnsi="Arial" w:cs="Arial"/>
          <w:sz w:val="24"/>
          <w:szCs w:val="24"/>
          <w:lang w:val="es-AR"/>
        </w:rPr>
        <w:t>suavización del consumo (</w:t>
      </w:r>
      <w:r w:rsidRPr="00F30598" w:rsidR="007007CC">
        <w:rPr>
          <w:rFonts w:ascii="Arial" w:hAnsi="Arial" w:cs="Arial"/>
          <w:sz w:val="24"/>
          <w:szCs w:val="24"/>
          <w:lang w:val="es-AR"/>
        </w:rPr>
        <w:t>“</w:t>
      </w:r>
      <w:r w:rsidRPr="00F30598" w:rsidR="006E5D5B">
        <w:rPr>
          <w:rFonts w:ascii="Arial" w:hAnsi="Arial" w:cs="Arial"/>
          <w:i/>
          <w:iCs/>
          <w:sz w:val="24"/>
          <w:szCs w:val="24"/>
          <w:lang w:val="es-AR"/>
        </w:rPr>
        <w:t>suavización del consumo</w:t>
      </w:r>
      <w:r w:rsidRPr="00F30598" w:rsidR="007007CC">
        <w:rPr>
          <w:rFonts w:ascii="Arial" w:hAnsi="Arial" w:cs="Arial"/>
          <w:sz w:val="24"/>
          <w:szCs w:val="24"/>
          <w:lang w:val="es-AR"/>
        </w:rPr>
        <w:t>”</w:t>
      </w:r>
      <w:r w:rsidRPr="00F30598" w:rsidR="00D52561">
        <w:rPr>
          <w:rFonts w:ascii="Arial" w:hAnsi="Arial" w:cs="Arial"/>
          <w:sz w:val="24"/>
          <w:szCs w:val="24"/>
          <w:lang w:val="es-AR"/>
        </w:rPr>
        <w:t>)</w:t>
      </w:r>
      <w:r w:rsidRPr="00F30598" w:rsidR="007007CC">
        <w:rPr>
          <w:rFonts w:ascii="Arial" w:hAnsi="Arial" w:cs="Arial"/>
          <w:sz w:val="24"/>
          <w:szCs w:val="24"/>
          <w:lang w:val="es-AR"/>
        </w:rPr>
        <w:t xml:space="preserve"> que tienen las transferencias mencionadas.</w:t>
      </w:r>
      <w:r w:rsidRPr="00F30598" w:rsidR="006F103E">
        <w:rPr>
          <w:rFonts w:ascii="Arial" w:hAnsi="Arial" w:cs="Arial"/>
          <w:sz w:val="24"/>
          <w:szCs w:val="24"/>
          <w:lang w:val="es-AR"/>
        </w:rPr>
        <w:t xml:space="preserve"> Estos beneficios</w:t>
      </w:r>
      <w:r w:rsidRPr="00F30598" w:rsidR="00A73633">
        <w:rPr>
          <w:rFonts w:ascii="Arial" w:hAnsi="Arial" w:cs="Arial"/>
          <w:sz w:val="24"/>
          <w:szCs w:val="24"/>
          <w:lang w:val="es-AR"/>
        </w:rPr>
        <w:t xml:space="preserve"> se modelan </w:t>
      </w:r>
      <w:r w:rsidRPr="00F30598" w:rsidR="00222B64">
        <w:rPr>
          <w:rFonts w:ascii="Arial" w:hAnsi="Arial" w:cs="Arial"/>
          <w:sz w:val="24"/>
          <w:szCs w:val="24"/>
          <w:lang w:val="es-AR"/>
        </w:rPr>
        <w:t>derivados</w:t>
      </w:r>
      <w:r w:rsidRPr="00F30598" w:rsidR="006F103E">
        <w:rPr>
          <w:rFonts w:ascii="Arial" w:hAnsi="Arial" w:cs="Arial"/>
          <w:sz w:val="24"/>
          <w:szCs w:val="24"/>
          <w:lang w:val="es-AR"/>
        </w:rPr>
        <w:t xml:space="preserve"> de la posibilidad de reducir el efecto en deserción y repitencia que tiene el shock de ingreso negativo</w:t>
      </w:r>
      <w:r w:rsidRPr="00F30598" w:rsidR="00222B64">
        <w:rPr>
          <w:rFonts w:ascii="Arial" w:hAnsi="Arial" w:cs="Arial"/>
          <w:sz w:val="24"/>
          <w:szCs w:val="24"/>
          <w:lang w:val="es-AR"/>
        </w:rPr>
        <w:t>, y por ende contribuyen a preservar el capital humano</w:t>
      </w:r>
      <w:r w:rsidRPr="00F30598" w:rsidR="006F103E">
        <w:rPr>
          <w:rFonts w:ascii="Arial" w:hAnsi="Arial" w:cs="Arial"/>
          <w:sz w:val="24"/>
          <w:szCs w:val="24"/>
          <w:lang w:val="es-AR"/>
        </w:rPr>
        <w:t>.</w:t>
      </w:r>
      <w:r w:rsidRPr="00F30598" w:rsidR="007007CC">
        <w:rPr>
          <w:rFonts w:ascii="Arial" w:hAnsi="Arial" w:cs="Arial"/>
          <w:sz w:val="24"/>
          <w:szCs w:val="24"/>
          <w:lang w:val="es-AR"/>
        </w:rPr>
        <w:t xml:space="preserve"> En este caso, no se consideran costos ya que </w:t>
      </w:r>
      <w:r w:rsidRPr="00F30598" w:rsidR="00D80FA3">
        <w:rPr>
          <w:rFonts w:ascii="Arial" w:hAnsi="Arial" w:cs="Arial"/>
          <w:sz w:val="24"/>
          <w:szCs w:val="24"/>
          <w:lang w:val="es-AR"/>
        </w:rPr>
        <w:t xml:space="preserve">son </w:t>
      </w:r>
      <w:r w:rsidRPr="00F30598" w:rsidR="007007CC">
        <w:rPr>
          <w:rFonts w:ascii="Arial" w:hAnsi="Arial" w:cs="Arial"/>
          <w:sz w:val="24"/>
          <w:szCs w:val="24"/>
          <w:lang w:val="es-AR"/>
        </w:rPr>
        <w:t xml:space="preserve">internalizados </w:t>
      </w:r>
      <w:r w:rsidRPr="00F30598" w:rsidR="00D80FA3">
        <w:rPr>
          <w:rFonts w:ascii="Arial" w:hAnsi="Arial" w:cs="Arial"/>
          <w:sz w:val="24"/>
          <w:szCs w:val="24"/>
          <w:lang w:val="es-AR"/>
        </w:rPr>
        <w:t xml:space="preserve">previamente </w:t>
      </w:r>
      <w:r w:rsidRPr="00F30598" w:rsidR="007007CC">
        <w:rPr>
          <w:rFonts w:ascii="Arial" w:hAnsi="Arial" w:cs="Arial"/>
          <w:sz w:val="24"/>
          <w:szCs w:val="24"/>
          <w:lang w:val="es-AR"/>
        </w:rPr>
        <w:t>en el cálculo del multiplicador.</w:t>
      </w:r>
      <w:r w:rsidRPr="00F30598" w:rsidR="005A5E74">
        <w:rPr>
          <w:rFonts w:ascii="Arial" w:hAnsi="Arial" w:cs="Arial"/>
          <w:sz w:val="24"/>
          <w:szCs w:val="24"/>
          <w:lang w:val="es-AR"/>
        </w:rPr>
        <w:t xml:space="preserve"> </w:t>
      </w:r>
      <w:r w:rsidRPr="00F30598" w:rsidR="007007CC">
        <w:rPr>
          <w:rFonts w:ascii="Arial" w:hAnsi="Arial" w:cs="Arial"/>
          <w:sz w:val="24"/>
          <w:szCs w:val="24"/>
          <w:lang w:val="es-AR"/>
        </w:rPr>
        <w:t>En tercer lugar,</w:t>
      </w:r>
      <w:r w:rsidRPr="00F30598">
        <w:rPr>
          <w:rFonts w:ascii="Arial" w:hAnsi="Arial" w:cs="Arial"/>
          <w:sz w:val="24"/>
          <w:szCs w:val="24"/>
          <w:lang w:val="es-AR"/>
        </w:rPr>
        <w:t xml:space="preserve"> se presenta el cálculo del beneficio </w:t>
      </w:r>
      <w:r w:rsidRPr="00F30598" w:rsidR="007007CC">
        <w:rPr>
          <w:rFonts w:ascii="Arial" w:hAnsi="Arial" w:cs="Arial"/>
          <w:sz w:val="24"/>
          <w:szCs w:val="24"/>
          <w:lang w:val="es-AR"/>
        </w:rPr>
        <w:t>de las transferencias a familiares de infectados en situación de vulnerabilidad. En este caso, los beneficios están asociados a disminución de la mortalidad y morbilidad</w:t>
      </w:r>
      <w:r w:rsidRPr="00F30598" w:rsidR="00BA02BD">
        <w:rPr>
          <w:rFonts w:ascii="Arial" w:hAnsi="Arial" w:cs="Arial"/>
          <w:sz w:val="24"/>
          <w:szCs w:val="24"/>
          <w:lang w:val="es-AR"/>
        </w:rPr>
        <w:t>. Las transferencias están destinadas a incentivar el aislamiento social de potenciales infectados (miembros del hogar donde se registró previamente un infectado) disminuyendo así el stock de población infectada en contacto con población susceptible</w:t>
      </w:r>
      <w:r w:rsidRPr="00F30598" w:rsidR="007007CC">
        <w:rPr>
          <w:rFonts w:ascii="Arial" w:hAnsi="Arial" w:cs="Arial"/>
          <w:sz w:val="24"/>
          <w:szCs w:val="24"/>
          <w:lang w:val="es-AR"/>
        </w:rPr>
        <w:t>.</w:t>
      </w:r>
      <w:r w:rsidRPr="00F30598" w:rsidR="00BF1053">
        <w:rPr>
          <w:rFonts w:ascii="Arial" w:hAnsi="Arial" w:cs="Arial"/>
          <w:sz w:val="24"/>
          <w:szCs w:val="24"/>
          <w:lang w:val="es-AR"/>
        </w:rPr>
        <w:t xml:space="preserve"> En cuarto lugar, </w:t>
      </w:r>
      <w:r w:rsidRPr="00F30598" w:rsidR="006F103E">
        <w:rPr>
          <w:rFonts w:ascii="Arial" w:hAnsi="Arial" w:cs="Arial"/>
          <w:sz w:val="24"/>
          <w:szCs w:val="24"/>
          <w:lang w:val="es-AR"/>
        </w:rPr>
        <w:t xml:space="preserve">se estiman los efectos sobre el salario futuro de las intervenciones de “cash </w:t>
      </w:r>
      <w:proofErr w:type="spellStart"/>
      <w:r w:rsidRPr="00F30598" w:rsidR="006F103E">
        <w:rPr>
          <w:rFonts w:ascii="Arial" w:hAnsi="Arial" w:cs="Arial"/>
          <w:sz w:val="24"/>
          <w:szCs w:val="24"/>
          <w:lang w:val="es-AR"/>
        </w:rPr>
        <w:t>for</w:t>
      </w:r>
      <w:proofErr w:type="spellEnd"/>
      <w:r w:rsidRPr="00F30598" w:rsidR="006F103E">
        <w:rPr>
          <w:rFonts w:ascii="Arial" w:hAnsi="Arial" w:cs="Arial"/>
          <w:sz w:val="24"/>
          <w:szCs w:val="24"/>
          <w:lang w:val="es-AR"/>
        </w:rPr>
        <w:t xml:space="preserve"> training”. En quinto lugar, </w:t>
      </w:r>
      <w:r w:rsidRPr="00F30598" w:rsidR="0050505E">
        <w:rPr>
          <w:rFonts w:ascii="Arial" w:hAnsi="Arial" w:cs="Arial"/>
          <w:sz w:val="24"/>
          <w:szCs w:val="24"/>
          <w:lang w:val="es-AR"/>
        </w:rPr>
        <w:t xml:space="preserve">se estima el efecto sobre salarios futuros de preservar el empleo y por lo tanto las capacidades de trabajadores formales vulnerables. </w:t>
      </w:r>
      <w:r w:rsidRPr="00F30598" w:rsidR="00BF0CC6">
        <w:rPr>
          <w:rFonts w:ascii="Arial" w:hAnsi="Arial" w:cs="Arial"/>
          <w:sz w:val="24"/>
          <w:szCs w:val="24"/>
          <w:lang w:val="es-AR"/>
        </w:rPr>
        <w:t>En sexto lugar, s</w:t>
      </w:r>
      <w:r w:rsidRPr="00F30598" w:rsidR="006F103E">
        <w:rPr>
          <w:rFonts w:ascii="Arial" w:hAnsi="Arial" w:cs="Arial"/>
          <w:sz w:val="24"/>
          <w:szCs w:val="24"/>
          <w:lang w:val="es-AR"/>
        </w:rPr>
        <w:t>e monetizan los efectos sobre repetición y deserción escolar que tiene</w:t>
      </w:r>
      <w:r w:rsidRPr="00F30598" w:rsidR="00BF0CC6">
        <w:rPr>
          <w:rFonts w:ascii="Arial" w:hAnsi="Arial" w:cs="Arial"/>
          <w:sz w:val="24"/>
          <w:szCs w:val="24"/>
          <w:lang w:val="es-AR"/>
        </w:rPr>
        <w:t xml:space="preserve">n las medidas paliativas del sector de educación. Por último, dado que </w:t>
      </w:r>
      <w:proofErr w:type="gramStart"/>
      <w:r w:rsidRPr="00F30598" w:rsidR="00BF0CC6">
        <w:rPr>
          <w:rFonts w:ascii="Arial" w:hAnsi="Arial" w:cs="Arial"/>
          <w:sz w:val="24"/>
          <w:szCs w:val="24"/>
          <w:lang w:val="es-AR"/>
        </w:rPr>
        <w:t>todas esta medidas</w:t>
      </w:r>
      <w:proofErr w:type="gramEnd"/>
      <w:r w:rsidRPr="00F30598" w:rsidR="00BF0CC6">
        <w:rPr>
          <w:rFonts w:ascii="Arial" w:hAnsi="Arial" w:cs="Arial"/>
          <w:sz w:val="24"/>
          <w:szCs w:val="24"/>
          <w:lang w:val="es-AR"/>
        </w:rPr>
        <w:t xml:space="preserve"> tienen por objeto reducir el impacto en pérdida de ingresos y capital humano de las medidas de distanciamiento social necesarias para enfrentar la pandemia, se realiza un ejercicio de carácter ilustrativo sobre los efectos del conjunto de políticas sobre la mortalidad y morbilidad.</w:t>
      </w:r>
      <w:r w:rsidRPr="00F30598" w:rsidR="003D3B0C">
        <w:rPr>
          <w:rFonts w:ascii="Arial" w:hAnsi="Arial" w:cs="Arial"/>
          <w:sz w:val="24"/>
          <w:szCs w:val="24"/>
          <w:lang w:val="es-AR"/>
        </w:rPr>
        <w:t xml:space="preserve"> Es decir, se discute de manera</w:t>
      </w:r>
      <w:r w:rsidRPr="00F30598" w:rsidR="00D435BD">
        <w:rPr>
          <w:rFonts w:ascii="Arial" w:hAnsi="Arial" w:cs="Arial"/>
          <w:sz w:val="24"/>
          <w:szCs w:val="24"/>
          <w:lang w:val="es-AR"/>
        </w:rPr>
        <w:t xml:space="preserve"> general cómo el apoyo a la pérdida de ingresos contribuye a fortalecer las medidas de </w:t>
      </w:r>
    </w:p>
    <w:p w:rsidR="00F81EB2" w:rsidP="00DA58E9" w:rsidRDefault="00BF0CC6" w14:paraId="66463EFF" w14:textId="77777777">
      <w:pPr>
        <w:spacing w:before="120" w:after="120" w:line="240" w:lineRule="auto"/>
        <w:jc w:val="both"/>
        <w:rPr>
          <w:rFonts w:ascii="Arial" w:hAnsi="Arial" w:cs="Arial"/>
          <w:sz w:val="24"/>
          <w:szCs w:val="24"/>
          <w:lang w:val="es-AR"/>
        </w:rPr>
      </w:pPr>
      <w:r w:rsidRPr="00F30598">
        <w:rPr>
          <w:rFonts w:ascii="Arial" w:hAnsi="Arial" w:cs="Arial"/>
          <w:sz w:val="24"/>
          <w:szCs w:val="24"/>
          <w:lang w:val="es-AR"/>
        </w:rPr>
        <w:t xml:space="preserve">Cabe realizar </w:t>
      </w:r>
      <w:r w:rsidRPr="00F30598" w:rsidR="00AA1C5B">
        <w:rPr>
          <w:rFonts w:ascii="Arial" w:hAnsi="Arial" w:cs="Arial"/>
          <w:sz w:val="24"/>
          <w:szCs w:val="24"/>
          <w:lang w:val="es-AR"/>
        </w:rPr>
        <w:t>cuatro</w:t>
      </w:r>
      <w:r w:rsidRPr="00F30598">
        <w:rPr>
          <w:rFonts w:ascii="Arial" w:hAnsi="Arial" w:cs="Arial"/>
          <w:sz w:val="24"/>
          <w:szCs w:val="24"/>
          <w:lang w:val="es-AR"/>
        </w:rPr>
        <w:t xml:space="preserve"> aclaraciones adicionales. Primero, que e</w:t>
      </w:r>
      <w:r w:rsidRPr="00F30598" w:rsidR="0015715F">
        <w:rPr>
          <w:rFonts w:ascii="Arial" w:hAnsi="Arial" w:cs="Arial"/>
          <w:sz w:val="24"/>
          <w:szCs w:val="24"/>
          <w:lang w:val="es-AR"/>
        </w:rPr>
        <w:t xml:space="preserve">n todos los casos en que hay transferencias (salvo el programa de “cash </w:t>
      </w:r>
      <w:proofErr w:type="spellStart"/>
      <w:r w:rsidRPr="00F30598" w:rsidR="0015715F">
        <w:rPr>
          <w:rFonts w:ascii="Arial" w:hAnsi="Arial" w:cs="Arial"/>
          <w:sz w:val="24"/>
          <w:szCs w:val="24"/>
          <w:lang w:val="es-AR"/>
        </w:rPr>
        <w:t>for</w:t>
      </w:r>
      <w:proofErr w:type="spellEnd"/>
      <w:r w:rsidRPr="00F30598" w:rsidR="0015715F">
        <w:rPr>
          <w:rFonts w:ascii="Arial" w:hAnsi="Arial" w:cs="Arial"/>
          <w:sz w:val="24"/>
          <w:szCs w:val="24"/>
          <w:lang w:val="es-AR"/>
        </w:rPr>
        <w:t xml:space="preserve"> training”</w:t>
      </w:r>
      <w:r w:rsidRPr="00F30598" w:rsidR="003F05F0">
        <w:rPr>
          <w:rFonts w:ascii="Arial" w:hAnsi="Arial" w:cs="Arial"/>
          <w:sz w:val="24"/>
          <w:szCs w:val="24"/>
          <w:lang w:val="es-AR"/>
        </w:rPr>
        <w:t>)</w:t>
      </w:r>
      <w:r w:rsidRPr="00F30598" w:rsidR="0015715F">
        <w:rPr>
          <w:rFonts w:ascii="Arial" w:hAnsi="Arial" w:cs="Arial"/>
          <w:sz w:val="24"/>
          <w:szCs w:val="24"/>
          <w:lang w:val="es-AR"/>
        </w:rPr>
        <w:t xml:space="preserve"> las transferencias son consideradas como costo y beneficio en t=0 siguiendo la metodología propuesta por </w:t>
      </w:r>
      <w:r w:rsidRPr="00F30598" w:rsidR="00502003">
        <w:rPr>
          <w:rFonts w:ascii="Arial" w:hAnsi="Arial" w:cs="Arial"/>
          <w:sz w:val="24"/>
          <w:szCs w:val="24"/>
          <w:lang w:val="es-AR"/>
        </w:rPr>
        <w:t>Brent (2013)</w:t>
      </w:r>
      <w:r w:rsidRPr="00F30598" w:rsidR="00AE0B42">
        <w:rPr>
          <w:rFonts w:ascii="Arial" w:hAnsi="Arial" w:cs="Arial"/>
          <w:sz w:val="24"/>
          <w:szCs w:val="24"/>
          <w:lang w:val="es-AR"/>
        </w:rPr>
        <w:t>, y que es el estándar aplicable en todos los programas que involucran transferencias</w:t>
      </w:r>
      <w:r w:rsidRPr="00F30598" w:rsidR="00502003">
        <w:rPr>
          <w:rFonts w:ascii="Arial" w:hAnsi="Arial" w:cs="Arial"/>
          <w:sz w:val="24"/>
          <w:szCs w:val="24"/>
          <w:lang w:val="es-AR"/>
        </w:rPr>
        <w:t xml:space="preserve">. </w:t>
      </w:r>
      <w:r w:rsidRPr="00F30598">
        <w:rPr>
          <w:rFonts w:ascii="Arial" w:hAnsi="Arial" w:cs="Arial"/>
          <w:sz w:val="24"/>
          <w:szCs w:val="24"/>
          <w:lang w:val="es-AR"/>
        </w:rPr>
        <w:t>Segundo, que los valores de los parámetros de los análisis se basan en el caso ecuatoriano</w:t>
      </w:r>
      <w:r w:rsidRPr="00F30598" w:rsidR="0021677A">
        <w:rPr>
          <w:rFonts w:ascii="Arial" w:hAnsi="Arial" w:cs="Arial"/>
          <w:sz w:val="24"/>
          <w:szCs w:val="24"/>
          <w:lang w:val="es-AR"/>
        </w:rPr>
        <w:t>, adoptado como caso indicativo</w:t>
      </w:r>
      <w:r w:rsidRPr="00F30598">
        <w:rPr>
          <w:rFonts w:ascii="Arial" w:hAnsi="Arial" w:cs="Arial"/>
          <w:sz w:val="24"/>
          <w:szCs w:val="24"/>
          <w:lang w:val="es-AR"/>
        </w:rPr>
        <w:t>.</w:t>
      </w:r>
      <w:r w:rsidRPr="00F30598" w:rsidR="003F05F0">
        <w:rPr>
          <w:rFonts w:ascii="Arial" w:hAnsi="Arial" w:cs="Arial"/>
          <w:sz w:val="24"/>
          <w:szCs w:val="24"/>
          <w:lang w:val="es-AR"/>
        </w:rPr>
        <w:t xml:space="preserve"> Esto no resta generalidad al estudio que permite ilustrar la din</w:t>
      </w:r>
      <w:proofErr w:type="spellStart"/>
      <w:r w:rsidRPr="00F30598" w:rsidR="003F05F0">
        <w:rPr>
          <w:rFonts w:ascii="Arial" w:hAnsi="Arial" w:cs="Arial"/>
          <w:sz w:val="24"/>
          <w:szCs w:val="24"/>
          <w:lang w:val="es-ES_tradnl"/>
        </w:rPr>
        <w:t>ámica</w:t>
      </w:r>
      <w:proofErr w:type="spellEnd"/>
      <w:r w:rsidRPr="00F30598" w:rsidR="003F05F0">
        <w:rPr>
          <w:rFonts w:ascii="Arial" w:hAnsi="Arial" w:cs="Arial"/>
          <w:sz w:val="24"/>
          <w:szCs w:val="24"/>
          <w:lang w:val="es-ES_tradnl"/>
        </w:rPr>
        <w:t xml:space="preserve"> de cosos y beneficios.</w:t>
      </w:r>
      <w:r w:rsidRPr="00F30598" w:rsidR="00AA1C5B">
        <w:rPr>
          <w:rFonts w:ascii="Arial" w:hAnsi="Arial" w:cs="Arial"/>
          <w:sz w:val="24"/>
          <w:szCs w:val="24"/>
          <w:lang w:val="es-AR"/>
        </w:rPr>
        <w:t xml:space="preserve"> </w:t>
      </w:r>
    </w:p>
    <w:p w:rsidRPr="00F81EB2" w:rsidR="00F81EB2" w:rsidP="00F81EB2" w:rsidRDefault="00AA1C5B" w14:paraId="38391F72" w14:textId="77777777">
      <w:pPr>
        <w:spacing w:before="120" w:after="120" w:line="240" w:lineRule="auto"/>
        <w:jc w:val="both"/>
        <w:rPr>
          <w:rFonts w:ascii="Arial" w:hAnsi="Arial" w:cs="Arial"/>
          <w:sz w:val="24"/>
          <w:szCs w:val="24"/>
          <w:lang w:val="es-AR"/>
        </w:rPr>
      </w:pPr>
      <w:r w:rsidRPr="00F30598">
        <w:rPr>
          <w:rFonts w:ascii="Arial" w:hAnsi="Arial" w:cs="Arial"/>
          <w:sz w:val="24"/>
          <w:szCs w:val="24"/>
          <w:lang w:val="es-AR"/>
        </w:rPr>
        <w:t>Tercero, l</w:t>
      </w:r>
      <w:r w:rsidRPr="00F30598" w:rsidR="00035B06">
        <w:rPr>
          <w:rFonts w:ascii="Arial" w:hAnsi="Arial" w:cs="Arial"/>
          <w:sz w:val="24"/>
          <w:szCs w:val="24"/>
          <w:lang w:val="es-AR"/>
        </w:rPr>
        <w:t xml:space="preserve">a tasa de descuento utilizada en los escenarios base es del 5 % en consonancia con las recomendaciones de The </w:t>
      </w:r>
      <w:proofErr w:type="spellStart"/>
      <w:r w:rsidRPr="00F30598" w:rsidR="00035B06">
        <w:rPr>
          <w:rFonts w:ascii="Arial" w:hAnsi="Arial" w:cs="Arial"/>
          <w:sz w:val="24"/>
          <w:szCs w:val="24"/>
          <w:lang w:val="es-AR"/>
        </w:rPr>
        <w:t>National</w:t>
      </w:r>
      <w:proofErr w:type="spellEnd"/>
      <w:r w:rsidRPr="00F30598" w:rsidR="00035B06">
        <w:rPr>
          <w:rFonts w:ascii="Arial" w:hAnsi="Arial" w:cs="Arial"/>
          <w:sz w:val="24"/>
          <w:szCs w:val="24"/>
          <w:lang w:val="es-AR"/>
        </w:rPr>
        <w:t xml:space="preserve"> </w:t>
      </w:r>
      <w:proofErr w:type="spellStart"/>
      <w:r w:rsidRPr="00F30598" w:rsidR="00035B06">
        <w:rPr>
          <w:rFonts w:ascii="Arial" w:hAnsi="Arial" w:cs="Arial"/>
          <w:sz w:val="24"/>
          <w:szCs w:val="24"/>
          <w:lang w:val="es-AR"/>
        </w:rPr>
        <w:t>Institute</w:t>
      </w:r>
      <w:proofErr w:type="spellEnd"/>
      <w:r w:rsidRPr="00F30598" w:rsidR="00035B06">
        <w:rPr>
          <w:rFonts w:ascii="Arial" w:hAnsi="Arial" w:cs="Arial"/>
          <w:sz w:val="24"/>
          <w:szCs w:val="24"/>
          <w:lang w:val="es-AR"/>
        </w:rPr>
        <w:t xml:space="preserve"> </w:t>
      </w:r>
      <w:proofErr w:type="spellStart"/>
      <w:r w:rsidRPr="00F30598" w:rsidR="00035B06">
        <w:rPr>
          <w:rFonts w:ascii="Arial" w:hAnsi="Arial" w:cs="Arial"/>
          <w:sz w:val="24"/>
          <w:szCs w:val="24"/>
          <w:lang w:val="es-AR"/>
        </w:rPr>
        <w:t>for</w:t>
      </w:r>
      <w:proofErr w:type="spellEnd"/>
      <w:r w:rsidRPr="00F30598" w:rsidR="00035B06">
        <w:rPr>
          <w:rFonts w:ascii="Arial" w:hAnsi="Arial" w:cs="Arial"/>
          <w:sz w:val="24"/>
          <w:szCs w:val="24"/>
          <w:lang w:val="es-AR"/>
        </w:rPr>
        <w:t xml:space="preserve"> Health and </w:t>
      </w:r>
      <w:proofErr w:type="spellStart"/>
      <w:r w:rsidRPr="00F30598" w:rsidR="00035B06">
        <w:rPr>
          <w:rFonts w:ascii="Arial" w:hAnsi="Arial" w:cs="Arial"/>
          <w:sz w:val="24"/>
          <w:szCs w:val="24"/>
          <w:lang w:val="es-AR"/>
        </w:rPr>
        <w:t>Clinical</w:t>
      </w:r>
      <w:proofErr w:type="spellEnd"/>
      <w:r w:rsidRPr="00F30598" w:rsidR="00035B06">
        <w:rPr>
          <w:rFonts w:ascii="Arial" w:hAnsi="Arial" w:cs="Arial"/>
          <w:sz w:val="24"/>
          <w:szCs w:val="24"/>
          <w:lang w:val="es-AR"/>
        </w:rPr>
        <w:t xml:space="preserve"> </w:t>
      </w:r>
      <w:proofErr w:type="spellStart"/>
      <w:r w:rsidRPr="00F30598" w:rsidR="00035B06">
        <w:rPr>
          <w:rFonts w:ascii="Arial" w:hAnsi="Arial" w:cs="Arial"/>
          <w:sz w:val="24"/>
          <w:szCs w:val="24"/>
          <w:lang w:val="es-AR"/>
        </w:rPr>
        <w:t>Excellence</w:t>
      </w:r>
      <w:proofErr w:type="spellEnd"/>
      <w:r w:rsidRPr="00F30598" w:rsidR="00035B06">
        <w:rPr>
          <w:rFonts w:ascii="Arial" w:hAnsi="Arial" w:cs="Arial"/>
          <w:sz w:val="24"/>
          <w:szCs w:val="24"/>
          <w:lang w:val="es-AR"/>
        </w:rPr>
        <w:t xml:space="preserve"> (NICE) (Mc </w:t>
      </w:r>
      <w:proofErr w:type="spellStart"/>
      <w:r w:rsidRPr="00F30598" w:rsidR="00035B06">
        <w:rPr>
          <w:rFonts w:ascii="Arial" w:hAnsi="Arial" w:cs="Arial"/>
          <w:sz w:val="24"/>
          <w:szCs w:val="24"/>
          <w:lang w:val="es-AR"/>
        </w:rPr>
        <w:t>Intosh</w:t>
      </w:r>
      <w:proofErr w:type="spellEnd"/>
      <w:r w:rsidRPr="00F30598" w:rsidR="00035B06">
        <w:rPr>
          <w:rFonts w:ascii="Arial" w:hAnsi="Arial" w:cs="Arial"/>
          <w:sz w:val="24"/>
          <w:szCs w:val="24"/>
          <w:lang w:val="es-AR"/>
        </w:rPr>
        <w:t xml:space="preserve"> et al. 2010) y de Drummond et al. (2015). En los análisis de sensibilidad se consideran escenarios con tasas de descuento del 12%.</w:t>
      </w:r>
      <w:r w:rsidRPr="00F30598">
        <w:rPr>
          <w:rFonts w:ascii="Arial" w:hAnsi="Arial" w:cs="Arial"/>
          <w:sz w:val="24"/>
          <w:szCs w:val="24"/>
          <w:lang w:val="es-AR"/>
        </w:rPr>
        <w:t xml:space="preserve"> </w:t>
      </w:r>
      <w:r w:rsidRPr="00F81EB2" w:rsidR="00F81EB2">
        <w:rPr>
          <w:rFonts w:ascii="Arial" w:hAnsi="Arial" w:cs="Arial"/>
          <w:sz w:val="24"/>
          <w:szCs w:val="24"/>
          <w:lang w:val="es-AR"/>
        </w:rPr>
        <w:t xml:space="preserve">En proyectos de infraestructura (transporte y energía), es común que se utilice una tasa de descuento de 12%. Sin embargo, existe amplia literatura teórica y empírica que justifica utilizar valores distintos para el análisis de proyectos sociales, en que los beneficios tienen importantes externalidades, se realizan en el mediano y largo plazo, y donde la monetización de los beneficios no es tan directa. Como muestra el trabajo de Zhuang et al. (2007), la elección de una tasa de descuento apropiada para el análisis de costo-beneficio de distintos proyectos es un tema extremadamente debatido entre los economistas y concluyen que no hay una respuesta correcta para dicha elección. En este trabajo se acumulan distintos resultados para encontrar una tasa de descuento óptima para proyectos sociales, que luego será importante a la hora de hacer un análisis de costo beneficio. Encuentran que existe una diferencia entre los distintos países con respecto a las tasas de descuento elegidas. Los países desarrollados (como por ejemplo Francia, </w:t>
      </w:r>
      <w:r w:rsidRPr="00F81EB2" w:rsidR="00F81EB2">
        <w:rPr>
          <w:rFonts w:ascii="Arial" w:hAnsi="Arial" w:cs="Arial"/>
          <w:sz w:val="24"/>
          <w:szCs w:val="24"/>
          <w:lang w:val="es-AR"/>
        </w:rPr>
        <w:lastRenderedPageBreak/>
        <w:t xml:space="preserve">Alemania, Italia y España) eligen tasas de descuento de entre 3 y 7% y los países en desarrollo eligen tasas de entre 8 y 15%. Existe un trabajo del Banco Mundial (López, 2008) en el que estiman las tasas de descuento para nueve países latinoamericanos. Dependiendo de las expectativas de crecimiento del planificador social estas tasas de descuento varían enormemente, desde un 3 o 4% si se espera un bajo crecimiento a un 5 a 7% en un escenario de alto crecimiento futuro. </w:t>
      </w:r>
    </w:p>
    <w:p w:rsidR="00162E42" w:rsidP="00F81EB2" w:rsidRDefault="00F81EB2" w14:paraId="46065426" w14:textId="02783508">
      <w:pPr>
        <w:spacing w:before="120" w:after="120" w:line="240" w:lineRule="auto"/>
        <w:jc w:val="both"/>
        <w:rPr>
          <w:rFonts w:ascii="Arial" w:hAnsi="Arial" w:cs="Arial"/>
          <w:sz w:val="24"/>
          <w:szCs w:val="24"/>
          <w:lang w:val="es-AR"/>
        </w:rPr>
      </w:pPr>
      <w:r w:rsidRPr="00F81EB2">
        <w:rPr>
          <w:rFonts w:ascii="Arial" w:hAnsi="Arial" w:cs="Arial"/>
          <w:sz w:val="24"/>
          <w:szCs w:val="24"/>
          <w:lang w:val="es-AR"/>
        </w:rPr>
        <w:t>En un documento sobre Costo-Efectividad de J-</w:t>
      </w:r>
      <w:proofErr w:type="gramStart"/>
      <w:r w:rsidRPr="00F81EB2">
        <w:rPr>
          <w:rFonts w:ascii="Arial" w:hAnsi="Arial" w:cs="Arial"/>
          <w:sz w:val="24"/>
          <w:szCs w:val="24"/>
          <w:lang w:val="es-AR"/>
        </w:rPr>
        <w:t xml:space="preserve">Pal,  </w:t>
      </w:r>
      <w:proofErr w:type="spellStart"/>
      <w:r w:rsidRPr="00F81EB2">
        <w:rPr>
          <w:rFonts w:ascii="Arial" w:hAnsi="Arial" w:cs="Arial"/>
          <w:sz w:val="24"/>
          <w:szCs w:val="24"/>
          <w:lang w:val="es-AR"/>
        </w:rPr>
        <w:t>Dhaliwal</w:t>
      </w:r>
      <w:proofErr w:type="spellEnd"/>
      <w:proofErr w:type="gramEnd"/>
      <w:r w:rsidRPr="00F81EB2">
        <w:rPr>
          <w:rFonts w:ascii="Arial" w:hAnsi="Arial" w:cs="Arial"/>
          <w:sz w:val="24"/>
          <w:szCs w:val="24"/>
          <w:lang w:val="es-AR"/>
        </w:rPr>
        <w:t xml:space="preserve"> et al. (2011) discuten que no existe una tasa de descuento única y  la correcta tasa de descuento va a depender de quién esté realizando la inversión. Toman sus resultados del primer trabajo citado, y proponen usar un rango entre 5% y 15%. Asimismo, en el estudio de </w:t>
      </w:r>
      <w:proofErr w:type="spellStart"/>
      <w:r w:rsidRPr="00F81EB2">
        <w:rPr>
          <w:rFonts w:ascii="Arial" w:hAnsi="Arial" w:cs="Arial"/>
          <w:sz w:val="24"/>
          <w:szCs w:val="24"/>
          <w:lang w:val="es-AR"/>
        </w:rPr>
        <w:t>De</w:t>
      </w:r>
      <w:proofErr w:type="spellEnd"/>
      <w:r w:rsidRPr="00F81EB2">
        <w:rPr>
          <w:rFonts w:ascii="Arial" w:hAnsi="Arial" w:cs="Arial"/>
          <w:sz w:val="24"/>
          <w:szCs w:val="24"/>
          <w:lang w:val="es-AR"/>
        </w:rPr>
        <w:t xml:space="preserve"> Castillo y Lema (1998) se usa una tasa de descuento del 8% para analizar económicamente unos fondos sociales de inversión en Bolivia. También, un panel de expertos recomienda el empleo de una tasa de descuento del 3% para realizar un análisis de costo beneficio de un proyecto de salud en Estados Unidos (Siegel et al., 1996). Para proyectos de Salud, la WHO (2003) recomienda usar 3% como tasa de descuento y sugieren que para los análisis de sensibilidad se descuenten los efectos de salud con una tasa del 0% y los costos con una del 6%. Otras evaluaciones económicas del impacto de proyectos de nutrición en salud y educación usan tasas de 8% (Martínez y Fernández, 2008). Para proyectos de educación, por ejemplo, </w:t>
      </w:r>
      <w:proofErr w:type="spellStart"/>
      <w:r w:rsidRPr="00F81EB2">
        <w:rPr>
          <w:rFonts w:ascii="Arial" w:hAnsi="Arial" w:cs="Arial"/>
          <w:sz w:val="24"/>
          <w:szCs w:val="24"/>
          <w:lang w:val="es-AR"/>
        </w:rPr>
        <w:t>Heckman</w:t>
      </w:r>
      <w:proofErr w:type="spellEnd"/>
      <w:r w:rsidRPr="00F81EB2">
        <w:rPr>
          <w:rFonts w:ascii="Arial" w:hAnsi="Arial" w:cs="Arial"/>
          <w:sz w:val="24"/>
          <w:szCs w:val="24"/>
          <w:lang w:val="es-AR"/>
        </w:rPr>
        <w:t xml:space="preserve"> et al. (2010) utiliza una tasa de descuento de entre 3 y 5%. Además, </w:t>
      </w:r>
      <w:proofErr w:type="spellStart"/>
      <w:r w:rsidRPr="00F81EB2">
        <w:rPr>
          <w:rFonts w:ascii="Arial" w:hAnsi="Arial" w:cs="Arial"/>
          <w:sz w:val="24"/>
          <w:szCs w:val="24"/>
          <w:lang w:val="es-AR"/>
        </w:rPr>
        <w:t>Lomborg</w:t>
      </w:r>
      <w:proofErr w:type="spellEnd"/>
      <w:r w:rsidRPr="00F81EB2">
        <w:rPr>
          <w:rFonts w:ascii="Arial" w:hAnsi="Arial" w:cs="Arial"/>
          <w:sz w:val="24"/>
          <w:szCs w:val="24"/>
          <w:lang w:val="es-AR"/>
        </w:rPr>
        <w:t xml:space="preserve"> (2010) usa una tasa de descuento del 3 y del 6% para analizar el costo beneficio en términos de educación de una CCT para el caso de tres países latinoamericanos. Finalmente, el trabajo de Evans (2008) discute sobre la elección de una tasa de descuento apropiada en el caso de proyectos sociales de largo plazo. Concluye que en muchos proyectos los beneficios netos más importantes se relacionan con impactos ambientales y de seguridad social que deben ser descontados a una tasa baja de entre 0 y 2%. Para descontar la utilidad, de nuevo sugiere el empleo de las mismas tasas. De hecho, varios países desarrollados usan tasa de 0% para descontar beneficios intergeneracionales.</w:t>
      </w:r>
    </w:p>
    <w:p w:rsidRPr="00F30598" w:rsidR="00AA1C5B" w:rsidP="00DA58E9" w:rsidRDefault="00AA1C5B" w14:paraId="31FB4588" w14:textId="7E094E1B">
      <w:pPr>
        <w:spacing w:before="120" w:after="120" w:line="240" w:lineRule="auto"/>
        <w:jc w:val="both"/>
        <w:rPr>
          <w:rFonts w:ascii="Arial" w:hAnsi="Arial" w:cs="Arial"/>
          <w:lang w:val="es-AR"/>
        </w:rPr>
      </w:pPr>
      <w:r w:rsidRPr="00F30598">
        <w:rPr>
          <w:rFonts w:ascii="Arial" w:hAnsi="Arial" w:cs="Arial"/>
          <w:sz w:val="24"/>
          <w:szCs w:val="24"/>
          <w:lang w:val="es-AR"/>
        </w:rPr>
        <w:t xml:space="preserve">Por último, </w:t>
      </w:r>
      <w:r w:rsidRPr="00F30598" w:rsidR="005A7E8A">
        <w:rPr>
          <w:rFonts w:ascii="Arial" w:hAnsi="Arial" w:cs="Arial"/>
          <w:sz w:val="24"/>
          <w:szCs w:val="24"/>
          <w:lang w:val="es-AR"/>
        </w:rPr>
        <w:t>l</w:t>
      </w:r>
      <w:r w:rsidRPr="00F30598">
        <w:rPr>
          <w:rFonts w:ascii="Arial" w:hAnsi="Arial" w:cs="Arial"/>
          <w:sz w:val="24"/>
          <w:szCs w:val="24"/>
          <w:lang w:val="es-ES"/>
        </w:rPr>
        <w:t>a magnitud de las intervenciones propuestas no obedece a las posibilidades de financiamiento mediante un préstamo del BID. La cantidad de hogares o individuos beneficiarios ha sido establecida bajo el supuesto de cubrir a la mayor proporción de la población posible. Salvo en el caso del</w:t>
      </w:r>
      <w:r w:rsidRPr="00F30598" w:rsidR="0038485E">
        <w:rPr>
          <w:rFonts w:ascii="Arial" w:hAnsi="Arial" w:cs="Arial"/>
          <w:sz w:val="24"/>
          <w:szCs w:val="24"/>
          <w:lang w:val="es-ES"/>
        </w:rPr>
        <w:t xml:space="preserve"> Componente</w:t>
      </w:r>
      <w:r w:rsidRPr="00F30598">
        <w:rPr>
          <w:rFonts w:ascii="Arial" w:hAnsi="Arial" w:cs="Arial"/>
          <w:sz w:val="24"/>
          <w:szCs w:val="24"/>
          <w:lang w:val="es-ES"/>
        </w:rPr>
        <w:t xml:space="preserve"> 5, donde hay </w:t>
      </w:r>
      <w:r w:rsidRPr="00F30598" w:rsidR="00C20B5C">
        <w:rPr>
          <w:rFonts w:ascii="Arial" w:hAnsi="Arial" w:cs="Arial"/>
          <w:sz w:val="24"/>
          <w:szCs w:val="24"/>
          <w:lang w:val="es-ES"/>
        </w:rPr>
        <w:t>economías de escala</w:t>
      </w:r>
      <w:r w:rsidRPr="00F30598">
        <w:rPr>
          <w:rFonts w:ascii="Arial" w:hAnsi="Arial" w:cs="Arial"/>
          <w:sz w:val="24"/>
          <w:szCs w:val="24"/>
          <w:lang w:val="es-ES"/>
        </w:rPr>
        <w:t xml:space="preserve">, esta decisión metodológica no afecta los resultados ante un escenario en el cual el BID financie estas intervenciones a una escala menor. Esto obviamente afecta el cálculo del VAN aunque no del Ratio </w:t>
      </w:r>
      <w:proofErr w:type="spellStart"/>
      <w:proofErr w:type="gramStart"/>
      <w:r w:rsidRPr="00F30598">
        <w:rPr>
          <w:rFonts w:ascii="Arial" w:hAnsi="Arial" w:cs="Arial"/>
          <w:sz w:val="24"/>
          <w:szCs w:val="24"/>
          <w:lang w:val="es-ES"/>
        </w:rPr>
        <w:t>Beneficio:Costo</w:t>
      </w:r>
      <w:proofErr w:type="spellEnd"/>
      <w:proofErr w:type="gramEnd"/>
      <w:r w:rsidRPr="00F30598">
        <w:rPr>
          <w:rFonts w:ascii="Arial" w:hAnsi="Arial" w:cs="Arial"/>
          <w:sz w:val="24"/>
          <w:szCs w:val="24"/>
          <w:lang w:val="es-ES"/>
        </w:rPr>
        <w:t>.</w:t>
      </w:r>
      <w:r w:rsidRPr="00F30598" w:rsidR="00C20B5C">
        <w:rPr>
          <w:rFonts w:ascii="Arial" w:hAnsi="Arial" w:cs="Arial"/>
          <w:sz w:val="24"/>
          <w:szCs w:val="24"/>
          <w:lang w:val="es-ES"/>
        </w:rPr>
        <w:t xml:space="preserve"> En el caso del Componente 5 se elige el máximo de beneficiarios para el cual es operativo el mayor costo unitario.</w:t>
      </w:r>
    </w:p>
    <w:p w:rsidRPr="00F30598" w:rsidR="0015715F" w:rsidP="00DA58E9" w:rsidRDefault="0015715F" w14:paraId="3B25DBA3" w14:textId="0FA745BB">
      <w:pPr>
        <w:spacing w:before="120" w:after="120" w:line="240" w:lineRule="auto"/>
        <w:jc w:val="both"/>
        <w:rPr>
          <w:rFonts w:ascii="Arial" w:hAnsi="Arial" w:cs="Arial"/>
          <w:sz w:val="24"/>
          <w:szCs w:val="24"/>
          <w:lang w:val="es-AR"/>
        </w:rPr>
      </w:pPr>
    </w:p>
    <w:p w:rsidRPr="00AC6429" w:rsidR="00CE3B8F" w:rsidP="00DA58E9" w:rsidRDefault="00CE3B8F" w14:paraId="5740B52F" w14:textId="77777777">
      <w:pPr>
        <w:pStyle w:val="Heading1"/>
        <w:spacing w:before="120" w:after="120" w:line="240" w:lineRule="auto"/>
        <w:rPr>
          <w:rFonts w:ascii="Arial Bold" w:hAnsi="Arial Bold" w:cs="Arial"/>
          <w:b/>
          <w:bCs/>
          <w:smallCaps/>
          <w:sz w:val="24"/>
          <w:szCs w:val="24"/>
          <w:lang w:val="es-ES_tradnl"/>
        </w:rPr>
      </w:pPr>
      <w:bookmarkStart w:name="_Toc38020441" w:id="6"/>
      <w:bookmarkStart w:name="_Toc38020655" w:id="7"/>
      <w:r w:rsidRPr="00AC6429">
        <w:rPr>
          <w:rFonts w:ascii="Arial Bold" w:hAnsi="Arial Bold" w:cs="Arial"/>
          <w:b/>
          <w:bCs/>
          <w:smallCaps/>
          <w:sz w:val="24"/>
          <w:szCs w:val="24"/>
          <w:lang w:val="es-ES_tradnl"/>
        </w:rPr>
        <w:t>EFECTO SOBRE EL CONSUMO</w:t>
      </w:r>
      <w:bookmarkEnd w:id="6"/>
      <w:bookmarkEnd w:id="7"/>
      <w:r w:rsidRPr="00AC6429">
        <w:rPr>
          <w:rFonts w:ascii="Arial Bold" w:hAnsi="Arial Bold" w:cs="Arial"/>
          <w:b/>
          <w:bCs/>
          <w:smallCaps/>
          <w:sz w:val="24"/>
          <w:szCs w:val="24"/>
          <w:lang w:val="es-ES_tradnl"/>
        </w:rPr>
        <w:t xml:space="preserve"> </w:t>
      </w:r>
    </w:p>
    <w:p w:rsidRPr="00F30598" w:rsidR="00CE3B8F" w:rsidP="00DA58E9" w:rsidRDefault="00CE3B8F" w14:paraId="6873A5B0" w14:textId="77777777">
      <w:pPr>
        <w:spacing w:before="120" w:after="120" w:line="240" w:lineRule="auto"/>
        <w:jc w:val="both"/>
        <w:rPr>
          <w:rFonts w:ascii="Arial" w:hAnsi="Arial" w:cs="Arial"/>
          <w:sz w:val="24"/>
          <w:szCs w:val="24"/>
          <w:lang w:val="es-ES"/>
        </w:rPr>
      </w:pPr>
      <w:r w:rsidRPr="00F30598">
        <w:rPr>
          <w:rFonts w:ascii="Arial" w:hAnsi="Arial" w:cs="Arial"/>
          <w:sz w:val="24"/>
          <w:szCs w:val="24"/>
          <w:lang w:val="es-ES"/>
        </w:rPr>
        <w:t xml:space="preserve">A continuación, se consideran los beneficios monetarios de las transferencias que operan sobre el consumo mediante dos canales: a) el efecto multiplicador; b) la posibilidad de suavizar el consumo. Vale la pena destacar que estos beneficios </w:t>
      </w:r>
      <w:r w:rsidRPr="00F30598">
        <w:rPr>
          <w:rFonts w:ascii="Arial" w:hAnsi="Arial" w:cs="Arial"/>
          <w:sz w:val="24"/>
          <w:szCs w:val="24"/>
          <w:lang w:val="es-ES"/>
        </w:rPr>
        <w:lastRenderedPageBreak/>
        <w:t>operan sobre tres de los cinco Componentes del programa (el 2, el 3 y el 4), y por ende son de alguna forma “transversales”.</w:t>
      </w:r>
    </w:p>
    <w:p w:rsidRPr="00F30598" w:rsidR="00CE3B8F" w:rsidP="00DA58E9" w:rsidRDefault="00CE3B8F" w14:paraId="4AE255EE" w14:textId="77777777">
      <w:pPr>
        <w:pStyle w:val="Heading1"/>
        <w:spacing w:after="120" w:line="240" w:lineRule="auto"/>
        <w:rPr>
          <w:rFonts w:ascii="Arial" w:hAnsi="Arial" w:cs="Arial"/>
          <w:b/>
          <w:color w:val="auto"/>
          <w:sz w:val="24"/>
          <w:szCs w:val="24"/>
        </w:rPr>
      </w:pPr>
      <w:bookmarkStart w:name="_Toc38020442" w:id="8"/>
      <w:bookmarkStart w:name="_Toc38020656" w:id="9"/>
      <w:r w:rsidRPr="00F30598">
        <w:rPr>
          <w:rFonts w:ascii="Arial" w:hAnsi="Arial" w:cs="Arial"/>
          <w:b/>
          <w:color w:val="auto"/>
          <w:sz w:val="24"/>
          <w:szCs w:val="24"/>
        </w:rPr>
        <w:t>Multiplicador de las transferencias monetarias</w:t>
      </w:r>
      <w:bookmarkEnd w:id="8"/>
      <w:bookmarkEnd w:id="9"/>
    </w:p>
    <w:p w:rsidRPr="00F30598" w:rsidR="00CE3B8F" w:rsidP="00DA58E9" w:rsidRDefault="00CE3B8F" w14:paraId="6807588F" w14:textId="77777777">
      <w:pPr>
        <w:spacing w:before="120" w:after="120" w:line="240" w:lineRule="auto"/>
        <w:jc w:val="both"/>
        <w:rPr>
          <w:rFonts w:ascii="Arial" w:hAnsi="Arial" w:cs="Arial"/>
          <w:sz w:val="24"/>
          <w:szCs w:val="24"/>
          <w:lang w:val="es-ES"/>
        </w:rPr>
      </w:pPr>
      <w:r w:rsidRPr="00F30598">
        <w:rPr>
          <w:rFonts w:ascii="Arial" w:hAnsi="Arial" w:cs="Arial"/>
          <w:sz w:val="24"/>
          <w:szCs w:val="24"/>
          <w:lang w:val="es-ES"/>
        </w:rPr>
        <w:t xml:space="preserve">En este primer ejercicio se computa el efecto multiplicador de las transferencias monetarias (transferencias directas a personas vulnerables, en algunos casos como subsidios al empleo y podría aplicarse también en el caso de subsidios al consumo de servicios básicos domiciliarios).  </w:t>
      </w:r>
    </w:p>
    <w:p w:rsidRPr="00F30598" w:rsidR="00CE3B8F" w:rsidP="00DA58E9" w:rsidRDefault="00CE3B8F" w14:paraId="7CDD62A0" w14:textId="77777777">
      <w:pPr>
        <w:spacing w:before="120" w:after="120" w:line="240" w:lineRule="auto"/>
        <w:jc w:val="both"/>
        <w:rPr>
          <w:rFonts w:ascii="Arial" w:hAnsi="Arial" w:cs="Arial"/>
          <w:sz w:val="24"/>
          <w:szCs w:val="24"/>
          <w:lang w:val="es-ES"/>
        </w:rPr>
      </w:pPr>
      <w:r w:rsidRPr="00F30598">
        <w:rPr>
          <w:rFonts w:ascii="Arial" w:hAnsi="Arial" w:cs="Arial"/>
          <w:sz w:val="24"/>
          <w:szCs w:val="24"/>
          <w:lang w:val="es-ES"/>
        </w:rPr>
        <w:t xml:space="preserve">Podemos distinguir tres tipos de transferencias. En primer lugar, se financiarán transferencias monetarias puntuales (pagos extraordinarios) y ampliación de servicios compensatorios por medio de las plataformas de los programas de transferencias existentes, incluyendo, entre otros: transferencias monetarias condicionadas, transferencias para población con discapacidad, becas escolares para la población vulnerable, apoyos compensatorios por alimentación escolar y pensiones no contributivas. Pueden ser beneficiarios tanto los hogares participantes de los programas como aquellos hogares que actualmente no son beneficiarios pero que tienen clasificación socioeconómica en los sistemas de focalización o en los registros de beneficiarios. Para ello, se ampliará el rango del puntaje de elegibilidad para recibir las transferencias extraordinarias. </w:t>
      </w:r>
    </w:p>
    <w:p w:rsidRPr="00F30598" w:rsidR="00CE3B8F" w:rsidP="00DA58E9" w:rsidRDefault="00CE3B8F" w14:paraId="541D9DEB" w14:textId="77777777">
      <w:pPr>
        <w:spacing w:before="120" w:after="120" w:line="240" w:lineRule="auto"/>
        <w:jc w:val="both"/>
        <w:rPr>
          <w:rFonts w:ascii="Arial" w:hAnsi="Arial" w:cs="Arial"/>
          <w:sz w:val="24"/>
          <w:szCs w:val="24"/>
          <w:lang w:val="es-ES"/>
        </w:rPr>
      </w:pPr>
      <w:r w:rsidRPr="00F30598">
        <w:rPr>
          <w:rFonts w:ascii="Arial" w:hAnsi="Arial" w:cs="Arial"/>
          <w:sz w:val="24"/>
          <w:szCs w:val="24"/>
          <w:lang w:val="es-ES"/>
        </w:rPr>
        <w:t>Para efectos del ejercicio, se asume que el monto de las transferencias por este Componente es de 100 dólares por hogar, durante un período de tres meses. Esto está en línea con las respuestas que han tenido los países hasta el momento.</w:t>
      </w:r>
    </w:p>
    <w:p w:rsidRPr="00F30598" w:rsidR="00CE3B8F" w:rsidP="00DA58E9" w:rsidRDefault="00CE3B8F" w14:paraId="0F401BB6" w14:textId="77777777">
      <w:pPr>
        <w:spacing w:before="120" w:after="120" w:line="240" w:lineRule="auto"/>
        <w:jc w:val="both"/>
        <w:rPr>
          <w:rFonts w:ascii="Arial" w:hAnsi="Arial" w:cs="Arial"/>
          <w:sz w:val="24"/>
          <w:szCs w:val="24"/>
          <w:lang w:val="es-ES"/>
        </w:rPr>
      </w:pPr>
      <w:r w:rsidRPr="00F30598">
        <w:rPr>
          <w:rFonts w:ascii="Arial" w:hAnsi="Arial" w:cs="Arial"/>
          <w:sz w:val="24"/>
          <w:szCs w:val="24"/>
          <w:lang w:val="es-ES"/>
        </w:rPr>
        <w:t>En segundo lugar, se financiarán intervenciones a los hogares vulnerables no cubiertos por programas de transferencias, incluyendo aquellos de trabajadores informales o independientes y trabajadoras domésticas cuyo empleo no está formalizado. Aquí también las transferencias son de 100 dólares por hogar, durante un período de tres meses.</w:t>
      </w:r>
    </w:p>
    <w:p w:rsidRPr="00F30598" w:rsidR="00CE3B8F" w:rsidP="00DA58E9" w:rsidRDefault="00CE3B8F" w14:paraId="2973D8B4" w14:textId="77777777">
      <w:pPr>
        <w:spacing w:before="120" w:after="120" w:line="240" w:lineRule="auto"/>
        <w:jc w:val="both"/>
        <w:rPr>
          <w:rFonts w:ascii="Arial" w:hAnsi="Arial" w:eastAsia="Arial" w:cs="Arial"/>
          <w:sz w:val="24"/>
          <w:szCs w:val="24"/>
          <w:lang w:val="es-ES"/>
        </w:rPr>
      </w:pPr>
      <w:r w:rsidRPr="00F30598">
        <w:rPr>
          <w:rFonts w:ascii="Arial" w:hAnsi="Arial" w:cs="Arial"/>
          <w:sz w:val="24"/>
          <w:szCs w:val="24"/>
          <w:lang w:val="es-ES"/>
        </w:rPr>
        <w:t xml:space="preserve">Finalmente, </w:t>
      </w:r>
      <w:r w:rsidRPr="00F30598">
        <w:rPr>
          <w:rFonts w:ascii="Arial" w:hAnsi="Arial" w:eastAsia="Arial" w:cs="Arial"/>
          <w:sz w:val="24"/>
          <w:szCs w:val="24"/>
          <w:lang w:val="es-ES"/>
        </w:rPr>
        <w:t xml:space="preserve">se financiarán intervenciones dirigidas a proteger el empleo e ingresos de la población vulnerable del sector formal y que, por tanto, pueden ser identificados a través de los registros administrativos de la seguridad social o de los ministerios de trabajo. En este ejercicio se considera que se priorizará a los empleados de los tres sectores más afectados: comercio, transportes y exploración de minas y canteras.  </w:t>
      </w:r>
    </w:p>
    <w:p w:rsidRPr="00F30598" w:rsidR="00CE3B8F" w:rsidP="00DA58E9" w:rsidRDefault="00CE3B8F" w14:paraId="5C4D4516" w14:textId="77777777">
      <w:pPr>
        <w:spacing w:before="120" w:after="120" w:line="240" w:lineRule="auto"/>
        <w:jc w:val="both"/>
        <w:rPr>
          <w:rFonts w:ascii="Arial" w:hAnsi="Arial" w:eastAsia="Arial" w:cs="Arial"/>
          <w:sz w:val="24"/>
          <w:szCs w:val="24"/>
          <w:lang w:val="es-ES"/>
        </w:rPr>
      </w:pPr>
      <w:r w:rsidRPr="00F30598">
        <w:rPr>
          <w:rFonts w:ascii="Arial" w:hAnsi="Arial" w:eastAsia="Arial" w:cs="Arial"/>
          <w:sz w:val="24"/>
          <w:szCs w:val="24"/>
          <w:lang w:val="es-ES"/>
        </w:rPr>
        <w:t>En este caso las transferencias son la mitad del salario medio mensual (193 dólares) durante un período de 3 meses.</w:t>
      </w:r>
    </w:p>
    <w:p w:rsidRPr="00F30598" w:rsidR="00CE3B8F" w:rsidP="00DA58E9" w:rsidRDefault="00CE3B8F" w14:paraId="1B6032B6" w14:textId="77777777">
      <w:pPr>
        <w:spacing w:before="120" w:after="120" w:line="240" w:lineRule="auto"/>
        <w:jc w:val="both"/>
        <w:rPr>
          <w:rFonts w:ascii="Arial" w:hAnsi="Arial" w:eastAsia="Arial" w:cs="Arial"/>
          <w:sz w:val="24"/>
          <w:szCs w:val="24"/>
          <w:lang w:val="es-ES"/>
        </w:rPr>
      </w:pPr>
      <w:r w:rsidRPr="00F30598">
        <w:rPr>
          <w:rFonts w:ascii="Arial" w:hAnsi="Arial" w:eastAsia="Arial" w:cs="Arial"/>
          <w:sz w:val="24"/>
          <w:szCs w:val="24"/>
          <w:lang w:val="es-ES"/>
        </w:rPr>
        <w:t>A partir de datos de la EVC de Ecuador (2016), es posible obtener el número de hogares beneficiarios por Componente</w:t>
      </w:r>
      <w:r w:rsidRPr="00F30598">
        <w:rPr>
          <w:rStyle w:val="FootnoteReference"/>
          <w:rFonts w:ascii="Arial" w:hAnsi="Arial" w:eastAsia="Arial" w:cs="Arial"/>
          <w:sz w:val="24"/>
          <w:szCs w:val="24"/>
          <w:lang w:val="es-ES"/>
        </w:rPr>
        <w:footnoteReference w:id="9"/>
      </w:r>
      <w:r w:rsidRPr="00F30598">
        <w:rPr>
          <w:rFonts w:ascii="Arial" w:hAnsi="Arial" w:eastAsia="Arial" w:cs="Arial"/>
          <w:sz w:val="24"/>
          <w:szCs w:val="24"/>
          <w:lang w:val="es-ES"/>
        </w:rPr>
        <w:t xml:space="preserve">. Como se mencionó arriba, el caso de </w:t>
      </w:r>
      <w:r w:rsidRPr="00F30598">
        <w:rPr>
          <w:rFonts w:ascii="Arial" w:hAnsi="Arial" w:eastAsia="Arial" w:cs="Arial"/>
          <w:sz w:val="24"/>
          <w:szCs w:val="24"/>
          <w:lang w:val="es-ES"/>
        </w:rPr>
        <w:lastRenderedPageBreak/>
        <w:t xml:space="preserve">Ecuador es ilustrativo y la distribución entre las poblaciones es aproximativa a lo que se observa en la región. El siguiente cuadro resume la cantidad de hogares beneficiarios por Componente: </w:t>
      </w:r>
    </w:p>
    <w:p w:rsidRPr="00F30598" w:rsidR="00CE3B8F" w:rsidP="00DA58E9" w:rsidRDefault="00CE3B8F" w14:paraId="5486422A" w14:textId="77777777">
      <w:pPr>
        <w:spacing w:before="120" w:after="120" w:line="240" w:lineRule="auto"/>
        <w:jc w:val="both"/>
        <w:rPr>
          <w:rFonts w:ascii="Arial" w:hAnsi="Arial" w:eastAsia="Arial" w:cs="Arial"/>
          <w:sz w:val="24"/>
          <w:szCs w:val="24"/>
          <w:lang w:val="es-ES"/>
        </w:rPr>
      </w:pPr>
    </w:p>
    <w:p w:rsidRPr="00F30598" w:rsidR="00CE3B8F" w:rsidP="00CE3B8F" w:rsidRDefault="00CE3B8F" w14:paraId="3DA51B20" w14:textId="58352D15">
      <w:pPr>
        <w:pStyle w:val="Caption"/>
        <w:keepNext/>
        <w:rPr>
          <w:rFonts w:ascii="Arial" w:hAnsi="Arial" w:cs="Arial"/>
          <w:sz w:val="24"/>
          <w:szCs w:val="24"/>
          <w:lang w:val="es-ES"/>
        </w:rPr>
      </w:pPr>
      <w:r w:rsidRPr="00F30598">
        <w:rPr>
          <w:rFonts w:ascii="Arial" w:hAnsi="Arial" w:cs="Arial"/>
          <w:sz w:val="24"/>
          <w:szCs w:val="24"/>
        </w:rPr>
        <w:t xml:space="preserve">Cuadro </w:t>
      </w:r>
      <w:r w:rsidRPr="00F30598">
        <w:rPr>
          <w:rFonts w:ascii="Arial" w:hAnsi="Arial" w:cs="Arial"/>
          <w:sz w:val="24"/>
          <w:szCs w:val="24"/>
        </w:rPr>
        <w:fldChar w:fldCharType="begin"/>
      </w:r>
      <w:r w:rsidRPr="00F30598">
        <w:rPr>
          <w:rFonts w:ascii="Arial" w:hAnsi="Arial" w:cs="Arial"/>
          <w:sz w:val="24"/>
          <w:szCs w:val="24"/>
        </w:rPr>
        <w:instrText xml:space="preserve"> SEQ Cuadro \* ARABIC </w:instrText>
      </w:r>
      <w:r w:rsidRPr="00F30598">
        <w:rPr>
          <w:rFonts w:ascii="Arial" w:hAnsi="Arial" w:cs="Arial"/>
          <w:sz w:val="24"/>
          <w:szCs w:val="24"/>
        </w:rPr>
        <w:fldChar w:fldCharType="separate"/>
      </w:r>
      <w:r w:rsidRPr="00F30598" w:rsidR="00ED2BD4">
        <w:rPr>
          <w:rFonts w:ascii="Arial" w:hAnsi="Arial" w:cs="Arial"/>
          <w:noProof/>
          <w:sz w:val="24"/>
          <w:szCs w:val="24"/>
        </w:rPr>
        <w:t>1</w:t>
      </w:r>
      <w:r w:rsidRPr="00F30598">
        <w:rPr>
          <w:rFonts w:ascii="Arial" w:hAnsi="Arial" w:cs="Arial"/>
          <w:sz w:val="24"/>
          <w:szCs w:val="24"/>
        </w:rPr>
        <w:fldChar w:fldCharType="end"/>
      </w:r>
      <w:r w:rsidRPr="00F30598">
        <w:rPr>
          <w:rFonts w:ascii="Arial" w:hAnsi="Arial" w:cs="Arial"/>
          <w:sz w:val="24"/>
          <w:szCs w:val="24"/>
        </w:rPr>
        <w:t xml:space="preserve">: </w:t>
      </w:r>
      <w:r w:rsidRPr="00F30598" w:rsidR="00F75EA9">
        <w:rPr>
          <w:rFonts w:ascii="Arial" w:hAnsi="Arial" w:cs="Arial"/>
          <w:sz w:val="24"/>
          <w:szCs w:val="24"/>
        </w:rPr>
        <w:t>C</w:t>
      </w:r>
      <w:r w:rsidRPr="00F30598">
        <w:rPr>
          <w:rFonts w:ascii="Arial" w:hAnsi="Arial" w:cs="Arial"/>
          <w:sz w:val="24"/>
          <w:szCs w:val="24"/>
        </w:rPr>
        <w:t xml:space="preserve">antidad de hogares beneficiarios por instrumento </w:t>
      </w:r>
    </w:p>
    <w:p w:rsidRPr="00F30598" w:rsidR="00CE3B8F" w:rsidP="00CE3B8F" w:rsidRDefault="00CE3B8F" w14:paraId="020E7A9D" w14:textId="77777777">
      <w:pPr>
        <w:rPr>
          <w:rFonts w:ascii="Arial" w:hAnsi="Arial" w:cs="Arial"/>
        </w:rPr>
      </w:pPr>
      <w:r w:rsidRPr="00F30598">
        <w:rPr>
          <w:rFonts w:ascii="Arial" w:hAnsi="Arial" w:cs="Arial"/>
          <w:noProof/>
        </w:rPr>
        <w:drawing>
          <wp:inline distT="0" distB="0" distL="0" distR="0" wp14:anchorId="612CF048" wp14:editId="140ADA98">
            <wp:extent cx="5612130" cy="2206832"/>
            <wp:effectExtent l="0" t="0" r="7620" b="3175"/>
            <wp:docPr id="47" name="Imagen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12130" cy="2206832"/>
                    </a:xfrm>
                    <a:prstGeom prst="rect">
                      <a:avLst/>
                    </a:prstGeom>
                    <a:noFill/>
                    <a:ln>
                      <a:noFill/>
                    </a:ln>
                  </pic:spPr>
                </pic:pic>
              </a:graphicData>
            </a:graphic>
          </wp:inline>
        </w:drawing>
      </w:r>
    </w:p>
    <w:p w:rsidRPr="00DA58E9" w:rsidR="00CE3B8F" w:rsidP="00CE3B8F" w:rsidRDefault="00CE3B8F" w14:paraId="0082804D" w14:textId="77777777">
      <w:pPr>
        <w:spacing w:line="360" w:lineRule="auto"/>
        <w:jc w:val="both"/>
        <w:rPr>
          <w:rFonts w:ascii="Arial" w:hAnsi="Arial" w:eastAsia="Arial" w:cs="Arial"/>
          <w:bCs/>
          <w:sz w:val="18"/>
          <w:szCs w:val="18"/>
          <w:lang w:val="es-ES"/>
        </w:rPr>
      </w:pPr>
      <w:r w:rsidRPr="00DA58E9">
        <w:rPr>
          <w:rFonts w:ascii="Arial" w:hAnsi="Arial" w:eastAsia="Arial" w:cs="Arial"/>
          <w:bCs/>
          <w:sz w:val="18"/>
          <w:szCs w:val="18"/>
          <w:lang w:val="es-ES"/>
        </w:rPr>
        <w:t>Fuente: elaboración propia en base a proyecto BID y ECV</w:t>
      </w:r>
    </w:p>
    <w:p w:rsidRPr="00F30598" w:rsidR="00CE3B8F" w:rsidP="00CE3B8F" w:rsidRDefault="00CE3B8F" w14:paraId="2980C459" w14:textId="77777777">
      <w:pPr>
        <w:spacing w:line="360" w:lineRule="auto"/>
        <w:jc w:val="both"/>
        <w:rPr>
          <w:rFonts w:ascii="Arial" w:hAnsi="Arial" w:eastAsia="Arial" w:cs="Arial"/>
          <w:sz w:val="24"/>
          <w:szCs w:val="24"/>
          <w:lang w:val="es-ES"/>
        </w:rPr>
      </w:pPr>
    </w:p>
    <w:p w:rsidRPr="00F30598" w:rsidR="00CE3B8F" w:rsidP="00DA58E9" w:rsidRDefault="00CE3B8F" w14:paraId="4BF9418C" w14:textId="77777777">
      <w:pPr>
        <w:spacing w:before="120" w:after="120" w:line="240" w:lineRule="auto"/>
        <w:jc w:val="both"/>
        <w:rPr>
          <w:rFonts w:ascii="Arial" w:hAnsi="Arial" w:cs="Arial"/>
          <w:b/>
          <w:sz w:val="24"/>
          <w:szCs w:val="24"/>
          <w:lang w:val="es-ES_tradnl"/>
        </w:rPr>
      </w:pPr>
      <w:r w:rsidRPr="00F30598">
        <w:rPr>
          <w:rFonts w:ascii="Arial" w:hAnsi="Arial" w:eastAsia="Arial" w:cs="Arial"/>
          <w:b/>
          <w:sz w:val="24"/>
          <w:szCs w:val="24"/>
          <w:lang w:val="es-ES"/>
        </w:rPr>
        <w:t>Supuestos y metodología</w:t>
      </w:r>
    </w:p>
    <w:p w:rsidRPr="00F30598" w:rsidR="00CE3B8F" w:rsidP="00DA58E9" w:rsidRDefault="00CE3B8F" w14:paraId="34547FE6" w14:textId="0589B2CE">
      <w:pPr>
        <w:spacing w:before="120" w:after="120" w:line="240" w:lineRule="auto"/>
        <w:jc w:val="both"/>
        <w:rPr>
          <w:rFonts w:ascii="Arial" w:hAnsi="Arial" w:cs="Arial"/>
          <w:sz w:val="24"/>
          <w:szCs w:val="24"/>
          <w:lang w:val="es-ES"/>
        </w:rPr>
      </w:pPr>
      <w:r w:rsidRPr="00F30598">
        <w:rPr>
          <w:rFonts w:ascii="Arial" w:hAnsi="Arial" w:cs="Arial"/>
          <w:sz w:val="24"/>
          <w:szCs w:val="24"/>
          <w:lang w:val="es-ES"/>
        </w:rPr>
        <w:t xml:space="preserve">El multiplicador fiscal computa el efecto “acumulativo” que genera, sobre una economía que presenta recursos desempleados, el incremento en el nivel de gasto público. El efecto </w:t>
      </w:r>
      <m:oMath>
        <m:r>
          <w:rPr>
            <w:rFonts w:ascii="Cambria Math" w:hAnsi="Cambria Math" w:cs="Arial"/>
            <w:sz w:val="24"/>
            <w:szCs w:val="24"/>
            <w:lang w:val="es-ES"/>
          </w:rPr>
          <m:t>M</m:t>
        </m:r>
      </m:oMath>
      <w:r w:rsidRPr="00F30598">
        <w:rPr>
          <w:rFonts w:ascii="Arial" w:hAnsi="Arial" w:cs="Arial"/>
          <w:sz w:val="24"/>
          <w:szCs w:val="24"/>
          <w:lang w:val="es-ES"/>
        </w:rPr>
        <w:t xml:space="preserve"> de la transferencia monetaria </w:t>
      </w:r>
      <m:oMath>
        <m:r>
          <w:rPr>
            <w:rFonts w:ascii="Cambria Math" w:hAnsi="Cambria Math" w:cs="Arial"/>
            <w:sz w:val="24"/>
            <w:szCs w:val="24"/>
            <w:lang w:val="es-ES"/>
          </w:rPr>
          <m:t>T</m:t>
        </m:r>
      </m:oMath>
      <w:r w:rsidRPr="00F30598">
        <w:rPr>
          <w:rFonts w:ascii="Arial" w:hAnsi="Arial" w:cs="Arial"/>
          <w:sz w:val="24"/>
          <w:szCs w:val="24"/>
          <w:lang w:val="es-ES"/>
        </w:rPr>
        <w:t xml:space="preserve"> al hogar de tipo </w:t>
      </w:r>
      <m:oMath>
        <m:r>
          <w:rPr>
            <w:rFonts w:ascii="Cambria Math" w:hAnsi="Cambria Math" w:cs="Arial"/>
            <w:sz w:val="24"/>
            <w:szCs w:val="24"/>
            <w:lang w:val="es-ES"/>
          </w:rPr>
          <m:t>i</m:t>
        </m:r>
      </m:oMath>
      <w:r w:rsidRPr="00F30598">
        <w:rPr>
          <w:rFonts w:ascii="Arial" w:hAnsi="Arial" w:cs="Arial"/>
          <w:sz w:val="24"/>
          <w:szCs w:val="24"/>
          <w:lang w:val="es-ES"/>
        </w:rPr>
        <w:t xml:space="preserve"> </w:t>
      </w:r>
      <w:r w:rsidRPr="00F30598">
        <w:rPr>
          <w:rFonts w:ascii="Arial" w:hAnsi="Arial" w:cs="Arial" w:eastAsiaTheme="minorEastAsia"/>
          <w:sz w:val="24"/>
          <w:szCs w:val="24"/>
          <w:lang w:val="es-ES"/>
        </w:rPr>
        <w:t xml:space="preserve">(transferencias condicionadas, sostenimiento de empleo </w:t>
      </w:r>
      <w:r w:rsidRPr="00F30598">
        <w:rPr>
          <w:rFonts w:ascii="Arial" w:hAnsi="Arial" w:cs="Arial" w:eastAsiaTheme="minorEastAsia"/>
          <w:sz w:val="24"/>
          <w:szCs w:val="24"/>
          <w:lang w:val="es-ES"/>
        </w:rPr>
        <w:t xml:space="preserve">informal, sostenimiento del empleo formal) se puede calcular de </w:t>
      </w:r>
      <w:r w:rsidRPr="00F30598">
        <w:rPr>
          <w:rFonts w:ascii="Arial" w:hAnsi="Arial" w:cs="Arial"/>
          <w:sz w:val="24"/>
          <w:szCs w:val="24"/>
          <w:lang w:val="es-ES"/>
        </w:rPr>
        <w:t>la siguiente forma:</w:t>
      </w:r>
      <w:r w:rsidRPr="00F30598">
        <w:rPr>
          <w:rFonts w:ascii="Arial" w:hAnsi="Arial" w:cs="Arial" w:eastAsiaTheme="minorEastAsia"/>
          <w:sz w:val="24"/>
          <w:szCs w:val="24"/>
          <w:lang w:val="es-ES"/>
        </w:rPr>
        <w:t xml:space="preserve"> </w:t>
      </w:r>
    </w:p>
    <w:p w:rsidRPr="00F30598" w:rsidR="00CE3B8F" w:rsidP="00DA58E9" w:rsidRDefault="00BD4265" w14:paraId="28BB693B" w14:textId="77777777">
      <w:pPr>
        <w:spacing w:before="120" w:after="120" w:line="240" w:lineRule="auto"/>
        <w:jc w:val="both"/>
        <w:rPr>
          <w:rFonts w:ascii="Arial" w:hAnsi="Arial" w:cs="Arial" w:eastAsiaTheme="minorEastAsia"/>
          <w:sz w:val="24"/>
          <w:szCs w:val="24"/>
          <w:lang w:val="es-ES"/>
        </w:rPr>
      </w:pPr>
      <m:oMathPara>
        <m:oMath>
          <m:sSub>
            <m:sSubPr>
              <m:ctrlPr>
                <w:rPr>
                  <w:rFonts w:ascii="Cambria Math" w:hAnsi="Cambria Math" w:cs="Arial"/>
                  <w:i/>
                  <w:sz w:val="24"/>
                  <w:szCs w:val="24"/>
                  <w:lang w:val="es-ES"/>
                </w:rPr>
              </m:ctrlPr>
            </m:sSubPr>
            <m:e>
              <m:r>
                <w:rPr>
                  <w:rFonts w:ascii="Cambria Math" w:hAnsi="Cambria Math" w:cs="Arial"/>
                  <w:sz w:val="24"/>
                  <w:szCs w:val="24"/>
                  <w:lang w:val="es-ES"/>
                </w:rPr>
                <m:t>Y</m:t>
              </m:r>
            </m:e>
            <m:sub>
              <m:r>
                <w:rPr>
                  <w:rFonts w:ascii="Cambria Math" w:hAnsi="Cambria Math" w:cs="Arial"/>
                  <w:sz w:val="24"/>
                  <w:szCs w:val="24"/>
                  <w:lang w:val="es-ES"/>
                </w:rPr>
                <m:t>i</m:t>
              </m:r>
            </m:sub>
          </m:sSub>
          <m:r>
            <w:rPr>
              <w:rFonts w:ascii="Cambria Math" w:hAnsi="Cambria Math" w:cs="Arial"/>
              <w:sz w:val="24"/>
              <w:szCs w:val="24"/>
              <w:lang w:val="es-ES"/>
            </w:rPr>
            <m:t>=M</m:t>
          </m:r>
          <m:sSub>
            <m:sSubPr>
              <m:ctrlPr>
                <w:rPr>
                  <w:rFonts w:ascii="Cambria Math" w:hAnsi="Cambria Math" w:cs="Arial"/>
                  <w:i/>
                  <w:sz w:val="24"/>
                  <w:szCs w:val="24"/>
                  <w:lang w:val="es-ES"/>
                </w:rPr>
              </m:ctrlPr>
            </m:sSubPr>
            <m:e>
              <m:r>
                <w:rPr>
                  <w:rFonts w:ascii="Cambria Math" w:hAnsi="Cambria Math" w:cs="Arial"/>
                  <w:sz w:val="24"/>
                  <w:szCs w:val="24"/>
                  <w:lang w:val="es-ES"/>
                </w:rPr>
                <m:t>T</m:t>
              </m:r>
            </m:e>
            <m:sub>
              <m:r>
                <w:rPr>
                  <w:rFonts w:ascii="Cambria Math" w:hAnsi="Cambria Math" w:cs="Arial"/>
                  <w:sz w:val="24"/>
                  <w:szCs w:val="24"/>
                  <w:lang w:val="es-ES"/>
                </w:rPr>
                <m:t>i</m:t>
              </m:r>
            </m:sub>
          </m:sSub>
        </m:oMath>
      </m:oMathPara>
    </w:p>
    <w:p w:rsidRPr="00F30598" w:rsidR="00CE3B8F" w:rsidP="00DA58E9" w:rsidRDefault="00CE3B8F" w14:paraId="38C0CBA2" w14:textId="77777777">
      <w:pPr>
        <w:spacing w:before="120" w:after="120" w:line="240" w:lineRule="auto"/>
        <w:jc w:val="both"/>
        <w:rPr>
          <w:rFonts w:ascii="Arial" w:hAnsi="Arial" w:cs="Arial" w:eastAsiaTheme="minorEastAsia"/>
          <w:sz w:val="24"/>
          <w:szCs w:val="24"/>
          <w:lang w:val="es-ES"/>
        </w:rPr>
      </w:pPr>
      <w:r w:rsidRPr="00F30598">
        <w:rPr>
          <w:rFonts w:ascii="Arial" w:hAnsi="Arial" w:cs="Arial" w:eastAsiaTheme="minorEastAsia"/>
          <w:sz w:val="24"/>
          <w:szCs w:val="24"/>
          <w:lang w:val="es-ES"/>
        </w:rPr>
        <w:t xml:space="preserve">Con </w:t>
      </w:r>
      <m:oMath>
        <m:r>
          <w:rPr>
            <w:rFonts w:ascii="Cambria Math" w:hAnsi="Cambria Math" w:cs="Arial" w:eastAsiaTheme="minorEastAsia"/>
            <w:sz w:val="24"/>
            <w:szCs w:val="24"/>
            <w:lang w:val="es-ES"/>
          </w:rPr>
          <m:t>M</m:t>
        </m:r>
      </m:oMath>
      <w:r w:rsidRPr="00F30598">
        <w:rPr>
          <w:rFonts w:ascii="Arial" w:hAnsi="Arial" w:cs="Arial" w:eastAsiaTheme="minorEastAsia"/>
          <w:sz w:val="24"/>
          <w:szCs w:val="24"/>
          <w:lang w:val="es-ES"/>
        </w:rPr>
        <w:t xml:space="preserve">: </w:t>
      </w:r>
    </w:p>
    <w:p w:rsidRPr="00F30598" w:rsidR="00CE3B8F" w:rsidP="00DA58E9" w:rsidRDefault="00CE3B8F" w14:paraId="5750DF77" w14:textId="77777777">
      <w:pPr>
        <w:spacing w:before="120" w:after="120" w:line="240" w:lineRule="auto"/>
        <w:jc w:val="both"/>
        <w:rPr>
          <w:rFonts w:ascii="Arial" w:hAnsi="Arial" w:cs="Arial" w:eastAsiaTheme="minorEastAsia"/>
          <w:sz w:val="24"/>
          <w:szCs w:val="24"/>
          <w:lang w:val="es-ES"/>
        </w:rPr>
      </w:pPr>
      <m:oMathPara>
        <m:oMath>
          <m:r>
            <w:rPr>
              <w:rFonts w:ascii="Cambria Math" w:hAnsi="Cambria Math" w:cs="Arial" w:eastAsiaTheme="minorEastAsia"/>
              <w:sz w:val="24"/>
              <w:szCs w:val="24"/>
              <w:lang w:val="es-ES"/>
            </w:rPr>
            <m:t>M</m:t>
          </m:r>
          <m:r>
            <w:rPr>
              <w:rFonts w:ascii="Cambria Math" w:hAnsi="Cambria Math" w:cs="Arial"/>
              <w:sz w:val="24"/>
              <w:szCs w:val="24"/>
              <w:lang w:val="es-ES"/>
            </w:rPr>
            <m:t>=</m:t>
          </m:r>
          <m:f>
            <m:fPr>
              <m:ctrlPr>
                <w:rPr>
                  <w:rFonts w:ascii="Cambria Math" w:hAnsi="Cambria Math" w:cs="Arial"/>
                  <w:i/>
                  <w:sz w:val="24"/>
                  <w:szCs w:val="24"/>
                  <w:lang w:val="es-ES"/>
                </w:rPr>
              </m:ctrlPr>
            </m:fPr>
            <m:num>
              <m:r>
                <w:rPr>
                  <w:rFonts w:ascii="Cambria Math" w:hAnsi="Cambria Math" w:cs="Arial"/>
                  <w:sz w:val="24"/>
                  <w:szCs w:val="24"/>
                  <w:lang w:val="es-ES"/>
                </w:rPr>
                <m:t>1</m:t>
              </m:r>
            </m:num>
            <m:den>
              <m:r>
                <w:rPr>
                  <w:rFonts w:ascii="Cambria Math" w:hAnsi="Cambria Math" w:cs="Arial"/>
                  <w:sz w:val="24"/>
                  <w:szCs w:val="24"/>
                  <w:lang w:val="es-ES"/>
                </w:rPr>
                <m:t>1-c(1-t)+m</m:t>
              </m:r>
            </m:den>
          </m:f>
        </m:oMath>
      </m:oMathPara>
    </w:p>
    <w:p w:rsidRPr="00F30598" w:rsidR="00CE3B8F" w:rsidP="00DA58E9" w:rsidRDefault="00CE3B8F" w14:paraId="5499BB5C" w14:textId="77777777">
      <w:pPr>
        <w:spacing w:before="120" w:after="120" w:line="240" w:lineRule="auto"/>
        <w:jc w:val="both"/>
        <w:rPr>
          <w:rFonts w:ascii="Arial" w:hAnsi="Arial" w:cs="Arial" w:eastAsiaTheme="minorEastAsia"/>
          <w:sz w:val="24"/>
          <w:szCs w:val="24"/>
          <w:lang w:val="es-ES"/>
        </w:rPr>
      </w:pPr>
    </w:p>
    <w:p w:rsidRPr="00F30598" w:rsidR="00CE3B8F" w:rsidP="00DA58E9" w:rsidRDefault="00CE3B8F" w14:paraId="28B59E2D" w14:textId="77777777">
      <w:pPr>
        <w:spacing w:before="120" w:after="120" w:line="240" w:lineRule="auto"/>
        <w:jc w:val="both"/>
        <w:rPr>
          <w:rFonts w:ascii="Arial" w:hAnsi="Arial" w:cs="Arial" w:eastAsiaTheme="minorEastAsia"/>
          <w:sz w:val="24"/>
          <w:szCs w:val="24"/>
          <w:lang w:val="es-ES"/>
        </w:rPr>
      </w:pPr>
      <w:r w:rsidRPr="00F30598">
        <w:rPr>
          <w:rFonts w:ascii="Arial" w:hAnsi="Arial" w:cs="Arial" w:eastAsiaTheme="minorEastAsia"/>
          <w:sz w:val="24"/>
          <w:szCs w:val="24"/>
          <w:lang w:val="es-ES"/>
        </w:rPr>
        <w:t xml:space="preserve">Donde: </w:t>
      </w:r>
      <m:oMath>
        <m:sSub>
          <m:sSubPr>
            <m:ctrlPr>
              <w:rPr>
                <w:rFonts w:ascii="Cambria Math" w:hAnsi="Cambria Math" w:cs="Arial"/>
                <w:i/>
                <w:sz w:val="24"/>
                <w:szCs w:val="24"/>
                <w:lang w:val="es-ES"/>
              </w:rPr>
            </m:ctrlPr>
          </m:sSubPr>
          <m:e>
            <m:r>
              <w:rPr>
                <w:rFonts w:ascii="Cambria Math" w:hAnsi="Cambria Math" w:cs="Arial"/>
                <w:sz w:val="24"/>
                <w:szCs w:val="24"/>
                <w:lang w:val="es-ES"/>
              </w:rPr>
              <m:t>T</m:t>
            </m:r>
          </m:e>
          <m:sub>
            <m:r>
              <w:rPr>
                <w:rFonts w:ascii="Cambria Math" w:hAnsi="Cambria Math" w:cs="Arial"/>
                <w:sz w:val="24"/>
                <w:szCs w:val="24"/>
                <w:lang w:val="es-ES"/>
              </w:rPr>
              <m:t>i</m:t>
            </m:r>
          </m:sub>
        </m:sSub>
      </m:oMath>
      <w:r w:rsidRPr="00F30598">
        <w:rPr>
          <w:rFonts w:ascii="Arial" w:hAnsi="Arial" w:cs="Arial" w:eastAsiaTheme="minorEastAsia"/>
          <w:sz w:val="24"/>
          <w:szCs w:val="24"/>
          <w:lang w:val="es-ES"/>
        </w:rPr>
        <w:t xml:space="preserve"> es la transferencia monetaria realizada </w:t>
      </w:r>
      <w:r w:rsidRPr="00F30598">
        <w:rPr>
          <w:rFonts w:ascii="Arial" w:hAnsi="Arial" w:cs="Arial" w:eastAsiaTheme="minorEastAsia"/>
          <w:sz w:val="24"/>
          <w:szCs w:val="24"/>
          <w:lang w:val="es-ES"/>
        </w:rPr>
        <w:t xml:space="preserve">al sector </w:t>
      </w:r>
      <m:oMath>
        <m:r>
          <w:rPr>
            <w:rFonts w:ascii="Cambria Math" w:hAnsi="Cambria Math" w:cs="Arial" w:eastAsiaTheme="minorEastAsia"/>
            <w:sz w:val="24"/>
            <w:szCs w:val="24"/>
            <w:lang w:val="es-ES"/>
          </w:rPr>
          <m:t>i</m:t>
        </m:r>
      </m:oMath>
      <w:r w:rsidRPr="00F30598">
        <w:rPr>
          <w:rFonts w:ascii="Arial" w:hAnsi="Arial" w:cs="Arial" w:eastAsiaTheme="minorEastAsia"/>
          <w:sz w:val="24"/>
          <w:szCs w:val="24"/>
          <w:lang w:val="es-ES"/>
        </w:rPr>
        <w:t xml:space="preserve">, </w:t>
      </w:r>
    </w:p>
    <w:p w:rsidRPr="00F30598" w:rsidR="00CE3B8F" w:rsidP="00DA58E9" w:rsidRDefault="00CE3B8F" w14:paraId="5A81F173" w14:textId="77777777">
      <w:pPr>
        <w:spacing w:before="120" w:after="120" w:line="240" w:lineRule="auto"/>
        <w:ind w:firstLine="720"/>
        <w:jc w:val="both"/>
        <w:rPr>
          <w:rFonts w:ascii="Arial" w:hAnsi="Arial" w:cs="Arial" w:eastAsiaTheme="minorEastAsia"/>
          <w:sz w:val="24"/>
          <w:szCs w:val="24"/>
          <w:lang w:val="es-ES"/>
        </w:rPr>
      </w:pPr>
      <m:oMath>
        <m:r>
          <w:rPr>
            <w:rFonts w:ascii="Cambria Math" w:hAnsi="Cambria Math" w:cs="Arial" w:eastAsiaTheme="minorEastAsia"/>
            <w:sz w:val="24"/>
            <w:szCs w:val="24"/>
            <w:lang w:val="es-ES"/>
          </w:rPr>
          <w:lastRenderedPageBreak/>
          <m:t>c</m:t>
        </m:r>
      </m:oMath>
      <w:r w:rsidRPr="00F30598">
        <w:rPr>
          <w:rFonts w:ascii="Arial" w:hAnsi="Arial" w:cs="Arial" w:eastAsiaTheme="minorEastAsia"/>
          <w:sz w:val="24"/>
          <w:szCs w:val="24"/>
          <w:lang w:val="es-ES"/>
        </w:rPr>
        <w:t xml:space="preserve"> la propensión marginal al consumo </w:t>
      </w:r>
    </w:p>
    <w:p w:rsidRPr="00F30598" w:rsidR="00CE3B8F" w:rsidP="00DA58E9" w:rsidRDefault="00CE3B8F" w14:paraId="46189F18" w14:textId="77777777">
      <w:pPr>
        <w:spacing w:before="120" w:after="120" w:line="240" w:lineRule="auto"/>
        <w:ind w:firstLine="720"/>
        <w:jc w:val="both"/>
        <w:rPr>
          <w:rFonts w:ascii="Arial" w:hAnsi="Arial" w:cs="Arial" w:eastAsiaTheme="minorEastAsia"/>
          <w:sz w:val="24"/>
          <w:szCs w:val="24"/>
          <w:lang w:val="es-ES"/>
        </w:rPr>
      </w:pPr>
      <m:oMath>
        <m:r>
          <w:rPr>
            <w:rFonts w:ascii="Cambria Math" w:hAnsi="Cambria Math" w:cs="Arial" w:eastAsiaTheme="minorEastAsia"/>
            <w:sz w:val="24"/>
            <w:szCs w:val="24"/>
            <w:lang w:val="es-ES"/>
          </w:rPr>
          <m:t>m</m:t>
        </m:r>
      </m:oMath>
      <w:r w:rsidRPr="00F30598">
        <w:rPr>
          <w:rFonts w:ascii="Arial" w:hAnsi="Arial" w:cs="Arial" w:eastAsiaTheme="minorEastAsia"/>
          <w:sz w:val="24"/>
          <w:szCs w:val="24"/>
          <w:lang w:val="es-ES"/>
        </w:rPr>
        <w:t xml:space="preserve"> la propensión marginal a las importaciones. </w:t>
      </w:r>
    </w:p>
    <w:p w:rsidRPr="00F30598" w:rsidR="00CE3B8F" w:rsidP="00DA58E9" w:rsidRDefault="00CE3B8F" w14:paraId="399C3F26" w14:textId="77777777">
      <w:pPr>
        <w:spacing w:before="120" w:after="120" w:line="240" w:lineRule="auto"/>
        <w:ind w:firstLine="720"/>
        <w:jc w:val="both"/>
        <w:rPr>
          <w:rFonts w:ascii="Arial" w:hAnsi="Arial" w:cs="Arial" w:eastAsiaTheme="minorEastAsia"/>
          <w:sz w:val="24"/>
          <w:szCs w:val="24"/>
          <w:lang w:val="es-ES"/>
        </w:rPr>
      </w:pPr>
      <m:oMath>
        <m:r>
          <w:rPr>
            <w:rFonts w:ascii="Cambria Math" w:hAnsi="Cambria Math" w:cs="Arial" w:eastAsiaTheme="minorEastAsia"/>
            <w:sz w:val="24"/>
            <w:szCs w:val="24"/>
            <w:lang w:val="es-ES"/>
          </w:rPr>
          <m:t>t</m:t>
        </m:r>
      </m:oMath>
      <w:r w:rsidRPr="00F30598">
        <w:rPr>
          <w:rFonts w:ascii="Arial" w:hAnsi="Arial" w:cs="Arial" w:eastAsiaTheme="minorEastAsia"/>
          <w:sz w:val="24"/>
          <w:szCs w:val="24"/>
          <w:lang w:val="es-ES"/>
        </w:rPr>
        <w:t xml:space="preserve"> es la propensión marginal a los impuestos</w:t>
      </w:r>
    </w:p>
    <w:p w:rsidRPr="00F30598" w:rsidR="00CE3B8F" w:rsidP="00DA58E9" w:rsidRDefault="00CE3B8F" w14:paraId="3A2F7011" w14:textId="77777777">
      <w:pPr>
        <w:spacing w:before="120" w:after="120" w:line="240" w:lineRule="auto"/>
        <w:jc w:val="both"/>
        <w:rPr>
          <w:rFonts w:ascii="Arial" w:hAnsi="Arial" w:cs="Arial" w:eastAsiaTheme="minorEastAsia"/>
          <w:sz w:val="24"/>
          <w:szCs w:val="24"/>
          <w:lang w:val="es-ES"/>
        </w:rPr>
      </w:pPr>
    </w:p>
    <w:p w:rsidRPr="00F30598" w:rsidR="00CE3B8F" w:rsidP="00DA58E9" w:rsidRDefault="00CE3B8F" w14:paraId="48EB1F28" w14:textId="77777777">
      <w:pPr>
        <w:spacing w:before="120" w:after="120" w:line="240" w:lineRule="auto"/>
        <w:jc w:val="both"/>
        <w:rPr>
          <w:rFonts w:ascii="Arial" w:hAnsi="Arial" w:cs="Arial" w:eastAsiaTheme="minorEastAsia"/>
          <w:sz w:val="24"/>
          <w:szCs w:val="24"/>
          <w:lang w:val="es-ES"/>
        </w:rPr>
      </w:pPr>
      <w:r w:rsidRPr="00F30598">
        <w:rPr>
          <w:rFonts w:ascii="Arial" w:hAnsi="Arial" w:cs="Arial" w:eastAsiaTheme="minorEastAsia"/>
          <w:sz w:val="24"/>
          <w:szCs w:val="24"/>
          <w:lang w:val="es-ES"/>
        </w:rPr>
        <w:t xml:space="preserve">Nótese que, como el efecto de las transferencias es de corto plazo, a diferencia de otros estudios sobre el tema (ver </w:t>
      </w:r>
      <w:proofErr w:type="spellStart"/>
      <w:r w:rsidRPr="00F30598">
        <w:rPr>
          <w:rFonts w:ascii="Arial" w:hAnsi="Arial" w:cs="Arial" w:eastAsiaTheme="minorEastAsia"/>
          <w:sz w:val="24"/>
          <w:szCs w:val="24"/>
          <w:lang w:val="es-ES"/>
        </w:rPr>
        <w:t>Egger</w:t>
      </w:r>
      <w:proofErr w:type="spellEnd"/>
      <w:r w:rsidRPr="00F30598">
        <w:rPr>
          <w:rFonts w:ascii="Arial" w:hAnsi="Arial" w:cs="Arial" w:eastAsiaTheme="minorEastAsia"/>
          <w:sz w:val="24"/>
          <w:szCs w:val="24"/>
          <w:lang w:val="es-ES"/>
        </w:rPr>
        <w:t xml:space="preserve"> et al. 2019), aquí no se toma en cuenta el potencial incremento de la capacidad productiva derivado de la expansión de la demanda (o efecto acelerador), que incrementaría todavía más el efecto multiplicador del producto. </w:t>
      </w:r>
    </w:p>
    <w:p w:rsidRPr="00F30598" w:rsidR="00CE3B8F" w:rsidP="00DA58E9" w:rsidRDefault="00CE3B8F" w14:paraId="7F171958" w14:textId="349CFE21">
      <w:pPr>
        <w:spacing w:before="120" w:after="120" w:line="240" w:lineRule="auto"/>
        <w:jc w:val="both"/>
        <w:rPr>
          <w:rFonts w:ascii="Arial" w:hAnsi="Arial" w:cs="Arial" w:eastAsiaTheme="minorEastAsia"/>
          <w:sz w:val="24"/>
          <w:szCs w:val="24"/>
          <w:lang w:val="es-ES"/>
        </w:rPr>
      </w:pPr>
      <w:r w:rsidRPr="00F30598">
        <w:rPr>
          <w:rFonts w:ascii="Arial" w:hAnsi="Arial" w:cs="Arial" w:eastAsiaTheme="minorEastAsia"/>
          <w:sz w:val="24"/>
          <w:szCs w:val="24"/>
          <w:lang w:val="es-ES"/>
        </w:rPr>
        <w:t xml:space="preserve">A partir de datos de las cuentas nacionales del Banco Central de Ecuador sobre los Componentes del gasto para el período 2011-2016, es posible calcular el valor del </w:t>
      </w:r>
      <m:oMath>
        <m:r>
          <w:rPr>
            <w:rFonts w:ascii="Cambria Math" w:hAnsi="Cambria Math" w:cs="Arial" w:eastAsiaTheme="minorEastAsia"/>
            <w:sz w:val="24"/>
            <w:szCs w:val="24"/>
            <w:lang w:val="es-ES"/>
          </w:rPr>
          <m:t>M</m:t>
        </m:r>
      </m:oMath>
      <w:r w:rsidRPr="00F30598">
        <w:rPr>
          <w:rFonts w:ascii="Arial" w:hAnsi="Arial" w:cs="Arial" w:eastAsiaTheme="minorEastAsia"/>
          <w:sz w:val="24"/>
          <w:szCs w:val="24"/>
          <w:lang w:val="es-ES"/>
        </w:rPr>
        <w:t>, el cual toma un promedio de 1,47</w:t>
      </w:r>
      <w:r w:rsidRPr="00F30598" w:rsidR="007C7929">
        <w:rPr>
          <w:rStyle w:val="FootnoteReference"/>
          <w:rFonts w:ascii="Arial" w:hAnsi="Arial" w:cs="Arial" w:eastAsiaTheme="minorEastAsia"/>
          <w:sz w:val="24"/>
          <w:szCs w:val="24"/>
          <w:lang w:val="es-ES"/>
        </w:rPr>
        <w:footnoteReference w:id="10"/>
      </w:r>
      <w:r w:rsidRPr="00F30598">
        <w:rPr>
          <w:rFonts w:ascii="Arial" w:hAnsi="Arial" w:cs="Arial" w:eastAsiaTheme="minorEastAsia"/>
          <w:sz w:val="24"/>
          <w:szCs w:val="24"/>
          <w:lang w:val="es-ES"/>
        </w:rPr>
        <w:t xml:space="preserve">. Dicho valor es consistente con las estimaciones para otros países cuando no se toma en cuenta el efecto acelerador (ver </w:t>
      </w:r>
      <w:proofErr w:type="spellStart"/>
      <w:r w:rsidRPr="00F30598">
        <w:rPr>
          <w:rFonts w:ascii="Arial" w:hAnsi="Arial" w:cs="Arial" w:eastAsiaTheme="minorEastAsia"/>
          <w:sz w:val="24"/>
          <w:szCs w:val="24"/>
          <w:lang w:val="es-ES"/>
        </w:rPr>
        <w:t>Egger</w:t>
      </w:r>
      <w:proofErr w:type="spellEnd"/>
      <w:r w:rsidRPr="00F30598">
        <w:rPr>
          <w:rFonts w:ascii="Arial" w:hAnsi="Arial" w:cs="Arial" w:eastAsiaTheme="minorEastAsia"/>
          <w:sz w:val="24"/>
          <w:szCs w:val="24"/>
          <w:lang w:val="es-ES"/>
        </w:rPr>
        <w:t xml:space="preserve">, 2019, p. 51, tabla 5).  </w:t>
      </w:r>
    </w:p>
    <w:p w:rsidRPr="00F30598" w:rsidR="00CE3B8F" w:rsidP="00DA58E9" w:rsidRDefault="00CE3B8F" w14:paraId="343440AD" w14:textId="77777777">
      <w:pPr>
        <w:spacing w:before="120" w:after="120" w:line="240" w:lineRule="auto"/>
        <w:jc w:val="both"/>
        <w:rPr>
          <w:rFonts w:ascii="Arial" w:hAnsi="Arial" w:cs="Arial" w:eastAsiaTheme="minorEastAsia"/>
          <w:sz w:val="24"/>
          <w:szCs w:val="24"/>
          <w:lang w:val="es-ES"/>
        </w:rPr>
      </w:pPr>
      <w:r w:rsidRPr="00F30598">
        <w:rPr>
          <w:rFonts w:ascii="Arial" w:hAnsi="Arial" w:cs="Arial" w:eastAsiaTheme="minorEastAsia"/>
          <w:sz w:val="24"/>
          <w:szCs w:val="24"/>
          <w:lang w:val="es-ES"/>
        </w:rPr>
        <w:t>El efecto multiplicador opera sobre toda la economía; sin embargo, debido al Covi-19, es posible asumir que habrá restricciones de oferta incluso en ausencia de pleno empleo. Como supuesto conservador el tamaño del multiplicador será reducido en un 20%. De este modo, el valor del multiplicador “ajustado” es de 1,18.</w:t>
      </w:r>
    </w:p>
    <w:p w:rsidRPr="00F30598" w:rsidR="00CE3B8F" w:rsidP="00DA58E9" w:rsidRDefault="00CE3B8F" w14:paraId="094666DB" w14:textId="77777777">
      <w:pPr>
        <w:spacing w:before="240" w:after="120" w:line="240" w:lineRule="auto"/>
        <w:jc w:val="both"/>
        <w:rPr>
          <w:rFonts w:ascii="Arial" w:hAnsi="Arial" w:cs="Arial" w:eastAsiaTheme="minorEastAsia"/>
          <w:b/>
          <w:sz w:val="24"/>
          <w:szCs w:val="24"/>
          <w:lang w:val="es-ES"/>
        </w:rPr>
      </w:pPr>
      <w:r w:rsidRPr="00F30598">
        <w:rPr>
          <w:rFonts w:ascii="Arial" w:hAnsi="Arial" w:cs="Arial" w:eastAsiaTheme="minorEastAsia"/>
          <w:b/>
          <w:sz w:val="24"/>
          <w:szCs w:val="24"/>
          <w:lang w:val="es-ES"/>
        </w:rPr>
        <w:t>RESULTADOS</w:t>
      </w:r>
    </w:p>
    <w:p w:rsidRPr="00F30598" w:rsidR="00CE3B8F" w:rsidP="00DA58E9" w:rsidRDefault="00CE3B8F" w14:paraId="6CE4932F" w14:textId="77777777">
      <w:pPr>
        <w:spacing w:before="120" w:after="120" w:line="240" w:lineRule="auto"/>
        <w:jc w:val="both"/>
        <w:rPr>
          <w:rFonts w:ascii="Arial" w:hAnsi="Arial" w:cs="Arial" w:eastAsiaTheme="minorEastAsia"/>
          <w:sz w:val="24"/>
          <w:szCs w:val="24"/>
          <w:lang w:val="es-ES"/>
        </w:rPr>
      </w:pPr>
      <w:r w:rsidRPr="00F30598">
        <w:rPr>
          <w:rFonts w:ascii="Arial" w:hAnsi="Arial" w:cs="Arial" w:eastAsiaTheme="minorEastAsia"/>
          <w:sz w:val="24"/>
          <w:szCs w:val="24"/>
          <w:lang w:val="es-ES"/>
        </w:rPr>
        <w:t xml:space="preserve">El siguiente cuadro resume los beneficios del programa. Como el programa se aplica el corriente año (2020), los beneficios no se descuentan. </w:t>
      </w:r>
      <w:proofErr w:type="gramStart"/>
      <w:r w:rsidRPr="00F30598">
        <w:rPr>
          <w:rFonts w:ascii="Arial" w:hAnsi="Arial" w:cs="Arial" w:eastAsiaTheme="minorEastAsia"/>
          <w:sz w:val="24"/>
          <w:szCs w:val="24"/>
          <w:lang w:val="es-ES"/>
        </w:rPr>
        <w:t>Recordar</w:t>
      </w:r>
      <w:proofErr w:type="gramEnd"/>
      <w:r w:rsidRPr="00F30598">
        <w:rPr>
          <w:rFonts w:ascii="Arial" w:hAnsi="Arial" w:cs="Arial" w:eastAsiaTheme="minorEastAsia"/>
          <w:sz w:val="24"/>
          <w:szCs w:val="24"/>
          <w:lang w:val="es-ES"/>
        </w:rPr>
        <w:t xml:space="preserve"> que las transferencias se computan tanto como un beneficio del programa y como un costo en t=0. </w:t>
      </w:r>
    </w:p>
    <w:p w:rsidRPr="00F30598" w:rsidR="00CE3B8F" w:rsidP="00DA58E9" w:rsidRDefault="00CE3B8F" w14:paraId="17EF51AF" w14:textId="77777777">
      <w:pPr>
        <w:spacing w:before="120" w:after="120" w:line="240" w:lineRule="auto"/>
        <w:jc w:val="both"/>
        <w:rPr>
          <w:rFonts w:ascii="Arial" w:hAnsi="Arial" w:cs="Arial" w:eastAsiaTheme="minorEastAsia"/>
          <w:sz w:val="24"/>
          <w:szCs w:val="24"/>
          <w:lang w:val="es-ES"/>
        </w:rPr>
      </w:pPr>
    </w:p>
    <w:p w:rsidRPr="00F30598" w:rsidR="00CE3B8F" w:rsidP="00DA58E9" w:rsidRDefault="00CE3B8F" w14:paraId="531D77B9" w14:textId="01159CD3">
      <w:pPr>
        <w:pStyle w:val="Caption"/>
        <w:keepNext/>
        <w:spacing w:before="120" w:after="120"/>
        <w:rPr>
          <w:rFonts w:ascii="Arial" w:hAnsi="Arial" w:cs="Arial"/>
          <w:sz w:val="24"/>
          <w:szCs w:val="24"/>
        </w:rPr>
      </w:pPr>
      <w:r w:rsidRPr="00F30598">
        <w:rPr>
          <w:rFonts w:ascii="Arial" w:hAnsi="Arial" w:cs="Arial"/>
          <w:sz w:val="24"/>
          <w:szCs w:val="24"/>
        </w:rPr>
        <w:t xml:space="preserve">Cuadro </w:t>
      </w:r>
      <w:r w:rsidRPr="00F30598">
        <w:rPr>
          <w:rFonts w:ascii="Arial" w:hAnsi="Arial" w:cs="Arial"/>
          <w:sz w:val="24"/>
          <w:szCs w:val="24"/>
        </w:rPr>
        <w:fldChar w:fldCharType="begin"/>
      </w:r>
      <w:r w:rsidRPr="00F30598">
        <w:rPr>
          <w:rFonts w:ascii="Arial" w:hAnsi="Arial" w:cs="Arial"/>
          <w:sz w:val="24"/>
          <w:szCs w:val="24"/>
        </w:rPr>
        <w:instrText xml:space="preserve"> SEQ Cuadro \* ARABIC </w:instrText>
      </w:r>
      <w:r w:rsidRPr="00F30598">
        <w:rPr>
          <w:rFonts w:ascii="Arial" w:hAnsi="Arial" w:cs="Arial"/>
          <w:sz w:val="24"/>
          <w:szCs w:val="24"/>
        </w:rPr>
        <w:fldChar w:fldCharType="separate"/>
      </w:r>
      <w:r w:rsidRPr="00F30598" w:rsidR="00ED2BD4">
        <w:rPr>
          <w:rFonts w:ascii="Arial" w:hAnsi="Arial" w:cs="Arial"/>
          <w:noProof/>
          <w:sz w:val="24"/>
          <w:szCs w:val="24"/>
        </w:rPr>
        <w:t>2</w:t>
      </w:r>
      <w:r w:rsidRPr="00F30598">
        <w:rPr>
          <w:rFonts w:ascii="Arial" w:hAnsi="Arial" w:cs="Arial"/>
          <w:sz w:val="24"/>
          <w:szCs w:val="24"/>
        </w:rPr>
        <w:fldChar w:fldCharType="end"/>
      </w:r>
      <w:r w:rsidRPr="00F30598">
        <w:rPr>
          <w:rFonts w:ascii="Arial" w:hAnsi="Arial" w:cs="Arial"/>
          <w:sz w:val="24"/>
          <w:szCs w:val="24"/>
        </w:rPr>
        <w:t xml:space="preserve">: </w:t>
      </w:r>
      <w:r w:rsidRPr="00F30598" w:rsidR="00F75EA9">
        <w:rPr>
          <w:rFonts w:ascii="Arial" w:hAnsi="Arial" w:cs="Arial"/>
          <w:sz w:val="24"/>
          <w:szCs w:val="24"/>
        </w:rPr>
        <w:t>B</w:t>
      </w:r>
      <w:r w:rsidRPr="00F30598">
        <w:rPr>
          <w:rFonts w:ascii="Arial" w:hAnsi="Arial" w:cs="Arial"/>
          <w:sz w:val="24"/>
          <w:szCs w:val="24"/>
        </w:rPr>
        <w:t>eneficios del programa (USD)</w:t>
      </w:r>
    </w:p>
    <w:p w:rsidRPr="00F30598" w:rsidR="00CE3B8F" w:rsidP="00DA58E9" w:rsidRDefault="00CE3B8F" w14:paraId="2C86C32F" w14:textId="77777777">
      <w:pPr>
        <w:spacing w:before="120" w:after="120" w:line="240" w:lineRule="auto"/>
        <w:jc w:val="both"/>
        <w:rPr>
          <w:rFonts w:ascii="Arial" w:hAnsi="Arial" w:cs="Arial" w:eastAsiaTheme="minorEastAsia"/>
          <w:sz w:val="24"/>
          <w:szCs w:val="24"/>
          <w:lang w:val="es-ES"/>
        </w:rPr>
      </w:pPr>
      <w:r w:rsidRPr="00F30598">
        <w:rPr>
          <w:rFonts w:ascii="Arial" w:hAnsi="Arial" w:cs="Arial"/>
          <w:noProof/>
        </w:rPr>
        <w:drawing>
          <wp:inline distT="0" distB="0" distL="0" distR="0" wp14:anchorId="7F70A3ED" wp14:editId="1F4DA978">
            <wp:extent cx="5612130" cy="1575645"/>
            <wp:effectExtent l="0" t="0" r="7620" b="5715"/>
            <wp:docPr id="48" name="Imagen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12130" cy="1575645"/>
                    </a:xfrm>
                    <a:prstGeom prst="rect">
                      <a:avLst/>
                    </a:prstGeom>
                    <a:noFill/>
                    <a:ln>
                      <a:noFill/>
                    </a:ln>
                  </pic:spPr>
                </pic:pic>
              </a:graphicData>
            </a:graphic>
          </wp:inline>
        </w:drawing>
      </w:r>
    </w:p>
    <w:p w:rsidRPr="00F30598" w:rsidR="00CE3B8F" w:rsidP="00DA58E9" w:rsidRDefault="00CE3B8F" w14:paraId="48FAA6C9" w14:textId="77777777">
      <w:pPr>
        <w:spacing w:before="120" w:after="120" w:line="240" w:lineRule="auto"/>
        <w:jc w:val="both"/>
        <w:rPr>
          <w:rFonts w:ascii="Arial" w:hAnsi="Arial" w:cs="Arial" w:eastAsiaTheme="minorEastAsia"/>
          <w:bCs/>
          <w:lang w:val="es-ES"/>
        </w:rPr>
      </w:pPr>
      <w:r w:rsidRPr="00F30598">
        <w:rPr>
          <w:rFonts w:ascii="Arial" w:hAnsi="Arial" w:cs="Arial" w:eastAsiaTheme="minorEastAsia"/>
          <w:bCs/>
          <w:lang w:val="es-ES"/>
        </w:rPr>
        <w:t>Fuente: Elaboración propia en base a ECV y Banco Central de Ecuador</w:t>
      </w:r>
    </w:p>
    <w:p w:rsidRPr="00F30598" w:rsidR="00CE3B8F" w:rsidP="00DA58E9" w:rsidRDefault="00CE3B8F" w14:paraId="52DD3626" w14:textId="77777777">
      <w:pPr>
        <w:spacing w:before="120" w:after="120" w:line="240" w:lineRule="auto"/>
        <w:jc w:val="both"/>
        <w:rPr>
          <w:rFonts w:ascii="Arial" w:hAnsi="Arial" w:cs="Arial" w:eastAsiaTheme="minorEastAsia"/>
          <w:b/>
          <w:sz w:val="24"/>
          <w:szCs w:val="24"/>
          <w:lang w:val="es-ES"/>
        </w:rPr>
      </w:pPr>
    </w:p>
    <w:p w:rsidRPr="00F30598" w:rsidR="00CE3B8F" w:rsidP="00DA58E9" w:rsidRDefault="00CE3B8F" w14:paraId="5DAF5DFD" w14:textId="77777777">
      <w:pPr>
        <w:spacing w:before="120" w:after="120" w:line="240" w:lineRule="auto"/>
        <w:jc w:val="both"/>
        <w:rPr>
          <w:rFonts w:ascii="Arial" w:hAnsi="Arial" w:cs="Arial" w:eastAsiaTheme="minorEastAsia"/>
          <w:b/>
          <w:sz w:val="24"/>
          <w:szCs w:val="24"/>
          <w:lang w:val="es-ES"/>
        </w:rPr>
      </w:pPr>
      <w:r w:rsidRPr="00F30598">
        <w:rPr>
          <w:rFonts w:ascii="Arial" w:hAnsi="Arial" w:cs="Arial" w:eastAsiaTheme="minorEastAsia"/>
          <w:b/>
          <w:sz w:val="24"/>
          <w:szCs w:val="24"/>
          <w:lang w:val="es-ES"/>
        </w:rPr>
        <w:t xml:space="preserve">Costos </w:t>
      </w:r>
    </w:p>
    <w:p w:rsidRPr="00F30598" w:rsidR="00CE3B8F" w:rsidP="00DA58E9" w:rsidRDefault="00CE3B8F" w14:paraId="2BB5A0AF" w14:textId="77777777">
      <w:pPr>
        <w:spacing w:before="120" w:after="120" w:line="240" w:lineRule="auto"/>
        <w:jc w:val="both"/>
        <w:rPr>
          <w:rFonts w:ascii="Arial" w:hAnsi="Arial" w:cs="Arial" w:eastAsiaTheme="minorEastAsia"/>
          <w:sz w:val="24"/>
          <w:szCs w:val="24"/>
          <w:lang w:val="es-ES"/>
        </w:rPr>
      </w:pPr>
      <w:r w:rsidRPr="00F30598">
        <w:rPr>
          <w:rFonts w:ascii="Arial" w:hAnsi="Arial" w:cs="Arial" w:eastAsiaTheme="minorEastAsia"/>
          <w:sz w:val="24"/>
          <w:szCs w:val="24"/>
          <w:lang w:val="es-ES"/>
        </w:rPr>
        <w:t xml:space="preserve">A su vez, vale la pena destacar que las transferencias son un ingreso para quienes las reciben, pero suponen paralelamente un costo fiscal (el préstamo).  Pero adicionalmente, se computa el costo administrativo de las mismas, que varía </w:t>
      </w:r>
      <w:proofErr w:type="gramStart"/>
      <w:r w:rsidRPr="00F30598">
        <w:rPr>
          <w:rFonts w:ascii="Arial" w:hAnsi="Arial" w:cs="Arial" w:eastAsiaTheme="minorEastAsia"/>
          <w:sz w:val="24"/>
          <w:szCs w:val="24"/>
          <w:lang w:val="es-ES"/>
        </w:rPr>
        <w:t>de acuerdo al</w:t>
      </w:r>
      <w:proofErr w:type="gramEnd"/>
      <w:r w:rsidRPr="00F30598">
        <w:rPr>
          <w:rFonts w:ascii="Arial" w:hAnsi="Arial" w:cs="Arial" w:eastAsiaTheme="minorEastAsia"/>
          <w:sz w:val="24"/>
          <w:szCs w:val="24"/>
          <w:lang w:val="es-ES"/>
        </w:rPr>
        <w:t xml:space="preserve"> tipo de transferencia: un 5% del costo de las transferencias a hogares vulnerables registrados en los programas de protección social. Dicho costo se incrementa al 7% en el caso de las transferencias a beneficiarios no registrados en los padrones de beneficiarios de programas actuales y es, finalmente, de un 1,5% en el caso de los beneficiarios de subsidios al desempleo (empleados formales)</w:t>
      </w:r>
    </w:p>
    <w:p w:rsidRPr="00F30598" w:rsidR="00CE3B8F" w:rsidP="00DA58E9" w:rsidRDefault="00CE3B8F" w14:paraId="71E21105" w14:textId="77777777">
      <w:pPr>
        <w:spacing w:before="120" w:after="120" w:line="240" w:lineRule="auto"/>
        <w:jc w:val="both"/>
        <w:rPr>
          <w:rFonts w:ascii="Arial" w:hAnsi="Arial" w:cs="Arial" w:eastAsiaTheme="minorEastAsia"/>
          <w:sz w:val="24"/>
          <w:szCs w:val="24"/>
          <w:lang w:val="es-ES"/>
        </w:rPr>
      </w:pPr>
      <w:r w:rsidRPr="00F30598">
        <w:rPr>
          <w:rFonts w:ascii="Arial" w:hAnsi="Arial" w:cs="Arial" w:eastAsiaTheme="minorEastAsia"/>
          <w:sz w:val="24"/>
          <w:szCs w:val="24"/>
          <w:lang w:val="es-ES"/>
        </w:rPr>
        <w:t>El siguiente cuadro resume los costos por Componente y totales</w:t>
      </w:r>
    </w:p>
    <w:p w:rsidRPr="00F30598" w:rsidR="00CE3B8F" w:rsidP="00DA58E9" w:rsidRDefault="00CE3B8F" w14:paraId="08B3D68B" w14:textId="77777777">
      <w:pPr>
        <w:spacing w:before="120" w:after="120" w:line="240" w:lineRule="auto"/>
        <w:jc w:val="center"/>
        <w:rPr>
          <w:rFonts w:ascii="Arial" w:hAnsi="Arial" w:cs="Arial" w:eastAsiaTheme="minorEastAsia"/>
          <w:b/>
          <w:sz w:val="24"/>
          <w:szCs w:val="24"/>
          <w:lang w:val="es-ES"/>
        </w:rPr>
      </w:pPr>
    </w:p>
    <w:p w:rsidRPr="00F30598" w:rsidR="00CE3B8F" w:rsidP="00DA58E9" w:rsidRDefault="00CE3B8F" w14:paraId="763A515C" w14:textId="5E613070">
      <w:pPr>
        <w:pStyle w:val="Caption"/>
        <w:keepNext/>
        <w:spacing w:before="120" w:after="120"/>
        <w:rPr>
          <w:rFonts w:ascii="Arial" w:hAnsi="Arial" w:cs="Arial"/>
          <w:sz w:val="24"/>
          <w:szCs w:val="24"/>
        </w:rPr>
      </w:pPr>
      <w:r w:rsidRPr="17D008AF">
        <w:rPr>
          <w:rFonts w:ascii="Arial" w:hAnsi="Arial" w:cs="Arial"/>
          <w:sz w:val="24"/>
          <w:szCs w:val="24"/>
        </w:rPr>
        <w:t xml:space="preserve">Cuadro </w:t>
      </w:r>
      <w:r w:rsidRPr="17D008AF">
        <w:rPr>
          <w:rFonts w:ascii="Arial" w:hAnsi="Arial" w:cs="Arial"/>
          <w:sz w:val="24"/>
          <w:szCs w:val="24"/>
        </w:rPr>
        <w:fldChar w:fldCharType="begin"/>
      </w:r>
      <w:r w:rsidRPr="17D008AF">
        <w:rPr>
          <w:rFonts w:ascii="Arial" w:hAnsi="Arial" w:cs="Arial"/>
          <w:sz w:val="24"/>
          <w:szCs w:val="24"/>
        </w:rPr>
        <w:instrText xml:space="preserve"> SEQ Cuadro \* ARABIC </w:instrText>
      </w:r>
      <w:r w:rsidRPr="17D008AF">
        <w:rPr>
          <w:rFonts w:ascii="Arial" w:hAnsi="Arial" w:cs="Arial"/>
          <w:sz w:val="24"/>
          <w:szCs w:val="24"/>
        </w:rPr>
        <w:fldChar w:fldCharType="separate"/>
      </w:r>
      <w:r w:rsidRPr="17D008AF" w:rsidR="00ED2BD4">
        <w:rPr>
          <w:rFonts w:ascii="Arial" w:hAnsi="Arial" w:cs="Arial"/>
          <w:noProof/>
          <w:sz w:val="24"/>
          <w:szCs w:val="24"/>
        </w:rPr>
        <w:t>3</w:t>
      </w:r>
      <w:r w:rsidRPr="17D008AF">
        <w:rPr>
          <w:rFonts w:ascii="Arial" w:hAnsi="Arial" w:cs="Arial"/>
          <w:sz w:val="24"/>
          <w:szCs w:val="24"/>
        </w:rPr>
        <w:fldChar w:fldCharType="end"/>
      </w:r>
      <w:r w:rsidRPr="17D008AF">
        <w:rPr>
          <w:rFonts w:ascii="Arial" w:hAnsi="Arial" w:cs="Arial"/>
          <w:sz w:val="24"/>
          <w:szCs w:val="24"/>
        </w:rPr>
        <w:t>: Costos por Componente (U</w:t>
      </w:r>
      <w:r w:rsidRPr="17D008AF" w:rsidR="132EC52A">
        <w:rPr>
          <w:rFonts w:ascii="Arial" w:hAnsi="Arial" w:cs="Arial"/>
          <w:sz w:val="24"/>
          <w:szCs w:val="24"/>
        </w:rPr>
        <w:t>S</w:t>
      </w:r>
      <w:r w:rsidRPr="17D008AF">
        <w:rPr>
          <w:rFonts w:ascii="Arial" w:hAnsi="Arial" w:cs="Arial"/>
          <w:sz w:val="24"/>
          <w:szCs w:val="24"/>
        </w:rPr>
        <w:t>D)</w:t>
      </w:r>
    </w:p>
    <w:p w:rsidRPr="00F30598" w:rsidR="00CE3B8F" w:rsidP="00DA58E9" w:rsidRDefault="00CE3B8F" w14:paraId="36501F79" w14:textId="77777777">
      <w:pPr>
        <w:spacing w:before="120" w:after="120" w:line="240" w:lineRule="auto"/>
        <w:jc w:val="center"/>
        <w:rPr>
          <w:rFonts w:ascii="Arial" w:hAnsi="Arial" w:cs="Arial" w:eastAsiaTheme="minorEastAsia"/>
          <w:sz w:val="24"/>
          <w:szCs w:val="24"/>
          <w:lang w:val="es-ES"/>
        </w:rPr>
      </w:pPr>
      <w:r w:rsidRPr="00F30598">
        <w:rPr>
          <w:rFonts w:ascii="Arial" w:hAnsi="Arial" w:cs="Arial"/>
          <w:noProof/>
        </w:rPr>
        <w:drawing>
          <wp:inline distT="0" distB="0" distL="0" distR="0" wp14:anchorId="016B2981" wp14:editId="0723E33A">
            <wp:extent cx="5612130" cy="879153"/>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12130" cy="879153"/>
                    </a:xfrm>
                    <a:prstGeom prst="rect">
                      <a:avLst/>
                    </a:prstGeom>
                    <a:noFill/>
                    <a:ln>
                      <a:noFill/>
                    </a:ln>
                  </pic:spPr>
                </pic:pic>
              </a:graphicData>
            </a:graphic>
          </wp:inline>
        </w:drawing>
      </w:r>
    </w:p>
    <w:p w:rsidRPr="00F30598" w:rsidR="00CE3B8F" w:rsidP="00DA58E9" w:rsidRDefault="00CE3B8F" w14:paraId="3AD431E9" w14:textId="77777777">
      <w:pPr>
        <w:spacing w:before="120" w:after="120" w:line="240" w:lineRule="auto"/>
        <w:jc w:val="both"/>
        <w:rPr>
          <w:rFonts w:ascii="Arial" w:hAnsi="Arial" w:cs="Arial" w:eastAsiaTheme="minorEastAsia"/>
          <w:bCs/>
          <w:lang w:val="es-ES"/>
        </w:rPr>
      </w:pPr>
      <w:r w:rsidRPr="00F30598">
        <w:rPr>
          <w:rFonts w:ascii="Arial" w:hAnsi="Arial" w:cs="Arial" w:eastAsiaTheme="minorEastAsia"/>
          <w:bCs/>
          <w:lang w:val="es-ES"/>
        </w:rPr>
        <w:t>Fuente: Elaboración propia en base a ECV y Banco Central de Ecuador</w:t>
      </w:r>
    </w:p>
    <w:p w:rsidRPr="00F30598" w:rsidR="00CE3B8F" w:rsidP="00DA58E9" w:rsidRDefault="00CE3B8F" w14:paraId="798B8006" w14:textId="77777777">
      <w:pPr>
        <w:spacing w:before="120" w:after="120" w:line="240" w:lineRule="auto"/>
        <w:jc w:val="both"/>
        <w:rPr>
          <w:rFonts w:ascii="Arial" w:hAnsi="Arial" w:cs="Arial" w:eastAsiaTheme="minorEastAsia"/>
          <w:sz w:val="24"/>
          <w:szCs w:val="24"/>
          <w:lang w:val="es-ES"/>
        </w:rPr>
      </w:pPr>
    </w:p>
    <w:p w:rsidRPr="00F30598" w:rsidR="00CE3B8F" w:rsidP="00DA58E9" w:rsidRDefault="00CE3B8F" w14:paraId="77BB51D9" w14:textId="77777777">
      <w:pPr>
        <w:spacing w:before="120" w:after="120" w:line="240" w:lineRule="auto"/>
        <w:jc w:val="both"/>
        <w:rPr>
          <w:rFonts w:ascii="Arial" w:hAnsi="Arial" w:cs="Arial" w:eastAsiaTheme="minorEastAsia"/>
          <w:sz w:val="24"/>
          <w:szCs w:val="24"/>
          <w:lang w:val="es-ES"/>
        </w:rPr>
      </w:pPr>
      <w:r w:rsidRPr="00F30598">
        <w:rPr>
          <w:rFonts w:ascii="Arial" w:hAnsi="Arial" w:cs="Arial" w:eastAsiaTheme="minorEastAsia"/>
          <w:sz w:val="24"/>
          <w:szCs w:val="24"/>
          <w:lang w:val="es-ES"/>
        </w:rPr>
        <w:t xml:space="preserve">Finalmente, el siguiente cuadro estima </w:t>
      </w:r>
      <w:proofErr w:type="gramStart"/>
      <w:r w:rsidRPr="00F30598">
        <w:rPr>
          <w:rFonts w:ascii="Arial" w:hAnsi="Arial" w:cs="Arial" w:eastAsiaTheme="minorEastAsia"/>
          <w:sz w:val="24"/>
          <w:szCs w:val="24"/>
          <w:lang w:val="es-ES"/>
        </w:rPr>
        <w:t>el ratio</w:t>
      </w:r>
      <w:proofErr w:type="gramEnd"/>
      <w:r w:rsidRPr="00F30598">
        <w:rPr>
          <w:rFonts w:ascii="Arial" w:hAnsi="Arial" w:cs="Arial" w:eastAsiaTheme="minorEastAsia"/>
          <w:sz w:val="24"/>
          <w:szCs w:val="24"/>
          <w:lang w:val="es-ES"/>
        </w:rPr>
        <w:t xml:space="preserve"> Beneficio-Costo total y por Componente (en caso de no existir los costos administrativos dicho ratio sería exactamente igual al del multiplicador).</w:t>
      </w:r>
    </w:p>
    <w:p w:rsidRPr="00F30598" w:rsidR="00CE3B8F" w:rsidP="00DA58E9" w:rsidRDefault="00CE3B8F" w14:paraId="683FF2C8" w14:textId="2D3A2BDF">
      <w:pPr>
        <w:pStyle w:val="Caption"/>
        <w:keepNext/>
        <w:spacing w:before="120" w:after="120"/>
        <w:rPr>
          <w:rFonts w:ascii="Arial" w:hAnsi="Arial" w:cs="Arial"/>
          <w:sz w:val="24"/>
          <w:szCs w:val="24"/>
        </w:rPr>
      </w:pPr>
      <w:r w:rsidRPr="00F30598">
        <w:rPr>
          <w:rFonts w:ascii="Arial" w:hAnsi="Arial" w:cs="Arial"/>
          <w:sz w:val="24"/>
          <w:szCs w:val="24"/>
        </w:rPr>
        <w:t xml:space="preserve">Cuadro </w:t>
      </w:r>
      <w:r w:rsidRPr="00F30598">
        <w:rPr>
          <w:rFonts w:ascii="Arial" w:hAnsi="Arial" w:cs="Arial"/>
          <w:sz w:val="24"/>
          <w:szCs w:val="24"/>
        </w:rPr>
        <w:fldChar w:fldCharType="begin"/>
      </w:r>
      <w:r w:rsidRPr="00F30598">
        <w:rPr>
          <w:rFonts w:ascii="Arial" w:hAnsi="Arial" w:cs="Arial"/>
          <w:sz w:val="24"/>
          <w:szCs w:val="24"/>
        </w:rPr>
        <w:instrText xml:space="preserve"> SEQ Cuadro \* ARABIC </w:instrText>
      </w:r>
      <w:r w:rsidRPr="00F30598">
        <w:rPr>
          <w:rFonts w:ascii="Arial" w:hAnsi="Arial" w:cs="Arial"/>
          <w:sz w:val="24"/>
          <w:szCs w:val="24"/>
        </w:rPr>
        <w:fldChar w:fldCharType="separate"/>
      </w:r>
      <w:r w:rsidRPr="00F30598" w:rsidR="00ED2BD4">
        <w:rPr>
          <w:rFonts w:ascii="Arial" w:hAnsi="Arial" w:cs="Arial"/>
          <w:noProof/>
          <w:sz w:val="24"/>
          <w:szCs w:val="24"/>
        </w:rPr>
        <w:t>4</w:t>
      </w:r>
      <w:r w:rsidRPr="00F30598">
        <w:rPr>
          <w:rFonts w:ascii="Arial" w:hAnsi="Arial" w:cs="Arial"/>
          <w:sz w:val="24"/>
          <w:szCs w:val="24"/>
        </w:rPr>
        <w:fldChar w:fldCharType="end"/>
      </w:r>
      <w:r w:rsidRPr="00F30598">
        <w:rPr>
          <w:rFonts w:ascii="Arial" w:hAnsi="Arial" w:cs="Arial"/>
          <w:sz w:val="24"/>
          <w:szCs w:val="24"/>
        </w:rPr>
        <w:t>: Ratio Beneficio/Costo por Componente</w:t>
      </w:r>
    </w:p>
    <w:p w:rsidRPr="00F30598" w:rsidR="00CE3B8F" w:rsidP="00DA58E9" w:rsidRDefault="00CE3B8F" w14:paraId="7851D3B8" w14:textId="77777777">
      <w:pPr>
        <w:spacing w:before="120" w:after="120" w:line="240" w:lineRule="auto"/>
        <w:jc w:val="center"/>
        <w:rPr>
          <w:rFonts w:ascii="Arial" w:hAnsi="Arial" w:cs="Arial" w:eastAsiaTheme="minorEastAsia"/>
          <w:sz w:val="24"/>
          <w:szCs w:val="24"/>
          <w:lang w:val="es-ES"/>
        </w:rPr>
      </w:pPr>
      <w:r w:rsidRPr="00F30598">
        <w:rPr>
          <w:rFonts w:ascii="Arial" w:hAnsi="Arial" w:cs="Arial"/>
          <w:noProof/>
        </w:rPr>
        <w:drawing>
          <wp:inline distT="0" distB="0" distL="0" distR="0" wp14:anchorId="06D0E5BE" wp14:editId="170A5572">
            <wp:extent cx="3943350" cy="177165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943350" cy="1771650"/>
                    </a:xfrm>
                    <a:prstGeom prst="rect">
                      <a:avLst/>
                    </a:prstGeom>
                    <a:noFill/>
                    <a:ln>
                      <a:noFill/>
                    </a:ln>
                  </pic:spPr>
                </pic:pic>
              </a:graphicData>
            </a:graphic>
          </wp:inline>
        </w:drawing>
      </w:r>
    </w:p>
    <w:p w:rsidRPr="00F30598" w:rsidR="00CE3B8F" w:rsidP="00DA58E9" w:rsidRDefault="00CE3B8F" w14:paraId="76343DB7" w14:textId="77777777">
      <w:pPr>
        <w:spacing w:before="120" w:after="120" w:line="240" w:lineRule="auto"/>
        <w:ind w:firstLine="720"/>
        <w:jc w:val="both"/>
        <w:rPr>
          <w:rFonts w:ascii="Arial" w:hAnsi="Arial" w:cs="Arial" w:eastAsiaTheme="minorEastAsia"/>
          <w:bCs/>
          <w:lang w:val="es-ES"/>
        </w:rPr>
      </w:pPr>
      <w:r w:rsidRPr="00F30598">
        <w:rPr>
          <w:rFonts w:ascii="Arial" w:hAnsi="Arial" w:cs="Arial" w:eastAsiaTheme="minorEastAsia"/>
          <w:bCs/>
          <w:lang w:val="es-ES"/>
        </w:rPr>
        <w:t>Fuente: Elaboración propia</w:t>
      </w:r>
    </w:p>
    <w:p w:rsidRPr="00F30598" w:rsidR="00CE3B8F" w:rsidP="00DA58E9" w:rsidRDefault="00CE3B8F" w14:paraId="4D3089B2" w14:textId="77777777">
      <w:pPr>
        <w:spacing w:before="120" w:after="120" w:line="240" w:lineRule="auto"/>
        <w:jc w:val="both"/>
        <w:rPr>
          <w:rFonts w:ascii="Arial" w:hAnsi="Arial" w:cs="Arial" w:eastAsiaTheme="minorEastAsia"/>
          <w:sz w:val="24"/>
          <w:szCs w:val="24"/>
          <w:lang w:val="es-ES"/>
        </w:rPr>
      </w:pPr>
    </w:p>
    <w:p w:rsidRPr="00F30598" w:rsidR="00CE3B8F" w:rsidP="00DA58E9" w:rsidRDefault="00CE3B8F" w14:paraId="5A1F4103" w14:textId="77777777">
      <w:pPr>
        <w:spacing w:before="120" w:after="120" w:line="240" w:lineRule="auto"/>
        <w:jc w:val="both"/>
        <w:rPr>
          <w:rFonts w:ascii="Arial" w:hAnsi="Arial" w:cs="Arial" w:eastAsiaTheme="minorEastAsia"/>
          <w:sz w:val="24"/>
          <w:szCs w:val="24"/>
          <w:lang w:val="es-ES"/>
        </w:rPr>
      </w:pPr>
      <w:r w:rsidRPr="00F30598">
        <w:rPr>
          <w:rFonts w:ascii="Arial" w:hAnsi="Arial" w:cs="Arial" w:eastAsiaTheme="minorEastAsia"/>
          <w:sz w:val="24"/>
          <w:szCs w:val="24"/>
          <w:lang w:val="es-ES"/>
        </w:rPr>
        <w:t xml:space="preserve">Como se aprecia, </w:t>
      </w:r>
      <w:proofErr w:type="gramStart"/>
      <w:r w:rsidRPr="00F30598">
        <w:rPr>
          <w:rFonts w:ascii="Arial" w:hAnsi="Arial" w:cs="Arial" w:eastAsiaTheme="minorEastAsia"/>
          <w:sz w:val="24"/>
          <w:szCs w:val="24"/>
          <w:lang w:val="es-ES"/>
        </w:rPr>
        <w:t>el ratio total</w:t>
      </w:r>
      <w:proofErr w:type="gramEnd"/>
      <w:r w:rsidRPr="00F30598">
        <w:rPr>
          <w:rFonts w:ascii="Arial" w:hAnsi="Arial" w:cs="Arial" w:eastAsiaTheme="minorEastAsia"/>
          <w:sz w:val="24"/>
          <w:szCs w:val="24"/>
          <w:lang w:val="es-ES"/>
        </w:rPr>
        <w:t xml:space="preserve"> es de 1,11, lo cual indica que el programa es costo beneficioso.  </w:t>
      </w:r>
    </w:p>
    <w:p w:rsidRPr="00F30598" w:rsidR="00CE3B8F" w:rsidP="00DA58E9" w:rsidRDefault="00CE3B8F" w14:paraId="3EE22977" w14:textId="77777777">
      <w:pPr>
        <w:spacing w:before="240" w:after="120" w:line="240" w:lineRule="auto"/>
        <w:jc w:val="both"/>
        <w:rPr>
          <w:rFonts w:ascii="Arial" w:hAnsi="Arial" w:cs="Arial" w:eastAsiaTheme="minorEastAsia"/>
          <w:b/>
          <w:sz w:val="24"/>
          <w:szCs w:val="24"/>
          <w:lang w:val="es-ES"/>
        </w:rPr>
      </w:pPr>
      <w:r w:rsidRPr="00F30598">
        <w:rPr>
          <w:rFonts w:ascii="Arial" w:hAnsi="Arial" w:cs="Arial" w:eastAsiaTheme="minorEastAsia"/>
          <w:b/>
          <w:sz w:val="24"/>
          <w:szCs w:val="24"/>
          <w:lang w:val="es-ES"/>
        </w:rPr>
        <w:t>Análisis de Sensibilidad</w:t>
      </w:r>
    </w:p>
    <w:p w:rsidRPr="00F30598" w:rsidR="00CE3B8F" w:rsidP="00DA58E9" w:rsidRDefault="00CE3B8F" w14:paraId="055DA0D0" w14:textId="77777777">
      <w:pPr>
        <w:spacing w:before="120" w:after="120" w:line="240" w:lineRule="auto"/>
        <w:jc w:val="both"/>
        <w:rPr>
          <w:rFonts w:ascii="Arial" w:hAnsi="Arial" w:cs="Arial" w:eastAsiaTheme="minorEastAsia"/>
          <w:sz w:val="24"/>
          <w:szCs w:val="24"/>
          <w:lang w:val="es-ES"/>
        </w:rPr>
      </w:pPr>
      <w:r w:rsidRPr="00F30598">
        <w:rPr>
          <w:rFonts w:ascii="Arial" w:hAnsi="Arial" w:cs="Arial" w:eastAsiaTheme="minorEastAsia"/>
          <w:sz w:val="24"/>
          <w:szCs w:val="24"/>
          <w:lang w:val="es-ES"/>
        </w:rPr>
        <w:lastRenderedPageBreak/>
        <w:t xml:space="preserve">En el ejercicio base se supuso que el multiplicador, producto de las potenciales restricciones de oferta existentes en un contexto de </w:t>
      </w:r>
      <w:proofErr w:type="gramStart"/>
      <w:r w:rsidRPr="00F30598">
        <w:rPr>
          <w:rFonts w:ascii="Arial" w:hAnsi="Arial" w:cs="Arial" w:eastAsiaTheme="minorEastAsia"/>
          <w:sz w:val="24"/>
          <w:szCs w:val="24"/>
          <w:lang w:val="es-ES"/>
        </w:rPr>
        <w:t>corona-virus</w:t>
      </w:r>
      <w:proofErr w:type="gramEnd"/>
      <w:r w:rsidRPr="00F30598">
        <w:rPr>
          <w:rFonts w:ascii="Arial" w:hAnsi="Arial" w:cs="Arial" w:eastAsiaTheme="minorEastAsia"/>
          <w:sz w:val="24"/>
          <w:szCs w:val="24"/>
          <w:lang w:val="es-ES"/>
        </w:rPr>
        <w:t>, tenía una efectividad de solo el 80% respeto a su valor original. A continuación, se muestra cómo varía el análisis cuando dicha efectividad: a) se incrementa al 85% y b) disminuye al 75%.</w:t>
      </w:r>
    </w:p>
    <w:p w:rsidRPr="00F30598" w:rsidR="00CE3B8F" w:rsidP="00DA58E9" w:rsidRDefault="00CE3B8F" w14:paraId="73EEF239" w14:textId="77777777">
      <w:pPr>
        <w:spacing w:before="120" w:after="120" w:line="240" w:lineRule="auto"/>
        <w:jc w:val="both"/>
        <w:rPr>
          <w:rFonts w:ascii="Arial" w:hAnsi="Arial" w:cs="Arial" w:eastAsiaTheme="minorEastAsia"/>
          <w:sz w:val="24"/>
          <w:szCs w:val="24"/>
          <w:lang w:val="es-ES"/>
        </w:rPr>
      </w:pPr>
      <w:r w:rsidRPr="00F30598">
        <w:rPr>
          <w:rFonts w:ascii="Arial" w:hAnsi="Arial" w:cs="Arial" w:eastAsiaTheme="minorEastAsia"/>
          <w:sz w:val="24"/>
          <w:szCs w:val="24"/>
          <w:lang w:val="es-ES"/>
        </w:rPr>
        <w:t xml:space="preserve">En el primer caso, los ratios </w:t>
      </w:r>
      <w:proofErr w:type="spellStart"/>
      <w:proofErr w:type="gramStart"/>
      <w:r w:rsidRPr="00F30598">
        <w:rPr>
          <w:rFonts w:ascii="Arial" w:hAnsi="Arial" w:cs="Arial" w:eastAsiaTheme="minorEastAsia"/>
          <w:sz w:val="24"/>
          <w:szCs w:val="24"/>
          <w:lang w:val="es-ES"/>
        </w:rPr>
        <w:t>beneficio:costo</w:t>
      </w:r>
      <w:proofErr w:type="spellEnd"/>
      <w:proofErr w:type="gramEnd"/>
      <w:r w:rsidRPr="00F30598">
        <w:rPr>
          <w:rFonts w:ascii="Arial" w:hAnsi="Arial" w:cs="Arial" w:eastAsiaTheme="minorEastAsia"/>
          <w:sz w:val="24"/>
          <w:szCs w:val="24"/>
          <w:lang w:val="es-ES"/>
        </w:rPr>
        <w:t xml:space="preserve"> se incrementan según se presenta a continuación</w:t>
      </w:r>
    </w:p>
    <w:p w:rsidRPr="00F30598" w:rsidR="00CE3B8F" w:rsidP="00DA58E9" w:rsidRDefault="00CE3B8F" w14:paraId="30CF6A6C" w14:textId="77777777">
      <w:pPr>
        <w:spacing w:before="120" w:after="120" w:line="240" w:lineRule="auto"/>
        <w:jc w:val="both"/>
        <w:rPr>
          <w:rFonts w:ascii="Arial" w:hAnsi="Arial" w:cs="Arial" w:eastAsiaTheme="minorEastAsia"/>
          <w:sz w:val="24"/>
          <w:szCs w:val="24"/>
          <w:lang w:val="es-ES"/>
        </w:rPr>
      </w:pPr>
    </w:p>
    <w:p w:rsidRPr="00F30598" w:rsidR="00CE3B8F" w:rsidP="00DA58E9" w:rsidRDefault="00CE3B8F" w14:paraId="20327280" w14:textId="616FE9CE">
      <w:pPr>
        <w:pStyle w:val="Caption"/>
        <w:keepNext/>
        <w:spacing w:before="120" w:after="120"/>
        <w:rPr>
          <w:rFonts w:ascii="Arial" w:hAnsi="Arial" w:cs="Arial"/>
          <w:sz w:val="24"/>
          <w:szCs w:val="24"/>
        </w:rPr>
      </w:pPr>
      <w:r w:rsidRPr="00F30598">
        <w:rPr>
          <w:rFonts w:ascii="Arial" w:hAnsi="Arial" w:cs="Arial"/>
          <w:sz w:val="24"/>
          <w:szCs w:val="24"/>
        </w:rPr>
        <w:t xml:space="preserve">Cuadro </w:t>
      </w:r>
      <w:r w:rsidRPr="00F30598">
        <w:rPr>
          <w:rFonts w:ascii="Arial" w:hAnsi="Arial" w:cs="Arial"/>
          <w:sz w:val="24"/>
          <w:szCs w:val="24"/>
        </w:rPr>
        <w:fldChar w:fldCharType="begin"/>
      </w:r>
      <w:r w:rsidRPr="00F30598">
        <w:rPr>
          <w:rFonts w:ascii="Arial" w:hAnsi="Arial" w:cs="Arial"/>
          <w:sz w:val="24"/>
          <w:szCs w:val="24"/>
        </w:rPr>
        <w:instrText xml:space="preserve"> SEQ Cuadro \* ARABIC </w:instrText>
      </w:r>
      <w:r w:rsidRPr="00F30598">
        <w:rPr>
          <w:rFonts w:ascii="Arial" w:hAnsi="Arial" w:cs="Arial"/>
          <w:sz w:val="24"/>
          <w:szCs w:val="24"/>
        </w:rPr>
        <w:fldChar w:fldCharType="separate"/>
      </w:r>
      <w:r w:rsidRPr="00F30598" w:rsidR="00ED2BD4">
        <w:rPr>
          <w:rFonts w:ascii="Arial" w:hAnsi="Arial" w:cs="Arial"/>
          <w:noProof/>
          <w:sz w:val="24"/>
          <w:szCs w:val="24"/>
        </w:rPr>
        <w:t>5</w:t>
      </w:r>
      <w:r w:rsidRPr="00F30598">
        <w:rPr>
          <w:rFonts w:ascii="Arial" w:hAnsi="Arial" w:cs="Arial"/>
          <w:sz w:val="24"/>
          <w:szCs w:val="24"/>
        </w:rPr>
        <w:fldChar w:fldCharType="end"/>
      </w:r>
      <w:r w:rsidRPr="00F30598">
        <w:rPr>
          <w:rFonts w:ascii="Arial" w:hAnsi="Arial" w:cs="Arial"/>
          <w:sz w:val="24"/>
          <w:szCs w:val="24"/>
        </w:rPr>
        <w:t xml:space="preserve">: Ratio Beneficio/Costo por población beneficiaria </w:t>
      </w:r>
    </w:p>
    <w:p w:rsidRPr="00F30598" w:rsidR="00CE3B8F" w:rsidP="00DA58E9" w:rsidRDefault="00CE3B8F" w14:paraId="4A5F53FE" w14:textId="77777777">
      <w:pPr>
        <w:spacing w:before="120" w:after="120" w:line="240" w:lineRule="auto"/>
        <w:jc w:val="center"/>
        <w:rPr>
          <w:rFonts w:ascii="Arial" w:hAnsi="Arial" w:cs="Arial" w:eastAsiaTheme="minorEastAsia"/>
          <w:sz w:val="24"/>
          <w:szCs w:val="24"/>
          <w:lang w:val="es-ES"/>
        </w:rPr>
      </w:pPr>
      <w:r w:rsidRPr="00F30598">
        <w:rPr>
          <w:rFonts w:ascii="Arial" w:hAnsi="Arial" w:cs="Arial"/>
          <w:noProof/>
        </w:rPr>
        <w:drawing>
          <wp:inline distT="0" distB="0" distL="0" distR="0" wp14:anchorId="027CC714" wp14:editId="07EDFF22">
            <wp:extent cx="5391150" cy="177165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91150" cy="1771650"/>
                    </a:xfrm>
                    <a:prstGeom prst="rect">
                      <a:avLst/>
                    </a:prstGeom>
                    <a:noFill/>
                    <a:ln>
                      <a:noFill/>
                    </a:ln>
                  </pic:spPr>
                </pic:pic>
              </a:graphicData>
            </a:graphic>
          </wp:inline>
        </w:drawing>
      </w:r>
    </w:p>
    <w:p w:rsidRPr="00F30598" w:rsidR="00CE3B8F" w:rsidP="00DA58E9" w:rsidRDefault="00CE3B8F" w14:paraId="462619A7" w14:textId="77777777">
      <w:pPr>
        <w:spacing w:before="120" w:after="120" w:line="240" w:lineRule="auto"/>
        <w:jc w:val="both"/>
        <w:rPr>
          <w:rFonts w:ascii="Arial" w:hAnsi="Arial" w:cs="Arial" w:eastAsiaTheme="minorEastAsia"/>
          <w:bCs/>
          <w:lang w:val="es-ES"/>
        </w:rPr>
      </w:pPr>
      <w:r w:rsidRPr="00F30598">
        <w:rPr>
          <w:rFonts w:ascii="Arial" w:hAnsi="Arial" w:cs="Arial" w:eastAsiaTheme="minorEastAsia"/>
          <w:bCs/>
          <w:sz w:val="24"/>
          <w:szCs w:val="24"/>
          <w:lang w:val="es-ES"/>
        </w:rPr>
        <w:t xml:space="preserve"> </w:t>
      </w:r>
      <w:r w:rsidRPr="00F30598">
        <w:rPr>
          <w:rFonts w:ascii="Arial" w:hAnsi="Arial" w:cs="Arial" w:eastAsiaTheme="minorEastAsia"/>
          <w:bCs/>
          <w:sz w:val="24"/>
          <w:szCs w:val="24"/>
          <w:lang w:val="es-ES"/>
        </w:rPr>
        <w:tab/>
      </w:r>
      <w:r w:rsidRPr="00F30598">
        <w:rPr>
          <w:rFonts w:ascii="Arial" w:hAnsi="Arial" w:cs="Arial" w:eastAsiaTheme="minorEastAsia"/>
          <w:bCs/>
          <w:lang w:val="es-ES"/>
        </w:rPr>
        <w:t>Fuente: elaboración propia</w:t>
      </w:r>
    </w:p>
    <w:p w:rsidRPr="00F30598" w:rsidR="00CE3B8F" w:rsidP="00DA58E9" w:rsidRDefault="00CE3B8F" w14:paraId="3EB30877" w14:textId="77777777">
      <w:pPr>
        <w:spacing w:before="120" w:after="120" w:line="240" w:lineRule="auto"/>
        <w:jc w:val="both"/>
        <w:rPr>
          <w:rFonts w:ascii="Arial" w:hAnsi="Arial" w:cs="Arial" w:eastAsiaTheme="minorEastAsia"/>
          <w:b/>
          <w:lang w:val="es-ES"/>
        </w:rPr>
      </w:pPr>
    </w:p>
    <w:p w:rsidRPr="00F30598" w:rsidR="00CE3B8F" w:rsidP="00DA58E9" w:rsidRDefault="00CE3B8F" w14:paraId="75588D2D" w14:textId="77777777">
      <w:pPr>
        <w:spacing w:before="120" w:after="120" w:line="240" w:lineRule="auto"/>
        <w:jc w:val="both"/>
        <w:rPr>
          <w:rFonts w:ascii="Arial" w:hAnsi="Arial" w:cs="Arial" w:eastAsiaTheme="minorEastAsia"/>
          <w:sz w:val="24"/>
          <w:szCs w:val="24"/>
          <w:lang w:val="es-ES"/>
        </w:rPr>
      </w:pPr>
      <w:r w:rsidRPr="00F30598">
        <w:rPr>
          <w:rFonts w:ascii="Arial" w:hAnsi="Arial" w:cs="Arial" w:eastAsiaTheme="minorEastAsia"/>
          <w:sz w:val="24"/>
          <w:szCs w:val="24"/>
          <w:lang w:val="es-ES"/>
        </w:rPr>
        <w:t>Como se aprecia, en este primer caso, el cociente beneficio/costo agregado se incrementa a 1,19 mientras que en el segundo disminuye a 1,05. En este último caso, el programa resulta apenas beneficioso, aunque debe tenerse en cuenta que se está imputando la totalidad de las transferencias como si el único beneficio de estas fuera el efecto multiplicador, mientras vimos que las mismas también generan beneficios adicionales a este efecto.</w:t>
      </w:r>
    </w:p>
    <w:p w:rsidRPr="00F30598" w:rsidR="0079650A" w:rsidP="00DA58E9" w:rsidRDefault="00952E14" w14:paraId="21913058" w14:textId="2A4B6CBD">
      <w:pPr>
        <w:spacing w:before="240" w:after="120" w:line="240" w:lineRule="auto"/>
        <w:rPr>
          <w:rFonts w:ascii="Arial" w:hAnsi="Arial" w:cs="Arial"/>
          <w:b/>
          <w:sz w:val="24"/>
          <w:szCs w:val="24"/>
          <w:lang w:val="es-AR"/>
        </w:rPr>
      </w:pPr>
      <w:r w:rsidRPr="00F30598">
        <w:rPr>
          <w:rFonts w:ascii="Arial" w:hAnsi="Arial" w:cs="Arial"/>
          <w:b/>
          <w:sz w:val="24"/>
          <w:szCs w:val="24"/>
          <w:lang w:val="es-AR"/>
        </w:rPr>
        <w:t>Efectos de los shocks de ingreso sobre el consumo</w:t>
      </w:r>
    </w:p>
    <w:p w:rsidRPr="00F30598" w:rsidR="0079650A" w:rsidP="00DA58E9" w:rsidRDefault="0079650A" w14:paraId="59F86DAB" w14:textId="69E9AB84">
      <w:pPr>
        <w:spacing w:before="120" w:after="120" w:line="240" w:lineRule="auto"/>
        <w:jc w:val="both"/>
        <w:rPr>
          <w:rFonts w:ascii="Arial" w:hAnsi="Arial" w:cs="Arial"/>
          <w:sz w:val="24"/>
          <w:szCs w:val="24"/>
          <w:lang w:val="es-ES"/>
        </w:rPr>
      </w:pPr>
      <w:r w:rsidRPr="00F30598">
        <w:rPr>
          <w:rFonts w:ascii="Arial" w:hAnsi="Arial" w:cs="Arial"/>
          <w:sz w:val="24"/>
          <w:szCs w:val="24"/>
          <w:lang w:val="es-ES"/>
        </w:rPr>
        <w:t xml:space="preserve">Los shocks sobre el ingreso de los hogares </w:t>
      </w:r>
      <w:r w:rsidRPr="00F30598" w:rsidR="005F7D2C">
        <w:rPr>
          <w:rFonts w:ascii="Arial" w:hAnsi="Arial" w:cs="Arial"/>
          <w:sz w:val="24"/>
          <w:szCs w:val="24"/>
          <w:lang w:val="es-ES"/>
        </w:rPr>
        <w:t xml:space="preserve">afectan su ingreso corriente </w:t>
      </w:r>
      <w:r w:rsidRPr="00F30598" w:rsidR="001E0356">
        <w:rPr>
          <w:rFonts w:ascii="Arial" w:hAnsi="Arial" w:cs="Arial"/>
          <w:sz w:val="24"/>
          <w:szCs w:val="24"/>
          <w:lang w:val="es-ES"/>
        </w:rPr>
        <w:t xml:space="preserve">y, en ausencia de mercados de crédito perfectos, también en </w:t>
      </w:r>
      <w:r w:rsidRPr="00F30598">
        <w:rPr>
          <w:rFonts w:ascii="Arial" w:hAnsi="Arial" w:cs="Arial"/>
          <w:sz w:val="24"/>
          <w:szCs w:val="24"/>
          <w:lang w:val="es-ES"/>
        </w:rPr>
        <w:t xml:space="preserve">tienen efectos en su capacidad de </w:t>
      </w:r>
      <w:r w:rsidRPr="00F30598" w:rsidR="001E0356">
        <w:rPr>
          <w:rFonts w:ascii="Arial" w:hAnsi="Arial" w:cs="Arial"/>
          <w:sz w:val="24"/>
          <w:szCs w:val="24"/>
          <w:lang w:val="es-ES"/>
        </w:rPr>
        <w:t>consumo</w:t>
      </w:r>
      <w:r w:rsidRPr="00F30598">
        <w:rPr>
          <w:rFonts w:ascii="Arial" w:hAnsi="Arial" w:cs="Arial"/>
          <w:sz w:val="24"/>
          <w:szCs w:val="24"/>
          <w:lang w:val="es-ES"/>
        </w:rPr>
        <w:t>. Ante estos eventos, el consumo es protegido sólo en forma parcial (</w:t>
      </w:r>
      <w:proofErr w:type="spellStart"/>
      <w:r w:rsidRPr="00F30598">
        <w:rPr>
          <w:rFonts w:ascii="Arial" w:hAnsi="Arial" w:cs="Arial"/>
          <w:sz w:val="24"/>
          <w:szCs w:val="24"/>
          <w:lang w:val="es-ES"/>
        </w:rPr>
        <w:t>Skoufias</w:t>
      </w:r>
      <w:proofErr w:type="spellEnd"/>
      <w:r w:rsidRPr="00F30598">
        <w:rPr>
          <w:rFonts w:ascii="Arial" w:hAnsi="Arial" w:cs="Arial"/>
          <w:sz w:val="24"/>
          <w:szCs w:val="24"/>
          <w:lang w:val="es-ES"/>
        </w:rPr>
        <w:t xml:space="preserve"> 2003 y 2004). La capacidad de suavizar el consumo total pasa por la posibilidad de utilizar distintas herramientas. Entre ellas se destacan el recurrir a ahorros (</w:t>
      </w:r>
      <w:proofErr w:type="spellStart"/>
      <w:r w:rsidRPr="00F30598">
        <w:rPr>
          <w:rFonts w:ascii="Arial" w:hAnsi="Arial" w:cs="Arial"/>
          <w:sz w:val="24"/>
          <w:szCs w:val="24"/>
          <w:lang w:val="es-ES"/>
        </w:rPr>
        <w:t>Paxson</w:t>
      </w:r>
      <w:proofErr w:type="spellEnd"/>
      <w:r w:rsidRPr="00F30598">
        <w:rPr>
          <w:rFonts w:ascii="Arial" w:hAnsi="Arial" w:cs="Arial"/>
          <w:sz w:val="24"/>
          <w:szCs w:val="24"/>
          <w:lang w:val="es-ES"/>
        </w:rPr>
        <w:t xml:space="preserve"> 1992) o tomar préstamos a través de canales formales e informales (</w:t>
      </w:r>
      <w:proofErr w:type="spellStart"/>
      <w:r w:rsidRPr="00F30598">
        <w:rPr>
          <w:rFonts w:ascii="Arial" w:hAnsi="Arial" w:cs="Arial"/>
          <w:sz w:val="24"/>
          <w:szCs w:val="24"/>
          <w:lang w:val="es-ES"/>
        </w:rPr>
        <w:t>Udry</w:t>
      </w:r>
      <w:proofErr w:type="spellEnd"/>
      <w:r w:rsidRPr="00F30598">
        <w:rPr>
          <w:rFonts w:ascii="Arial" w:hAnsi="Arial" w:cs="Arial"/>
          <w:sz w:val="24"/>
          <w:szCs w:val="24"/>
          <w:lang w:val="es-ES"/>
        </w:rPr>
        <w:t xml:space="preserve"> 1994), vender activos (</w:t>
      </w:r>
      <w:proofErr w:type="spellStart"/>
      <w:r w:rsidRPr="00F30598">
        <w:rPr>
          <w:rFonts w:ascii="Arial" w:hAnsi="Arial" w:cs="Arial"/>
          <w:sz w:val="24"/>
          <w:szCs w:val="24"/>
          <w:lang w:val="es-ES"/>
        </w:rPr>
        <w:t>Deaton</w:t>
      </w:r>
      <w:proofErr w:type="spellEnd"/>
      <w:r w:rsidRPr="00F30598">
        <w:rPr>
          <w:rFonts w:ascii="Arial" w:hAnsi="Arial" w:cs="Arial"/>
          <w:sz w:val="24"/>
          <w:szCs w:val="24"/>
          <w:lang w:val="es-ES"/>
        </w:rPr>
        <w:t xml:space="preserve"> 1992), etc. De darse esta situación, los niveles de consumo se mantendrían relativamente estables. Dada la imposibilidad de tomar el crédito suficiente para sostener el nivel de consumo total, la estrategia de los hogares consista en proteger principalmente el consumo alimentario. Esto implica que el nivel de consumo en otros bienes y servicios termina operando como una variable de ajuste a los shocks.</w:t>
      </w:r>
    </w:p>
    <w:p w:rsidRPr="00F30598" w:rsidR="0079650A" w:rsidP="00DA58E9" w:rsidRDefault="0079650A" w14:paraId="2A9420D3" w14:textId="4465D8FE">
      <w:pPr>
        <w:spacing w:before="120" w:after="120" w:line="240" w:lineRule="auto"/>
        <w:jc w:val="both"/>
        <w:rPr>
          <w:rFonts w:ascii="Arial" w:hAnsi="Arial" w:cs="Arial"/>
          <w:sz w:val="24"/>
          <w:szCs w:val="24"/>
          <w:lang w:val="es-ES"/>
        </w:rPr>
      </w:pPr>
      <w:r w:rsidRPr="00F30598">
        <w:rPr>
          <w:rFonts w:ascii="Arial" w:hAnsi="Arial" w:cs="Arial"/>
          <w:sz w:val="24"/>
          <w:szCs w:val="24"/>
          <w:lang w:val="es-ES"/>
        </w:rPr>
        <w:t xml:space="preserve">Ante estas circunstancias, el efecto sobre el acceso a la educación puede verse doblemente afectado: en primer lugar, porque el consumo destinado a la educación </w:t>
      </w:r>
      <w:r w:rsidRPr="00F30598">
        <w:rPr>
          <w:rFonts w:ascii="Arial" w:hAnsi="Arial" w:cs="Arial"/>
          <w:sz w:val="24"/>
          <w:szCs w:val="24"/>
          <w:lang w:val="es-ES"/>
        </w:rPr>
        <w:lastRenderedPageBreak/>
        <w:t>puede ser ajustado como respuesta al shock (</w:t>
      </w:r>
      <w:proofErr w:type="spellStart"/>
      <w:r w:rsidRPr="00F30598">
        <w:rPr>
          <w:rFonts w:ascii="Arial" w:hAnsi="Arial" w:cs="Arial"/>
          <w:sz w:val="24"/>
          <w:szCs w:val="24"/>
          <w:lang w:val="es-ES"/>
        </w:rPr>
        <w:t>Skoufias</w:t>
      </w:r>
      <w:proofErr w:type="spellEnd"/>
      <w:r w:rsidRPr="00F30598">
        <w:rPr>
          <w:rFonts w:ascii="Arial" w:hAnsi="Arial" w:cs="Arial"/>
          <w:sz w:val="24"/>
          <w:szCs w:val="24"/>
          <w:lang w:val="es-ES"/>
        </w:rPr>
        <w:t xml:space="preserve"> 2003 y 2004); en segundo lugar, porque una de las respuestas a la caída en los ingresos puede consistir en </w:t>
      </w:r>
      <w:r w:rsidRPr="00F30598" w:rsidR="00F768D3">
        <w:rPr>
          <w:rFonts w:ascii="Arial" w:hAnsi="Arial" w:cs="Arial"/>
          <w:sz w:val="24"/>
          <w:szCs w:val="24"/>
          <w:lang w:val="es-ES"/>
        </w:rPr>
        <w:t xml:space="preserve">sacar </w:t>
      </w:r>
      <w:r w:rsidRPr="00F30598">
        <w:rPr>
          <w:rFonts w:ascii="Arial" w:hAnsi="Arial" w:cs="Arial"/>
          <w:sz w:val="24"/>
          <w:szCs w:val="24"/>
          <w:lang w:val="es-ES"/>
        </w:rPr>
        <w:t>a los niños del sistema educativo para incorporarlos al mercado de trabajo (</w:t>
      </w:r>
      <w:proofErr w:type="spellStart"/>
      <w:r w:rsidRPr="00F30598">
        <w:rPr>
          <w:rFonts w:ascii="Arial" w:hAnsi="Arial" w:cs="Arial"/>
          <w:sz w:val="24"/>
          <w:szCs w:val="24"/>
          <w:lang w:val="es-ES"/>
        </w:rPr>
        <w:t>Morduch</w:t>
      </w:r>
      <w:proofErr w:type="spellEnd"/>
      <w:r w:rsidRPr="00F30598">
        <w:rPr>
          <w:rFonts w:ascii="Arial" w:hAnsi="Arial" w:cs="Arial"/>
          <w:sz w:val="24"/>
          <w:szCs w:val="24"/>
          <w:lang w:val="es-ES"/>
        </w:rPr>
        <w:t xml:space="preserve"> 1995; Foley 1997; Stillman 2000; </w:t>
      </w:r>
      <w:proofErr w:type="spellStart"/>
      <w:r w:rsidRPr="00F30598">
        <w:rPr>
          <w:rFonts w:ascii="Arial" w:hAnsi="Arial" w:cs="Arial"/>
          <w:sz w:val="24"/>
          <w:szCs w:val="24"/>
          <w:lang w:val="es-ES"/>
        </w:rPr>
        <w:t>Guariglia</w:t>
      </w:r>
      <w:proofErr w:type="spellEnd"/>
      <w:r w:rsidRPr="00F30598">
        <w:rPr>
          <w:rFonts w:ascii="Arial" w:hAnsi="Arial" w:cs="Arial"/>
          <w:sz w:val="24"/>
          <w:szCs w:val="24"/>
          <w:lang w:val="es-ES"/>
        </w:rPr>
        <w:t xml:space="preserve"> y Kim 1999; </w:t>
      </w:r>
      <w:proofErr w:type="spellStart"/>
      <w:r w:rsidRPr="00F30598">
        <w:rPr>
          <w:rFonts w:ascii="Arial" w:hAnsi="Arial" w:cs="Arial"/>
          <w:sz w:val="24"/>
          <w:szCs w:val="24"/>
          <w:lang w:val="es-ES"/>
        </w:rPr>
        <w:t>Jacoby</w:t>
      </w:r>
      <w:proofErr w:type="spellEnd"/>
      <w:r w:rsidRPr="00F30598">
        <w:rPr>
          <w:rFonts w:ascii="Arial" w:hAnsi="Arial" w:cs="Arial"/>
          <w:sz w:val="24"/>
          <w:szCs w:val="24"/>
          <w:lang w:val="es-ES"/>
        </w:rPr>
        <w:t xml:space="preserve"> y </w:t>
      </w:r>
      <w:proofErr w:type="spellStart"/>
      <w:r w:rsidRPr="00F30598">
        <w:rPr>
          <w:rFonts w:ascii="Arial" w:hAnsi="Arial" w:cs="Arial"/>
          <w:sz w:val="24"/>
          <w:szCs w:val="24"/>
          <w:lang w:val="es-ES"/>
        </w:rPr>
        <w:t>Skoufias</w:t>
      </w:r>
      <w:proofErr w:type="spellEnd"/>
      <w:r w:rsidRPr="00F30598">
        <w:rPr>
          <w:rFonts w:ascii="Arial" w:hAnsi="Arial" w:cs="Arial"/>
          <w:sz w:val="24"/>
          <w:szCs w:val="24"/>
          <w:lang w:val="es-ES"/>
        </w:rPr>
        <w:t xml:space="preserve"> 1997). Debido a estas circunstancias, ante la ausencia de mecanismos para suavizar el consumo, la inversión en capital humano puede ser </w:t>
      </w:r>
      <w:proofErr w:type="gramStart"/>
      <w:r w:rsidRPr="00F30598">
        <w:rPr>
          <w:rFonts w:ascii="Arial" w:hAnsi="Arial" w:cs="Arial"/>
          <w:sz w:val="24"/>
          <w:szCs w:val="24"/>
          <w:lang w:val="es-ES"/>
        </w:rPr>
        <w:t>sub-óptima</w:t>
      </w:r>
      <w:proofErr w:type="gramEnd"/>
      <w:r w:rsidRPr="00F30598">
        <w:rPr>
          <w:rStyle w:val="FootnoteReference"/>
          <w:rFonts w:ascii="Arial" w:hAnsi="Arial" w:cs="Arial"/>
          <w:sz w:val="24"/>
          <w:szCs w:val="24"/>
        </w:rPr>
        <w:footnoteReference w:id="11"/>
      </w:r>
      <w:r w:rsidRPr="00F30598">
        <w:rPr>
          <w:rFonts w:ascii="Arial" w:hAnsi="Arial" w:cs="Arial"/>
          <w:sz w:val="24"/>
          <w:szCs w:val="24"/>
          <w:lang w:val="es-ES"/>
        </w:rPr>
        <w:t>.</w:t>
      </w:r>
    </w:p>
    <w:p w:rsidRPr="00F30598" w:rsidR="0079650A" w:rsidP="00DA58E9" w:rsidRDefault="0079650A" w14:paraId="0FBC011E" w14:textId="77777777">
      <w:pPr>
        <w:spacing w:before="120" w:after="120" w:line="240" w:lineRule="auto"/>
        <w:jc w:val="both"/>
        <w:rPr>
          <w:rFonts w:ascii="Arial" w:hAnsi="Arial" w:cs="Arial"/>
          <w:sz w:val="24"/>
          <w:szCs w:val="24"/>
          <w:lang w:val="es-ES"/>
        </w:rPr>
      </w:pPr>
      <w:r w:rsidRPr="00F30598">
        <w:rPr>
          <w:rFonts w:ascii="Arial" w:hAnsi="Arial" w:cs="Arial"/>
          <w:sz w:val="24"/>
          <w:szCs w:val="24"/>
          <w:lang w:val="es-ES"/>
        </w:rPr>
        <w:t xml:space="preserve">La relación entre shocks de ingreso y disminución en la educación de los niños con el consiguiente efecto de largo plazo en la acumulación de capital </w:t>
      </w:r>
      <w:proofErr w:type="gramStart"/>
      <w:r w:rsidRPr="00F30598">
        <w:rPr>
          <w:rFonts w:ascii="Arial" w:hAnsi="Arial" w:cs="Arial"/>
          <w:sz w:val="24"/>
          <w:szCs w:val="24"/>
          <w:lang w:val="es-ES"/>
        </w:rPr>
        <w:t>humano,</w:t>
      </w:r>
      <w:proofErr w:type="gramEnd"/>
      <w:r w:rsidRPr="00F30598">
        <w:rPr>
          <w:rFonts w:ascii="Arial" w:hAnsi="Arial" w:cs="Arial"/>
          <w:sz w:val="24"/>
          <w:szCs w:val="24"/>
          <w:lang w:val="es-ES"/>
        </w:rPr>
        <w:t xml:space="preserve"> tiene distintas facetas. En primer lugar, uno de los determinantes de la escolarización es el nivel de ingreso del hogar (Bonnet 1993). Por lo tanto, si los niveles de ingreso son más bajos, la probabilidad de que los niños vayan a la escuela disminuye por una imposibilidad por parte de la familia de afrontar los costos de la educación. Estas erogaciones están presentes aún en el caso de educación pública gratuita, ya que incluyen el costo del material didáctico, uniformes y transporte (Jensen et al. 1996). En segundo lugar, debe mencionarse la posibilidad de que los niños salgan del sistema educativo para buscar trabajo.</w:t>
      </w:r>
    </w:p>
    <w:p w:rsidRPr="00F30598" w:rsidR="0079650A" w:rsidP="00DA58E9" w:rsidRDefault="0079650A" w14:paraId="3A8393CC" w14:textId="3E4A6B9B">
      <w:pPr>
        <w:spacing w:before="120" w:after="120" w:line="240" w:lineRule="auto"/>
        <w:jc w:val="both"/>
        <w:rPr>
          <w:rFonts w:ascii="Arial" w:hAnsi="Arial" w:cs="Arial"/>
          <w:sz w:val="24"/>
          <w:szCs w:val="24"/>
          <w:lang w:val="es-ES"/>
        </w:rPr>
      </w:pPr>
      <w:r w:rsidRPr="00F30598">
        <w:rPr>
          <w:rFonts w:ascii="Arial" w:hAnsi="Arial" w:cs="Arial"/>
          <w:sz w:val="24"/>
          <w:szCs w:val="24"/>
          <w:lang w:val="es-ES"/>
        </w:rPr>
        <w:t xml:space="preserve">Los efectos del shock de ingresos sobre la acumulación de capital humano variarán de acuerdo </w:t>
      </w:r>
      <w:r w:rsidRPr="00F30598" w:rsidR="0047380A">
        <w:rPr>
          <w:rFonts w:ascii="Arial" w:hAnsi="Arial" w:cs="Arial"/>
          <w:sz w:val="24"/>
          <w:szCs w:val="24"/>
          <w:lang w:val="es-ES"/>
        </w:rPr>
        <w:t>con</w:t>
      </w:r>
      <w:r w:rsidRPr="00F30598">
        <w:rPr>
          <w:rFonts w:ascii="Arial" w:hAnsi="Arial" w:cs="Arial"/>
          <w:sz w:val="24"/>
          <w:szCs w:val="24"/>
          <w:lang w:val="es-ES"/>
        </w:rPr>
        <w:t xml:space="preserve"> la franja etaria de los niños pertenecientes a los hog</w:t>
      </w:r>
      <w:r w:rsidRPr="00F30598" w:rsidR="004179F3">
        <w:rPr>
          <w:rFonts w:ascii="Arial" w:hAnsi="Arial" w:cs="Arial"/>
          <w:sz w:val="24"/>
          <w:szCs w:val="24"/>
          <w:lang w:val="es-ES"/>
        </w:rPr>
        <w:t>ares afectados. Mientras que la</w:t>
      </w:r>
      <w:r w:rsidRPr="00F30598">
        <w:rPr>
          <w:rFonts w:ascii="Arial" w:hAnsi="Arial" w:cs="Arial"/>
          <w:sz w:val="24"/>
          <w:szCs w:val="24"/>
          <w:lang w:val="es-ES"/>
        </w:rPr>
        <w:t xml:space="preserve"> asistencia a la primaria está generalmente asociada a la existencia de oferta – y de un nivel de ingresos mínimo por parte de las familias -, para los adolescentes la posibilidad de abandonar los estudios para ingresar al mercado laboral se presenta más claramente. </w:t>
      </w:r>
    </w:p>
    <w:p w:rsidRPr="00F30598" w:rsidR="0079650A" w:rsidP="00DA58E9" w:rsidRDefault="0079650A" w14:paraId="64C9BFEA" w14:textId="77777777">
      <w:pPr>
        <w:spacing w:before="120" w:after="120" w:line="240" w:lineRule="auto"/>
        <w:jc w:val="both"/>
        <w:rPr>
          <w:rFonts w:ascii="Arial" w:hAnsi="Arial" w:cs="Arial"/>
          <w:sz w:val="24"/>
          <w:szCs w:val="24"/>
          <w:lang w:val="es-ES"/>
        </w:rPr>
      </w:pPr>
      <w:r w:rsidRPr="00F30598">
        <w:rPr>
          <w:rFonts w:ascii="Arial" w:hAnsi="Arial" w:cs="Arial"/>
          <w:sz w:val="24"/>
          <w:szCs w:val="24"/>
          <w:lang w:val="es-ES"/>
        </w:rPr>
        <w:t xml:space="preserve">Parte de esta complejidad, está dada por el hecho de que incluso breves shocks negativos sobre el ingreso, particularmente si están asociados a la pérdida de empleo de un miembro del hogar, pueden revelar la incapacidad de la familia para suavizar el consumo y afectar la educación de los niños. Esto no necesariamente está atado al trabajo infantil. También los menores pueden ser retirados de la escuela por problemas para afrontar los costos asociados. Asimismo, es sabido que pueden aumentar las tareas domésticas de los niños en el caso que la madre tenga que compensar la pérdida del ingreso del padre. Todas estas alternativas revelan la posibilidad de que el rendimiento escolar se vea afectado </w:t>
      </w:r>
      <w:proofErr w:type="spellStart"/>
      <w:r w:rsidRPr="00F30598">
        <w:rPr>
          <w:rFonts w:ascii="Arial" w:hAnsi="Arial" w:cs="Arial"/>
          <w:sz w:val="24"/>
          <w:szCs w:val="24"/>
          <w:lang w:val="es-ES"/>
        </w:rPr>
        <w:t>aún</w:t>
      </w:r>
      <w:proofErr w:type="spellEnd"/>
      <w:r w:rsidRPr="00F30598">
        <w:rPr>
          <w:rFonts w:ascii="Arial" w:hAnsi="Arial" w:cs="Arial"/>
          <w:sz w:val="24"/>
          <w:szCs w:val="24"/>
          <w:lang w:val="es-ES"/>
        </w:rPr>
        <w:t xml:space="preserve"> cuando no se abandone la escuela (Duryea 1998). La repitencia no sólo resulta en un ingreso tardío al mercado laboral o un año de educación perdido. En muchos casos, implica el abandono posterior de la educación. En su estudio para Brasil, Duryea (1998) encuentra que los chicos que se retrasan generalmente ven afectados sus resultados académicos en forma negativa. </w:t>
      </w:r>
    </w:p>
    <w:p w:rsidRPr="00F30598" w:rsidR="0079650A" w:rsidP="00DA58E9" w:rsidRDefault="0079650A" w14:paraId="2AD466CD" w14:textId="77777777">
      <w:pPr>
        <w:spacing w:before="120" w:after="120" w:line="240" w:lineRule="auto"/>
        <w:jc w:val="both"/>
        <w:rPr>
          <w:rFonts w:ascii="Arial" w:hAnsi="Arial" w:cs="Arial"/>
          <w:sz w:val="24"/>
          <w:szCs w:val="24"/>
          <w:lang w:val="es-ES"/>
        </w:rPr>
      </w:pPr>
      <w:r w:rsidRPr="00F30598">
        <w:rPr>
          <w:rFonts w:ascii="Arial" w:hAnsi="Arial" w:cs="Arial"/>
          <w:sz w:val="24"/>
          <w:szCs w:val="24"/>
          <w:lang w:val="es-ES"/>
        </w:rPr>
        <w:t xml:space="preserve">Existe evidencia adicional acerca de este efecto en la región. El estudio de Cortes Neri et al. (2000) también se orienta en la misma línea. Cuando el ingreso del jefe de hogar cae a nivel cero por desempleo, la probabilidad de que el hijo repita se incrementa en un 8% y la de que abandone los estudios aumenta un 23%. Al igual que el trabajo de Duryea (1998), esta investigación está basada en el caso </w:t>
      </w:r>
      <w:r w:rsidRPr="00F30598">
        <w:rPr>
          <w:rFonts w:ascii="Arial" w:hAnsi="Arial" w:cs="Arial"/>
          <w:sz w:val="24"/>
          <w:szCs w:val="24"/>
          <w:lang w:val="es-ES"/>
        </w:rPr>
        <w:lastRenderedPageBreak/>
        <w:t xml:space="preserve">brasileño. En la investigación de </w:t>
      </w:r>
      <w:proofErr w:type="spellStart"/>
      <w:r w:rsidRPr="00F30598">
        <w:rPr>
          <w:rFonts w:ascii="Arial" w:hAnsi="Arial" w:cs="Arial"/>
          <w:sz w:val="24"/>
          <w:szCs w:val="24"/>
          <w:lang w:val="es-ES"/>
        </w:rPr>
        <w:t>Guarcello</w:t>
      </w:r>
      <w:proofErr w:type="spellEnd"/>
      <w:r w:rsidRPr="00F30598">
        <w:rPr>
          <w:rFonts w:ascii="Arial" w:hAnsi="Arial" w:cs="Arial"/>
          <w:sz w:val="24"/>
          <w:szCs w:val="24"/>
          <w:lang w:val="es-ES"/>
        </w:rPr>
        <w:t xml:space="preserve"> et al. (2010) acerca del efecto de los shocks idiosincráticos en Guatemala los autores observan que las restricciones de crédito ante shocks tienen un importante efecto sobre la escolaridad. En la media, un incremento del 10% en el ingreso del hogar reduce la probabilidad de que los niños trabajen sin estudiar o trabajen y estudien en 7 puntos porcentuales.</w:t>
      </w:r>
    </w:p>
    <w:p w:rsidRPr="00F30598" w:rsidR="0079650A" w:rsidP="00DA58E9" w:rsidRDefault="0079650A" w14:paraId="31788471" w14:textId="1673695A">
      <w:pPr>
        <w:spacing w:before="120" w:after="120" w:line="240" w:lineRule="auto"/>
        <w:jc w:val="both"/>
        <w:rPr>
          <w:rFonts w:ascii="Arial" w:hAnsi="Arial" w:cs="Arial"/>
          <w:sz w:val="24"/>
          <w:szCs w:val="24"/>
          <w:lang w:val="es-ES"/>
        </w:rPr>
      </w:pPr>
      <w:r w:rsidRPr="00F30598">
        <w:rPr>
          <w:rFonts w:ascii="Arial" w:hAnsi="Arial" w:cs="Arial"/>
          <w:sz w:val="24"/>
          <w:szCs w:val="24"/>
          <w:lang w:val="es-ES"/>
        </w:rPr>
        <w:t>Otro estudio posterior de Duryea et al. (2007) también situado en Brasil encuentra una relación entre un shock de ingreso a partir del desempleo y la probabilidad de que los niños abandonen la escuela o repitan de grado. El trabajo mide el impacto del desempleo que experimenta el jefe de hogar sobre la situación escolar de los niños para distintos casos. Estos varían en el género del niño, su edad y los años de educación de los padres. Los resultados van desde un incremento en la probabilidad de dejar el colegio de 1,3pp a 2,7pp ante el desempleo del padre. Respecto a la repitencia como resultado del desempleo del padre el incremento en la probabilidad oscila entre 4,5pp y 8,3pp dependiendo del caso.</w:t>
      </w:r>
    </w:p>
    <w:p w:rsidRPr="00F30598" w:rsidR="00706D89" w:rsidP="00DA58E9" w:rsidRDefault="00706D89" w14:paraId="090E6ED1" w14:textId="12089B3F">
      <w:pPr>
        <w:spacing w:before="120" w:after="120" w:line="240" w:lineRule="auto"/>
        <w:jc w:val="both"/>
        <w:rPr>
          <w:rFonts w:ascii="Arial" w:hAnsi="Arial" w:cs="Arial"/>
          <w:sz w:val="24"/>
          <w:szCs w:val="24"/>
          <w:lang w:val="es-ES"/>
        </w:rPr>
      </w:pPr>
      <w:r w:rsidRPr="00F30598">
        <w:rPr>
          <w:rFonts w:ascii="Arial" w:hAnsi="Arial" w:cs="Arial"/>
          <w:sz w:val="24"/>
          <w:szCs w:val="24"/>
          <w:lang w:val="es-ES"/>
        </w:rPr>
        <w:t xml:space="preserve">En el caso de Ecuador, cabe destacar que la encuesta de hogares releva prácticas vinculadas al consumo y ahorro de los hogares en un contexto no recesivo. Como puede observarse en el </w:t>
      </w:r>
      <w:r w:rsidRPr="00F30598" w:rsidR="00CE3DEF">
        <w:rPr>
          <w:rFonts w:ascii="Arial" w:hAnsi="Arial" w:cs="Arial"/>
          <w:sz w:val="24"/>
          <w:szCs w:val="24"/>
          <w:lang w:val="es-ES"/>
        </w:rPr>
        <w:fldChar w:fldCharType="begin"/>
      </w:r>
      <w:r w:rsidRPr="00F30598" w:rsidR="00CE3DEF">
        <w:rPr>
          <w:rFonts w:ascii="Arial" w:hAnsi="Arial" w:cs="Arial"/>
          <w:sz w:val="24"/>
          <w:szCs w:val="24"/>
          <w:lang w:val="es-ES"/>
        </w:rPr>
        <w:instrText xml:space="preserve"> REF _Ref37754913 \h </w:instrText>
      </w:r>
      <w:r w:rsidRPr="00F30598" w:rsidR="008C0CC4">
        <w:rPr>
          <w:rFonts w:ascii="Arial" w:hAnsi="Arial" w:cs="Arial"/>
          <w:sz w:val="24"/>
          <w:szCs w:val="24"/>
          <w:lang w:val="es-ES"/>
        </w:rPr>
        <w:instrText xml:space="preserve"> \* MERGEFORMAT </w:instrText>
      </w:r>
      <w:r w:rsidRPr="00F30598" w:rsidR="00CE3DEF">
        <w:rPr>
          <w:rFonts w:ascii="Arial" w:hAnsi="Arial" w:cs="Arial"/>
          <w:sz w:val="24"/>
          <w:szCs w:val="24"/>
          <w:lang w:val="es-ES"/>
        </w:rPr>
      </w:r>
      <w:r w:rsidRPr="00F30598" w:rsidR="00CE3DEF">
        <w:rPr>
          <w:rFonts w:ascii="Arial" w:hAnsi="Arial" w:cs="Arial"/>
          <w:sz w:val="24"/>
          <w:szCs w:val="24"/>
          <w:lang w:val="es-ES"/>
        </w:rPr>
        <w:fldChar w:fldCharType="separate"/>
      </w:r>
      <w:r w:rsidRPr="00F30598" w:rsidR="00ED2BD4">
        <w:rPr>
          <w:rFonts w:ascii="Arial" w:hAnsi="Arial" w:cs="Arial"/>
          <w:sz w:val="24"/>
          <w:szCs w:val="24"/>
          <w:lang w:val="es-AR"/>
        </w:rPr>
        <w:t xml:space="preserve">Cuadro </w:t>
      </w:r>
      <w:r w:rsidRPr="00F30598" w:rsidR="00ED2BD4">
        <w:rPr>
          <w:rFonts w:ascii="Arial" w:hAnsi="Arial" w:cs="Arial"/>
          <w:i/>
          <w:iCs/>
          <w:noProof/>
          <w:sz w:val="24"/>
          <w:szCs w:val="24"/>
          <w:lang w:val="es-AR"/>
        </w:rPr>
        <w:t>6</w:t>
      </w:r>
      <w:r w:rsidRPr="00F30598" w:rsidR="00CE3DEF">
        <w:rPr>
          <w:rFonts w:ascii="Arial" w:hAnsi="Arial" w:cs="Arial"/>
          <w:sz w:val="24"/>
          <w:szCs w:val="24"/>
          <w:lang w:val="es-ES"/>
        </w:rPr>
        <w:fldChar w:fldCharType="end"/>
      </w:r>
      <w:r w:rsidRPr="00F30598">
        <w:rPr>
          <w:rFonts w:ascii="Arial" w:hAnsi="Arial" w:cs="Arial"/>
          <w:sz w:val="24"/>
          <w:szCs w:val="24"/>
          <w:lang w:val="es-ES"/>
        </w:rPr>
        <w:t xml:space="preserve">, solo una pequeña porción de los hogares tiene capacidades de ahorro. Por lo tanto, puede suponerse que </w:t>
      </w:r>
      <w:r w:rsidRPr="00F30598" w:rsidR="00CE3DEF">
        <w:rPr>
          <w:rFonts w:ascii="Arial" w:hAnsi="Arial" w:cs="Arial"/>
          <w:sz w:val="24"/>
          <w:szCs w:val="24"/>
          <w:lang w:val="es-ES"/>
        </w:rPr>
        <w:t>aproximadamente</w:t>
      </w:r>
      <w:r w:rsidRPr="00F30598">
        <w:rPr>
          <w:rFonts w:ascii="Arial" w:hAnsi="Arial" w:cs="Arial"/>
          <w:sz w:val="24"/>
          <w:szCs w:val="24"/>
          <w:lang w:val="es-ES"/>
        </w:rPr>
        <w:t xml:space="preserve"> el </w:t>
      </w:r>
      <w:r w:rsidRPr="00F30598" w:rsidR="00CE3DEF">
        <w:rPr>
          <w:rFonts w:ascii="Arial" w:hAnsi="Arial" w:cs="Arial"/>
          <w:sz w:val="24"/>
          <w:szCs w:val="24"/>
          <w:lang w:val="es-ES"/>
        </w:rPr>
        <w:t>90</w:t>
      </w:r>
      <w:r w:rsidRPr="00F30598">
        <w:rPr>
          <w:rFonts w:ascii="Arial" w:hAnsi="Arial" w:cs="Arial"/>
          <w:sz w:val="24"/>
          <w:szCs w:val="24"/>
          <w:lang w:val="es-ES"/>
        </w:rPr>
        <w:t>% de la población tendría que hacer ajustes a su patrón de consumo ante una recesión.</w:t>
      </w:r>
    </w:p>
    <w:p w:rsidRPr="00F30598" w:rsidR="00706D89" w:rsidP="00DA58E9" w:rsidRDefault="00706D89" w14:paraId="336430F3" w14:textId="07BF3E9F">
      <w:pPr>
        <w:pStyle w:val="Caption"/>
        <w:keepNext/>
        <w:spacing w:before="120" w:after="120"/>
        <w:jc w:val="both"/>
        <w:rPr>
          <w:rFonts w:ascii="Arial" w:hAnsi="Arial" w:cs="Arial"/>
          <w:i w:val="0"/>
          <w:iCs w:val="0"/>
          <w:sz w:val="24"/>
          <w:szCs w:val="24"/>
        </w:rPr>
      </w:pPr>
      <w:bookmarkStart w:name="_Ref37754913" w:id="10"/>
      <w:r w:rsidRPr="00F30598">
        <w:rPr>
          <w:rFonts w:ascii="Arial" w:hAnsi="Arial" w:cs="Arial"/>
          <w:i w:val="0"/>
          <w:iCs w:val="0"/>
          <w:sz w:val="24"/>
          <w:szCs w:val="24"/>
        </w:rPr>
        <w:t xml:space="preserve">Cuadro </w:t>
      </w:r>
      <w:r w:rsidRPr="00F30598">
        <w:rPr>
          <w:rFonts w:ascii="Arial" w:hAnsi="Arial" w:cs="Arial"/>
          <w:i w:val="0"/>
          <w:iCs w:val="0"/>
          <w:sz w:val="24"/>
          <w:szCs w:val="24"/>
        </w:rPr>
        <w:fldChar w:fldCharType="begin"/>
      </w:r>
      <w:r w:rsidRPr="00F30598">
        <w:rPr>
          <w:rFonts w:ascii="Arial" w:hAnsi="Arial" w:cs="Arial"/>
          <w:i w:val="0"/>
          <w:iCs w:val="0"/>
          <w:sz w:val="24"/>
          <w:szCs w:val="24"/>
        </w:rPr>
        <w:instrText xml:space="preserve"> SEQ Cuadro \* ARABIC </w:instrText>
      </w:r>
      <w:r w:rsidRPr="00F30598">
        <w:rPr>
          <w:rFonts w:ascii="Arial" w:hAnsi="Arial" w:cs="Arial"/>
          <w:i w:val="0"/>
          <w:iCs w:val="0"/>
          <w:sz w:val="24"/>
          <w:szCs w:val="24"/>
        </w:rPr>
        <w:fldChar w:fldCharType="separate"/>
      </w:r>
      <w:r w:rsidRPr="00F30598" w:rsidR="00ED2BD4">
        <w:rPr>
          <w:rFonts w:ascii="Arial" w:hAnsi="Arial" w:cs="Arial"/>
          <w:i w:val="0"/>
          <w:iCs w:val="0"/>
          <w:noProof/>
          <w:sz w:val="24"/>
          <w:szCs w:val="24"/>
        </w:rPr>
        <w:t>6</w:t>
      </w:r>
      <w:r w:rsidRPr="00F30598">
        <w:rPr>
          <w:rFonts w:ascii="Arial" w:hAnsi="Arial" w:cs="Arial"/>
          <w:i w:val="0"/>
          <w:iCs w:val="0"/>
          <w:sz w:val="24"/>
          <w:szCs w:val="24"/>
        </w:rPr>
        <w:fldChar w:fldCharType="end"/>
      </w:r>
      <w:bookmarkEnd w:id="10"/>
      <w:r w:rsidRPr="00F30598">
        <w:rPr>
          <w:rFonts w:ascii="Arial" w:hAnsi="Arial" w:cs="Arial"/>
          <w:i w:val="0"/>
          <w:iCs w:val="0"/>
          <w:sz w:val="24"/>
          <w:szCs w:val="24"/>
        </w:rPr>
        <w:t xml:space="preserve">: Comportamiento de los hogares </w:t>
      </w:r>
      <w:proofErr w:type="gramStart"/>
      <w:r w:rsidRPr="00F30598">
        <w:rPr>
          <w:rFonts w:ascii="Arial" w:hAnsi="Arial" w:cs="Arial"/>
          <w:i w:val="0"/>
          <w:iCs w:val="0"/>
          <w:sz w:val="24"/>
          <w:szCs w:val="24"/>
        </w:rPr>
        <w:t>en relación al</w:t>
      </w:r>
      <w:proofErr w:type="gramEnd"/>
      <w:r w:rsidRPr="00F30598">
        <w:rPr>
          <w:rFonts w:ascii="Arial" w:hAnsi="Arial" w:cs="Arial"/>
          <w:i w:val="0"/>
          <w:iCs w:val="0"/>
          <w:sz w:val="24"/>
          <w:szCs w:val="24"/>
        </w:rPr>
        <w:t xml:space="preserve"> ahorro y consumo</w:t>
      </w:r>
    </w:p>
    <w:p w:rsidRPr="00F30598" w:rsidR="00706D89" w:rsidP="00DA58E9" w:rsidRDefault="00706D89" w14:paraId="649D6D4C" w14:textId="046E1DDE">
      <w:pPr>
        <w:spacing w:before="120" w:after="120" w:line="240" w:lineRule="auto"/>
        <w:jc w:val="both"/>
        <w:rPr>
          <w:rFonts w:ascii="Arial" w:hAnsi="Arial" w:cs="Arial"/>
          <w:sz w:val="24"/>
          <w:szCs w:val="24"/>
          <w:lang w:val="es-ES"/>
        </w:rPr>
      </w:pPr>
      <w:r w:rsidRPr="00F30598">
        <w:rPr>
          <w:rFonts w:ascii="Arial" w:hAnsi="Arial" w:cs="Arial"/>
          <w:noProof/>
        </w:rPr>
        <w:drawing>
          <wp:inline distT="0" distB="0" distL="0" distR="0" wp14:anchorId="754B05CE" wp14:editId="1C445498">
            <wp:extent cx="3117850" cy="93980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117850" cy="939800"/>
                    </a:xfrm>
                    <a:prstGeom prst="rect">
                      <a:avLst/>
                    </a:prstGeom>
                    <a:noFill/>
                    <a:ln>
                      <a:noFill/>
                    </a:ln>
                  </pic:spPr>
                </pic:pic>
              </a:graphicData>
            </a:graphic>
          </wp:inline>
        </w:drawing>
      </w:r>
      <w:r w:rsidRPr="00F30598">
        <w:rPr>
          <w:rFonts w:ascii="Arial" w:hAnsi="Arial" w:cs="Arial"/>
          <w:sz w:val="24"/>
          <w:szCs w:val="24"/>
          <w:lang w:val="es-ES"/>
        </w:rPr>
        <w:t xml:space="preserve"> </w:t>
      </w:r>
    </w:p>
    <w:p w:rsidRPr="00F30598" w:rsidR="00952E14" w:rsidP="00DA58E9" w:rsidRDefault="00952E14" w14:paraId="29439C5D" w14:textId="77777777">
      <w:pPr>
        <w:spacing w:before="240" w:after="120" w:line="240" w:lineRule="auto"/>
        <w:jc w:val="both"/>
        <w:rPr>
          <w:rFonts w:ascii="Arial" w:hAnsi="Arial" w:cs="Arial"/>
          <w:b/>
          <w:sz w:val="24"/>
          <w:szCs w:val="24"/>
          <w:lang w:val="es-ES"/>
        </w:rPr>
      </w:pPr>
      <w:r w:rsidRPr="00F30598">
        <w:rPr>
          <w:rFonts w:ascii="Arial" w:hAnsi="Arial" w:cs="Arial"/>
          <w:b/>
          <w:sz w:val="24"/>
          <w:szCs w:val="24"/>
          <w:lang w:val="es-ES"/>
        </w:rPr>
        <w:t>Supuestos y Metodología</w:t>
      </w:r>
    </w:p>
    <w:p w:rsidRPr="00F30598" w:rsidR="0079650A" w:rsidP="00DA58E9" w:rsidRDefault="0079650A" w14:paraId="21D251D0" w14:textId="1A5B65F3">
      <w:pPr>
        <w:spacing w:before="120" w:after="120" w:line="240" w:lineRule="auto"/>
        <w:jc w:val="both"/>
        <w:rPr>
          <w:rFonts w:ascii="Arial" w:hAnsi="Arial" w:cs="Arial"/>
          <w:sz w:val="24"/>
          <w:szCs w:val="24"/>
          <w:lang w:val="es-ES"/>
        </w:rPr>
      </w:pPr>
      <w:r w:rsidRPr="00F30598">
        <w:rPr>
          <w:rFonts w:ascii="Arial" w:hAnsi="Arial" w:cs="Arial"/>
          <w:sz w:val="24"/>
          <w:szCs w:val="24"/>
          <w:lang w:val="es-ES"/>
        </w:rPr>
        <w:t xml:space="preserve">En el siguiente análisis se utilizarán los resultados de Duryea et al. (2007) para estimar el posible efecto que tienen las transferencias sobre la acumulación de capital humano al permitir suavizar el consumo. La primera dificultad para este ejercicio es que las estimaciones de Duryea et al. (2007) son para la pérdida del empleo del jefe de hogar – que puede tener otras connotaciones en la dinámica familiar – y no se limitan a la caída en el ingreso. Por lo tanto, el primer supuesto será que el efecto a considerar equivaldrá a una proporción del estimado por Duryea et al. (2007) y no se estimarán efectos de </w:t>
      </w:r>
      <w:r w:rsidRPr="00F30598" w:rsidR="00B0503C">
        <w:rPr>
          <w:rFonts w:ascii="Arial" w:hAnsi="Arial" w:cs="Arial"/>
          <w:sz w:val="24"/>
          <w:szCs w:val="24"/>
          <w:lang w:val="es-ES"/>
        </w:rPr>
        <w:t>deserción</w:t>
      </w:r>
      <w:r w:rsidRPr="00F30598">
        <w:rPr>
          <w:rFonts w:ascii="Arial" w:hAnsi="Arial" w:cs="Arial"/>
          <w:sz w:val="24"/>
          <w:szCs w:val="24"/>
          <w:lang w:val="es-ES"/>
        </w:rPr>
        <w:t xml:space="preserve"> en la primaria. La disminución del efecto es también necesaria por el hecho de que tampoco contamos con evidencia acerca de en qué casos la transferencia sea suficiente para sostener el consumo de bienes de educación. La estimación de los años de educación perdidos como consecuencia de la deserción y el ingreso tardío al mercado laboral como consecuencia de la repetición a partir de Duryea et al. (2007)</w:t>
      </w:r>
      <w:r w:rsidRPr="00F30598">
        <w:rPr>
          <w:rStyle w:val="FootnoteReference"/>
          <w:rFonts w:ascii="Arial" w:hAnsi="Arial" w:cs="Arial"/>
          <w:sz w:val="24"/>
          <w:szCs w:val="24"/>
        </w:rPr>
        <w:footnoteReference w:id="12"/>
      </w:r>
      <w:r w:rsidRPr="00F30598">
        <w:rPr>
          <w:rFonts w:ascii="Arial" w:hAnsi="Arial" w:cs="Arial"/>
          <w:sz w:val="24"/>
          <w:szCs w:val="24"/>
          <w:lang w:val="es-ES"/>
        </w:rPr>
        <w:t xml:space="preserve"> permiten establecer un escenario contrafactual en el cual no tiene lugar la intervención de política </w:t>
      </w:r>
      <w:r w:rsidRPr="00F30598">
        <w:rPr>
          <w:rFonts w:ascii="Arial" w:hAnsi="Arial" w:cs="Arial"/>
          <w:sz w:val="24"/>
          <w:szCs w:val="24"/>
          <w:lang w:val="es-ES"/>
        </w:rPr>
        <w:lastRenderedPageBreak/>
        <w:t xml:space="preserve">pública. La monetización de ese efecto se lleva a cabo a partir de la estimación de una ecuación </w:t>
      </w:r>
      <w:proofErr w:type="spellStart"/>
      <w:r w:rsidRPr="00F30598">
        <w:rPr>
          <w:rFonts w:ascii="Arial" w:hAnsi="Arial" w:cs="Arial"/>
          <w:sz w:val="24"/>
          <w:szCs w:val="24"/>
          <w:lang w:val="es-ES"/>
        </w:rPr>
        <w:t>Mincer</w:t>
      </w:r>
      <w:proofErr w:type="spellEnd"/>
      <w:r w:rsidRPr="00F30598">
        <w:rPr>
          <w:rFonts w:ascii="Arial" w:hAnsi="Arial" w:cs="Arial"/>
          <w:sz w:val="24"/>
          <w:szCs w:val="24"/>
          <w:lang w:val="es-ES"/>
        </w:rPr>
        <w:t xml:space="preserve"> utilizando como variable explicativa el efecto de finalizar los niveles, dado que aquellos casos de </w:t>
      </w:r>
      <w:r w:rsidRPr="00F30598" w:rsidR="00B0503C">
        <w:rPr>
          <w:rFonts w:ascii="Arial" w:hAnsi="Arial" w:cs="Arial"/>
          <w:sz w:val="24"/>
          <w:szCs w:val="24"/>
          <w:lang w:val="es-ES"/>
        </w:rPr>
        <w:t>deserción</w:t>
      </w:r>
      <w:r w:rsidRPr="00F30598">
        <w:rPr>
          <w:rFonts w:ascii="Arial" w:hAnsi="Arial" w:cs="Arial"/>
          <w:sz w:val="24"/>
          <w:szCs w:val="24"/>
          <w:lang w:val="es-ES"/>
        </w:rPr>
        <w:t xml:space="preserve"> implican que no obtendrán el diferencial asociado al efecto diploma. Posteriormente, se compara este escenario con uno en que los efectos sobre la trayectoria educativa no están presentes lo que permite estimar el beneficio como la diferencia entre ambos escenarios. A continuación, se presentan los supuestos adoptados:</w:t>
      </w:r>
    </w:p>
    <w:p w:rsidRPr="00F30598" w:rsidR="0079650A" w:rsidP="00DA58E9" w:rsidRDefault="0079650A" w14:paraId="1C994A9E" w14:textId="77777777">
      <w:pPr>
        <w:pStyle w:val="ListParagraph"/>
        <w:numPr>
          <w:ilvl w:val="0"/>
          <w:numId w:val="2"/>
        </w:numPr>
        <w:spacing w:before="120" w:after="120"/>
        <w:contextualSpacing w:val="0"/>
        <w:jc w:val="both"/>
        <w:rPr>
          <w:rFonts w:ascii="Arial" w:hAnsi="Arial" w:cs="Arial"/>
          <w:szCs w:val="24"/>
          <w:lang w:val="es-AR"/>
        </w:rPr>
      </w:pPr>
      <w:r w:rsidRPr="00F30598">
        <w:rPr>
          <w:rFonts w:ascii="Arial" w:hAnsi="Arial" w:cs="Arial"/>
          <w:szCs w:val="24"/>
          <w:lang w:val="es-AR"/>
        </w:rPr>
        <w:t>Efecto sobre la tasa de repitencia en la primaria: 5,5pp (Duryea et al. 2007)</w:t>
      </w:r>
    </w:p>
    <w:p w:rsidRPr="00F30598" w:rsidR="0079650A" w:rsidP="00DA58E9" w:rsidRDefault="0079650A" w14:paraId="3FD04FC3" w14:textId="77777777">
      <w:pPr>
        <w:pStyle w:val="ListParagraph"/>
        <w:numPr>
          <w:ilvl w:val="0"/>
          <w:numId w:val="2"/>
        </w:numPr>
        <w:spacing w:before="120" w:after="120"/>
        <w:contextualSpacing w:val="0"/>
        <w:jc w:val="both"/>
        <w:rPr>
          <w:rFonts w:ascii="Arial" w:hAnsi="Arial" w:cs="Arial"/>
          <w:szCs w:val="24"/>
          <w:lang w:val="es-AR"/>
        </w:rPr>
      </w:pPr>
      <w:r w:rsidRPr="00F30598">
        <w:rPr>
          <w:rFonts w:ascii="Arial" w:hAnsi="Arial" w:cs="Arial"/>
          <w:szCs w:val="24"/>
          <w:lang w:val="es-AR"/>
        </w:rPr>
        <w:t>Tasa de repitencia secundaria: 7pp</w:t>
      </w:r>
    </w:p>
    <w:p w:rsidRPr="00F30598" w:rsidR="0079650A" w:rsidP="00DA58E9" w:rsidRDefault="0079650A" w14:paraId="3590C6CE" w14:textId="3F62C90F">
      <w:pPr>
        <w:pStyle w:val="ListParagraph"/>
        <w:numPr>
          <w:ilvl w:val="0"/>
          <w:numId w:val="2"/>
        </w:numPr>
        <w:spacing w:before="120" w:after="120"/>
        <w:contextualSpacing w:val="0"/>
        <w:jc w:val="both"/>
        <w:rPr>
          <w:rFonts w:ascii="Arial" w:hAnsi="Arial" w:cs="Arial"/>
          <w:szCs w:val="24"/>
          <w:lang w:val="es-AR"/>
        </w:rPr>
      </w:pPr>
      <w:r w:rsidRPr="00F30598">
        <w:rPr>
          <w:rFonts w:ascii="Arial" w:hAnsi="Arial" w:cs="Arial"/>
          <w:szCs w:val="24"/>
          <w:lang w:val="es-AR"/>
        </w:rPr>
        <w:t xml:space="preserve">Tasa de </w:t>
      </w:r>
      <w:r w:rsidRPr="00F30598" w:rsidR="00B0503C">
        <w:rPr>
          <w:rFonts w:ascii="Arial" w:hAnsi="Arial" w:cs="Arial"/>
          <w:szCs w:val="24"/>
          <w:lang w:val="es-AR"/>
        </w:rPr>
        <w:t>deserción</w:t>
      </w:r>
      <w:r w:rsidRPr="00F30598">
        <w:rPr>
          <w:rFonts w:ascii="Arial" w:hAnsi="Arial" w:cs="Arial"/>
          <w:szCs w:val="24"/>
          <w:lang w:val="es-AR"/>
        </w:rPr>
        <w:t xml:space="preserve"> secundaria</w:t>
      </w:r>
      <w:r w:rsidRPr="00F30598">
        <w:rPr>
          <w:rFonts w:ascii="Arial" w:hAnsi="Arial" w:cs="Arial"/>
          <w:szCs w:val="24"/>
          <w:lang w:val="es-AR"/>
        </w:rPr>
        <w:tab/>
      </w:r>
      <w:r w:rsidRPr="00F30598">
        <w:rPr>
          <w:rFonts w:ascii="Arial" w:hAnsi="Arial" w:cs="Arial"/>
          <w:szCs w:val="24"/>
          <w:lang w:val="es-AR"/>
        </w:rPr>
        <w:t>: 1,5pp</w:t>
      </w:r>
    </w:p>
    <w:p w:rsidRPr="00F30598" w:rsidR="0079650A" w:rsidP="17D008AF" w:rsidRDefault="0079650A" w14:paraId="0E2793F2" w14:textId="3A2D1049">
      <w:pPr>
        <w:pStyle w:val="ListParagraph"/>
        <w:numPr>
          <w:ilvl w:val="0"/>
          <w:numId w:val="2"/>
        </w:numPr>
        <w:spacing w:before="120" w:after="120"/>
        <w:contextualSpacing w:val="0"/>
        <w:jc w:val="both"/>
        <w:rPr>
          <w:rFonts w:ascii="Arial" w:hAnsi="Arial" w:cs="Arial"/>
          <w:lang w:val="es-AR"/>
        </w:rPr>
      </w:pPr>
      <w:r w:rsidRPr="17D008AF">
        <w:rPr>
          <w:rFonts w:ascii="Arial" w:hAnsi="Arial" w:cs="Arial"/>
          <w:lang w:val="es-AR"/>
        </w:rPr>
        <w:t xml:space="preserve">Salario mensual de referencia: </w:t>
      </w:r>
      <w:r w:rsidRPr="17D008AF" w:rsidR="0FFFFAE6">
        <w:rPr>
          <w:rFonts w:ascii="Arial" w:hAnsi="Arial" w:cs="Arial"/>
          <w:lang w:val="es-AR"/>
        </w:rPr>
        <w:t>USD</w:t>
      </w:r>
      <w:r w:rsidRPr="17D008AF">
        <w:rPr>
          <w:rFonts w:ascii="Arial" w:hAnsi="Arial" w:cs="Arial"/>
          <w:lang w:val="es-AR"/>
        </w:rPr>
        <w:t>388</w:t>
      </w:r>
    </w:p>
    <w:p w:rsidRPr="00F30598" w:rsidR="0079650A" w:rsidP="00DA58E9" w:rsidRDefault="0079650A" w14:paraId="1F636CDA" w14:textId="4BC81D9D">
      <w:pPr>
        <w:pStyle w:val="ListParagraph"/>
        <w:numPr>
          <w:ilvl w:val="0"/>
          <w:numId w:val="2"/>
        </w:numPr>
        <w:spacing w:before="120" w:after="120"/>
        <w:contextualSpacing w:val="0"/>
        <w:jc w:val="both"/>
        <w:rPr>
          <w:rFonts w:ascii="Arial" w:hAnsi="Arial" w:cs="Arial"/>
          <w:szCs w:val="24"/>
          <w:lang w:val="es-AR"/>
        </w:rPr>
      </w:pPr>
      <w:r w:rsidRPr="00F30598">
        <w:rPr>
          <w:rFonts w:ascii="Arial" w:hAnsi="Arial" w:cs="Arial"/>
          <w:szCs w:val="24"/>
          <w:lang w:val="es-AR"/>
        </w:rPr>
        <w:t>Retornos</w:t>
      </w:r>
      <w:r w:rsidRPr="00F30598" w:rsidR="00A07C85">
        <w:rPr>
          <w:rFonts w:ascii="Arial" w:hAnsi="Arial" w:cs="Arial"/>
          <w:szCs w:val="24"/>
          <w:lang w:val="es-AR"/>
        </w:rPr>
        <w:t xml:space="preserve"> sobre el salario</w:t>
      </w:r>
      <w:r w:rsidRPr="00F30598">
        <w:rPr>
          <w:rFonts w:ascii="Arial" w:hAnsi="Arial" w:cs="Arial"/>
          <w:szCs w:val="24"/>
          <w:lang w:val="es-AR"/>
        </w:rPr>
        <w:t xml:space="preserve"> efecto diploma Primaria: </w:t>
      </w:r>
      <w:r w:rsidRPr="00F30598" w:rsidR="00A07C85">
        <w:rPr>
          <w:rFonts w:ascii="Arial" w:hAnsi="Arial" w:cs="Arial"/>
          <w:szCs w:val="24"/>
          <w:lang w:val="es-AR"/>
        </w:rPr>
        <w:t>37</w:t>
      </w:r>
      <w:r w:rsidRPr="00F30598">
        <w:rPr>
          <w:rFonts w:ascii="Arial" w:hAnsi="Arial" w:cs="Arial"/>
          <w:szCs w:val="24"/>
          <w:lang w:val="es-AR"/>
        </w:rPr>
        <w:t>%</w:t>
      </w:r>
      <w:r w:rsidRPr="00F30598" w:rsidR="00A07C85">
        <w:rPr>
          <w:rStyle w:val="FootnoteReference"/>
          <w:rFonts w:ascii="Arial" w:hAnsi="Arial" w:cs="Arial"/>
          <w:szCs w:val="24"/>
          <w:lang w:val="es-AR"/>
        </w:rPr>
        <w:footnoteReference w:id="13"/>
      </w:r>
    </w:p>
    <w:p w:rsidRPr="00F30598" w:rsidR="0079650A" w:rsidP="00DA58E9" w:rsidRDefault="0079650A" w14:paraId="4453BB0A" w14:textId="5724EFB8">
      <w:pPr>
        <w:pStyle w:val="ListParagraph"/>
        <w:numPr>
          <w:ilvl w:val="0"/>
          <w:numId w:val="2"/>
        </w:numPr>
        <w:spacing w:before="120" w:after="120"/>
        <w:contextualSpacing w:val="0"/>
        <w:jc w:val="both"/>
        <w:rPr>
          <w:rFonts w:ascii="Arial" w:hAnsi="Arial" w:cs="Arial"/>
          <w:szCs w:val="24"/>
          <w:lang w:val="es-AR"/>
        </w:rPr>
      </w:pPr>
      <w:r w:rsidRPr="00F30598">
        <w:rPr>
          <w:rFonts w:ascii="Arial" w:hAnsi="Arial" w:cs="Arial"/>
          <w:szCs w:val="24"/>
          <w:lang w:val="es-AR"/>
        </w:rPr>
        <w:t>Retornos</w:t>
      </w:r>
      <w:r w:rsidRPr="00F30598" w:rsidR="00A07C85">
        <w:rPr>
          <w:rFonts w:ascii="Arial" w:hAnsi="Arial" w:cs="Arial"/>
          <w:szCs w:val="24"/>
          <w:lang w:val="es-AR"/>
        </w:rPr>
        <w:t xml:space="preserve"> sobre el salario</w:t>
      </w:r>
      <w:r w:rsidRPr="00F30598">
        <w:rPr>
          <w:rFonts w:ascii="Arial" w:hAnsi="Arial" w:cs="Arial"/>
          <w:szCs w:val="24"/>
          <w:lang w:val="es-AR"/>
        </w:rPr>
        <w:t xml:space="preserve"> efecto diploma Secundaria: </w:t>
      </w:r>
      <w:r w:rsidRPr="00F30598" w:rsidR="00A07C85">
        <w:rPr>
          <w:rFonts w:ascii="Arial" w:hAnsi="Arial" w:cs="Arial"/>
          <w:szCs w:val="24"/>
          <w:lang w:val="es-AR"/>
        </w:rPr>
        <w:t xml:space="preserve">25 </w:t>
      </w:r>
      <w:r w:rsidRPr="00F30598">
        <w:rPr>
          <w:rFonts w:ascii="Arial" w:hAnsi="Arial" w:cs="Arial"/>
          <w:szCs w:val="24"/>
          <w:lang w:val="es-AR"/>
        </w:rPr>
        <w:t>%</w:t>
      </w:r>
    </w:p>
    <w:p w:rsidRPr="00F30598" w:rsidR="0079650A" w:rsidP="00DA58E9" w:rsidRDefault="0079650A" w14:paraId="5B3B5249" w14:textId="1CB6FBFF">
      <w:pPr>
        <w:pStyle w:val="ListParagraph"/>
        <w:numPr>
          <w:ilvl w:val="0"/>
          <w:numId w:val="2"/>
        </w:numPr>
        <w:spacing w:before="120" w:after="120"/>
        <w:contextualSpacing w:val="0"/>
        <w:jc w:val="both"/>
        <w:rPr>
          <w:rFonts w:ascii="Arial" w:hAnsi="Arial" w:cs="Arial"/>
          <w:szCs w:val="24"/>
          <w:lang w:val="es-AR"/>
        </w:rPr>
      </w:pPr>
      <w:r w:rsidRPr="00F30598">
        <w:rPr>
          <w:rFonts w:ascii="Arial" w:hAnsi="Arial" w:cs="Arial"/>
          <w:szCs w:val="24"/>
          <w:lang w:val="es-AR"/>
        </w:rPr>
        <w:t>Ponderador para transferencia</w:t>
      </w:r>
      <w:r w:rsidRPr="00F30598">
        <w:rPr>
          <w:rFonts w:ascii="Arial" w:hAnsi="Arial" w:cs="Arial"/>
          <w:vertAlign w:val="superscript"/>
          <w:lang w:val="es-AR"/>
        </w:rPr>
        <w:footnoteReference w:id="14"/>
      </w:r>
      <w:r w:rsidRPr="00F30598">
        <w:rPr>
          <w:rFonts w:ascii="Arial" w:hAnsi="Arial" w:cs="Arial"/>
          <w:szCs w:val="24"/>
          <w:lang w:val="es-AR"/>
        </w:rPr>
        <w:t xml:space="preserve">: </w:t>
      </w:r>
      <w:r w:rsidRPr="00F30598" w:rsidR="00783800">
        <w:rPr>
          <w:rFonts w:ascii="Arial" w:hAnsi="Arial" w:cs="Arial"/>
          <w:szCs w:val="24"/>
          <w:lang w:val="es-AR"/>
        </w:rPr>
        <w:t>7</w:t>
      </w:r>
      <w:r w:rsidRPr="00F30598">
        <w:rPr>
          <w:rFonts w:ascii="Arial" w:hAnsi="Arial" w:cs="Arial"/>
          <w:szCs w:val="24"/>
          <w:lang w:val="es-AR"/>
        </w:rPr>
        <w:t>5%</w:t>
      </w:r>
    </w:p>
    <w:p w:rsidRPr="00F30598" w:rsidR="0079650A" w:rsidP="00DA58E9" w:rsidRDefault="0079650A" w14:paraId="0DD0AAB1" w14:textId="7816E7AD">
      <w:pPr>
        <w:pStyle w:val="ListParagraph"/>
        <w:numPr>
          <w:ilvl w:val="0"/>
          <w:numId w:val="2"/>
        </w:numPr>
        <w:spacing w:before="120" w:after="120"/>
        <w:contextualSpacing w:val="0"/>
        <w:jc w:val="both"/>
        <w:rPr>
          <w:rFonts w:ascii="Arial" w:hAnsi="Arial" w:cs="Arial"/>
          <w:szCs w:val="24"/>
          <w:lang w:val="es-AR"/>
        </w:rPr>
      </w:pPr>
      <w:r w:rsidRPr="00F30598">
        <w:rPr>
          <w:rFonts w:ascii="Arial" w:hAnsi="Arial" w:cs="Arial"/>
          <w:szCs w:val="24"/>
          <w:lang w:val="es-AR"/>
        </w:rPr>
        <w:t>Tasa de descuento: 5%</w:t>
      </w:r>
    </w:p>
    <w:p w:rsidRPr="00F30598" w:rsidR="00A07C85" w:rsidP="00DA58E9" w:rsidRDefault="00A07C85" w14:paraId="21C2DCFF" w14:textId="4EA7C8F2">
      <w:pPr>
        <w:pStyle w:val="ListParagraph"/>
        <w:numPr>
          <w:ilvl w:val="0"/>
          <w:numId w:val="2"/>
        </w:numPr>
        <w:spacing w:before="120" w:after="120"/>
        <w:contextualSpacing w:val="0"/>
        <w:jc w:val="both"/>
        <w:rPr>
          <w:rFonts w:ascii="Arial" w:hAnsi="Arial" w:cs="Arial"/>
          <w:szCs w:val="24"/>
          <w:lang w:val="es-AR"/>
        </w:rPr>
      </w:pPr>
      <w:r w:rsidRPr="00F30598">
        <w:rPr>
          <w:rFonts w:ascii="Arial" w:hAnsi="Arial" w:cs="Arial"/>
          <w:szCs w:val="24"/>
          <w:lang w:val="es-AR"/>
        </w:rPr>
        <w:t>Tasa de empleo: 63,1%</w:t>
      </w:r>
    </w:p>
    <w:p w:rsidRPr="00F30598" w:rsidR="00A07C85" w:rsidP="00DA58E9" w:rsidRDefault="00A07C85" w14:paraId="15D4CF32" w14:textId="3806A774">
      <w:pPr>
        <w:pStyle w:val="ListParagraph"/>
        <w:numPr>
          <w:ilvl w:val="0"/>
          <w:numId w:val="2"/>
        </w:numPr>
        <w:spacing w:before="120" w:after="120"/>
        <w:contextualSpacing w:val="0"/>
        <w:jc w:val="both"/>
        <w:rPr>
          <w:rFonts w:ascii="Arial" w:hAnsi="Arial" w:cs="Arial"/>
          <w:szCs w:val="24"/>
          <w:lang w:val="es-AR"/>
        </w:rPr>
      </w:pPr>
      <w:r w:rsidRPr="00F30598">
        <w:rPr>
          <w:rFonts w:ascii="Arial" w:hAnsi="Arial" w:cs="Arial"/>
          <w:szCs w:val="24"/>
          <w:lang w:val="es-AR"/>
        </w:rPr>
        <w:t>Tasa de empleo menores 18 años: 51%</w:t>
      </w:r>
    </w:p>
    <w:p w:rsidRPr="00F30598" w:rsidR="002A35C4" w:rsidP="00DA58E9" w:rsidRDefault="002A35C4" w14:paraId="7252EEC5" w14:textId="50A96985">
      <w:pPr>
        <w:pStyle w:val="ListParagraph"/>
        <w:numPr>
          <w:ilvl w:val="0"/>
          <w:numId w:val="2"/>
        </w:numPr>
        <w:spacing w:before="120" w:after="120"/>
        <w:contextualSpacing w:val="0"/>
        <w:jc w:val="both"/>
        <w:rPr>
          <w:rFonts w:ascii="Arial" w:hAnsi="Arial" w:cs="Arial"/>
          <w:szCs w:val="24"/>
          <w:lang w:val="es-AR"/>
        </w:rPr>
      </w:pPr>
      <w:r w:rsidRPr="00F30598">
        <w:rPr>
          <w:rFonts w:ascii="Arial" w:hAnsi="Arial" w:cs="Arial"/>
          <w:szCs w:val="24"/>
          <w:lang w:val="es-AR"/>
        </w:rPr>
        <w:t>Costo de oportunidad: es operativo para mayores de 16 años</w:t>
      </w:r>
    </w:p>
    <w:p w:rsidRPr="00F30598" w:rsidR="00C7713F" w:rsidP="00DA58E9" w:rsidRDefault="00C7713F" w14:paraId="522B3BE8" w14:textId="28816B73">
      <w:pPr>
        <w:pStyle w:val="ListParagraph"/>
        <w:numPr>
          <w:ilvl w:val="0"/>
          <w:numId w:val="2"/>
        </w:numPr>
        <w:spacing w:before="120" w:after="120"/>
        <w:contextualSpacing w:val="0"/>
        <w:jc w:val="both"/>
        <w:rPr>
          <w:rFonts w:ascii="Arial" w:hAnsi="Arial" w:cs="Arial"/>
          <w:szCs w:val="24"/>
          <w:lang w:val="es-AR"/>
        </w:rPr>
      </w:pPr>
      <w:r w:rsidRPr="00F30598">
        <w:rPr>
          <w:rFonts w:ascii="Arial" w:hAnsi="Arial" w:cs="Arial"/>
          <w:szCs w:val="24"/>
          <w:lang w:val="es-AR"/>
        </w:rPr>
        <w:t>Horizonte del análisis: 15 años</w:t>
      </w:r>
      <w:r w:rsidRPr="00F30598" w:rsidR="006E0684">
        <w:rPr>
          <w:rStyle w:val="FootnoteReference"/>
          <w:rFonts w:ascii="Arial" w:hAnsi="Arial" w:cs="Arial"/>
          <w:szCs w:val="24"/>
          <w:lang w:val="es-AR"/>
        </w:rPr>
        <w:footnoteReference w:id="15"/>
      </w:r>
    </w:p>
    <w:p w:rsidRPr="00F30598" w:rsidR="004179F3" w:rsidP="00DA58E9" w:rsidRDefault="004179F3" w14:paraId="06BC3888" w14:textId="77777777">
      <w:pPr>
        <w:spacing w:before="240" w:after="120" w:line="240" w:lineRule="auto"/>
        <w:jc w:val="both"/>
        <w:rPr>
          <w:rFonts w:ascii="Arial" w:hAnsi="Arial" w:cs="Arial"/>
          <w:b/>
          <w:sz w:val="24"/>
          <w:szCs w:val="24"/>
          <w:lang w:val="es-ES"/>
        </w:rPr>
      </w:pPr>
      <w:r w:rsidRPr="00F30598">
        <w:rPr>
          <w:rFonts w:ascii="Arial" w:hAnsi="Arial" w:cs="Arial"/>
          <w:b/>
          <w:sz w:val="24"/>
          <w:szCs w:val="24"/>
          <w:lang w:val="es-ES"/>
        </w:rPr>
        <w:t xml:space="preserve">Costos </w:t>
      </w:r>
    </w:p>
    <w:p w:rsidRPr="00F30598" w:rsidR="004179F3" w:rsidP="00DA58E9" w:rsidRDefault="004179F3" w14:paraId="7DD15DD1" w14:textId="0DD19519">
      <w:pPr>
        <w:spacing w:before="120" w:after="120" w:line="240" w:lineRule="auto"/>
        <w:jc w:val="both"/>
        <w:rPr>
          <w:rFonts w:ascii="Arial" w:hAnsi="Arial" w:cs="Arial"/>
          <w:sz w:val="24"/>
          <w:szCs w:val="24"/>
          <w:lang w:val="es-ES"/>
        </w:rPr>
      </w:pPr>
      <w:r w:rsidRPr="00F30598">
        <w:rPr>
          <w:rFonts w:ascii="Arial" w:hAnsi="Arial" w:cs="Arial"/>
          <w:sz w:val="24"/>
          <w:szCs w:val="24"/>
          <w:lang w:val="es-ES"/>
        </w:rPr>
        <w:t>Los costos en términos de valor de las transferencias y los costos operativos fueron computados en el ejercicio del multiplicador o en ejercicios específicos de efectos adicionales de las intervenciones, por lo tanto, dado que la población objetivo es la misma, no se consideran en este análisis. Esto mismo es válido para el beneficio asociado al valor de las transferencias.</w:t>
      </w:r>
    </w:p>
    <w:p w:rsidRPr="00F30598" w:rsidR="0079650A" w:rsidP="00DA58E9" w:rsidRDefault="0079650A" w14:paraId="4DFAC05F" w14:textId="77777777">
      <w:pPr>
        <w:pStyle w:val="Heading2"/>
        <w:spacing w:before="240" w:after="120" w:line="240" w:lineRule="auto"/>
        <w:rPr>
          <w:rFonts w:ascii="Arial" w:hAnsi="Arial" w:cs="Arial"/>
          <w:b/>
          <w:color w:val="auto"/>
        </w:rPr>
      </w:pPr>
      <w:bookmarkStart w:name="_Toc38020443" w:id="11"/>
      <w:bookmarkStart w:name="_Toc38020657" w:id="12"/>
      <w:r w:rsidRPr="00F30598">
        <w:rPr>
          <w:rFonts w:ascii="Arial" w:hAnsi="Arial" w:cs="Arial"/>
          <w:b/>
          <w:color w:val="auto"/>
        </w:rPr>
        <w:t>RESULTADOS</w:t>
      </w:r>
      <w:bookmarkEnd w:id="11"/>
      <w:bookmarkEnd w:id="12"/>
    </w:p>
    <w:p w:rsidRPr="00F30598" w:rsidR="006A7655" w:rsidP="00DA58E9" w:rsidRDefault="0079650A" w14:paraId="3A3B24A0" w14:textId="3AD53A89">
      <w:pPr>
        <w:spacing w:before="120" w:after="120" w:line="240" w:lineRule="auto"/>
        <w:jc w:val="both"/>
        <w:rPr>
          <w:rFonts w:ascii="Arial" w:hAnsi="Arial" w:cs="Arial"/>
          <w:sz w:val="24"/>
          <w:szCs w:val="24"/>
          <w:lang w:val="es-ES"/>
        </w:rPr>
      </w:pPr>
      <w:r w:rsidRPr="00F30598">
        <w:rPr>
          <w:rFonts w:ascii="Arial" w:hAnsi="Arial" w:cs="Arial"/>
          <w:sz w:val="24"/>
          <w:szCs w:val="24"/>
          <w:lang w:val="es-ES"/>
        </w:rPr>
        <w:t xml:space="preserve">El </w:t>
      </w:r>
      <w:r w:rsidRPr="00F30598" w:rsidR="0047380A">
        <w:rPr>
          <w:rFonts w:ascii="Arial" w:hAnsi="Arial" w:cs="Arial"/>
          <w:sz w:val="24"/>
          <w:szCs w:val="24"/>
          <w:lang w:val="es-ES"/>
        </w:rPr>
        <w:fldChar w:fldCharType="begin"/>
      </w:r>
      <w:r w:rsidRPr="00F30598" w:rsidR="0047380A">
        <w:rPr>
          <w:rFonts w:ascii="Arial" w:hAnsi="Arial" w:cs="Arial"/>
          <w:sz w:val="24"/>
          <w:szCs w:val="24"/>
          <w:lang w:val="es-ES"/>
        </w:rPr>
        <w:instrText xml:space="preserve"> REF _Ref36718408 \h </w:instrText>
      </w:r>
      <w:r w:rsidRPr="00F30598" w:rsidR="0053787E">
        <w:rPr>
          <w:rFonts w:ascii="Arial" w:hAnsi="Arial" w:cs="Arial"/>
          <w:sz w:val="24"/>
          <w:szCs w:val="24"/>
          <w:lang w:val="es-ES"/>
        </w:rPr>
        <w:instrText xml:space="preserve"> \* MERGEFORMAT </w:instrText>
      </w:r>
      <w:r w:rsidRPr="00F30598" w:rsidR="0047380A">
        <w:rPr>
          <w:rFonts w:ascii="Arial" w:hAnsi="Arial" w:cs="Arial"/>
          <w:sz w:val="24"/>
          <w:szCs w:val="24"/>
          <w:lang w:val="es-ES"/>
        </w:rPr>
      </w:r>
      <w:r w:rsidRPr="00F30598" w:rsidR="0047380A">
        <w:rPr>
          <w:rFonts w:ascii="Arial" w:hAnsi="Arial" w:cs="Arial"/>
          <w:sz w:val="24"/>
          <w:szCs w:val="24"/>
          <w:lang w:val="es-ES"/>
        </w:rPr>
        <w:fldChar w:fldCharType="separate"/>
      </w:r>
      <w:r w:rsidRPr="00F30598" w:rsidR="00ED2BD4">
        <w:rPr>
          <w:rFonts w:ascii="Arial" w:hAnsi="Arial" w:cs="Arial"/>
          <w:sz w:val="24"/>
          <w:szCs w:val="24"/>
          <w:lang w:val="es-AR"/>
        </w:rPr>
        <w:t xml:space="preserve">Cuadro </w:t>
      </w:r>
      <w:r w:rsidRPr="00F30598" w:rsidR="00ED2BD4">
        <w:rPr>
          <w:rFonts w:ascii="Arial" w:hAnsi="Arial" w:cs="Arial"/>
          <w:noProof/>
          <w:sz w:val="24"/>
          <w:szCs w:val="24"/>
          <w:lang w:val="es-AR"/>
        </w:rPr>
        <w:t>7</w:t>
      </w:r>
      <w:r w:rsidRPr="00F30598" w:rsidR="0047380A">
        <w:rPr>
          <w:rFonts w:ascii="Arial" w:hAnsi="Arial" w:cs="Arial"/>
          <w:sz w:val="24"/>
          <w:szCs w:val="24"/>
          <w:lang w:val="es-ES"/>
        </w:rPr>
        <w:fldChar w:fldCharType="end"/>
      </w:r>
      <w:r w:rsidRPr="00F30598" w:rsidR="0047380A">
        <w:rPr>
          <w:rFonts w:ascii="Arial" w:hAnsi="Arial" w:cs="Arial"/>
          <w:sz w:val="24"/>
          <w:szCs w:val="24"/>
          <w:lang w:val="es-ES"/>
        </w:rPr>
        <w:t xml:space="preserve"> </w:t>
      </w:r>
      <w:r w:rsidRPr="00F30598">
        <w:rPr>
          <w:rFonts w:ascii="Arial" w:hAnsi="Arial" w:cs="Arial"/>
          <w:sz w:val="24"/>
          <w:szCs w:val="24"/>
          <w:lang w:val="es-ES"/>
        </w:rPr>
        <w:t xml:space="preserve">muestra los resultados estimados de la intervención en términos de </w:t>
      </w:r>
      <w:r w:rsidRPr="00F30598" w:rsidR="003F7BC5">
        <w:rPr>
          <w:rFonts w:ascii="Arial" w:hAnsi="Arial" w:cs="Arial"/>
          <w:sz w:val="24"/>
          <w:szCs w:val="24"/>
          <w:lang w:val="es-ES"/>
        </w:rPr>
        <w:t xml:space="preserve">repitencia y deserciones </w:t>
      </w:r>
      <w:r w:rsidRPr="00F30598">
        <w:rPr>
          <w:rFonts w:ascii="Arial" w:hAnsi="Arial" w:cs="Arial"/>
          <w:sz w:val="24"/>
          <w:szCs w:val="24"/>
          <w:lang w:val="es-ES"/>
        </w:rPr>
        <w:t xml:space="preserve">evitadas. Como puede observarse, el grueso de los efectos se concentraría en las </w:t>
      </w:r>
      <w:r w:rsidRPr="00F30598" w:rsidR="00C1380C">
        <w:rPr>
          <w:rFonts w:ascii="Arial" w:hAnsi="Arial" w:cs="Arial"/>
          <w:sz w:val="24"/>
          <w:szCs w:val="24"/>
          <w:lang w:val="es-ES"/>
        </w:rPr>
        <w:t>transferencias</w:t>
      </w:r>
      <w:r w:rsidRPr="00F30598">
        <w:rPr>
          <w:rFonts w:ascii="Arial" w:hAnsi="Arial" w:cs="Arial"/>
          <w:sz w:val="24"/>
          <w:szCs w:val="24"/>
          <w:lang w:val="es-ES"/>
        </w:rPr>
        <w:t xml:space="preserve"> del</w:t>
      </w:r>
      <w:r w:rsidRPr="00F30598" w:rsidR="0038485E">
        <w:rPr>
          <w:rFonts w:ascii="Arial" w:hAnsi="Arial" w:cs="Arial"/>
          <w:sz w:val="24"/>
          <w:szCs w:val="24"/>
          <w:lang w:val="es-ES"/>
        </w:rPr>
        <w:t xml:space="preserve"> Componente</w:t>
      </w:r>
      <w:r w:rsidRPr="00F30598">
        <w:rPr>
          <w:rFonts w:ascii="Arial" w:hAnsi="Arial" w:cs="Arial"/>
          <w:sz w:val="24"/>
          <w:szCs w:val="24"/>
          <w:lang w:val="es-ES"/>
        </w:rPr>
        <w:t xml:space="preserve"> 3</w:t>
      </w:r>
      <w:r w:rsidRPr="00F30598" w:rsidR="00C1380C">
        <w:rPr>
          <w:rFonts w:ascii="Arial" w:hAnsi="Arial" w:cs="Arial"/>
          <w:sz w:val="24"/>
          <w:szCs w:val="24"/>
          <w:lang w:val="es-ES"/>
        </w:rPr>
        <w:t>, orientadas a hogares vulnerables que no habían sido focalizados en programas preexistentes</w:t>
      </w:r>
      <w:r w:rsidRPr="00F30598" w:rsidR="00C1380C">
        <w:rPr>
          <w:rStyle w:val="FootnoteReference"/>
          <w:rFonts w:ascii="Arial" w:hAnsi="Arial" w:cs="Arial"/>
          <w:sz w:val="24"/>
          <w:szCs w:val="24"/>
          <w:lang w:val="es-ES"/>
        </w:rPr>
        <w:footnoteReference w:id="16"/>
      </w:r>
      <w:r w:rsidRPr="00F30598" w:rsidR="00C1380C">
        <w:rPr>
          <w:rFonts w:ascii="Arial" w:hAnsi="Arial" w:cs="Arial"/>
          <w:sz w:val="24"/>
          <w:szCs w:val="24"/>
          <w:lang w:val="es-ES"/>
        </w:rPr>
        <w:t>.</w:t>
      </w:r>
      <w:r w:rsidRPr="00F30598">
        <w:rPr>
          <w:rFonts w:ascii="Arial" w:hAnsi="Arial" w:cs="Arial"/>
          <w:sz w:val="24"/>
          <w:szCs w:val="24"/>
          <w:lang w:val="es-ES"/>
        </w:rPr>
        <w:t xml:space="preserve"> </w:t>
      </w:r>
      <w:r w:rsidRPr="00F30598" w:rsidR="00C1380C">
        <w:rPr>
          <w:rFonts w:ascii="Arial" w:hAnsi="Arial" w:cs="Arial"/>
          <w:sz w:val="24"/>
          <w:szCs w:val="24"/>
          <w:lang w:val="es-ES"/>
        </w:rPr>
        <w:t>E</w:t>
      </w:r>
      <w:r w:rsidRPr="00F30598">
        <w:rPr>
          <w:rFonts w:ascii="Arial" w:hAnsi="Arial" w:cs="Arial"/>
          <w:sz w:val="24"/>
          <w:szCs w:val="24"/>
          <w:lang w:val="es-ES"/>
        </w:rPr>
        <w:t xml:space="preserve">sto se </w:t>
      </w:r>
      <w:r w:rsidRPr="00F30598">
        <w:rPr>
          <w:rFonts w:ascii="Arial" w:hAnsi="Arial" w:cs="Arial"/>
          <w:sz w:val="24"/>
          <w:szCs w:val="24"/>
          <w:lang w:val="es-ES"/>
        </w:rPr>
        <w:lastRenderedPageBreak/>
        <w:t>explica por la baja cobertura del Bono de Desarrollo Humano</w:t>
      </w:r>
      <w:r w:rsidRPr="00F30598" w:rsidR="0021677A">
        <w:rPr>
          <w:rStyle w:val="FootnoteReference"/>
          <w:rFonts w:ascii="Arial" w:hAnsi="Arial" w:cs="Arial"/>
          <w:sz w:val="24"/>
          <w:szCs w:val="24"/>
          <w:lang w:val="es-ES"/>
        </w:rPr>
        <w:footnoteReference w:id="17"/>
      </w:r>
      <w:r w:rsidRPr="00F30598">
        <w:rPr>
          <w:rFonts w:ascii="Arial" w:hAnsi="Arial" w:cs="Arial"/>
          <w:sz w:val="24"/>
          <w:szCs w:val="24"/>
          <w:lang w:val="es-ES"/>
        </w:rPr>
        <w:t xml:space="preserve"> y el hecho de que parte de sus beneficiarios son adultos mayores sin hijos en edad escolar. Este punto debe de tenerse en cuenta porque las intervenciones del</w:t>
      </w:r>
      <w:r w:rsidRPr="00F30598" w:rsidR="0038485E">
        <w:rPr>
          <w:rFonts w:ascii="Arial" w:hAnsi="Arial" w:cs="Arial"/>
          <w:sz w:val="24"/>
          <w:szCs w:val="24"/>
          <w:lang w:val="es-ES"/>
        </w:rPr>
        <w:t xml:space="preserve"> Componente</w:t>
      </w:r>
      <w:r w:rsidRPr="00F30598">
        <w:rPr>
          <w:rFonts w:ascii="Arial" w:hAnsi="Arial" w:cs="Arial"/>
          <w:sz w:val="24"/>
          <w:szCs w:val="24"/>
          <w:lang w:val="es-ES"/>
        </w:rPr>
        <w:t xml:space="preserve"> 3</w:t>
      </w:r>
      <w:r w:rsidRPr="00F30598" w:rsidR="0047380A">
        <w:rPr>
          <w:rFonts w:ascii="Arial" w:hAnsi="Arial" w:cs="Arial"/>
          <w:sz w:val="24"/>
          <w:szCs w:val="24"/>
          <w:lang w:val="es-ES"/>
        </w:rPr>
        <w:t xml:space="preserve"> (transferencias a población vulnerable no focalizada previamente)</w:t>
      </w:r>
      <w:r w:rsidRPr="00F30598">
        <w:rPr>
          <w:rFonts w:ascii="Arial" w:hAnsi="Arial" w:cs="Arial"/>
          <w:sz w:val="24"/>
          <w:szCs w:val="24"/>
          <w:lang w:val="es-ES"/>
        </w:rPr>
        <w:t xml:space="preserve">, al no contar con una estructura preexistente, son las más difíciles y costosas de implementar. </w:t>
      </w:r>
    </w:p>
    <w:p w:rsidRPr="00F30598" w:rsidR="00743578" w:rsidP="00DA58E9" w:rsidRDefault="00743578" w14:paraId="02CB9DE5" w14:textId="2133623A">
      <w:pPr>
        <w:pStyle w:val="Caption"/>
        <w:keepNext/>
        <w:spacing w:before="240" w:after="120"/>
        <w:rPr>
          <w:rFonts w:ascii="Arial" w:hAnsi="Arial" w:cs="Arial"/>
          <w:sz w:val="24"/>
          <w:szCs w:val="24"/>
        </w:rPr>
      </w:pPr>
      <w:bookmarkStart w:name="_Ref36718408" w:id="13"/>
      <w:r w:rsidRPr="00F30598">
        <w:rPr>
          <w:rFonts w:ascii="Arial" w:hAnsi="Arial" w:cs="Arial"/>
          <w:sz w:val="24"/>
          <w:szCs w:val="24"/>
        </w:rPr>
        <w:t xml:space="preserve">Cuadro </w:t>
      </w:r>
      <w:r w:rsidRPr="00F30598">
        <w:rPr>
          <w:rFonts w:ascii="Arial" w:hAnsi="Arial" w:cs="Arial"/>
          <w:sz w:val="24"/>
          <w:szCs w:val="24"/>
        </w:rPr>
        <w:fldChar w:fldCharType="begin"/>
      </w:r>
      <w:r w:rsidRPr="00F30598">
        <w:rPr>
          <w:rFonts w:ascii="Arial" w:hAnsi="Arial" w:cs="Arial"/>
          <w:sz w:val="24"/>
          <w:szCs w:val="24"/>
        </w:rPr>
        <w:instrText xml:space="preserve"> SEQ Cuadro \* ARABIC </w:instrText>
      </w:r>
      <w:r w:rsidRPr="00F30598">
        <w:rPr>
          <w:rFonts w:ascii="Arial" w:hAnsi="Arial" w:cs="Arial"/>
          <w:sz w:val="24"/>
          <w:szCs w:val="24"/>
        </w:rPr>
        <w:fldChar w:fldCharType="separate"/>
      </w:r>
      <w:r w:rsidRPr="00F30598" w:rsidR="00ED2BD4">
        <w:rPr>
          <w:rFonts w:ascii="Arial" w:hAnsi="Arial" w:cs="Arial"/>
          <w:noProof/>
          <w:sz w:val="24"/>
          <w:szCs w:val="24"/>
        </w:rPr>
        <w:t>7</w:t>
      </w:r>
      <w:r w:rsidRPr="00F30598">
        <w:rPr>
          <w:rFonts w:ascii="Arial" w:hAnsi="Arial" w:cs="Arial"/>
          <w:sz w:val="24"/>
          <w:szCs w:val="24"/>
        </w:rPr>
        <w:fldChar w:fldCharType="end"/>
      </w:r>
      <w:bookmarkEnd w:id="13"/>
      <w:r w:rsidRPr="00F30598">
        <w:rPr>
          <w:rFonts w:ascii="Arial" w:hAnsi="Arial" w:cs="Arial"/>
          <w:sz w:val="24"/>
          <w:szCs w:val="24"/>
        </w:rPr>
        <w:t>: Efectos en repitencia y deserción</w:t>
      </w:r>
    </w:p>
    <w:p w:rsidRPr="00F30598" w:rsidR="00743578" w:rsidP="00DA58E9" w:rsidRDefault="00EC2B44" w14:paraId="587502A7" w14:textId="0F6CBF7F">
      <w:pPr>
        <w:spacing w:before="120" w:after="120" w:line="240" w:lineRule="auto"/>
        <w:jc w:val="both"/>
        <w:rPr>
          <w:rFonts w:ascii="Arial" w:hAnsi="Arial" w:cs="Arial"/>
          <w:sz w:val="24"/>
          <w:szCs w:val="24"/>
        </w:rPr>
      </w:pPr>
      <w:r w:rsidRPr="00F30598">
        <w:rPr>
          <w:rFonts w:ascii="Arial" w:hAnsi="Arial" w:cs="Arial"/>
          <w:noProof/>
          <w:sz w:val="24"/>
          <w:szCs w:val="24"/>
        </w:rPr>
        <w:drawing>
          <wp:inline distT="0" distB="0" distL="0" distR="0" wp14:anchorId="1ADE6689" wp14:editId="35DDCAC2">
            <wp:extent cx="5612130" cy="1351915"/>
            <wp:effectExtent l="0" t="0" r="7620" b="635"/>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612130" cy="1351915"/>
                    </a:xfrm>
                    <a:prstGeom prst="rect">
                      <a:avLst/>
                    </a:prstGeom>
                    <a:noFill/>
                    <a:ln>
                      <a:noFill/>
                    </a:ln>
                  </pic:spPr>
                </pic:pic>
              </a:graphicData>
            </a:graphic>
          </wp:inline>
        </w:drawing>
      </w:r>
    </w:p>
    <w:p w:rsidRPr="00F30598" w:rsidR="00743578" w:rsidP="00DA58E9" w:rsidRDefault="00743578" w14:paraId="3602A184" w14:textId="77777777">
      <w:pPr>
        <w:spacing w:before="120" w:after="120" w:line="240" w:lineRule="auto"/>
        <w:jc w:val="both"/>
        <w:rPr>
          <w:rFonts w:ascii="Arial" w:hAnsi="Arial" w:cs="Arial"/>
          <w:sz w:val="24"/>
          <w:szCs w:val="24"/>
          <w:lang w:val="es-ES"/>
        </w:rPr>
      </w:pPr>
    </w:p>
    <w:p w:rsidRPr="00F30598" w:rsidR="006A7655" w:rsidP="00DA58E9" w:rsidRDefault="006A7655" w14:paraId="292D6B57" w14:textId="0CB50D88">
      <w:pPr>
        <w:spacing w:before="120" w:after="120" w:line="240" w:lineRule="auto"/>
        <w:jc w:val="both"/>
        <w:rPr>
          <w:rFonts w:ascii="Arial" w:hAnsi="Arial" w:cs="Arial"/>
          <w:sz w:val="24"/>
          <w:szCs w:val="24"/>
          <w:lang w:val="es-ES"/>
        </w:rPr>
      </w:pPr>
      <w:r w:rsidRPr="00F30598">
        <w:rPr>
          <w:rFonts w:ascii="Arial" w:hAnsi="Arial" w:cs="Arial"/>
          <w:sz w:val="24"/>
          <w:szCs w:val="24"/>
          <w:lang w:val="es-ES"/>
        </w:rPr>
        <w:t xml:space="preserve">Los resultados en términos de VAN y Ratio </w:t>
      </w:r>
      <w:proofErr w:type="spellStart"/>
      <w:proofErr w:type="gramStart"/>
      <w:r w:rsidRPr="00F30598">
        <w:rPr>
          <w:rFonts w:ascii="Arial" w:hAnsi="Arial" w:cs="Arial"/>
          <w:sz w:val="24"/>
          <w:szCs w:val="24"/>
          <w:lang w:val="es-ES"/>
        </w:rPr>
        <w:t>Beneficio:Costo</w:t>
      </w:r>
      <w:proofErr w:type="spellEnd"/>
      <w:proofErr w:type="gramEnd"/>
      <w:r w:rsidRPr="00F30598">
        <w:rPr>
          <w:rFonts w:ascii="Arial" w:hAnsi="Arial" w:cs="Arial"/>
          <w:sz w:val="24"/>
          <w:szCs w:val="24"/>
          <w:lang w:val="es-ES"/>
        </w:rPr>
        <w:t xml:space="preserve"> se presentan en forma separada para cada una de las dos intervenciones: transferencias</w:t>
      </w:r>
      <w:r w:rsidRPr="00F30598" w:rsidR="0053787E">
        <w:rPr>
          <w:rFonts w:ascii="Arial" w:hAnsi="Arial" w:cs="Arial"/>
          <w:sz w:val="24"/>
          <w:szCs w:val="24"/>
          <w:lang w:val="es-ES"/>
        </w:rPr>
        <w:t xml:space="preserve"> a hogares focalizados previamente y transferencias a hogares no participantes de programas anteriores</w:t>
      </w:r>
      <w:r w:rsidRPr="00F30598">
        <w:rPr>
          <w:rFonts w:ascii="Arial" w:hAnsi="Arial" w:cs="Arial"/>
          <w:sz w:val="24"/>
          <w:szCs w:val="24"/>
          <w:lang w:val="es-ES"/>
        </w:rPr>
        <w:t>. En cada uno de los casos, se computa la totalidad de los beneficios, es decir, aquellos derivados del efecto multiplicador, del valor de las transferencias y del efecto específico de la suavización del consumo. Consecuentemente, se computan también la totalidad de los costos: monto de transferencias, costos operativos y costos de oportunidad. Para cada uno de estos ejercicios, se realizan análisis de sensibilidad.</w:t>
      </w:r>
    </w:p>
    <w:p w:rsidRPr="00F30598" w:rsidR="00DA2B77" w:rsidP="00DA58E9" w:rsidRDefault="0079650A" w14:paraId="28BDC21D" w14:textId="5A69DADD">
      <w:pPr>
        <w:spacing w:before="120" w:after="120" w:line="240" w:lineRule="auto"/>
        <w:jc w:val="both"/>
        <w:rPr>
          <w:rFonts w:ascii="Arial" w:hAnsi="Arial" w:cs="Arial"/>
          <w:sz w:val="24"/>
          <w:szCs w:val="24"/>
          <w:lang w:val="es-ES"/>
        </w:rPr>
      </w:pPr>
      <w:r w:rsidRPr="00F30598">
        <w:rPr>
          <w:rFonts w:ascii="Arial" w:hAnsi="Arial" w:cs="Arial"/>
          <w:sz w:val="24"/>
          <w:szCs w:val="24"/>
          <w:lang w:val="es-ES"/>
        </w:rPr>
        <w:t xml:space="preserve">El </w:t>
      </w:r>
      <w:r w:rsidRPr="00F30598">
        <w:rPr>
          <w:rFonts w:ascii="Arial" w:hAnsi="Arial" w:cs="Arial"/>
          <w:sz w:val="24"/>
          <w:szCs w:val="24"/>
        </w:rPr>
        <w:fldChar w:fldCharType="begin"/>
      </w:r>
      <w:r w:rsidRPr="00F30598">
        <w:rPr>
          <w:rFonts w:ascii="Arial" w:hAnsi="Arial" w:cs="Arial"/>
          <w:sz w:val="24"/>
          <w:szCs w:val="24"/>
          <w:lang w:val="es-ES"/>
        </w:rPr>
        <w:instrText xml:space="preserve"> REF _Ref36718649 \h </w:instrText>
      </w:r>
      <w:r w:rsidRPr="00F30598" w:rsidR="00952E14">
        <w:rPr>
          <w:rFonts w:ascii="Arial" w:hAnsi="Arial" w:cs="Arial"/>
          <w:sz w:val="24"/>
          <w:szCs w:val="24"/>
          <w:lang w:val="es-ES"/>
        </w:rPr>
        <w:instrText xml:space="preserve"> \* MERGEFORMAT </w:instrText>
      </w:r>
      <w:r w:rsidRPr="00F30598">
        <w:rPr>
          <w:rFonts w:ascii="Arial" w:hAnsi="Arial" w:cs="Arial"/>
          <w:sz w:val="24"/>
          <w:szCs w:val="24"/>
        </w:rPr>
      </w:r>
      <w:r w:rsidRPr="00F30598">
        <w:rPr>
          <w:rFonts w:ascii="Arial" w:hAnsi="Arial" w:cs="Arial"/>
          <w:sz w:val="24"/>
          <w:szCs w:val="24"/>
        </w:rPr>
        <w:fldChar w:fldCharType="separate"/>
      </w:r>
      <w:r w:rsidRPr="00F30598" w:rsidR="00ED2BD4">
        <w:rPr>
          <w:rFonts w:ascii="Arial" w:hAnsi="Arial" w:cs="Arial"/>
          <w:sz w:val="24"/>
          <w:szCs w:val="24"/>
          <w:lang w:val="es-ES"/>
        </w:rPr>
        <w:t xml:space="preserve">Cuadro </w:t>
      </w:r>
      <w:r w:rsidRPr="00F30598" w:rsidR="00ED2BD4">
        <w:rPr>
          <w:rFonts w:ascii="Arial" w:hAnsi="Arial" w:cs="Arial"/>
          <w:noProof/>
          <w:sz w:val="24"/>
          <w:szCs w:val="24"/>
          <w:lang w:val="es-ES"/>
        </w:rPr>
        <w:t>8</w:t>
      </w:r>
      <w:r w:rsidRPr="00F30598">
        <w:rPr>
          <w:rFonts w:ascii="Arial" w:hAnsi="Arial" w:cs="Arial"/>
          <w:sz w:val="24"/>
          <w:szCs w:val="24"/>
        </w:rPr>
        <w:fldChar w:fldCharType="end"/>
      </w:r>
      <w:r w:rsidRPr="00F30598">
        <w:rPr>
          <w:rFonts w:ascii="Arial" w:hAnsi="Arial" w:cs="Arial"/>
          <w:sz w:val="24"/>
          <w:szCs w:val="24"/>
          <w:lang w:val="es-ES"/>
        </w:rPr>
        <w:t xml:space="preserve"> presenta los valores que surgen de la monetización de los efectos</w:t>
      </w:r>
      <w:r w:rsidRPr="00F30598" w:rsidR="00AA7BA9">
        <w:rPr>
          <w:rFonts w:ascii="Arial" w:hAnsi="Arial" w:cs="Arial"/>
          <w:sz w:val="24"/>
          <w:szCs w:val="24"/>
          <w:lang w:val="es-ES"/>
        </w:rPr>
        <w:t xml:space="preserve"> para el caso de los hogares focalizados previamente (Componente 2)</w:t>
      </w:r>
      <w:r w:rsidRPr="00F30598">
        <w:rPr>
          <w:rFonts w:ascii="Arial" w:hAnsi="Arial" w:cs="Arial"/>
          <w:sz w:val="24"/>
          <w:szCs w:val="24"/>
          <w:lang w:val="es-ES"/>
        </w:rPr>
        <w:t>. El grueso de los beneficios proviene de</w:t>
      </w:r>
      <w:r w:rsidRPr="00F30598" w:rsidR="00AA7BA9">
        <w:rPr>
          <w:rFonts w:ascii="Arial" w:hAnsi="Arial" w:cs="Arial"/>
          <w:sz w:val="24"/>
          <w:szCs w:val="24"/>
          <w:lang w:val="es-ES"/>
        </w:rPr>
        <w:t xml:space="preserve">l valor monetario de las transferencias </w:t>
      </w:r>
      <w:proofErr w:type="gramStart"/>
      <w:r w:rsidRPr="00F30598" w:rsidR="00AA7BA9">
        <w:rPr>
          <w:rFonts w:ascii="Arial" w:hAnsi="Arial" w:cs="Arial"/>
          <w:sz w:val="24"/>
          <w:szCs w:val="24"/>
          <w:lang w:val="es-ES"/>
        </w:rPr>
        <w:t>y</w:t>
      </w:r>
      <w:proofErr w:type="gramEnd"/>
      <w:r w:rsidRPr="00F30598" w:rsidR="00AA7BA9">
        <w:rPr>
          <w:rFonts w:ascii="Arial" w:hAnsi="Arial" w:cs="Arial"/>
          <w:sz w:val="24"/>
          <w:szCs w:val="24"/>
          <w:lang w:val="es-ES"/>
        </w:rPr>
        <w:t xml:space="preserve"> en segundo término, del efecto multiplicador. En este caso, la cantidad de niños en edad escolar es muy baja para obtener beneficios considerables a partir de preservación de capital humano</w:t>
      </w:r>
      <w:r w:rsidRPr="00F30598">
        <w:rPr>
          <w:rFonts w:ascii="Arial" w:hAnsi="Arial" w:cs="Arial"/>
          <w:sz w:val="24"/>
          <w:szCs w:val="24"/>
          <w:lang w:val="es-ES"/>
        </w:rPr>
        <w:t xml:space="preserve">. </w:t>
      </w:r>
      <w:r w:rsidRPr="00F30598" w:rsidR="00AA7BA9">
        <w:rPr>
          <w:rFonts w:ascii="Arial" w:hAnsi="Arial" w:cs="Arial"/>
          <w:sz w:val="24"/>
          <w:szCs w:val="24"/>
          <w:lang w:val="es-ES"/>
        </w:rPr>
        <w:t xml:space="preserve">Esto tiene un correlato en los costos ya que los </w:t>
      </w:r>
      <w:r w:rsidRPr="00F30598" w:rsidR="00D915D1">
        <w:rPr>
          <w:rFonts w:ascii="Arial" w:hAnsi="Arial" w:cs="Arial"/>
          <w:sz w:val="24"/>
          <w:szCs w:val="24"/>
          <w:lang w:val="es-ES"/>
        </w:rPr>
        <w:t>costos de oportunidad de los niños mayores de 16 años de no participar del mercado laboral</w:t>
      </w:r>
      <w:r w:rsidRPr="00F30598" w:rsidR="00D915D1">
        <w:rPr>
          <w:rStyle w:val="FootnoteReference"/>
          <w:rFonts w:ascii="Arial" w:hAnsi="Arial" w:cs="Arial"/>
          <w:sz w:val="24"/>
          <w:szCs w:val="24"/>
          <w:lang w:val="es-ES"/>
        </w:rPr>
        <w:footnoteReference w:id="18"/>
      </w:r>
      <w:r w:rsidRPr="00F30598" w:rsidR="00AA7BA9">
        <w:rPr>
          <w:rFonts w:ascii="Arial" w:hAnsi="Arial" w:cs="Arial"/>
          <w:sz w:val="24"/>
          <w:szCs w:val="24"/>
          <w:lang w:val="es-ES"/>
        </w:rPr>
        <w:t>, son muy bajos</w:t>
      </w:r>
      <w:r w:rsidRPr="00F30598" w:rsidR="00D915D1">
        <w:rPr>
          <w:rFonts w:ascii="Arial" w:hAnsi="Arial" w:cs="Arial"/>
          <w:sz w:val="24"/>
          <w:szCs w:val="24"/>
          <w:lang w:val="es-ES"/>
        </w:rPr>
        <w:t>.</w:t>
      </w:r>
      <w:r w:rsidRPr="00F30598" w:rsidR="006F2C09">
        <w:rPr>
          <w:rFonts w:ascii="Arial" w:hAnsi="Arial" w:cs="Arial"/>
          <w:sz w:val="24"/>
          <w:szCs w:val="24"/>
          <w:lang w:val="es-ES"/>
        </w:rPr>
        <w:t xml:space="preserve"> Como puede observarse</w:t>
      </w:r>
      <w:r w:rsidRPr="00F30598">
        <w:rPr>
          <w:rFonts w:ascii="Arial" w:hAnsi="Arial" w:cs="Arial"/>
          <w:sz w:val="24"/>
          <w:szCs w:val="24"/>
          <w:lang w:val="es-ES"/>
        </w:rPr>
        <w:t>, el VAN es positivo</w:t>
      </w:r>
      <w:r w:rsidRPr="00F30598" w:rsidR="00796409">
        <w:rPr>
          <w:rFonts w:ascii="Arial" w:hAnsi="Arial" w:cs="Arial"/>
          <w:sz w:val="24"/>
          <w:szCs w:val="24"/>
          <w:lang w:val="es-ES"/>
        </w:rPr>
        <w:t>,</w:t>
      </w:r>
      <w:r w:rsidRPr="00F30598" w:rsidR="00AA7BA9">
        <w:rPr>
          <w:rFonts w:ascii="Arial" w:hAnsi="Arial" w:cs="Arial"/>
          <w:sz w:val="24"/>
          <w:szCs w:val="24"/>
          <w:lang w:val="es-ES"/>
        </w:rPr>
        <w:t xml:space="preserve"> el ratio </w:t>
      </w:r>
      <w:proofErr w:type="spellStart"/>
      <w:proofErr w:type="gramStart"/>
      <w:r w:rsidRPr="00F30598" w:rsidR="00AA7BA9">
        <w:rPr>
          <w:rFonts w:ascii="Arial" w:hAnsi="Arial" w:cs="Arial"/>
          <w:sz w:val="24"/>
          <w:szCs w:val="24"/>
          <w:lang w:val="es-ES"/>
        </w:rPr>
        <w:t>Beneficio:Costo</w:t>
      </w:r>
      <w:proofErr w:type="spellEnd"/>
      <w:proofErr w:type="gramEnd"/>
      <w:r w:rsidRPr="00F30598" w:rsidR="00AA7BA9">
        <w:rPr>
          <w:rFonts w:ascii="Arial" w:hAnsi="Arial" w:cs="Arial"/>
          <w:sz w:val="24"/>
          <w:szCs w:val="24"/>
          <w:lang w:val="es-ES"/>
        </w:rPr>
        <w:t xml:space="preserve"> es mayor a uno</w:t>
      </w:r>
      <w:r w:rsidRPr="00F30598" w:rsidR="00796409">
        <w:rPr>
          <w:rFonts w:ascii="Arial" w:hAnsi="Arial" w:cs="Arial"/>
          <w:sz w:val="24"/>
          <w:szCs w:val="24"/>
          <w:lang w:val="es-ES"/>
        </w:rPr>
        <w:t xml:space="preserve"> y la Tasa Interna de Retorno Modificada (TIRM) es de </w:t>
      </w:r>
      <w:r w:rsidRPr="00F30598" w:rsidR="00FC0A9B">
        <w:rPr>
          <w:rFonts w:ascii="Arial" w:hAnsi="Arial" w:cs="Arial"/>
          <w:sz w:val="24"/>
          <w:szCs w:val="24"/>
          <w:lang w:val="es-ES"/>
        </w:rPr>
        <w:t>5.5</w:t>
      </w:r>
      <w:r w:rsidRPr="00F30598" w:rsidR="00985B01">
        <w:rPr>
          <w:rFonts w:ascii="Arial" w:hAnsi="Arial" w:cs="Arial"/>
          <w:sz w:val="24"/>
          <w:szCs w:val="24"/>
          <w:lang w:val="es-ES"/>
        </w:rPr>
        <w:t>%</w:t>
      </w:r>
      <w:r w:rsidRPr="00F30598" w:rsidR="00796409">
        <w:rPr>
          <w:rFonts w:ascii="Arial" w:hAnsi="Arial" w:cs="Arial"/>
          <w:sz w:val="24"/>
          <w:szCs w:val="24"/>
          <w:lang w:val="es-ES"/>
        </w:rPr>
        <w:t xml:space="preserve">, lo que supera la </w:t>
      </w:r>
      <w:r w:rsidRPr="00F30598" w:rsidR="00796409">
        <w:rPr>
          <w:rFonts w:ascii="Arial" w:hAnsi="Arial" w:cs="Arial"/>
          <w:sz w:val="24"/>
          <w:szCs w:val="24"/>
          <w:lang w:val="es-ES"/>
        </w:rPr>
        <w:lastRenderedPageBreak/>
        <w:t>tasa de descuento</w:t>
      </w:r>
      <w:r w:rsidRPr="00F30598" w:rsidR="00985B01">
        <w:rPr>
          <w:rFonts w:ascii="Arial" w:hAnsi="Arial" w:cs="Arial"/>
          <w:sz w:val="24"/>
          <w:szCs w:val="24"/>
          <w:lang w:val="es-ES"/>
        </w:rPr>
        <w:t xml:space="preserve"> del 5%</w:t>
      </w:r>
      <w:r w:rsidRPr="00F30598" w:rsidR="00796409">
        <w:rPr>
          <w:rStyle w:val="FootnoteReference"/>
          <w:rFonts w:ascii="Arial" w:hAnsi="Arial" w:cs="Arial"/>
          <w:sz w:val="24"/>
          <w:szCs w:val="24"/>
          <w:lang w:val="es-ES"/>
        </w:rPr>
        <w:footnoteReference w:id="19"/>
      </w:r>
      <w:r w:rsidRPr="00F30598" w:rsidR="00A36BD0">
        <w:rPr>
          <w:rFonts w:ascii="Arial" w:hAnsi="Arial" w:cs="Arial"/>
          <w:sz w:val="24"/>
          <w:szCs w:val="24"/>
          <w:lang w:val="es-ES"/>
        </w:rPr>
        <w:t xml:space="preserve">, es decir que supera el costo del capital, </w:t>
      </w:r>
      <w:r w:rsidRPr="00F30598" w:rsidR="00681E65">
        <w:rPr>
          <w:rFonts w:ascii="Arial" w:hAnsi="Arial" w:cs="Arial"/>
          <w:sz w:val="24"/>
          <w:szCs w:val="24"/>
          <w:lang w:val="es-ES"/>
        </w:rPr>
        <w:t>mientras que la TIR alcanza el 14%</w:t>
      </w:r>
      <w:r w:rsidRPr="00F30598">
        <w:rPr>
          <w:rFonts w:ascii="Arial" w:hAnsi="Arial" w:cs="Arial"/>
          <w:sz w:val="24"/>
          <w:szCs w:val="24"/>
          <w:lang w:val="es-ES"/>
        </w:rPr>
        <w:t>.</w:t>
      </w:r>
    </w:p>
    <w:p w:rsidRPr="00F30598" w:rsidR="00AA7BA9" w:rsidP="00DA58E9" w:rsidRDefault="00AA7BA9" w14:paraId="4C2B8CD1" w14:textId="52275B42">
      <w:pPr>
        <w:spacing w:before="120" w:after="120" w:line="240" w:lineRule="auto"/>
        <w:jc w:val="both"/>
        <w:rPr>
          <w:rFonts w:ascii="Arial" w:hAnsi="Arial" w:cs="Arial"/>
          <w:sz w:val="24"/>
          <w:szCs w:val="24"/>
          <w:lang w:val="es-ES"/>
        </w:rPr>
      </w:pPr>
      <w:r w:rsidRPr="00F30598">
        <w:rPr>
          <w:rFonts w:ascii="Arial" w:hAnsi="Arial" w:cs="Arial"/>
          <w:sz w:val="24"/>
          <w:szCs w:val="24"/>
          <w:lang w:val="es-ES"/>
        </w:rPr>
        <w:t xml:space="preserve">Adicionalmente, se realiza un análisis de sensibilidad en el cual se varían dos parámetros. En primer lugar, la tasa de descuento para dar cuenta de cambios en la tasa de interés usada para determinar el valor presente de los flujos futuros y en segundo lugar la efectividad de la intervención. Para reproducir cambios en esta dimensión se pondera el efecto descripto por Duryea et al (2007) para que alcance una fracción </w:t>
      </w:r>
      <w:r w:rsidRPr="00F30598" w:rsidR="00093FE1">
        <w:rPr>
          <w:rFonts w:ascii="Arial" w:hAnsi="Arial" w:cs="Arial"/>
          <w:sz w:val="24"/>
          <w:szCs w:val="24"/>
          <w:lang w:val="es-ES"/>
        </w:rPr>
        <w:t xml:space="preserve">menor </w:t>
      </w:r>
      <w:r w:rsidRPr="00F30598">
        <w:rPr>
          <w:rFonts w:ascii="Arial" w:hAnsi="Arial" w:cs="Arial"/>
          <w:sz w:val="24"/>
          <w:szCs w:val="24"/>
          <w:lang w:val="es-ES"/>
        </w:rPr>
        <w:t>de los beneficios originales</w:t>
      </w:r>
      <w:r w:rsidRPr="00F30598" w:rsidR="00093FE1">
        <w:rPr>
          <w:rFonts w:ascii="Arial" w:hAnsi="Arial" w:cs="Arial"/>
          <w:sz w:val="24"/>
          <w:szCs w:val="24"/>
          <w:lang w:val="es-ES"/>
        </w:rPr>
        <w:t xml:space="preserve"> que la considerada en el escenario base</w:t>
      </w:r>
      <w:r w:rsidRPr="00F30598">
        <w:rPr>
          <w:rFonts w:ascii="Arial" w:hAnsi="Arial" w:cs="Arial"/>
          <w:sz w:val="24"/>
          <w:szCs w:val="24"/>
          <w:lang w:val="es-ES"/>
        </w:rPr>
        <w:t>. Cuando se modifica la tasa de descuento y el parámetro que captura la efectividad de la política (</w:t>
      </w:r>
      <w:r w:rsidRPr="00F30598" w:rsidR="00093FE1">
        <w:rPr>
          <w:rFonts w:ascii="Arial" w:hAnsi="Arial" w:cs="Arial"/>
          <w:sz w:val="24"/>
          <w:szCs w:val="24"/>
          <w:lang w:val="es-ES"/>
        </w:rPr>
        <w:fldChar w:fldCharType="begin"/>
      </w:r>
      <w:r w:rsidRPr="00F30598" w:rsidR="00093FE1">
        <w:rPr>
          <w:rFonts w:ascii="Arial" w:hAnsi="Arial" w:cs="Arial"/>
          <w:sz w:val="24"/>
          <w:szCs w:val="24"/>
          <w:lang w:val="es-ES"/>
        </w:rPr>
        <w:instrText xml:space="preserve"> REF _Ref37311426 \h </w:instrText>
      </w:r>
      <w:r w:rsidRPr="00F30598" w:rsidR="005B3011">
        <w:rPr>
          <w:rFonts w:ascii="Arial" w:hAnsi="Arial" w:cs="Arial"/>
          <w:sz w:val="24"/>
          <w:szCs w:val="24"/>
          <w:lang w:val="es-ES"/>
        </w:rPr>
        <w:instrText xml:space="preserve"> \* MERGEFORMAT </w:instrText>
      </w:r>
      <w:r w:rsidRPr="00F30598" w:rsidR="00093FE1">
        <w:rPr>
          <w:rFonts w:ascii="Arial" w:hAnsi="Arial" w:cs="Arial"/>
          <w:sz w:val="24"/>
          <w:szCs w:val="24"/>
          <w:lang w:val="es-ES"/>
        </w:rPr>
      </w:r>
      <w:r w:rsidRPr="00F30598" w:rsidR="00093FE1">
        <w:rPr>
          <w:rFonts w:ascii="Arial" w:hAnsi="Arial" w:cs="Arial"/>
          <w:sz w:val="24"/>
          <w:szCs w:val="24"/>
          <w:lang w:val="es-ES"/>
        </w:rPr>
        <w:fldChar w:fldCharType="separate"/>
      </w:r>
      <w:r w:rsidRPr="00F30598" w:rsidR="00ED2BD4">
        <w:rPr>
          <w:rFonts w:ascii="Arial" w:hAnsi="Arial" w:cs="Arial"/>
          <w:sz w:val="24"/>
          <w:szCs w:val="24"/>
          <w:lang w:val="es-AR"/>
        </w:rPr>
        <w:t xml:space="preserve">Cuadro </w:t>
      </w:r>
      <w:r w:rsidRPr="00F30598" w:rsidR="00ED2BD4">
        <w:rPr>
          <w:rFonts w:ascii="Arial" w:hAnsi="Arial" w:cs="Arial"/>
          <w:noProof/>
          <w:sz w:val="24"/>
          <w:szCs w:val="24"/>
          <w:lang w:val="es-AR"/>
        </w:rPr>
        <w:t>9</w:t>
      </w:r>
      <w:r w:rsidRPr="00F30598" w:rsidR="00093FE1">
        <w:rPr>
          <w:rFonts w:ascii="Arial" w:hAnsi="Arial" w:cs="Arial"/>
          <w:sz w:val="24"/>
          <w:szCs w:val="24"/>
          <w:lang w:val="es-ES"/>
        </w:rPr>
        <w:fldChar w:fldCharType="end"/>
      </w:r>
      <w:r w:rsidRPr="00F30598" w:rsidR="00093FE1">
        <w:rPr>
          <w:rFonts w:ascii="Arial" w:hAnsi="Arial" w:cs="Arial"/>
          <w:sz w:val="24"/>
          <w:szCs w:val="24"/>
          <w:lang w:val="es-ES"/>
        </w:rPr>
        <w:t xml:space="preserve"> y </w:t>
      </w:r>
      <w:r w:rsidRPr="00F30598" w:rsidR="00093FE1">
        <w:rPr>
          <w:rFonts w:ascii="Arial" w:hAnsi="Arial" w:cs="Arial"/>
          <w:sz w:val="24"/>
          <w:szCs w:val="24"/>
          <w:lang w:val="es-ES"/>
        </w:rPr>
        <w:fldChar w:fldCharType="begin"/>
      </w:r>
      <w:r w:rsidRPr="00F30598" w:rsidR="00093FE1">
        <w:rPr>
          <w:rFonts w:ascii="Arial" w:hAnsi="Arial" w:cs="Arial"/>
          <w:sz w:val="24"/>
          <w:szCs w:val="24"/>
          <w:lang w:val="es-ES"/>
        </w:rPr>
        <w:instrText xml:space="preserve"> REF _Ref37311444 \h </w:instrText>
      </w:r>
      <w:r w:rsidRPr="00F30598" w:rsidR="005B3011">
        <w:rPr>
          <w:rFonts w:ascii="Arial" w:hAnsi="Arial" w:cs="Arial"/>
          <w:sz w:val="24"/>
          <w:szCs w:val="24"/>
          <w:lang w:val="es-ES"/>
        </w:rPr>
        <w:instrText xml:space="preserve"> \* MERGEFORMAT </w:instrText>
      </w:r>
      <w:r w:rsidRPr="00F30598" w:rsidR="00093FE1">
        <w:rPr>
          <w:rFonts w:ascii="Arial" w:hAnsi="Arial" w:cs="Arial"/>
          <w:sz w:val="24"/>
          <w:szCs w:val="24"/>
          <w:lang w:val="es-ES"/>
        </w:rPr>
      </w:r>
      <w:r w:rsidRPr="00F30598" w:rsidR="00093FE1">
        <w:rPr>
          <w:rFonts w:ascii="Arial" w:hAnsi="Arial" w:cs="Arial"/>
          <w:sz w:val="24"/>
          <w:szCs w:val="24"/>
          <w:lang w:val="es-ES"/>
        </w:rPr>
        <w:fldChar w:fldCharType="separate"/>
      </w:r>
      <w:r w:rsidRPr="00F30598" w:rsidR="00ED2BD4">
        <w:rPr>
          <w:rFonts w:ascii="Arial" w:hAnsi="Arial" w:cs="Arial"/>
          <w:sz w:val="24"/>
          <w:szCs w:val="24"/>
          <w:lang w:val="es-AR"/>
        </w:rPr>
        <w:t xml:space="preserve">Cuadro </w:t>
      </w:r>
      <w:r w:rsidRPr="00F30598" w:rsidR="00ED2BD4">
        <w:rPr>
          <w:rFonts w:ascii="Arial" w:hAnsi="Arial" w:cs="Arial"/>
          <w:noProof/>
          <w:sz w:val="24"/>
          <w:szCs w:val="24"/>
          <w:lang w:val="es-AR"/>
        </w:rPr>
        <w:t>10</w:t>
      </w:r>
      <w:r w:rsidRPr="00F30598" w:rsidR="00093FE1">
        <w:rPr>
          <w:rFonts w:ascii="Arial" w:hAnsi="Arial" w:cs="Arial"/>
          <w:sz w:val="24"/>
          <w:szCs w:val="24"/>
          <w:lang w:val="es-ES"/>
        </w:rPr>
        <w:fldChar w:fldCharType="end"/>
      </w:r>
      <w:r w:rsidRPr="00F30598">
        <w:rPr>
          <w:rFonts w:ascii="Arial" w:hAnsi="Arial" w:cs="Arial"/>
          <w:sz w:val="24"/>
          <w:szCs w:val="24"/>
          <w:lang w:val="es-ES"/>
        </w:rPr>
        <w:t xml:space="preserve">) se observa que los beneficios siguen siendo </w:t>
      </w:r>
      <w:r w:rsidRPr="00F30598" w:rsidR="00093FE1">
        <w:rPr>
          <w:rFonts w:ascii="Arial" w:hAnsi="Arial" w:cs="Arial"/>
          <w:sz w:val="24"/>
          <w:szCs w:val="24"/>
          <w:lang w:val="es-ES"/>
        </w:rPr>
        <w:t>positivos y el ratio mayor que uno</w:t>
      </w:r>
      <w:r w:rsidRPr="00F30598">
        <w:rPr>
          <w:rFonts w:ascii="Arial" w:hAnsi="Arial" w:cs="Arial"/>
          <w:sz w:val="24"/>
          <w:szCs w:val="24"/>
          <w:lang w:val="es-ES"/>
        </w:rPr>
        <w:t>.</w:t>
      </w:r>
      <w:r w:rsidRPr="00F30598" w:rsidR="00093FE1">
        <w:rPr>
          <w:rFonts w:ascii="Arial" w:hAnsi="Arial" w:cs="Arial"/>
          <w:sz w:val="24"/>
          <w:szCs w:val="24"/>
          <w:lang w:val="es-ES"/>
        </w:rPr>
        <w:t xml:space="preserve"> El hecho de que la cantidad de niños en edad escolar en la población objetivo sea relativamente baja, hace que el peso del efecto recaiga en el valor monetario de las transferencias y efecto multiplicador. Esto tiene dos consecuencias. En primer lugar, dada la baja cantidad de niños, el resultado es poco sensible a cambios en la efectividad de la política. En segundo lugar, dado que los beneficios del multiplicador y de valor de las transferencias se realizan en t=0, los resultados son también poco sensibles a cambios en la tasa de descuento.</w:t>
      </w:r>
    </w:p>
    <w:p w:rsidRPr="00F30598" w:rsidR="00F64D31" w:rsidP="00DA58E9" w:rsidRDefault="00F64D31" w14:paraId="5426D5C2" w14:textId="77777777">
      <w:pPr>
        <w:spacing w:before="120" w:after="120" w:line="240" w:lineRule="auto"/>
        <w:jc w:val="both"/>
        <w:rPr>
          <w:rFonts w:ascii="Arial" w:hAnsi="Arial" w:cs="Arial"/>
          <w:sz w:val="24"/>
          <w:szCs w:val="24"/>
          <w:lang w:val="es-ES"/>
        </w:rPr>
      </w:pPr>
    </w:p>
    <w:p w:rsidRPr="00F30598" w:rsidR="0079650A" w:rsidP="00DA58E9" w:rsidRDefault="0079650A" w14:paraId="2A7E42A4" w14:textId="52633017">
      <w:pPr>
        <w:pStyle w:val="Caption"/>
        <w:keepNext/>
        <w:spacing w:before="120" w:after="120"/>
        <w:rPr>
          <w:rFonts w:ascii="Arial" w:hAnsi="Arial" w:cs="Arial"/>
          <w:sz w:val="24"/>
          <w:szCs w:val="24"/>
        </w:rPr>
      </w:pPr>
      <w:bookmarkStart w:name="_Ref36718649" w:id="14"/>
      <w:r w:rsidRPr="00F30598">
        <w:rPr>
          <w:rFonts w:ascii="Arial" w:hAnsi="Arial" w:cs="Arial"/>
          <w:sz w:val="24"/>
          <w:szCs w:val="24"/>
        </w:rPr>
        <w:lastRenderedPageBreak/>
        <w:t xml:space="preserve">Cuadro </w:t>
      </w:r>
      <w:r w:rsidRPr="00F30598">
        <w:rPr>
          <w:rFonts w:ascii="Arial" w:hAnsi="Arial" w:cs="Arial"/>
          <w:sz w:val="24"/>
          <w:szCs w:val="24"/>
        </w:rPr>
        <w:fldChar w:fldCharType="begin"/>
      </w:r>
      <w:r w:rsidRPr="00F30598">
        <w:rPr>
          <w:rFonts w:ascii="Arial" w:hAnsi="Arial" w:cs="Arial"/>
          <w:sz w:val="24"/>
          <w:szCs w:val="24"/>
        </w:rPr>
        <w:instrText xml:space="preserve"> SEQ Cuadro \* ARABIC </w:instrText>
      </w:r>
      <w:r w:rsidRPr="00F30598">
        <w:rPr>
          <w:rFonts w:ascii="Arial" w:hAnsi="Arial" w:cs="Arial"/>
          <w:sz w:val="24"/>
          <w:szCs w:val="24"/>
        </w:rPr>
        <w:fldChar w:fldCharType="separate"/>
      </w:r>
      <w:r w:rsidRPr="00F30598" w:rsidR="00ED2BD4">
        <w:rPr>
          <w:rFonts w:ascii="Arial" w:hAnsi="Arial" w:cs="Arial"/>
          <w:noProof/>
          <w:sz w:val="24"/>
          <w:szCs w:val="24"/>
        </w:rPr>
        <w:t>8</w:t>
      </w:r>
      <w:r w:rsidRPr="00F30598">
        <w:rPr>
          <w:rFonts w:ascii="Arial" w:hAnsi="Arial" w:cs="Arial"/>
          <w:sz w:val="24"/>
          <w:szCs w:val="24"/>
        </w:rPr>
        <w:fldChar w:fldCharType="end"/>
      </w:r>
      <w:bookmarkEnd w:id="14"/>
      <w:r w:rsidRPr="00F30598" w:rsidR="00B03A1A">
        <w:rPr>
          <w:rFonts w:ascii="Arial" w:hAnsi="Arial" w:cs="Arial"/>
          <w:sz w:val="24"/>
          <w:szCs w:val="24"/>
        </w:rPr>
        <w:t>: Beneficios</w:t>
      </w:r>
      <w:r w:rsidRPr="00F30598" w:rsidR="00700AF8">
        <w:rPr>
          <w:rFonts w:ascii="Arial" w:hAnsi="Arial" w:cs="Arial"/>
          <w:sz w:val="24"/>
          <w:szCs w:val="24"/>
        </w:rPr>
        <w:t>,</w:t>
      </w:r>
      <w:r w:rsidRPr="00F30598" w:rsidR="00B03A1A">
        <w:rPr>
          <w:rFonts w:ascii="Arial" w:hAnsi="Arial" w:cs="Arial"/>
          <w:sz w:val="24"/>
          <w:szCs w:val="24"/>
        </w:rPr>
        <w:t xml:space="preserve"> Valor Actual Neto</w:t>
      </w:r>
      <w:r w:rsidRPr="00F30598" w:rsidR="00700AF8">
        <w:rPr>
          <w:rFonts w:ascii="Arial" w:hAnsi="Arial" w:cs="Arial"/>
          <w:sz w:val="24"/>
          <w:szCs w:val="24"/>
        </w:rPr>
        <w:t xml:space="preserve"> y TIRM</w:t>
      </w:r>
      <w:r w:rsidRPr="00F30598" w:rsidR="005B3011">
        <w:rPr>
          <w:rFonts w:ascii="Arial" w:hAnsi="Arial" w:cs="Arial"/>
          <w:sz w:val="24"/>
          <w:szCs w:val="24"/>
        </w:rPr>
        <w:t xml:space="preserve"> (transferencias Componente 2)</w:t>
      </w:r>
    </w:p>
    <w:p w:rsidRPr="00F30598" w:rsidR="00E25BE6" w:rsidP="00DA58E9" w:rsidRDefault="00985B01" w14:paraId="7061F2EF" w14:textId="4238BB25">
      <w:pPr>
        <w:spacing w:before="120" w:after="120" w:line="240" w:lineRule="auto"/>
        <w:jc w:val="both"/>
        <w:rPr>
          <w:rFonts w:ascii="Arial" w:hAnsi="Arial" w:cs="Arial"/>
          <w:sz w:val="24"/>
          <w:szCs w:val="24"/>
        </w:rPr>
      </w:pPr>
      <w:r w:rsidRPr="00F30598">
        <w:rPr>
          <w:rFonts w:ascii="Arial" w:hAnsi="Arial" w:cs="Arial"/>
          <w:sz w:val="24"/>
          <w:szCs w:val="24"/>
          <w:lang w:val="es-AR"/>
        </w:rPr>
        <w:t xml:space="preserve"> </w:t>
      </w:r>
      <w:r w:rsidRPr="00F30598" w:rsidR="00FC0A9B">
        <w:rPr>
          <w:rFonts w:ascii="Arial" w:hAnsi="Arial" w:cs="Arial"/>
          <w:noProof/>
        </w:rPr>
        <w:drawing>
          <wp:inline distT="0" distB="0" distL="0" distR="0" wp14:anchorId="4A8D653E" wp14:editId="11405515">
            <wp:extent cx="5612130" cy="2204720"/>
            <wp:effectExtent l="0" t="0" r="7620" b="508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612130" cy="2204720"/>
                    </a:xfrm>
                    <a:prstGeom prst="rect">
                      <a:avLst/>
                    </a:prstGeom>
                    <a:noFill/>
                    <a:ln>
                      <a:noFill/>
                    </a:ln>
                  </pic:spPr>
                </pic:pic>
              </a:graphicData>
            </a:graphic>
          </wp:inline>
        </w:drawing>
      </w:r>
    </w:p>
    <w:p w:rsidRPr="00F30598" w:rsidR="00E25BE6" w:rsidP="00DA58E9" w:rsidRDefault="00E25BE6" w14:paraId="21FD2CB1" w14:textId="04A0EC80">
      <w:pPr>
        <w:pStyle w:val="Caption"/>
        <w:keepNext/>
        <w:spacing w:before="120" w:after="120"/>
        <w:jc w:val="both"/>
        <w:rPr>
          <w:rFonts w:ascii="Arial" w:hAnsi="Arial" w:cs="Arial"/>
          <w:sz w:val="24"/>
          <w:szCs w:val="24"/>
        </w:rPr>
      </w:pPr>
      <w:bookmarkStart w:name="_Ref37311426" w:id="15"/>
      <w:r w:rsidRPr="00F30598">
        <w:rPr>
          <w:rFonts w:ascii="Arial" w:hAnsi="Arial" w:cs="Arial"/>
          <w:sz w:val="24"/>
          <w:szCs w:val="24"/>
        </w:rPr>
        <w:t xml:space="preserve">Cuadro </w:t>
      </w:r>
      <w:r w:rsidRPr="00F30598">
        <w:rPr>
          <w:rFonts w:ascii="Arial" w:hAnsi="Arial" w:cs="Arial"/>
          <w:sz w:val="24"/>
          <w:szCs w:val="24"/>
        </w:rPr>
        <w:fldChar w:fldCharType="begin"/>
      </w:r>
      <w:r w:rsidRPr="00F30598">
        <w:rPr>
          <w:rFonts w:ascii="Arial" w:hAnsi="Arial" w:cs="Arial"/>
          <w:sz w:val="24"/>
          <w:szCs w:val="24"/>
        </w:rPr>
        <w:instrText xml:space="preserve"> SEQ Cuadro \* ARABIC </w:instrText>
      </w:r>
      <w:r w:rsidRPr="00F30598">
        <w:rPr>
          <w:rFonts w:ascii="Arial" w:hAnsi="Arial" w:cs="Arial"/>
          <w:sz w:val="24"/>
          <w:szCs w:val="24"/>
        </w:rPr>
        <w:fldChar w:fldCharType="separate"/>
      </w:r>
      <w:r w:rsidRPr="00F30598" w:rsidR="00ED2BD4">
        <w:rPr>
          <w:rFonts w:ascii="Arial" w:hAnsi="Arial" w:cs="Arial"/>
          <w:noProof/>
          <w:sz w:val="24"/>
          <w:szCs w:val="24"/>
        </w:rPr>
        <w:t>9</w:t>
      </w:r>
      <w:r w:rsidRPr="00F30598">
        <w:rPr>
          <w:rFonts w:ascii="Arial" w:hAnsi="Arial" w:cs="Arial"/>
          <w:sz w:val="24"/>
          <w:szCs w:val="24"/>
        </w:rPr>
        <w:fldChar w:fldCharType="end"/>
      </w:r>
      <w:bookmarkEnd w:id="15"/>
      <w:r w:rsidRPr="00F30598">
        <w:rPr>
          <w:rFonts w:ascii="Arial" w:hAnsi="Arial" w:cs="Arial"/>
          <w:sz w:val="24"/>
          <w:szCs w:val="24"/>
        </w:rPr>
        <w:t>: Análisis de sensibilidad (VAN)</w:t>
      </w:r>
    </w:p>
    <w:p w:rsidRPr="00F30598" w:rsidR="001F086E" w:rsidP="00DA58E9" w:rsidRDefault="009273E4" w14:paraId="476D0D12" w14:textId="7E502E66">
      <w:pPr>
        <w:spacing w:before="120" w:after="120" w:line="240" w:lineRule="auto"/>
        <w:jc w:val="both"/>
        <w:rPr>
          <w:rFonts w:ascii="Arial" w:hAnsi="Arial" w:cs="Arial"/>
          <w:sz w:val="24"/>
          <w:szCs w:val="24"/>
        </w:rPr>
      </w:pPr>
      <w:r w:rsidRPr="00F30598">
        <w:rPr>
          <w:rFonts w:ascii="Arial" w:hAnsi="Arial" w:cs="Arial"/>
          <w:noProof/>
        </w:rPr>
        <w:drawing>
          <wp:inline distT="0" distB="0" distL="0" distR="0" wp14:anchorId="47EE8A8B" wp14:editId="66085525">
            <wp:extent cx="3448050" cy="755650"/>
            <wp:effectExtent l="0" t="0" r="0"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448050" cy="755650"/>
                    </a:xfrm>
                    <a:prstGeom prst="rect">
                      <a:avLst/>
                    </a:prstGeom>
                    <a:noFill/>
                    <a:ln>
                      <a:noFill/>
                    </a:ln>
                  </pic:spPr>
                </pic:pic>
              </a:graphicData>
            </a:graphic>
          </wp:inline>
        </w:drawing>
      </w:r>
    </w:p>
    <w:p w:rsidRPr="00F30598" w:rsidR="005B3011" w:rsidP="00DA58E9" w:rsidRDefault="005B3011" w14:paraId="141CF992" w14:textId="77777777">
      <w:pPr>
        <w:spacing w:before="120" w:after="120" w:line="240" w:lineRule="auto"/>
        <w:jc w:val="both"/>
        <w:rPr>
          <w:rFonts w:ascii="Arial" w:hAnsi="Arial" w:cs="Arial"/>
          <w:sz w:val="24"/>
          <w:szCs w:val="24"/>
        </w:rPr>
      </w:pPr>
    </w:p>
    <w:p w:rsidRPr="00F30598" w:rsidR="00E25BE6" w:rsidP="00DA58E9" w:rsidRDefault="00E25BE6" w14:paraId="28489F2C" w14:textId="503E7CF5">
      <w:pPr>
        <w:pStyle w:val="Caption"/>
        <w:keepNext/>
        <w:spacing w:before="120" w:after="120"/>
        <w:jc w:val="both"/>
        <w:rPr>
          <w:rFonts w:ascii="Arial" w:hAnsi="Arial" w:cs="Arial"/>
          <w:sz w:val="24"/>
          <w:szCs w:val="24"/>
        </w:rPr>
      </w:pPr>
      <w:bookmarkStart w:name="_Ref37311444" w:id="16"/>
      <w:r w:rsidRPr="00F30598">
        <w:rPr>
          <w:rFonts w:ascii="Arial" w:hAnsi="Arial" w:cs="Arial"/>
          <w:sz w:val="24"/>
          <w:szCs w:val="24"/>
        </w:rPr>
        <w:t xml:space="preserve">Cuadro </w:t>
      </w:r>
      <w:r w:rsidRPr="00F30598">
        <w:rPr>
          <w:rFonts w:ascii="Arial" w:hAnsi="Arial" w:cs="Arial"/>
          <w:sz w:val="24"/>
          <w:szCs w:val="24"/>
        </w:rPr>
        <w:fldChar w:fldCharType="begin"/>
      </w:r>
      <w:r w:rsidRPr="00F30598">
        <w:rPr>
          <w:rFonts w:ascii="Arial" w:hAnsi="Arial" w:cs="Arial"/>
          <w:sz w:val="24"/>
          <w:szCs w:val="24"/>
        </w:rPr>
        <w:instrText xml:space="preserve"> SEQ Cuadro \* ARABIC </w:instrText>
      </w:r>
      <w:r w:rsidRPr="00F30598">
        <w:rPr>
          <w:rFonts w:ascii="Arial" w:hAnsi="Arial" w:cs="Arial"/>
          <w:sz w:val="24"/>
          <w:szCs w:val="24"/>
        </w:rPr>
        <w:fldChar w:fldCharType="separate"/>
      </w:r>
      <w:r w:rsidRPr="00F30598" w:rsidR="00ED2BD4">
        <w:rPr>
          <w:rFonts w:ascii="Arial" w:hAnsi="Arial" w:cs="Arial"/>
          <w:noProof/>
          <w:sz w:val="24"/>
          <w:szCs w:val="24"/>
        </w:rPr>
        <w:t>10</w:t>
      </w:r>
      <w:r w:rsidRPr="00F30598">
        <w:rPr>
          <w:rFonts w:ascii="Arial" w:hAnsi="Arial" w:cs="Arial"/>
          <w:sz w:val="24"/>
          <w:szCs w:val="24"/>
        </w:rPr>
        <w:fldChar w:fldCharType="end"/>
      </w:r>
      <w:bookmarkEnd w:id="16"/>
      <w:r w:rsidRPr="00F30598" w:rsidR="0069509D">
        <w:rPr>
          <w:rFonts w:ascii="Arial" w:hAnsi="Arial" w:cs="Arial"/>
          <w:sz w:val="24"/>
          <w:szCs w:val="24"/>
        </w:rPr>
        <w:t xml:space="preserve">: Análisis de sensibilidad (Ratio </w:t>
      </w:r>
      <w:proofErr w:type="spellStart"/>
      <w:proofErr w:type="gramStart"/>
      <w:r w:rsidRPr="00F30598" w:rsidR="0069509D">
        <w:rPr>
          <w:rFonts w:ascii="Arial" w:hAnsi="Arial" w:cs="Arial"/>
          <w:sz w:val="24"/>
          <w:szCs w:val="24"/>
        </w:rPr>
        <w:t>Beneficio:Costo</w:t>
      </w:r>
      <w:proofErr w:type="spellEnd"/>
      <w:proofErr w:type="gramEnd"/>
      <w:r w:rsidRPr="00F30598" w:rsidR="0069509D">
        <w:rPr>
          <w:rFonts w:ascii="Arial" w:hAnsi="Arial" w:cs="Arial"/>
          <w:sz w:val="24"/>
          <w:szCs w:val="24"/>
        </w:rPr>
        <w:t>)</w:t>
      </w:r>
    </w:p>
    <w:p w:rsidRPr="00F30598" w:rsidR="001F086E" w:rsidP="00DA58E9" w:rsidRDefault="002540F8" w14:paraId="26130579" w14:textId="556B1C13">
      <w:pPr>
        <w:spacing w:before="120" w:after="120" w:line="240" w:lineRule="auto"/>
        <w:jc w:val="both"/>
        <w:rPr>
          <w:rFonts w:ascii="Arial" w:hAnsi="Arial" w:cs="Arial"/>
          <w:sz w:val="24"/>
          <w:szCs w:val="24"/>
        </w:rPr>
      </w:pPr>
      <w:r w:rsidRPr="00F30598">
        <w:rPr>
          <w:rFonts w:ascii="Arial" w:hAnsi="Arial" w:cs="Arial"/>
          <w:noProof/>
        </w:rPr>
        <w:drawing>
          <wp:inline distT="0" distB="0" distL="0" distR="0" wp14:anchorId="79507B58" wp14:editId="553FDA95">
            <wp:extent cx="3448050" cy="755650"/>
            <wp:effectExtent l="0" t="0" r="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448050" cy="755650"/>
                    </a:xfrm>
                    <a:prstGeom prst="rect">
                      <a:avLst/>
                    </a:prstGeom>
                    <a:noFill/>
                    <a:ln>
                      <a:noFill/>
                    </a:ln>
                  </pic:spPr>
                </pic:pic>
              </a:graphicData>
            </a:graphic>
          </wp:inline>
        </w:drawing>
      </w:r>
    </w:p>
    <w:p w:rsidRPr="00F30598" w:rsidR="00093FE1" w:rsidP="00DA58E9" w:rsidRDefault="00093FE1" w14:paraId="622D5AA5" w14:textId="53305A85">
      <w:pPr>
        <w:spacing w:before="240" w:after="120" w:line="240" w:lineRule="auto"/>
        <w:jc w:val="both"/>
        <w:rPr>
          <w:rFonts w:ascii="Arial" w:hAnsi="Arial" w:cs="Arial"/>
          <w:sz w:val="24"/>
          <w:szCs w:val="24"/>
          <w:lang w:val="es-AR"/>
        </w:rPr>
      </w:pPr>
      <w:r w:rsidRPr="00F30598">
        <w:rPr>
          <w:rFonts w:ascii="Arial" w:hAnsi="Arial" w:cs="Arial"/>
          <w:sz w:val="24"/>
          <w:szCs w:val="24"/>
          <w:lang w:val="es-ES"/>
        </w:rPr>
        <w:t xml:space="preserve">El </w:t>
      </w:r>
      <w:r w:rsidRPr="00F30598">
        <w:rPr>
          <w:rFonts w:ascii="Arial" w:hAnsi="Arial" w:cs="Arial"/>
          <w:sz w:val="24"/>
          <w:szCs w:val="24"/>
          <w:lang w:val="es-ES"/>
        </w:rPr>
        <w:fldChar w:fldCharType="begin"/>
      </w:r>
      <w:r w:rsidRPr="00F30598">
        <w:rPr>
          <w:rFonts w:ascii="Arial" w:hAnsi="Arial" w:cs="Arial"/>
          <w:sz w:val="24"/>
          <w:szCs w:val="24"/>
          <w:lang w:val="es-ES"/>
        </w:rPr>
        <w:instrText xml:space="preserve"> REF _Ref37311795 \h </w:instrText>
      </w:r>
      <w:r w:rsidRPr="00F30598" w:rsidR="005B3011">
        <w:rPr>
          <w:rFonts w:ascii="Arial" w:hAnsi="Arial" w:cs="Arial"/>
          <w:sz w:val="24"/>
          <w:szCs w:val="24"/>
          <w:lang w:val="es-ES"/>
        </w:rPr>
        <w:instrText xml:space="preserve"> \* MERGEFORMAT </w:instrText>
      </w:r>
      <w:r w:rsidRPr="00F30598">
        <w:rPr>
          <w:rFonts w:ascii="Arial" w:hAnsi="Arial" w:cs="Arial"/>
          <w:sz w:val="24"/>
          <w:szCs w:val="24"/>
          <w:lang w:val="es-ES"/>
        </w:rPr>
      </w:r>
      <w:r w:rsidRPr="00F30598">
        <w:rPr>
          <w:rFonts w:ascii="Arial" w:hAnsi="Arial" w:cs="Arial"/>
          <w:sz w:val="24"/>
          <w:szCs w:val="24"/>
          <w:lang w:val="es-ES"/>
        </w:rPr>
        <w:fldChar w:fldCharType="separate"/>
      </w:r>
      <w:r w:rsidRPr="00F30598" w:rsidR="00ED2BD4">
        <w:rPr>
          <w:rFonts w:ascii="Arial" w:hAnsi="Arial" w:cs="Arial"/>
          <w:sz w:val="24"/>
          <w:szCs w:val="24"/>
          <w:lang w:val="es-AR"/>
        </w:rPr>
        <w:t xml:space="preserve">Cuadro </w:t>
      </w:r>
      <w:r w:rsidRPr="00F30598" w:rsidR="00ED2BD4">
        <w:rPr>
          <w:rFonts w:ascii="Arial" w:hAnsi="Arial" w:cs="Arial"/>
          <w:noProof/>
          <w:sz w:val="24"/>
          <w:szCs w:val="24"/>
          <w:lang w:val="es-AR"/>
        </w:rPr>
        <w:t>11</w:t>
      </w:r>
      <w:r w:rsidRPr="00F30598">
        <w:rPr>
          <w:rFonts w:ascii="Arial" w:hAnsi="Arial" w:cs="Arial"/>
          <w:sz w:val="24"/>
          <w:szCs w:val="24"/>
          <w:lang w:val="es-ES"/>
        </w:rPr>
        <w:fldChar w:fldCharType="end"/>
      </w:r>
      <w:r w:rsidRPr="00F30598">
        <w:rPr>
          <w:rFonts w:ascii="Arial" w:hAnsi="Arial" w:cs="Arial"/>
          <w:sz w:val="24"/>
          <w:szCs w:val="24"/>
          <w:lang w:val="es-ES"/>
        </w:rPr>
        <w:t xml:space="preserve"> presenta los valores que surgen de la monetización de los efectos para el caso de los hogares</w:t>
      </w:r>
      <w:r w:rsidRPr="00F30598" w:rsidR="005B3011">
        <w:rPr>
          <w:rFonts w:ascii="Arial" w:hAnsi="Arial" w:cs="Arial"/>
          <w:sz w:val="24"/>
          <w:szCs w:val="24"/>
          <w:lang w:val="es-ES"/>
        </w:rPr>
        <w:t xml:space="preserve"> no</w:t>
      </w:r>
      <w:r w:rsidRPr="00F30598">
        <w:rPr>
          <w:rFonts w:ascii="Arial" w:hAnsi="Arial" w:cs="Arial"/>
          <w:sz w:val="24"/>
          <w:szCs w:val="24"/>
          <w:lang w:val="es-ES"/>
        </w:rPr>
        <w:t xml:space="preserve"> focalizados previamente (Componente </w:t>
      </w:r>
      <w:r w:rsidRPr="00F30598" w:rsidR="005B3011">
        <w:rPr>
          <w:rFonts w:ascii="Arial" w:hAnsi="Arial" w:cs="Arial"/>
          <w:sz w:val="24"/>
          <w:szCs w:val="24"/>
          <w:lang w:val="es-ES"/>
        </w:rPr>
        <w:t>3</w:t>
      </w:r>
      <w:r w:rsidRPr="00F30598">
        <w:rPr>
          <w:rFonts w:ascii="Arial" w:hAnsi="Arial" w:cs="Arial"/>
          <w:sz w:val="24"/>
          <w:szCs w:val="24"/>
          <w:lang w:val="es-ES"/>
        </w:rPr>
        <w:t>). E</w:t>
      </w:r>
      <w:r w:rsidRPr="00F30598" w:rsidR="005B3011">
        <w:rPr>
          <w:rFonts w:ascii="Arial" w:hAnsi="Arial" w:cs="Arial"/>
          <w:sz w:val="24"/>
          <w:szCs w:val="24"/>
          <w:lang w:val="es-ES"/>
        </w:rPr>
        <w:t>n este caso, al haber mayor cantidad</w:t>
      </w:r>
      <w:r w:rsidRPr="00F30598">
        <w:rPr>
          <w:rFonts w:ascii="Arial" w:hAnsi="Arial" w:cs="Arial"/>
          <w:sz w:val="24"/>
          <w:szCs w:val="24"/>
          <w:lang w:val="es-ES"/>
        </w:rPr>
        <w:t xml:space="preserve"> de niños en edad escolar</w:t>
      </w:r>
      <w:r w:rsidRPr="00F30598" w:rsidR="005B3011">
        <w:rPr>
          <w:rFonts w:ascii="Arial" w:hAnsi="Arial" w:cs="Arial"/>
          <w:sz w:val="24"/>
          <w:szCs w:val="24"/>
          <w:lang w:val="es-ES"/>
        </w:rPr>
        <w:t xml:space="preserve"> entre la población beneficiaria,</w:t>
      </w:r>
      <w:r w:rsidRPr="00F30598">
        <w:rPr>
          <w:rFonts w:ascii="Arial" w:hAnsi="Arial" w:cs="Arial"/>
          <w:sz w:val="24"/>
          <w:szCs w:val="24"/>
          <w:lang w:val="es-ES"/>
        </w:rPr>
        <w:t xml:space="preserve"> </w:t>
      </w:r>
      <w:r w:rsidRPr="00F30598" w:rsidR="005B3011">
        <w:rPr>
          <w:rFonts w:ascii="Arial" w:hAnsi="Arial" w:cs="Arial"/>
          <w:sz w:val="24"/>
          <w:szCs w:val="24"/>
          <w:lang w:val="es-ES"/>
        </w:rPr>
        <w:t>los</w:t>
      </w:r>
      <w:r w:rsidRPr="00F30598">
        <w:rPr>
          <w:rFonts w:ascii="Arial" w:hAnsi="Arial" w:cs="Arial"/>
          <w:sz w:val="24"/>
          <w:szCs w:val="24"/>
          <w:lang w:val="es-ES"/>
        </w:rPr>
        <w:t xml:space="preserve"> beneficios a partir de preservación de capital humano</w:t>
      </w:r>
      <w:r w:rsidRPr="00F30598" w:rsidR="005B3011">
        <w:rPr>
          <w:rFonts w:ascii="Arial" w:hAnsi="Arial" w:cs="Arial"/>
          <w:sz w:val="24"/>
          <w:szCs w:val="24"/>
          <w:lang w:val="es-ES"/>
        </w:rPr>
        <w:t xml:space="preserve"> adquieren mayor relevancia</w:t>
      </w:r>
      <w:r w:rsidRPr="00F30598">
        <w:rPr>
          <w:rFonts w:ascii="Arial" w:hAnsi="Arial" w:cs="Arial"/>
          <w:sz w:val="24"/>
          <w:szCs w:val="24"/>
          <w:lang w:val="es-ES"/>
        </w:rPr>
        <w:t xml:space="preserve">. Esto </w:t>
      </w:r>
      <w:r w:rsidRPr="00F30598" w:rsidR="005B3011">
        <w:rPr>
          <w:rFonts w:ascii="Arial" w:hAnsi="Arial" w:cs="Arial"/>
          <w:sz w:val="24"/>
          <w:szCs w:val="24"/>
          <w:lang w:val="es-ES"/>
        </w:rPr>
        <w:t>se refleja también en</w:t>
      </w:r>
      <w:r w:rsidRPr="00F30598">
        <w:rPr>
          <w:rFonts w:ascii="Arial" w:hAnsi="Arial" w:cs="Arial"/>
          <w:sz w:val="24"/>
          <w:szCs w:val="24"/>
          <w:lang w:val="es-ES"/>
        </w:rPr>
        <w:t xml:space="preserve"> los costos de oportunidad de los niños mayores de 16 años de no participar del mercado laboral,</w:t>
      </w:r>
      <w:r w:rsidRPr="00F30598" w:rsidR="005B3011">
        <w:rPr>
          <w:rFonts w:ascii="Arial" w:hAnsi="Arial" w:cs="Arial"/>
          <w:sz w:val="24"/>
          <w:szCs w:val="24"/>
          <w:lang w:val="es-ES"/>
        </w:rPr>
        <w:t xml:space="preserve"> que</w:t>
      </w:r>
      <w:r w:rsidRPr="00F30598">
        <w:rPr>
          <w:rFonts w:ascii="Arial" w:hAnsi="Arial" w:cs="Arial"/>
          <w:sz w:val="24"/>
          <w:szCs w:val="24"/>
          <w:lang w:val="es-ES"/>
        </w:rPr>
        <w:t xml:space="preserve"> son </w:t>
      </w:r>
      <w:r w:rsidRPr="00F30598" w:rsidR="005B3011">
        <w:rPr>
          <w:rFonts w:ascii="Arial" w:hAnsi="Arial" w:cs="Arial"/>
          <w:sz w:val="24"/>
          <w:szCs w:val="24"/>
          <w:lang w:val="es-ES"/>
        </w:rPr>
        <w:t>mayores a los registrados en el caso de las transferencias a beneficiarios de programas preexistentes</w:t>
      </w:r>
      <w:r w:rsidRPr="00F30598">
        <w:rPr>
          <w:rFonts w:ascii="Arial" w:hAnsi="Arial" w:cs="Arial"/>
          <w:sz w:val="24"/>
          <w:szCs w:val="24"/>
          <w:lang w:val="es-ES"/>
        </w:rPr>
        <w:t>.</w:t>
      </w:r>
      <w:r w:rsidRPr="00F30598" w:rsidR="005B3011">
        <w:rPr>
          <w:rFonts w:ascii="Arial" w:hAnsi="Arial" w:cs="Arial"/>
          <w:sz w:val="24"/>
          <w:szCs w:val="24"/>
          <w:lang w:val="es-ES"/>
        </w:rPr>
        <w:t xml:space="preserve"> Sin embargo, el grueso del efecto sigue explicándose por el multiplicador y el monto de las transferencias.</w:t>
      </w:r>
      <w:r w:rsidRPr="00F30598">
        <w:rPr>
          <w:rFonts w:ascii="Arial" w:hAnsi="Arial" w:cs="Arial"/>
          <w:sz w:val="24"/>
          <w:szCs w:val="24"/>
          <w:lang w:val="es-ES"/>
        </w:rPr>
        <w:t xml:space="preserve"> Como puede observarse, el VAN es positivo</w:t>
      </w:r>
      <w:r w:rsidRPr="00F30598" w:rsidR="00681E65">
        <w:rPr>
          <w:rFonts w:ascii="Arial" w:hAnsi="Arial" w:cs="Arial"/>
          <w:sz w:val="24"/>
          <w:szCs w:val="24"/>
          <w:lang w:val="es-ES"/>
        </w:rPr>
        <w:t>,</w:t>
      </w:r>
      <w:r w:rsidRPr="00F30598">
        <w:rPr>
          <w:rFonts w:ascii="Arial" w:hAnsi="Arial" w:cs="Arial"/>
          <w:sz w:val="24"/>
          <w:szCs w:val="24"/>
          <w:lang w:val="es-ES"/>
        </w:rPr>
        <w:t xml:space="preserve"> el ratio </w:t>
      </w:r>
      <w:proofErr w:type="spellStart"/>
      <w:proofErr w:type="gramStart"/>
      <w:r w:rsidRPr="00F30598">
        <w:rPr>
          <w:rFonts w:ascii="Arial" w:hAnsi="Arial" w:cs="Arial"/>
          <w:sz w:val="24"/>
          <w:szCs w:val="24"/>
          <w:lang w:val="es-ES"/>
        </w:rPr>
        <w:t>Beneficio:Costo</w:t>
      </w:r>
      <w:proofErr w:type="spellEnd"/>
      <w:proofErr w:type="gramEnd"/>
      <w:r w:rsidRPr="00F30598">
        <w:rPr>
          <w:rFonts w:ascii="Arial" w:hAnsi="Arial" w:cs="Arial"/>
          <w:sz w:val="24"/>
          <w:szCs w:val="24"/>
          <w:lang w:val="es-ES"/>
        </w:rPr>
        <w:t xml:space="preserve"> es mayor a uno</w:t>
      </w:r>
      <w:r w:rsidRPr="00F30598" w:rsidR="00681E65">
        <w:rPr>
          <w:rFonts w:ascii="Arial" w:hAnsi="Arial" w:cs="Arial"/>
          <w:sz w:val="24"/>
          <w:szCs w:val="24"/>
          <w:lang w:val="es-ES"/>
        </w:rPr>
        <w:t xml:space="preserve"> y la TIRM es mayor que l</w:t>
      </w:r>
      <w:r w:rsidRPr="00F30598" w:rsidR="00A36BD0">
        <w:rPr>
          <w:rFonts w:ascii="Arial" w:hAnsi="Arial" w:cs="Arial"/>
          <w:sz w:val="24"/>
          <w:szCs w:val="24"/>
          <w:lang w:val="es-ES"/>
        </w:rPr>
        <w:t>a tasa de descuento (costo del capital)</w:t>
      </w:r>
      <w:r w:rsidRPr="00F30598">
        <w:rPr>
          <w:rFonts w:ascii="Arial" w:hAnsi="Arial" w:cs="Arial"/>
          <w:sz w:val="24"/>
          <w:szCs w:val="24"/>
          <w:lang w:val="es-ES"/>
        </w:rPr>
        <w:t>.</w:t>
      </w:r>
    </w:p>
    <w:p w:rsidRPr="00F30598" w:rsidR="00D76A93" w:rsidP="00DA58E9" w:rsidRDefault="00D76A93" w14:paraId="78F307F5" w14:textId="62808AE5">
      <w:pPr>
        <w:pStyle w:val="Caption"/>
        <w:keepNext/>
        <w:spacing w:before="120" w:after="120"/>
        <w:jc w:val="both"/>
        <w:rPr>
          <w:rFonts w:ascii="Arial" w:hAnsi="Arial" w:cs="Arial"/>
          <w:sz w:val="24"/>
          <w:szCs w:val="24"/>
        </w:rPr>
      </w:pPr>
      <w:bookmarkStart w:name="_Ref37311795" w:id="17"/>
      <w:r w:rsidRPr="00F30598">
        <w:rPr>
          <w:rFonts w:ascii="Arial" w:hAnsi="Arial" w:cs="Arial"/>
          <w:sz w:val="24"/>
          <w:szCs w:val="24"/>
        </w:rPr>
        <w:lastRenderedPageBreak/>
        <w:t xml:space="preserve">Cuadro </w:t>
      </w:r>
      <w:r w:rsidRPr="00F30598">
        <w:rPr>
          <w:rFonts w:ascii="Arial" w:hAnsi="Arial" w:cs="Arial"/>
          <w:sz w:val="24"/>
          <w:szCs w:val="24"/>
        </w:rPr>
        <w:fldChar w:fldCharType="begin"/>
      </w:r>
      <w:r w:rsidRPr="00F30598">
        <w:rPr>
          <w:rFonts w:ascii="Arial" w:hAnsi="Arial" w:cs="Arial"/>
          <w:sz w:val="24"/>
          <w:szCs w:val="24"/>
        </w:rPr>
        <w:instrText xml:space="preserve"> SEQ Cuadro \* ARABIC </w:instrText>
      </w:r>
      <w:r w:rsidRPr="00F30598">
        <w:rPr>
          <w:rFonts w:ascii="Arial" w:hAnsi="Arial" w:cs="Arial"/>
          <w:sz w:val="24"/>
          <w:szCs w:val="24"/>
        </w:rPr>
        <w:fldChar w:fldCharType="separate"/>
      </w:r>
      <w:r w:rsidRPr="00F30598" w:rsidR="00ED2BD4">
        <w:rPr>
          <w:rFonts w:ascii="Arial" w:hAnsi="Arial" w:cs="Arial"/>
          <w:noProof/>
          <w:sz w:val="24"/>
          <w:szCs w:val="24"/>
        </w:rPr>
        <w:t>11</w:t>
      </w:r>
      <w:r w:rsidRPr="00F30598">
        <w:rPr>
          <w:rFonts w:ascii="Arial" w:hAnsi="Arial" w:cs="Arial"/>
          <w:sz w:val="24"/>
          <w:szCs w:val="24"/>
        </w:rPr>
        <w:fldChar w:fldCharType="end"/>
      </w:r>
      <w:bookmarkEnd w:id="17"/>
      <w:r w:rsidRPr="00F30598" w:rsidR="005B3011">
        <w:rPr>
          <w:rFonts w:ascii="Arial" w:hAnsi="Arial" w:cs="Arial"/>
          <w:sz w:val="24"/>
          <w:szCs w:val="24"/>
        </w:rPr>
        <w:t>: Beneficios</w:t>
      </w:r>
      <w:r w:rsidRPr="00F30598" w:rsidR="00700AF8">
        <w:rPr>
          <w:rFonts w:ascii="Arial" w:hAnsi="Arial" w:cs="Arial"/>
          <w:sz w:val="24"/>
          <w:szCs w:val="24"/>
        </w:rPr>
        <w:t>,</w:t>
      </w:r>
      <w:r w:rsidRPr="00F30598" w:rsidR="005B3011">
        <w:rPr>
          <w:rFonts w:ascii="Arial" w:hAnsi="Arial" w:cs="Arial"/>
          <w:sz w:val="24"/>
          <w:szCs w:val="24"/>
        </w:rPr>
        <w:t xml:space="preserve"> Valor Actual Neto</w:t>
      </w:r>
      <w:r w:rsidRPr="00F30598" w:rsidR="00700AF8">
        <w:rPr>
          <w:rFonts w:ascii="Arial" w:hAnsi="Arial" w:cs="Arial"/>
          <w:sz w:val="24"/>
          <w:szCs w:val="24"/>
        </w:rPr>
        <w:t xml:space="preserve"> y TIRM</w:t>
      </w:r>
      <w:r w:rsidRPr="00F30598" w:rsidR="005B3011">
        <w:rPr>
          <w:rFonts w:ascii="Arial" w:hAnsi="Arial" w:cs="Arial"/>
          <w:sz w:val="24"/>
          <w:szCs w:val="24"/>
        </w:rPr>
        <w:t xml:space="preserve"> (transferencias Componente </w:t>
      </w:r>
      <w:r w:rsidRPr="00F30598" w:rsidR="00F64D31">
        <w:rPr>
          <w:rFonts w:ascii="Arial" w:hAnsi="Arial" w:cs="Arial"/>
          <w:sz w:val="24"/>
          <w:szCs w:val="24"/>
        </w:rPr>
        <w:t>3</w:t>
      </w:r>
      <w:r w:rsidRPr="00F30598" w:rsidR="005B3011">
        <w:rPr>
          <w:rFonts w:ascii="Arial" w:hAnsi="Arial" w:cs="Arial"/>
          <w:sz w:val="24"/>
          <w:szCs w:val="24"/>
        </w:rPr>
        <w:t>)</w:t>
      </w:r>
    </w:p>
    <w:p w:rsidRPr="00F30598" w:rsidR="00D76A93" w:rsidP="00DA58E9" w:rsidRDefault="00681E65" w14:paraId="6EA05595" w14:textId="785D4CA7">
      <w:pPr>
        <w:spacing w:before="120" w:after="120" w:line="240" w:lineRule="auto"/>
        <w:jc w:val="both"/>
        <w:rPr>
          <w:rFonts w:ascii="Arial" w:hAnsi="Arial" w:cs="Arial"/>
          <w:sz w:val="24"/>
          <w:szCs w:val="24"/>
        </w:rPr>
      </w:pPr>
      <w:r w:rsidRPr="00F30598">
        <w:rPr>
          <w:rFonts w:ascii="Arial" w:hAnsi="Arial" w:cs="Arial"/>
          <w:noProof/>
        </w:rPr>
        <w:drawing>
          <wp:inline distT="0" distB="0" distL="0" distR="0" wp14:anchorId="12144D21" wp14:editId="2E7DA7A4">
            <wp:extent cx="5612130" cy="2199005"/>
            <wp:effectExtent l="0" t="0" r="762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612130" cy="2199005"/>
                    </a:xfrm>
                    <a:prstGeom prst="rect">
                      <a:avLst/>
                    </a:prstGeom>
                    <a:noFill/>
                    <a:ln>
                      <a:noFill/>
                    </a:ln>
                  </pic:spPr>
                </pic:pic>
              </a:graphicData>
            </a:graphic>
          </wp:inline>
        </w:drawing>
      </w:r>
    </w:p>
    <w:p w:rsidRPr="00F30598" w:rsidR="005B3011" w:rsidP="00DA58E9" w:rsidRDefault="005B3011" w14:paraId="29BD1617" w14:textId="1E42BE4E">
      <w:pPr>
        <w:spacing w:before="120" w:after="120" w:line="240" w:lineRule="auto"/>
        <w:jc w:val="both"/>
        <w:rPr>
          <w:rFonts w:ascii="Arial" w:hAnsi="Arial" w:cs="Arial"/>
          <w:sz w:val="24"/>
          <w:szCs w:val="24"/>
          <w:lang w:val="es-AR"/>
        </w:rPr>
      </w:pPr>
      <w:r w:rsidRPr="00F30598">
        <w:rPr>
          <w:rFonts w:ascii="Arial" w:hAnsi="Arial" w:cs="Arial"/>
          <w:sz w:val="24"/>
          <w:szCs w:val="24"/>
          <w:lang w:val="es-AR"/>
        </w:rPr>
        <w:t>El análisis de sensibilidad (</w:t>
      </w:r>
      <w:r w:rsidRPr="00F30598">
        <w:rPr>
          <w:rFonts w:ascii="Arial" w:hAnsi="Arial" w:cs="Arial"/>
          <w:sz w:val="24"/>
          <w:szCs w:val="24"/>
          <w:lang w:val="es-AR"/>
        </w:rPr>
        <w:fldChar w:fldCharType="begin"/>
      </w:r>
      <w:r w:rsidRPr="00F30598">
        <w:rPr>
          <w:rFonts w:ascii="Arial" w:hAnsi="Arial" w:cs="Arial"/>
          <w:sz w:val="24"/>
          <w:szCs w:val="24"/>
          <w:lang w:val="es-AR"/>
        </w:rPr>
        <w:instrText xml:space="preserve"> REF _Ref36719048 \h </w:instrText>
      </w:r>
      <w:r w:rsidRPr="00F30598" w:rsidR="00B507EF">
        <w:rPr>
          <w:rFonts w:ascii="Arial" w:hAnsi="Arial" w:cs="Arial"/>
          <w:sz w:val="24"/>
          <w:szCs w:val="24"/>
          <w:lang w:val="es-AR"/>
        </w:rPr>
        <w:instrText xml:space="preserve"> \* MERGEFORMAT </w:instrText>
      </w:r>
      <w:r w:rsidRPr="00F30598">
        <w:rPr>
          <w:rFonts w:ascii="Arial" w:hAnsi="Arial" w:cs="Arial"/>
          <w:sz w:val="24"/>
          <w:szCs w:val="24"/>
          <w:lang w:val="es-AR"/>
        </w:rPr>
      </w:r>
      <w:r w:rsidRPr="00F30598">
        <w:rPr>
          <w:rFonts w:ascii="Arial" w:hAnsi="Arial" w:cs="Arial"/>
          <w:sz w:val="24"/>
          <w:szCs w:val="24"/>
          <w:lang w:val="es-AR"/>
        </w:rPr>
        <w:fldChar w:fldCharType="separate"/>
      </w:r>
      <w:r w:rsidRPr="00F30598" w:rsidR="00ED2BD4">
        <w:rPr>
          <w:rFonts w:ascii="Arial" w:hAnsi="Arial" w:cs="Arial"/>
          <w:sz w:val="24"/>
          <w:szCs w:val="24"/>
          <w:lang w:val="es-AR"/>
        </w:rPr>
        <w:t xml:space="preserve">Cuadro </w:t>
      </w:r>
      <w:r w:rsidRPr="00F30598" w:rsidR="00ED2BD4">
        <w:rPr>
          <w:rFonts w:ascii="Arial" w:hAnsi="Arial" w:cs="Arial"/>
          <w:noProof/>
          <w:sz w:val="24"/>
          <w:szCs w:val="24"/>
          <w:lang w:val="es-AR"/>
        </w:rPr>
        <w:t>12</w:t>
      </w:r>
      <w:r w:rsidRPr="00F30598">
        <w:rPr>
          <w:rFonts w:ascii="Arial" w:hAnsi="Arial" w:cs="Arial"/>
          <w:sz w:val="24"/>
          <w:szCs w:val="24"/>
          <w:lang w:val="es-AR"/>
        </w:rPr>
        <w:fldChar w:fldCharType="end"/>
      </w:r>
      <w:r w:rsidRPr="00F30598">
        <w:rPr>
          <w:rFonts w:ascii="Arial" w:hAnsi="Arial" w:cs="Arial"/>
          <w:sz w:val="24"/>
          <w:szCs w:val="24"/>
          <w:lang w:val="es-AR"/>
        </w:rPr>
        <w:t xml:space="preserve"> y </w:t>
      </w:r>
      <w:r w:rsidRPr="00F30598">
        <w:rPr>
          <w:rFonts w:ascii="Arial" w:hAnsi="Arial" w:cs="Arial"/>
          <w:sz w:val="24"/>
          <w:szCs w:val="24"/>
          <w:lang w:val="es-AR"/>
        </w:rPr>
        <w:fldChar w:fldCharType="begin"/>
      </w:r>
      <w:r w:rsidRPr="00F30598">
        <w:rPr>
          <w:rFonts w:ascii="Arial" w:hAnsi="Arial" w:cs="Arial"/>
          <w:sz w:val="24"/>
          <w:szCs w:val="24"/>
          <w:lang w:val="es-AR"/>
        </w:rPr>
        <w:instrText xml:space="preserve"> REF _Ref37312412 \h </w:instrText>
      </w:r>
      <w:r w:rsidRPr="00F30598" w:rsidR="00B507EF">
        <w:rPr>
          <w:rFonts w:ascii="Arial" w:hAnsi="Arial" w:cs="Arial"/>
          <w:sz w:val="24"/>
          <w:szCs w:val="24"/>
          <w:lang w:val="es-AR"/>
        </w:rPr>
        <w:instrText xml:space="preserve"> \* MERGEFORMAT </w:instrText>
      </w:r>
      <w:r w:rsidRPr="00F30598">
        <w:rPr>
          <w:rFonts w:ascii="Arial" w:hAnsi="Arial" w:cs="Arial"/>
          <w:sz w:val="24"/>
          <w:szCs w:val="24"/>
          <w:lang w:val="es-AR"/>
        </w:rPr>
      </w:r>
      <w:r w:rsidRPr="00F30598">
        <w:rPr>
          <w:rFonts w:ascii="Arial" w:hAnsi="Arial" w:cs="Arial"/>
          <w:sz w:val="24"/>
          <w:szCs w:val="24"/>
          <w:lang w:val="es-AR"/>
        </w:rPr>
        <w:fldChar w:fldCharType="separate"/>
      </w:r>
      <w:r w:rsidRPr="00F30598" w:rsidR="00ED2BD4">
        <w:rPr>
          <w:rFonts w:ascii="Arial" w:hAnsi="Arial" w:cs="Arial"/>
          <w:sz w:val="24"/>
          <w:szCs w:val="24"/>
          <w:lang w:val="es-AR"/>
        </w:rPr>
        <w:t xml:space="preserve">Cuadro </w:t>
      </w:r>
      <w:r w:rsidRPr="00F30598" w:rsidR="00ED2BD4">
        <w:rPr>
          <w:rFonts w:ascii="Arial" w:hAnsi="Arial" w:cs="Arial"/>
          <w:noProof/>
          <w:sz w:val="24"/>
          <w:szCs w:val="24"/>
          <w:lang w:val="es-AR"/>
        </w:rPr>
        <w:t>13</w:t>
      </w:r>
      <w:r w:rsidRPr="00F30598">
        <w:rPr>
          <w:rFonts w:ascii="Arial" w:hAnsi="Arial" w:cs="Arial"/>
          <w:sz w:val="24"/>
          <w:szCs w:val="24"/>
          <w:lang w:val="es-AR"/>
        </w:rPr>
        <w:fldChar w:fldCharType="end"/>
      </w:r>
      <w:r w:rsidRPr="00F30598">
        <w:rPr>
          <w:rFonts w:ascii="Arial" w:hAnsi="Arial" w:cs="Arial"/>
          <w:sz w:val="24"/>
          <w:szCs w:val="24"/>
          <w:lang w:val="es-AR"/>
        </w:rPr>
        <w:t xml:space="preserve">) </w:t>
      </w:r>
      <w:r w:rsidRPr="00F30598" w:rsidR="002A5E13">
        <w:rPr>
          <w:rFonts w:ascii="Arial" w:hAnsi="Arial" w:cs="Arial"/>
          <w:sz w:val="24"/>
          <w:szCs w:val="24"/>
          <w:lang w:val="es-AR"/>
        </w:rPr>
        <w:t xml:space="preserve">muestra que, en todos los escenarios analizados, el valor actual neto es positivo y los ratios mayores que uno. Se observa también que </w:t>
      </w:r>
      <w:r w:rsidRPr="00F30598" w:rsidR="00B507EF">
        <w:rPr>
          <w:rFonts w:ascii="Arial" w:hAnsi="Arial" w:cs="Arial"/>
          <w:sz w:val="24"/>
          <w:szCs w:val="24"/>
          <w:lang w:val="es-AR"/>
        </w:rPr>
        <w:t>el mayor peso de los efectos de la preservación del capital humano hace que los resultados sean más sensibles a los parámetros de efectividad y tasa de descuento.</w:t>
      </w:r>
    </w:p>
    <w:p w:rsidRPr="00F30598" w:rsidR="0079650A" w:rsidP="00DA58E9" w:rsidRDefault="0079650A" w14:paraId="55554159" w14:textId="018B68FE">
      <w:pPr>
        <w:pStyle w:val="Caption"/>
        <w:keepNext/>
        <w:spacing w:before="120" w:after="120"/>
        <w:rPr>
          <w:rFonts w:ascii="Arial" w:hAnsi="Arial" w:cs="Arial"/>
          <w:sz w:val="24"/>
          <w:szCs w:val="24"/>
        </w:rPr>
      </w:pPr>
      <w:bookmarkStart w:name="_Ref36719048" w:id="18"/>
      <w:r w:rsidRPr="00F30598">
        <w:rPr>
          <w:rFonts w:ascii="Arial" w:hAnsi="Arial" w:cs="Arial"/>
          <w:sz w:val="24"/>
          <w:szCs w:val="24"/>
        </w:rPr>
        <w:t xml:space="preserve">Cuadro </w:t>
      </w:r>
      <w:r w:rsidRPr="00F30598">
        <w:rPr>
          <w:rFonts w:ascii="Arial" w:hAnsi="Arial" w:cs="Arial"/>
          <w:sz w:val="24"/>
          <w:szCs w:val="24"/>
        </w:rPr>
        <w:fldChar w:fldCharType="begin"/>
      </w:r>
      <w:r w:rsidRPr="00F30598">
        <w:rPr>
          <w:rFonts w:ascii="Arial" w:hAnsi="Arial" w:cs="Arial"/>
          <w:sz w:val="24"/>
          <w:szCs w:val="24"/>
        </w:rPr>
        <w:instrText xml:space="preserve"> SEQ Cuadro \* ARABIC </w:instrText>
      </w:r>
      <w:r w:rsidRPr="00F30598">
        <w:rPr>
          <w:rFonts w:ascii="Arial" w:hAnsi="Arial" w:cs="Arial"/>
          <w:sz w:val="24"/>
          <w:szCs w:val="24"/>
        </w:rPr>
        <w:fldChar w:fldCharType="separate"/>
      </w:r>
      <w:r w:rsidRPr="00F30598" w:rsidR="00ED2BD4">
        <w:rPr>
          <w:rFonts w:ascii="Arial" w:hAnsi="Arial" w:cs="Arial"/>
          <w:noProof/>
          <w:sz w:val="24"/>
          <w:szCs w:val="24"/>
        </w:rPr>
        <w:t>12</w:t>
      </w:r>
      <w:r w:rsidRPr="00F30598">
        <w:rPr>
          <w:rFonts w:ascii="Arial" w:hAnsi="Arial" w:cs="Arial"/>
          <w:sz w:val="24"/>
          <w:szCs w:val="24"/>
        </w:rPr>
        <w:fldChar w:fldCharType="end"/>
      </w:r>
      <w:bookmarkEnd w:id="18"/>
      <w:r w:rsidRPr="00F30598" w:rsidR="00B03A1A">
        <w:rPr>
          <w:rFonts w:ascii="Arial" w:hAnsi="Arial" w:cs="Arial"/>
          <w:sz w:val="24"/>
          <w:szCs w:val="24"/>
        </w:rPr>
        <w:t>: Análisis de sensibilidad (VAN)</w:t>
      </w:r>
    </w:p>
    <w:p w:rsidRPr="00F30598" w:rsidR="00B03A1A" w:rsidP="00DA58E9" w:rsidRDefault="002540F8" w14:paraId="603C46DD" w14:textId="071F2AAF">
      <w:pPr>
        <w:spacing w:before="120" w:after="120" w:line="240" w:lineRule="auto"/>
        <w:rPr>
          <w:rFonts w:ascii="Arial" w:hAnsi="Arial" w:cs="Arial"/>
          <w:sz w:val="24"/>
          <w:szCs w:val="24"/>
          <w:lang w:val="es-ES_tradnl"/>
        </w:rPr>
      </w:pPr>
      <w:r w:rsidRPr="00F30598">
        <w:rPr>
          <w:rFonts w:ascii="Arial" w:hAnsi="Arial" w:cs="Arial"/>
          <w:noProof/>
        </w:rPr>
        <w:drawing>
          <wp:inline distT="0" distB="0" distL="0" distR="0" wp14:anchorId="718B2A5D" wp14:editId="49BD1637">
            <wp:extent cx="3448050" cy="755650"/>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448050" cy="755650"/>
                    </a:xfrm>
                    <a:prstGeom prst="rect">
                      <a:avLst/>
                    </a:prstGeom>
                    <a:noFill/>
                    <a:ln>
                      <a:noFill/>
                    </a:ln>
                  </pic:spPr>
                </pic:pic>
              </a:graphicData>
            </a:graphic>
          </wp:inline>
        </w:drawing>
      </w:r>
    </w:p>
    <w:p w:rsidRPr="00F30598" w:rsidR="00CC334C" w:rsidP="00DA58E9" w:rsidRDefault="00CC334C" w14:paraId="2FA70C1C" w14:textId="51EDCA2E">
      <w:pPr>
        <w:spacing w:before="120" w:after="120" w:line="240" w:lineRule="auto"/>
        <w:rPr>
          <w:rFonts w:ascii="Arial" w:hAnsi="Arial" w:cs="Arial"/>
          <w:sz w:val="24"/>
          <w:szCs w:val="24"/>
          <w:lang w:val="es-ES_tradnl"/>
        </w:rPr>
      </w:pPr>
    </w:p>
    <w:p w:rsidRPr="00F30598" w:rsidR="00CC334C" w:rsidP="00DA58E9" w:rsidRDefault="00CC334C" w14:paraId="75E3AFA1" w14:textId="0D3B70F3">
      <w:pPr>
        <w:pStyle w:val="Caption"/>
        <w:keepNext/>
        <w:spacing w:before="120" w:after="120"/>
        <w:rPr>
          <w:rFonts w:ascii="Arial" w:hAnsi="Arial" w:cs="Arial"/>
          <w:sz w:val="24"/>
          <w:szCs w:val="24"/>
        </w:rPr>
      </w:pPr>
      <w:bookmarkStart w:name="_Ref37312412" w:id="19"/>
      <w:r w:rsidRPr="00F30598">
        <w:rPr>
          <w:rFonts w:ascii="Arial" w:hAnsi="Arial" w:cs="Arial"/>
          <w:sz w:val="24"/>
          <w:szCs w:val="24"/>
        </w:rPr>
        <w:t xml:space="preserve">Cuadro </w:t>
      </w:r>
      <w:r w:rsidRPr="00F30598">
        <w:rPr>
          <w:rFonts w:ascii="Arial" w:hAnsi="Arial" w:cs="Arial"/>
          <w:sz w:val="24"/>
          <w:szCs w:val="24"/>
        </w:rPr>
        <w:fldChar w:fldCharType="begin"/>
      </w:r>
      <w:r w:rsidRPr="00F30598">
        <w:rPr>
          <w:rFonts w:ascii="Arial" w:hAnsi="Arial" w:cs="Arial"/>
          <w:sz w:val="24"/>
          <w:szCs w:val="24"/>
        </w:rPr>
        <w:instrText xml:space="preserve"> SEQ Cuadro \* ARABIC </w:instrText>
      </w:r>
      <w:r w:rsidRPr="00F30598">
        <w:rPr>
          <w:rFonts w:ascii="Arial" w:hAnsi="Arial" w:cs="Arial"/>
          <w:sz w:val="24"/>
          <w:szCs w:val="24"/>
        </w:rPr>
        <w:fldChar w:fldCharType="separate"/>
      </w:r>
      <w:r w:rsidRPr="00F30598" w:rsidR="00ED2BD4">
        <w:rPr>
          <w:rFonts w:ascii="Arial" w:hAnsi="Arial" w:cs="Arial"/>
          <w:noProof/>
          <w:sz w:val="24"/>
          <w:szCs w:val="24"/>
        </w:rPr>
        <w:t>13</w:t>
      </w:r>
      <w:r w:rsidRPr="00F30598">
        <w:rPr>
          <w:rFonts w:ascii="Arial" w:hAnsi="Arial" w:cs="Arial"/>
          <w:sz w:val="24"/>
          <w:szCs w:val="24"/>
        </w:rPr>
        <w:fldChar w:fldCharType="end"/>
      </w:r>
      <w:bookmarkEnd w:id="19"/>
      <w:r w:rsidRPr="00F30598" w:rsidR="0069509D">
        <w:rPr>
          <w:rFonts w:ascii="Arial" w:hAnsi="Arial" w:cs="Arial"/>
          <w:sz w:val="24"/>
          <w:szCs w:val="24"/>
        </w:rPr>
        <w:t xml:space="preserve">: Análisis de sensibilidad (Ratio </w:t>
      </w:r>
      <w:proofErr w:type="spellStart"/>
      <w:proofErr w:type="gramStart"/>
      <w:r w:rsidRPr="00F30598" w:rsidR="0069509D">
        <w:rPr>
          <w:rFonts w:ascii="Arial" w:hAnsi="Arial" w:cs="Arial"/>
          <w:sz w:val="24"/>
          <w:szCs w:val="24"/>
        </w:rPr>
        <w:t>Beneficio:Costo</w:t>
      </w:r>
      <w:proofErr w:type="spellEnd"/>
      <w:proofErr w:type="gramEnd"/>
      <w:r w:rsidRPr="00F30598" w:rsidR="0069509D">
        <w:rPr>
          <w:rFonts w:ascii="Arial" w:hAnsi="Arial" w:cs="Arial"/>
          <w:sz w:val="24"/>
          <w:szCs w:val="24"/>
        </w:rPr>
        <w:t>)</w:t>
      </w:r>
    </w:p>
    <w:p w:rsidRPr="00F30598" w:rsidR="00CC334C" w:rsidP="00DA58E9" w:rsidRDefault="002540F8" w14:paraId="2A721935" w14:textId="6F46B17A">
      <w:pPr>
        <w:spacing w:before="120" w:after="120" w:line="240" w:lineRule="auto"/>
        <w:rPr>
          <w:rFonts w:ascii="Arial" w:hAnsi="Arial" w:cs="Arial"/>
          <w:sz w:val="24"/>
          <w:szCs w:val="24"/>
          <w:lang w:val="es-ES_tradnl"/>
        </w:rPr>
      </w:pPr>
      <w:r w:rsidRPr="00F30598">
        <w:rPr>
          <w:rFonts w:ascii="Arial" w:hAnsi="Arial" w:cs="Arial"/>
          <w:noProof/>
        </w:rPr>
        <w:drawing>
          <wp:inline distT="0" distB="0" distL="0" distR="0" wp14:anchorId="7DEBED7A" wp14:editId="7AAC0F1A">
            <wp:extent cx="3448050" cy="755650"/>
            <wp:effectExtent l="0" t="0" r="0" b="63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448050" cy="755650"/>
                    </a:xfrm>
                    <a:prstGeom prst="rect">
                      <a:avLst/>
                    </a:prstGeom>
                    <a:noFill/>
                    <a:ln>
                      <a:noFill/>
                    </a:ln>
                  </pic:spPr>
                </pic:pic>
              </a:graphicData>
            </a:graphic>
          </wp:inline>
        </w:drawing>
      </w:r>
    </w:p>
    <w:p w:rsidRPr="00F30598" w:rsidR="002A5E13" w:rsidP="00DA58E9" w:rsidRDefault="002A5E13" w14:paraId="5E8127C4" w14:textId="77777777">
      <w:pPr>
        <w:spacing w:before="120" w:after="120" w:line="240" w:lineRule="auto"/>
        <w:rPr>
          <w:rFonts w:ascii="Arial" w:hAnsi="Arial" w:cs="Arial"/>
          <w:lang w:val="es-AR"/>
        </w:rPr>
      </w:pPr>
    </w:p>
    <w:p w:rsidRPr="00AC6429" w:rsidR="004179F3" w:rsidP="00DA58E9" w:rsidRDefault="004179F3" w14:paraId="6C44B07C" w14:textId="2D85D238">
      <w:pPr>
        <w:pStyle w:val="Heading1"/>
        <w:spacing w:before="120" w:after="120" w:line="240" w:lineRule="auto"/>
        <w:rPr>
          <w:rFonts w:ascii="Arial Bold" w:hAnsi="Arial Bold" w:cs="Arial"/>
          <w:b/>
          <w:bCs/>
          <w:smallCaps/>
          <w:sz w:val="24"/>
          <w:szCs w:val="24"/>
          <w:lang w:val="es-ES_tradnl"/>
        </w:rPr>
      </w:pPr>
      <w:bookmarkStart w:name="_Toc38020444" w:id="20"/>
      <w:bookmarkStart w:name="_Toc38020658" w:id="21"/>
      <w:r w:rsidRPr="00AC6429">
        <w:rPr>
          <w:rFonts w:ascii="Arial Bold" w:hAnsi="Arial Bold" w:cs="Arial"/>
          <w:b/>
          <w:bCs/>
          <w:smallCaps/>
          <w:sz w:val="24"/>
          <w:szCs w:val="24"/>
          <w:lang w:val="es-ES_tradnl"/>
        </w:rPr>
        <w:t>COMPONENTE 1</w:t>
      </w:r>
      <w:bookmarkEnd w:id="20"/>
      <w:bookmarkEnd w:id="21"/>
    </w:p>
    <w:p w:rsidRPr="00F30598" w:rsidR="004179F3" w:rsidP="00DA58E9" w:rsidRDefault="004179F3" w14:paraId="223373B8" w14:textId="6884A2AD">
      <w:pPr>
        <w:spacing w:before="120" w:after="120" w:line="240" w:lineRule="auto"/>
        <w:jc w:val="both"/>
        <w:rPr>
          <w:rFonts w:ascii="Arial" w:hAnsi="Arial" w:cs="Arial"/>
          <w:sz w:val="24"/>
          <w:szCs w:val="24"/>
          <w:lang w:val="es-ES"/>
        </w:rPr>
      </w:pPr>
      <w:r w:rsidRPr="00F30598">
        <w:rPr>
          <w:rFonts w:ascii="Arial" w:hAnsi="Arial" w:cs="Arial"/>
          <w:sz w:val="24"/>
          <w:szCs w:val="24"/>
          <w:lang w:val="es-ES"/>
        </w:rPr>
        <w:t>El</w:t>
      </w:r>
      <w:r w:rsidRPr="00F30598" w:rsidR="0038485E">
        <w:rPr>
          <w:rFonts w:ascii="Arial" w:hAnsi="Arial" w:cs="Arial"/>
          <w:sz w:val="24"/>
          <w:szCs w:val="24"/>
          <w:lang w:val="es-ES"/>
        </w:rPr>
        <w:t xml:space="preserve"> Componente</w:t>
      </w:r>
      <w:r w:rsidRPr="00F30598">
        <w:rPr>
          <w:rFonts w:ascii="Arial" w:hAnsi="Arial" w:cs="Arial"/>
          <w:sz w:val="24"/>
          <w:szCs w:val="24"/>
          <w:lang w:val="es-ES"/>
        </w:rPr>
        <w:t xml:space="preserve"> 1 financia la entrega de transferencias extraordinarias a las familias de personas contagiadas por el coronavirus que sean ingresadas a tratamiento hospitalario, así como a las familias de las personas que fallezcan como consecuencia de dicha enfermedad. Dado que la probabilidad de que los familiares de personas hospitalizadas por la enfermedad estén infectados es mayor que la del promedio de la población, las transferencias a estas familias no solo cumplen una función de sostenimiento del nivel de consumo ante el shock causado por la enfermedad, sino también sobre la dinámica de la epidemia en el resto de la sociedad</w:t>
      </w:r>
      <w:r w:rsidRPr="00F30598" w:rsidR="009B5EC8">
        <w:rPr>
          <w:rFonts w:ascii="Arial" w:hAnsi="Arial" w:cs="Arial"/>
          <w:sz w:val="24"/>
          <w:szCs w:val="24"/>
          <w:lang w:val="es-ES"/>
        </w:rPr>
        <w:t xml:space="preserve">. Se plantea que la transferencia </w:t>
      </w:r>
      <w:r w:rsidRPr="00F30598" w:rsidR="00953653">
        <w:rPr>
          <w:rFonts w:ascii="Arial" w:hAnsi="Arial" w:cs="Arial"/>
          <w:sz w:val="24"/>
          <w:szCs w:val="24"/>
          <w:lang w:val="es-ES"/>
        </w:rPr>
        <w:t xml:space="preserve">favorecerá el distanciamiento social de estas familias, </w:t>
      </w:r>
      <w:r w:rsidRPr="00F30598" w:rsidR="00B56B0E">
        <w:rPr>
          <w:rFonts w:ascii="Arial" w:hAnsi="Arial" w:cs="Arial"/>
          <w:sz w:val="24"/>
          <w:szCs w:val="24"/>
          <w:lang w:val="es-ES"/>
        </w:rPr>
        <w:t>reduciendo la transmisión del COVID-19</w:t>
      </w:r>
      <w:r w:rsidRPr="00F30598">
        <w:rPr>
          <w:rFonts w:ascii="Arial" w:hAnsi="Arial" w:cs="Arial"/>
          <w:sz w:val="24"/>
          <w:szCs w:val="24"/>
          <w:lang w:val="es-ES"/>
        </w:rPr>
        <w:t xml:space="preserve">. A continuación, se propone </w:t>
      </w:r>
      <w:r w:rsidRPr="00F30598">
        <w:rPr>
          <w:rFonts w:ascii="Arial" w:hAnsi="Arial" w:cs="Arial"/>
          <w:sz w:val="24"/>
          <w:szCs w:val="24"/>
          <w:lang w:val="es-ES"/>
        </w:rPr>
        <w:lastRenderedPageBreak/>
        <w:t>un ejercicio que, si bien no pretende estimar rigurosamente la evolución temporal de la cantidad de infectados, permite visualizar las diferencias en la evolución de la morbilidad y mortalidad entre un escenario en que la intervención tiene lugar y un contrafactual donde no está presente.</w:t>
      </w:r>
    </w:p>
    <w:p w:rsidRPr="00F30598" w:rsidR="009C5FC0" w:rsidP="00DA58E9" w:rsidRDefault="009C5FC0" w14:paraId="180E8195" w14:textId="6FA09665">
      <w:pPr>
        <w:spacing w:before="240" w:after="120" w:line="240" w:lineRule="auto"/>
        <w:jc w:val="both"/>
        <w:rPr>
          <w:rFonts w:ascii="Arial" w:hAnsi="Arial" w:cs="Arial"/>
          <w:b/>
          <w:sz w:val="24"/>
          <w:szCs w:val="24"/>
          <w:lang w:val="es-ES"/>
        </w:rPr>
      </w:pPr>
      <w:r w:rsidRPr="00F30598">
        <w:rPr>
          <w:rFonts w:ascii="Arial" w:hAnsi="Arial" w:cs="Arial"/>
          <w:b/>
          <w:sz w:val="24"/>
          <w:szCs w:val="24"/>
          <w:lang w:val="es-ES"/>
        </w:rPr>
        <w:t>Supuestos y metodología</w:t>
      </w:r>
    </w:p>
    <w:p w:rsidRPr="00F30598" w:rsidR="004179F3" w:rsidP="00DA58E9" w:rsidRDefault="004179F3" w14:paraId="7F8DF04A" w14:textId="2302347C">
      <w:pPr>
        <w:spacing w:before="120" w:after="120" w:line="240" w:lineRule="auto"/>
        <w:jc w:val="both"/>
        <w:rPr>
          <w:rFonts w:ascii="Arial" w:hAnsi="Arial" w:cs="Arial"/>
          <w:sz w:val="24"/>
          <w:szCs w:val="24"/>
          <w:lang w:val="es-ES"/>
        </w:rPr>
      </w:pPr>
      <w:r w:rsidRPr="00F30598">
        <w:rPr>
          <w:rFonts w:ascii="Arial" w:hAnsi="Arial" w:cs="Arial"/>
          <w:sz w:val="24"/>
          <w:szCs w:val="24"/>
          <w:lang w:val="es-ES"/>
        </w:rPr>
        <w:t>Las estimaciones se basan en un modelo SIR</w:t>
      </w:r>
      <w:r w:rsidRPr="00F30598">
        <w:rPr>
          <w:rStyle w:val="FootnoteReference"/>
          <w:rFonts w:ascii="Arial" w:hAnsi="Arial" w:cs="Arial"/>
          <w:sz w:val="24"/>
          <w:szCs w:val="24"/>
        </w:rPr>
        <w:footnoteReference w:id="20"/>
      </w:r>
      <w:r w:rsidRPr="00F30598">
        <w:rPr>
          <w:rFonts w:ascii="Arial" w:hAnsi="Arial" w:cs="Arial"/>
          <w:sz w:val="24"/>
          <w:szCs w:val="24"/>
          <w:lang w:val="es-ES"/>
        </w:rPr>
        <w:t xml:space="preserve"> en el cual en ambos escenarios se registra una reducción del número de reproducción de la infección en el día 50 como resultado de un conjunto de medidas integrales de salud pública</w:t>
      </w:r>
      <w:r w:rsidRPr="00F30598" w:rsidR="006F410C">
        <w:rPr>
          <w:rStyle w:val="FootnoteReference"/>
          <w:rFonts w:ascii="Arial" w:hAnsi="Arial" w:cs="Arial"/>
          <w:sz w:val="24"/>
          <w:szCs w:val="24"/>
          <w:lang w:val="es-ES"/>
        </w:rPr>
        <w:footnoteReference w:id="21"/>
      </w:r>
      <w:r w:rsidRPr="00F30598">
        <w:rPr>
          <w:rFonts w:ascii="Arial" w:hAnsi="Arial" w:cs="Arial"/>
          <w:sz w:val="24"/>
          <w:szCs w:val="24"/>
          <w:lang w:val="es-ES"/>
        </w:rPr>
        <w:t>. La diferencia entre ambos escenarios estriba en el hecho de que al stock de infectados del contrafactual se agrega una proporción de los familiares de los infectados. Este análisis implica una simplificación mayor aún del modelo ya que este incremento del stock de infectados debería tener un efecto adicional sobre el número de reproducción. En aras de simplificar el modelo, y establecer un supuesto conservador, el stock de enfermos al momento del análisis es el único parámetro que varía.</w:t>
      </w:r>
    </w:p>
    <w:p w:rsidRPr="00F30598" w:rsidR="004179F3" w:rsidP="00DA58E9" w:rsidRDefault="004179F3" w14:paraId="03484BCF" w14:textId="7C3F427F">
      <w:pPr>
        <w:spacing w:before="120" w:after="120" w:line="240" w:lineRule="auto"/>
        <w:jc w:val="both"/>
        <w:rPr>
          <w:rFonts w:ascii="Arial" w:hAnsi="Arial" w:cs="Arial"/>
          <w:sz w:val="24"/>
          <w:szCs w:val="24"/>
          <w:lang w:val="es-ES"/>
        </w:rPr>
      </w:pPr>
      <w:r w:rsidRPr="00F30598">
        <w:rPr>
          <w:rFonts w:ascii="Arial" w:hAnsi="Arial" w:cs="Arial"/>
          <w:sz w:val="24"/>
          <w:szCs w:val="24"/>
          <w:lang w:val="es-ES"/>
        </w:rPr>
        <w:t xml:space="preserve">Los números de reproducción pre y post tratamiento replican los valores de los parámetros utilizados en el CBA Salud. El primero de ellos es de 2.24 valor que es consistente con los cálculos de </w:t>
      </w:r>
      <w:r w:rsidRPr="00F30598">
        <w:rPr>
          <w:rFonts w:ascii="Arial" w:hAnsi="Arial" w:cs="Arial"/>
          <w:lang w:val="es-ES"/>
        </w:rPr>
        <w:t>(</w:t>
      </w:r>
      <w:proofErr w:type="spellStart"/>
      <w:r w:rsidRPr="00F30598">
        <w:rPr>
          <w:rFonts w:ascii="Arial" w:hAnsi="Arial" w:cs="Arial"/>
          <w:sz w:val="24"/>
          <w:szCs w:val="24"/>
          <w:lang w:val="es-ES"/>
        </w:rPr>
        <w:t>Qun</w:t>
      </w:r>
      <w:proofErr w:type="spellEnd"/>
      <w:r w:rsidRPr="00F30598">
        <w:rPr>
          <w:rFonts w:ascii="Arial" w:hAnsi="Arial" w:cs="Arial"/>
          <w:sz w:val="24"/>
          <w:szCs w:val="24"/>
          <w:lang w:val="es-ES"/>
        </w:rPr>
        <w:t xml:space="preserve"> Li et al. 2020</w:t>
      </w:r>
      <w:r w:rsidRPr="00F30598" w:rsidR="004D789B">
        <w:rPr>
          <w:rFonts w:ascii="Arial" w:hAnsi="Arial" w:cs="Arial"/>
          <w:sz w:val="24"/>
          <w:szCs w:val="24"/>
          <w:lang w:val="es-ES"/>
        </w:rPr>
        <w:t>)</w:t>
      </w:r>
      <w:r w:rsidRPr="00F30598">
        <w:rPr>
          <w:rFonts w:ascii="Arial" w:hAnsi="Arial" w:cs="Arial"/>
          <w:sz w:val="24"/>
          <w:szCs w:val="24"/>
          <w:lang w:val="es-ES"/>
        </w:rPr>
        <w:t xml:space="preserve"> para Wuhan. El segundo supone una reducción al 50% lo cual es consistente con escenarios planteados en otros estudios</w:t>
      </w:r>
      <w:r w:rsidRPr="00F30598">
        <w:rPr>
          <w:rStyle w:val="FootnoteReference"/>
          <w:rFonts w:ascii="Arial" w:hAnsi="Arial" w:cs="Arial"/>
          <w:sz w:val="24"/>
          <w:szCs w:val="24"/>
        </w:rPr>
        <w:footnoteReference w:id="22"/>
      </w:r>
      <w:r w:rsidRPr="00F30598">
        <w:rPr>
          <w:rFonts w:ascii="Arial" w:hAnsi="Arial" w:cs="Arial"/>
          <w:sz w:val="24"/>
          <w:szCs w:val="24"/>
          <w:lang w:val="es-ES"/>
        </w:rPr>
        <w:t>.</w:t>
      </w:r>
    </w:p>
    <w:p w:rsidRPr="00F30598" w:rsidR="004179F3" w:rsidP="00DA58E9" w:rsidRDefault="004179F3" w14:paraId="079100AC" w14:textId="77777777">
      <w:pPr>
        <w:pStyle w:val="Normal0"/>
        <w:spacing w:before="120" w:after="120" w:line="240" w:lineRule="auto"/>
        <w:jc w:val="both"/>
        <w:rPr>
          <w:rFonts w:ascii="Arial" w:hAnsi="Arial" w:cs="Arial"/>
          <w:bCs/>
          <w:sz w:val="24"/>
          <w:szCs w:val="24"/>
          <w:lang w:val="es-AR"/>
        </w:rPr>
      </w:pPr>
      <w:r w:rsidRPr="00F30598">
        <w:rPr>
          <w:rFonts w:ascii="Arial" w:hAnsi="Arial" w:cs="Arial"/>
          <w:bCs/>
          <w:sz w:val="24"/>
          <w:szCs w:val="24"/>
          <w:lang w:val="es-AR"/>
        </w:rPr>
        <w:t xml:space="preserve">Las tasas de morbilidad y mortalidad estimadas para cada escenario permiten monetizar los efectos de la intervención. Primero, los casos infecciosos se asignan a los distintos grupos de edad. Segundo, las tasas de mortalidad para cada grupo de edad se estiman utilizando datos de Wu y </w:t>
      </w:r>
      <w:proofErr w:type="spellStart"/>
      <w:r w:rsidRPr="00F30598">
        <w:rPr>
          <w:rFonts w:ascii="Arial" w:hAnsi="Arial" w:cs="Arial"/>
          <w:bCs/>
          <w:sz w:val="24"/>
          <w:szCs w:val="24"/>
          <w:lang w:val="es-AR"/>
        </w:rPr>
        <w:t>McGoogan</w:t>
      </w:r>
      <w:proofErr w:type="spellEnd"/>
      <w:r w:rsidRPr="00F30598">
        <w:rPr>
          <w:rFonts w:ascii="Arial" w:hAnsi="Arial" w:cs="Arial"/>
          <w:bCs/>
          <w:sz w:val="24"/>
          <w:szCs w:val="24"/>
          <w:lang w:val="es-AR"/>
        </w:rPr>
        <w:t xml:space="preserve"> (2020). Tercero, las semanas de trabajo perdidas se calculan multiplicando los números de morbilidad para individuos en edad laboral por la tasa de empleo por dos (ya que el período de contagio/aislamiento es de dos semanas) y multiplicando los números de morbilidad para los grupos de edad 0-9 y 80+ para capturar el efecto del trabajo perdido por necesidades de cuidado de los miembros de la familia. Cuarto, el número de semanas laborales perdidas (morbilidad) se multiplica por el salario mínimo semanal </w:t>
      </w:r>
      <w:r w:rsidRPr="00F30598">
        <w:rPr>
          <w:rFonts w:ascii="Arial" w:hAnsi="Arial" w:cs="Arial"/>
          <w:bCs/>
          <w:sz w:val="24"/>
          <w:szCs w:val="24"/>
          <w:lang w:val="es-AR"/>
        </w:rPr>
        <w:lastRenderedPageBreak/>
        <w:t>para monetizar el efecto directo de la morbilidad en el nivel de ingresos. Quinto, para monetizar los efectos de la mortalidad, el número de muertes de personas en edad laboral se multiplica por el salario mínimo anual y por la tasa de empleo. El efecto de mortalidad se calcula para t+1 a t+9. La monetización de los efectos de morbilidad y mortalidad se suman para ambos escenarios. Una vez que se han monetizado los efectos de morbilidad y mortalidad para ambos escenarios (tratamiento y contrafactual), el valor presente neto se estima de la siguiente manera. Los beneficios económicos se estiman restando el valor monetario de la morbilidad y la mortalidad en el escenario de tratamiento del valor de la morbilidad y la mortalidad en el escenario contrafactual.</w:t>
      </w:r>
    </w:p>
    <w:p w:rsidRPr="00F30598" w:rsidR="004179F3" w:rsidP="00DA58E9" w:rsidRDefault="004179F3" w14:paraId="60D36A00" w14:textId="77777777">
      <w:pPr>
        <w:spacing w:before="120" w:after="120" w:line="240" w:lineRule="auto"/>
        <w:jc w:val="both"/>
        <w:rPr>
          <w:rFonts w:ascii="Arial" w:hAnsi="Arial" w:cs="Arial"/>
          <w:sz w:val="24"/>
          <w:szCs w:val="24"/>
        </w:rPr>
      </w:pPr>
      <w:r w:rsidRPr="00F30598">
        <w:rPr>
          <w:rFonts w:ascii="Arial" w:hAnsi="Arial" w:cs="Arial"/>
          <w:sz w:val="24"/>
          <w:szCs w:val="24"/>
          <w:lang w:val="es-ES"/>
        </w:rPr>
        <w:t xml:space="preserve">Para reflejar el posible efecto de que las familias de infectados no adopten medidas de distanciamiento social se establece el siguiente supuesto: el 25% del núcleo familiar de los infectados económicamente vulnerables en el día 50 se suman al stock de infectados en el escenario contrafactual. Esto a su vez, influye en el flujo de nuevos infectados. En el escenario de tratamiento, se sostienen los niveles de consumo de estas familias mediante una transferencia para asegurar su aislamiento social por lo que la evolución del stock de infectados sigue la progresión esperada de acuerdo con número de reproducción alcanzado. </w:t>
      </w:r>
      <w:r w:rsidRPr="00F30598">
        <w:rPr>
          <w:rFonts w:ascii="Arial" w:hAnsi="Arial" w:cs="Arial"/>
          <w:sz w:val="24"/>
          <w:szCs w:val="24"/>
        </w:rPr>
        <w:t xml:space="preserve">A </w:t>
      </w:r>
      <w:proofErr w:type="spellStart"/>
      <w:r w:rsidRPr="00F30598">
        <w:rPr>
          <w:rFonts w:ascii="Arial" w:hAnsi="Arial" w:cs="Arial"/>
          <w:sz w:val="24"/>
          <w:szCs w:val="24"/>
        </w:rPr>
        <w:t>continuación</w:t>
      </w:r>
      <w:proofErr w:type="spellEnd"/>
      <w:r w:rsidRPr="00F30598">
        <w:rPr>
          <w:rFonts w:ascii="Arial" w:hAnsi="Arial" w:cs="Arial"/>
          <w:sz w:val="24"/>
          <w:szCs w:val="24"/>
        </w:rPr>
        <w:t xml:space="preserve">, se </w:t>
      </w:r>
      <w:proofErr w:type="spellStart"/>
      <w:r w:rsidRPr="00F30598">
        <w:rPr>
          <w:rFonts w:ascii="Arial" w:hAnsi="Arial" w:cs="Arial"/>
          <w:sz w:val="24"/>
          <w:szCs w:val="24"/>
        </w:rPr>
        <w:t>detallan</w:t>
      </w:r>
      <w:proofErr w:type="spellEnd"/>
      <w:r w:rsidRPr="00F30598">
        <w:rPr>
          <w:rFonts w:ascii="Arial" w:hAnsi="Arial" w:cs="Arial"/>
          <w:sz w:val="24"/>
          <w:szCs w:val="24"/>
        </w:rPr>
        <w:t xml:space="preserve"> los </w:t>
      </w:r>
      <w:proofErr w:type="spellStart"/>
      <w:r w:rsidRPr="00F30598">
        <w:rPr>
          <w:rFonts w:ascii="Arial" w:hAnsi="Arial" w:cs="Arial"/>
          <w:sz w:val="24"/>
          <w:szCs w:val="24"/>
        </w:rPr>
        <w:t>supuestos</w:t>
      </w:r>
      <w:proofErr w:type="spellEnd"/>
      <w:r w:rsidRPr="00F30598">
        <w:rPr>
          <w:rFonts w:ascii="Arial" w:hAnsi="Arial" w:cs="Arial"/>
          <w:sz w:val="24"/>
          <w:szCs w:val="24"/>
        </w:rPr>
        <w:t>.</w:t>
      </w:r>
    </w:p>
    <w:p w:rsidRPr="00F30598" w:rsidR="004179F3" w:rsidP="00DA58E9" w:rsidRDefault="004179F3" w14:paraId="29967695" w14:textId="77777777">
      <w:pPr>
        <w:pStyle w:val="ListParagraph"/>
        <w:numPr>
          <w:ilvl w:val="0"/>
          <w:numId w:val="2"/>
        </w:numPr>
        <w:spacing w:before="120" w:after="120"/>
        <w:contextualSpacing w:val="0"/>
        <w:jc w:val="both"/>
        <w:rPr>
          <w:rFonts w:ascii="Arial" w:hAnsi="Arial" w:cs="Arial"/>
          <w:szCs w:val="24"/>
          <w:lang w:val="es-AR"/>
        </w:rPr>
      </w:pPr>
      <w:r w:rsidRPr="00F30598">
        <w:rPr>
          <w:rFonts w:ascii="Arial" w:hAnsi="Arial" w:cs="Arial"/>
          <w:szCs w:val="24"/>
          <w:lang w:val="es-AR"/>
        </w:rPr>
        <w:t>Ro (</w:t>
      </w:r>
      <w:proofErr w:type="spellStart"/>
      <w:proofErr w:type="gramStart"/>
      <w:r w:rsidRPr="00F30598">
        <w:rPr>
          <w:rFonts w:ascii="Arial" w:hAnsi="Arial" w:cs="Arial"/>
          <w:szCs w:val="24"/>
          <w:lang w:val="es-AR"/>
        </w:rPr>
        <w:t>pre-tratamiento</w:t>
      </w:r>
      <w:proofErr w:type="spellEnd"/>
      <w:proofErr w:type="gramEnd"/>
      <w:r w:rsidRPr="00F30598">
        <w:rPr>
          <w:rFonts w:ascii="Arial" w:hAnsi="Arial" w:cs="Arial"/>
          <w:szCs w:val="24"/>
          <w:lang w:val="es-AR"/>
        </w:rPr>
        <w:t>): 2.24 (</w:t>
      </w:r>
      <w:proofErr w:type="spellStart"/>
      <w:r w:rsidRPr="00F30598">
        <w:rPr>
          <w:rFonts w:ascii="Arial" w:hAnsi="Arial" w:cs="Arial"/>
          <w:szCs w:val="24"/>
          <w:lang w:val="es-AR"/>
        </w:rPr>
        <w:t>Qun</w:t>
      </w:r>
      <w:proofErr w:type="spellEnd"/>
      <w:r w:rsidRPr="00F30598">
        <w:rPr>
          <w:rFonts w:ascii="Arial" w:hAnsi="Arial" w:cs="Arial"/>
          <w:szCs w:val="24"/>
          <w:lang w:val="es-AR"/>
        </w:rPr>
        <w:t xml:space="preserve"> Li et al. 2020)</w:t>
      </w:r>
    </w:p>
    <w:p w:rsidRPr="00F30598" w:rsidR="004179F3" w:rsidP="00DA58E9" w:rsidRDefault="004179F3" w14:paraId="0C4FEE99" w14:textId="77777777">
      <w:pPr>
        <w:pStyle w:val="ListParagraph"/>
        <w:numPr>
          <w:ilvl w:val="0"/>
          <w:numId w:val="2"/>
        </w:numPr>
        <w:spacing w:before="120" w:after="120"/>
        <w:contextualSpacing w:val="0"/>
        <w:jc w:val="both"/>
        <w:rPr>
          <w:rFonts w:ascii="Arial" w:hAnsi="Arial" w:cs="Arial"/>
          <w:szCs w:val="24"/>
        </w:rPr>
      </w:pPr>
      <w:r w:rsidRPr="00F30598">
        <w:rPr>
          <w:rFonts w:ascii="Arial" w:hAnsi="Arial" w:cs="Arial"/>
          <w:szCs w:val="24"/>
        </w:rPr>
        <w:t>Re (</w:t>
      </w:r>
      <w:proofErr w:type="spellStart"/>
      <w:r w:rsidRPr="00F30598">
        <w:rPr>
          <w:rFonts w:ascii="Arial" w:hAnsi="Arial" w:cs="Arial"/>
          <w:szCs w:val="24"/>
        </w:rPr>
        <w:t>post-tratamiento</w:t>
      </w:r>
      <w:proofErr w:type="spellEnd"/>
      <w:r w:rsidRPr="00F30598">
        <w:rPr>
          <w:rFonts w:ascii="Arial" w:hAnsi="Arial" w:cs="Arial"/>
          <w:szCs w:val="24"/>
        </w:rPr>
        <w:t>): 1.12</w:t>
      </w:r>
    </w:p>
    <w:p w:rsidRPr="00F30598" w:rsidR="004179F3" w:rsidP="00DA58E9" w:rsidRDefault="004179F3" w14:paraId="71812D75" w14:textId="77777777">
      <w:pPr>
        <w:pStyle w:val="ListParagraph"/>
        <w:numPr>
          <w:ilvl w:val="0"/>
          <w:numId w:val="2"/>
        </w:numPr>
        <w:spacing w:before="120" w:after="120"/>
        <w:contextualSpacing w:val="0"/>
        <w:jc w:val="both"/>
        <w:rPr>
          <w:rFonts w:ascii="Arial" w:hAnsi="Arial" w:cs="Arial"/>
          <w:szCs w:val="24"/>
          <w:lang w:val="es-AR"/>
        </w:rPr>
      </w:pPr>
      <w:r w:rsidRPr="00F30598">
        <w:rPr>
          <w:rFonts w:ascii="Arial" w:hAnsi="Arial" w:cs="Arial"/>
          <w:szCs w:val="24"/>
          <w:lang w:val="es-AR"/>
        </w:rPr>
        <w:t>T (ciclo de contagio): 14 días</w:t>
      </w:r>
      <w:r w:rsidRPr="00F30598">
        <w:rPr>
          <w:rStyle w:val="FootnoteReference"/>
          <w:rFonts w:ascii="Arial" w:hAnsi="Arial" w:cs="Arial" w:eastAsiaTheme="majorEastAsia"/>
          <w:szCs w:val="24"/>
        </w:rPr>
        <w:footnoteReference w:id="23"/>
      </w:r>
      <w:r w:rsidRPr="00F30598">
        <w:rPr>
          <w:rFonts w:ascii="Arial" w:hAnsi="Arial" w:cs="Arial"/>
          <w:szCs w:val="24"/>
          <w:lang w:val="es-AR"/>
        </w:rPr>
        <w:t>.</w:t>
      </w:r>
    </w:p>
    <w:p w:rsidRPr="00F30598" w:rsidR="004179F3" w:rsidP="00DA58E9" w:rsidRDefault="004179F3" w14:paraId="03B9E575" w14:textId="77777777">
      <w:pPr>
        <w:pStyle w:val="ListParagraph"/>
        <w:numPr>
          <w:ilvl w:val="0"/>
          <w:numId w:val="2"/>
        </w:numPr>
        <w:spacing w:before="120" w:after="120"/>
        <w:contextualSpacing w:val="0"/>
        <w:jc w:val="both"/>
        <w:rPr>
          <w:rFonts w:ascii="Arial" w:hAnsi="Arial" w:cs="Arial"/>
          <w:szCs w:val="24"/>
        </w:rPr>
      </w:pPr>
      <w:r w:rsidRPr="00F30598">
        <w:rPr>
          <w:rFonts w:ascii="Arial" w:hAnsi="Arial" w:cs="Arial"/>
          <w:szCs w:val="24"/>
        </w:rPr>
        <w:t>Número de casos iniciales: 1</w:t>
      </w:r>
    </w:p>
    <w:p w:rsidRPr="00F30598" w:rsidR="004179F3" w:rsidP="00DA58E9" w:rsidRDefault="004179F3" w14:paraId="0DA4680A" w14:textId="77777777">
      <w:pPr>
        <w:pStyle w:val="ListParagraph"/>
        <w:numPr>
          <w:ilvl w:val="0"/>
          <w:numId w:val="2"/>
        </w:numPr>
        <w:spacing w:before="120" w:after="120"/>
        <w:contextualSpacing w:val="0"/>
        <w:jc w:val="both"/>
        <w:rPr>
          <w:rFonts w:ascii="Arial" w:hAnsi="Arial" w:cs="Arial"/>
          <w:szCs w:val="24"/>
        </w:rPr>
      </w:pPr>
      <w:r w:rsidRPr="00F30598">
        <w:rPr>
          <w:rFonts w:ascii="Arial" w:hAnsi="Arial" w:cs="Arial"/>
          <w:szCs w:val="24"/>
        </w:rPr>
        <w:t xml:space="preserve">Tamaño del </w:t>
      </w:r>
      <w:proofErr w:type="spellStart"/>
      <w:proofErr w:type="gramStart"/>
      <w:r w:rsidRPr="00F30598">
        <w:rPr>
          <w:rFonts w:ascii="Arial" w:hAnsi="Arial" w:cs="Arial"/>
          <w:szCs w:val="24"/>
        </w:rPr>
        <w:t>cluster</w:t>
      </w:r>
      <w:proofErr w:type="spellEnd"/>
      <w:proofErr w:type="gramEnd"/>
      <w:r w:rsidRPr="00F30598">
        <w:rPr>
          <w:rFonts w:ascii="Arial" w:hAnsi="Arial" w:cs="Arial"/>
          <w:szCs w:val="24"/>
        </w:rPr>
        <w:t xml:space="preserve">: 1.000.000 </w:t>
      </w:r>
    </w:p>
    <w:p w:rsidRPr="00F30598" w:rsidR="004179F3" w:rsidP="00DA58E9" w:rsidRDefault="004179F3" w14:paraId="7737F363" w14:textId="77777777">
      <w:pPr>
        <w:pStyle w:val="ListParagraph"/>
        <w:numPr>
          <w:ilvl w:val="0"/>
          <w:numId w:val="2"/>
        </w:numPr>
        <w:spacing w:before="120" w:after="120"/>
        <w:contextualSpacing w:val="0"/>
        <w:jc w:val="both"/>
        <w:rPr>
          <w:rFonts w:ascii="Arial" w:hAnsi="Arial" w:cs="Arial"/>
          <w:szCs w:val="24"/>
          <w:lang w:val="es-AR"/>
        </w:rPr>
      </w:pPr>
      <w:r w:rsidRPr="00F30598">
        <w:rPr>
          <w:rFonts w:ascii="Arial" w:hAnsi="Arial" w:cs="Arial"/>
          <w:szCs w:val="24"/>
          <w:lang w:val="es-AR"/>
        </w:rPr>
        <w:t>Momento de reducción del número de reproducción: 50 días del primer caso</w:t>
      </w:r>
    </w:p>
    <w:p w:rsidRPr="00F30598" w:rsidR="004179F3" w:rsidP="00DA58E9" w:rsidRDefault="004179F3" w14:paraId="3881202A" w14:textId="77777777">
      <w:pPr>
        <w:pStyle w:val="ListParagraph"/>
        <w:numPr>
          <w:ilvl w:val="0"/>
          <w:numId w:val="2"/>
        </w:numPr>
        <w:spacing w:before="120" w:after="120"/>
        <w:contextualSpacing w:val="0"/>
        <w:jc w:val="both"/>
        <w:rPr>
          <w:rFonts w:ascii="Arial" w:hAnsi="Arial" w:cs="Arial"/>
          <w:szCs w:val="24"/>
          <w:lang w:val="es-AR"/>
        </w:rPr>
      </w:pPr>
      <w:r w:rsidRPr="00F30598">
        <w:rPr>
          <w:rFonts w:ascii="Arial" w:hAnsi="Arial" w:cs="Arial"/>
          <w:szCs w:val="24"/>
          <w:lang w:val="es-AR"/>
        </w:rPr>
        <w:t>Horizonte temporal de la pandemia: 12 meses</w:t>
      </w:r>
    </w:p>
    <w:p w:rsidRPr="00F30598" w:rsidR="004179F3" w:rsidP="00DA58E9" w:rsidRDefault="004179F3" w14:paraId="4CBBC732" w14:textId="5755DE03">
      <w:pPr>
        <w:pStyle w:val="ListParagraph"/>
        <w:numPr>
          <w:ilvl w:val="0"/>
          <w:numId w:val="2"/>
        </w:numPr>
        <w:spacing w:before="120" w:after="120"/>
        <w:contextualSpacing w:val="0"/>
        <w:jc w:val="both"/>
        <w:rPr>
          <w:rFonts w:ascii="Arial" w:hAnsi="Arial" w:cs="Arial"/>
          <w:szCs w:val="24"/>
        </w:rPr>
      </w:pPr>
      <w:r w:rsidRPr="00F30598">
        <w:rPr>
          <w:rFonts w:ascii="Arial" w:hAnsi="Arial" w:cs="Arial"/>
          <w:szCs w:val="24"/>
        </w:rPr>
        <w:t>Tasa de descuento: 5%</w:t>
      </w:r>
    </w:p>
    <w:p w:rsidRPr="00F30598" w:rsidR="004179F3" w:rsidP="00DA58E9" w:rsidRDefault="004179F3" w14:paraId="5AD59E22" w14:textId="77777777">
      <w:pPr>
        <w:pStyle w:val="ListParagraph"/>
        <w:numPr>
          <w:ilvl w:val="0"/>
          <w:numId w:val="2"/>
        </w:numPr>
        <w:spacing w:before="120" w:after="120"/>
        <w:contextualSpacing w:val="0"/>
        <w:jc w:val="both"/>
        <w:rPr>
          <w:rFonts w:ascii="Arial" w:hAnsi="Arial" w:cs="Arial"/>
          <w:szCs w:val="24"/>
          <w:lang w:val="es-AR"/>
        </w:rPr>
      </w:pPr>
      <w:r w:rsidRPr="00F30598">
        <w:rPr>
          <w:rFonts w:ascii="Arial" w:hAnsi="Arial" w:cs="Arial"/>
          <w:szCs w:val="24"/>
          <w:lang w:val="es-AR"/>
        </w:rPr>
        <w:t>Tasa de empleo: 57% (Ecuador 2018)</w:t>
      </w:r>
    </w:p>
    <w:p w:rsidRPr="00F30598" w:rsidR="004179F3" w:rsidP="00DA58E9" w:rsidRDefault="004179F3" w14:paraId="50205771" w14:textId="77777777">
      <w:pPr>
        <w:pStyle w:val="ListParagraph"/>
        <w:numPr>
          <w:ilvl w:val="0"/>
          <w:numId w:val="2"/>
        </w:numPr>
        <w:spacing w:before="120" w:after="120"/>
        <w:contextualSpacing w:val="0"/>
        <w:jc w:val="both"/>
        <w:rPr>
          <w:rFonts w:ascii="Arial" w:hAnsi="Arial" w:cs="Arial"/>
          <w:szCs w:val="24"/>
        </w:rPr>
      </w:pPr>
      <w:r w:rsidRPr="00F30598">
        <w:rPr>
          <w:rFonts w:ascii="Arial" w:hAnsi="Arial" w:cs="Arial"/>
          <w:szCs w:val="24"/>
        </w:rPr>
        <w:t>Salario semanal: US$ 97 (Ecuador 2019)</w:t>
      </w:r>
    </w:p>
    <w:p w:rsidRPr="00F30598" w:rsidR="004179F3" w:rsidP="00DA58E9" w:rsidRDefault="004179F3" w14:paraId="03C762C5" w14:textId="77777777">
      <w:pPr>
        <w:pStyle w:val="ListParagraph"/>
        <w:numPr>
          <w:ilvl w:val="0"/>
          <w:numId w:val="2"/>
        </w:numPr>
        <w:spacing w:before="120" w:after="120"/>
        <w:contextualSpacing w:val="0"/>
        <w:jc w:val="both"/>
        <w:rPr>
          <w:rFonts w:ascii="Arial" w:hAnsi="Arial" w:cs="Arial"/>
          <w:szCs w:val="24"/>
          <w:lang w:val="es-AR"/>
        </w:rPr>
      </w:pPr>
      <w:r w:rsidRPr="00F30598">
        <w:rPr>
          <w:rFonts w:ascii="Arial" w:hAnsi="Arial" w:cs="Arial"/>
          <w:szCs w:val="24"/>
          <w:lang w:val="es-AR"/>
        </w:rPr>
        <w:t xml:space="preserve">Las tasas de mortalidad y morbilidad están basadas en Wu y </w:t>
      </w:r>
      <w:proofErr w:type="spellStart"/>
      <w:r w:rsidRPr="00F30598">
        <w:rPr>
          <w:rFonts w:ascii="Arial" w:hAnsi="Arial" w:cs="Arial"/>
          <w:szCs w:val="24"/>
          <w:lang w:val="es-AR"/>
        </w:rPr>
        <w:t>McGoogan</w:t>
      </w:r>
      <w:proofErr w:type="spellEnd"/>
      <w:r w:rsidRPr="00F30598">
        <w:rPr>
          <w:rFonts w:ascii="Arial" w:hAnsi="Arial" w:cs="Arial"/>
          <w:szCs w:val="24"/>
          <w:lang w:val="es-AR"/>
        </w:rPr>
        <w:t xml:space="preserve"> (2020)</w:t>
      </w:r>
    </w:p>
    <w:p w:rsidRPr="00F30598" w:rsidR="004179F3" w:rsidP="00DA58E9" w:rsidRDefault="004179F3" w14:paraId="1324D571" w14:textId="77777777">
      <w:pPr>
        <w:pStyle w:val="ListParagraph"/>
        <w:numPr>
          <w:ilvl w:val="0"/>
          <w:numId w:val="2"/>
        </w:numPr>
        <w:spacing w:before="120" w:after="120"/>
        <w:contextualSpacing w:val="0"/>
        <w:jc w:val="both"/>
        <w:rPr>
          <w:rFonts w:ascii="Arial" w:hAnsi="Arial" w:cs="Arial"/>
          <w:szCs w:val="24"/>
          <w:lang w:val="es-AR"/>
        </w:rPr>
      </w:pPr>
      <w:r w:rsidRPr="00F30598">
        <w:rPr>
          <w:rFonts w:ascii="Arial" w:hAnsi="Arial" w:cs="Arial"/>
          <w:szCs w:val="24"/>
          <w:lang w:val="es-AR"/>
        </w:rPr>
        <w:t>Se considera la pérdida de 1 día laboral debido al ausentismo relacionado con familiares de cuidadores infectados por 10 días de infección en los siguientes grupos de edad: 0-9 años y más de 80 años.</w:t>
      </w:r>
    </w:p>
    <w:p w:rsidRPr="00F30598" w:rsidR="004179F3" w:rsidP="00DA58E9" w:rsidRDefault="004179F3" w14:paraId="071D1A89" w14:textId="7554F9B8">
      <w:pPr>
        <w:pStyle w:val="ListParagraph"/>
        <w:numPr>
          <w:ilvl w:val="0"/>
          <w:numId w:val="2"/>
        </w:numPr>
        <w:spacing w:before="120" w:after="120"/>
        <w:contextualSpacing w:val="0"/>
        <w:jc w:val="both"/>
        <w:rPr>
          <w:rFonts w:ascii="Arial" w:hAnsi="Arial" w:cs="Arial"/>
          <w:szCs w:val="24"/>
          <w:lang w:val="es-AR"/>
        </w:rPr>
      </w:pPr>
      <w:r w:rsidRPr="00F30598">
        <w:rPr>
          <w:rFonts w:ascii="Arial" w:hAnsi="Arial" w:cs="Arial"/>
          <w:color w:val="000000"/>
          <w:szCs w:val="24"/>
          <w:lang w:val="es-AR"/>
        </w:rPr>
        <w:t xml:space="preserve">Se considera que el día 50 se suman al stock de infectados una proporción de los familiares de los infectados graves igual al 25% de los miembros del </w:t>
      </w:r>
      <w:r w:rsidRPr="00F30598">
        <w:rPr>
          <w:rFonts w:ascii="Arial" w:hAnsi="Arial" w:cs="Arial"/>
          <w:color w:val="000000"/>
          <w:szCs w:val="24"/>
          <w:lang w:val="es-AR"/>
        </w:rPr>
        <w:lastRenderedPageBreak/>
        <w:t>hogar para el caso de infectados en situación de vulnerabilidad social (quintiles 1, 2 y 3).</w:t>
      </w:r>
    </w:p>
    <w:p w:rsidRPr="00F30598" w:rsidR="00A33859" w:rsidP="00DA58E9" w:rsidRDefault="00A33859" w14:paraId="57FCFB62" w14:textId="2007BA52">
      <w:pPr>
        <w:pStyle w:val="ListParagraph"/>
        <w:numPr>
          <w:ilvl w:val="0"/>
          <w:numId w:val="2"/>
        </w:numPr>
        <w:spacing w:before="120" w:after="120"/>
        <w:contextualSpacing w:val="0"/>
        <w:jc w:val="both"/>
        <w:rPr>
          <w:rFonts w:ascii="Arial" w:hAnsi="Arial" w:cs="Arial"/>
          <w:szCs w:val="24"/>
          <w:lang w:val="es-AR"/>
        </w:rPr>
      </w:pPr>
      <w:r w:rsidRPr="00F30598">
        <w:rPr>
          <w:rFonts w:ascii="Arial" w:hAnsi="Arial" w:cs="Arial"/>
          <w:color w:val="000000"/>
          <w:szCs w:val="24"/>
          <w:lang w:val="es-AR"/>
        </w:rPr>
        <w:t>Los beneficiarios son el 60% de los hogares (esta proporción es la considerada vulnerable) en los que hay un miembro infectado en el día 50.</w:t>
      </w:r>
    </w:p>
    <w:p w:rsidRPr="00F30598" w:rsidR="004179F3" w:rsidP="00DA58E9" w:rsidRDefault="004179F3" w14:paraId="5A60F94D" w14:textId="77777777">
      <w:pPr>
        <w:pStyle w:val="Heading2"/>
        <w:spacing w:before="120" w:after="120" w:line="240" w:lineRule="auto"/>
        <w:rPr>
          <w:rFonts w:ascii="Arial" w:hAnsi="Arial" w:cs="Arial"/>
          <w:b/>
          <w:color w:val="auto"/>
        </w:rPr>
      </w:pPr>
      <w:bookmarkStart w:name="_Toc38020445" w:id="23"/>
      <w:bookmarkStart w:name="_Toc38020659" w:id="24"/>
      <w:r w:rsidRPr="00F30598">
        <w:rPr>
          <w:rFonts w:ascii="Arial" w:hAnsi="Arial" w:cs="Arial"/>
          <w:b/>
          <w:color w:val="auto"/>
        </w:rPr>
        <w:t>RESULTADOS</w:t>
      </w:r>
      <w:bookmarkEnd w:id="23"/>
      <w:bookmarkEnd w:id="24"/>
    </w:p>
    <w:p w:rsidRPr="00F30598" w:rsidR="004179F3" w:rsidP="00DA58E9" w:rsidRDefault="004179F3" w14:paraId="5548F37D" w14:textId="5CB5C493">
      <w:pPr>
        <w:spacing w:before="120" w:after="120" w:line="240" w:lineRule="auto"/>
        <w:jc w:val="both"/>
        <w:rPr>
          <w:rFonts w:ascii="Arial" w:hAnsi="Arial" w:cs="Arial"/>
          <w:sz w:val="24"/>
          <w:szCs w:val="24"/>
          <w:lang w:val="es-ES"/>
        </w:rPr>
      </w:pPr>
      <w:r w:rsidRPr="00F30598">
        <w:rPr>
          <w:rFonts w:ascii="Arial" w:hAnsi="Arial" w:cs="Arial"/>
          <w:sz w:val="24"/>
          <w:szCs w:val="24"/>
          <w:lang w:val="es-ES"/>
        </w:rPr>
        <w:t xml:space="preserve">En este ejercicio la diferencia en los costos de intervención entre uno y otro escenario están dados </w:t>
      </w:r>
      <w:r w:rsidRPr="00F30598" w:rsidR="00CC43D2">
        <w:rPr>
          <w:rFonts w:ascii="Arial" w:hAnsi="Arial" w:cs="Arial"/>
          <w:sz w:val="24"/>
          <w:szCs w:val="24"/>
          <w:lang w:val="es-ES"/>
        </w:rPr>
        <w:t>por la existencia de</w:t>
      </w:r>
      <w:r w:rsidRPr="00F30598">
        <w:rPr>
          <w:rFonts w:ascii="Arial" w:hAnsi="Arial" w:cs="Arial"/>
          <w:sz w:val="24"/>
          <w:szCs w:val="24"/>
          <w:lang w:val="es-ES"/>
        </w:rPr>
        <w:t xml:space="preserve"> transferencias y los gastos operativos para implementarlas. </w:t>
      </w:r>
      <w:r w:rsidRPr="00F30598" w:rsidR="00CC43D2">
        <w:rPr>
          <w:rFonts w:ascii="Arial" w:hAnsi="Arial" w:cs="Arial"/>
          <w:sz w:val="24"/>
          <w:szCs w:val="24"/>
          <w:lang w:val="es-ES"/>
        </w:rPr>
        <w:t xml:space="preserve">El escenario contrafactual es aquel donde la intervención no es implementada. </w:t>
      </w:r>
      <w:r w:rsidRPr="00F30598">
        <w:rPr>
          <w:rFonts w:ascii="Arial" w:hAnsi="Arial" w:cs="Arial"/>
          <w:sz w:val="24"/>
          <w:szCs w:val="24"/>
          <w:lang w:val="es-ES"/>
        </w:rPr>
        <w:t xml:space="preserve">Debe recordarse que el monto de las transferencias es considerado tanto costo como beneficio en t=0. En el </w:t>
      </w:r>
      <w:r w:rsidRPr="00F30598">
        <w:rPr>
          <w:rFonts w:ascii="Arial" w:hAnsi="Arial" w:cs="Arial"/>
          <w:sz w:val="24"/>
          <w:szCs w:val="24"/>
        </w:rPr>
        <w:fldChar w:fldCharType="begin"/>
      </w:r>
      <w:r w:rsidRPr="00F30598">
        <w:rPr>
          <w:rFonts w:ascii="Arial" w:hAnsi="Arial" w:cs="Arial"/>
          <w:sz w:val="24"/>
          <w:szCs w:val="24"/>
          <w:lang w:val="es-ES"/>
        </w:rPr>
        <w:instrText xml:space="preserve"> REF _Ref36672943 \h </w:instrText>
      </w:r>
      <w:r w:rsidRPr="00F30598" w:rsidR="00952E14">
        <w:rPr>
          <w:rFonts w:ascii="Arial" w:hAnsi="Arial" w:cs="Arial"/>
          <w:sz w:val="24"/>
          <w:szCs w:val="24"/>
          <w:lang w:val="es-ES"/>
        </w:rPr>
        <w:instrText xml:space="preserve"> \* MERGEFORMAT </w:instrText>
      </w:r>
      <w:r w:rsidRPr="00F30598">
        <w:rPr>
          <w:rFonts w:ascii="Arial" w:hAnsi="Arial" w:cs="Arial"/>
          <w:sz w:val="24"/>
          <w:szCs w:val="24"/>
        </w:rPr>
      </w:r>
      <w:r w:rsidRPr="00F30598">
        <w:rPr>
          <w:rFonts w:ascii="Arial" w:hAnsi="Arial" w:cs="Arial"/>
          <w:sz w:val="24"/>
          <w:szCs w:val="24"/>
        </w:rPr>
        <w:fldChar w:fldCharType="separate"/>
      </w:r>
      <w:r w:rsidRPr="00F30598" w:rsidR="00ED2BD4">
        <w:rPr>
          <w:rFonts w:ascii="Arial" w:hAnsi="Arial" w:cs="Arial"/>
          <w:sz w:val="24"/>
          <w:szCs w:val="24"/>
          <w:lang w:val="es-ES"/>
        </w:rPr>
        <w:t>Cuadro 14</w:t>
      </w:r>
      <w:r w:rsidRPr="00F30598">
        <w:rPr>
          <w:rFonts w:ascii="Arial" w:hAnsi="Arial" w:cs="Arial"/>
          <w:sz w:val="24"/>
          <w:szCs w:val="24"/>
        </w:rPr>
        <w:fldChar w:fldCharType="end"/>
      </w:r>
      <w:r w:rsidRPr="00F30598">
        <w:rPr>
          <w:rFonts w:ascii="Arial" w:hAnsi="Arial" w:cs="Arial"/>
          <w:sz w:val="24"/>
          <w:szCs w:val="24"/>
          <w:lang w:val="es-ES"/>
        </w:rPr>
        <w:t xml:space="preserve"> se detallan los montos de los costos asociados a mortalidad morbilidad y en el </w:t>
      </w:r>
      <w:r w:rsidRPr="00F30598">
        <w:rPr>
          <w:rFonts w:ascii="Arial" w:hAnsi="Arial" w:cs="Arial"/>
          <w:sz w:val="24"/>
          <w:szCs w:val="24"/>
        </w:rPr>
        <w:fldChar w:fldCharType="begin"/>
      </w:r>
      <w:r w:rsidRPr="00F30598">
        <w:rPr>
          <w:rFonts w:ascii="Arial" w:hAnsi="Arial" w:cs="Arial"/>
          <w:sz w:val="24"/>
          <w:szCs w:val="24"/>
          <w:lang w:val="es-ES"/>
        </w:rPr>
        <w:instrText xml:space="preserve"> REF _Ref36673888 \h </w:instrText>
      </w:r>
      <w:r w:rsidRPr="00F30598" w:rsidR="00952E14">
        <w:rPr>
          <w:rFonts w:ascii="Arial" w:hAnsi="Arial" w:cs="Arial"/>
          <w:sz w:val="24"/>
          <w:szCs w:val="24"/>
          <w:lang w:val="es-ES"/>
        </w:rPr>
        <w:instrText xml:space="preserve"> \* MERGEFORMAT </w:instrText>
      </w:r>
      <w:r w:rsidRPr="00F30598">
        <w:rPr>
          <w:rFonts w:ascii="Arial" w:hAnsi="Arial" w:cs="Arial"/>
          <w:sz w:val="24"/>
          <w:szCs w:val="24"/>
        </w:rPr>
      </w:r>
      <w:r w:rsidRPr="00F30598">
        <w:rPr>
          <w:rFonts w:ascii="Arial" w:hAnsi="Arial" w:cs="Arial"/>
          <w:sz w:val="24"/>
          <w:szCs w:val="24"/>
        </w:rPr>
        <w:fldChar w:fldCharType="separate"/>
      </w:r>
      <w:r w:rsidRPr="00F30598" w:rsidR="00ED2BD4">
        <w:rPr>
          <w:rFonts w:ascii="Arial" w:hAnsi="Arial" w:cs="Arial"/>
          <w:sz w:val="24"/>
          <w:szCs w:val="24"/>
          <w:lang w:val="es-ES"/>
        </w:rPr>
        <w:t xml:space="preserve">Cuadro </w:t>
      </w:r>
      <w:r w:rsidRPr="00F30598" w:rsidR="00ED2BD4">
        <w:rPr>
          <w:rFonts w:ascii="Arial" w:hAnsi="Arial" w:cs="Arial"/>
          <w:noProof/>
          <w:sz w:val="24"/>
          <w:szCs w:val="24"/>
          <w:lang w:val="es-ES"/>
        </w:rPr>
        <w:t>15</w:t>
      </w:r>
      <w:r w:rsidRPr="00F30598">
        <w:rPr>
          <w:rFonts w:ascii="Arial" w:hAnsi="Arial" w:cs="Arial"/>
          <w:sz w:val="24"/>
          <w:szCs w:val="24"/>
        </w:rPr>
        <w:fldChar w:fldCharType="end"/>
      </w:r>
      <w:r w:rsidRPr="00F30598">
        <w:rPr>
          <w:rFonts w:ascii="Arial" w:hAnsi="Arial" w:cs="Arial"/>
          <w:sz w:val="24"/>
          <w:szCs w:val="24"/>
          <w:lang w:val="es-ES"/>
        </w:rPr>
        <w:t xml:space="preserve"> se presentan aquellos asociados a las transferencias y los costos operativos asociados.</w:t>
      </w:r>
    </w:p>
    <w:p w:rsidRPr="00F30598" w:rsidR="004179F3" w:rsidP="00DA58E9" w:rsidRDefault="004179F3" w14:paraId="6AB1DE32" w14:textId="444325E0">
      <w:pPr>
        <w:pStyle w:val="Caption"/>
        <w:keepNext/>
        <w:spacing w:before="240" w:after="120"/>
        <w:rPr>
          <w:rFonts w:ascii="Arial" w:hAnsi="Arial" w:cs="Arial"/>
          <w:sz w:val="24"/>
          <w:szCs w:val="24"/>
        </w:rPr>
      </w:pPr>
      <w:bookmarkStart w:name="_Ref36672943" w:id="25"/>
      <w:r w:rsidRPr="00F30598">
        <w:rPr>
          <w:rFonts w:ascii="Arial" w:hAnsi="Arial" w:cs="Arial"/>
          <w:sz w:val="24"/>
          <w:szCs w:val="24"/>
        </w:rPr>
        <w:t xml:space="preserve">Cuadro </w:t>
      </w:r>
      <w:r w:rsidRPr="00F30598">
        <w:rPr>
          <w:rFonts w:ascii="Arial" w:hAnsi="Arial" w:cs="Arial"/>
          <w:sz w:val="24"/>
          <w:szCs w:val="24"/>
        </w:rPr>
        <w:fldChar w:fldCharType="begin"/>
      </w:r>
      <w:r w:rsidRPr="00F30598">
        <w:rPr>
          <w:rFonts w:ascii="Arial" w:hAnsi="Arial" w:cs="Arial"/>
          <w:sz w:val="24"/>
          <w:szCs w:val="24"/>
        </w:rPr>
        <w:instrText xml:space="preserve"> SEQ Cuadro \* ARABIC </w:instrText>
      </w:r>
      <w:r w:rsidRPr="00F30598">
        <w:rPr>
          <w:rFonts w:ascii="Arial" w:hAnsi="Arial" w:cs="Arial"/>
          <w:sz w:val="24"/>
          <w:szCs w:val="24"/>
        </w:rPr>
        <w:fldChar w:fldCharType="separate"/>
      </w:r>
      <w:r w:rsidRPr="00F30598" w:rsidR="00ED2BD4">
        <w:rPr>
          <w:rFonts w:ascii="Arial" w:hAnsi="Arial" w:cs="Arial"/>
          <w:noProof/>
          <w:sz w:val="24"/>
          <w:szCs w:val="24"/>
        </w:rPr>
        <w:t>14</w:t>
      </w:r>
      <w:r w:rsidRPr="00F30598">
        <w:rPr>
          <w:rFonts w:ascii="Arial" w:hAnsi="Arial" w:cs="Arial"/>
          <w:sz w:val="24"/>
          <w:szCs w:val="24"/>
        </w:rPr>
        <w:fldChar w:fldCharType="end"/>
      </w:r>
      <w:bookmarkEnd w:id="25"/>
      <w:r w:rsidRPr="00F30598" w:rsidR="00C86982">
        <w:rPr>
          <w:rFonts w:ascii="Arial" w:hAnsi="Arial" w:cs="Arial"/>
          <w:sz w:val="24"/>
          <w:szCs w:val="24"/>
        </w:rPr>
        <w:t>: Costos asociados a mortalidad y morbilidad</w:t>
      </w:r>
    </w:p>
    <w:p w:rsidRPr="00F30598" w:rsidR="004179F3" w:rsidP="00DA58E9" w:rsidRDefault="00A36BD0" w14:paraId="44A6118F" w14:textId="68557D6B">
      <w:pPr>
        <w:spacing w:before="120" w:after="120" w:line="240" w:lineRule="auto"/>
        <w:rPr>
          <w:rFonts w:ascii="Arial" w:hAnsi="Arial" w:cs="Arial"/>
          <w:sz w:val="24"/>
          <w:szCs w:val="24"/>
        </w:rPr>
      </w:pPr>
      <w:r w:rsidRPr="00F30598">
        <w:rPr>
          <w:rFonts w:ascii="Arial" w:hAnsi="Arial" w:cs="Arial"/>
          <w:sz w:val="24"/>
          <w:szCs w:val="24"/>
          <w:lang w:val="es-AR"/>
        </w:rPr>
        <w:t xml:space="preserve"> </w:t>
      </w:r>
      <w:r w:rsidRPr="00F30598">
        <w:rPr>
          <w:rFonts w:ascii="Arial" w:hAnsi="Arial" w:cs="Arial"/>
          <w:noProof/>
        </w:rPr>
        <w:drawing>
          <wp:inline distT="0" distB="0" distL="0" distR="0" wp14:anchorId="33628112" wp14:editId="4A40FB9D">
            <wp:extent cx="5612130" cy="482600"/>
            <wp:effectExtent l="0" t="0" r="762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612130" cy="482600"/>
                    </a:xfrm>
                    <a:prstGeom prst="rect">
                      <a:avLst/>
                    </a:prstGeom>
                    <a:noFill/>
                    <a:ln>
                      <a:noFill/>
                    </a:ln>
                  </pic:spPr>
                </pic:pic>
              </a:graphicData>
            </a:graphic>
          </wp:inline>
        </w:drawing>
      </w:r>
    </w:p>
    <w:p w:rsidRPr="00F30598" w:rsidR="004179F3" w:rsidP="00DA58E9" w:rsidRDefault="004179F3" w14:paraId="31FC7C48" w14:textId="77777777">
      <w:pPr>
        <w:pStyle w:val="Caption"/>
        <w:keepNext/>
        <w:spacing w:before="120" w:after="120"/>
        <w:rPr>
          <w:rFonts w:ascii="Arial" w:hAnsi="Arial" w:cs="Arial"/>
          <w:sz w:val="24"/>
          <w:szCs w:val="24"/>
        </w:rPr>
      </w:pPr>
    </w:p>
    <w:p w:rsidRPr="00F30598" w:rsidR="004179F3" w:rsidP="00DA58E9" w:rsidRDefault="004179F3" w14:paraId="3E38AE1F" w14:textId="46E7B0D8">
      <w:pPr>
        <w:pStyle w:val="Caption"/>
        <w:keepNext/>
        <w:spacing w:before="120" w:after="120"/>
        <w:rPr>
          <w:rFonts w:ascii="Arial" w:hAnsi="Arial" w:cs="Arial"/>
          <w:sz w:val="24"/>
          <w:szCs w:val="24"/>
        </w:rPr>
      </w:pPr>
      <w:bookmarkStart w:name="_Ref36673888" w:id="26"/>
      <w:r w:rsidRPr="00F30598">
        <w:rPr>
          <w:rFonts w:ascii="Arial" w:hAnsi="Arial" w:cs="Arial"/>
          <w:sz w:val="24"/>
          <w:szCs w:val="24"/>
        </w:rPr>
        <w:t xml:space="preserve">Cuadro </w:t>
      </w:r>
      <w:r w:rsidRPr="00F30598">
        <w:rPr>
          <w:rFonts w:ascii="Arial" w:hAnsi="Arial" w:cs="Arial"/>
          <w:sz w:val="24"/>
          <w:szCs w:val="24"/>
        </w:rPr>
        <w:fldChar w:fldCharType="begin"/>
      </w:r>
      <w:r w:rsidRPr="00F30598">
        <w:rPr>
          <w:rFonts w:ascii="Arial" w:hAnsi="Arial" w:cs="Arial"/>
          <w:sz w:val="24"/>
          <w:szCs w:val="24"/>
        </w:rPr>
        <w:instrText xml:space="preserve"> SEQ Cuadro \* ARABIC </w:instrText>
      </w:r>
      <w:r w:rsidRPr="00F30598">
        <w:rPr>
          <w:rFonts w:ascii="Arial" w:hAnsi="Arial" w:cs="Arial"/>
          <w:sz w:val="24"/>
          <w:szCs w:val="24"/>
        </w:rPr>
        <w:fldChar w:fldCharType="separate"/>
      </w:r>
      <w:r w:rsidRPr="00F30598" w:rsidR="00ED2BD4">
        <w:rPr>
          <w:rFonts w:ascii="Arial" w:hAnsi="Arial" w:cs="Arial"/>
          <w:noProof/>
          <w:sz w:val="24"/>
          <w:szCs w:val="24"/>
        </w:rPr>
        <w:t>15</w:t>
      </w:r>
      <w:r w:rsidRPr="00F30598">
        <w:rPr>
          <w:rFonts w:ascii="Arial" w:hAnsi="Arial" w:cs="Arial"/>
          <w:sz w:val="24"/>
          <w:szCs w:val="24"/>
        </w:rPr>
        <w:fldChar w:fldCharType="end"/>
      </w:r>
      <w:bookmarkEnd w:id="26"/>
      <w:r w:rsidRPr="00F30598" w:rsidR="00C86982">
        <w:rPr>
          <w:rFonts w:ascii="Arial" w:hAnsi="Arial" w:cs="Arial"/>
          <w:sz w:val="24"/>
          <w:szCs w:val="24"/>
        </w:rPr>
        <w:t>: Costos asociados a transferencias a familiares</w:t>
      </w:r>
    </w:p>
    <w:p w:rsidRPr="00F30598" w:rsidR="004179F3" w:rsidP="00DA58E9" w:rsidRDefault="00733F98" w14:paraId="1F7CBE8B" w14:textId="4D480600">
      <w:pPr>
        <w:spacing w:before="120" w:after="120" w:line="240" w:lineRule="auto"/>
        <w:rPr>
          <w:rFonts w:ascii="Arial" w:hAnsi="Arial" w:cs="Arial"/>
          <w:sz w:val="24"/>
          <w:szCs w:val="24"/>
          <w:lang w:val="es-AR"/>
        </w:rPr>
      </w:pPr>
      <w:r w:rsidRPr="00F30598">
        <w:rPr>
          <w:rFonts w:ascii="Arial" w:hAnsi="Arial" w:cs="Arial"/>
          <w:sz w:val="24"/>
          <w:szCs w:val="24"/>
          <w:lang w:val="es-AR"/>
        </w:rPr>
        <w:t xml:space="preserve"> </w:t>
      </w:r>
      <w:r w:rsidRPr="00F30598">
        <w:rPr>
          <w:rFonts w:ascii="Arial" w:hAnsi="Arial" w:cs="Arial"/>
          <w:noProof/>
        </w:rPr>
        <w:drawing>
          <wp:inline distT="0" distB="0" distL="0" distR="0" wp14:anchorId="48111EBC" wp14:editId="65DD1220">
            <wp:extent cx="5612130" cy="1219835"/>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612130" cy="1219835"/>
                    </a:xfrm>
                    <a:prstGeom prst="rect">
                      <a:avLst/>
                    </a:prstGeom>
                    <a:noFill/>
                    <a:ln>
                      <a:noFill/>
                    </a:ln>
                  </pic:spPr>
                </pic:pic>
              </a:graphicData>
            </a:graphic>
          </wp:inline>
        </w:drawing>
      </w:r>
    </w:p>
    <w:p w:rsidRPr="00F30598" w:rsidR="004179F3" w:rsidP="17D008AF" w:rsidRDefault="004179F3" w14:paraId="0FA6A7D3" w14:textId="0C757C50">
      <w:pPr>
        <w:pStyle w:val="Caption"/>
        <w:keepNext/>
        <w:spacing w:before="240" w:after="120"/>
        <w:jc w:val="both"/>
        <w:rPr>
          <w:rFonts w:ascii="Arial" w:hAnsi="Arial" w:cs="Arial"/>
          <w:i w:val="0"/>
          <w:iCs w:val="0"/>
          <w:color w:val="auto"/>
          <w:sz w:val="24"/>
          <w:szCs w:val="24"/>
        </w:rPr>
      </w:pPr>
      <w:r w:rsidRPr="17D008AF">
        <w:rPr>
          <w:rFonts w:ascii="Arial" w:hAnsi="Arial" w:cs="Arial"/>
          <w:i w:val="0"/>
          <w:iCs w:val="0"/>
          <w:color w:val="auto"/>
          <w:sz w:val="24"/>
          <w:szCs w:val="24"/>
        </w:rPr>
        <w:t xml:space="preserve">El </w:t>
      </w:r>
      <w:r w:rsidRPr="17D008AF">
        <w:rPr>
          <w:rFonts w:ascii="Arial" w:hAnsi="Arial" w:cs="Arial"/>
          <w:i w:val="0"/>
          <w:iCs w:val="0"/>
          <w:color w:val="auto"/>
          <w:sz w:val="24"/>
          <w:szCs w:val="24"/>
        </w:rPr>
        <w:fldChar w:fldCharType="begin"/>
      </w:r>
      <w:r w:rsidRPr="17D008AF">
        <w:rPr>
          <w:rFonts w:ascii="Arial" w:hAnsi="Arial" w:cs="Arial"/>
          <w:i w:val="0"/>
          <w:iCs w:val="0"/>
          <w:color w:val="auto"/>
          <w:sz w:val="24"/>
          <w:szCs w:val="24"/>
        </w:rPr>
        <w:instrText xml:space="preserve"> REF _Ref36674204 \h  \* MERGEFORMAT </w:instrText>
      </w:r>
      <w:r w:rsidRPr="17D008AF">
        <w:rPr>
          <w:rFonts w:ascii="Arial" w:hAnsi="Arial" w:cs="Arial"/>
          <w:i w:val="0"/>
          <w:iCs w:val="0"/>
          <w:color w:val="auto"/>
          <w:sz w:val="24"/>
          <w:szCs w:val="24"/>
        </w:rPr>
      </w:r>
      <w:r w:rsidRPr="17D008AF">
        <w:rPr>
          <w:rFonts w:ascii="Arial" w:hAnsi="Arial" w:cs="Arial"/>
          <w:i w:val="0"/>
          <w:iCs w:val="0"/>
          <w:color w:val="auto"/>
          <w:sz w:val="24"/>
          <w:szCs w:val="24"/>
        </w:rPr>
        <w:fldChar w:fldCharType="separate"/>
      </w:r>
      <w:r w:rsidRPr="17D008AF" w:rsidR="00ED2BD4">
        <w:rPr>
          <w:rFonts w:ascii="Arial" w:hAnsi="Arial" w:cs="Arial"/>
          <w:i w:val="0"/>
          <w:iCs w:val="0"/>
          <w:color w:val="auto"/>
          <w:sz w:val="24"/>
          <w:szCs w:val="24"/>
        </w:rPr>
        <w:t>Cuadro 16</w:t>
      </w:r>
      <w:r w:rsidRPr="17D008AF">
        <w:rPr>
          <w:rFonts w:ascii="Arial" w:hAnsi="Arial" w:cs="Arial"/>
          <w:i w:val="0"/>
          <w:iCs w:val="0"/>
          <w:color w:val="auto"/>
          <w:sz w:val="24"/>
          <w:szCs w:val="24"/>
        </w:rPr>
        <w:fldChar w:fldCharType="end"/>
      </w:r>
      <w:r w:rsidRPr="17D008AF">
        <w:rPr>
          <w:rFonts w:ascii="Arial" w:hAnsi="Arial" w:cs="Arial"/>
          <w:i w:val="0"/>
          <w:iCs w:val="0"/>
          <w:color w:val="auto"/>
          <w:sz w:val="24"/>
          <w:szCs w:val="24"/>
        </w:rPr>
        <w:t xml:space="preserve"> y el </w:t>
      </w:r>
      <w:r w:rsidRPr="17D008AF">
        <w:rPr>
          <w:rFonts w:ascii="Arial" w:hAnsi="Arial" w:cs="Arial"/>
          <w:i w:val="0"/>
          <w:iCs w:val="0"/>
          <w:color w:val="auto"/>
          <w:sz w:val="24"/>
          <w:szCs w:val="24"/>
        </w:rPr>
        <w:fldChar w:fldCharType="begin"/>
      </w:r>
      <w:r w:rsidRPr="17D008AF">
        <w:rPr>
          <w:rFonts w:ascii="Arial" w:hAnsi="Arial" w:cs="Arial"/>
          <w:i w:val="0"/>
          <w:iCs w:val="0"/>
          <w:color w:val="auto"/>
          <w:sz w:val="24"/>
          <w:szCs w:val="24"/>
        </w:rPr>
        <w:instrText xml:space="preserve"> REF _Ref36674208 \h  \* MERGEFORMAT </w:instrText>
      </w:r>
      <w:r w:rsidRPr="17D008AF">
        <w:rPr>
          <w:rFonts w:ascii="Arial" w:hAnsi="Arial" w:cs="Arial"/>
          <w:i w:val="0"/>
          <w:iCs w:val="0"/>
          <w:color w:val="auto"/>
          <w:sz w:val="24"/>
          <w:szCs w:val="24"/>
        </w:rPr>
      </w:r>
      <w:r w:rsidRPr="17D008AF">
        <w:rPr>
          <w:rFonts w:ascii="Arial" w:hAnsi="Arial" w:cs="Arial"/>
          <w:i w:val="0"/>
          <w:iCs w:val="0"/>
          <w:color w:val="auto"/>
          <w:sz w:val="24"/>
          <w:szCs w:val="24"/>
        </w:rPr>
        <w:fldChar w:fldCharType="separate"/>
      </w:r>
      <w:r w:rsidRPr="17D008AF" w:rsidR="00ED2BD4">
        <w:rPr>
          <w:rFonts w:ascii="Arial" w:hAnsi="Arial" w:cs="Arial"/>
          <w:i w:val="0"/>
          <w:iCs w:val="0"/>
          <w:color w:val="auto"/>
          <w:sz w:val="24"/>
          <w:szCs w:val="24"/>
        </w:rPr>
        <w:t>Cuadro 17</w:t>
      </w:r>
      <w:r w:rsidRPr="17D008AF">
        <w:rPr>
          <w:rFonts w:ascii="Arial" w:hAnsi="Arial" w:cs="Arial"/>
          <w:i w:val="0"/>
          <w:iCs w:val="0"/>
          <w:color w:val="auto"/>
          <w:sz w:val="24"/>
          <w:szCs w:val="24"/>
        </w:rPr>
        <w:fldChar w:fldCharType="end"/>
      </w:r>
      <w:r w:rsidRPr="17D008AF">
        <w:rPr>
          <w:rFonts w:ascii="Arial" w:hAnsi="Arial" w:cs="Arial"/>
          <w:i w:val="0"/>
          <w:iCs w:val="0"/>
          <w:color w:val="auto"/>
          <w:sz w:val="24"/>
          <w:szCs w:val="24"/>
        </w:rPr>
        <w:t xml:space="preserve"> muestran los resultados. Las diferencias en el número de infectados y fallecidos que se observa en el </w:t>
      </w:r>
      <w:r w:rsidRPr="17D008AF">
        <w:rPr>
          <w:rFonts w:ascii="Arial" w:hAnsi="Arial" w:cs="Arial"/>
          <w:i w:val="0"/>
          <w:iCs w:val="0"/>
          <w:color w:val="auto"/>
          <w:sz w:val="24"/>
          <w:szCs w:val="24"/>
        </w:rPr>
        <w:fldChar w:fldCharType="begin"/>
      </w:r>
      <w:r w:rsidRPr="17D008AF">
        <w:rPr>
          <w:rFonts w:ascii="Arial" w:hAnsi="Arial" w:cs="Arial"/>
          <w:i w:val="0"/>
          <w:iCs w:val="0"/>
          <w:color w:val="auto"/>
          <w:sz w:val="24"/>
          <w:szCs w:val="24"/>
        </w:rPr>
        <w:instrText xml:space="preserve"> REF _Ref36674204 \h </w:instrText>
      </w:r>
      <w:r w:rsidRPr="17D008AF" w:rsidR="00952E14">
        <w:rPr>
          <w:rFonts w:ascii="Arial" w:hAnsi="Arial" w:cs="Arial"/>
          <w:i w:val="0"/>
          <w:iCs w:val="0"/>
          <w:color w:val="auto"/>
          <w:sz w:val="24"/>
          <w:szCs w:val="24"/>
        </w:rPr>
        <w:instrText xml:space="preserve"> \* MERGEFORMAT </w:instrText>
      </w:r>
      <w:r w:rsidRPr="17D008AF">
        <w:rPr>
          <w:rFonts w:ascii="Arial" w:hAnsi="Arial" w:cs="Arial"/>
          <w:i w:val="0"/>
          <w:iCs w:val="0"/>
          <w:color w:val="auto"/>
          <w:sz w:val="24"/>
          <w:szCs w:val="24"/>
        </w:rPr>
      </w:r>
      <w:r w:rsidRPr="17D008AF">
        <w:rPr>
          <w:rFonts w:ascii="Arial" w:hAnsi="Arial" w:cs="Arial"/>
          <w:i w:val="0"/>
          <w:iCs w:val="0"/>
          <w:color w:val="auto"/>
          <w:sz w:val="24"/>
          <w:szCs w:val="24"/>
        </w:rPr>
        <w:fldChar w:fldCharType="separate"/>
      </w:r>
      <w:r w:rsidRPr="00F30598" w:rsidR="00ED2BD4">
        <w:rPr>
          <w:rFonts w:ascii="Arial" w:hAnsi="Arial" w:cs="Arial"/>
          <w:sz w:val="24"/>
          <w:szCs w:val="24"/>
        </w:rPr>
        <w:t>Cuadro 16</w:t>
      </w:r>
      <w:r w:rsidRPr="17D008AF">
        <w:rPr>
          <w:rFonts w:ascii="Arial" w:hAnsi="Arial" w:cs="Arial"/>
          <w:i w:val="0"/>
          <w:iCs w:val="0"/>
          <w:color w:val="auto"/>
          <w:sz w:val="24"/>
          <w:szCs w:val="24"/>
        </w:rPr>
        <w:fldChar w:fldCharType="end"/>
      </w:r>
      <w:r w:rsidRPr="17D008AF">
        <w:rPr>
          <w:rFonts w:ascii="Arial" w:hAnsi="Arial" w:cs="Arial"/>
          <w:i w:val="0"/>
          <w:iCs w:val="0"/>
          <w:color w:val="auto"/>
          <w:sz w:val="24"/>
          <w:szCs w:val="24"/>
        </w:rPr>
        <w:t xml:space="preserve"> se traduce en el valor actual neto positivo del </w:t>
      </w:r>
      <w:r w:rsidRPr="17D008AF">
        <w:rPr>
          <w:rFonts w:ascii="Arial" w:hAnsi="Arial" w:cs="Arial"/>
          <w:i w:val="0"/>
          <w:iCs w:val="0"/>
          <w:color w:val="auto"/>
          <w:sz w:val="24"/>
          <w:szCs w:val="24"/>
        </w:rPr>
        <w:fldChar w:fldCharType="begin"/>
      </w:r>
      <w:r w:rsidRPr="17D008AF">
        <w:rPr>
          <w:rFonts w:ascii="Arial" w:hAnsi="Arial" w:cs="Arial"/>
          <w:i w:val="0"/>
          <w:iCs w:val="0"/>
          <w:color w:val="auto"/>
          <w:sz w:val="24"/>
          <w:szCs w:val="24"/>
        </w:rPr>
        <w:instrText xml:space="preserve"> REF _Ref36674208 \h </w:instrText>
      </w:r>
      <w:r w:rsidRPr="17D008AF" w:rsidR="00952E14">
        <w:rPr>
          <w:rFonts w:ascii="Arial" w:hAnsi="Arial" w:cs="Arial"/>
          <w:i w:val="0"/>
          <w:iCs w:val="0"/>
          <w:color w:val="auto"/>
          <w:sz w:val="24"/>
          <w:szCs w:val="24"/>
        </w:rPr>
        <w:instrText xml:space="preserve"> \* MERGEFORMAT </w:instrText>
      </w:r>
      <w:r w:rsidRPr="17D008AF">
        <w:rPr>
          <w:rFonts w:ascii="Arial" w:hAnsi="Arial" w:cs="Arial"/>
          <w:i w:val="0"/>
          <w:iCs w:val="0"/>
          <w:color w:val="auto"/>
          <w:sz w:val="24"/>
          <w:szCs w:val="24"/>
        </w:rPr>
      </w:r>
      <w:r w:rsidRPr="17D008AF">
        <w:rPr>
          <w:rFonts w:ascii="Arial" w:hAnsi="Arial" w:cs="Arial"/>
          <w:i w:val="0"/>
          <w:iCs w:val="0"/>
          <w:color w:val="auto"/>
          <w:sz w:val="24"/>
          <w:szCs w:val="24"/>
        </w:rPr>
        <w:fldChar w:fldCharType="separate"/>
      </w:r>
      <w:r w:rsidRPr="00F30598" w:rsidR="00ED2BD4">
        <w:rPr>
          <w:rFonts w:ascii="Arial" w:hAnsi="Arial" w:cs="Arial"/>
          <w:sz w:val="24"/>
          <w:szCs w:val="24"/>
        </w:rPr>
        <w:t xml:space="preserve">Cuadro </w:t>
      </w:r>
      <w:r w:rsidRPr="00F30598" w:rsidR="00ED2BD4">
        <w:rPr>
          <w:rFonts w:ascii="Arial" w:hAnsi="Arial" w:cs="Arial"/>
          <w:noProof/>
          <w:sz w:val="24"/>
          <w:szCs w:val="24"/>
        </w:rPr>
        <w:t>17</w:t>
      </w:r>
      <w:r w:rsidRPr="17D008AF">
        <w:rPr>
          <w:rFonts w:ascii="Arial" w:hAnsi="Arial" w:cs="Arial"/>
          <w:i w:val="0"/>
          <w:iCs w:val="0"/>
          <w:color w:val="auto"/>
          <w:sz w:val="24"/>
          <w:szCs w:val="24"/>
        </w:rPr>
        <w:fldChar w:fldCharType="end"/>
      </w:r>
      <w:r w:rsidRPr="17D008AF">
        <w:rPr>
          <w:rFonts w:ascii="Arial" w:hAnsi="Arial" w:cs="Arial"/>
          <w:i w:val="0"/>
          <w:iCs w:val="0"/>
          <w:color w:val="auto"/>
          <w:sz w:val="24"/>
          <w:szCs w:val="24"/>
        </w:rPr>
        <w:t xml:space="preserve">. </w:t>
      </w:r>
      <w:r w:rsidRPr="17D008AF" w:rsidR="00F36E4B">
        <w:rPr>
          <w:rFonts w:ascii="Arial" w:hAnsi="Arial" w:cs="Arial"/>
          <w:i w:val="0"/>
          <w:iCs w:val="0"/>
          <w:color w:val="auto"/>
          <w:sz w:val="24"/>
          <w:szCs w:val="24"/>
        </w:rPr>
        <w:t xml:space="preserve">Básicamente, se valúa el tiempo de trabajo salvado como consecuencia de la caída de la morbilidad y mortalidad en el escenario de tratamiento respecto de la situación registrada en el contrafactual donde no se implementa la política de transferencias focalizada en hogares vulnerables donde hay infectados. </w:t>
      </w:r>
      <w:r w:rsidRPr="17D008AF" w:rsidR="00B531DF">
        <w:rPr>
          <w:rFonts w:ascii="Arial" w:hAnsi="Arial" w:cs="Arial"/>
          <w:i w:val="0"/>
          <w:iCs w:val="0"/>
          <w:color w:val="auto"/>
          <w:sz w:val="24"/>
          <w:szCs w:val="24"/>
        </w:rPr>
        <w:t xml:space="preserve">Por lo tanto, los costos están compuestos por la valuación de horas de trabajo perdidas en el escenario de intervención más el costo de las transferencias, mientras que el beneficio está dado por el valor de las horas perdidas como consecuencia de mortalidad y morbilidad en el escenario contrafactual. </w:t>
      </w:r>
      <w:r w:rsidRPr="17D008AF">
        <w:rPr>
          <w:rFonts w:ascii="Arial" w:hAnsi="Arial" w:cs="Arial"/>
          <w:i w:val="0"/>
          <w:iCs w:val="0"/>
          <w:color w:val="auto"/>
          <w:sz w:val="24"/>
          <w:szCs w:val="24"/>
        </w:rPr>
        <w:t xml:space="preserve">Como puede observarse, la intervención es beneficiosa desde un </w:t>
      </w:r>
      <w:r w:rsidRPr="17D008AF">
        <w:rPr>
          <w:rFonts w:ascii="Arial" w:hAnsi="Arial" w:cs="Arial"/>
          <w:i w:val="0"/>
          <w:iCs w:val="0"/>
          <w:color w:val="auto"/>
          <w:sz w:val="24"/>
          <w:szCs w:val="24"/>
        </w:rPr>
        <w:lastRenderedPageBreak/>
        <w:t xml:space="preserve">punto de vista económico. El VAN es positivo y supera los USD3,5 millones mientras que el ratio </w:t>
      </w:r>
      <w:proofErr w:type="spellStart"/>
      <w:proofErr w:type="gramStart"/>
      <w:r w:rsidRPr="17D008AF">
        <w:rPr>
          <w:rFonts w:ascii="Arial" w:hAnsi="Arial" w:cs="Arial"/>
          <w:i w:val="0"/>
          <w:iCs w:val="0"/>
          <w:color w:val="auto"/>
          <w:sz w:val="24"/>
          <w:szCs w:val="24"/>
        </w:rPr>
        <w:t>beneficio:costo</w:t>
      </w:r>
      <w:proofErr w:type="spellEnd"/>
      <w:proofErr w:type="gramEnd"/>
      <w:r w:rsidRPr="17D008AF">
        <w:rPr>
          <w:rFonts w:ascii="Arial" w:hAnsi="Arial" w:cs="Arial"/>
          <w:i w:val="0"/>
          <w:iCs w:val="0"/>
          <w:color w:val="auto"/>
          <w:sz w:val="24"/>
          <w:szCs w:val="24"/>
        </w:rPr>
        <w:t xml:space="preserve"> es 1.48.</w:t>
      </w:r>
    </w:p>
    <w:p w:rsidRPr="00F30598" w:rsidR="004179F3" w:rsidP="00DA58E9" w:rsidRDefault="004179F3" w14:paraId="07810E84" w14:textId="36BA5A9C">
      <w:pPr>
        <w:pStyle w:val="Caption"/>
        <w:keepNext/>
        <w:spacing w:before="240" w:after="120"/>
        <w:rPr>
          <w:rFonts w:ascii="Arial" w:hAnsi="Arial" w:cs="Arial"/>
          <w:sz w:val="24"/>
          <w:szCs w:val="24"/>
        </w:rPr>
      </w:pPr>
      <w:bookmarkStart w:name="_Ref36674204" w:id="27"/>
      <w:r w:rsidRPr="00F30598">
        <w:rPr>
          <w:rFonts w:ascii="Arial" w:hAnsi="Arial" w:cs="Arial"/>
          <w:sz w:val="24"/>
          <w:szCs w:val="24"/>
        </w:rPr>
        <w:t xml:space="preserve">Cuadro </w:t>
      </w:r>
      <w:r w:rsidRPr="00F30598">
        <w:rPr>
          <w:rFonts w:ascii="Arial" w:hAnsi="Arial" w:cs="Arial"/>
          <w:sz w:val="24"/>
          <w:szCs w:val="24"/>
        </w:rPr>
        <w:fldChar w:fldCharType="begin"/>
      </w:r>
      <w:r w:rsidRPr="00F30598">
        <w:rPr>
          <w:rFonts w:ascii="Arial" w:hAnsi="Arial" w:cs="Arial"/>
          <w:sz w:val="24"/>
          <w:szCs w:val="24"/>
        </w:rPr>
        <w:instrText xml:space="preserve"> SEQ Cuadro \* ARABIC </w:instrText>
      </w:r>
      <w:r w:rsidRPr="00F30598">
        <w:rPr>
          <w:rFonts w:ascii="Arial" w:hAnsi="Arial" w:cs="Arial"/>
          <w:sz w:val="24"/>
          <w:szCs w:val="24"/>
        </w:rPr>
        <w:fldChar w:fldCharType="separate"/>
      </w:r>
      <w:r w:rsidRPr="00F30598" w:rsidR="00ED2BD4">
        <w:rPr>
          <w:rFonts w:ascii="Arial" w:hAnsi="Arial" w:cs="Arial"/>
          <w:noProof/>
          <w:sz w:val="24"/>
          <w:szCs w:val="24"/>
        </w:rPr>
        <w:t>16</w:t>
      </w:r>
      <w:r w:rsidRPr="00F30598">
        <w:rPr>
          <w:rFonts w:ascii="Arial" w:hAnsi="Arial" w:cs="Arial"/>
          <w:sz w:val="24"/>
          <w:szCs w:val="24"/>
        </w:rPr>
        <w:fldChar w:fldCharType="end"/>
      </w:r>
      <w:bookmarkEnd w:id="27"/>
      <w:r w:rsidRPr="00F30598" w:rsidR="00C86982">
        <w:rPr>
          <w:rFonts w:ascii="Arial" w:hAnsi="Arial" w:cs="Arial"/>
          <w:sz w:val="24"/>
          <w:szCs w:val="24"/>
        </w:rPr>
        <w:t>: Efectos en mortalidad y morbilidad</w:t>
      </w:r>
    </w:p>
    <w:p w:rsidRPr="00F30598" w:rsidR="004179F3" w:rsidP="00DA58E9" w:rsidRDefault="0047387E" w14:paraId="7D168EA7" w14:textId="2059D580">
      <w:pPr>
        <w:spacing w:before="120" w:after="120" w:line="240" w:lineRule="auto"/>
        <w:rPr>
          <w:rFonts w:ascii="Arial" w:hAnsi="Arial" w:cs="Arial"/>
          <w:sz w:val="24"/>
          <w:szCs w:val="24"/>
          <w:lang w:val="es-AR"/>
        </w:rPr>
      </w:pPr>
      <w:r w:rsidRPr="00F30598">
        <w:rPr>
          <w:rFonts w:ascii="Arial" w:hAnsi="Arial" w:cs="Arial"/>
          <w:sz w:val="24"/>
          <w:szCs w:val="24"/>
          <w:lang w:val="es-AR"/>
        </w:rPr>
        <w:t xml:space="preserve"> </w:t>
      </w:r>
      <w:r w:rsidRPr="00F30598">
        <w:rPr>
          <w:rFonts w:ascii="Arial" w:hAnsi="Arial" w:cs="Arial"/>
          <w:noProof/>
        </w:rPr>
        <w:drawing>
          <wp:inline distT="0" distB="0" distL="0" distR="0" wp14:anchorId="2235C130" wp14:editId="56BCB432">
            <wp:extent cx="5612130" cy="1588770"/>
            <wp:effectExtent l="0" t="0" r="762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612130" cy="1588770"/>
                    </a:xfrm>
                    <a:prstGeom prst="rect">
                      <a:avLst/>
                    </a:prstGeom>
                    <a:noFill/>
                    <a:ln>
                      <a:noFill/>
                    </a:ln>
                  </pic:spPr>
                </pic:pic>
              </a:graphicData>
            </a:graphic>
          </wp:inline>
        </w:drawing>
      </w:r>
    </w:p>
    <w:p w:rsidRPr="00F30598" w:rsidR="004179F3" w:rsidP="00DA58E9" w:rsidRDefault="004179F3" w14:paraId="656B9F6A" w14:textId="65EC58B1">
      <w:pPr>
        <w:pStyle w:val="Caption"/>
        <w:keepNext/>
        <w:spacing w:before="240" w:after="120"/>
        <w:rPr>
          <w:rFonts w:ascii="Arial" w:hAnsi="Arial" w:cs="Arial"/>
          <w:sz w:val="24"/>
          <w:szCs w:val="24"/>
        </w:rPr>
      </w:pPr>
      <w:bookmarkStart w:name="_Ref36674208" w:id="28"/>
      <w:r w:rsidRPr="00F30598">
        <w:rPr>
          <w:rFonts w:ascii="Arial" w:hAnsi="Arial" w:cs="Arial"/>
          <w:sz w:val="24"/>
          <w:szCs w:val="24"/>
        </w:rPr>
        <w:t xml:space="preserve">Cuadro </w:t>
      </w:r>
      <w:r w:rsidRPr="00F30598">
        <w:rPr>
          <w:rFonts w:ascii="Arial" w:hAnsi="Arial" w:cs="Arial"/>
          <w:sz w:val="24"/>
          <w:szCs w:val="24"/>
        </w:rPr>
        <w:fldChar w:fldCharType="begin"/>
      </w:r>
      <w:r w:rsidRPr="00F30598">
        <w:rPr>
          <w:rFonts w:ascii="Arial" w:hAnsi="Arial" w:cs="Arial"/>
          <w:sz w:val="24"/>
          <w:szCs w:val="24"/>
        </w:rPr>
        <w:instrText xml:space="preserve"> SEQ Cuadro \* ARABIC </w:instrText>
      </w:r>
      <w:r w:rsidRPr="00F30598">
        <w:rPr>
          <w:rFonts w:ascii="Arial" w:hAnsi="Arial" w:cs="Arial"/>
          <w:sz w:val="24"/>
          <w:szCs w:val="24"/>
        </w:rPr>
        <w:fldChar w:fldCharType="separate"/>
      </w:r>
      <w:r w:rsidRPr="00F30598" w:rsidR="00ED2BD4">
        <w:rPr>
          <w:rFonts w:ascii="Arial" w:hAnsi="Arial" w:cs="Arial"/>
          <w:noProof/>
          <w:sz w:val="24"/>
          <w:szCs w:val="24"/>
        </w:rPr>
        <w:t>17</w:t>
      </w:r>
      <w:r w:rsidRPr="00F30598">
        <w:rPr>
          <w:rFonts w:ascii="Arial" w:hAnsi="Arial" w:cs="Arial"/>
          <w:sz w:val="24"/>
          <w:szCs w:val="24"/>
        </w:rPr>
        <w:fldChar w:fldCharType="end"/>
      </w:r>
      <w:bookmarkEnd w:id="28"/>
      <w:r w:rsidRPr="00F30598" w:rsidR="00C86982">
        <w:rPr>
          <w:rFonts w:ascii="Arial" w:hAnsi="Arial" w:cs="Arial"/>
          <w:sz w:val="24"/>
          <w:szCs w:val="24"/>
        </w:rPr>
        <w:t>: Valor actual neto</w:t>
      </w:r>
      <w:r w:rsidRPr="00F30598" w:rsidR="00CD189A">
        <w:rPr>
          <w:rFonts w:ascii="Arial" w:hAnsi="Arial" w:cs="Arial"/>
          <w:sz w:val="24"/>
          <w:szCs w:val="24"/>
        </w:rPr>
        <w:t>,</w:t>
      </w:r>
      <w:r w:rsidRPr="00F30598" w:rsidR="00C86982">
        <w:rPr>
          <w:rFonts w:ascii="Arial" w:hAnsi="Arial" w:cs="Arial"/>
          <w:sz w:val="24"/>
          <w:szCs w:val="24"/>
        </w:rPr>
        <w:t xml:space="preserve"> Ratio </w:t>
      </w:r>
      <w:proofErr w:type="spellStart"/>
      <w:proofErr w:type="gramStart"/>
      <w:r w:rsidRPr="00F30598" w:rsidR="00C86982">
        <w:rPr>
          <w:rFonts w:ascii="Arial" w:hAnsi="Arial" w:cs="Arial"/>
          <w:sz w:val="24"/>
          <w:szCs w:val="24"/>
        </w:rPr>
        <w:t>Beneficio:Costo</w:t>
      </w:r>
      <w:proofErr w:type="spellEnd"/>
      <w:proofErr w:type="gramEnd"/>
      <w:r w:rsidRPr="00F30598" w:rsidR="00CD189A">
        <w:rPr>
          <w:rFonts w:ascii="Arial" w:hAnsi="Arial" w:cs="Arial"/>
          <w:sz w:val="24"/>
          <w:szCs w:val="24"/>
        </w:rPr>
        <w:t xml:space="preserve"> y TIRM</w:t>
      </w:r>
    </w:p>
    <w:p w:rsidRPr="00F30598" w:rsidR="0047387E" w:rsidP="00DA58E9" w:rsidRDefault="00276EF7" w14:paraId="3A959BD2" w14:textId="37135CDC">
      <w:pPr>
        <w:spacing w:before="120" w:after="120" w:line="240" w:lineRule="auto"/>
        <w:rPr>
          <w:rFonts w:ascii="Arial" w:hAnsi="Arial" w:cs="Arial"/>
          <w:sz w:val="24"/>
          <w:szCs w:val="24"/>
        </w:rPr>
      </w:pPr>
      <w:r w:rsidRPr="00F30598">
        <w:rPr>
          <w:rFonts w:ascii="Arial" w:hAnsi="Arial" w:cs="Arial"/>
          <w:sz w:val="24"/>
          <w:szCs w:val="24"/>
          <w:lang w:val="es-AR"/>
        </w:rPr>
        <w:t xml:space="preserve"> </w:t>
      </w:r>
      <w:r w:rsidRPr="00F30598">
        <w:rPr>
          <w:rFonts w:ascii="Arial" w:hAnsi="Arial" w:cs="Arial"/>
          <w:noProof/>
        </w:rPr>
        <w:drawing>
          <wp:inline distT="0" distB="0" distL="0" distR="0" wp14:anchorId="4B00F1B4" wp14:editId="3ECC361F">
            <wp:extent cx="5168900" cy="93980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168900" cy="939800"/>
                    </a:xfrm>
                    <a:prstGeom prst="rect">
                      <a:avLst/>
                    </a:prstGeom>
                    <a:noFill/>
                    <a:ln>
                      <a:noFill/>
                    </a:ln>
                  </pic:spPr>
                </pic:pic>
              </a:graphicData>
            </a:graphic>
          </wp:inline>
        </w:drawing>
      </w:r>
    </w:p>
    <w:p w:rsidRPr="00F30598" w:rsidR="004179F3" w:rsidP="006F53C9" w:rsidRDefault="009C5FC0" w14:paraId="74E14B1D" w14:textId="77777777">
      <w:pPr>
        <w:pStyle w:val="Heading2"/>
        <w:spacing w:before="240" w:after="120" w:line="240" w:lineRule="auto"/>
        <w:rPr>
          <w:rFonts w:ascii="Arial" w:hAnsi="Arial" w:cs="Arial"/>
          <w:b/>
          <w:color w:val="auto"/>
          <w:sz w:val="24"/>
          <w:szCs w:val="24"/>
        </w:rPr>
      </w:pPr>
      <w:bookmarkStart w:name="_Toc38020446" w:id="29"/>
      <w:bookmarkStart w:name="_Toc38020660" w:id="30"/>
      <w:r w:rsidRPr="00F30598">
        <w:rPr>
          <w:rFonts w:ascii="Arial" w:hAnsi="Arial" w:cs="Arial"/>
          <w:b/>
          <w:color w:val="auto"/>
          <w:sz w:val="24"/>
          <w:szCs w:val="24"/>
        </w:rPr>
        <w:t>Análisis de sensibilidad</w:t>
      </w:r>
      <w:bookmarkEnd w:id="29"/>
      <w:bookmarkEnd w:id="30"/>
    </w:p>
    <w:p w:rsidRPr="00F30598" w:rsidR="004179F3" w:rsidP="00DA58E9" w:rsidRDefault="004179F3" w14:paraId="020B94BF" w14:textId="5179CCF8">
      <w:pPr>
        <w:spacing w:before="120" w:after="120" w:line="240" w:lineRule="auto"/>
        <w:jc w:val="both"/>
        <w:rPr>
          <w:rFonts w:ascii="Arial" w:hAnsi="Arial" w:cs="Arial"/>
          <w:sz w:val="24"/>
          <w:szCs w:val="24"/>
          <w:lang w:val="es-ES"/>
        </w:rPr>
      </w:pPr>
      <w:r w:rsidRPr="00F30598">
        <w:rPr>
          <w:rFonts w:ascii="Arial" w:hAnsi="Arial" w:cs="Arial"/>
          <w:sz w:val="24"/>
          <w:szCs w:val="24"/>
          <w:lang w:val="es-ES"/>
        </w:rPr>
        <w:t>En el análisis de sensibilidad se modifican los valores de las siguientes variables: Tasa de descuento y Número de reproducción. Si bien todos los escenarios considerados exhiben un VAN positivo, las variaciones en los valores sugieren un comportamiento que debe ser considerado. Tanto con números de reproducción más bajos que el del escenario base como con más altos, el VAN disminuye. Esto ocurre porque si el número de reproducción sigue siendo muy alto a pesar de las intervenciones integrales, aislar a los familiares de los internados va a tener un efecto menor. Por contrapartida, si el número de reproducción se baja a niveles de supresión de la epidemia gracias a las intervenciones integrales, el aislar a los familiares de los internados tiene un efecto menor. Cuando el número de reproducción se ubica en valores superiores a uno</w:t>
      </w:r>
      <w:r w:rsidRPr="00F30598" w:rsidR="00754514">
        <w:rPr>
          <w:rFonts w:ascii="Arial" w:hAnsi="Arial" w:cs="Arial"/>
          <w:sz w:val="24"/>
          <w:szCs w:val="24"/>
          <w:lang w:val="es-ES"/>
        </w:rPr>
        <w:t>,</w:t>
      </w:r>
      <w:r w:rsidRPr="00F30598">
        <w:rPr>
          <w:rFonts w:ascii="Arial" w:hAnsi="Arial" w:cs="Arial"/>
          <w:sz w:val="24"/>
          <w:szCs w:val="24"/>
          <w:lang w:val="es-ES"/>
        </w:rPr>
        <w:t xml:space="preserve"> pero bajos, es decir que la epidemia no se suprime aun cuando se mantiene en niveles controlados, se observa que esta política genera mayores beneficios</w:t>
      </w:r>
      <w:r w:rsidRPr="00F30598" w:rsidR="00CF5C6B">
        <w:rPr>
          <w:rStyle w:val="FootnoteReference"/>
          <w:rFonts w:ascii="Arial" w:hAnsi="Arial" w:cs="Arial"/>
          <w:sz w:val="24"/>
          <w:szCs w:val="24"/>
          <w:lang w:val="es-ES"/>
        </w:rPr>
        <w:footnoteReference w:id="24"/>
      </w:r>
      <w:r w:rsidRPr="00F30598">
        <w:rPr>
          <w:rFonts w:ascii="Arial" w:hAnsi="Arial" w:cs="Arial"/>
          <w:sz w:val="24"/>
          <w:szCs w:val="24"/>
          <w:lang w:val="es-ES"/>
        </w:rPr>
        <w:t>.</w:t>
      </w:r>
    </w:p>
    <w:p w:rsidRPr="00F30598" w:rsidR="004179F3" w:rsidP="00DA58E9" w:rsidRDefault="004179F3" w14:paraId="11560495" w14:textId="77777777">
      <w:pPr>
        <w:spacing w:before="120" w:after="120" w:line="240" w:lineRule="auto"/>
        <w:jc w:val="both"/>
        <w:rPr>
          <w:rFonts w:ascii="Arial" w:hAnsi="Arial" w:cs="Arial"/>
          <w:sz w:val="24"/>
          <w:szCs w:val="24"/>
          <w:lang w:val="es-ES"/>
        </w:rPr>
      </w:pPr>
    </w:p>
    <w:p w:rsidRPr="00F30598" w:rsidR="004179F3" w:rsidP="00DA58E9" w:rsidRDefault="004179F3" w14:paraId="2BFA8D84" w14:textId="307DC2C4">
      <w:pPr>
        <w:pStyle w:val="Caption"/>
        <w:keepNext/>
        <w:spacing w:before="120" w:after="120"/>
        <w:rPr>
          <w:rFonts w:ascii="Arial" w:hAnsi="Arial" w:cs="Arial"/>
          <w:sz w:val="24"/>
          <w:szCs w:val="24"/>
        </w:rPr>
      </w:pPr>
      <w:r w:rsidRPr="00F30598">
        <w:rPr>
          <w:rFonts w:ascii="Arial" w:hAnsi="Arial" w:cs="Arial"/>
          <w:sz w:val="24"/>
          <w:szCs w:val="24"/>
        </w:rPr>
        <w:lastRenderedPageBreak/>
        <w:t xml:space="preserve">Cuadro </w:t>
      </w:r>
      <w:r w:rsidRPr="00F30598">
        <w:rPr>
          <w:rFonts w:ascii="Arial" w:hAnsi="Arial" w:cs="Arial"/>
          <w:sz w:val="24"/>
          <w:szCs w:val="24"/>
        </w:rPr>
        <w:fldChar w:fldCharType="begin"/>
      </w:r>
      <w:r w:rsidRPr="00F30598">
        <w:rPr>
          <w:rFonts w:ascii="Arial" w:hAnsi="Arial" w:cs="Arial"/>
          <w:sz w:val="24"/>
          <w:szCs w:val="24"/>
        </w:rPr>
        <w:instrText xml:space="preserve"> SEQ Cuadro \* ARABIC </w:instrText>
      </w:r>
      <w:r w:rsidRPr="00F30598">
        <w:rPr>
          <w:rFonts w:ascii="Arial" w:hAnsi="Arial" w:cs="Arial"/>
          <w:sz w:val="24"/>
          <w:szCs w:val="24"/>
        </w:rPr>
        <w:fldChar w:fldCharType="separate"/>
      </w:r>
      <w:r w:rsidRPr="00F30598" w:rsidR="00ED2BD4">
        <w:rPr>
          <w:rFonts w:ascii="Arial" w:hAnsi="Arial" w:cs="Arial"/>
          <w:noProof/>
          <w:sz w:val="24"/>
          <w:szCs w:val="24"/>
        </w:rPr>
        <w:t>18</w:t>
      </w:r>
      <w:r w:rsidRPr="00F30598">
        <w:rPr>
          <w:rFonts w:ascii="Arial" w:hAnsi="Arial" w:cs="Arial"/>
          <w:sz w:val="24"/>
          <w:szCs w:val="24"/>
        </w:rPr>
        <w:fldChar w:fldCharType="end"/>
      </w:r>
      <w:r w:rsidRPr="00F30598">
        <w:rPr>
          <w:rFonts w:ascii="Arial" w:hAnsi="Arial" w:cs="Arial"/>
          <w:sz w:val="24"/>
          <w:szCs w:val="24"/>
        </w:rPr>
        <w:t>: Análisis de Sensibilidad Valor Actual Neto</w:t>
      </w:r>
    </w:p>
    <w:p w:rsidRPr="00F30598" w:rsidR="004179F3" w:rsidP="00DA58E9" w:rsidRDefault="00444D40" w14:paraId="4613D313" w14:textId="6F2A45EB">
      <w:pPr>
        <w:spacing w:before="120" w:after="120" w:line="240" w:lineRule="auto"/>
        <w:rPr>
          <w:rFonts w:ascii="Arial" w:hAnsi="Arial" w:cs="Arial"/>
          <w:sz w:val="24"/>
          <w:szCs w:val="24"/>
        </w:rPr>
      </w:pPr>
      <w:r w:rsidRPr="00F30598">
        <w:rPr>
          <w:rFonts w:ascii="Arial" w:hAnsi="Arial" w:cs="Arial"/>
          <w:sz w:val="24"/>
          <w:szCs w:val="24"/>
          <w:lang w:val="es-AR"/>
        </w:rPr>
        <w:t xml:space="preserve"> </w:t>
      </w:r>
      <w:r w:rsidRPr="00F30598">
        <w:rPr>
          <w:rFonts w:ascii="Arial" w:hAnsi="Arial" w:cs="Arial"/>
          <w:noProof/>
        </w:rPr>
        <w:drawing>
          <wp:inline distT="0" distB="0" distL="0" distR="0" wp14:anchorId="2777240D" wp14:editId="4A8C3500">
            <wp:extent cx="3295650" cy="74930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295650" cy="749300"/>
                    </a:xfrm>
                    <a:prstGeom prst="rect">
                      <a:avLst/>
                    </a:prstGeom>
                    <a:noFill/>
                    <a:ln>
                      <a:noFill/>
                    </a:ln>
                  </pic:spPr>
                </pic:pic>
              </a:graphicData>
            </a:graphic>
          </wp:inline>
        </w:drawing>
      </w:r>
    </w:p>
    <w:p w:rsidRPr="00F30598" w:rsidR="004179F3" w:rsidP="00DA58E9" w:rsidRDefault="004179F3" w14:paraId="01955CBE" w14:textId="77777777">
      <w:pPr>
        <w:pStyle w:val="Caption"/>
        <w:keepNext/>
        <w:spacing w:before="120" w:after="120"/>
        <w:rPr>
          <w:rFonts w:ascii="Arial" w:hAnsi="Arial" w:cs="Arial"/>
          <w:sz w:val="24"/>
          <w:szCs w:val="24"/>
        </w:rPr>
      </w:pPr>
    </w:p>
    <w:p w:rsidRPr="00F30598" w:rsidR="004179F3" w:rsidP="00DA58E9" w:rsidRDefault="004179F3" w14:paraId="5A139A85" w14:textId="7D4B855F">
      <w:pPr>
        <w:pStyle w:val="Caption"/>
        <w:keepNext/>
        <w:spacing w:before="120" w:after="120"/>
        <w:rPr>
          <w:rFonts w:ascii="Arial" w:hAnsi="Arial" w:cs="Arial"/>
          <w:sz w:val="24"/>
          <w:szCs w:val="24"/>
        </w:rPr>
      </w:pPr>
      <w:r w:rsidRPr="00F30598">
        <w:rPr>
          <w:rFonts w:ascii="Arial" w:hAnsi="Arial" w:cs="Arial"/>
          <w:sz w:val="24"/>
          <w:szCs w:val="24"/>
        </w:rPr>
        <w:t xml:space="preserve">Cuadro </w:t>
      </w:r>
      <w:r w:rsidRPr="00F30598">
        <w:rPr>
          <w:rFonts w:ascii="Arial" w:hAnsi="Arial" w:cs="Arial"/>
          <w:sz w:val="24"/>
          <w:szCs w:val="24"/>
        </w:rPr>
        <w:fldChar w:fldCharType="begin"/>
      </w:r>
      <w:r w:rsidRPr="00F30598">
        <w:rPr>
          <w:rFonts w:ascii="Arial" w:hAnsi="Arial" w:cs="Arial"/>
          <w:sz w:val="24"/>
          <w:szCs w:val="24"/>
        </w:rPr>
        <w:instrText xml:space="preserve"> SEQ Cuadro \* ARABIC </w:instrText>
      </w:r>
      <w:r w:rsidRPr="00F30598">
        <w:rPr>
          <w:rFonts w:ascii="Arial" w:hAnsi="Arial" w:cs="Arial"/>
          <w:sz w:val="24"/>
          <w:szCs w:val="24"/>
        </w:rPr>
        <w:fldChar w:fldCharType="separate"/>
      </w:r>
      <w:r w:rsidRPr="00F30598" w:rsidR="00ED2BD4">
        <w:rPr>
          <w:rFonts w:ascii="Arial" w:hAnsi="Arial" w:cs="Arial"/>
          <w:noProof/>
          <w:sz w:val="24"/>
          <w:szCs w:val="24"/>
        </w:rPr>
        <w:t>19</w:t>
      </w:r>
      <w:r w:rsidRPr="00F30598">
        <w:rPr>
          <w:rFonts w:ascii="Arial" w:hAnsi="Arial" w:cs="Arial"/>
          <w:sz w:val="24"/>
          <w:szCs w:val="24"/>
        </w:rPr>
        <w:fldChar w:fldCharType="end"/>
      </w:r>
      <w:r w:rsidRPr="00F30598">
        <w:rPr>
          <w:rFonts w:ascii="Arial" w:hAnsi="Arial" w:cs="Arial"/>
          <w:sz w:val="24"/>
          <w:szCs w:val="24"/>
        </w:rPr>
        <w:t xml:space="preserve">: Ratio </w:t>
      </w:r>
      <w:proofErr w:type="spellStart"/>
      <w:proofErr w:type="gramStart"/>
      <w:r w:rsidRPr="00F30598">
        <w:rPr>
          <w:rFonts w:ascii="Arial" w:hAnsi="Arial" w:cs="Arial"/>
          <w:sz w:val="24"/>
          <w:szCs w:val="24"/>
        </w:rPr>
        <w:t>Beneficio:Costo</w:t>
      </w:r>
      <w:proofErr w:type="spellEnd"/>
      <w:proofErr w:type="gramEnd"/>
    </w:p>
    <w:p w:rsidRPr="00F30598" w:rsidR="004179F3" w:rsidP="00DA58E9" w:rsidRDefault="004179F3" w14:paraId="3D1BD4AF" w14:textId="77777777">
      <w:pPr>
        <w:spacing w:before="120" w:after="120" w:line="240" w:lineRule="auto"/>
        <w:rPr>
          <w:rFonts w:ascii="Arial" w:hAnsi="Arial" w:cs="Arial"/>
          <w:sz w:val="24"/>
          <w:szCs w:val="24"/>
        </w:rPr>
      </w:pPr>
      <w:r w:rsidRPr="00F30598">
        <w:rPr>
          <w:rFonts w:ascii="Arial" w:hAnsi="Arial" w:cs="Arial"/>
          <w:noProof/>
        </w:rPr>
        <w:drawing>
          <wp:inline distT="0" distB="0" distL="0" distR="0" wp14:anchorId="6D2E7071" wp14:editId="299C9FDB">
            <wp:extent cx="3295650" cy="927100"/>
            <wp:effectExtent l="0" t="0" r="0" b="6350"/>
            <wp:docPr id="1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295650" cy="927100"/>
                    </a:xfrm>
                    <a:prstGeom prst="rect">
                      <a:avLst/>
                    </a:prstGeom>
                    <a:noFill/>
                    <a:ln>
                      <a:noFill/>
                    </a:ln>
                  </pic:spPr>
                </pic:pic>
              </a:graphicData>
            </a:graphic>
          </wp:inline>
        </w:drawing>
      </w:r>
    </w:p>
    <w:p w:rsidRPr="00F30598" w:rsidR="004179F3" w:rsidP="00DA58E9" w:rsidRDefault="004179F3" w14:paraId="6FBAFFE2" w14:textId="77777777">
      <w:pPr>
        <w:spacing w:before="120" w:after="120" w:line="240" w:lineRule="auto"/>
        <w:rPr>
          <w:rFonts w:ascii="Arial" w:hAnsi="Arial" w:cs="Arial"/>
        </w:rPr>
      </w:pPr>
      <w:r w:rsidRPr="00F30598">
        <w:rPr>
          <w:rFonts w:ascii="Arial" w:hAnsi="Arial" w:cs="Arial"/>
        </w:rPr>
        <w:br w:type="page"/>
      </w:r>
    </w:p>
    <w:p w:rsidRPr="00AC6429" w:rsidR="00D24CE0" w:rsidP="00DA58E9" w:rsidRDefault="00D24CE0" w14:paraId="3E48C113" w14:textId="77777777">
      <w:pPr>
        <w:pStyle w:val="Heading1"/>
        <w:spacing w:before="120" w:after="120" w:line="240" w:lineRule="auto"/>
        <w:rPr>
          <w:rFonts w:ascii="Arial Bold" w:hAnsi="Arial Bold" w:cs="Arial"/>
          <w:b/>
          <w:bCs/>
          <w:smallCaps/>
          <w:sz w:val="24"/>
          <w:szCs w:val="24"/>
          <w:lang w:val="es-ES_tradnl"/>
        </w:rPr>
      </w:pPr>
      <w:bookmarkStart w:name="_Toc38020447" w:id="31"/>
      <w:bookmarkStart w:name="_Toc38020661" w:id="32"/>
      <w:r w:rsidRPr="00AC6429">
        <w:rPr>
          <w:rFonts w:ascii="Arial Bold" w:hAnsi="Arial Bold" w:cs="Arial"/>
          <w:b/>
          <w:bCs/>
          <w:smallCaps/>
          <w:sz w:val="24"/>
          <w:szCs w:val="24"/>
          <w:lang w:val="es-ES_tradnl"/>
        </w:rPr>
        <w:lastRenderedPageBreak/>
        <w:t>COMPONENTE 3</w:t>
      </w:r>
      <w:bookmarkEnd w:id="31"/>
      <w:bookmarkEnd w:id="32"/>
    </w:p>
    <w:p w:rsidRPr="00F30598" w:rsidR="00D24CE0" w:rsidP="00DA58E9" w:rsidRDefault="00D24CE0" w14:paraId="5E41FC16" w14:textId="04E7A9A0">
      <w:pPr>
        <w:spacing w:before="120" w:after="120" w:line="240" w:lineRule="auto"/>
        <w:jc w:val="both"/>
        <w:rPr>
          <w:rFonts w:ascii="Arial" w:hAnsi="Arial" w:cs="Arial"/>
          <w:sz w:val="24"/>
          <w:szCs w:val="24"/>
          <w:lang w:val="es-AR"/>
        </w:rPr>
      </w:pPr>
      <w:r w:rsidRPr="00F30598">
        <w:rPr>
          <w:rFonts w:ascii="Arial" w:hAnsi="Arial" w:cs="Arial"/>
          <w:sz w:val="24"/>
          <w:szCs w:val="24"/>
          <w:lang w:val="es-AR"/>
        </w:rPr>
        <w:t>El</w:t>
      </w:r>
      <w:r w:rsidRPr="00F30598" w:rsidR="0038485E">
        <w:rPr>
          <w:rFonts w:ascii="Arial" w:hAnsi="Arial" w:cs="Arial"/>
          <w:sz w:val="24"/>
          <w:szCs w:val="24"/>
          <w:lang w:val="es-AR"/>
        </w:rPr>
        <w:t xml:space="preserve"> Componente</w:t>
      </w:r>
      <w:r w:rsidRPr="00F30598">
        <w:rPr>
          <w:rFonts w:ascii="Arial" w:hAnsi="Arial" w:cs="Arial"/>
          <w:sz w:val="24"/>
          <w:szCs w:val="24"/>
          <w:lang w:val="es-AR"/>
        </w:rPr>
        <w:t xml:space="preserve"> 3 </w:t>
      </w:r>
      <w:r w:rsidRPr="00F30598" w:rsidR="00CD4D9D">
        <w:rPr>
          <w:rFonts w:ascii="Arial" w:hAnsi="Arial" w:cs="Arial"/>
          <w:sz w:val="24"/>
          <w:szCs w:val="24"/>
          <w:lang w:val="es-AR"/>
        </w:rPr>
        <w:t>“</w:t>
      </w:r>
      <w:r w:rsidRPr="00F30598">
        <w:rPr>
          <w:rFonts w:ascii="Arial" w:hAnsi="Arial" w:cs="Arial"/>
          <w:sz w:val="24"/>
          <w:szCs w:val="24"/>
          <w:lang w:val="es-AR"/>
        </w:rPr>
        <w:t>Protección para población vulnerable que no se encuentra en los padrones de programas de transferencias, y que trabaja en el sector informal financia dos grupos de intervenciones</w:t>
      </w:r>
      <w:r w:rsidRPr="00F30598" w:rsidR="00CD4D9D">
        <w:rPr>
          <w:rFonts w:ascii="Arial" w:hAnsi="Arial" w:cs="Arial"/>
          <w:sz w:val="24"/>
          <w:szCs w:val="24"/>
          <w:lang w:val="es-AR"/>
        </w:rPr>
        <w:t>”</w:t>
      </w:r>
      <w:r w:rsidRPr="00F30598">
        <w:rPr>
          <w:rFonts w:ascii="Arial" w:hAnsi="Arial" w:cs="Arial"/>
          <w:sz w:val="24"/>
          <w:szCs w:val="24"/>
          <w:lang w:val="es-AR"/>
        </w:rPr>
        <w:t>. El primer grupo contempla subcomponente financiará transferencias puntuales a población vulnerable que no se beneficia del</w:t>
      </w:r>
      <w:r w:rsidRPr="00F30598" w:rsidR="0038485E">
        <w:rPr>
          <w:rFonts w:ascii="Arial" w:hAnsi="Arial" w:cs="Arial"/>
          <w:sz w:val="24"/>
          <w:szCs w:val="24"/>
          <w:lang w:val="es-AR"/>
        </w:rPr>
        <w:t xml:space="preserve"> Componente</w:t>
      </w:r>
      <w:r w:rsidRPr="00F30598">
        <w:rPr>
          <w:rFonts w:ascii="Arial" w:hAnsi="Arial" w:cs="Arial"/>
          <w:sz w:val="24"/>
          <w:szCs w:val="24"/>
          <w:lang w:val="es-AR"/>
        </w:rPr>
        <w:t xml:space="preserve"> 2. Los efectos de estas medidas han sido valuados a partir de la estimación de los efectos del multiplicador y de suavizar el consumo ante el shock de ingreso adverso. El segundo grupo está compuesto por programas orientados a proteger los ingresos de estas poblaciones a través del mercado de trabajo que pueden operar una vez haya terminado la etapa de distanciamiento social que exige la emergencia sanitaria. Entre las intervenciones propuestas se encuentran acciones de formación profesional del tipo “cash </w:t>
      </w:r>
      <w:proofErr w:type="spellStart"/>
      <w:r w:rsidRPr="00F30598">
        <w:rPr>
          <w:rFonts w:ascii="Arial" w:hAnsi="Arial" w:cs="Arial"/>
          <w:sz w:val="24"/>
          <w:szCs w:val="24"/>
          <w:lang w:val="es-AR"/>
        </w:rPr>
        <w:t>for</w:t>
      </w:r>
      <w:proofErr w:type="spellEnd"/>
      <w:r w:rsidRPr="00F30598">
        <w:rPr>
          <w:rFonts w:ascii="Arial" w:hAnsi="Arial" w:cs="Arial"/>
          <w:sz w:val="24"/>
          <w:szCs w:val="24"/>
          <w:lang w:val="es-AR"/>
        </w:rPr>
        <w:t xml:space="preserve"> training” que serán evaluadas en forma individual.</w:t>
      </w:r>
    </w:p>
    <w:p w:rsidRPr="00F30598" w:rsidR="00D24CE0" w:rsidP="00DA58E9" w:rsidRDefault="00D24CE0" w14:paraId="13B91AAA" w14:textId="74935F99">
      <w:pPr>
        <w:spacing w:before="120" w:after="120" w:line="240" w:lineRule="auto"/>
        <w:jc w:val="both"/>
        <w:rPr>
          <w:rFonts w:ascii="Arial" w:hAnsi="Arial" w:cs="Arial"/>
          <w:color w:val="000000"/>
          <w:sz w:val="24"/>
          <w:szCs w:val="24"/>
          <w:lang w:val="es-AR"/>
        </w:rPr>
      </w:pPr>
      <w:r w:rsidRPr="00F30598">
        <w:rPr>
          <w:rFonts w:ascii="Arial" w:hAnsi="Arial" w:cs="Arial"/>
          <w:color w:val="000000"/>
          <w:sz w:val="24"/>
          <w:szCs w:val="24"/>
          <w:lang w:val="es-AR"/>
        </w:rPr>
        <w:t>Existe evidencia acerca de la efectividad de este tipo de intervenciones</w:t>
      </w:r>
      <w:r w:rsidRPr="00F30598">
        <w:rPr>
          <w:rStyle w:val="FootnoteReference"/>
          <w:rFonts w:ascii="Arial" w:hAnsi="Arial" w:cs="Arial"/>
          <w:color w:val="000000"/>
          <w:sz w:val="24"/>
          <w:szCs w:val="24"/>
        </w:rPr>
        <w:footnoteReference w:id="25"/>
      </w:r>
      <w:r w:rsidRPr="00F30598">
        <w:rPr>
          <w:rFonts w:ascii="Arial" w:hAnsi="Arial" w:cs="Arial"/>
          <w:color w:val="000000"/>
          <w:sz w:val="24"/>
          <w:szCs w:val="24"/>
          <w:lang w:val="es-AR"/>
        </w:rPr>
        <w:t>, sobre todo en términos de salarios y formalidad, aunque los efectos sobre niveles de empleo son menos claros</w:t>
      </w:r>
      <w:r w:rsidRPr="00F30598">
        <w:rPr>
          <w:rStyle w:val="FootnoteReference"/>
          <w:rFonts w:ascii="Arial" w:hAnsi="Arial" w:cs="Arial"/>
          <w:color w:val="000000"/>
          <w:sz w:val="24"/>
          <w:szCs w:val="24"/>
        </w:rPr>
        <w:footnoteReference w:id="26"/>
      </w:r>
      <w:r w:rsidRPr="00F30598">
        <w:rPr>
          <w:rFonts w:ascii="Arial" w:hAnsi="Arial" w:cs="Arial"/>
          <w:color w:val="000000"/>
          <w:sz w:val="24"/>
          <w:szCs w:val="24"/>
          <w:lang w:val="es-AR"/>
        </w:rPr>
        <w:t xml:space="preserve">. Por este motivo, el ejercicio que se propone se basa en estimar los beneficios a partir de mejoras en el salario futuro. Se opta por basar los cálculos en el efecto estimado por </w:t>
      </w:r>
      <w:proofErr w:type="spellStart"/>
      <w:r w:rsidRPr="00F30598">
        <w:rPr>
          <w:rFonts w:ascii="Arial" w:hAnsi="Arial" w:cs="Arial"/>
          <w:color w:val="000000"/>
          <w:sz w:val="24"/>
          <w:szCs w:val="24"/>
          <w:lang w:val="es-AR"/>
        </w:rPr>
        <w:t>Attanasio</w:t>
      </w:r>
      <w:proofErr w:type="spellEnd"/>
      <w:r w:rsidRPr="00F30598">
        <w:rPr>
          <w:rFonts w:ascii="Arial" w:hAnsi="Arial" w:cs="Arial"/>
          <w:color w:val="000000"/>
          <w:sz w:val="24"/>
          <w:szCs w:val="24"/>
          <w:lang w:val="es-AR"/>
        </w:rPr>
        <w:t xml:space="preserve"> et al. (2017) ya que presenta evidencia acerca de la duración en el tiempo de los efectos, aun cuando con tasas decrecientes. El beneficio está calculado como el efecto diferencial sobre el salario y los costos son los costos operativos y el estipendio brindado a los estudiantes. En este caso no se consideran a las transferencias como beneficio ya que reflejan el costo de oportunidad que afrontan los beneficiarios.</w:t>
      </w:r>
      <w:r w:rsidRPr="00F30598" w:rsidR="00CD1D92">
        <w:rPr>
          <w:rFonts w:ascii="Arial" w:hAnsi="Arial" w:cs="Arial"/>
          <w:color w:val="000000"/>
          <w:sz w:val="24"/>
          <w:szCs w:val="24"/>
          <w:lang w:val="es-AR"/>
        </w:rPr>
        <w:t xml:space="preserve"> Dado que el estudio de </w:t>
      </w:r>
      <w:proofErr w:type="spellStart"/>
      <w:r w:rsidRPr="00F30598" w:rsidR="00CD1D92">
        <w:rPr>
          <w:rFonts w:ascii="Arial" w:hAnsi="Arial" w:cs="Arial"/>
          <w:color w:val="000000"/>
          <w:sz w:val="24"/>
          <w:szCs w:val="24"/>
          <w:lang w:val="es-AR"/>
        </w:rPr>
        <w:t>Attanasio</w:t>
      </w:r>
      <w:proofErr w:type="spellEnd"/>
      <w:r w:rsidRPr="00F30598" w:rsidR="00CD1D92">
        <w:rPr>
          <w:rFonts w:ascii="Arial" w:hAnsi="Arial" w:cs="Arial"/>
          <w:color w:val="000000"/>
          <w:sz w:val="24"/>
          <w:szCs w:val="24"/>
          <w:lang w:val="es-AR"/>
        </w:rPr>
        <w:t xml:space="preserve"> et al. (2017) no cuenta con información sobre los efectos en los salarios de los trabajadores informales, se asume que el efecto se reduce a la mitad.</w:t>
      </w:r>
    </w:p>
    <w:p w:rsidRPr="00F30598" w:rsidR="00011303" w:rsidP="00DA58E9" w:rsidRDefault="00011303" w14:paraId="54C75CA1" w14:textId="2291164A">
      <w:pPr>
        <w:spacing w:before="120" w:after="120" w:line="240" w:lineRule="auto"/>
        <w:jc w:val="both"/>
        <w:rPr>
          <w:rFonts w:ascii="Arial" w:hAnsi="Arial" w:cs="Arial"/>
          <w:color w:val="000000"/>
          <w:sz w:val="24"/>
          <w:szCs w:val="24"/>
          <w:lang w:val="es-AR"/>
        </w:rPr>
      </w:pPr>
      <w:r w:rsidRPr="00F30598">
        <w:rPr>
          <w:rFonts w:ascii="Arial" w:hAnsi="Arial" w:cs="Arial"/>
          <w:color w:val="000000"/>
          <w:sz w:val="24"/>
          <w:szCs w:val="24"/>
          <w:lang w:val="es-AR"/>
        </w:rPr>
        <w:t>Los supuestos adoptados son los siguientes:</w:t>
      </w:r>
    </w:p>
    <w:p w:rsidRPr="00F30598" w:rsidR="00F632B4" w:rsidP="00DA58E9" w:rsidRDefault="00F632B4" w14:paraId="3285DFBE" w14:textId="7325094F">
      <w:pPr>
        <w:spacing w:before="120" w:after="120" w:line="240" w:lineRule="auto"/>
        <w:jc w:val="both"/>
        <w:rPr>
          <w:rFonts w:ascii="Arial" w:hAnsi="Arial" w:cs="Arial"/>
          <w:color w:val="000000"/>
          <w:sz w:val="24"/>
          <w:szCs w:val="24"/>
          <w:lang w:val="es-AR"/>
        </w:rPr>
      </w:pPr>
      <w:r w:rsidRPr="00F30598">
        <w:rPr>
          <w:rFonts w:ascii="Arial" w:hAnsi="Arial" w:cs="Arial"/>
          <w:color w:val="000000"/>
          <w:sz w:val="24"/>
          <w:szCs w:val="24"/>
          <w:lang w:val="es-AR"/>
        </w:rPr>
        <w:t>Tasa de descuento</w:t>
      </w:r>
      <w:r w:rsidRPr="00F30598" w:rsidR="00CD4D9D">
        <w:rPr>
          <w:rFonts w:ascii="Arial" w:hAnsi="Arial" w:cs="Arial"/>
          <w:color w:val="000000"/>
          <w:sz w:val="24"/>
          <w:szCs w:val="24"/>
          <w:lang w:val="es-AR"/>
        </w:rPr>
        <w:t>: 5%</w:t>
      </w:r>
    </w:p>
    <w:p w:rsidRPr="00F30598" w:rsidR="00F632B4" w:rsidP="00DA58E9" w:rsidRDefault="00F632B4" w14:paraId="54E55796" w14:textId="0A1AA796">
      <w:pPr>
        <w:spacing w:before="120" w:after="120" w:line="240" w:lineRule="auto"/>
        <w:jc w:val="both"/>
        <w:rPr>
          <w:rFonts w:ascii="Arial" w:hAnsi="Arial" w:cs="Arial"/>
          <w:color w:val="000000"/>
          <w:sz w:val="24"/>
          <w:szCs w:val="24"/>
          <w:lang w:val="es-AR"/>
        </w:rPr>
      </w:pPr>
      <w:r w:rsidRPr="00F30598">
        <w:rPr>
          <w:rFonts w:ascii="Arial" w:hAnsi="Arial" w:cs="Arial"/>
          <w:color w:val="000000"/>
          <w:sz w:val="24"/>
          <w:szCs w:val="24"/>
          <w:lang w:val="es-AR"/>
        </w:rPr>
        <w:t>Cantidad de Beneficiarios</w:t>
      </w:r>
      <w:r w:rsidRPr="00F30598" w:rsidR="00CD4D9D">
        <w:rPr>
          <w:rFonts w:ascii="Arial" w:hAnsi="Arial" w:cs="Arial"/>
          <w:color w:val="000000"/>
          <w:sz w:val="24"/>
          <w:szCs w:val="24"/>
          <w:lang w:val="es-AR"/>
        </w:rPr>
        <w:t xml:space="preserve">: </w:t>
      </w:r>
      <w:r w:rsidRPr="00F30598">
        <w:rPr>
          <w:rFonts w:ascii="Arial" w:hAnsi="Arial" w:cs="Arial"/>
          <w:color w:val="000000"/>
          <w:sz w:val="24"/>
          <w:szCs w:val="24"/>
          <w:lang w:val="es-AR"/>
        </w:rPr>
        <w:t>10</w:t>
      </w:r>
      <w:r w:rsidRPr="00F30598" w:rsidR="00CD4D9D">
        <w:rPr>
          <w:rFonts w:ascii="Arial" w:hAnsi="Arial" w:cs="Arial"/>
          <w:color w:val="000000"/>
          <w:sz w:val="24"/>
          <w:szCs w:val="24"/>
          <w:lang w:val="es-AR"/>
        </w:rPr>
        <w:t>.</w:t>
      </w:r>
      <w:r w:rsidRPr="00F30598">
        <w:rPr>
          <w:rFonts w:ascii="Arial" w:hAnsi="Arial" w:cs="Arial"/>
          <w:color w:val="000000"/>
          <w:sz w:val="24"/>
          <w:szCs w:val="24"/>
          <w:lang w:val="es-AR"/>
        </w:rPr>
        <w:t>000</w:t>
      </w:r>
    </w:p>
    <w:p w:rsidRPr="00F30598" w:rsidR="00F632B4" w:rsidP="00DA58E9" w:rsidRDefault="00F632B4" w14:paraId="177FA3E2" w14:textId="439EE801">
      <w:pPr>
        <w:spacing w:before="120" w:after="120" w:line="240" w:lineRule="auto"/>
        <w:jc w:val="both"/>
        <w:rPr>
          <w:rFonts w:ascii="Arial" w:hAnsi="Arial" w:cs="Arial"/>
          <w:color w:val="000000"/>
          <w:sz w:val="24"/>
          <w:szCs w:val="24"/>
          <w:lang w:val="es-AR"/>
        </w:rPr>
      </w:pPr>
      <w:r w:rsidRPr="17D008AF">
        <w:rPr>
          <w:rFonts w:ascii="Arial" w:hAnsi="Arial" w:cs="Arial"/>
          <w:color w:val="000000" w:themeColor="text1"/>
          <w:sz w:val="24"/>
          <w:szCs w:val="24"/>
          <w:lang w:val="es-AR"/>
        </w:rPr>
        <w:t>Estipendio y costos operativos por beneficiario</w:t>
      </w:r>
      <w:r w:rsidRPr="17D008AF" w:rsidR="00CD4D9D">
        <w:rPr>
          <w:rFonts w:ascii="Arial" w:hAnsi="Arial" w:cs="Arial"/>
          <w:color w:val="000000" w:themeColor="text1"/>
          <w:sz w:val="24"/>
          <w:szCs w:val="24"/>
          <w:lang w:val="es-AR"/>
        </w:rPr>
        <w:t xml:space="preserve">: </w:t>
      </w:r>
      <w:r w:rsidRPr="17D008AF" w:rsidR="3BEB6977">
        <w:rPr>
          <w:rFonts w:ascii="Arial" w:hAnsi="Arial" w:cs="Arial"/>
          <w:color w:val="000000" w:themeColor="text1"/>
          <w:sz w:val="24"/>
          <w:szCs w:val="24"/>
          <w:lang w:val="es-AR"/>
        </w:rPr>
        <w:t>USD</w:t>
      </w:r>
      <w:r w:rsidRPr="17D008AF">
        <w:rPr>
          <w:rFonts w:ascii="Arial" w:hAnsi="Arial" w:cs="Arial"/>
          <w:color w:val="000000" w:themeColor="text1"/>
          <w:sz w:val="24"/>
          <w:szCs w:val="24"/>
          <w:lang w:val="es-AR"/>
        </w:rPr>
        <w:t>750</w:t>
      </w:r>
    </w:p>
    <w:p w:rsidRPr="00F30598" w:rsidR="00F632B4" w:rsidP="00DA58E9" w:rsidRDefault="00F632B4" w14:paraId="16BEC595" w14:textId="7A04FB9D">
      <w:pPr>
        <w:spacing w:before="120" w:after="120" w:line="240" w:lineRule="auto"/>
        <w:jc w:val="both"/>
        <w:rPr>
          <w:rFonts w:ascii="Arial" w:hAnsi="Arial" w:cs="Arial"/>
          <w:color w:val="000000"/>
          <w:sz w:val="24"/>
          <w:szCs w:val="24"/>
          <w:lang w:val="es-AR"/>
        </w:rPr>
      </w:pPr>
      <w:r w:rsidRPr="00F30598">
        <w:rPr>
          <w:rFonts w:ascii="Arial" w:hAnsi="Arial" w:cs="Arial"/>
          <w:color w:val="000000"/>
          <w:sz w:val="24"/>
          <w:szCs w:val="24"/>
          <w:lang w:val="es-AR"/>
        </w:rPr>
        <w:t>Efecto del tratamiento sobre el ingreso formal</w:t>
      </w:r>
      <w:r w:rsidRPr="00F30598" w:rsidR="00CD4D9D">
        <w:rPr>
          <w:rFonts w:ascii="Arial" w:hAnsi="Arial" w:cs="Arial"/>
          <w:color w:val="000000"/>
          <w:sz w:val="24"/>
          <w:szCs w:val="24"/>
          <w:lang w:val="es-AR"/>
        </w:rPr>
        <w:t xml:space="preserve">: </w:t>
      </w:r>
      <w:r w:rsidRPr="00F30598">
        <w:rPr>
          <w:rFonts w:ascii="Arial" w:hAnsi="Arial" w:cs="Arial"/>
          <w:color w:val="000000"/>
          <w:sz w:val="24"/>
          <w:szCs w:val="24"/>
          <w:lang w:val="es-AR"/>
        </w:rPr>
        <w:t>0.136</w:t>
      </w:r>
    </w:p>
    <w:p w:rsidRPr="00F30598" w:rsidR="00F632B4" w:rsidP="00DA58E9" w:rsidRDefault="00F632B4" w14:paraId="2FAEAC9D" w14:textId="26A3AF3A">
      <w:pPr>
        <w:spacing w:before="120" w:after="120" w:line="240" w:lineRule="auto"/>
        <w:jc w:val="both"/>
        <w:rPr>
          <w:rFonts w:ascii="Arial" w:hAnsi="Arial" w:cs="Arial"/>
          <w:color w:val="000000"/>
          <w:sz w:val="24"/>
          <w:szCs w:val="24"/>
          <w:lang w:val="es-AR"/>
        </w:rPr>
      </w:pPr>
      <w:r w:rsidRPr="00F30598">
        <w:rPr>
          <w:rFonts w:ascii="Arial" w:hAnsi="Arial" w:cs="Arial"/>
          <w:color w:val="000000"/>
          <w:sz w:val="24"/>
          <w:szCs w:val="24"/>
          <w:lang w:val="es-AR"/>
        </w:rPr>
        <w:t>Efecto del tratamiento sobre el ingreso no formal</w:t>
      </w:r>
      <w:r w:rsidRPr="00F30598" w:rsidR="00CD4D9D">
        <w:rPr>
          <w:rFonts w:ascii="Arial" w:hAnsi="Arial" w:cs="Arial"/>
          <w:color w:val="000000"/>
          <w:sz w:val="24"/>
          <w:szCs w:val="24"/>
          <w:lang w:val="es-AR"/>
        </w:rPr>
        <w:t xml:space="preserve">: </w:t>
      </w:r>
      <w:r w:rsidRPr="00F30598">
        <w:rPr>
          <w:rFonts w:ascii="Arial" w:hAnsi="Arial" w:cs="Arial"/>
          <w:color w:val="000000"/>
          <w:sz w:val="24"/>
          <w:szCs w:val="24"/>
          <w:lang w:val="es-AR"/>
        </w:rPr>
        <w:t>0.068</w:t>
      </w:r>
    </w:p>
    <w:p w:rsidRPr="00F30598" w:rsidR="00F632B4" w:rsidP="00DA58E9" w:rsidRDefault="00F632B4" w14:paraId="5B20C173" w14:textId="0FF8007D">
      <w:pPr>
        <w:spacing w:before="120" w:after="120" w:line="240" w:lineRule="auto"/>
        <w:jc w:val="both"/>
        <w:rPr>
          <w:rFonts w:ascii="Arial" w:hAnsi="Arial" w:cs="Arial"/>
          <w:color w:val="000000"/>
          <w:sz w:val="24"/>
          <w:szCs w:val="24"/>
          <w:lang w:val="es-AR"/>
        </w:rPr>
      </w:pPr>
      <w:r w:rsidRPr="17D008AF">
        <w:rPr>
          <w:rFonts w:ascii="Arial" w:hAnsi="Arial" w:cs="Arial"/>
          <w:color w:val="000000" w:themeColor="text1"/>
          <w:sz w:val="24"/>
          <w:szCs w:val="24"/>
          <w:lang w:val="es-AR"/>
        </w:rPr>
        <w:t>Salario de referencia</w:t>
      </w:r>
      <w:r w:rsidRPr="17D008AF" w:rsidR="00CD4D9D">
        <w:rPr>
          <w:rFonts w:ascii="Arial" w:hAnsi="Arial" w:cs="Arial"/>
          <w:color w:val="000000" w:themeColor="text1"/>
          <w:sz w:val="24"/>
          <w:szCs w:val="24"/>
          <w:lang w:val="es-AR"/>
        </w:rPr>
        <w:t xml:space="preserve">: </w:t>
      </w:r>
      <w:r w:rsidRPr="17D008AF" w:rsidR="0F58DC2D">
        <w:rPr>
          <w:rFonts w:ascii="Arial" w:hAnsi="Arial" w:cs="Arial"/>
          <w:color w:val="000000" w:themeColor="text1"/>
          <w:sz w:val="24"/>
          <w:szCs w:val="24"/>
          <w:lang w:val="es-AR"/>
        </w:rPr>
        <w:t>USD</w:t>
      </w:r>
      <w:r w:rsidRPr="17D008AF">
        <w:rPr>
          <w:rFonts w:ascii="Arial" w:hAnsi="Arial" w:cs="Arial"/>
          <w:color w:val="000000" w:themeColor="text1"/>
          <w:sz w:val="24"/>
          <w:szCs w:val="24"/>
          <w:lang w:val="es-AR"/>
        </w:rPr>
        <w:t>388</w:t>
      </w:r>
    </w:p>
    <w:p w:rsidRPr="00F30598" w:rsidR="00F632B4" w:rsidP="00DA58E9" w:rsidRDefault="00F632B4" w14:paraId="12AA3E62" w14:textId="441E95C3">
      <w:pPr>
        <w:spacing w:before="120" w:after="120" w:line="240" w:lineRule="auto"/>
        <w:jc w:val="both"/>
        <w:rPr>
          <w:rFonts w:ascii="Arial" w:hAnsi="Arial" w:cs="Arial"/>
          <w:color w:val="000000"/>
          <w:sz w:val="24"/>
          <w:szCs w:val="24"/>
          <w:lang w:val="es-AR"/>
        </w:rPr>
      </w:pPr>
      <w:r w:rsidRPr="00F30598">
        <w:rPr>
          <w:rFonts w:ascii="Arial" w:hAnsi="Arial" w:cs="Arial"/>
          <w:color w:val="000000"/>
          <w:sz w:val="24"/>
          <w:szCs w:val="24"/>
          <w:lang w:val="es-AR"/>
        </w:rPr>
        <w:t>Proporción empleados formales</w:t>
      </w:r>
      <w:r w:rsidRPr="00F30598" w:rsidR="00CD4D9D">
        <w:rPr>
          <w:rFonts w:ascii="Arial" w:hAnsi="Arial" w:cs="Arial"/>
          <w:color w:val="000000"/>
          <w:sz w:val="24"/>
          <w:szCs w:val="24"/>
          <w:lang w:val="es-AR"/>
        </w:rPr>
        <w:t>: 0</w:t>
      </w:r>
      <w:r w:rsidRPr="00F30598">
        <w:rPr>
          <w:rFonts w:ascii="Arial" w:hAnsi="Arial" w:cs="Arial"/>
          <w:color w:val="000000"/>
          <w:sz w:val="24"/>
          <w:szCs w:val="24"/>
          <w:lang w:val="es-AR"/>
        </w:rPr>
        <w:t>.31</w:t>
      </w:r>
    </w:p>
    <w:p w:rsidRPr="00F30598" w:rsidR="00F632B4" w:rsidP="00DA58E9" w:rsidRDefault="00F632B4" w14:paraId="2827F4C5" w14:textId="44AE713E">
      <w:pPr>
        <w:spacing w:before="120" w:after="120" w:line="240" w:lineRule="auto"/>
        <w:jc w:val="both"/>
        <w:rPr>
          <w:rFonts w:ascii="Arial" w:hAnsi="Arial" w:cs="Arial"/>
          <w:color w:val="000000"/>
          <w:sz w:val="24"/>
          <w:szCs w:val="24"/>
          <w:lang w:val="es-AR"/>
        </w:rPr>
      </w:pPr>
      <w:r w:rsidRPr="00F30598">
        <w:rPr>
          <w:rFonts w:ascii="Arial" w:hAnsi="Arial" w:cs="Arial"/>
          <w:color w:val="000000"/>
          <w:sz w:val="24"/>
          <w:szCs w:val="24"/>
          <w:lang w:val="es-AR"/>
        </w:rPr>
        <w:t>Tasa de desempleo</w:t>
      </w:r>
      <w:r w:rsidRPr="00F30598" w:rsidR="00CD4D9D">
        <w:rPr>
          <w:rFonts w:ascii="Arial" w:hAnsi="Arial" w:cs="Arial"/>
          <w:color w:val="000000"/>
          <w:sz w:val="24"/>
          <w:szCs w:val="24"/>
          <w:lang w:val="es-AR"/>
        </w:rPr>
        <w:t xml:space="preserve">: </w:t>
      </w:r>
      <w:r w:rsidRPr="00F30598">
        <w:rPr>
          <w:rFonts w:ascii="Arial" w:hAnsi="Arial" w:cs="Arial"/>
          <w:color w:val="000000"/>
          <w:sz w:val="24"/>
          <w:szCs w:val="24"/>
          <w:lang w:val="es-AR"/>
        </w:rPr>
        <w:t>0.046</w:t>
      </w:r>
    </w:p>
    <w:p w:rsidRPr="00F30598" w:rsidR="00F632B4" w:rsidP="00DA58E9" w:rsidRDefault="00F632B4" w14:paraId="1FE5E1C4" w14:textId="7C2FCBDA">
      <w:pPr>
        <w:spacing w:before="120" w:after="120" w:line="240" w:lineRule="auto"/>
        <w:jc w:val="both"/>
        <w:rPr>
          <w:rFonts w:ascii="Arial" w:hAnsi="Arial" w:cs="Arial"/>
          <w:color w:val="000000"/>
          <w:sz w:val="24"/>
          <w:szCs w:val="24"/>
          <w:lang w:val="es-AR"/>
        </w:rPr>
      </w:pPr>
      <w:r w:rsidRPr="00F30598">
        <w:rPr>
          <w:rFonts w:ascii="Arial" w:hAnsi="Arial" w:cs="Arial"/>
          <w:color w:val="000000"/>
          <w:sz w:val="24"/>
          <w:szCs w:val="24"/>
          <w:lang w:val="es-AR"/>
        </w:rPr>
        <w:t>Beneficiarios que obtienen empleo</w:t>
      </w:r>
      <w:r w:rsidRPr="00F30598" w:rsidR="00CD4D9D">
        <w:rPr>
          <w:rFonts w:ascii="Arial" w:hAnsi="Arial" w:cs="Arial"/>
          <w:color w:val="000000"/>
          <w:sz w:val="24"/>
          <w:szCs w:val="24"/>
          <w:lang w:val="es-AR"/>
        </w:rPr>
        <w:t xml:space="preserve">: </w:t>
      </w:r>
      <w:r w:rsidRPr="00F30598">
        <w:rPr>
          <w:rFonts w:ascii="Arial" w:hAnsi="Arial" w:cs="Arial"/>
          <w:color w:val="000000"/>
          <w:sz w:val="24"/>
          <w:szCs w:val="24"/>
          <w:lang w:val="es-AR"/>
        </w:rPr>
        <w:t>9</w:t>
      </w:r>
      <w:r w:rsidRPr="00F30598" w:rsidR="00CD4D9D">
        <w:rPr>
          <w:rFonts w:ascii="Arial" w:hAnsi="Arial" w:cs="Arial"/>
          <w:color w:val="000000"/>
          <w:sz w:val="24"/>
          <w:szCs w:val="24"/>
          <w:lang w:val="es-AR"/>
        </w:rPr>
        <w:t>.</w:t>
      </w:r>
      <w:r w:rsidRPr="00F30598">
        <w:rPr>
          <w:rFonts w:ascii="Arial" w:hAnsi="Arial" w:cs="Arial"/>
          <w:color w:val="000000"/>
          <w:sz w:val="24"/>
          <w:szCs w:val="24"/>
          <w:lang w:val="es-AR"/>
        </w:rPr>
        <w:t>540</w:t>
      </w:r>
    </w:p>
    <w:p w:rsidRPr="00F30598" w:rsidR="00F632B4" w:rsidP="00DA58E9" w:rsidRDefault="00F632B4" w14:paraId="5112D885" w14:textId="1F02D77C">
      <w:pPr>
        <w:spacing w:before="120" w:after="120" w:line="240" w:lineRule="auto"/>
        <w:jc w:val="both"/>
        <w:rPr>
          <w:rFonts w:ascii="Arial" w:hAnsi="Arial" w:cs="Arial"/>
          <w:color w:val="000000"/>
          <w:sz w:val="24"/>
          <w:szCs w:val="24"/>
          <w:lang w:val="es-AR"/>
        </w:rPr>
      </w:pPr>
      <w:r w:rsidRPr="00F30598">
        <w:rPr>
          <w:rFonts w:ascii="Arial" w:hAnsi="Arial" w:cs="Arial"/>
          <w:color w:val="000000"/>
          <w:sz w:val="24"/>
          <w:szCs w:val="24"/>
          <w:lang w:val="es-AR"/>
        </w:rPr>
        <w:t>Cantidad de beneficiarios con efecto positivo mercado formal</w:t>
      </w:r>
      <w:r w:rsidRPr="00F30598" w:rsidR="00CD4D9D">
        <w:rPr>
          <w:rFonts w:ascii="Arial" w:hAnsi="Arial" w:cs="Arial"/>
          <w:color w:val="000000"/>
          <w:sz w:val="24"/>
          <w:szCs w:val="24"/>
          <w:lang w:val="es-AR"/>
        </w:rPr>
        <w:t xml:space="preserve">: </w:t>
      </w:r>
      <w:r w:rsidRPr="00F30598">
        <w:rPr>
          <w:rFonts w:ascii="Arial" w:hAnsi="Arial" w:cs="Arial"/>
          <w:color w:val="000000"/>
          <w:sz w:val="24"/>
          <w:szCs w:val="24"/>
          <w:lang w:val="es-AR"/>
        </w:rPr>
        <w:t>2957</w:t>
      </w:r>
    </w:p>
    <w:p w:rsidRPr="00F30598" w:rsidR="00F632B4" w:rsidP="00DA58E9" w:rsidRDefault="00F632B4" w14:paraId="5B09489F" w14:textId="038B2F58">
      <w:pPr>
        <w:spacing w:before="120" w:after="120" w:line="240" w:lineRule="auto"/>
        <w:jc w:val="both"/>
        <w:rPr>
          <w:rFonts w:ascii="Arial" w:hAnsi="Arial" w:cs="Arial"/>
          <w:color w:val="000000"/>
          <w:sz w:val="24"/>
          <w:szCs w:val="24"/>
          <w:lang w:val="es-AR"/>
        </w:rPr>
      </w:pPr>
      <w:r w:rsidRPr="00F30598">
        <w:rPr>
          <w:rFonts w:ascii="Arial" w:hAnsi="Arial" w:cs="Arial"/>
          <w:color w:val="000000"/>
          <w:sz w:val="24"/>
          <w:szCs w:val="24"/>
          <w:lang w:val="es-AR"/>
        </w:rPr>
        <w:t>Cantidad de beneficiarios con efecto positivo mercado informal</w:t>
      </w:r>
      <w:r w:rsidRPr="00F30598" w:rsidR="00CD4D9D">
        <w:rPr>
          <w:rFonts w:ascii="Arial" w:hAnsi="Arial" w:cs="Arial"/>
          <w:color w:val="000000"/>
          <w:sz w:val="24"/>
          <w:szCs w:val="24"/>
          <w:lang w:val="es-AR"/>
        </w:rPr>
        <w:t xml:space="preserve">: </w:t>
      </w:r>
      <w:r w:rsidRPr="00F30598">
        <w:rPr>
          <w:rFonts w:ascii="Arial" w:hAnsi="Arial" w:cs="Arial"/>
          <w:color w:val="000000"/>
          <w:sz w:val="24"/>
          <w:szCs w:val="24"/>
          <w:lang w:val="es-AR"/>
        </w:rPr>
        <w:t>6583</w:t>
      </w:r>
    </w:p>
    <w:p w:rsidRPr="00F30598" w:rsidR="00011303" w:rsidP="00DA58E9" w:rsidRDefault="00F632B4" w14:paraId="3310ECDA" w14:textId="746B8C79">
      <w:pPr>
        <w:spacing w:before="120" w:after="120" w:line="240" w:lineRule="auto"/>
        <w:jc w:val="both"/>
        <w:rPr>
          <w:rFonts w:ascii="Arial" w:hAnsi="Arial" w:cs="Arial"/>
          <w:color w:val="000000"/>
          <w:sz w:val="24"/>
          <w:szCs w:val="24"/>
          <w:lang w:val="es-AR"/>
        </w:rPr>
      </w:pPr>
      <w:r w:rsidRPr="00F30598">
        <w:rPr>
          <w:rFonts w:ascii="Arial" w:hAnsi="Arial" w:cs="Arial"/>
          <w:color w:val="000000"/>
          <w:sz w:val="24"/>
          <w:szCs w:val="24"/>
          <w:lang w:val="es-AR"/>
        </w:rPr>
        <w:lastRenderedPageBreak/>
        <w:t>Tasa decrecimiento de ganancias (anual)</w:t>
      </w:r>
      <w:r w:rsidRPr="00F30598" w:rsidR="00CD4D9D">
        <w:rPr>
          <w:rFonts w:ascii="Arial" w:hAnsi="Arial" w:cs="Arial"/>
          <w:color w:val="000000"/>
          <w:sz w:val="24"/>
          <w:szCs w:val="24"/>
          <w:lang w:val="es-AR"/>
        </w:rPr>
        <w:t xml:space="preserve">: </w:t>
      </w:r>
      <w:r w:rsidRPr="00F30598">
        <w:rPr>
          <w:rFonts w:ascii="Arial" w:hAnsi="Arial" w:cs="Arial"/>
          <w:color w:val="000000"/>
          <w:sz w:val="24"/>
          <w:szCs w:val="24"/>
          <w:lang w:val="es-AR"/>
        </w:rPr>
        <w:t>6%</w:t>
      </w:r>
    </w:p>
    <w:p w:rsidRPr="00F30598" w:rsidR="00F632B4" w:rsidP="00DA58E9" w:rsidRDefault="00F632B4" w14:paraId="0D22234C" w14:textId="29486097">
      <w:pPr>
        <w:spacing w:before="120" w:after="120" w:line="240" w:lineRule="auto"/>
        <w:jc w:val="both"/>
        <w:rPr>
          <w:rFonts w:ascii="Arial" w:hAnsi="Arial" w:cs="Arial"/>
          <w:color w:val="000000"/>
          <w:sz w:val="24"/>
          <w:szCs w:val="24"/>
          <w:lang w:val="es-AR"/>
        </w:rPr>
      </w:pPr>
      <w:r w:rsidRPr="00F30598">
        <w:rPr>
          <w:rFonts w:ascii="Arial" w:hAnsi="Arial" w:cs="Arial"/>
          <w:color w:val="000000"/>
          <w:sz w:val="24"/>
          <w:szCs w:val="24"/>
          <w:lang w:val="es-AR"/>
        </w:rPr>
        <w:t>Horizonte temporal del análisis: 10 años</w:t>
      </w:r>
    </w:p>
    <w:p w:rsidRPr="006F53C9" w:rsidR="00D24CE0" w:rsidP="006F53C9" w:rsidRDefault="000D6B8C" w14:paraId="2E5764E4" w14:textId="76EF960F">
      <w:pPr>
        <w:pStyle w:val="Heading1"/>
        <w:spacing w:after="120" w:line="240" w:lineRule="auto"/>
        <w:rPr>
          <w:rFonts w:ascii="Arial Bold" w:hAnsi="Arial Bold" w:cs="Arial"/>
          <w:b/>
          <w:bCs/>
          <w:smallCaps/>
          <w:sz w:val="24"/>
          <w:szCs w:val="24"/>
          <w:lang w:val="es-ES_tradnl"/>
        </w:rPr>
      </w:pPr>
      <w:bookmarkStart w:name="_Toc38020448" w:id="33"/>
      <w:bookmarkStart w:name="_Toc38020662" w:id="34"/>
      <w:r w:rsidRPr="006F53C9">
        <w:rPr>
          <w:rFonts w:ascii="Arial Bold" w:hAnsi="Arial Bold" w:cs="Arial"/>
          <w:b/>
          <w:bCs/>
          <w:smallCaps/>
          <w:sz w:val="24"/>
          <w:szCs w:val="24"/>
          <w:lang w:val="es-ES_tradnl"/>
        </w:rPr>
        <w:t>RESULTADOS</w:t>
      </w:r>
      <w:bookmarkEnd w:id="33"/>
      <w:bookmarkEnd w:id="34"/>
    </w:p>
    <w:p w:rsidRPr="00F30598" w:rsidR="000D6B8C" w:rsidP="00DA58E9" w:rsidRDefault="000D6B8C" w14:paraId="377D0087" w14:textId="274A110F">
      <w:pPr>
        <w:spacing w:before="120" w:after="120" w:line="240" w:lineRule="auto"/>
        <w:jc w:val="both"/>
        <w:rPr>
          <w:rFonts w:ascii="Arial" w:hAnsi="Arial" w:cs="Arial"/>
          <w:sz w:val="24"/>
          <w:szCs w:val="24"/>
          <w:lang w:val="es-AR"/>
        </w:rPr>
      </w:pPr>
      <w:r w:rsidRPr="17D008AF">
        <w:rPr>
          <w:rFonts w:ascii="Arial" w:hAnsi="Arial" w:cs="Arial"/>
          <w:sz w:val="24"/>
          <w:szCs w:val="24"/>
          <w:lang w:val="es-AR"/>
        </w:rPr>
        <w:t xml:space="preserve">Los siguientes cuadros muestran los resultados del análisis. Como puede observarse la intervención tiene un valor actual neto cercano a los </w:t>
      </w:r>
      <w:r w:rsidRPr="17D008AF" w:rsidR="6071D166">
        <w:rPr>
          <w:rFonts w:ascii="Arial" w:hAnsi="Arial" w:cs="Arial"/>
          <w:sz w:val="24"/>
          <w:szCs w:val="24"/>
          <w:lang w:val="es-AR"/>
        </w:rPr>
        <w:t>USD</w:t>
      </w:r>
      <w:r w:rsidRPr="17D008AF">
        <w:rPr>
          <w:rFonts w:ascii="Arial" w:hAnsi="Arial" w:cs="Arial"/>
          <w:sz w:val="24"/>
          <w:szCs w:val="24"/>
          <w:lang w:val="es-AR"/>
        </w:rPr>
        <w:t xml:space="preserve">25 </w:t>
      </w:r>
      <w:proofErr w:type="spellStart"/>
      <w:r w:rsidRPr="17D008AF">
        <w:rPr>
          <w:rFonts w:ascii="Arial" w:hAnsi="Arial" w:cs="Arial"/>
          <w:sz w:val="24"/>
          <w:szCs w:val="24"/>
          <w:lang w:val="es-AR"/>
        </w:rPr>
        <w:t>illones</w:t>
      </w:r>
      <w:proofErr w:type="spellEnd"/>
      <w:r w:rsidRPr="17D008AF" w:rsidR="00A233C5">
        <w:rPr>
          <w:rFonts w:ascii="Arial" w:hAnsi="Arial" w:cs="Arial"/>
          <w:sz w:val="24"/>
          <w:szCs w:val="24"/>
          <w:lang w:val="es-AR"/>
        </w:rPr>
        <w:t>,</w:t>
      </w:r>
      <w:r w:rsidRPr="17D008AF">
        <w:rPr>
          <w:rFonts w:ascii="Arial" w:hAnsi="Arial" w:cs="Arial"/>
          <w:sz w:val="24"/>
          <w:szCs w:val="24"/>
          <w:lang w:val="es-AR"/>
        </w:rPr>
        <w:t xml:space="preserve"> un ratio </w:t>
      </w:r>
      <w:proofErr w:type="spellStart"/>
      <w:proofErr w:type="gramStart"/>
      <w:r w:rsidRPr="17D008AF">
        <w:rPr>
          <w:rFonts w:ascii="Arial" w:hAnsi="Arial" w:cs="Arial"/>
          <w:sz w:val="24"/>
          <w:szCs w:val="24"/>
          <w:lang w:val="es-AR"/>
        </w:rPr>
        <w:t>beneficio:costo</w:t>
      </w:r>
      <w:proofErr w:type="spellEnd"/>
      <w:proofErr w:type="gramEnd"/>
      <w:r w:rsidRPr="17D008AF">
        <w:rPr>
          <w:rFonts w:ascii="Arial" w:hAnsi="Arial" w:cs="Arial"/>
          <w:sz w:val="24"/>
          <w:szCs w:val="24"/>
          <w:lang w:val="es-AR"/>
        </w:rPr>
        <w:t xml:space="preserve"> de </w:t>
      </w:r>
      <w:r w:rsidRPr="17D008AF" w:rsidR="00661CC4">
        <w:rPr>
          <w:rFonts w:ascii="Arial" w:hAnsi="Arial" w:cs="Arial"/>
          <w:sz w:val="24"/>
          <w:szCs w:val="24"/>
          <w:lang w:val="es-AR"/>
        </w:rPr>
        <w:t>2,9</w:t>
      </w:r>
      <w:r w:rsidRPr="17D008AF" w:rsidR="00A233C5">
        <w:rPr>
          <w:rFonts w:ascii="Arial" w:hAnsi="Arial" w:cs="Arial"/>
          <w:sz w:val="24"/>
          <w:szCs w:val="24"/>
          <w:lang w:val="es-AR"/>
        </w:rPr>
        <w:t xml:space="preserve"> y una TIR</w:t>
      </w:r>
      <w:r w:rsidRPr="17D008AF" w:rsidR="006B0DF4">
        <w:rPr>
          <w:rFonts w:ascii="Arial" w:hAnsi="Arial" w:cs="Arial"/>
          <w:sz w:val="24"/>
          <w:szCs w:val="24"/>
          <w:lang w:val="es-AR"/>
        </w:rPr>
        <w:t>M</w:t>
      </w:r>
      <w:r w:rsidRPr="17D008AF" w:rsidR="00A233C5">
        <w:rPr>
          <w:rFonts w:ascii="Arial" w:hAnsi="Arial" w:cs="Arial"/>
          <w:sz w:val="24"/>
          <w:szCs w:val="24"/>
          <w:lang w:val="es-AR"/>
        </w:rPr>
        <w:t xml:space="preserve"> de 1</w:t>
      </w:r>
      <w:r w:rsidRPr="17D008AF" w:rsidR="006B0DF4">
        <w:rPr>
          <w:rFonts w:ascii="Arial" w:hAnsi="Arial" w:cs="Arial"/>
          <w:sz w:val="24"/>
          <w:szCs w:val="24"/>
          <w:lang w:val="es-AR"/>
        </w:rPr>
        <w:t>8.5</w:t>
      </w:r>
      <w:r w:rsidRPr="17D008AF" w:rsidR="00A233C5">
        <w:rPr>
          <w:rFonts w:ascii="Arial" w:hAnsi="Arial" w:cs="Arial"/>
          <w:sz w:val="24"/>
          <w:szCs w:val="24"/>
          <w:lang w:val="es-AR"/>
        </w:rPr>
        <w:t>%</w:t>
      </w:r>
      <w:r w:rsidRPr="17D008AF">
        <w:rPr>
          <w:rFonts w:ascii="Arial" w:hAnsi="Arial" w:cs="Arial"/>
          <w:sz w:val="24"/>
          <w:szCs w:val="24"/>
          <w:lang w:val="es-AR"/>
        </w:rPr>
        <w:t>. Los distintos escenarios evaluados difieren en la efectividad de la intervención y la tasa de descuento. En todos los casos el resultado en términos de valor actual neto es positivo.</w:t>
      </w:r>
    </w:p>
    <w:p w:rsidRPr="00F30598" w:rsidR="0034565F" w:rsidP="00DA58E9" w:rsidRDefault="0034565F" w14:paraId="0D0B8224" w14:textId="0D8C654A">
      <w:pPr>
        <w:spacing w:before="120" w:after="120" w:line="240" w:lineRule="auto"/>
        <w:jc w:val="both"/>
        <w:rPr>
          <w:rFonts w:ascii="Arial" w:hAnsi="Arial" w:cs="Arial"/>
          <w:sz w:val="24"/>
          <w:szCs w:val="24"/>
          <w:lang w:val="es-AR"/>
        </w:rPr>
      </w:pPr>
    </w:p>
    <w:p w:rsidRPr="00F30598" w:rsidR="0034565F" w:rsidP="00DA58E9" w:rsidRDefault="0034565F" w14:paraId="2C3CE010" w14:textId="5BBC33DD">
      <w:pPr>
        <w:pStyle w:val="Caption"/>
        <w:keepNext/>
        <w:spacing w:before="120" w:after="120"/>
        <w:jc w:val="both"/>
        <w:rPr>
          <w:rFonts w:ascii="Arial" w:hAnsi="Arial" w:cs="Arial"/>
          <w:sz w:val="24"/>
          <w:szCs w:val="24"/>
        </w:rPr>
      </w:pPr>
      <w:r w:rsidRPr="00F30598">
        <w:rPr>
          <w:rFonts w:ascii="Arial" w:hAnsi="Arial" w:cs="Arial"/>
          <w:sz w:val="24"/>
          <w:szCs w:val="24"/>
        </w:rPr>
        <w:t xml:space="preserve">Cuadro </w:t>
      </w:r>
      <w:r w:rsidRPr="00F30598">
        <w:rPr>
          <w:rFonts w:ascii="Arial" w:hAnsi="Arial" w:cs="Arial"/>
          <w:sz w:val="24"/>
          <w:szCs w:val="24"/>
        </w:rPr>
        <w:fldChar w:fldCharType="begin"/>
      </w:r>
      <w:r w:rsidRPr="00F30598">
        <w:rPr>
          <w:rFonts w:ascii="Arial" w:hAnsi="Arial" w:cs="Arial"/>
          <w:sz w:val="24"/>
          <w:szCs w:val="24"/>
        </w:rPr>
        <w:instrText xml:space="preserve"> SEQ Cuadro \* ARABIC </w:instrText>
      </w:r>
      <w:r w:rsidRPr="00F30598">
        <w:rPr>
          <w:rFonts w:ascii="Arial" w:hAnsi="Arial" w:cs="Arial"/>
          <w:sz w:val="24"/>
          <w:szCs w:val="24"/>
        </w:rPr>
        <w:fldChar w:fldCharType="separate"/>
      </w:r>
      <w:r w:rsidRPr="00F30598" w:rsidR="00ED2BD4">
        <w:rPr>
          <w:rFonts w:ascii="Arial" w:hAnsi="Arial" w:cs="Arial"/>
          <w:noProof/>
          <w:sz w:val="24"/>
          <w:szCs w:val="24"/>
        </w:rPr>
        <w:t>20</w:t>
      </w:r>
      <w:r w:rsidRPr="00F30598">
        <w:rPr>
          <w:rFonts w:ascii="Arial" w:hAnsi="Arial" w:cs="Arial"/>
          <w:sz w:val="24"/>
          <w:szCs w:val="24"/>
        </w:rPr>
        <w:fldChar w:fldCharType="end"/>
      </w:r>
      <w:r w:rsidRPr="00F30598">
        <w:rPr>
          <w:rFonts w:ascii="Arial" w:hAnsi="Arial" w:cs="Arial"/>
          <w:sz w:val="24"/>
          <w:szCs w:val="24"/>
        </w:rPr>
        <w:t>: Cantidad de beneficiarios</w:t>
      </w:r>
    </w:p>
    <w:p w:rsidRPr="00F30598" w:rsidR="0034565F" w:rsidP="00DA58E9" w:rsidRDefault="0034565F" w14:paraId="5E1682ED" w14:textId="0077A52B">
      <w:pPr>
        <w:spacing w:before="120" w:after="120" w:line="240" w:lineRule="auto"/>
        <w:jc w:val="both"/>
        <w:rPr>
          <w:rFonts w:ascii="Arial" w:hAnsi="Arial" w:cs="Arial"/>
          <w:sz w:val="24"/>
          <w:szCs w:val="24"/>
          <w:lang w:val="es-AR"/>
        </w:rPr>
      </w:pPr>
      <w:r w:rsidRPr="00F30598">
        <w:rPr>
          <w:rFonts w:ascii="Arial" w:hAnsi="Arial" w:cs="Arial"/>
          <w:noProof/>
        </w:rPr>
        <w:drawing>
          <wp:inline distT="0" distB="0" distL="0" distR="0" wp14:anchorId="6D8F10D7" wp14:editId="68FB018E">
            <wp:extent cx="4127500" cy="565150"/>
            <wp:effectExtent l="0" t="0" r="6350" b="635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127500" cy="565150"/>
                    </a:xfrm>
                    <a:prstGeom prst="rect">
                      <a:avLst/>
                    </a:prstGeom>
                    <a:noFill/>
                    <a:ln>
                      <a:noFill/>
                    </a:ln>
                  </pic:spPr>
                </pic:pic>
              </a:graphicData>
            </a:graphic>
          </wp:inline>
        </w:drawing>
      </w:r>
    </w:p>
    <w:p w:rsidRPr="00F30598" w:rsidR="00D24CE0" w:rsidP="00DA58E9" w:rsidRDefault="00D24CE0" w14:paraId="77981D0F" w14:textId="77777777">
      <w:pPr>
        <w:pStyle w:val="ListParagraph"/>
        <w:spacing w:before="120" w:after="120"/>
        <w:contextualSpacing w:val="0"/>
        <w:rPr>
          <w:rFonts w:ascii="Arial" w:hAnsi="Arial" w:eastAsia="Calibri" w:cs="Arial"/>
          <w:szCs w:val="24"/>
          <w:lang w:val="es-AR"/>
        </w:rPr>
      </w:pPr>
    </w:p>
    <w:p w:rsidRPr="00F30598" w:rsidR="00D24CE0" w:rsidP="00DA58E9" w:rsidRDefault="00D24CE0" w14:paraId="582010CB" w14:textId="552A8756">
      <w:pPr>
        <w:pStyle w:val="Caption"/>
        <w:keepNext/>
        <w:spacing w:before="120" w:after="120"/>
        <w:rPr>
          <w:rFonts w:ascii="Arial" w:hAnsi="Arial" w:cs="Arial"/>
          <w:sz w:val="24"/>
          <w:szCs w:val="24"/>
        </w:rPr>
      </w:pPr>
      <w:r w:rsidRPr="00F30598">
        <w:rPr>
          <w:rFonts w:ascii="Arial" w:hAnsi="Arial" w:cs="Arial"/>
          <w:sz w:val="24"/>
          <w:szCs w:val="24"/>
        </w:rPr>
        <w:t xml:space="preserve">Cuadro </w:t>
      </w:r>
      <w:r w:rsidRPr="00F30598">
        <w:rPr>
          <w:rFonts w:ascii="Arial" w:hAnsi="Arial" w:cs="Arial"/>
          <w:sz w:val="24"/>
          <w:szCs w:val="24"/>
        </w:rPr>
        <w:fldChar w:fldCharType="begin"/>
      </w:r>
      <w:r w:rsidRPr="00F30598">
        <w:rPr>
          <w:rFonts w:ascii="Arial" w:hAnsi="Arial" w:cs="Arial"/>
          <w:sz w:val="24"/>
          <w:szCs w:val="24"/>
        </w:rPr>
        <w:instrText xml:space="preserve"> SEQ Cuadro \* ARABIC </w:instrText>
      </w:r>
      <w:r w:rsidRPr="00F30598">
        <w:rPr>
          <w:rFonts w:ascii="Arial" w:hAnsi="Arial" w:cs="Arial"/>
          <w:sz w:val="24"/>
          <w:szCs w:val="24"/>
        </w:rPr>
        <w:fldChar w:fldCharType="separate"/>
      </w:r>
      <w:r w:rsidRPr="00F30598" w:rsidR="00ED2BD4">
        <w:rPr>
          <w:rFonts w:ascii="Arial" w:hAnsi="Arial" w:cs="Arial"/>
          <w:noProof/>
          <w:sz w:val="24"/>
          <w:szCs w:val="24"/>
        </w:rPr>
        <w:t>21</w:t>
      </w:r>
      <w:r w:rsidRPr="00F30598">
        <w:rPr>
          <w:rFonts w:ascii="Arial" w:hAnsi="Arial" w:cs="Arial"/>
          <w:sz w:val="24"/>
          <w:szCs w:val="24"/>
        </w:rPr>
        <w:fldChar w:fldCharType="end"/>
      </w:r>
      <w:r w:rsidRPr="00F30598" w:rsidR="000D6B8C">
        <w:rPr>
          <w:rFonts w:ascii="Arial" w:hAnsi="Arial" w:cs="Arial"/>
          <w:sz w:val="24"/>
          <w:szCs w:val="24"/>
        </w:rPr>
        <w:t>: Resultados: Valor Actual Neto</w:t>
      </w:r>
      <w:r w:rsidRPr="00F30598" w:rsidR="00A233C5">
        <w:rPr>
          <w:rFonts w:ascii="Arial" w:hAnsi="Arial" w:cs="Arial"/>
          <w:sz w:val="24"/>
          <w:szCs w:val="24"/>
        </w:rPr>
        <w:t>,</w:t>
      </w:r>
      <w:r w:rsidRPr="00F30598" w:rsidR="000D6B8C">
        <w:rPr>
          <w:rFonts w:ascii="Arial" w:hAnsi="Arial" w:cs="Arial"/>
          <w:sz w:val="24"/>
          <w:szCs w:val="24"/>
        </w:rPr>
        <w:t xml:space="preserve"> Ratio Beneficio: Costo</w:t>
      </w:r>
      <w:r w:rsidRPr="00F30598" w:rsidR="00A233C5">
        <w:rPr>
          <w:rFonts w:ascii="Arial" w:hAnsi="Arial" w:cs="Arial"/>
          <w:sz w:val="24"/>
          <w:szCs w:val="24"/>
        </w:rPr>
        <w:t xml:space="preserve"> y TIR</w:t>
      </w:r>
      <w:r w:rsidRPr="00F30598" w:rsidR="006B0DF4">
        <w:rPr>
          <w:rFonts w:ascii="Arial" w:hAnsi="Arial" w:cs="Arial"/>
          <w:sz w:val="24"/>
          <w:szCs w:val="24"/>
        </w:rPr>
        <w:t>M</w:t>
      </w:r>
    </w:p>
    <w:p w:rsidRPr="00F30598" w:rsidR="00D24CE0" w:rsidP="00DA58E9" w:rsidRDefault="006B0DF4" w14:paraId="61311150" w14:textId="4C27CD3A">
      <w:pPr>
        <w:spacing w:before="120" w:after="120" w:line="240" w:lineRule="auto"/>
        <w:rPr>
          <w:rFonts w:ascii="Arial" w:hAnsi="Arial" w:cs="Arial"/>
          <w:lang w:val="en"/>
        </w:rPr>
      </w:pPr>
      <w:r w:rsidRPr="00F30598">
        <w:rPr>
          <w:rFonts w:ascii="Arial" w:hAnsi="Arial" w:cs="Arial"/>
          <w:noProof/>
        </w:rPr>
        <w:drawing>
          <wp:inline distT="0" distB="0" distL="0" distR="0" wp14:anchorId="5FF0BC55" wp14:editId="1FC46372">
            <wp:extent cx="4127500" cy="1498600"/>
            <wp:effectExtent l="0" t="0" r="6350" b="635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127500" cy="1498600"/>
                    </a:xfrm>
                    <a:prstGeom prst="rect">
                      <a:avLst/>
                    </a:prstGeom>
                    <a:noFill/>
                    <a:ln>
                      <a:noFill/>
                    </a:ln>
                  </pic:spPr>
                </pic:pic>
              </a:graphicData>
            </a:graphic>
          </wp:inline>
        </w:drawing>
      </w:r>
    </w:p>
    <w:p w:rsidRPr="00F30598" w:rsidR="0034565F" w:rsidP="00DA58E9" w:rsidRDefault="0034565F" w14:paraId="163FDE6B" w14:textId="77777777">
      <w:pPr>
        <w:spacing w:before="120" w:after="120" w:line="240" w:lineRule="auto"/>
        <w:rPr>
          <w:rFonts w:ascii="Arial" w:hAnsi="Arial" w:cs="Arial"/>
          <w:lang w:val="en"/>
        </w:rPr>
      </w:pPr>
    </w:p>
    <w:p w:rsidRPr="00F30598" w:rsidR="00D24CE0" w:rsidP="00DA58E9" w:rsidRDefault="00D24CE0" w14:paraId="32721489" w14:textId="3C95E7F7">
      <w:pPr>
        <w:pStyle w:val="Caption"/>
        <w:keepNext/>
        <w:spacing w:before="120" w:after="120"/>
        <w:rPr>
          <w:rFonts w:ascii="Arial" w:hAnsi="Arial" w:cs="Arial"/>
          <w:sz w:val="24"/>
          <w:szCs w:val="24"/>
        </w:rPr>
      </w:pPr>
      <w:r w:rsidRPr="00F30598">
        <w:rPr>
          <w:rFonts w:ascii="Arial" w:hAnsi="Arial" w:cs="Arial"/>
          <w:sz w:val="24"/>
          <w:szCs w:val="24"/>
        </w:rPr>
        <w:t xml:space="preserve">Cuadro </w:t>
      </w:r>
      <w:r w:rsidRPr="00F30598">
        <w:rPr>
          <w:rFonts w:ascii="Arial" w:hAnsi="Arial" w:cs="Arial"/>
          <w:sz w:val="24"/>
          <w:szCs w:val="24"/>
        </w:rPr>
        <w:fldChar w:fldCharType="begin"/>
      </w:r>
      <w:r w:rsidRPr="00F30598">
        <w:rPr>
          <w:rFonts w:ascii="Arial" w:hAnsi="Arial" w:cs="Arial"/>
          <w:sz w:val="24"/>
          <w:szCs w:val="24"/>
        </w:rPr>
        <w:instrText xml:space="preserve"> SEQ Cuadro \* ARABIC </w:instrText>
      </w:r>
      <w:r w:rsidRPr="00F30598">
        <w:rPr>
          <w:rFonts w:ascii="Arial" w:hAnsi="Arial" w:cs="Arial"/>
          <w:sz w:val="24"/>
          <w:szCs w:val="24"/>
        </w:rPr>
        <w:fldChar w:fldCharType="separate"/>
      </w:r>
      <w:r w:rsidRPr="00F30598" w:rsidR="00ED2BD4">
        <w:rPr>
          <w:rFonts w:ascii="Arial" w:hAnsi="Arial" w:cs="Arial"/>
          <w:noProof/>
          <w:sz w:val="24"/>
          <w:szCs w:val="24"/>
        </w:rPr>
        <w:t>22</w:t>
      </w:r>
      <w:r w:rsidRPr="00F30598">
        <w:rPr>
          <w:rFonts w:ascii="Arial" w:hAnsi="Arial" w:cs="Arial"/>
          <w:sz w:val="24"/>
          <w:szCs w:val="24"/>
        </w:rPr>
        <w:fldChar w:fldCharType="end"/>
      </w:r>
      <w:r w:rsidRPr="00F30598" w:rsidR="000D6B8C">
        <w:rPr>
          <w:rFonts w:ascii="Arial" w:hAnsi="Arial" w:cs="Arial"/>
          <w:sz w:val="24"/>
          <w:szCs w:val="24"/>
        </w:rPr>
        <w:t>: Análisis de sensibilidad (VAN)</w:t>
      </w:r>
    </w:p>
    <w:p w:rsidRPr="00F30598" w:rsidR="00D24CE0" w:rsidP="00DA58E9" w:rsidRDefault="0002760F" w14:paraId="5D8AA9E1" w14:textId="7B47DAAC">
      <w:pPr>
        <w:spacing w:before="120" w:after="120" w:line="240" w:lineRule="auto"/>
        <w:rPr>
          <w:rFonts w:ascii="Arial" w:hAnsi="Arial" w:cs="Arial"/>
          <w:lang w:val="en"/>
        </w:rPr>
      </w:pPr>
      <w:r w:rsidRPr="00F30598">
        <w:rPr>
          <w:rFonts w:ascii="Arial" w:hAnsi="Arial" w:cs="Arial"/>
          <w:noProof/>
        </w:rPr>
        <w:drawing>
          <wp:inline distT="0" distB="0" distL="0" distR="0" wp14:anchorId="6E6F021F" wp14:editId="05538A1A">
            <wp:extent cx="3111500" cy="755650"/>
            <wp:effectExtent l="0" t="0" r="0" b="635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111500" cy="755650"/>
                    </a:xfrm>
                    <a:prstGeom prst="rect">
                      <a:avLst/>
                    </a:prstGeom>
                    <a:noFill/>
                    <a:ln>
                      <a:noFill/>
                    </a:ln>
                  </pic:spPr>
                </pic:pic>
              </a:graphicData>
            </a:graphic>
          </wp:inline>
        </w:drawing>
      </w:r>
    </w:p>
    <w:p w:rsidRPr="00F30598" w:rsidR="00D24CE0" w:rsidP="00DA58E9" w:rsidRDefault="00D24CE0" w14:paraId="2BA3FBF9" w14:textId="77777777">
      <w:pPr>
        <w:spacing w:before="120" w:after="120" w:line="240" w:lineRule="auto"/>
        <w:rPr>
          <w:rFonts w:ascii="Arial" w:hAnsi="Arial" w:cs="Arial"/>
        </w:rPr>
      </w:pPr>
    </w:p>
    <w:p w:rsidRPr="00F30598" w:rsidR="00D24CE0" w:rsidP="00DA58E9" w:rsidRDefault="00D24CE0" w14:paraId="4D065420" w14:textId="5DF0CA24">
      <w:pPr>
        <w:pStyle w:val="Caption"/>
        <w:keepNext/>
        <w:spacing w:before="120" w:after="120"/>
        <w:rPr>
          <w:rFonts w:ascii="Arial" w:hAnsi="Arial" w:cs="Arial"/>
          <w:sz w:val="24"/>
          <w:szCs w:val="24"/>
        </w:rPr>
      </w:pPr>
      <w:r w:rsidRPr="00F30598">
        <w:rPr>
          <w:rFonts w:ascii="Arial" w:hAnsi="Arial" w:cs="Arial"/>
          <w:sz w:val="24"/>
          <w:szCs w:val="24"/>
        </w:rPr>
        <w:t xml:space="preserve">Cuadro </w:t>
      </w:r>
      <w:r w:rsidRPr="00F30598">
        <w:rPr>
          <w:rFonts w:ascii="Arial" w:hAnsi="Arial" w:cs="Arial"/>
          <w:sz w:val="24"/>
          <w:szCs w:val="24"/>
        </w:rPr>
        <w:fldChar w:fldCharType="begin"/>
      </w:r>
      <w:r w:rsidRPr="00F30598">
        <w:rPr>
          <w:rFonts w:ascii="Arial" w:hAnsi="Arial" w:cs="Arial"/>
          <w:sz w:val="24"/>
          <w:szCs w:val="24"/>
        </w:rPr>
        <w:instrText xml:space="preserve"> SEQ Cuadro \* ARABIC </w:instrText>
      </w:r>
      <w:r w:rsidRPr="00F30598">
        <w:rPr>
          <w:rFonts w:ascii="Arial" w:hAnsi="Arial" w:cs="Arial"/>
          <w:sz w:val="24"/>
          <w:szCs w:val="24"/>
        </w:rPr>
        <w:fldChar w:fldCharType="separate"/>
      </w:r>
      <w:r w:rsidRPr="00F30598" w:rsidR="00ED2BD4">
        <w:rPr>
          <w:rFonts w:ascii="Arial" w:hAnsi="Arial" w:cs="Arial"/>
          <w:noProof/>
          <w:sz w:val="24"/>
          <w:szCs w:val="24"/>
        </w:rPr>
        <w:t>23</w:t>
      </w:r>
      <w:r w:rsidRPr="00F30598">
        <w:rPr>
          <w:rFonts w:ascii="Arial" w:hAnsi="Arial" w:cs="Arial"/>
          <w:sz w:val="24"/>
          <w:szCs w:val="24"/>
        </w:rPr>
        <w:fldChar w:fldCharType="end"/>
      </w:r>
      <w:r w:rsidRPr="00F30598" w:rsidR="000D6B8C">
        <w:rPr>
          <w:rFonts w:ascii="Arial" w:hAnsi="Arial" w:cs="Arial"/>
          <w:sz w:val="24"/>
          <w:szCs w:val="24"/>
        </w:rPr>
        <w:t xml:space="preserve">: Análisis de sensibilidad (Ratio </w:t>
      </w:r>
      <w:proofErr w:type="spellStart"/>
      <w:proofErr w:type="gramStart"/>
      <w:r w:rsidRPr="00F30598" w:rsidR="000D6B8C">
        <w:rPr>
          <w:rFonts w:ascii="Arial" w:hAnsi="Arial" w:cs="Arial"/>
          <w:sz w:val="24"/>
          <w:szCs w:val="24"/>
        </w:rPr>
        <w:t>Beneficio:Costo</w:t>
      </w:r>
      <w:proofErr w:type="spellEnd"/>
      <w:proofErr w:type="gramEnd"/>
      <w:r w:rsidRPr="00F30598" w:rsidR="000D6B8C">
        <w:rPr>
          <w:rFonts w:ascii="Arial" w:hAnsi="Arial" w:cs="Arial"/>
          <w:sz w:val="24"/>
          <w:szCs w:val="24"/>
        </w:rPr>
        <w:t>)</w:t>
      </w:r>
    </w:p>
    <w:p w:rsidRPr="00F30598" w:rsidR="00D24CE0" w:rsidP="00DA58E9" w:rsidRDefault="0002760F" w14:paraId="06D63335" w14:textId="7C0E00C2">
      <w:pPr>
        <w:spacing w:before="120" w:after="120" w:line="240" w:lineRule="auto"/>
        <w:rPr>
          <w:rFonts w:ascii="Arial" w:hAnsi="Arial" w:cs="Arial"/>
        </w:rPr>
      </w:pPr>
      <w:r w:rsidRPr="00F30598">
        <w:rPr>
          <w:rFonts w:ascii="Arial" w:hAnsi="Arial" w:cs="Arial"/>
          <w:noProof/>
        </w:rPr>
        <w:drawing>
          <wp:inline distT="0" distB="0" distL="0" distR="0" wp14:anchorId="1BEC5F47" wp14:editId="6DC3AAB7">
            <wp:extent cx="2927350" cy="755650"/>
            <wp:effectExtent l="0" t="0" r="6350" b="635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927350" cy="755650"/>
                    </a:xfrm>
                    <a:prstGeom prst="rect">
                      <a:avLst/>
                    </a:prstGeom>
                    <a:noFill/>
                    <a:ln>
                      <a:noFill/>
                    </a:ln>
                  </pic:spPr>
                </pic:pic>
              </a:graphicData>
            </a:graphic>
          </wp:inline>
        </w:drawing>
      </w:r>
    </w:p>
    <w:p w:rsidRPr="00F30598" w:rsidR="0002760F" w:rsidP="00DA58E9" w:rsidRDefault="0002760F" w14:paraId="61500F54" w14:textId="77777777">
      <w:pPr>
        <w:spacing w:before="120" w:after="120" w:line="240" w:lineRule="auto"/>
        <w:rPr>
          <w:rFonts w:ascii="Arial" w:hAnsi="Arial" w:cs="Arial"/>
        </w:rPr>
      </w:pPr>
    </w:p>
    <w:p w:rsidRPr="00F30598" w:rsidR="00D24CE0" w:rsidP="00DA58E9" w:rsidRDefault="00D24CE0" w14:paraId="62773B17" w14:textId="70575475">
      <w:pPr>
        <w:spacing w:before="120" w:after="120" w:line="240" w:lineRule="auto"/>
        <w:rPr>
          <w:rFonts w:ascii="Arial" w:hAnsi="Arial" w:cs="Arial" w:eastAsiaTheme="majorEastAsia"/>
          <w:color w:val="2E74B5" w:themeColor="accent1" w:themeShade="BF"/>
          <w:sz w:val="32"/>
          <w:szCs w:val="32"/>
        </w:rPr>
      </w:pPr>
      <w:r w:rsidRPr="00F30598">
        <w:rPr>
          <w:rFonts w:ascii="Arial" w:hAnsi="Arial" w:cs="Arial"/>
        </w:rPr>
        <w:br w:type="page"/>
      </w:r>
    </w:p>
    <w:p w:rsidRPr="00AC6429" w:rsidR="004179F3" w:rsidP="00DA58E9" w:rsidRDefault="004179F3" w14:paraId="73F777C9" w14:textId="77777777">
      <w:pPr>
        <w:pStyle w:val="Heading1"/>
        <w:spacing w:before="120" w:after="120" w:line="240" w:lineRule="auto"/>
        <w:rPr>
          <w:rFonts w:ascii="Arial Bold" w:hAnsi="Arial Bold" w:cs="Arial"/>
          <w:b/>
          <w:bCs/>
          <w:smallCaps/>
          <w:sz w:val="24"/>
          <w:szCs w:val="24"/>
          <w:lang w:val="es-ES_tradnl"/>
        </w:rPr>
      </w:pPr>
      <w:bookmarkStart w:name="_Toc38020449" w:id="35"/>
      <w:bookmarkStart w:name="_Toc38020663" w:id="36"/>
      <w:r w:rsidRPr="00AC6429">
        <w:rPr>
          <w:rFonts w:ascii="Arial Bold" w:hAnsi="Arial Bold" w:cs="Arial"/>
          <w:b/>
          <w:bCs/>
          <w:smallCaps/>
          <w:sz w:val="24"/>
          <w:szCs w:val="24"/>
          <w:lang w:val="es-ES_tradnl"/>
        </w:rPr>
        <w:lastRenderedPageBreak/>
        <w:t>COMPONENTE 4</w:t>
      </w:r>
      <w:bookmarkEnd w:id="35"/>
      <w:bookmarkEnd w:id="36"/>
    </w:p>
    <w:p w:rsidRPr="00F30598" w:rsidR="004179F3" w:rsidP="00DA58E9" w:rsidRDefault="004179F3" w14:paraId="77BB4F6E" w14:textId="7987B7FE">
      <w:pPr>
        <w:spacing w:before="120" w:after="120" w:line="240" w:lineRule="auto"/>
        <w:jc w:val="both"/>
        <w:rPr>
          <w:rFonts w:ascii="Arial" w:hAnsi="Arial" w:cs="Arial"/>
          <w:strike/>
          <w:sz w:val="24"/>
          <w:szCs w:val="24"/>
          <w:lang w:val="es-ES"/>
        </w:rPr>
      </w:pPr>
      <w:r w:rsidRPr="00F30598">
        <w:rPr>
          <w:rFonts w:ascii="Arial" w:hAnsi="Arial" w:cs="Arial"/>
          <w:sz w:val="24"/>
          <w:szCs w:val="24"/>
          <w:lang w:val="es-ES"/>
        </w:rPr>
        <w:t>El</w:t>
      </w:r>
      <w:r w:rsidRPr="00F30598" w:rsidR="0038485E">
        <w:rPr>
          <w:rFonts w:ascii="Arial" w:hAnsi="Arial" w:cs="Arial"/>
          <w:sz w:val="24"/>
          <w:szCs w:val="24"/>
          <w:lang w:val="es-ES"/>
        </w:rPr>
        <w:t xml:space="preserve"> Componente</w:t>
      </w:r>
      <w:r w:rsidRPr="00F30598">
        <w:rPr>
          <w:rFonts w:ascii="Arial" w:hAnsi="Arial" w:cs="Arial"/>
          <w:sz w:val="24"/>
          <w:szCs w:val="24"/>
          <w:lang w:val="es-ES"/>
        </w:rPr>
        <w:t xml:space="preserve"> 4 </w:t>
      </w:r>
      <w:r w:rsidRPr="00F30598" w:rsidR="00700AF8">
        <w:rPr>
          <w:rFonts w:ascii="Arial" w:hAnsi="Arial" w:cs="Arial"/>
          <w:sz w:val="24"/>
          <w:szCs w:val="24"/>
          <w:lang w:val="es-ES"/>
        </w:rPr>
        <w:t>“</w:t>
      </w:r>
      <w:r w:rsidRPr="00F30598">
        <w:rPr>
          <w:rFonts w:ascii="Arial" w:hAnsi="Arial" w:cs="Arial"/>
          <w:sz w:val="24"/>
          <w:szCs w:val="24"/>
          <w:lang w:val="es-ES"/>
        </w:rPr>
        <w:t>Protección para población vulnerable que no se encuentra en los padrones de programas de transferencias y que trabaja en el sector formal</w:t>
      </w:r>
      <w:r w:rsidRPr="00F30598" w:rsidR="00700AF8">
        <w:rPr>
          <w:rFonts w:ascii="Arial" w:hAnsi="Arial" w:cs="Arial"/>
          <w:sz w:val="24"/>
          <w:szCs w:val="24"/>
          <w:lang w:val="es-ES"/>
        </w:rPr>
        <w:t>”</w:t>
      </w:r>
      <w:r w:rsidRPr="00F30598" w:rsidR="007E12AF">
        <w:rPr>
          <w:rFonts w:ascii="Arial" w:hAnsi="Arial" w:cs="Arial"/>
          <w:sz w:val="24"/>
          <w:szCs w:val="24"/>
          <w:lang w:val="es-ES"/>
        </w:rPr>
        <w:t>.</w:t>
      </w:r>
      <w:r w:rsidRPr="00F30598">
        <w:rPr>
          <w:rFonts w:ascii="Arial" w:hAnsi="Arial" w:cs="Arial"/>
          <w:sz w:val="24"/>
          <w:szCs w:val="24"/>
          <w:lang w:val="es-ES"/>
        </w:rPr>
        <w:t xml:space="preserve"> Este</w:t>
      </w:r>
      <w:r w:rsidRPr="00F30598" w:rsidR="0038485E">
        <w:rPr>
          <w:rFonts w:ascii="Arial" w:hAnsi="Arial" w:cs="Arial"/>
          <w:sz w:val="24"/>
          <w:szCs w:val="24"/>
          <w:lang w:val="es-ES"/>
        </w:rPr>
        <w:t xml:space="preserve"> Componente</w:t>
      </w:r>
      <w:r w:rsidRPr="00F30598">
        <w:rPr>
          <w:rFonts w:ascii="Arial" w:hAnsi="Arial" w:cs="Arial"/>
          <w:sz w:val="24"/>
          <w:szCs w:val="24"/>
          <w:lang w:val="es-ES"/>
        </w:rPr>
        <w:t xml:space="preserve"> financiará intervenciones dirigidas a proteger el empleo e ingresos de la población vulnerable del sector formal y que, por tanto, pueden ser identificados a través de los registros administrativos de la seguridad social o de los ministerios de trabajo. Una de sus líneas de acción son los subsidios a empresas formales para mantener los niveles de empleo formal, favorecer la contratación o minimizar los despidos de trabajadores vulnerables. El análisis económico de este</w:t>
      </w:r>
      <w:r w:rsidRPr="00F30598" w:rsidR="0038485E">
        <w:rPr>
          <w:rFonts w:ascii="Arial" w:hAnsi="Arial" w:cs="Arial"/>
          <w:sz w:val="24"/>
          <w:szCs w:val="24"/>
          <w:lang w:val="es-ES"/>
        </w:rPr>
        <w:t xml:space="preserve"> Componente</w:t>
      </w:r>
      <w:r w:rsidRPr="00F30598">
        <w:rPr>
          <w:rFonts w:ascii="Arial" w:hAnsi="Arial" w:cs="Arial"/>
          <w:sz w:val="24"/>
          <w:szCs w:val="24"/>
          <w:lang w:val="es-ES"/>
        </w:rPr>
        <w:t xml:space="preserve"> se centrará en un ACB de estos subsidios. </w:t>
      </w:r>
      <w:r w:rsidRPr="00F30598" w:rsidR="00C86982">
        <w:rPr>
          <w:rFonts w:ascii="Arial" w:hAnsi="Arial" w:cs="Arial"/>
          <w:sz w:val="24"/>
          <w:szCs w:val="24"/>
          <w:lang w:val="es-ES"/>
        </w:rPr>
        <w:t>Adicionalmente, se considerar</w:t>
      </w:r>
      <w:r w:rsidRPr="00F30598" w:rsidR="001E3948">
        <w:rPr>
          <w:rFonts w:ascii="Arial" w:hAnsi="Arial" w:cs="Arial"/>
          <w:sz w:val="24"/>
          <w:szCs w:val="24"/>
          <w:lang w:val="es-ES"/>
        </w:rPr>
        <w:t>á</w:t>
      </w:r>
      <w:r w:rsidRPr="00F30598" w:rsidR="00C86982">
        <w:rPr>
          <w:rFonts w:ascii="Arial" w:hAnsi="Arial" w:cs="Arial"/>
          <w:sz w:val="24"/>
          <w:szCs w:val="24"/>
          <w:lang w:val="es-ES"/>
        </w:rPr>
        <w:t xml:space="preserve">n los efectos </w:t>
      </w:r>
      <w:r w:rsidRPr="00F30598" w:rsidR="000273AB">
        <w:rPr>
          <w:rFonts w:ascii="Arial" w:hAnsi="Arial" w:cs="Arial"/>
          <w:sz w:val="24"/>
          <w:szCs w:val="24"/>
          <w:lang w:val="es-ES"/>
        </w:rPr>
        <w:t>de suavizar el consumo y efecto multiplicador calculados anteriormente</w:t>
      </w:r>
      <w:r w:rsidRPr="00F30598">
        <w:rPr>
          <w:rFonts w:ascii="Arial" w:hAnsi="Arial" w:cs="Arial"/>
          <w:strike/>
          <w:sz w:val="24"/>
          <w:szCs w:val="24"/>
          <w:lang w:val="es-ES"/>
        </w:rPr>
        <w:t>.</w:t>
      </w:r>
    </w:p>
    <w:p w:rsidRPr="00F30598" w:rsidR="004C5CCE" w:rsidP="00DA58E9" w:rsidRDefault="004C5CCE" w14:paraId="0F78C852" w14:textId="151F1D00">
      <w:pPr>
        <w:spacing w:before="120" w:after="120" w:line="240" w:lineRule="auto"/>
        <w:rPr>
          <w:rFonts w:ascii="Arial" w:hAnsi="Arial" w:cs="Arial"/>
          <w:b/>
          <w:sz w:val="24"/>
          <w:szCs w:val="24"/>
          <w:lang w:val="es-ES"/>
        </w:rPr>
      </w:pPr>
      <w:r w:rsidRPr="00F30598">
        <w:rPr>
          <w:rFonts w:ascii="Arial" w:hAnsi="Arial" w:cs="Arial"/>
          <w:b/>
          <w:sz w:val="24"/>
          <w:szCs w:val="24"/>
          <w:lang w:val="es-ES"/>
        </w:rPr>
        <w:t>Supuestos y metodología</w:t>
      </w:r>
    </w:p>
    <w:p w:rsidRPr="00F30598" w:rsidR="004179F3" w:rsidP="00DA58E9" w:rsidRDefault="004179F3" w14:paraId="27A9B347" w14:textId="0569BE02">
      <w:pPr>
        <w:spacing w:before="120" w:after="120" w:line="240" w:lineRule="auto"/>
        <w:jc w:val="both"/>
        <w:rPr>
          <w:rFonts w:ascii="Arial" w:hAnsi="Arial" w:cs="Arial"/>
          <w:sz w:val="24"/>
          <w:szCs w:val="24"/>
          <w:lang w:val="es-ES"/>
        </w:rPr>
      </w:pPr>
      <w:r w:rsidRPr="00F30598">
        <w:rPr>
          <w:rFonts w:ascii="Arial" w:hAnsi="Arial" w:cs="Arial"/>
          <w:sz w:val="24"/>
          <w:szCs w:val="24"/>
          <w:lang w:val="es-ES"/>
        </w:rPr>
        <w:t>Blanchard y Summers (1986) identifican tres explicaciones distintas para vincular los shocks que causan desempleo en un determinado período con el desempleo de largo plazo: el enfoque de ""capital humano"", el enfoque de ""capital físico"" y el enfoque de ""</w:t>
      </w:r>
      <w:proofErr w:type="spellStart"/>
      <w:r w:rsidRPr="00F30598">
        <w:rPr>
          <w:rFonts w:ascii="Arial" w:hAnsi="Arial" w:cs="Arial"/>
          <w:sz w:val="24"/>
          <w:szCs w:val="24"/>
          <w:lang w:val="es-ES"/>
        </w:rPr>
        <w:t>insider</w:t>
      </w:r>
      <w:proofErr w:type="spellEnd"/>
      <w:r w:rsidRPr="00F30598">
        <w:rPr>
          <w:rFonts w:ascii="Arial" w:hAnsi="Arial" w:cs="Arial"/>
          <w:sz w:val="24"/>
          <w:szCs w:val="24"/>
          <w:lang w:val="es-ES"/>
        </w:rPr>
        <w:t>-</w:t>
      </w:r>
      <w:proofErr w:type="gramStart"/>
      <w:r w:rsidRPr="00F30598">
        <w:rPr>
          <w:rFonts w:ascii="Arial" w:hAnsi="Arial" w:cs="Arial"/>
          <w:sz w:val="24"/>
          <w:szCs w:val="24"/>
          <w:lang w:val="es-ES"/>
        </w:rPr>
        <w:t>outsider</w:t>
      </w:r>
      <w:proofErr w:type="gramEnd"/>
      <w:r w:rsidRPr="00F30598">
        <w:rPr>
          <w:rFonts w:ascii="Arial" w:hAnsi="Arial" w:cs="Arial"/>
          <w:sz w:val="24"/>
          <w:szCs w:val="24"/>
          <w:lang w:val="es-ES"/>
        </w:rPr>
        <w:t>"". El primero de ellos propone que los trabajadores desempleados pierden la oportunidad de mantener y desarrollar sus habilidades, por lo tanto</w:t>
      </w:r>
      <w:r w:rsidRPr="00F30598" w:rsidR="001E3948">
        <w:rPr>
          <w:rFonts w:ascii="Arial" w:hAnsi="Arial" w:cs="Arial"/>
          <w:sz w:val="24"/>
          <w:szCs w:val="24"/>
          <w:lang w:val="es-ES"/>
        </w:rPr>
        <w:t>,</w:t>
      </w:r>
      <w:r w:rsidRPr="00F30598">
        <w:rPr>
          <w:rFonts w:ascii="Arial" w:hAnsi="Arial" w:cs="Arial"/>
          <w:sz w:val="24"/>
          <w:szCs w:val="24"/>
          <w:lang w:val="es-ES"/>
        </w:rPr>
        <w:t xml:space="preserve"> el desempleo puede tener efectos en la acumulación de capital humano y la posterior oferta de empleo. Fue desarrollado inicialmente por Phelps (1972) y </w:t>
      </w:r>
      <w:proofErr w:type="spellStart"/>
      <w:r w:rsidRPr="00F30598">
        <w:rPr>
          <w:rFonts w:ascii="Arial" w:hAnsi="Arial" w:cs="Arial"/>
          <w:sz w:val="24"/>
          <w:szCs w:val="24"/>
          <w:lang w:val="es-ES"/>
        </w:rPr>
        <w:t>Hargraves-Heap</w:t>
      </w:r>
      <w:proofErr w:type="spellEnd"/>
      <w:r w:rsidRPr="00F30598">
        <w:rPr>
          <w:rFonts w:ascii="Arial" w:hAnsi="Arial" w:cs="Arial"/>
          <w:sz w:val="24"/>
          <w:szCs w:val="24"/>
          <w:lang w:val="es-ES"/>
        </w:rPr>
        <w:t xml:space="preserve"> (1980) en forma teórica, a la vez que Clark y Summers (1982) encuentran evidencia empírica del efecto.</w:t>
      </w:r>
    </w:p>
    <w:p w:rsidRPr="00F30598" w:rsidR="00DB7ADF" w:rsidP="00DA58E9" w:rsidRDefault="004179F3" w14:paraId="21FFCE28" w14:textId="21E70869">
      <w:pPr>
        <w:spacing w:before="120" w:after="120" w:line="240" w:lineRule="auto"/>
        <w:jc w:val="both"/>
        <w:rPr>
          <w:rFonts w:ascii="Arial" w:hAnsi="Arial" w:cs="Arial"/>
          <w:b/>
          <w:sz w:val="24"/>
          <w:szCs w:val="24"/>
          <w:lang w:val="es-ES"/>
        </w:rPr>
      </w:pPr>
      <w:r w:rsidRPr="00F30598">
        <w:rPr>
          <w:rFonts w:ascii="Arial" w:hAnsi="Arial" w:cs="Arial"/>
          <w:sz w:val="24"/>
          <w:szCs w:val="24"/>
          <w:lang w:val="es-ES"/>
        </w:rPr>
        <w:t xml:space="preserve">Adicionalmente, Addison y Portugal (1989), Gregory y </w:t>
      </w:r>
      <w:proofErr w:type="spellStart"/>
      <w:r w:rsidRPr="00F30598">
        <w:rPr>
          <w:rFonts w:ascii="Arial" w:hAnsi="Arial" w:cs="Arial"/>
          <w:sz w:val="24"/>
          <w:szCs w:val="24"/>
          <w:lang w:val="es-ES"/>
        </w:rPr>
        <w:t>Jukes</w:t>
      </w:r>
      <w:proofErr w:type="spellEnd"/>
      <w:r w:rsidRPr="00F30598">
        <w:rPr>
          <w:rFonts w:ascii="Arial" w:hAnsi="Arial" w:cs="Arial"/>
          <w:sz w:val="24"/>
          <w:szCs w:val="24"/>
          <w:lang w:val="es-ES"/>
        </w:rPr>
        <w:t xml:space="preserve"> (2001), Neal (1995), y </w:t>
      </w:r>
      <w:proofErr w:type="spellStart"/>
      <w:r w:rsidRPr="00F30598">
        <w:rPr>
          <w:rFonts w:ascii="Arial" w:hAnsi="Arial" w:cs="Arial"/>
          <w:sz w:val="24"/>
          <w:szCs w:val="24"/>
          <w:lang w:val="es-ES"/>
        </w:rPr>
        <w:t>Schmieder</w:t>
      </w:r>
      <w:proofErr w:type="spellEnd"/>
      <w:r w:rsidRPr="00F30598">
        <w:rPr>
          <w:rFonts w:ascii="Arial" w:hAnsi="Arial" w:cs="Arial"/>
          <w:sz w:val="24"/>
          <w:szCs w:val="24"/>
          <w:lang w:val="es-ES"/>
        </w:rPr>
        <w:t xml:space="preserve"> et al. (2013) muestran que los salarios de los trabajadores que sufrieron un shock y recuperan posteriormente un empleo son afectados en forma negativa por el tiempo en que dura el período de desempleo. Ed</w:t>
      </w:r>
      <w:r w:rsidRPr="00F30598" w:rsidR="00BC58BE">
        <w:rPr>
          <w:rFonts w:ascii="Arial" w:hAnsi="Arial" w:cs="Arial"/>
          <w:sz w:val="24"/>
          <w:szCs w:val="24"/>
          <w:lang w:val="es-ES"/>
        </w:rPr>
        <w:t>i</w:t>
      </w:r>
      <w:r w:rsidRPr="00F30598">
        <w:rPr>
          <w:rFonts w:ascii="Arial" w:hAnsi="Arial" w:cs="Arial"/>
          <w:sz w:val="24"/>
          <w:szCs w:val="24"/>
          <w:lang w:val="es-ES"/>
        </w:rPr>
        <w:t xml:space="preserve">n and </w:t>
      </w:r>
      <w:proofErr w:type="spellStart"/>
      <w:r w:rsidRPr="00F30598">
        <w:rPr>
          <w:rFonts w:ascii="Arial" w:hAnsi="Arial" w:cs="Arial"/>
          <w:sz w:val="24"/>
          <w:szCs w:val="24"/>
          <w:lang w:val="es-ES"/>
        </w:rPr>
        <w:t>Gustavsson</w:t>
      </w:r>
      <w:proofErr w:type="spellEnd"/>
      <w:r w:rsidRPr="00F30598">
        <w:rPr>
          <w:rFonts w:ascii="Arial" w:hAnsi="Arial" w:cs="Arial"/>
          <w:sz w:val="24"/>
          <w:szCs w:val="24"/>
          <w:lang w:val="es-ES"/>
        </w:rPr>
        <w:t xml:space="preserve"> (2008) analizan una equivalencia entre esta pérdida de capital humano con la resultante de los años de educación y encuentran que</w:t>
      </w:r>
      <w:r w:rsidRPr="00F30598" w:rsidR="009272B8">
        <w:rPr>
          <w:rFonts w:ascii="Arial" w:hAnsi="Arial" w:cs="Arial"/>
          <w:sz w:val="24"/>
          <w:szCs w:val="24"/>
          <w:lang w:val="es-ES"/>
        </w:rPr>
        <w:t xml:space="preserve"> la disminución de capacidades como resultado de un año de desempleo explica una caída de un 1% en los ingresos salariales</w:t>
      </w:r>
      <w:r w:rsidRPr="00F30598">
        <w:rPr>
          <w:rFonts w:ascii="Arial" w:hAnsi="Arial" w:cs="Arial"/>
          <w:sz w:val="24"/>
          <w:szCs w:val="24"/>
          <w:lang w:val="es-ES"/>
        </w:rPr>
        <w:t>.</w:t>
      </w:r>
      <w:r w:rsidRPr="00F30598" w:rsidR="009272B8">
        <w:rPr>
          <w:rFonts w:ascii="Arial" w:hAnsi="Arial" w:cs="Arial"/>
          <w:sz w:val="24"/>
          <w:szCs w:val="24"/>
          <w:lang w:val="es-ES"/>
        </w:rPr>
        <w:t xml:space="preserve"> Albrecht et al. (1999) encuentran que un año de desempleo genera una caída del 3,5% en los ingresos salariales. En el escenario base se adopta esta magnitud como supuesto para estimar el efecto de proteger los trabajos ya que la “cicatriz” dejada por el desempleo en los ingresos futuros puede no solo atribuirse a caída en las capacidades. En el análisis de sensibilidad se incluye un escenario en el cual la caída en el salario futuro es del 1% siguiendo las estimaciones de Edison y </w:t>
      </w:r>
      <w:proofErr w:type="spellStart"/>
      <w:r w:rsidRPr="00F30598" w:rsidR="009272B8">
        <w:rPr>
          <w:rFonts w:ascii="Arial" w:hAnsi="Arial" w:cs="Arial"/>
          <w:sz w:val="24"/>
          <w:szCs w:val="24"/>
          <w:lang w:val="es-ES"/>
        </w:rPr>
        <w:t>Gustavsson</w:t>
      </w:r>
      <w:proofErr w:type="spellEnd"/>
      <w:r w:rsidRPr="00F30598" w:rsidR="009272B8">
        <w:rPr>
          <w:rFonts w:ascii="Arial" w:hAnsi="Arial" w:cs="Arial"/>
          <w:sz w:val="24"/>
          <w:szCs w:val="24"/>
          <w:lang w:val="es-ES"/>
        </w:rPr>
        <w:t xml:space="preserve"> (2008) limitándonos al efecto de las capacidades.</w:t>
      </w:r>
    </w:p>
    <w:p w:rsidRPr="00F30598" w:rsidR="004179F3" w:rsidP="00DA58E9" w:rsidRDefault="004179F3" w14:paraId="6835DCD1" w14:textId="5647DF1D">
      <w:pPr>
        <w:spacing w:before="120" w:after="120" w:line="240" w:lineRule="auto"/>
        <w:jc w:val="both"/>
        <w:rPr>
          <w:rFonts w:ascii="Arial" w:hAnsi="Arial" w:cs="Arial"/>
          <w:sz w:val="24"/>
          <w:szCs w:val="24"/>
          <w:lang w:val="es-ES"/>
        </w:rPr>
      </w:pPr>
      <w:r w:rsidRPr="00F30598">
        <w:rPr>
          <w:rFonts w:ascii="Arial" w:hAnsi="Arial" w:cs="Arial"/>
          <w:sz w:val="24"/>
          <w:szCs w:val="24"/>
          <w:lang w:val="es-ES"/>
        </w:rPr>
        <w:t xml:space="preserve">Para analizar el efecto de los subsidios al empleo para preservar puestos de trabajo en el mercado formal, se propone un ejercicio basado en el enfoque de "capital humano" (además del efecto en la capacidad de suavizar el consumo desarrollada anteriormente). El análisis compara un escenario contrafactual sin intervención en el cual un determinado porcentaje de los trabajadores formales de los sectores más vulnerables pierden su empleo y tardan un año en recuperar su puesto de trabajo con uno escenario de tratamiento en el cual los subsidios permiten preservar los </w:t>
      </w:r>
      <w:r w:rsidRPr="00F30598">
        <w:rPr>
          <w:rFonts w:ascii="Arial" w:hAnsi="Arial" w:cs="Arial"/>
          <w:sz w:val="24"/>
          <w:szCs w:val="24"/>
          <w:lang w:val="es-ES"/>
        </w:rPr>
        <w:lastRenderedPageBreak/>
        <w:t>puestos de trabajo</w:t>
      </w:r>
      <w:r w:rsidRPr="00F30598" w:rsidR="00661CC4">
        <w:rPr>
          <w:rStyle w:val="FootnoteReference"/>
          <w:rFonts w:ascii="Arial" w:hAnsi="Arial" w:cs="Arial"/>
          <w:sz w:val="24"/>
          <w:szCs w:val="24"/>
          <w:lang w:val="es-ES"/>
        </w:rPr>
        <w:footnoteReference w:id="27"/>
      </w:r>
      <w:r w:rsidRPr="00F30598">
        <w:rPr>
          <w:rFonts w:ascii="Arial" w:hAnsi="Arial" w:cs="Arial"/>
          <w:sz w:val="24"/>
          <w:szCs w:val="24"/>
          <w:lang w:val="es-ES"/>
        </w:rPr>
        <w:t xml:space="preserve">. Dado que existe evidencia acerca del efecto negativo del desempleo en los salarios futuros - y su equivalencia en términos de años de educación perdidos-, se procede a estimar ese efecto para la población afectada por el shock temporal de desempleo a lo largo de su vida laboral. Para ello, se compara el valor actual de los salarios futuros bajo el escenario contrafactual de pérdida de capital humano con el del valor actual de los salarios futuros bajo el escenario de tratamiento mediante los subsidios al empleo. El efecto de un año adicional de educación sobre los ingresos es calculado mediante una ecuación de </w:t>
      </w:r>
      <w:proofErr w:type="spellStart"/>
      <w:r w:rsidRPr="00F30598">
        <w:rPr>
          <w:rFonts w:ascii="Arial" w:hAnsi="Arial" w:cs="Arial"/>
          <w:sz w:val="24"/>
          <w:szCs w:val="24"/>
          <w:lang w:val="es-ES"/>
        </w:rPr>
        <w:t>Mincer</w:t>
      </w:r>
      <w:proofErr w:type="spellEnd"/>
      <w:r w:rsidRPr="00F30598">
        <w:rPr>
          <w:rFonts w:ascii="Arial" w:hAnsi="Arial" w:cs="Arial"/>
          <w:sz w:val="24"/>
          <w:szCs w:val="24"/>
          <w:lang w:val="es-ES"/>
        </w:rPr>
        <w:t xml:space="preserve"> (</w:t>
      </w:r>
      <w:proofErr w:type="spellStart"/>
      <w:r w:rsidRPr="00F30598">
        <w:rPr>
          <w:rFonts w:ascii="Arial" w:hAnsi="Arial" w:cs="Arial"/>
          <w:sz w:val="24"/>
          <w:szCs w:val="24"/>
          <w:lang w:val="es-ES"/>
        </w:rPr>
        <w:t>Mincer</w:t>
      </w:r>
      <w:proofErr w:type="spellEnd"/>
      <w:r w:rsidRPr="00F30598">
        <w:rPr>
          <w:rFonts w:ascii="Arial" w:hAnsi="Arial" w:cs="Arial"/>
          <w:sz w:val="24"/>
          <w:szCs w:val="24"/>
          <w:lang w:val="es-ES"/>
        </w:rPr>
        <w:t xml:space="preserve"> 1974). Debe mencionarse que este enfoque probablemente subestima el efecto negativo ya que no captura la totalidad del efecto de histéresis ya que no considera el efecto sobre una posible disminución futura de la oferta de empleo (el mejor predictor del riesgo de desempleo futuro es la historia pasada de desempleo</w:t>
      </w:r>
      <w:r w:rsidRPr="00F30598">
        <w:rPr>
          <w:rStyle w:val="FootnoteReference"/>
          <w:rFonts w:ascii="Arial" w:hAnsi="Arial" w:cs="Arial"/>
          <w:sz w:val="24"/>
          <w:szCs w:val="24"/>
        </w:rPr>
        <w:footnoteReference w:id="28"/>
      </w:r>
      <w:r w:rsidRPr="00F30598">
        <w:rPr>
          <w:rFonts w:ascii="Arial" w:hAnsi="Arial" w:cs="Arial"/>
          <w:sz w:val="24"/>
          <w:szCs w:val="24"/>
          <w:lang w:val="es-ES"/>
        </w:rPr>
        <w:t>).</w:t>
      </w:r>
    </w:p>
    <w:p w:rsidRPr="00F30598" w:rsidR="004179F3" w:rsidP="00DA58E9" w:rsidRDefault="001E3948" w14:paraId="75652BD8" w14:textId="7BA64C44">
      <w:pPr>
        <w:spacing w:before="120" w:after="120" w:line="240" w:lineRule="auto"/>
        <w:jc w:val="both"/>
        <w:rPr>
          <w:rFonts w:ascii="Arial" w:hAnsi="Arial" w:cs="Arial"/>
          <w:sz w:val="24"/>
          <w:szCs w:val="24"/>
          <w:lang w:val="es-ES"/>
        </w:rPr>
      </w:pPr>
      <w:r w:rsidRPr="00F30598">
        <w:rPr>
          <w:rFonts w:ascii="Arial" w:hAnsi="Arial" w:cs="Arial"/>
          <w:sz w:val="24"/>
          <w:szCs w:val="24"/>
          <w:lang w:val="es-ES"/>
        </w:rPr>
        <w:t>Un punto que considerar</w:t>
      </w:r>
      <w:r w:rsidRPr="00F30598" w:rsidR="004179F3">
        <w:rPr>
          <w:rFonts w:ascii="Arial" w:hAnsi="Arial" w:cs="Arial"/>
          <w:sz w:val="24"/>
          <w:szCs w:val="24"/>
          <w:lang w:val="es-ES"/>
        </w:rPr>
        <w:t xml:space="preserve"> es la dificultad de focalizar la intervención en aquellos trabajadores formales que efectivamente perderían el empleo como consecuencia de la crisis. Dado que ese dato es conocido solamente por las empresas quienes son a su vez beneficiarias de los subsidios, se presenta un problema de </w:t>
      </w:r>
      <w:r w:rsidRPr="00F30598" w:rsidR="004179F3">
        <w:rPr>
          <w:rFonts w:ascii="Arial" w:hAnsi="Arial" w:cs="Arial"/>
          <w:i/>
          <w:iCs/>
          <w:sz w:val="24"/>
          <w:szCs w:val="24"/>
          <w:lang w:val="es-ES"/>
        </w:rPr>
        <w:t xml:space="preserve">moral </w:t>
      </w:r>
      <w:proofErr w:type="spellStart"/>
      <w:r w:rsidRPr="00F30598" w:rsidR="004179F3">
        <w:rPr>
          <w:rFonts w:ascii="Arial" w:hAnsi="Arial" w:cs="Arial"/>
          <w:i/>
          <w:iCs/>
          <w:sz w:val="24"/>
          <w:szCs w:val="24"/>
          <w:lang w:val="es-ES"/>
        </w:rPr>
        <w:t>hazard</w:t>
      </w:r>
      <w:proofErr w:type="spellEnd"/>
      <w:r w:rsidRPr="00F30598" w:rsidR="004179F3">
        <w:rPr>
          <w:rFonts w:ascii="Arial" w:hAnsi="Arial" w:cs="Arial"/>
          <w:sz w:val="24"/>
          <w:szCs w:val="24"/>
          <w:lang w:val="es-ES"/>
        </w:rPr>
        <w:t>. Para dar cuenta de esta situación, establecemos el supuesto conservador de que por cada empleado subsidiado que hubiera sido efectivamente despedido, la política subsidia los salarios de cuatro empleados. Esto equivale a cubrir al 77% de los empleados de los sectores considerados más vulnerables a la crisis económica causada por la pandemia: Comercio, restaurantes y hoteles; Transporte y almacenamiento; Explotación de minas y canteras.</w:t>
      </w:r>
    </w:p>
    <w:p w:rsidRPr="00F30598" w:rsidR="004179F3" w:rsidP="00DA58E9" w:rsidRDefault="004179F3" w14:paraId="454FE937" w14:textId="77777777">
      <w:pPr>
        <w:spacing w:before="120" w:after="120" w:line="240" w:lineRule="auto"/>
        <w:jc w:val="both"/>
        <w:rPr>
          <w:rFonts w:ascii="Arial" w:hAnsi="Arial" w:cs="Arial"/>
          <w:sz w:val="24"/>
          <w:szCs w:val="24"/>
          <w:lang w:val="es-ES"/>
        </w:rPr>
      </w:pPr>
      <w:r w:rsidRPr="00F30598">
        <w:rPr>
          <w:rFonts w:ascii="Arial" w:hAnsi="Arial" w:cs="Arial"/>
          <w:sz w:val="24"/>
          <w:szCs w:val="24"/>
          <w:lang w:val="es-ES"/>
        </w:rPr>
        <w:t>A continuación, se enumeran los supuestos:</w:t>
      </w:r>
    </w:p>
    <w:p w:rsidRPr="00F30598" w:rsidR="004D4EC9" w:rsidP="00DA58E9" w:rsidRDefault="004D4EC9" w14:paraId="7DD2A0E4" w14:textId="207CB22C">
      <w:pPr>
        <w:pStyle w:val="ListParagraph"/>
        <w:numPr>
          <w:ilvl w:val="0"/>
          <w:numId w:val="2"/>
        </w:numPr>
        <w:spacing w:before="120" w:after="120"/>
        <w:contextualSpacing w:val="0"/>
        <w:jc w:val="both"/>
        <w:rPr>
          <w:rFonts w:ascii="Arial" w:hAnsi="Arial" w:cs="Arial"/>
          <w:szCs w:val="24"/>
          <w:lang w:val="es-AR"/>
        </w:rPr>
      </w:pPr>
      <w:r w:rsidRPr="00F30598">
        <w:rPr>
          <w:rFonts w:ascii="Arial" w:hAnsi="Arial" w:cs="Arial"/>
          <w:szCs w:val="24"/>
          <w:lang w:val="es-AR"/>
        </w:rPr>
        <w:t>Efecto de un año de desempleo en salari</w:t>
      </w:r>
      <w:r w:rsidRPr="00F30598" w:rsidR="00B76310">
        <w:rPr>
          <w:rFonts w:ascii="Arial" w:hAnsi="Arial" w:cs="Arial"/>
          <w:szCs w:val="24"/>
          <w:lang w:val="es-AR"/>
        </w:rPr>
        <w:t xml:space="preserve">os: </w:t>
      </w:r>
      <w:r w:rsidRPr="00F30598">
        <w:rPr>
          <w:rFonts w:ascii="Arial" w:hAnsi="Arial" w:cs="Arial"/>
          <w:szCs w:val="24"/>
          <w:lang w:val="es-AR"/>
        </w:rPr>
        <w:t>3.5%</w:t>
      </w:r>
    </w:p>
    <w:p w:rsidRPr="00F30598" w:rsidR="004D4EC9" w:rsidP="17D008AF" w:rsidRDefault="004D4EC9" w14:paraId="14734C88" w14:textId="0A85F103">
      <w:pPr>
        <w:pStyle w:val="ListParagraph"/>
        <w:numPr>
          <w:ilvl w:val="0"/>
          <w:numId w:val="2"/>
        </w:numPr>
        <w:spacing w:before="120" w:after="120"/>
        <w:contextualSpacing w:val="0"/>
        <w:jc w:val="both"/>
        <w:rPr>
          <w:rFonts w:ascii="Arial" w:hAnsi="Arial" w:cs="Arial"/>
          <w:lang w:val="es-AR"/>
        </w:rPr>
      </w:pPr>
      <w:r w:rsidRPr="17D008AF">
        <w:rPr>
          <w:rFonts w:ascii="Arial" w:hAnsi="Arial" w:cs="Arial"/>
          <w:lang w:val="es-AR"/>
        </w:rPr>
        <w:t>Salario de referencia</w:t>
      </w:r>
      <w:r w:rsidRPr="17D008AF" w:rsidR="00B76310">
        <w:rPr>
          <w:rFonts w:ascii="Arial" w:hAnsi="Arial" w:cs="Arial"/>
          <w:lang w:val="es-AR"/>
        </w:rPr>
        <w:t xml:space="preserve">: </w:t>
      </w:r>
      <w:r w:rsidRPr="17D008AF" w:rsidR="52B2C51D">
        <w:rPr>
          <w:rFonts w:ascii="Arial" w:hAnsi="Arial" w:cs="Arial"/>
          <w:lang w:val="es-AR"/>
        </w:rPr>
        <w:t>USD</w:t>
      </w:r>
      <w:r w:rsidRPr="17D008AF">
        <w:rPr>
          <w:rFonts w:ascii="Arial" w:hAnsi="Arial" w:cs="Arial"/>
          <w:lang w:val="es-AR"/>
        </w:rPr>
        <w:t>388</w:t>
      </w:r>
    </w:p>
    <w:p w:rsidRPr="00F30598" w:rsidR="004D4EC9" w:rsidP="17D008AF" w:rsidRDefault="004D4EC9" w14:paraId="264BC112" w14:textId="56D53446">
      <w:pPr>
        <w:pStyle w:val="ListParagraph"/>
        <w:numPr>
          <w:ilvl w:val="0"/>
          <w:numId w:val="2"/>
        </w:numPr>
        <w:spacing w:before="120" w:after="120"/>
        <w:contextualSpacing w:val="0"/>
        <w:jc w:val="both"/>
        <w:rPr>
          <w:rFonts w:ascii="Arial" w:hAnsi="Arial" w:cs="Arial"/>
          <w:lang w:val="es-AR"/>
        </w:rPr>
      </w:pPr>
      <w:r w:rsidRPr="17D008AF">
        <w:rPr>
          <w:rFonts w:ascii="Arial" w:hAnsi="Arial" w:cs="Arial"/>
          <w:lang w:val="es-AR"/>
        </w:rPr>
        <w:t>Cantidad de beneficiarios</w:t>
      </w:r>
      <w:r w:rsidRPr="17D008AF" w:rsidR="00B76310">
        <w:rPr>
          <w:rFonts w:ascii="Arial" w:hAnsi="Arial" w:cs="Arial"/>
          <w:lang w:val="es-AR"/>
        </w:rPr>
        <w:t xml:space="preserve">: </w:t>
      </w:r>
      <w:r w:rsidRPr="17D008AF" w:rsidR="72883759">
        <w:rPr>
          <w:rFonts w:ascii="Arial" w:hAnsi="Arial" w:cs="Arial"/>
          <w:lang w:val="es-AR"/>
        </w:rPr>
        <w:t>USD</w:t>
      </w:r>
      <w:r w:rsidRPr="17D008AF">
        <w:rPr>
          <w:rFonts w:ascii="Arial" w:hAnsi="Arial" w:cs="Arial"/>
          <w:lang w:val="es-AR"/>
        </w:rPr>
        <w:t xml:space="preserve">376,858 </w:t>
      </w:r>
    </w:p>
    <w:p w:rsidRPr="00F30598" w:rsidR="004D4EC9" w:rsidP="00DA58E9" w:rsidRDefault="004D4EC9" w14:paraId="433A83D7" w14:textId="18B0B5CF">
      <w:pPr>
        <w:pStyle w:val="ListParagraph"/>
        <w:numPr>
          <w:ilvl w:val="0"/>
          <w:numId w:val="2"/>
        </w:numPr>
        <w:spacing w:before="120" w:after="120"/>
        <w:contextualSpacing w:val="0"/>
        <w:jc w:val="both"/>
        <w:rPr>
          <w:rFonts w:ascii="Arial" w:hAnsi="Arial" w:cs="Arial"/>
          <w:szCs w:val="24"/>
          <w:lang w:val="es-AR"/>
        </w:rPr>
      </w:pPr>
      <w:r w:rsidRPr="00F30598">
        <w:rPr>
          <w:rFonts w:ascii="Arial" w:hAnsi="Arial" w:cs="Arial"/>
          <w:szCs w:val="24"/>
          <w:lang w:val="es-AR"/>
        </w:rPr>
        <w:t>Cantidad de beneficiarios que perderían el empleo en forma temporal</w:t>
      </w:r>
      <w:r w:rsidRPr="00F30598" w:rsidR="00B76310">
        <w:rPr>
          <w:rFonts w:ascii="Arial" w:hAnsi="Arial" w:cs="Arial"/>
          <w:szCs w:val="24"/>
          <w:lang w:val="es-AR"/>
        </w:rPr>
        <w:t xml:space="preserve">: </w:t>
      </w:r>
      <w:r w:rsidRPr="00F30598">
        <w:rPr>
          <w:rFonts w:ascii="Arial" w:hAnsi="Arial" w:cs="Arial"/>
          <w:szCs w:val="24"/>
          <w:lang w:val="es-AR"/>
        </w:rPr>
        <w:t xml:space="preserve">94,215 </w:t>
      </w:r>
    </w:p>
    <w:p w:rsidRPr="00F30598" w:rsidR="004D4EC9" w:rsidP="00DA58E9" w:rsidRDefault="004D4EC9" w14:paraId="36E0A0B4" w14:textId="6E8EEAFC">
      <w:pPr>
        <w:pStyle w:val="ListParagraph"/>
        <w:numPr>
          <w:ilvl w:val="0"/>
          <w:numId w:val="2"/>
        </w:numPr>
        <w:spacing w:before="120" w:after="120"/>
        <w:contextualSpacing w:val="0"/>
        <w:jc w:val="both"/>
        <w:rPr>
          <w:rFonts w:ascii="Arial" w:hAnsi="Arial" w:cs="Arial"/>
          <w:szCs w:val="24"/>
          <w:lang w:val="es-AR"/>
        </w:rPr>
      </w:pPr>
      <w:r w:rsidRPr="00F30598">
        <w:rPr>
          <w:rFonts w:ascii="Arial" w:hAnsi="Arial" w:cs="Arial"/>
          <w:szCs w:val="24"/>
          <w:lang w:val="es-AR"/>
        </w:rPr>
        <w:t>Tasa de descuento</w:t>
      </w:r>
      <w:r w:rsidRPr="00F30598" w:rsidR="00B76310">
        <w:rPr>
          <w:rFonts w:ascii="Arial" w:hAnsi="Arial" w:cs="Arial"/>
          <w:szCs w:val="24"/>
          <w:lang w:val="es-AR"/>
        </w:rPr>
        <w:t>: 5</w:t>
      </w:r>
      <w:r w:rsidRPr="00F30598">
        <w:rPr>
          <w:rFonts w:ascii="Arial" w:hAnsi="Arial" w:cs="Arial"/>
          <w:szCs w:val="24"/>
          <w:lang w:val="es-AR"/>
        </w:rPr>
        <w:t>%</w:t>
      </w:r>
    </w:p>
    <w:p w:rsidRPr="00F30598" w:rsidR="004D4EC9" w:rsidP="00DA58E9" w:rsidRDefault="004D4EC9" w14:paraId="6281EBCF" w14:textId="35BC4E70">
      <w:pPr>
        <w:pStyle w:val="ListParagraph"/>
        <w:numPr>
          <w:ilvl w:val="0"/>
          <w:numId w:val="2"/>
        </w:numPr>
        <w:spacing w:before="120" w:after="120"/>
        <w:contextualSpacing w:val="0"/>
        <w:jc w:val="both"/>
        <w:rPr>
          <w:rFonts w:ascii="Arial" w:hAnsi="Arial" w:cs="Arial"/>
          <w:szCs w:val="24"/>
          <w:lang w:val="es-AR"/>
        </w:rPr>
      </w:pPr>
      <w:r w:rsidRPr="00F30598">
        <w:rPr>
          <w:rFonts w:ascii="Arial" w:hAnsi="Arial" w:cs="Arial"/>
          <w:szCs w:val="24"/>
          <w:lang w:val="es-AR"/>
        </w:rPr>
        <w:t>% del Salario a subsidiar</w:t>
      </w:r>
      <w:r w:rsidRPr="00F30598" w:rsidR="00B76310">
        <w:rPr>
          <w:rFonts w:ascii="Arial" w:hAnsi="Arial" w:cs="Arial"/>
          <w:szCs w:val="24"/>
          <w:lang w:val="es-AR"/>
        </w:rPr>
        <w:t xml:space="preserve">: </w:t>
      </w:r>
      <w:r w:rsidRPr="00F30598">
        <w:rPr>
          <w:rFonts w:ascii="Arial" w:hAnsi="Arial" w:cs="Arial"/>
          <w:szCs w:val="24"/>
          <w:lang w:val="es-AR"/>
        </w:rPr>
        <w:t>5</w:t>
      </w:r>
      <w:r w:rsidRPr="00F30598" w:rsidR="00B76310">
        <w:rPr>
          <w:rFonts w:ascii="Arial" w:hAnsi="Arial" w:cs="Arial"/>
          <w:szCs w:val="24"/>
          <w:lang w:val="es-AR"/>
        </w:rPr>
        <w:t>0%</w:t>
      </w:r>
    </w:p>
    <w:p w:rsidRPr="00F30598" w:rsidR="004D4EC9" w:rsidP="00DA58E9" w:rsidRDefault="004D4EC9" w14:paraId="19392206" w14:textId="3F5AAF6F">
      <w:pPr>
        <w:pStyle w:val="ListParagraph"/>
        <w:numPr>
          <w:ilvl w:val="0"/>
          <w:numId w:val="2"/>
        </w:numPr>
        <w:spacing w:before="120" w:after="120"/>
        <w:contextualSpacing w:val="0"/>
        <w:jc w:val="both"/>
        <w:rPr>
          <w:rFonts w:ascii="Arial" w:hAnsi="Arial" w:cs="Arial"/>
          <w:szCs w:val="24"/>
          <w:lang w:val="es-AR"/>
        </w:rPr>
      </w:pPr>
      <w:r w:rsidRPr="00F30598">
        <w:rPr>
          <w:rFonts w:ascii="Arial" w:hAnsi="Arial" w:cs="Arial"/>
          <w:szCs w:val="24"/>
          <w:lang w:val="es-AR"/>
        </w:rPr>
        <w:t>Empleados formales en los sectores vulnerables</w:t>
      </w:r>
      <w:r w:rsidRPr="00F30598" w:rsidR="00B76310">
        <w:rPr>
          <w:rFonts w:ascii="Arial" w:hAnsi="Arial" w:cs="Arial"/>
          <w:szCs w:val="24"/>
          <w:lang w:val="es-AR"/>
        </w:rPr>
        <w:t xml:space="preserve">: </w:t>
      </w:r>
      <w:r w:rsidRPr="00F30598">
        <w:rPr>
          <w:rFonts w:ascii="Arial" w:hAnsi="Arial" w:cs="Arial"/>
          <w:szCs w:val="24"/>
          <w:lang w:val="es-AR"/>
        </w:rPr>
        <w:t xml:space="preserve">485,170 </w:t>
      </w:r>
    </w:p>
    <w:p w:rsidRPr="00F30598" w:rsidR="004D4EC9" w:rsidP="00DA58E9" w:rsidRDefault="004D4EC9" w14:paraId="3FDB0FAE" w14:textId="55823227">
      <w:pPr>
        <w:pStyle w:val="ListParagraph"/>
        <w:numPr>
          <w:ilvl w:val="0"/>
          <w:numId w:val="2"/>
        </w:numPr>
        <w:spacing w:before="120" w:after="120"/>
        <w:contextualSpacing w:val="0"/>
        <w:jc w:val="both"/>
        <w:rPr>
          <w:rFonts w:ascii="Arial" w:hAnsi="Arial" w:cs="Arial"/>
          <w:szCs w:val="24"/>
          <w:lang w:val="es-AR"/>
        </w:rPr>
      </w:pPr>
      <w:r w:rsidRPr="00F30598">
        <w:rPr>
          <w:rFonts w:ascii="Arial" w:hAnsi="Arial" w:cs="Arial"/>
          <w:szCs w:val="24"/>
          <w:lang w:val="es-AR"/>
        </w:rPr>
        <w:t>Beneficiarios por empleo preservado</w:t>
      </w:r>
      <w:r w:rsidRPr="00F30598" w:rsidR="00B76310">
        <w:rPr>
          <w:rFonts w:ascii="Arial" w:hAnsi="Arial" w:cs="Arial"/>
          <w:szCs w:val="24"/>
          <w:lang w:val="es-AR"/>
        </w:rPr>
        <w:t xml:space="preserve">: </w:t>
      </w:r>
      <w:r w:rsidRPr="00F30598">
        <w:rPr>
          <w:rFonts w:ascii="Arial" w:hAnsi="Arial" w:cs="Arial"/>
          <w:szCs w:val="24"/>
          <w:lang w:val="es-AR"/>
        </w:rPr>
        <w:t>4</w:t>
      </w:r>
    </w:p>
    <w:p w:rsidRPr="00F30598" w:rsidR="004D4EC9" w:rsidP="00DA58E9" w:rsidRDefault="004D4EC9" w14:paraId="51F55556" w14:textId="52BC880A">
      <w:pPr>
        <w:pStyle w:val="ListParagraph"/>
        <w:numPr>
          <w:ilvl w:val="0"/>
          <w:numId w:val="2"/>
        </w:numPr>
        <w:spacing w:before="120" w:after="120"/>
        <w:contextualSpacing w:val="0"/>
        <w:jc w:val="both"/>
        <w:rPr>
          <w:rFonts w:ascii="Arial" w:hAnsi="Arial" w:cs="Arial"/>
          <w:szCs w:val="24"/>
          <w:lang w:val="es-AR"/>
        </w:rPr>
      </w:pPr>
      <w:proofErr w:type="gramStart"/>
      <w:r w:rsidRPr="00F30598">
        <w:rPr>
          <w:rFonts w:ascii="Arial" w:hAnsi="Arial" w:cs="Arial"/>
          <w:szCs w:val="24"/>
          <w:lang w:val="es-AR"/>
        </w:rPr>
        <w:t>Total</w:t>
      </w:r>
      <w:proofErr w:type="gramEnd"/>
      <w:r w:rsidRPr="00F30598">
        <w:rPr>
          <w:rFonts w:ascii="Arial" w:hAnsi="Arial" w:cs="Arial"/>
          <w:szCs w:val="24"/>
          <w:lang w:val="es-AR"/>
        </w:rPr>
        <w:t xml:space="preserve"> de asalariados formales</w:t>
      </w:r>
      <w:r w:rsidRPr="00F30598" w:rsidR="00B76310">
        <w:rPr>
          <w:rFonts w:ascii="Arial" w:hAnsi="Arial" w:cs="Arial"/>
          <w:szCs w:val="24"/>
          <w:lang w:val="es-AR"/>
        </w:rPr>
        <w:t xml:space="preserve">: </w:t>
      </w:r>
      <w:r w:rsidRPr="00F30598">
        <w:rPr>
          <w:rFonts w:ascii="Arial" w:hAnsi="Arial" w:cs="Arial"/>
          <w:szCs w:val="24"/>
          <w:lang w:val="es-AR"/>
        </w:rPr>
        <w:t>2,191,035</w:t>
      </w:r>
    </w:p>
    <w:p w:rsidRPr="00F30598" w:rsidR="004D4EC9" w:rsidP="00DA58E9" w:rsidRDefault="004D4EC9" w14:paraId="4BD796E3" w14:textId="7998E69B">
      <w:pPr>
        <w:pStyle w:val="ListParagraph"/>
        <w:numPr>
          <w:ilvl w:val="0"/>
          <w:numId w:val="2"/>
        </w:numPr>
        <w:spacing w:before="120" w:after="120"/>
        <w:contextualSpacing w:val="0"/>
        <w:jc w:val="both"/>
        <w:rPr>
          <w:rFonts w:ascii="Arial" w:hAnsi="Arial" w:cs="Arial"/>
          <w:szCs w:val="24"/>
          <w:lang w:val="es-AR"/>
        </w:rPr>
      </w:pPr>
      <w:r w:rsidRPr="00F30598">
        <w:rPr>
          <w:rFonts w:ascii="Arial" w:hAnsi="Arial" w:cs="Arial"/>
          <w:szCs w:val="24"/>
          <w:lang w:val="es-AR"/>
        </w:rPr>
        <w:t>Porcentaje de empleados que pierden el empleo</w:t>
      </w:r>
      <w:r w:rsidRPr="00F30598" w:rsidR="00B76310">
        <w:rPr>
          <w:rFonts w:ascii="Arial" w:hAnsi="Arial" w:cs="Arial"/>
          <w:szCs w:val="24"/>
          <w:lang w:val="es-AR"/>
        </w:rPr>
        <w:t xml:space="preserve">: </w:t>
      </w:r>
      <w:r w:rsidRPr="00F30598">
        <w:rPr>
          <w:rFonts w:ascii="Arial" w:hAnsi="Arial" w:cs="Arial"/>
          <w:szCs w:val="24"/>
          <w:lang w:val="es-AR"/>
        </w:rPr>
        <w:t>4</w:t>
      </w:r>
      <w:r w:rsidRPr="00F30598" w:rsidR="00B76310">
        <w:rPr>
          <w:rFonts w:ascii="Arial" w:hAnsi="Arial" w:cs="Arial"/>
          <w:szCs w:val="24"/>
          <w:lang w:val="es-AR"/>
        </w:rPr>
        <w:t>,</w:t>
      </w:r>
      <w:r w:rsidRPr="00F30598">
        <w:rPr>
          <w:rFonts w:ascii="Arial" w:hAnsi="Arial" w:cs="Arial"/>
          <w:szCs w:val="24"/>
          <w:lang w:val="es-AR"/>
        </w:rPr>
        <w:t>3</w:t>
      </w:r>
      <w:r w:rsidRPr="00F30598" w:rsidR="00B76310">
        <w:rPr>
          <w:rFonts w:ascii="Arial" w:hAnsi="Arial" w:cs="Arial"/>
          <w:szCs w:val="24"/>
          <w:lang w:val="es-AR"/>
        </w:rPr>
        <w:t>%</w:t>
      </w:r>
    </w:p>
    <w:p w:rsidRPr="00F30598" w:rsidR="004D4EC9" w:rsidP="00DA58E9" w:rsidRDefault="004D4EC9" w14:paraId="28C469B8" w14:textId="4B99B33D">
      <w:pPr>
        <w:pStyle w:val="ListParagraph"/>
        <w:numPr>
          <w:ilvl w:val="0"/>
          <w:numId w:val="2"/>
        </w:numPr>
        <w:spacing w:before="120" w:after="120"/>
        <w:contextualSpacing w:val="0"/>
        <w:jc w:val="both"/>
        <w:rPr>
          <w:rFonts w:ascii="Arial" w:hAnsi="Arial" w:cs="Arial"/>
          <w:szCs w:val="24"/>
          <w:lang w:val="es-AR"/>
        </w:rPr>
      </w:pPr>
      <w:r w:rsidRPr="00F30598">
        <w:rPr>
          <w:rFonts w:ascii="Arial" w:hAnsi="Arial" w:cs="Arial"/>
          <w:szCs w:val="24"/>
          <w:lang w:val="es-AR"/>
        </w:rPr>
        <w:t>Meses duración intervención</w:t>
      </w:r>
      <w:r w:rsidRPr="00F30598" w:rsidR="00B76310">
        <w:rPr>
          <w:rFonts w:ascii="Arial" w:hAnsi="Arial" w:cs="Arial"/>
          <w:szCs w:val="24"/>
          <w:lang w:val="es-AR"/>
        </w:rPr>
        <w:t xml:space="preserve">: </w:t>
      </w:r>
      <w:r w:rsidRPr="00F30598">
        <w:rPr>
          <w:rFonts w:ascii="Arial" w:hAnsi="Arial" w:cs="Arial"/>
          <w:szCs w:val="24"/>
          <w:lang w:val="es-AR"/>
        </w:rPr>
        <w:t>3</w:t>
      </w:r>
    </w:p>
    <w:p w:rsidRPr="00F30598" w:rsidR="004D4EC9" w:rsidP="00DA58E9" w:rsidRDefault="004D4EC9" w14:paraId="121876DD" w14:textId="7ECDB77D">
      <w:pPr>
        <w:pStyle w:val="ListParagraph"/>
        <w:numPr>
          <w:ilvl w:val="0"/>
          <w:numId w:val="2"/>
        </w:numPr>
        <w:spacing w:before="120" w:after="120"/>
        <w:contextualSpacing w:val="0"/>
        <w:jc w:val="both"/>
        <w:rPr>
          <w:rFonts w:ascii="Arial" w:hAnsi="Arial" w:cs="Arial"/>
          <w:szCs w:val="24"/>
          <w:lang w:val="es-AR"/>
        </w:rPr>
      </w:pPr>
      <w:r w:rsidRPr="00F30598">
        <w:rPr>
          <w:rFonts w:ascii="Arial" w:hAnsi="Arial" w:cs="Arial"/>
          <w:szCs w:val="24"/>
          <w:lang w:val="es-AR"/>
        </w:rPr>
        <w:lastRenderedPageBreak/>
        <w:t>% de los empleos preservados que evitan pérdida de capacidades</w:t>
      </w:r>
      <w:r w:rsidRPr="00F30598" w:rsidR="00B76310">
        <w:rPr>
          <w:rFonts w:ascii="Arial" w:hAnsi="Arial" w:cs="Arial"/>
          <w:szCs w:val="24"/>
          <w:lang w:val="es-AR"/>
        </w:rPr>
        <w:t xml:space="preserve">: </w:t>
      </w:r>
      <w:r w:rsidRPr="00F30598">
        <w:rPr>
          <w:rFonts w:ascii="Arial" w:hAnsi="Arial" w:cs="Arial"/>
          <w:szCs w:val="24"/>
          <w:lang w:val="es-AR"/>
        </w:rPr>
        <w:t>0.8</w:t>
      </w:r>
    </w:p>
    <w:p w:rsidRPr="00F30598" w:rsidR="004D4EC9" w:rsidP="00DA58E9" w:rsidRDefault="004D4EC9" w14:paraId="1E5DC231" w14:textId="1C9755B8">
      <w:pPr>
        <w:pStyle w:val="ListParagraph"/>
        <w:numPr>
          <w:ilvl w:val="0"/>
          <w:numId w:val="2"/>
        </w:numPr>
        <w:spacing w:before="120" w:after="120"/>
        <w:contextualSpacing w:val="0"/>
        <w:jc w:val="both"/>
        <w:rPr>
          <w:rFonts w:ascii="Arial" w:hAnsi="Arial" w:cs="Arial"/>
          <w:szCs w:val="24"/>
          <w:lang w:val="es-AR"/>
        </w:rPr>
      </w:pPr>
      <w:r w:rsidRPr="00F30598">
        <w:rPr>
          <w:rFonts w:ascii="Arial" w:hAnsi="Arial" w:cs="Arial"/>
          <w:szCs w:val="24"/>
          <w:lang w:val="es-AR"/>
        </w:rPr>
        <w:t>% de los empleos preservados que evita</w:t>
      </w:r>
      <w:r w:rsidRPr="00F30598" w:rsidR="00B76310">
        <w:rPr>
          <w:rFonts w:ascii="Arial" w:hAnsi="Arial" w:cs="Arial"/>
          <w:szCs w:val="24"/>
          <w:lang w:val="es-AR"/>
        </w:rPr>
        <w:t>rían</w:t>
      </w:r>
      <w:r w:rsidRPr="00F30598">
        <w:rPr>
          <w:rFonts w:ascii="Arial" w:hAnsi="Arial" w:cs="Arial"/>
          <w:szCs w:val="24"/>
          <w:lang w:val="es-AR"/>
        </w:rPr>
        <w:t xml:space="preserve"> persistencia de situación de desempleo</w:t>
      </w:r>
      <w:r w:rsidRPr="00F30598" w:rsidR="00B76310">
        <w:rPr>
          <w:rFonts w:ascii="Arial" w:hAnsi="Arial" w:cs="Arial"/>
          <w:szCs w:val="24"/>
          <w:lang w:val="es-AR"/>
        </w:rPr>
        <w:t xml:space="preserve">: </w:t>
      </w:r>
      <w:r w:rsidRPr="00F30598">
        <w:rPr>
          <w:rFonts w:ascii="Arial" w:hAnsi="Arial" w:cs="Arial"/>
          <w:szCs w:val="24"/>
          <w:lang w:val="es-AR"/>
        </w:rPr>
        <w:t>2</w:t>
      </w:r>
      <w:r w:rsidRPr="00F30598" w:rsidR="00B76310">
        <w:rPr>
          <w:rFonts w:ascii="Arial" w:hAnsi="Arial" w:cs="Arial"/>
          <w:szCs w:val="24"/>
          <w:lang w:val="es-AR"/>
        </w:rPr>
        <w:t>0%</w:t>
      </w:r>
    </w:p>
    <w:p w:rsidRPr="00F30598" w:rsidR="000B1F9B" w:rsidP="00DA58E9" w:rsidRDefault="000B1F9B" w14:paraId="74C0388D" w14:textId="127D7484">
      <w:pPr>
        <w:pStyle w:val="ListParagraph"/>
        <w:numPr>
          <w:ilvl w:val="0"/>
          <w:numId w:val="2"/>
        </w:numPr>
        <w:spacing w:before="120" w:after="120"/>
        <w:contextualSpacing w:val="0"/>
        <w:jc w:val="both"/>
        <w:rPr>
          <w:rFonts w:ascii="Arial" w:hAnsi="Arial" w:cs="Arial"/>
          <w:szCs w:val="24"/>
          <w:lang w:val="es-AR"/>
        </w:rPr>
      </w:pPr>
      <w:r w:rsidRPr="00F30598">
        <w:rPr>
          <w:rFonts w:ascii="Arial" w:hAnsi="Arial" w:cs="Arial"/>
          <w:szCs w:val="24"/>
          <w:lang w:val="es-AR"/>
        </w:rPr>
        <w:t>Horizonte del análisis: 1</w:t>
      </w:r>
      <w:r w:rsidRPr="00F30598" w:rsidR="00212418">
        <w:rPr>
          <w:rFonts w:ascii="Arial" w:hAnsi="Arial" w:cs="Arial"/>
          <w:szCs w:val="24"/>
          <w:lang w:val="es-AR"/>
        </w:rPr>
        <w:t>0</w:t>
      </w:r>
      <w:r w:rsidRPr="00F30598">
        <w:rPr>
          <w:rFonts w:ascii="Arial" w:hAnsi="Arial" w:cs="Arial"/>
          <w:szCs w:val="24"/>
          <w:lang w:val="es-AR"/>
        </w:rPr>
        <w:t xml:space="preserve"> años</w:t>
      </w:r>
      <w:r w:rsidRPr="00F30598" w:rsidR="00212418">
        <w:rPr>
          <w:rFonts w:ascii="Arial" w:hAnsi="Arial" w:cs="Arial"/>
          <w:szCs w:val="24"/>
          <w:lang w:val="es-AR"/>
        </w:rPr>
        <w:t xml:space="preserve"> para los efectos de preservación de capital humano por puestos de trabajo formales salvados.</w:t>
      </w:r>
    </w:p>
    <w:p w:rsidRPr="0002343C" w:rsidR="004179F3" w:rsidP="006F53C9" w:rsidRDefault="004179F3" w14:paraId="3A935C71" w14:textId="77777777">
      <w:pPr>
        <w:pStyle w:val="Heading1"/>
        <w:spacing w:after="120" w:line="240" w:lineRule="auto"/>
        <w:rPr>
          <w:rFonts w:ascii="Arial Bold" w:hAnsi="Arial Bold" w:cs="Arial"/>
          <w:b/>
          <w:bCs/>
          <w:smallCaps/>
          <w:sz w:val="24"/>
          <w:szCs w:val="24"/>
          <w:lang w:val="es-ES_tradnl"/>
        </w:rPr>
      </w:pPr>
      <w:bookmarkStart w:name="_Toc38020450" w:id="37"/>
      <w:bookmarkStart w:name="_Toc38020664" w:id="38"/>
      <w:r w:rsidRPr="0002343C">
        <w:rPr>
          <w:rFonts w:ascii="Arial Bold" w:hAnsi="Arial Bold" w:cs="Arial"/>
          <w:b/>
          <w:bCs/>
          <w:smallCaps/>
          <w:sz w:val="24"/>
          <w:szCs w:val="24"/>
          <w:lang w:val="es-ES_tradnl"/>
        </w:rPr>
        <w:t>RESULTADOS</w:t>
      </w:r>
      <w:bookmarkEnd w:id="37"/>
      <w:bookmarkEnd w:id="38"/>
    </w:p>
    <w:p w:rsidRPr="00F30598" w:rsidR="004179F3" w:rsidP="00DA58E9" w:rsidRDefault="004179F3" w14:paraId="424E2228" w14:textId="60B0361D">
      <w:pPr>
        <w:spacing w:before="120" w:after="120" w:line="240" w:lineRule="auto"/>
        <w:jc w:val="both"/>
        <w:rPr>
          <w:rFonts w:ascii="Arial" w:hAnsi="Arial" w:cs="Arial"/>
          <w:sz w:val="24"/>
          <w:szCs w:val="24"/>
          <w:lang w:val="es-ES"/>
        </w:rPr>
      </w:pPr>
      <w:r w:rsidRPr="00F30598">
        <w:rPr>
          <w:rFonts w:ascii="Arial" w:hAnsi="Arial" w:cs="Arial"/>
          <w:sz w:val="24"/>
          <w:szCs w:val="24"/>
          <w:lang w:val="es-ES"/>
        </w:rPr>
        <w:t xml:space="preserve">El </w:t>
      </w:r>
      <w:r w:rsidRPr="00F30598">
        <w:rPr>
          <w:rFonts w:ascii="Arial" w:hAnsi="Arial" w:cs="Arial"/>
          <w:sz w:val="24"/>
          <w:szCs w:val="24"/>
        </w:rPr>
        <w:fldChar w:fldCharType="begin"/>
      </w:r>
      <w:r w:rsidRPr="00F30598">
        <w:rPr>
          <w:rFonts w:ascii="Arial" w:hAnsi="Arial" w:cs="Arial"/>
          <w:sz w:val="24"/>
          <w:szCs w:val="24"/>
          <w:lang w:val="es-ES"/>
        </w:rPr>
        <w:instrText xml:space="preserve"> REF _Ref36680497 \h </w:instrText>
      </w:r>
      <w:r w:rsidRPr="00F30598" w:rsidR="00952E14">
        <w:rPr>
          <w:rFonts w:ascii="Arial" w:hAnsi="Arial" w:cs="Arial"/>
          <w:sz w:val="24"/>
          <w:szCs w:val="24"/>
          <w:lang w:val="es-ES"/>
        </w:rPr>
        <w:instrText xml:space="preserve"> \* MERGEFORMAT </w:instrText>
      </w:r>
      <w:r w:rsidRPr="00F30598">
        <w:rPr>
          <w:rFonts w:ascii="Arial" w:hAnsi="Arial" w:cs="Arial"/>
          <w:sz w:val="24"/>
          <w:szCs w:val="24"/>
        </w:rPr>
      </w:r>
      <w:r w:rsidRPr="00F30598">
        <w:rPr>
          <w:rFonts w:ascii="Arial" w:hAnsi="Arial" w:cs="Arial"/>
          <w:sz w:val="24"/>
          <w:szCs w:val="24"/>
        </w:rPr>
        <w:fldChar w:fldCharType="separate"/>
      </w:r>
      <w:r w:rsidRPr="00F30598" w:rsidR="00ED2BD4">
        <w:rPr>
          <w:rFonts w:ascii="Arial" w:hAnsi="Arial" w:cs="Arial"/>
          <w:lang w:val="es-ES"/>
        </w:rPr>
        <w:t xml:space="preserve">Cuadro </w:t>
      </w:r>
      <w:r w:rsidRPr="00F30598" w:rsidR="00ED2BD4">
        <w:rPr>
          <w:rFonts w:ascii="Arial" w:hAnsi="Arial" w:cs="Arial"/>
          <w:noProof/>
          <w:lang w:val="es-ES"/>
        </w:rPr>
        <w:t>24</w:t>
      </w:r>
      <w:r w:rsidRPr="00F30598">
        <w:rPr>
          <w:rFonts w:ascii="Arial" w:hAnsi="Arial" w:cs="Arial"/>
          <w:sz w:val="24"/>
          <w:szCs w:val="24"/>
        </w:rPr>
        <w:fldChar w:fldCharType="end"/>
      </w:r>
      <w:r w:rsidRPr="00F30598">
        <w:rPr>
          <w:rFonts w:ascii="Arial" w:hAnsi="Arial" w:cs="Arial"/>
          <w:sz w:val="24"/>
          <w:szCs w:val="24"/>
          <w:lang w:val="es-ES"/>
        </w:rPr>
        <w:t xml:space="preserve"> presenta los datos asociados a los costos de la intervención. Todos ellos tienen lugar en t=0 por lo tanto no sufren ningún descuento. El costo total de subsidiar el 50% de 3 meses de salario para los trabajadores formales en riesgo alcanza los </w:t>
      </w:r>
      <w:r w:rsidRPr="00F30598" w:rsidR="5EA2F4FB">
        <w:rPr>
          <w:rFonts w:ascii="Arial" w:hAnsi="Arial" w:cs="Arial"/>
          <w:sz w:val="24"/>
          <w:szCs w:val="24"/>
          <w:lang w:val="es-ES"/>
        </w:rPr>
        <w:t>USD</w:t>
      </w:r>
      <w:r w:rsidRPr="00F30598">
        <w:rPr>
          <w:rFonts w:ascii="Arial" w:hAnsi="Arial" w:cs="Arial"/>
          <w:sz w:val="24"/>
          <w:szCs w:val="24"/>
          <w:lang w:val="es-ES"/>
        </w:rPr>
        <w:t xml:space="preserve">230 millones. </w:t>
      </w:r>
    </w:p>
    <w:p w:rsidRPr="00F30598" w:rsidR="004179F3" w:rsidP="00DA58E9" w:rsidRDefault="004179F3" w14:paraId="4A8140D5" w14:textId="49123662">
      <w:pPr>
        <w:pStyle w:val="Caption"/>
        <w:keepNext/>
        <w:spacing w:before="120" w:after="120"/>
        <w:jc w:val="both"/>
        <w:rPr>
          <w:rFonts w:ascii="Arial" w:hAnsi="Arial" w:cs="Arial"/>
          <w:sz w:val="24"/>
          <w:szCs w:val="24"/>
        </w:rPr>
      </w:pPr>
      <w:bookmarkStart w:name="_Ref36680497" w:id="39"/>
      <w:r w:rsidRPr="00F30598">
        <w:rPr>
          <w:rFonts w:ascii="Arial" w:hAnsi="Arial" w:cs="Arial"/>
          <w:sz w:val="24"/>
          <w:szCs w:val="24"/>
        </w:rPr>
        <w:t xml:space="preserve">Cuadro </w:t>
      </w:r>
      <w:r w:rsidRPr="00F30598">
        <w:rPr>
          <w:rFonts w:ascii="Arial" w:hAnsi="Arial" w:cs="Arial"/>
          <w:sz w:val="24"/>
          <w:szCs w:val="24"/>
        </w:rPr>
        <w:fldChar w:fldCharType="begin"/>
      </w:r>
      <w:r w:rsidRPr="00F30598">
        <w:rPr>
          <w:rFonts w:ascii="Arial" w:hAnsi="Arial" w:cs="Arial"/>
          <w:sz w:val="24"/>
          <w:szCs w:val="24"/>
        </w:rPr>
        <w:instrText xml:space="preserve"> SEQ Cuadro \* ARABIC </w:instrText>
      </w:r>
      <w:r w:rsidRPr="00F30598">
        <w:rPr>
          <w:rFonts w:ascii="Arial" w:hAnsi="Arial" w:cs="Arial"/>
          <w:sz w:val="24"/>
          <w:szCs w:val="24"/>
        </w:rPr>
        <w:fldChar w:fldCharType="separate"/>
      </w:r>
      <w:r w:rsidRPr="00F30598" w:rsidR="00ED2BD4">
        <w:rPr>
          <w:rFonts w:ascii="Arial" w:hAnsi="Arial" w:cs="Arial"/>
          <w:noProof/>
          <w:sz w:val="24"/>
          <w:szCs w:val="24"/>
        </w:rPr>
        <w:t>24</w:t>
      </w:r>
      <w:r w:rsidRPr="00F30598">
        <w:rPr>
          <w:rFonts w:ascii="Arial" w:hAnsi="Arial" w:cs="Arial"/>
          <w:noProof/>
          <w:sz w:val="24"/>
          <w:szCs w:val="24"/>
        </w:rPr>
        <w:fldChar w:fldCharType="end"/>
      </w:r>
      <w:bookmarkEnd w:id="39"/>
      <w:r w:rsidRPr="00F30598" w:rsidR="00AC5626">
        <w:rPr>
          <w:rFonts w:ascii="Arial" w:hAnsi="Arial" w:cs="Arial"/>
          <w:noProof/>
          <w:sz w:val="24"/>
          <w:szCs w:val="24"/>
        </w:rPr>
        <w:t>: Costos subsidio y operativos</w:t>
      </w:r>
    </w:p>
    <w:p w:rsidRPr="00F30598" w:rsidR="004179F3" w:rsidP="00DA58E9" w:rsidRDefault="004179F3" w14:paraId="5BA0FF39" w14:textId="77777777">
      <w:pPr>
        <w:spacing w:before="120" w:after="120" w:line="240" w:lineRule="auto"/>
        <w:jc w:val="both"/>
        <w:rPr>
          <w:rFonts w:ascii="Arial" w:hAnsi="Arial" w:cs="Arial"/>
          <w:sz w:val="24"/>
          <w:szCs w:val="24"/>
        </w:rPr>
      </w:pPr>
      <w:r w:rsidRPr="00F30598">
        <w:rPr>
          <w:rFonts w:ascii="Arial" w:hAnsi="Arial" w:cs="Arial"/>
          <w:noProof/>
        </w:rPr>
        <w:drawing>
          <wp:inline distT="0" distB="0" distL="0" distR="0" wp14:anchorId="78AD5153" wp14:editId="2C15C2E8">
            <wp:extent cx="3073400" cy="1117600"/>
            <wp:effectExtent l="0" t="0" r="0" b="6350"/>
            <wp:docPr id="19"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073400" cy="1117600"/>
                    </a:xfrm>
                    <a:prstGeom prst="rect">
                      <a:avLst/>
                    </a:prstGeom>
                    <a:noFill/>
                    <a:ln>
                      <a:noFill/>
                    </a:ln>
                  </pic:spPr>
                </pic:pic>
              </a:graphicData>
            </a:graphic>
          </wp:inline>
        </w:drawing>
      </w:r>
    </w:p>
    <w:p w:rsidRPr="00F30598" w:rsidR="004179F3" w:rsidP="00DA58E9" w:rsidRDefault="004179F3" w14:paraId="289FCBE6" w14:textId="32E25C67">
      <w:pPr>
        <w:spacing w:before="120" w:after="120" w:line="240" w:lineRule="auto"/>
        <w:jc w:val="both"/>
        <w:rPr>
          <w:rFonts w:ascii="Arial" w:hAnsi="Arial" w:cs="Arial"/>
          <w:sz w:val="24"/>
          <w:szCs w:val="24"/>
          <w:lang w:val="es-ES"/>
        </w:rPr>
      </w:pPr>
      <w:r w:rsidRPr="00F30598">
        <w:rPr>
          <w:rFonts w:ascii="Arial" w:hAnsi="Arial" w:cs="Arial"/>
          <w:sz w:val="24"/>
          <w:szCs w:val="24"/>
          <w:lang w:val="es-AR"/>
        </w:rPr>
        <w:t xml:space="preserve">El </w:t>
      </w:r>
      <w:r w:rsidRPr="00F30598" w:rsidR="00D71795">
        <w:rPr>
          <w:rFonts w:ascii="Arial" w:hAnsi="Arial" w:cs="Arial"/>
          <w:sz w:val="24"/>
          <w:szCs w:val="24"/>
        </w:rPr>
        <w:fldChar w:fldCharType="begin"/>
      </w:r>
      <w:r w:rsidRPr="00F30598" w:rsidR="00D71795">
        <w:rPr>
          <w:rFonts w:ascii="Arial" w:hAnsi="Arial" w:cs="Arial"/>
          <w:sz w:val="24"/>
          <w:szCs w:val="24"/>
          <w:lang w:val="es-AR"/>
        </w:rPr>
        <w:instrText xml:space="preserve"> REF _Ref36681688 \h </w:instrText>
      </w:r>
      <w:r w:rsidRPr="00F30598" w:rsidR="000B1F9B">
        <w:rPr>
          <w:rFonts w:ascii="Arial" w:hAnsi="Arial" w:cs="Arial"/>
          <w:sz w:val="24"/>
          <w:szCs w:val="24"/>
          <w:lang w:val="es-AR"/>
        </w:rPr>
        <w:instrText xml:space="preserve"> \* MERGEFORMAT </w:instrText>
      </w:r>
      <w:r w:rsidRPr="00F30598" w:rsidR="00D71795">
        <w:rPr>
          <w:rFonts w:ascii="Arial" w:hAnsi="Arial" w:cs="Arial"/>
          <w:sz w:val="24"/>
          <w:szCs w:val="24"/>
        </w:rPr>
      </w:r>
      <w:r w:rsidRPr="00F30598" w:rsidR="00D71795">
        <w:rPr>
          <w:rFonts w:ascii="Arial" w:hAnsi="Arial" w:cs="Arial"/>
          <w:sz w:val="24"/>
          <w:szCs w:val="24"/>
        </w:rPr>
        <w:fldChar w:fldCharType="separate"/>
      </w:r>
      <w:r w:rsidRPr="00F30598" w:rsidR="00ED2BD4">
        <w:rPr>
          <w:rFonts w:ascii="Arial" w:hAnsi="Arial" w:cs="Arial"/>
          <w:sz w:val="24"/>
          <w:szCs w:val="24"/>
          <w:lang w:val="es-AR"/>
        </w:rPr>
        <w:t xml:space="preserve">Cuadro </w:t>
      </w:r>
      <w:r w:rsidRPr="00F30598" w:rsidR="00ED2BD4">
        <w:rPr>
          <w:rFonts w:ascii="Arial" w:hAnsi="Arial" w:cs="Arial"/>
          <w:noProof/>
          <w:sz w:val="24"/>
          <w:szCs w:val="24"/>
          <w:lang w:val="es-AR"/>
        </w:rPr>
        <w:t>25</w:t>
      </w:r>
      <w:r w:rsidRPr="00F30598" w:rsidR="00D71795">
        <w:rPr>
          <w:rFonts w:ascii="Arial" w:hAnsi="Arial" w:cs="Arial"/>
          <w:sz w:val="24"/>
          <w:szCs w:val="24"/>
        </w:rPr>
        <w:fldChar w:fldCharType="end"/>
      </w:r>
      <w:r w:rsidRPr="00F30598" w:rsidR="00D71795">
        <w:rPr>
          <w:rFonts w:ascii="Arial" w:hAnsi="Arial" w:cs="Arial"/>
          <w:sz w:val="24"/>
          <w:szCs w:val="24"/>
          <w:lang w:val="es-AR"/>
        </w:rPr>
        <w:t xml:space="preserve"> </w:t>
      </w:r>
      <w:r w:rsidRPr="00F30598">
        <w:rPr>
          <w:rFonts w:ascii="Arial" w:hAnsi="Arial" w:cs="Arial"/>
          <w:sz w:val="24"/>
          <w:szCs w:val="24"/>
          <w:lang w:val="es-ES"/>
        </w:rPr>
        <w:t xml:space="preserve">presenta la estimación de los </w:t>
      </w:r>
      <w:r w:rsidRPr="00F30598" w:rsidR="00D71795">
        <w:rPr>
          <w:rFonts w:ascii="Arial" w:hAnsi="Arial" w:cs="Arial"/>
          <w:sz w:val="24"/>
          <w:szCs w:val="24"/>
          <w:lang w:val="es-ES"/>
        </w:rPr>
        <w:t>resultados</w:t>
      </w:r>
      <w:r w:rsidRPr="00F30598">
        <w:rPr>
          <w:rFonts w:ascii="Arial" w:hAnsi="Arial" w:cs="Arial"/>
          <w:sz w:val="24"/>
          <w:szCs w:val="24"/>
          <w:lang w:val="es-ES"/>
        </w:rPr>
        <w:t>. Como puede observarse</w:t>
      </w:r>
      <w:r w:rsidRPr="00F30598" w:rsidR="00D71795">
        <w:rPr>
          <w:rFonts w:ascii="Arial" w:hAnsi="Arial" w:cs="Arial"/>
          <w:sz w:val="24"/>
          <w:szCs w:val="24"/>
          <w:lang w:val="es-ES"/>
        </w:rPr>
        <w:t xml:space="preserve">, los </w:t>
      </w:r>
      <w:r w:rsidRPr="00F30598">
        <w:rPr>
          <w:rFonts w:ascii="Arial" w:hAnsi="Arial" w:cs="Arial"/>
          <w:sz w:val="24"/>
          <w:szCs w:val="24"/>
          <w:lang w:val="es-ES"/>
        </w:rPr>
        <w:t>beneficio</w:t>
      </w:r>
      <w:r w:rsidRPr="00F30598" w:rsidR="00D71795">
        <w:rPr>
          <w:rFonts w:ascii="Arial" w:hAnsi="Arial" w:cs="Arial"/>
          <w:sz w:val="24"/>
          <w:szCs w:val="24"/>
          <w:lang w:val="es-ES"/>
        </w:rPr>
        <w:t>s asociados al capital humano de los trabajadores</w:t>
      </w:r>
      <w:r w:rsidRPr="00F30598">
        <w:rPr>
          <w:rFonts w:ascii="Arial" w:hAnsi="Arial" w:cs="Arial"/>
          <w:sz w:val="24"/>
          <w:szCs w:val="24"/>
          <w:lang w:val="es-ES"/>
        </w:rPr>
        <w:t xml:space="preserve"> está</w:t>
      </w:r>
      <w:r w:rsidRPr="00F30598" w:rsidR="00D71795">
        <w:rPr>
          <w:rFonts w:ascii="Arial" w:hAnsi="Arial" w:cs="Arial"/>
          <w:sz w:val="24"/>
          <w:szCs w:val="24"/>
          <w:lang w:val="es-ES"/>
        </w:rPr>
        <w:t>n</w:t>
      </w:r>
      <w:r w:rsidRPr="00F30598">
        <w:rPr>
          <w:rFonts w:ascii="Arial" w:hAnsi="Arial" w:cs="Arial"/>
          <w:sz w:val="24"/>
          <w:szCs w:val="24"/>
          <w:lang w:val="es-ES"/>
        </w:rPr>
        <w:t xml:space="preserve"> dado</w:t>
      </w:r>
      <w:r w:rsidRPr="00F30598" w:rsidR="00D71795">
        <w:rPr>
          <w:rFonts w:ascii="Arial" w:hAnsi="Arial" w:cs="Arial"/>
          <w:sz w:val="24"/>
          <w:szCs w:val="24"/>
          <w:lang w:val="es-ES"/>
        </w:rPr>
        <w:t>s</w:t>
      </w:r>
      <w:r w:rsidRPr="00F30598">
        <w:rPr>
          <w:rFonts w:ascii="Arial" w:hAnsi="Arial" w:cs="Arial"/>
          <w:sz w:val="24"/>
          <w:szCs w:val="24"/>
          <w:lang w:val="es-ES"/>
        </w:rPr>
        <w:t xml:space="preserve"> por el diferencial de ingresos entre el escenario contrafactual de pérdida de capital humano y el de tratamiento en el cual los puestos de trabajo se preservan y las capacidades no se deterioran.</w:t>
      </w:r>
      <w:r w:rsidRPr="00F30598" w:rsidR="00D71795">
        <w:rPr>
          <w:rFonts w:ascii="Arial" w:hAnsi="Arial" w:cs="Arial"/>
          <w:sz w:val="24"/>
          <w:szCs w:val="24"/>
          <w:lang w:val="es-ES"/>
        </w:rPr>
        <w:t xml:space="preserve"> Adicionalmente, se computan los beneficios producto del valor monetario de las transferencias, de la suavización del consumo sobre el capital humano de los niños y del efecto multiplicador.</w:t>
      </w:r>
      <w:r w:rsidRPr="00F30598">
        <w:rPr>
          <w:rFonts w:ascii="Arial" w:hAnsi="Arial" w:cs="Arial"/>
          <w:sz w:val="24"/>
          <w:szCs w:val="24"/>
          <w:lang w:val="es-ES"/>
        </w:rPr>
        <w:t xml:space="preserve"> </w:t>
      </w:r>
      <w:r w:rsidRPr="00F30598" w:rsidR="000B1F9B">
        <w:rPr>
          <w:rFonts w:ascii="Arial" w:hAnsi="Arial" w:cs="Arial"/>
          <w:sz w:val="24"/>
          <w:szCs w:val="24"/>
          <w:lang w:val="es-ES"/>
        </w:rPr>
        <w:t>E</w:t>
      </w:r>
      <w:r w:rsidRPr="00F30598">
        <w:rPr>
          <w:rFonts w:ascii="Arial" w:hAnsi="Arial" w:cs="Arial"/>
          <w:sz w:val="24"/>
          <w:szCs w:val="24"/>
          <w:lang w:val="es-ES"/>
        </w:rPr>
        <w:t xml:space="preserve">l VAN </w:t>
      </w:r>
      <w:r w:rsidRPr="00F30598" w:rsidR="002D0786">
        <w:rPr>
          <w:rFonts w:ascii="Arial" w:hAnsi="Arial" w:cs="Arial"/>
          <w:sz w:val="24"/>
          <w:szCs w:val="24"/>
          <w:lang w:val="es-ES"/>
        </w:rPr>
        <w:t xml:space="preserve">supera </w:t>
      </w:r>
      <w:r w:rsidRPr="00F30598">
        <w:rPr>
          <w:rFonts w:ascii="Arial" w:hAnsi="Arial" w:cs="Arial"/>
          <w:sz w:val="24"/>
          <w:szCs w:val="24"/>
          <w:lang w:val="es-ES"/>
        </w:rPr>
        <w:t xml:space="preserve">los </w:t>
      </w:r>
      <w:r w:rsidRPr="00F30598" w:rsidR="19F4D9FD">
        <w:rPr>
          <w:rFonts w:ascii="Arial" w:hAnsi="Arial" w:cs="Arial"/>
          <w:sz w:val="24"/>
          <w:szCs w:val="24"/>
          <w:lang w:val="es-ES"/>
        </w:rPr>
        <w:t>USD</w:t>
      </w:r>
      <w:r w:rsidRPr="00F30598" w:rsidR="000B1F9B">
        <w:rPr>
          <w:rFonts w:ascii="Arial" w:hAnsi="Arial" w:cs="Arial"/>
          <w:sz w:val="24"/>
          <w:szCs w:val="24"/>
          <w:lang w:val="es-ES"/>
        </w:rPr>
        <w:t>225</w:t>
      </w:r>
      <w:r w:rsidRPr="00F30598">
        <w:rPr>
          <w:rFonts w:ascii="Arial" w:hAnsi="Arial" w:cs="Arial"/>
          <w:sz w:val="24"/>
          <w:szCs w:val="24"/>
          <w:lang w:val="es-ES"/>
        </w:rPr>
        <w:t xml:space="preserve"> millones mientras que el ratio </w:t>
      </w:r>
      <w:proofErr w:type="spellStart"/>
      <w:proofErr w:type="gramStart"/>
      <w:r w:rsidRPr="00F30598">
        <w:rPr>
          <w:rFonts w:ascii="Arial" w:hAnsi="Arial" w:cs="Arial"/>
          <w:sz w:val="24"/>
          <w:szCs w:val="24"/>
          <w:lang w:val="es-ES"/>
        </w:rPr>
        <w:t>Beneficio:Costo</w:t>
      </w:r>
      <w:proofErr w:type="spellEnd"/>
      <w:proofErr w:type="gramEnd"/>
      <w:r w:rsidRPr="00F30598">
        <w:rPr>
          <w:rFonts w:ascii="Arial" w:hAnsi="Arial" w:cs="Arial"/>
          <w:sz w:val="24"/>
          <w:szCs w:val="24"/>
          <w:lang w:val="es-ES"/>
        </w:rPr>
        <w:t xml:space="preserve"> es 1.</w:t>
      </w:r>
      <w:r w:rsidRPr="00F30598" w:rsidR="000B1F9B">
        <w:rPr>
          <w:rFonts w:ascii="Arial" w:hAnsi="Arial" w:cs="Arial"/>
          <w:sz w:val="24"/>
          <w:szCs w:val="24"/>
          <w:lang w:val="es-ES"/>
        </w:rPr>
        <w:t>98</w:t>
      </w:r>
      <w:r w:rsidRPr="00F30598" w:rsidR="002D0786">
        <w:rPr>
          <w:rFonts w:ascii="Arial" w:hAnsi="Arial" w:cs="Arial"/>
          <w:sz w:val="24"/>
          <w:szCs w:val="24"/>
          <w:lang w:val="es-ES"/>
        </w:rPr>
        <w:t xml:space="preserve"> y la TIRM es de 9.6% sobrepasando la tasa de descuento</w:t>
      </w:r>
      <w:r w:rsidRPr="00F30598">
        <w:rPr>
          <w:rFonts w:ascii="Arial" w:hAnsi="Arial" w:cs="Arial"/>
          <w:sz w:val="24"/>
          <w:szCs w:val="24"/>
          <w:lang w:val="es-ES"/>
        </w:rPr>
        <w:t>.</w:t>
      </w:r>
    </w:p>
    <w:p w:rsidRPr="00F30598" w:rsidR="004179F3" w:rsidP="006F53C9" w:rsidRDefault="004179F3" w14:paraId="155E0156" w14:textId="3718C8FC">
      <w:pPr>
        <w:pStyle w:val="Caption"/>
        <w:keepNext/>
        <w:spacing w:before="240" w:after="120"/>
        <w:jc w:val="both"/>
        <w:rPr>
          <w:rFonts w:ascii="Arial" w:hAnsi="Arial" w:cs="Arial"/>
          <w:sz w:val="24"/>
          <w:szCs w:val="24"/>
        </w:rPr>
      </w:pPr>
      <w:bookmarkStart w:name="_Ref36681688" w:id="40"/>
      <w:r w:rsidRPr="00F30598">
        <w:rPr>
          <w:rFonts w:ascii="Arial" w:hAnsi="Arial" w:cs="Arial"/>
          <w:sz w:val="24"/>
          <w:szCs w:val="24"/>
        </w:rPr>
        <w:t xml:space="preserve">Cuadro </w:t>
      </w:r>
      <w:r w:rsidRPr="00F30598">
        <w:rPr>
          <w:rFonts w:ascii="Arial" w:hAnsi="Arial" w:cs="Arial"/>
          <w:sz w:val="24"/>
          <w:szCs w:val="24"/>
        </w:rPr>
        <w:fldChar w:fldCharType="begin"/>
      </w:r>
      <w:r w:rsidRPr="00F30598">
        <w:rPr>
          <w:rFonts w:ascii="Arial" w:hAnsi="Arial" w:cs="Arial"/>
          <w:sz w:val="24"/>
          <w:szCs w:val="24"/>
        </w:rPr>
        <w:instrText xml:space="preserve"> SEQ Cuadro \* ARABIC </w:instrText>
      </w:r>
      <w:r w:rsidRPr="00F30598">
        <w:rPr>
          <w:rFonts w:ascii="Arial" w:hAnsi="Arial" w:cs="Arial"/>
          <w:sz w:val="24"/>
          <w:szCs w:val="24"/>
        </w:rPr>
        <w:fldChar w:fldCharType="separate"/>
      </w:r>
      <w:r w:rsidRPr="00F30598" w:rsidR="00ED2BD4">
        <w:rPr>
          <w:rFonts w:ascii="Arial" w:hAnsi="Arial" w:cs="Arial"/>
          <w:noProof/>
          <w:sz w:val="24"/>
          <w:szCs w:val="24"/>
        </w:rPr>
        <w:t>25</w:t>
      </w:r>
      <w:r w:rsidRPr="00F30598">
        <w:rPr>
          <w:rFonts w:ascii="Arial" w:hAnsi="Arial" w:cs="Arial"/>
          <w:sz w:val="24"/>
          <w:szCs w:val="24"/>
        </w:rPr>
        <w:fldChar w:fldCharType="end"/>
      </w:r>
      <w:bookmarkEnd w:id="40"/>
      <w:r w:rsidRPr="00F30598" w:rsidR="001E3948">
        <w:rPr>
          <w:rFonts w:ascii="Arial" w:hAnsi="Arial" w:cs="Arial"/>
          <w:sz w:val="24"/>
          <w:szCs w:val="24"/>
        </w:rPr>
        <w:t>: Valor Actual Neto</w:t>
      </w:r>
      <w:r w:rsidRPr="00F30598" w:rsidR="002D0786">
        <w:rPr>
          <w:rFonts w:ascii="Arial" w:hAnsi="Arial" w:cs="Arial"/>
          <w:sz w:val="24"/>
          <w:szCs w:val="24"/>
        </w:rPr>
        <w:t>,</w:t>
      </w:r>
      <w:r w:rsidRPr="00F30598" w:rsidR="001E3948">
        <w:rPr>
          <w:rFonts w:ascii="Arial" w:hAnsi="Arial" w:cs="Arial"/>
          <w:sz w:val="24"/>
          <w:szCs w:val="24"/>
        </w:rPr>
        <w:t xml:space="preserve"> Ratio </w:t>
      </w:r>
      <w:proofErr w:type="spellStart"/>
      <w:proofErr w:type="gramStart"/>
      <w:r w:rsidRPr="00F30598" w:rsidR="001E3948">
        <w:rPr>
          <w:rFonts w:ascii="Arial" w:hAnsi="Arial" w:cs="Arial"/>
          <w:sz w:val="24"/>
          <w:szCs w:val="24"/>
        </w:rPr>
        <w:t>Beneficio:Costo</w:t>
      </w:r>
      <w:proofErr w:type="spellEnd"/>
      <w:proofErr w:type="gramEnd"/>
      <w:r w:rsidRPr="00F30598" w:rsidR="002D0786">
        <w:rPr>
          <w:rFonts w:ascii="Arial" w:hAnsi="Arial" w:cs="Arial"/>
          <w:sz w:val="24"/>
          <w:szCs w:val="24"/>
        </w:rPr>
        <w:t xml:space="preserve"> y TIRM</w:t>
      </w:r>
    </w:p>
    <w:p w:rsidRPr="00F30598" w:rsidR="004179F3" w:rsidP="00DA58E9" w:rsidRDefault="0042145B" w14:paraId="5265FE5B" w14:textId="688C81CD">
      <w:pPr>
        <w:spacing w:before="120" w:after="120" w:line="240" w:lineRule="auto"/>
        <w:jc w:val="both"/>
        <w:rPr>
          <w:rFonts w:ascii="Arial" w:hAnsi="Arial" w:cs="Arial"/>
          <w:sz w:val="24"/>
          <w:szCs w:val="24"/>
        </w:rPr>
      </w:pPr>
      <w:r w:rsidRPr="00F30598">
        <w:rPr>
          <w:rFonts w:ascii="Arial" w:hAnsi="Arial" w:cs="Arial"/>
          <w:sz w:val="24"/>
          <w:szCs w:val="24"/>
          <w:lang w:val="es-AR"/>
        </w:rPr>
        <w:t xml:space="preserve"> </w:t>
      </w:r>
      <w:r w:rsidRPr="00F30598">
        <w:rPr>
          <w:rFonts w:ascii="Arial" w:hAnsi="Arial" w:cs="Arial"/>
          <w:noProof/>
        </w:rPr>
        <w:drawing>
          <wp:inline distT="0" distB="0" distL="0" distR="0" wp14:anchorId="0B5D1DA5" wp14:editId="69A2EF59">
            <wp:extent cx="4959350" cy="2070100"/>
            <wp:effectExtent l="0" t="0" r="0" b="635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959350" cy="2070100"/>
                    </a:xfrm>
                    <a:prstGeom prst="rect">
                      <a:avLst/>
                    </a:prstGeom>
                    <a:noFill/>
                    <a:ln>
                      <a:noFill/>
                    </a:ln>
                  </pic:spPr>
                </pic:pic>
              </a:graphicData>
            </a:graphic>
          </wp:inline>
        </w:drawing>
      </w:r>
    </w:p>
    <w:p w:rsidRPr="00F30598" w:rsidR="004179F3" w:rsidP="00DA58E9" w:rsidRDefault="004179F3" w14:paraId="6D8F3AFC" w14:textId="77777777">
      <w:pPr>
        <w:pStyle w:val="Heading2"/>
        <w:spacing w:before="120" w:after="120" w:line="240" w:lineRule="auto"/>
        <w:rPr>
          <w:rFonts w:ascii="Arial" w:hAnsi="Arial" w:cs="Arial"/>
          <w:b/>
          <w:color w:val="auto"/>
          <w:sz w:val="24"/>
          <w:szCs w:val="24"/>
        </w:rPr>
      </w:pPr>
      <w:bookmarkStart w:name="_Toc38020451" w:id="41"/>
      <w:bookmarkStart w:name="_Toc38020665" w:id="42"/>
      <w:r w:rsidRPr="00F30598">
        <w:rPr>
          <w:rFonts w:ascii="Arial" w:hAnsi="Arial" w:cs="Arial"/>
          <w:b/>
          <w:color w:val="auto"/>
          <w:sz w:val="24"/>
          <w:szCs w:val="24"/>
        </w:rPr>
        <w:lastRenderedPageBreak/>
        <w:t>A</w:t>
      </w:r>
      <w:r w:rsidRPr="00F30598" w:rsidR="00A24FCE">
        <w:rPr>
          <w:rFonts w:ascii="Arial" w:hAnsi="Arial" w:cs="Arial"/>
          <w:b/>
          <w:color w:val="auto"/>
          <w:sz w:val="24"/>
          <w:szCs w:val="24"/>
        </w:rPr>
        <w:t>nálisis de Sensibilidad</w:t>
      </w:r>
      <w:bookmarkEnd w:id="41"/>
      <w:bookmarkEnd w:id="42"/>
      <w:r w:rsidRPr="00F30598" w:rsidR="00A24FCE">
        <w:rPr>
          <w:rFonts w:ascii="Arial" w:hAnsi="Arial" w:cs="Arial"/>
          <w:b/>
          <w:color w:val="auto"/>
          <w:sz w:val="24"/>
          <w:szCs w:val="24"/>
        </w:rPr>
        <w:t xml:space="preserve"> </w:t>
      </w:r>
    </w:p>
    <w:p w:rsidRPr="00F30598" w:rsidR="004179F3" w:rsidP="00DA58E9" w:rsidRDefault="004179F3" w14:paraId="2AD6C651" w14:textId="78775694">
      <w:pPr>
        <w:spacing w:before="120" w:after="120" w:line="240" w:lineRule="auto"/>
        <w:jc w:val="both"/>
        <w:rPr>
          <w:rFonts w:ascii="Arial" w:hAnsi="Arial" w:cs="Arial"/>
          <w:sz w:val="24"/>
          <w:szCs w:val="24"/>
          <w:lang w:val="es-ES"/>
        </w:rPr>
      </w:pPr>
      <w:r w:rsidRPr="00F30598">
        <w:rPr>
          <w:rFonts w:ascii="Arial" w:hAnsi="Arial" w:cs="Arial"/>
          <w:sz w:val="24"/>
          <w:szCs w:val="24"/>
          <w:lang w:val="es-ES"/>
        </w:rPr>
        <w:t>El análisis de sensibilidad</w:t>
      </w:r>
      <w:r w:rsidRPr="00F30598" w:rsidR="00EF0E77">
        <w:rPr>
          <w:rFonts w:ascii="Arial" w:hAnsi="Arial" w:cs="Arial"/>
          <w:sz w:val="24"/>
          <w:szCs w:val="24"/>
          <w:lang w:val="es-ES"/>
        </w:rPr>
        <w:t xml:space="preserve"> (</w:t>
      </w:r>
      <w:r w:rsidRPr="00F30598" w:rsidR="00EF0E77">
        <w:rPr>
          <w:rFonts w:ascii="Arial" w:hAnsi="Arial" w:cs="Arial"/>
          <w:sz w:val="24"/>
          <w:szCs w:val="24"/>
          <w:lang w:val="es-ES"/>
        </w:rPr>
        <w:fldChar w:fldCharType="begin"/>
      </w:r>
      <w:r w:rsidRPr="00F30598" w:rsidR="00EF0E77">
        <w:rPr>
          <w:rFonts w:ascii="Arial" w:hAnsi="Arial" w:cs="Arial"/>
          <w:sz w:val="24"/>
          <w:szCs w:val="24"/>
          <w:lang w:val="es-ES"/>
        </w:rPr>
        <w:instrText xml:space="preserve"> REF _Ref37316198 \h  \* MERGEFORMAT </w:instrText>
      </w:r>
      <w:r w:rsidRPr="00F30598" w:rsidR="00EF0E77">
        <w:rPr>
          <w:rFonts w:ascii="Arial" w:hAnsi="Arial" w:cs="Arial"/>
          <w:sz w:val="24"/>
          <w:szCs w:val="24"/>
          <w:lang w:val="es-ES"/>
        </w:rPr>
      </w:r>
      <w:r w:rsidRPr="00F30598" w:rsidR="00EF0E77">
        <w:rPr>
          <w:rFonts w:ascii="Arial" w:hAnsi="Arial" w:cs="Arial"/>
          <w:sz w:val="24"/>
          <w:szCs w:val="24"/>
          <w:lang w:val="es-ES"/>
        </w:rPr>
        <w:fldChar w:fldCharType="separate"/>
      </w:r>
      <w:r w:rsidRPr="00F30598" w:rsidR="00ED2BD4">
        <w:rPr>
          <w:rFonts w:ascii="Arial" w:hAnsi="Arial" w:cs="Arial"/>
          <w:sz w:val="24"/>
          <w:szCs w:val="24"/>
          <w:lang w:val="es-AR"/>
        </w:rPr>
        <w:t xml:space="preserve">Cuadro </w:t>
      </w:r>
      <w:r w:rsidRPr="00F30598" w:rsidR="00ED2BD4">
        <w:rPr>
          <w:rFonts w:ascii="Arial" w:hAnsi="Arial" w:cs="Arial"/>
          <w:noProof/>
          <w:sz w:val="24"/>
          <w:szCs w:val="24"/>
          <w:lang w:val="es-AR"/>
        </w:rPr>
        <w:t>26</w:t>
      </w:r>
      <w:r w:rsidRPr="00F30598" w:rsidR="00EF0E77">
        <w:rPr>
          <w:rFonts w:ascii="Arial" w:hAnsi="Arial" w:cs="Arial"/>
          <w:sz w:val="24"/>
          <w:szCs w:val="24"/>
          <w:lang w:val="es-ES"/>
        </w:rPr>
        <w:fldChar w:fldCharType="end"/>
      </w:r>
      <w:r w:rsidRPr="00F30598" w:rsidR="00EF0E77">
        <w:rPr>
          <w:rFonts w:ascii="Arial" w:hAnsi="Arial" w:cs="Arial"/>
          <w:sz w:val="24"/>
          <w:szCs w:val="24"/>
          <w:lang w:val="es-ES"/>
        </w:rPr>
        <w:t xml:space="preserve"> </w:t>
      </w:r>
      <w:r w:rsidRPr="00F30598" w:rsidR="00BC58BE">
        <w:rPr>
          <w:rFonts w:ascii="Arial" w:hAnsi="Arial" w:cs="Arial"/>
          <w:sz w:val="24"/>
          <w:szCs w:val="24"/>
          <w:lang w:val="es-ES"/>
        </w:rPr>
        <w:t xml:space="preserve">y </w:t>
      </w:r>
      <w:r w:rsidRPr="00F30598" w:rsidR="00EF0E77">
        <w:rPr>
          <w:rFonts w:ascii="Arial" w:hAnsi="Arial" w:cs="Arial"/>
          <w:sz w:val="24"/>
          <w:szCs w:val="24"/>
          <w:lang w:val="es-ES"/>
        </w:rPr>
        <w:fldChar w:fldCharType="begin"/>
      </w:r>
      <w:r w:rsidRPr="00F30598" w:rsidR="00EF0E77">
        <w:rPr>
          <w:rFonts w:ascii="Arial" w:hAnsi="Arial" w:cs="Arial"/>
          <w:sz w:val="24"/>
          <w:szCs w:val="24"/>
          <w:lang w:val="es-ES"/>
        </w:rPr>
        <w:instrText xml:space="preserve"> REF _Ref37316201 \h  \* MERGEFORMAT </w:instrText>
      </w:r>
      <w:r w:rsidRPr="00F30598" w:rsidR="00EF0E77">
        <w:rPr>
          <w:rFonts w:ascii="Arial" w:hAnsi="Arial" w:cs="Arial"/>
          <w:sz w:val="24"/>
          <w:szCs w:val="24"/>
          <w:lang w:val="es-ES"/>
        </w:rPr>
      </w:r>
      <w:r w:rsidRPr="00F30598" w:rsidR="00EF0E77">
        <w:rPr>
          <w:rFonts w:ascii="Arial" w:hAnsi="Arial" w:cs="Arial"/>
          <w:sz w:val="24"/>
          <w:szCs w:val="24"/>
          <w:lang w:val="es-ES"/>
        </w:rPr>
        <w:fldChar w:fldCharType="separate"/>
      </w:r>
      <w:r w:rsidRPr="00F30598" w:rsidR="00ED2BD4">
        <w:rPr>
          <w:rFonts w:ascii="Arial" w:hAnsi="Arial" w:cs="Arial"/>
          <w:sz w:val="24"/>
          <w:szCs w:val="24"/>
          <w:lang w:val="es-AR"/>
        </w:rPr>
        <w:t xml:space="preserve">Cuadro </w:t>
      </w:r>
      <w:r w:rsidRPr="00F30598" w:rsidR="00ED2BD4">
        <w:rPr>
          <w:rFonts w:ascii="Arial" w:hAnsi="Arial" w:cs="Arial"/>
          <w:noProof/>
          <w:sz w:val="24"/>
          <w:szCs w:val="24"/>
          <w:lang w:val="es-AR"/>
        </w:rPr>
        <w:t>27</w:t>
      </w:r>
      <w:r w:rsidRPr="00F30598" w:rsidR="00EF0E77">
        <w:rPr>
          <w:rFonts w:ascii="Arial" w:hAnsi="Arial" w:cs="Arial"/>
          <w:sz w:val="24"/>
          <w:szCs w:val="24"/>
          <w:lang w:val="es-ES"/>
        </w:rPr>
        <w:fldChar w:fldCharType="end"/>
      </w:r>
      <w:r w:rsidRPr="00F30598" w:rsidR="00EF0E77">
        <w:rPr>
          <w:rFonts w:ascii="Arial" w:hAnsi="Arial" w:cs="Arial"/>
          <w:sz w:val="24"/>
          <w:szCs w:val="24"/>
          <w:lang w:val="es-ES"/>
        </w:rPr>
        <w:t>)</w:t>
      </w:r>
      <w:r w:rsidRPr="00F30598">
        <w:rPr>
          <w:rFonts w:ascii="Arial" w:hAnsi="Arial" w:cs="Arial"/>
          <w:sz w:val="24"/>
          <w:szCs w:val="24"/>
          <w:lang w:val="es-ES"/>
        </w:rPr>
        <w:t xml:space="preserve"> plantea variaciones en los parámetros de tasa de descuento y empleos preservados. Con relación al primero, se propone una tasa alternativa del 12%. El porcentaje de empleos preservados pretende capturar la efectividad de la política. Mientras que en el escenario base se consideraba que el 100% de los empleos que se perderían como consecuencia de la crisis eran preservados, en el escenario alternativo ese número se reduce a la mitad. En este escenario, teniendo en cuenta el problema de </w:t>
      </w:r>
      <w:r w:rsidRPr="00F30598">
        <w:rPr>
          <w:rFonts w:ascii="Arial" w:hAnsi="Arial" w:cs="Arial"/>
          <w:i/>
          <w:iCs/>
          <w:sz w:val="24"/>
          <w:szCs w:val="24"/>
          <w:lang w:val="es-ES"/>
        </w:rPr>
        <w:t xml:space="preserve">moral </w:t>
      </w:r>
      <w:proofErr w:type="spellStart"/>
      <w:r w:rsidRPr="00F30598">
        <w:rPr>
          <w:rFonts w:ascii="Arial" w:hAnsi="Arial" w:cs="Arial"/>
          <w:i/>
          <w:iCs/>
          <w:sz w:val="24"/>
          <w:szCs w:val="24"/>
          <w:lang w:val="es-ES"/>
        </w:rPr>
        <w:t>hazard</w:t>
      </w:r>
      <w:proofErr w:type="spellEnd"/>
      <w:r w:rsidRPr="00F30598">
        <w:rPr>
          <w:rFonts w:ascii="Arial" w:hAnsi="Arial" w:cs="Arial"/>
          <w:sz w:val="24"/>
          <w:szCs w:val="24"/>
          <w:lang w:val="es-ES"/>
        </w:rPr>
        <w:t xml:space="preserve"> mencionado, por cada empleo preservado se subsidian los sueldos de ocho trabajadores formales durante tres meses. Cabe destacar que, si bien el escenario base plantea un supuesto optimista acerca de la preservación de la totalidad de los empleos que se hubieran perdido, las limitaciones de focalización que supone compensan una posible sobreestimación del efecto.</w:t>
      </w:r>
      <w:r w:rsidRPr="00F30598" w:rsidR="009B366F">
        <w:rPr>
          <w:rFonts w:ascii="Arial" w:hAnsi="Arial" w:cs="Arial"/>
          <w:sz w:val="24"/>
          <w:szCs w:val="24"/>
          <w:lang w:val="es-ES"/>
        </w:rPr>
        <w:t xml:space="preserve"> En todos los casos analizados el VAN es positivo y </w:t>
      </w:r>
      <w:proofErr w:type="gramStart"/>
      <w:r w:rsidRPr="00F30598" w:rsidR="009B366F">
        <w:rPr>
          <w:rFonts w:ascii="Arial" w:hAnsi="Arial" w:cs="Arial"/>
          <w:sz w:val="24"/>
          <w:szCs w:val="24"/>
          <w:lang w:val="es-ES"/>
        </w:rPr>
        <w:t>los ratios</w:t>
      </w:r>
      <w:proofErr w:type="gramEnd"/>
      <w:r w:rsidRPr="00F30598" w:rsidR="009B366F">
        <w:rPr>
          <w:rFonts w:ascii="Arial" w:hAnsi="Arial" w:cs="Arial"/>
          <w:sz w:val="24"/>
          <w:szCs w:val="24"/>
          <w:lang w:val="es-ES"/>
        </w:rPr>
        <w:t xml:space="preserve"> son mayores a uno. Cabe destacar que</w:t>
      </w:r>
      <w:r w:rsidRPr="00F30598" w:rsidR="00B57DFA">
        <w:rPr>
          <w:rFonts w:ascii="Arial" w:hAnsi="Arial" w:cs="Arial"/>
          <w:sz w:val="24"/>
          <w:szCs w:val="24"/>
          <w:lang w:val="es-ES"/>
        </w:rPr>
        <w:t>,</w:t>
      </w:r>
      <w:r w:rsidRPr="00F30598" w:rsidR="009B366F">
        <w:rPr>
          <w:rFonts w:ascii="Arial" w:hAnsi="Arial" w:cs="Arial"/>
          <w:sz w:val="24"/>
          <w:szCs w:val="24"/>
          <w:lang w:val="es-ES"/>
        </w:rPr>
        <w:t xml:space="preserve"> debido a la relevancia del monto de las transferencias y el efecto multiplicador en el cálculo del beneficio, la sensibilidad de los resultados a la variación de los parámetros seleccionados es moderada.</w:t>
      </w:r>
    </w:p>
    <w:p w:rsidRPr="00F30598" w:rsidR="004179F3" w:rsidP="006F53C9" w:rsidRDefault="004179F3" w14:paraId="0C82D324" w14:textId="77777777">
      <w:pPr>
        <w:spacing w:before="120" w:after="0" w:line="240" w:lineRule="auto"/>
        <w:rPr>
          <w:rFonts w:ascii="Arial" w:hAnsi="Arial" w:cs="Arial"/>
          <w:lang w:val="es-ES"/>
        </w:rPr>
      </w:pPr>
    </w:p>
    <w:p w:rsidRPr="00F30598" w:rsidR="004179F3" w:rsidP="006F53C9" w:rsidRDefault="004179F3" w14:paraId="11EACB05" w14:textId="15417077">
      <w:pPr>
        <w:pStyle w:val="Caption"/>
        <w:keepNext/>
        <w:spacing w:after="120"/>
        <w:jc w:val="both"/>
        <w:rPr>
          <w:rFonts w:ascii="Arial" w:hAnsi="Arial" w:cs="Arial"/>
          <w:sz w:val="24"/>
          <w:szCs w:val="24"/>
        </w:rPr>
      </w:pPr>
      <w:bookmarkStart w:name="_Ref37316198" w:id="43"/>
      <w:r w:rsidRPr="00F30598">
        <w:rPr>
          <w:rFonts w:ascii="Arial" w:hAnsi="Arial" w:cs="Arial"/>
          <w:sz w:val="24"/>
          <w:szCs w:val="24"/>
        </w:rPr>
        <w:t xml:space="preserve">Cuadro </w:t>
      </w:r>
      <w:r w:rsidRPr="00F30598">
        <w:rPr>
          <w:rFonts w:ascii="Arial" w:hAnsi="Arial" w:cs="Arial"/>
          <w:sz w:val="24"/>
          <w:szCs w:val="24"/>
        </w:rPr>
        <w:fldChar w:fldCharType="begin"/>
      </w:r>
      <w:r w:rsidRPr="00F30598">
        <w:rPr>
          <w:rFonts w:ascii="Arial" w:hAnsi="Arial" w:cs="Arial"/>
          <w:sz w:val="24"/>
          <w:szCs w:val="24"/>
        </w:rPr>
        <w:instrText xml:space="preserve"> SEQ Cuadro \* ARABIC </w:instrText>
      </w:r>
      <w:r w:rsidRPr="00F30598">
        <w:rPr>
          <w:rFonts w:ascii="Arial" w:hAnsi="Arial" w:cs="Arial"/>
          <w:sz w:val="24"/>
          <w:szCs w:val="24"/>
        </w:rPr>
        <w:fldChar w:fldCharType="separate"/>
      </w:r>
      <w:r w:rsidRPr="00F30598" w:rsidR="00ED2BD4">
        <w:rPr>
          <w:rFonts w:ascii="Arial" w:hAnsi="Arial" w:cs="Arial"/>
          <w:noProof/>
          <w:sz w:val="24"/>
          <w:szCs w:val="24"/>
        </w:rPr>
        <w:t>26</w:t>
      </w:r>
      <w:r w:rsidRPr="00F30598">
        <w:rPr>
          <w:rFonts w:ascii="Arial" w:hAnsi="Arial" w:cs="Arial"/>
          <w:sz w:val="24"/>
          <w:szCs w:val="24"/>
        </w:rPr>
        <w:fldChar w:fldCharType="end"/>
      </w:r>
      <w:bookmarkEnd w:id="43"/>
      <w:r w:rsidRPr="00F30598" w:rsidR="00362FD9">
        <w:rPr>
          <w:rFonts w:ascii="Arial" w:hAnsi="Arial" w:cs="Arial"/>
          <w:sz w:val="24"/>
          <w:szCs w:val="24"/>
        </w:rPr>
        <w:t>: Análisis de sensibilidad VAN</w:t>
      </w:r>
    </w:p>
    <w:p w:rsidRPr="00F30598" w:rsidR="004179F3" w:rsidP="00DA58E9" w:rsidRDefault="006B4394" w14:paraId="777B4878" w14:textId="7BDE3673">
      <w:pPr>
        <w:spacing w:before="120" w:after="120" w:line="240" w:lineRule="auto"/>
        <w:rPr>
          <w:rFonts w:ascii="Arial" w:hAnsi="Arial" w:cs="Arial"/>
          <w:lang w:val="es-AR"/>
        </w:rPr>
      </w:pPr>
      <w:r w:rsidRPr="00F30598">
        <w:rPr>
          <w:rFonts w:ascii="Arial" w:hAnsi="Arial" w:cs="Arial"/>
          <w:lang w:val="es-AR"/>
        </w:rPr>
        <w:t xml:space="preserve"> </w:t>
      </w:r>
      <w:r w:rsidRPr="00F30598">
        <w:rPr>
          <w:rFonts w:ascii="Arial" w:hAnsi="Arial" w:cs="Arial"/>
          <w:noProof/>
        </w:rPr>
        <w:drawing>
          <wp:inline distT="0" distB="0" distL="0" distR="0" wp14:anchorId="4C08047F" wp14:editId="595F1CAC">
            <wp:extent cx="3422650" cy="755650"/>
            <wp:effectExtent l="0" t="0" r="6350" b="635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422650" cy="755650"/>
                    </a:xfrm>
                    <a:prstGeom prst="rect">
                      <a:avLst/>
                    </a:prstGeom>
                    <a:noFill/>
                    <a:ln>
                      <a:noFill/>
                    </a:ln>
                  </pic:spPr>
                </pic:pic>
              </a:graphicData>
            </a:graphic>
          </wp:inline>
        </w:drawing>
      </w:r>
    </w:p>
    <w:p w:rsidRPr="00F30598" w:rsidR="004179F3" w:rsidP="00DA58E9" w:rsidRDefault="004179F3" w14:paraId="4F9812A3" w14:textId="77777777">
      <w:pPr>
        <w:spacing w:before="120" w:after="120" w:line="240" w:lineRule="auto"/>
        <w:rPr>
          <w:rFonts w:ascii="Arial" w:hAnsi="Arial" w:cs="Arial"/>
          <w:lang w:val="es-AR"/>
        </w:rPr>
      </w:pPr>
    </w:p>
    <w:p w:rsidRPr="00F30598" w:rsidR="004179F3" w:rsidP="00DA58E9" w:rsidRDefault="004179F3" w14:paraId="180FD88D" w14:textId="0BE6ED64">
      <w:pPr>
        <w:pStyle w:val="Caption"/>
        <w:keepNext/>
        <w:spacing w:before="120" w:after="120"/>
        <w:jc w:val="both"/>
        <w:rPr>
          <w:rFonts w:ascii="Arial" w:hAnsi="Arial" w:cs="Arial"/>
          <w:sz w:val="24"/>
          <w:szCs w:val="24"/>
        </w:rPr>
      </w:pPr>
      <w:bookmarkStart w:name="_Ref37316201" w:id="44"/>
      <w:r w:rsidRPr="00F30598">
        <w:rPr>
          <w:rFonts w:ascii="Arial" w:hAnsi="Arial" w:cs="Arial"/>
          <w:sz w:val="24"/>
          <w:szCs w:val="24"/>
        </w:rPr>
        <w:t xml:space="preserve">Cuadro </w:t>
      </w:r>
      <w:r w:rsidRPr="00F30598">
        <w:rPr>
          <w:rFonts w:ascii="Arial" w:hAnsi="Arial" w:cs="Arial"/>
          <w:sz w:val="24"/>
          <w:szCs w:val="24"/>
        </w:rPr>
        <w:fldChar w:fldCharType="begin"/>
      </w:r>
      <w:r w:rsidRPr="00F30598">
        <w:rPr>
          <w:rFonts w:ascii="Arial" w:hAnsi="Arial" w:cs="Arial"/>
          <w:sz w:val="24"/>
          <w:szCs w:val="24"/>
        </w:rPr>
        <w:instrText xml:space="preserve"> SEQ Cuadro \* ARABIC </w:instrText>
      </w:r>
      <w:r w:rsidRPr="00F30598">
        <w:rPr>
          <w:rFonts w:ascii="Arial" w:hAnsi="Arial" w:cs="Arial"/>
          <w:sz w:val="24"/>
          <w:szCs w:val="24"/>
        </w:rPr>
        <w:fldChar w:fldCharType="separate"/>
      </w:r>
      <w:r w:rsidRPr="00F30598" w:rsidR="00ED2BD4">
        <w:rPr>
          <w:rFonts w:ascii="Arial" w:hAnsi="Arial" w:cs="Arial"/>
          <w:noProof/>
          <w:sz w:val="24"/>
          <w:szCs w:val="24"/>
        </w:rPr>
        <w:t>27</w:t>
      </w:r>
      <w:r w:rsidRPr="00F30598">
        <w:rPr>
          <w:rFonts w:ascii="Arial" w:hAnsi="Arial" w:cs="Arial"/>
          <w:sz w:val="24"/>
          <w:szCs w:val="24"/>
        </w:rPr>
        <w:fldChar w:fldCharType="end"/>
      </w:r>
      <w:bookmarkEnd w:id="44"/>
      <w:r w:rsidRPr="00F30598" w:rsidR="00362FD9">
        <w:rPr>
          <w:rFonts w:ascii="Arial" w:hAnsi="Arial" w:cs="Arial"/>
          <w:sz w:val="24"/>
          <w:szCs w:val="24"/>
        </w:rPr>
        <w:t xml:space="preserve">: Análisis de sensibilidad Ratio </w:t>
      </w:r>
      <w:proofErr w:type="spellStart"/>
      <w:proofErr w:type="gramStart"/>
      <w:r w:rsidRPr="00F30598" w:rsidR="00362FD9">
        <w:rPr>
          <w:rFonts w:ascii="Arial" w:hAnsi="Arial" w:cs="Arial"/>
          <w:sz w:val="24"/>
          <w:szCs w:val="24"/>
        </w:rPr>
        <w:t>Beneficio:Costo</w:t>
      </w:r>
      <w:proofErr w:type="spellEnd"/>
      <w:proofErr w:type="gramEnd"/>
    </w:p>
    <w:p w:rsidRPr="00F30598" w:rsidR="004179F3" w:rsidP="00DA58E9" w:rsidRDefault="00196AFC" w14:paraId="32F34AD4" w14:textId="54250FA1">
      <w:pPr>
        <w:spacing w:before="120" w:after="120" w:line="240" w:lineRule="auto"/>
        <w:rPr>
          <w:rFonts w:ascii="Arial" w:hAnsi="Arial" w:cs="Arial"/>
        </w:rPr>
      </w:pPr>
      <w:r w:rsidRPr="00F30598">
        <w:rPr>
          <w:rFonts w:ascii="Arial" w:hAnsi="Arial" w:cs="Arial"/>
          <w:noProof/>
        </w:rPr>
        <w:drawing>
          <wp:inline distT="0" distB="0" distL="0" distR="0" wp14:anchorId="2ABAD939" wp14:editId="4817CD20">
            <wp:extent cx="3422650" cy="755650"/>
            <wp:effectExtent l="0" t="0" r="6350" b="635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3422650" cy="755650"/>
                    </a:xfrm>
                    <a:prstGeom prst="rect">
                      <a:avLst/>
                    </a:prstGeom>
                    <a:noFill/>
                    <a:ln>
                      <a:noFill/>
                    </a:ln>
                  </pic:spPr>
                </pic:pic>
              </a:graphicData>
            </a:graphic>
          </wp:inline>
        </w:drawing>
      </w:r>
    </w:p>
    <w:p w:rsidRPr="00F30598" w:rsidR="004179F3" w:rsidP="00DA58E9" w:rsidRDefault="004179F3" w14:paraId="3A8A63EF" w14:textId="77777777">
      <w:pPr>
        <w:spacing w:before="120" w:after="120" w:line="240" w:lineRule="auto"/>
        <w:rPr>
          <w:rFonts w:ascii="Arial" w:hAnsi="Arial" w:cs="Arial"/>
        </w:rPr>
      </w:pPr>
    </w:p>
    <w:p w:rsidRPr="00F30598" w:rsidR="00C72EAC" w:rsidP="00DA58E9" w:rsidRDefault="00C72EAC" w14:paraId="0E83BC95" w14:textId="77777777">
      <w:pPr>
        <w:pStyle w:val="Heading2"/>
        <w:spacing w:before="120" w:after="120" w:line="240" w:lineRule="auto"/>
        <w:rPr>
          <w:rFonts w:ascii="Arial" w:hAnsi="Arial" w:cs="Arial"/>
          <w:sz w:val="32"/>
          <w:szCs w:val="32"/>
          <w:lang w:val="es-ES_tradnl"/>
        </w:rPr>
      </w:pPr>
    </w:p>
    <w:p w:rsidRPr="00F30598" w:rsidR="00E63B00" w:rsidP="00DA58E9" w:rsidRDefault="00E63B00" w14:paraId="61CFE886" w14:textId="77777777">
      <w:pPr>
        <w:spacing w:before="120" w:after="120" w:line="240" w:lineRule="auto"/>
        <w:rPr>
          <w:rFonts w:ascii="Arial" w:hAnsi="Arial" w:cs="Arial" w:eastAsiaTheme="majorEastAsia"/>
          <w:color w:val="2E74B5" w:themeColor="accent1" w:themeShade="BF"/>
          <w:sz w:val="32"/>
          <w:szCs w:val="32"/>
          <w:lang w:val="es-ES_tradnl"/>
        </w:rPr>
      </w:pPr>
      <w:r w:rsidRPr="00F30598">
        <w:rPr>
          <w:rFonts w:ascii="Arial" w:hAnsi="Arial" w:cs="Arial"/>
          <w:sz w:val="32"/>
          <w:szCs w:val="32"/>
          <w:lang w:val="es-ES_tradnl"/>
        </w:rPr>
        <w:br w:type="page"/>
      </w:r>
    </w:p>
    <w:p w:rsidRPr="00AC6429" w:rsidR="00540A44" w:rsidP="00DA58E9" w:rsidRDefault="00A24FCE" w14:paraId="49FEF725" w14:textId="13DEB4EF">
      <w:pPr>
        <w:pStyle w:val="Heading1"/>
        <w:spacing w:before="120" w:after="120" w:line="240" w:lineRule="auto"/>
        <w:rPr>
          <w:rFonts w:ascii="Arial Bold" w:hAnsi="Arial Bold" w:cs="Arial"/>
          <w:b/>
          <w:bCs/>
          <w:smallCaps/>
          <w:sz w:val="24"/>
          <w:szCs w:val="24"/>
          <w:lang w:val="es-ES_tradnl"/>
        </w:rPr>
      </w:pPr>
      <w:bookmarkStart w:name="_Toc38020452" w:id="45"/>
      <w:bookmarkStart w:name="_Toc38020666" w:id="46"/>
      <w:r w:rsidRPr="00AC6429">
        <w:rPr>
          <w:rFonts w:ascii="Arial Bold" w:hAnsi="Arial Bold" w:cs="Arial"/>
          <w:b/>
          <w:bCs/>
          <w:smallCaps/>
          <w:sz w:val="24"/>
          <w:szCs w:val="24"/>
          <w:lang w:val="es-ES_tradnl"/>
        </w:rPr>
        <w:lastRenderedPageBreak/>
        <w:t>COMPONENTE 5</w:t>
      </w:r>
      <w:bookmarkEnd w:id="45"/>
      <w:bookmarkEnd w:id="46"/>
      <w:r w:rsidRPr="00AC6429" w:rsidR="00540A44">
        <w:rPr>
          <w:rFonts w:ascii="Arial Bold" w:hAnsi="Arial Bold" w:cs="Arial"/>
          <w:b/>
          <w:bCs/>
          <w:smallCaps/>
          <w:sz w:val="24"/>
          <w:szCs w:val="24"/>
          <w:lang w:val="es-ES_tradnl"/>
        </w:rPr>
        <w:t xml:space="preserve"> </w:t>
      </w:r>
    </w:p>
    <w:p w:rsidRPr="00F30598" w:rsidR="008803A9" w:rsidP="00DA58E9" w:rsidRDefault="001D56A6" w14:paraId="68CE3E02" w14:textId="3465FC98">
      <w:pPr>
        <w:spacing w:before="120" w:after="120" w:line="240" w:lineRule="auto"/>
        <w:jc w:val="both"/>
        <w:rPr>
          <w:rFonts w:ascii="Arial" w:hAnsi="Arial" w:cs="Arial"/>
          <w:sz w:val="24"/>
          <w:szCs w:val="24"/>
          <w:lang w:val="es"/>
        </w:rPr>
      </w:pPr>
      <w:r w:rsidRPr="00F30598">
        <w:rPr>
          <w:rFonts w:ascii="Arial" w:hAnsi="Arial" w:cs="Arial"/>
          <w:sz w:val="24"/>
          <w:szCs w:val="24"/>
          <w:lang w:val="es-ES_tradnl"/>
        </w:rPr>
        <w:t>Se presenta aquí</w:t>
      </w:r>
      <w:r w:rsidRPr="00F30598" w:rsidR="00540A44">
        <w:rPr>
          <w:rFonts w:ascii="Arial" w:hAnsi="Arial" w:cs="Arial"/>
          <w:sz w:val="24"/>
          <w:szCs w:val="24"/>
          <w:lang w:val="es-ES"/>
        </w:rPr>
        <w:t xml:space="preserve"> un análisis costo beneficio de </w:t>
      </w:r>
      <w:r w:rsidRPr="00F30598" w:rsidR="00540A44">
        <w:rPr>
          <w:rFonts w:ascii="Arial" w:hAnsi="Arial" w:cs="Arial"/>
          <w:sz w:val="24"/>
          <w:szCs w:val="24"/>
          <w:lang w:val="es"/>
        </w:rPr>
        <w:t xml:space="preserve">la intervención orientada a mitigar los efectos del cierre </w:t>
      </w:r>
      <w:r w:rsidRPr="00F30598" w:rsidR="000F1F8A">
        <w:rPr>
          <w:rFonts w:ascii="Arial" w:hAnsi="Arial" w:cs="Arial"/>
          <w:sz w:val="24"/>
          <w:szCs w:val="24"/>
          <w:lang w:val="es"/>
        </w:rPr>
        <w:t xml:space="preserve">temporal </w:t>
      </w:r>
      <w:r w:rsidRPr="00F30598" w:rsidR="00540A44">
        <w:rPr>
          <w:rFonts w:ascii="Arial" w:hAnsi="Arial" w:cs="Arial"/>
          <w:sz w:val="24"/>
          <w:szCs w:val="24"/>
          <w:lang w:val="es"/>
        </w:rPr>
        <w:t>de los centros educativos</w:t>
      </w:r>
      <w:r w:rsidRPr="00F30598" w:rsidR="000F1F8A">
        <w:rPr>
          <w:rFonts w:ascii="Arial" w:hAnsi="Arial" w:cs="Arial"/>
          <w:sz w:val="24"/>
          <w:szCs w:val="24"/>
          <w:lang w:val="es"/>
        </w:rPr>
        <w:t xml:space="preserve"> como consecuencia de las medidas de aislación adoptadas como respuesta a la pandemia de COVID-19</w:t>
      </w:r>
      <w:r w:rsidRPr="00F30598" w:rsidR="00540A44">
        <w:rPr>
          <w:rFonts w:ascii="Arial" w:hAnsi="Arial" w:cs="Arial"/>
          <w:sz w:val="24"/>
          <w:szCs w:val="24"/>
          <w:lang w:val="es"/>
        </w:rPr>
        <w:t>.</w:t>
      </w:r>
      <w:r w:rsidRPr="00F30598" w:rsidR="000F1F8A">
        <w:rPr>
          <w:rFonts w:ascii="Arial" w:hAnsi="Arial" w:cs="Arial"/>
          <w:sz w:val="24"/>
          <w:szCs w:val="24"/>
          <w:lang w:val="es"/>
        </w:rPr>
        <w:t xml:space="preserve"> La operación contempla una serie de </w:t>
      </w:r>
      <w:r w:rsidRPr="00F30598" w:rsidR="008803A9">
        <w:rPr>
          <w:rFonts w:ascii="Arial" w:hAnsi="Arial" w:cs="Arial"/>
          <w:sz w:val="24"/>
          <w:szCs w:val="24"/>
          <w:lang w:val="es"/>
        </w:rPr>
        <w:t>acciones</w:t>
      </w:r>
      <w:r w:rsidRPr="00F30598" w:rsidR="000F1F8A">
        <w:rPr>
          <w:rFonts w:ascii="Arial" w:hAnsi="Arial" w:cs="Arial"/>
          <w:sz w:val="24"/>
          <w:szCs w:val="24"/>
          <w:lang w:val="es"/>
        </w:rPr>
        <w:t xml:space="preserve"> de política pública orientadas a este objetivo: protección de trayectorias educativas; programas de nivelación; desarrollo de sistemas de gestión de aprendizajes y plataformas de contenidos análogos y en línea; desarrollo de programas de diagnóstico, nivelación y aceleración de aprendizajes</w:t>
      </w:r>
      <w:r w:rsidRPr="00F30598" w:rsidR="008803A9">
        <w:rPr>
          <w:rFonts w:ascii="Arial" w:hAnsi="Arial" w:cs="Arial"/>
          <w:sz w:val="24"/>
          <w:szCs w:val="24"/>
          <w:lang w:val="es"/>
        </w:rPr>
        <w:t>;</w:t>
      </w:r>
      <w:r w:rsidRPr="00F30598" w:rsidR="000F1F8A">
        <w:rPr>
          <w:rFonts w:ascii="Arial" w:hAnsi="Arial" w:cs="Arial"/>
          <w:sz w:val="24"/>
          <w:szCs w:val="24"/>
          <w:lang w:val="es"/>
        </w:rPr>
        <w:t xml:space="preserve"> provisión de paquetes de reinicio de clase</w:t>
      </w:r>
      <w:r w:rsidRPr="00F30598" w:rsidR="008803A9">
        <w:rPr>
          <w:rFonts w:ascii="Arial" w:hAnsi="Arial" w:cs="Arial"/>
          <w:sz w:val="24"/>
          <w:szCs w:val="24"/>
          <w:lang w:val="es"/>
        </w:rPr>
        <w:t>.</w:t>
      </w:r>
      <w:r w:rsidRPr="00F30598" w:rsidR="000F1F8A">
        <w:rPr>
          <w:rFonts w:ascii="Arial" w:hAnsi="Arial" w:cs="Arial"/>
          <w:sz w:val="24"/>
          <w:szCs w:val="24"/>
          <w:lang w:val="es"/>
        </w:rPr>
        <w:t xml:space="preserve"> La metodología propuesta supone que la intervención propuesta</w:t>
      </w:r>
      <w:r w:rsidRPr="00F30598" w:rsidR="008803A9">
        <w:rPr>
          <w:rFonts w:ascii="Arial" w:hAnsi="Arial" w:cs="Arial"/>
          <w:sz w:val="24"/>
          <w:szCs w:val="24"/>
          <w:lang w:val="es"/>
        </w:rPr>
        <w:t xml:space="preserve"> es integral y engloba las acciones mencionadas. Su efecto opera sobre la potencial pérdida de capacidades de los alumnos por la disminución de los días de clase.</w:t>
      </w:r>
    </w:p>
    <w:p w:rsidRPr="00F30598" w:rsidR="008803A9" w:rsidP="00DA58E9" w:rsidRDefault="008803A9" w14:paraId="3FAE4781" w14:textId="4554463D">
      <w:pPr>
        <w:spacing w:before="120" w:after="120" w:line="240" w:lineRule="auto"/>
        <w:jc w:val="both"/>
        <w:rPr>
          <w:rFonts w:ascii="Arial" w:hAnsi="Arial" w:cs="Arial"/>
          <w:sz w:val="24"/>
          <w:szCs w:val="24"/>
          <w:lang w:val="es-AR"/>
        </w:rPr>
      </w:pPr>
      <w:r w:rsidRPr="00F30598">
        <w:rPr>
          <w:rFonts w:ascii="Arial" w:hAnsi="Arial" w:cs="Arial"/>
          <w:sz w:val="24"/>
          <w:szCs w:val="24"/>
          <w:lang w:val="es"/>
        </w:rPr>
        <w:t>El efecto de los días sin clase sobre las capacidades de los alumnos ha sido documenta</w:t>
      </w:r>
      <w:r w:rsidRPr="00F30598" w:rsidR="003C34D0">
        <w:rPr>
          <w:rFonts w:ascii="Arial" w:hAnsi="Arial" w:cs="Arial"/>
          <w:sz w:val="24"/>
          <w:szCs w:val="24"/>
          <w:lang w:val="es"/>
        </w:rPr>
        <w:t>do</w:t>
      </w:r>
      <w:r w:rsidRPr="00F30598">
        <w:rPr>
          <w:rFonts w:ascii="Arial" w:hAnsi="Arial" w:cs="Arial"/>
          <w:sz w:val="24"/>
          <w:szCs w:val="24"/>
          <w:lang w:val="es"/>
        </w:rPr>
        <w:t xml:space="preserve"> en la literatura </w:t>
      </w:r>
      <w:r w:rsidRPr="00F30598" w:rsidR="003C34D0">
        <w:rPr>
          <w:rFonts w:ascii="Arial" w:hAnsi="Arial" w:cs="Arial"/>
          <w:sz w:val="24"/>
          <w:szCs w:val="24"/>
          <w:lang w:val="es"/>
        </w:rPr>
        <w:t>que describe el fenómeno d</w:t>
      </w:r>
      <w:r w:rsidRPr="00F30598">
        <w:rPr>
          <w:rFonts w:ascii="Arial" w:hAnsi="Arial" w:cs="Arial"/>
          <w:sz w:val="24"/>
          <w:szCs w:val="24"/>
          <w:lang w:val="es"/>
        </w:rPr>
        <w:t>enomina</w:t>
      </w:r>
      <w:r w:rsidRPr="00F30598" w:rsidR="003C34D0">
        <w:rPr>
          <w:rFonts w:ascii="Arial" w:hAnsi="Arial" w:cs="Arial"/>
          <w:sz w:val="24"/>
          <w:szCs w:val="24"/>
          <w:lang w:val="es"/>
        </w:rPr>
        <w:t>do</w:t>
      </w:r>
      <w:r w:rsidRPr="00F30598">
        <w:rPr>
          <w:rFonts w:ascii="Arial" w:hAnsi="Arial" w:cs="Arial"/>
          <w:sz w:val="24"/>
          <w:szCs w:val="24"/>
          <w:lang w:val="es"/>
        </w:rPr>
        <w:t xml:space="preserve"> como “efecto verano”</w:t>
      </w:r>
      <w:r w:rsidRPr="00F30598" w:rsidR="003C34D0">
        <w:rPr>
          <w:rFonts w:ascii="Arial" w:hAnsi="Arial" w:cs="Arial"/>
          <w:sz w:val="24"/>
          <w:szCs w:val="24"/>
          <w:lang w:val="es"/>
        </w:rPr>
        <w:t>.</w:t>
      </w:r>
      <w:r w:rsidRPr="00F30598" w:rsidR="004C461E">
        <w:rPr>
          <w:rFonts w:ascii="Arial" w:hAnsi="Arial" w:cs="Arial"/>
          <w:sz w:val="24"/>
          <w:szCs w:val="24"/>
          <w:lang w:val="es"/>
        </w:rPr>
        <w:t xml:space="preserve"> </w:t>
      </w:r>
      <w:r w:rsidRPr="00F30598" w:rsidR="00377D2D">
        <w:rPr>
          <w:rFonts w:ascii="Arial" w:hAnsi="Arial" w:cs="Arial"/>
          <w:sz w:val="24"/>
          <w:szCs w:val="24"/>
          <w:lang w:val="es"/>
        </w:rPr>
        <w:t xml:space="preserve">Básicamente, el efecto puede ser caracterizado de la siguiente manera: cuando </w:t>
      </w:r>
      <w:r w:rsidRPr="00F30598" w:rsidR="004C461E">
        <w:rPr>
          <w:rFonts w:ascii="Arial" w:hAnsi="Arial" w:cs="Arial"/>
          <w:sz w:val="24"/>
          <w:szCs w:val="24"/>
          <w:lang w:val="es"/>
        </w:rPr>
        <w:t xml:space="preserve">los estudiantes regresan a la escuela </w:t>
      </w:r>
      <w:r w:rsidRPr="00F30598" w:rsidR="00377D2D">
        <w:rPr>
          <w:rFonts w:ascii="Arial" w:hAnsi="Arial" w:cs="Arial"/>
          <w:sz w:val="24"/>
          <w:szCs w:val="24"/>
          <w:lang w:val="es"/>
        </w:rPr>
        <w:t xml:space="preserve">luego de las vacaciones de verano, </w:t>
      </w:r>
      <w:r w:rsidRPr="00F30598" w:rsidR="004C461E">
        <w:rPr>
          <w:rFonts w:ascii="Arial" w:hAnsi="Arial" w:cs="Arial"/>
          <w:sz w:val="24"/>
          <w:szCs w:val="24"/>
          <w:lang w:val="es"/>
        </w:rPr>
        <w:t xml:space="preserve">comenzarán el año académico con niveles de rendimiento más bajos que donde estaban al </w:t>
      </w:r>
      <w:r w:rsidRPr="00F30598" w:rsidR="00377D2D">
        <w:rPr>
          <w:rFonts w:ascii="Arial" w:hAnsi="Arial" w:cs="Arial"/>
          <w:sz w:val="24"/>
          <w:szCs w:val="24"/>
          <w:lang w:val="es"/>
        </w:rPr>
        <w:t>finalizar el anterior, particularmente aquellos de hogares de bajo nivel socioeconómico</w:t>
      </w:r>
      <w:r w:rsidRPr="00F30598" w:rsidR="004C461E">
        <w:rPr>
          <w:rFonts w:ascii="Arial" w:hAnsi="Arial" w:cs="Arial"/>
          <w:sz w:val="24"/>
          <w:szCs w:val="24"/>
          <w:lang w:val="es"/>
        </w:rPr>
        <w:t xml:space="preserve">. </w:t>
      </w:r>
      <w:r w:rsidRPr="00F30598" w:rsidR="00156131">
        <w:rPr>
          <w:rFonts w:ascii="Arial" w:hAnsi="Arial" w:cs="Arial"/>
          <w:sz w:val="24"/>
          <w:szCs w:val="24"/>
          <w:lang w:val="es"/>
        </w:rPr>
        <w:t>Cooper et al. (1996)</w:t>
      </w:r>
      <w:r w:rsidRPr="00F30598" w:rsidR="00B4010C">
        <w:rPr>
          <w:rFonts w:ascii="Arial" w:hAnsi="Arial" w:cs="Arial"/>
          <w:sz w:val="24"/>
          <w:szCs w:val="24"/>
          <w:lang w:val="es"/>
        </w:rPr>
        <w:t>,</w:t>
      </w:r>
      <w:r w:rsidRPr="00F30598" w:rsidR="00156131">
        <w:rPr>
          <w:rFonts w:ascii="Arial" w:hAnsi="Arial" w:cs="Arial"/>
          <w:sz w:val="24"/>
          <w:szCs w:val="24"/>
          <w:lang w:val="es"/>
        </w:rPr>
        <w:t xml:space="preserve"> en una revisión de la literatura, concluyen que,</w:t>
      </w:r>
      <w:r w:rsidRPr="00F30598" w:rsidR="004C461E">
        <w:rPr>
          <w:rFonts w:ascii="Arial" w:hAnsi="Arial" w:cs="Arial"/>
          <w:sz w:val="24"/>
          <w:szCs w:val="24"/>
          <w:lang w:val="es"/>
        </w:rPr>
        <w:t xml:space="preserve"> en promedio, los puntajes de rendimiento de los estudiantes disminuyeron durante las vacaciones de verano por un mes de aprendizaje durante el año escolar</w:t>
      </w:r>
      <w:r w:rsidRPr="00F30598" w:rsidR="00B4010C">
        <w:rPr>
          <w:rFonts w:ascii="Arial" w:hAnsi="Arial" w:cs="Arial"/>
          <w:sz w:val="24"/>
          <w:szCs w:val="24"/>
          <w:lang w:val="es"/>
        </w:rPr>
        <w:t>. Adicionalmente</w:t>
      </w:r>
      <w:r w:rsidRPr="00F30598" w:rsidR="004C461E">
        <w:rPr>
          <w:rFonts w:ascii="Arial" w:hAnsi="Arial" w:cs="Arial"/>
          <w:sz w:val="24"/>
          <w:szCs w:val="24"/>
          <w:lang w:val="es"/>
        </w:rPr>
        <w:t xml:space="preserve">, </w:t>
      </w:r>
      <w:r w:rsidRPr="00F30598" w:rsidR="00B4010C">
        <w:rPr>
          <w:rFonts w:ascii="Arial" w:hAnsi="Arial" w:cs="Arial"/>
          <w:sz w:val="24"/>
          <w:szCs w:val="24"/>
          <w:lang w:val="es"/>
        </w:rPr>
        <w:t xml:space="preserve">detectan </w:t>
      </w:r>
      <w:r w:rsidRPr="00F30598" w:rsidR="004C461E">
        <w:rPr>
          <w:rFonts w:ascii="Arial" w:hAnsi="Arial" w:cs="Arial"/>
          <w:sz w:val="24"/>
          <w:szCs w:val="24"/>
          <w:lang w:val="es"/>
        </w:rPr>
        <w:t>disminuciones más pronunciadas para matemáticas que para lectura</w:t>
      </w:r>
      <w:r w:rsidRPr="00F30598" w:rsidR="00B4010C">
        <w:rPr>
          <w:rFonts w:ascii="Arial" w:hAnsi="Arial" w:cs="Arial"/>
          <w:sz w:val="24"/>
          <w:szCs w:val="24"/>
          <w:lang w:val="es"/>
        </w:rPr>
        <w:t xml:space="preserve"> </w:t>
      </w:r>
      <w:r w:rsidRPr="00F30598" w:rsidR="004C461E">
        <w:rPr>
          <w:rFonts w:ascii="Arial" w:hAnsi="Arial" w:cs="Arial"/>
          <w:sz w:val="24"/>
          <w:szCs w:val="24"/>
          <w:lang w:val="es"/>
        </w:rPr>
        <w:t xml:space="preserve">y </w:t>
      </w:r>
      <w:r w:rsidRPr="00F30598" w:rsidR="00B4010C">
        <w:rPr>
          <w:rFonts w:ascii="Arial" w:hAnsi="Arial" w:cs="Arial"/>
          <w:sz w:val="24"/>
          <w:szCs w:val="24"/>
          <w:lang w:val="es"/>
        </w:rPr>
        <w:t xml:space="preserve">que el deterioro fue mayor </w:t>
      </w:r>
      <w:r w:rsidRPr="00F30598" w:rsidR="004C461E">
        <w:rPr>
          <w:rFonts w:ascii="Arial" w:hAnsi="Arial" w:cs="Arial"/>
          <w:sz w:val="24"/>
          <w:szCs w:val="24"/>
          <w:lang w:val="es"/>
        </w:rPr>
        <w:t xml:space="preserve">en </w:t>
      </w:r>
      <w:r w:rsidRPr="00F30598" w:rsidR="00B4010C">
        <w:rPr>
          <w:rFonts w:ascii="Arial" w:hAnsi="Arial" w:cs="Arial"/>
          <w:sz w:val="24"/>
          <w:szCs w:val="24"/>
          <w:lang w:val="es"/>
        </w:rPr>
        <w:t>grados más altos</w:t>
      </w:r>
      <w:r w:rsidRPr="00F30598" w:rsidR="004C461E">
        <w:rPr>
          <w:rFonts w:ascii="Arial" w:hAnsi="Arial" w:cs="Arial"/>
          <w:sz w:val="24"/>
          <w:szCs w:val="24"/>
          <w:lang w:val="es"/>
        </w:rPr>
        <w:t xml:space="preserve">. Es importante destacar que </w:t>
      </w:r>
      <w:r w:rsidRPr="00F30598" w:rsidR="00227403">
        <w:rPr>
          <w:rFonts w:ascii="Arial" w:hAnsi="Arial" w:cs="Arial"/>
          <w:sz w:val="24"/>
          <w:szCs w:val="24"/>
          <w:lang w:val="es"/>
        </w:rPr>
        <w:t xml:space="preserve">una de las conclusiones de la literatura es que </w:t>
      </w:r>
      <w:r w:rsidRPr="00F30598" w:rsidR="004C461E">
        <w:rPr>
          <w:rFonts w:ascii="Arial" w:hAnsi="Arial" w:cs="Arial"/>
          <w:sz w:val="24"/>
          <w:szCs w:val="24"/>
          <w:lang w:val="es"/>
        </w:rPr>
        <w:t xml:space="preserve">las brechas </w:t>
      </w:r>
      <w:r w:rsidRPr="00F30598" w:rsidR="00227403">
        <w:rPr>
          <w:rFonts w:ascii="Arial" w:hAnsi="Arial" w:cs="Arial"/>
          <w:sz w:val="24"/>
          <w:szCs w:val="24"/>
          <w:lang w:val="es"/>
        </w:rPr>
        <w:t>asociadas al nivel de</w:t>
      </w:r>
      <w:r w:rsidRPr="00F30598" w:rsidR="004C461E">
        <w:rPr>
          <w:rFonts w:ascii="Arial" w:hAnsi="Arial" w:cs="Arial"/>
          <w:sz w:val="24"/>
          <w:szCs w:val="24"/>
          <w:lang w:val="es"/>
        </w:rPr>
        <w:t xml:space="preserve"> ingresos aumentaron durante el verano, los estudiantes de clase media tendían a mostrar una mejora en </w:t>
      </w:r>
      <w:r w:rsidRPr="00F30598" w:rsidR="00227403">
        <w:rPr>
          <w:rFonts w:ascii="Arial" w:hAnsi="Arial" w:cs="Arial"/>
          <w:sz w:val="24"/>
          <w:szCs w:val="24"/>
          <w:lang w:val="es"/>
        </w:rPr>
        <w:t>sus habilidades</w:t>
      </w:r>
      <w:r w:rsidRPr="00F30598" w:rsidR="004C461E">
        <w:rPr>
          <w:rFonts w:ascii="Arial" w:hAnsi="Arial" w:cs="Arial"/>
          <w:sz w:val="24"/>
          <w:szCs w:val="24"/>
          <w:lang w:val="es"/>
        </w:rPr>
        <w:t xml:space="preserve"> mientras que los estudiantes de bajos ingresos tendían a experimentar pérdidas.</w:t>
      </w:r>
      <w:r w:rsidRPr="00F30598" w:rsidR="00227403">
        <w:rPr>
          <w:rFonts w:ascii="Arial" w:hAnsi="Arial" w:cs="Arial"/>
          <w:sz w:val="24"/>
          <w:szCs w:val="24"/>
          <w:lang w:val="es"/>
        </w:rPr>
        <w:t xml:space="preserve"> Una explicación posible desarrollada por </w:t>
      </w:r>
      <w:proofErr w:type="spellStart"/>
      <w:r w:rsidRPr="00F30598" w:rsidR="004C461E">
        <w:rPr>
          <w:rFonts w:ascii="Arial" w:hAnsi="Arial" w:cs="Arial"/>
          <w:sz w:val="24"/>
          <w:szCs w:val="24"/>
          <w:lang w:val="es"/>
        </w:rPr>
        <w:t>Entwisle</w:t>
      </w:r>
      <w:proofErr w:type="spellEnd"/>
      <w:r w:rsidRPr="00F30598" w:rsidR="00DF592C">
        <w:rPr>
          <w:rFonts w:ascii="Arial" w:hAnsi="Arial" w:cs="Arial"/>
          <w:sz w:val="24"/>
          <w:szCs w:val="24"/>
          <w:lang w:val="es"/>
        </w:rPr>
        <w:t xml:space="preserve"> et al.</w:t>
      </w:r>
      <w:r w:rsidRPr="00F30598" w:rsidR="00227403">
        <w:rPr>
          <w:rFonts w:ascii="Arial" w:hAnsi="Arial" w:cs="Arial"/>
          <w:sz w:val="24"/>
          <w:szCs w:val="24"/>
          <w:lang w:val="es"/>
        </w:rPr>
        <w:t xml:space="preserve"> (2007) es que l</w:t>
      </w:r>
      <w:r w:rsidRPr="00F30598" w:rsidR="004C461E">
        <w:rPr>
          <w:rFonts w:ascii="Arial" w:hAnsi="Arial" w:cs="Arial"/>
          <w:sz w:val="24"/>
          <w:szCs w:val="24"/>
          <w:lang w:val="es"/>
        </w:rPr>
        <w:t>os estudiantes de mayores ingresos tienden a continuar teniendo acceso a recursos financieros y de capital humano (como la educación de los padres) durante el verano, lo que facilita el aprendizaje</w:t>
      </w:r>
      <w:r w:rsidRPr="00F30598" w:rsidR="00156131">
        <w:rPr>
          <w:rFonts w:ascii="Arial" w:hAnsi="Arial" w:cs="Arial"/>
          <w:sz w:val="24"/>
          <w:szCs w:val="24"/>
          <w:lang w:val="es"/>
        </w:rPr>
        <w:t>.</w:t>
      </w:r>
      <w:r w:rsidRPr="00F30598" w:rsidR="00FF5A53">
        <w:rPr>
          <w:rFonts w:ascii="Arial" w:hAnsi="Arial" w:cs="Arial"/>
          <w:sz w:val="24"/>
          <w:szCs w:val="24"/>
          <w:lang w:val="es-AR"/>
        </w:rPr>
        <w:t xml:space="preserve"> </w:t>
      </w:r>
      <w:r w:rsidRPr="00F30598" w:rsidR="00227403">
        <w:rPr>
          <w:rFonts w:ascii="Arial" w:hAnsi="Arial" w:cs="Arial"/>
          <w:sz w:val="24"/>
          <w:szCs w:val="24"/>
          <w:lang w:val="es-AR"/>
        </w:rPr>
        <w:t>Otro aspecto destacado por estos autores es que los efectos se acumulan en el tiempo y pueden influir también en la deserción. En este sentido, e</w:t>
      </w:r>
      <w:r w:rsidRPr="00F30598" w:rsidR="00731C83">
        <w:rPr>
          <w:rFonts w:ascii="Arial" w:hAnsi="Arial" w:cs="Arial"/>
          <w:sz w:val="24"/>
          <w:szCs w:val="24"/>
          <w:lang w:val="es-AR"/>
        </w:rPr>
        <w:t>n el análisis propuesto, n</w:t>
      </w:r>
      <w:r w:rsidRPr="00F30598" w:rsidR="00FF5A53">
        <w:rPr>
          <w:rFonts w:ascii="Arial" w:hAnsi="Arial" w:cs="Arial"/>
          <w:sz w:val="24"/>
          <w:szCs w:val="24"/>
          <w:lang w:val="es-AR"/>
        </w:rPr>
        <w:t>os limitaremos a</w:t>
      </w:r>
      <w:r w:rsidRPr="00F30598" w:rsidR="00731C83">
        <w:rPr>
          <w:rFonts w:ascii="Arial" w:hAnsi="Arial" w:cs="Arial"/>
          <w:sz w:val="24"/>
          <w:szCs w:val="24"/>
          <w:lang w:val="es-AR"/>
        </w:rPr>
        <w:t xml:space="preserve"> valuar e</w:t>
      </w:r>
      <w:r w:rsidRPr="00F30598" w:rsidR="00FF5A53">
        <w:rPr>
          <w:rFonts w:ascii="Arial" w:hAnsi="Arial" w:cs="Arial"/>
          <w:sz w:val="24"/>
          <w:szCs w:val="24"/>
          <w:lang w:val="es-AR"/>
        </w:rPr>
        <w:t xml:space="preserve">l efecto </w:t>
      </w:r>
      <w:r w:rsidRPr="00F30598" w:rsidR="00227403">
        <w:rPr>
          <w:rFonts w:ascii="Arial" w:hAnsi="Arial" w:cs="Arial"/>
          <w:sz w:val="24"/>
          <w:szCs w:val="24"/>
          <w:lang w:val="es-AR"/>
        </w:rPr>
        <w:t>de la pérdida directamente asociada a la interrupción de las clases sin considerar potenciales efectos en deserción.</w:t>
      </w:r>
    </w:p>
    <w:p w:rsidRPr="00F30598" w:rsidR="00FD6EAB" w:rsidP="00DA58E9" w:rsidRDefault="00227403" w14:paraId="1C5DB2E7" w14:textId="3F24B18C">
      <w:pPr>
        <w:spacing w:before="120" w:after="120" w:line="240" w:lineRule="auto"/>
        <w:jc w:val="both"/>
        <w:rPr>
          <w:rStyle w:val="fontstyle01"/>
          <w:rFonts w:ascii="Arial" w:hAnsi="Arial" w:cs="Arial"/>
          <w:lang w:val="es-AR"/>
        </w:rPr>
      </w:pPr>
      <w:r w:rsidRPr="00F30598">
        <w:rPr>
          <w:rFonts w:ascii="Arial" w:hAnsi="Arial" w:cs="Arial"/>
          <w:sz w:val="24"/>
          <w:szCs w:val="24"/>
          <w:lang w:val="es-AR"/>
        </w:rPr>
        <w:t xml:space="preserve">Existe evidencia también acerca de la efectividad de </w:t>
      </w:r>
      <w:r w:rsidRPr="00F30598" w:rsidR="0088233F">
        <w:rPr>
          <w:rFonts w:ascii="Arial" w:hAnsi="Arial" w:cs="Arial"/>
          <w:sz w:val="24"/>
          <w:szCs w:val="24"/>
          <w:lang w:val="es-AR"/>
        </w:rPr>
        <w:t xml:space="preserve">intervenciones que </w:t>
      </w:r>
      <w:r w:rsidRPr="00F30598" w:rsidR="00B57EF2">
        <w:rPr>
          <w:rFonts w:ascii="Arial" w:hAnsi="Arial" w:cs="Arial"/>
          <w:sz w:val="24"/>
          <w:szCs w:val="24"/>
          <w:lang w:val="es-AR"/>
        </w:rPr>
        <w:t>pueden ser vinculadas</w:t>
      </w:r>
      <w:r w:rsidRPr="00F30598" w:rsidR="0088233F">
        <w:rPr>
          <w:rFonts w:ascii="Arial" w:hAnsi="Arial" w:cs="Arial"/>
          <w:sz w:val="24"/>
          <w:szCs w:val="24"/>
          <w:lang w:val="es-AR"/>
        </w:rPr>
        <w:t xml:space="preserve"> a aquellas que son propuestas en el Componente 5 para limitar estas consecuencias negativas del efecto verano. Por ejemplo, Kim et al. (2016) encuentran que un p</w:t>
      </w:r>
      <w:r w:rsidRPr="00F30598" w:rsidR="004E1199">
        <w:rPr>
          <w:rFonts w:ascii="Arial" w:hAnsi="Arial" w:cs="Arial"/>
          <w:sz w:val="24"/>
          <w:szCs w:val="24"/>
          <w:lang w:val="es-AR"/>
        </w:rPr>
        <w:t xml:space="preserve">rograma de lectura de verano en el hogar </w:t>
      </w:r>
      <w:r w:rsidRPr="00F30598" w:rsidR="0088233F">
        <w:rPr>
          <w:rFonts w:ascii="Arial" w:hAnsi="Arial" w:cs="Arial"/>
          <w:sz w:val="24"/>
          <w:szCs w:val="24"/>
          <w:lang w:val="es-AR"/>
        </w:rPr>
        <w:t>(READS)</w:t>
      </w:r>
      <w:r w:rsidRPr="00F30598" w:rsidR="004E1199">
        <w:rPr>
          <w:rFonts w:ascii="Arial" w:hAnsi="Arial" w:cs="Arial"/>
          <w:sz w:val="24"/>
          <w:szCs w:val="24"/>
          <w:lang w:val="es-AR"/>
        </w:rPr>
        <w:t xml:space="preserve"> ha demostrado ser efectivo para estudiantes de primaria de bajos ingresos</w:t>
      </w:r>
      <w:r w:rsidRPr="00F30598" w:rsidR="004D052D">
        <w:rPr>
          <w:rFonts w:ascii="Arial" w:hAnsi="Arial" w:cs="Arial"/>
          <w:sz w:val="24"/>
          <w:szCs w:val="24"/>
          <w:lang w:val="es-AR"/>
        </w:rPr>
        <w:t>.</w:t>
      </w:r>
      <w:r w:rsidRPr="00F30598" w:rsidR="004E1199">
        <w:rPr>
          <w:rFonts w:ascii="Arial" w:hAnsi="Arial" w:cs="Arial"/>
          <w:sz w:val="24"/>
          <w:szCs w:val="24"/>
          <w:lang w:val="es-AR"/>
        </w:rPr>
        <w:t xml:space="preserve"> </w:t>
      </w:r>
      <w:r w:rsidRPr="00F30598" w:rsidR="0088233F">
        <w:rPr>
          <w:rFonts w:ascii="Arial" w:hAnsi="Arial" w:cs="Arial"/>
          <w:sz w:val="24"/>
          <w:szCs w:val="24"/>
          <w:lang w:val="es-AR"/>
        </w:rPr>
        <w:t xml:space="preserve">Kraft et al (2017) </w:t>
      </w:r>
      <w:r w:rsidRPr="00F30598" w:rsidR="004E1199">
        <w:rPr>
          <w:rFonts w:ascii="Arial" w:hAnsi="Arial" w:cs="Arial"/>
          <w:sz w:val="24"/>
          <w:szCs w:val="24"/>
          <w:lang w:val="es-AR"/>
        </w:rPr>
        <w:t>enc</w:t>
      </w:r>
      <w:r w:rsidRPr="00F30598" w:rsidR="0088233F">
        <w:rPr>
          <w:rFonts w:ascii="Arial" w:hAnsi="Arial" w:cs="Arial"/>
          <w:sz w:val="24"/>
          <w:szCs w:val="24"/>
          <w:lang w:val="es-AR"/>
        </w:rPr>
        <w:t>uentran que el uso de tecnologías digitales</w:t>
      </w:r>
      <w:r w:rsidRPr="00F30598" w:rsidR="004E1199">
        <w:rPr>
          <w:rFonts w:ascii="Arial" w:hAnsi="Arial" w:cs="Arial"/>
          <w:sz w:val="24"/>
          <w:szCs w:val="24"/>
          <w:lang w:val="es-AR"/>
        </w:rPr>
        <w:t xml:space="preserve"> </w:t>
      </w:r>
      <w:r w:rsidRPr="00F30598" w:rsidR="0088233F">
        <w:rPr>
          <w:rFonts w:ascii="Arial" w:hAnsi="Arial" w:cs="Arial"/>
          <w:sz w:val="24"/>
          <w:szCs w:val="24"/>
          <w:lang w:val="es-AR"/>
        </w:rPr>
        <w:t>básicas, el envío de</w:t>
      </w:r>
      <w:r w:rsidRPr="00F30598" w:rsidR="004E1199">
        <w:rPr>
          <w:rFonts w:ascii="Arial" w:hAnsi="Arial" w:cs="Arial"/>
          <w:sz w:val="24"/>
          <w:szCs w:val="24"/>
          <w:lang w:val="es-AR"/>
        </w:rPr>
        <w:t xml:space="preserve"> mensajes de texto durante el verano a las familias de estudiantes de primaria en riesgo fue efectivo para mejorar los puntajes de lectura</w:t>
      </w:r>
      <w:r w:rsidRPr="00F30598" w:rsidR="0088233F">
        <w:rPr>
          <w:rFonts w:ascii="Arial" w:hAnsi="Arial" w:cs="Arial"/>
          <w:sz w:val="24"/>
          <w:szCs w:val="24"/>
          <w:lang w:val="es-AR"/>
        </w:rPr>
        <w:t>.</w:t>
      </w:r>
      <w:r w:rsidRPr="00F30598" w:rsidR="004E1199">
        <w:rPr>
          <w:rFonts w:ascii="Arial" w:hAnsi="Arial" w:cs="Arial"/>
          <w:sz w:val="24"/>
          <w:szCs w:val="24"/>
          <w:lang w:val="es-AR"/>
        </w:rPr>
        <w:t xml:space="preserve"> Los mensajes de texto incluyeron consejos sobre los recursos disponibles para los estudiantes durante el verano, ideas para actividades relacionadas con los niños e información sobre el valor de actividades particulares de aprendizaje durante el verano.</w:t>
      </w:r>
      <w:r w:rsidRPr="00F30598" w:rsidR="007E55B8">
        <w:rPr>
          <w:rStyle w:val="fontstyle01"/>
          <w:rFonts w:ascii="Arial" w:hAnsi="Arial" w:cs="Arial"/>
          <w:sz w:val="24"/>
          <w:szCs w:val="24"/>
          <w:lang w:val="es-AR"/>
        </w:rPr>
        <w:t xml:space="preserve"> Adicionalmente, existe </w:t>
      </w:r>
      <w:r w:rsidRPr="00F30598" w:rsidR="007E55B8">
        <w:rPr>
          <w:rStyle w:val="fontstyle01"/>
          <w:rFonts w:ascii="Arial" w:hAnsi="Arial" w:cs="Arial"/>
          <w:sz w:val="24"/>
          <w:szCs w:val="24"/>
          <w:lang w:val="es-AR"/>
        </w:rPr>
        <w:lastRenderedPageBreak/>
        <w:t>evidencia específica de que el uso de las plataformas</w:t>
      </w:r>
      <w:r w:rsidRPr="00F30598" w:rsidR="00BF3919">
        <w:rPr>
          <w:rFonts w:ascii="Arial" w:hAnsi="Arial" w:cs="Arial"/>
          <w:color w:val="000000"/>
          <w:sz w:val="24"/>
          <w:szCs w:val="24"/>
          <w:lang w:val="es-AR"/>
        </w:rPr>
        <w:t xml:space="preserve"> </w:t>
      </w:r>
      <w:r w:rsidRPr="00F30598" w:rsidR="007E55B8">
        <w:rPr>
          <w:rStyle w:val="fontstyle01"/>
          <w:rFonts w:ascii="Arial" w:hAnsi="Arial" w:cs="Arial"/>
          <w:sz w:val="24"/>
          <w:szCs w:val="24"/>
          <w:lang w:val="es-AR"/>
        </w:rPr>
        <w:t>de aprendizaje</w:t>
      </w:r>
      <w:r w:rsidRPr="00F30598" w:rsidR="00B57EF2">
        <w:rPr>
          <w:rStyle w:val="fontstyle01"/>
          <w:rFonts w:ascii="Arial" w:hAnsi="Arial" w:cs="Arial"/>
          <w:sz w:val="24"/>
          <w:szCs w:val="24"/>
          <w:lang w:val="es-AR"/>
        </w:rPr>
        <w:t xml:space="preserve"> (no asociadas al período de vacaciones)</w:t>
      </w:r>
      <w:r w:rsidRPr="00F30598" w:rsidR="007E55B8">
        <w:rPr>
          <w:rStyle w:val="fontstyle01"/>
          <w:rFonts w:ascii="Arial" w:hAnsi="Arial" w:cs="Arial"/>
          <w:sz w:val="24"/>
          <w:szCs w:val="24"/>
          <w:lang w:val="es-AR"/>
        </w:rPr>
        <w:t xml:space="preserve"> como la P</w:t>
      </w:r>
      <w:r w:rsidRPr="00F30598" w:rsidR="00B57EF2">
        <w:rPr>
          <w:rStyle w:val="fontstyle01"/>
          <w:rFonts w:ascii="Arial" w:hAnsi="Arial" w:cs="Arial"/>
          <w:sz w:val="24"/>
          <w:szCs w:val="24"/>
          <w:lang w:val="es-AR"/>
        </w:rPr>
        <w:t xml:space="preserve">lataforma de Matemática propuesta </w:t>
      </w:r>
      <w:r w:rsidRPr="00F30598" w:rsidR="007E55B8">
        <w:rPr>
          <w:rStyle w:val="fontstyle01"/>
          <w:rFonts w:ascii="Arial" w:hAnsi="Arial" w:cs="Arial"/>
          <w:sz w:val="24"/>
          <w:szCs w:val="24"/>
          <w:lang w:val="es-AR"/>
        </w:rPr>
        <w:t>pueden tener un impacto positivo y significativo sobre el aprendizaje</w:t>
      </w:r>
      <w:r w:rsidRPr="00F30598" w:rsidR="00BF3919">
        <w:rPr>
          <w:rFonts w:ascii="Arial" w:hAnsi="Arial" w:cs="Arial"/>
          <w:color w:val="000000"/>
          <w:sz w:val="24"/>
          <w:szCs w:val="24"/>
          <w:lang w:val="es-AR"/>
        </w:rPr>
        <w:t xml:space="preserve"> </w:t>
      </w:r>
      <w:r w:rsidRPr="00F30598" w:rsidR="007E55B8">
        <w:rPr>
          <w:rStyle w:val="fontstyle01"/>
          <w:rFonts w:ascii="Arial" w:hAnsi="Arial" w:cs="Arial"/>
          <w:sz w:val="24"/>
          <w:szCs w:val="24"/>
          <w:lang w:val="es-AR"/>
        </w:rPr>
        <w:t>de la matemática</w:t>
      </w:r>
      <w:r w:rsidRPr="00F30598" w:rsidR="00B57EF2">
        <w:rPr>
          <w:rStyle w:val="fontstyle01"/>
          <w:rFonts w:ascii="Arial" w:hAnsi="Arial" w:cs="Arial"/>
          <w:sz w:val="24"/>
          <w:szCs w:val="24"/>
          <w:lang w:val="es-AR"/>
        </w:rPr>
        <w:t>.</w:t>
      </w:r>
      <w:r w:rsidRPr="00F30598" w:rsidR="007E55B8">
        <w:rPr>
          <w:rStyle w:val="fontstyle01"/>
          <w:rFonts w:ascii="Arial" w:hAnsi="Arial" w:cs="Arial"/>
          <w:sz w:val="24"/>
          <w:szCs w:val="24"/>
          <w:lang w:val="es-AR"/>
        </w:rPr>
        <w:t xml:space="preserve"> </w:t>
      </w:r>
      <w:proofErr w:type="spellStart"/>
      <w:r w:rsidRPr="00F30598" w:rsidR="007E55B8">
        <w:rPr>
          <w:rStyle w:val="fontstyle01"/>
          <w:rFonts w:ascii="Arial" w:hAnsi="Arial" w:cs="Arial"/>
          <w:sz w:val="24"/>
          <w:szCs w:val="24"/>
          <w:lang w:val="es-AR"/>
        </w:rPr>
        <w:t>Banerjee</w:t>
      </w:r>
      <w:proofErr w:type="spellEnd"/>
      <w:r w:rsidRPr="00F30598" w:rsidR="007E55B8">
        <w:rPr>
          <w:rStyle w:val="fontstyle01"/>
          <w:rFonts w:ascii="Arial" w:hAnsi="Arial" w:cs="Arial"/>
          <w:sz w:val="24"/>
          <w:szCs w:val="24"/>
          <w:lang w:val="es-AR"/>
        </w:rPr>
        <w:t xml:space="preserve"> et al.</w:t>
      </w:r>
      <w:r w:rsidRPr="00F30598" w:rsidR="00EA6FD1">
        <w:rPr>
          <w:rStyle w:val="fontstyle01"/>
          <w:rFonts w:ascii="Arial" w:hAnsi="Arial" w:cs="Arial"/>
          <w:sz w:val="24"/>
          <w:szCs w:val="24"/>
          <w:lang w:val="es-AR"/>
        </w:rPr>
        <w:t xml:space="preserve"> </w:t>
      </w:r>
      <w:r w:rsidRPr="00F30598" w:rsidR="00B57EF2">
        <w:rPr>
          <w:rStyle w:val="fontstyle01"/>
          <w:rFonts w:ascii="Arial" w:hAnsi="Arial" w:cs="Arial"/>
          <w:sz w:val="24"/>
          <w:szCs w:val="24"/>
          <w:lang w:val="es-AR"/>
        </w:rPr>
        <w:t>(</w:t>
      </w:r>
      <w:r w:rsidRPr="00F30598" w:rsidR="007E55B8">
        <w:rPr>
          <w:rStyle w:val="fontstyle01"/>
          <w:rFonts w:ascii="Arial" w:hAnsi="Arial" w:cs="Arial"/>
          <w:sz w:val="24"/>
          <w:szCs w:val="24"/>
          <w:lang w:val="es-AR"/>
        </w:rPr>
        <w:t>2007</w:t>
      </w:r>
      <w:r w:rsidRPr="00F30598" w:rsidR="00B57EF2">
        <w:rPr>
          <w:rStyle w:val="fontstyle01"/>
          <w:rFonts w:ascii="Arial" w:hAnsi="Arial" w:cs="Arial"/>
          <w:sz w:val="24"/>
          <w:szCs w:val="24"/>
          <w:lang w:val="es-AR"/>
        </w:rPr>
        <w:t xml:space="preserve">) encuentran que </w:t>
      </w:r>
      <w:r w:rsidRPr="00F30598" w:rsidR="007E55B8">
        <w:rPr>
          <w:rFonts w:ascii="Arial" w:hAnsi="Arial" w:cs="Arial"/>
          <w:color w:val="000000"/>
          <w:sz w:val="24"/>
          <w:szCs w:val="24"/>
          <w:lang w:val="es-AR"/>
        </w:rPr>
        <w:t>un programa de enseñanza con uso de plataformas y dispositivos mostró un aumento en los resultados</w:t>
      </w:r>
      <w:r w:rsidRPr="00F30598" w:rsidR="00BF3919">
        <w:rPr>
          <w:rFonts w:ascii="Arial" w:hAnsi="Arial" w:cs="Arial"/>
          <w:color w:val="000000"/>
          <w:sz w:val="24"/>
          <w:szCs w:val="24"/>
          <w:lang w:val="es-AR"/>
        </w:rPr>
        <w:t xml:space="preserve"> </w:t>
      </w:r>
      <w:r w:rsidRPr="00F30598" w:rsidR="007E55B8">
        <w:rPr>
          <w:rFonts w:ascii="Arial" w:hAnsi="Arial" w:cs="Arial"/>
          <w:color w:val="000000"/>
          <w:sz w:val="24"/>
          <w:szCs w:val="24"/>
          <w:lang w:val="es-AR"/>
        </w:rPr>
        <w:t xml:space="preserve">de matemáticas </w:t>
      </w:r>
      <w:r w:rsidRPr="00F30598" w:rsidR="00B57EF2">
        <w:rPr>
          <w:rFonts w:ascii="Arial" w:hAnsi="Arial" w:cs="Arial"/>
          <w:color w:val="000000"/>
          <w:sz w:val="24"/>
          <w:szCs w:val="24"/>
          <w:lang w:val="es-AR"/>
        </w:rPr>
        <w:t>y u</w:t>
      </w:r>
      <w:r w:rsidRPr="00F30598" w:rsidR="007E55B8">
        <w:rPr>
          <w:rFonts w:ascii="Arial" w:hAnsi="Arial" w:cs="Arial"/>
          <w:color w:val="000000"/>
          <w:sz w:val="24"/>
          <w:szCs w:val="24"/>
          <w:lang w:val="es-AR"/>
        </w:rPr>
        <w:t>n año después de la terminación del programa los resultados</w:t>
      </w:r>
      <w:r w:rsidRPr="00F30598" w:rsidR="00BF3919">
        <w:rPr>
          <w:rFonts w:ascii="Arial" w:hAnsi="Arial" w:cs="Arial"/>
          <w:color w:val="000000"/>
          <w:sz w:val="24"/>
          <w:szCs w:val="24"/>
          <w:lang w:val="es-AR"/>
        </w:rPr>
        <w:t xml:space="preserve"> </w:t>
      </w:r>
      <w:r w:rsidRPr="00F30598" w:rsidR="007E55B8">
        <w:rPr>
          <w:rFonts w:ascii="Arial" w:hAnsi="Arial" w:cs="Arial"/>
          <w:color w:val="000000"/>
          <w:sz w:val="24"/>
          <w:szCs w:val="24"/>
          <w:lang w:val="es-AR"/>
        </w:rPr>
        <w:t xml:space="preserve">continuaban siendo significativos para los estudiantes focalizados, </w:t>
      </w:r>
      <w:r w:rsidRPr="00F30598" w:rsidR="00B57EF2">
        <w:rPr>
          <w:rFonts w:ascii="Arial" w:hAnsi="Arial" w:cs="Arial"/>
          <w:color w:val="000000"/>
          <w:sz w:val="24"/>
          <w:szCs w:val="24"/>
          <w:lang w:val="es-AR"/>
        </w:rPr>
        <w:t>aun cuando se habían reducido</w:t>
      </w:r>
      <w:r w:rsidRPr="00F30598" w:rsidR="007E55B8">
        <w:rPr>
          <w:rStyle w:val="fontstyle01"/>
          <w:rFonts w:ascii="Arial" w:hAnsi="Arial" w:cs="Arial"/>
          <w:sz w:val="24"/>
          <w:szCs w:val="24"/>
          <w:lang w:val="es-AR"/>
        </w:rPr>
        <w:t>.</w:t>
      </w:r>
    </w:p>
    <w:p w:rsidRPr="00F30598" w:rsidR="00D50916" w:rsidP="00DA58E9" w:rsidRDefault="00B57EF2" w14:paraId="0F3F7690" w14:textId="47982963">
      <w:pPr>
        <w:spacing w:before="120" w:after="120" w:line="240" w:lineRule="auto"/>
        <w:jc w:val="both"/>
        <w:rPr>
          <w:rStyle w:val="fontstyle01"/>
          <w:rFonts w:ascii="Arial" w:hAnsi="Arial" w:cs="Arial"/>
          <w:sz w:val="24"/>
          <w:szCs w:val="24"/>
          <w:lang w:val="es-AR"/>
        </w:rPr>
      </w:pPr>
      <w:r w:rsidRPr="00F30598">
        <w:rPr>
          <w:rFonts w:ascii="Arial" w:hAnsi="Arial" w:cs="Arial"/>
          <w:sz w:val="24"/>
          <w:szCs w:val="24"/>
          <w:lang w:val="es-AR"/>
        </w:rPr>
        <w:t>En lo que se refiere a experiencias en la región</w:t>
      </w:r>
      <w:r w:rsidRPr="00F30598" w:rsidR="0054673F">
        <w:rPr>
          <w:rFonts w:ascii="Arial" w:hAnsi="Arial" w:cs="Arial"/>
          <w:sz w:val="24"/>
          <w:szCs w:val="24"/>
          <w:lang w:val="es-AR"/>
        </w:rPr>
        <w:t xml:space="preserve"> existe evidencia acerca de la efectividad de algunas intervenciones</w:t>
      </w:r>
      <w:r w:rsidRPr="00F30598">
        <w:rPr>
          <w:rFonts w:ascii="Arial" w:hAnsi="Arial" w:cs="Arial"/>
          <w:sz w:val="24"/>
          <w:szCs w:val="24"/>
          <w:lang w:val="es-AR"/>
        </w:rPr>
        <w:t xml:space="preserve"> </w:t>
      </w:r>
      <w:r w:rsidRPr="00F30598" w:rsidR="0054673F">
        <w:rPr>
          <w:rFonts w:ascii="Arial" w:hAnsi="Arial" w:cs="Arial"/>
          <w:sz w:val="24"/>
          <w:szCs w:val="24"/>
          <w:lang w:val="es-AR"/>
        </w:rPr>
        <w:t>que se asemejan a las propuestas durante el período lectivo regular (no en vacaciones). En particular, se deben destacar l</w:t>
      </w:r>
      <w:r w:rsidRPr="00F30598" w:rsidR="00D66222">
        <w:rPr>
          <w:rFonts w:ascii="Arial" w:hAnsi="Arial" w:cs="Arial"/>
          <w:sz w:val="24"/>
          <w:szCs w:val="24"/>
          <w:lang w:val="es-AR"/>
        </w:rPr>
        <w:t>os resultados positivos de l</w:t>
      </w:r>
      <w:r w:rsidRPr="00F30598" w:rsidR="0054673F">
        <w:rPr>
          <w:rFonts w:ascii="Arial" w:hAnsi="Arial" w:cs="Arial"/>
          <w:sz w:val="24"/>
          <w:szCs w:val="24"/>
          <w:lang w:val="es-AR"/>
        </w:rPr>
        <w:t>as evaluaciones de la Plataforma de Matemáticas del Plan Ceibal</w:t>
      </w:r>
      <w:r w:rsidRPr="00F30598" w:rsidR="00D66222">
        <w:rPr>
          <w:rFonts w:ascii="Arial" w:hAnsi="Arial" w:cs="Arial"/>
          <w:sz w:val="24"/>
          <w:szCs w:val="24"/>
          <w:lang w:val="es-AR"/>
        </w:rPr>
        <w:t xml:space="preserve"> (Perera y </w:t>
      </w:r>
      <w:proofErr w:type="spellStart"/>
      <w:r w:rsidRPr="00F30598" w:rsidR="00D66222">
        <w:rPr>
          <w:rFonts w:ascii="Arial" w:hAnsi="Arial" w:cs="Arial"/>
          <w:sz w:val="24"/>
          <w:szCs w:val="24"/>
          <w:lang w:val="es-AR"/>
        </w:rPr>
        <w:t>Aboal</w:t>
      </w:r>
      <w:proofErr w:type="spellEnd"/>
      <w:r w:rsidRPr="00F30598" w:rsidR="00D66222">
        <w:rPr>
          <w:rFonts w:ascii="Arial" w:hAnsi="Arial" w:cs="Arial"/>
          <w:sz w:val="24"/>
          <w:szCs w:val="24"/>
          <w:lang w:val="es-AR"/>
        </w:rPr>
        <w:t xml:space="preserve"> 2017)</w:t>
      </w:r>
      <w:r w:rsidRPr="00F30598" w:rsidR="0054673F">
        <w:rPr>
          <w:rFonts w:ascii="Arial" w:hAnsi="Arial" w:cs="Arial"/>
          <w:sz w:val="24"/>
          <w:szCs w:val="24"/>
          <w:lang w:val="es-AR"/>
        </w:rPr>
        <w:t xml:space="preserve"> y el Ceibal en </w:t>
      </w:r>
      <w:proofErr w:type="gramStart"/>
      <w:r w:rsidRPr="00F30598" w:rsidR="0054673F">
        <w:rPr>
          <w:rFonts w:ascii="Arial" w:hAnsi="Arial" w:cs="Arial"/>
          <w:sz w:val="24"/>
          <w:szCs w:val="24"/>
          <w:lang w:val="es-AR"/>
        </w:rPr>
        <w:t>Inglés</w:t>
      </w:r>
      <w:proofErr w:type="gramEnd"/>
      <w:r w:rsidRPr="00F30598" w:rsidR="00D66222">
        <w:rPr>
          <w:rFonts w:ascii="Arial" w:hAnsi="Arial" w:cs="Arial"/>
          <w:sz w:val="24"/>
          <w:szCs w:val="24"/>
          <w:lang w:val="es-AR"/>
        </w:rPr>
        <w:t xml:space="preserve"> (Marconi 2016)</w:t>
      </w:r>
      <w:r w:rsidRPr="00F30598" w:rsidR="0054673F">
        <w:rPr>
          <w:rFonts w:ascii="Arial" w:hAnsi="Arial" w:cs="Arial"/>
          <w:sz w:val="24"/>
          <w:szCs w:val="24"/>
          <w:lang w:val="es-AR"/>
        </w:rPr>
        <w:t>. Estas intervenciones operan sobre la plataforma del tipo “</w:t>
      </w:r>
      <w:proofErr w:type="spellStart"/>
      <w:r w:rsidRPr="00F30598" w:rsidR="0054673F">
        <w:rPr>
          <w:rFonts w:ascii="Arial" w:hAnsi="Arial" w:cs="Arial"/>
          <w:sz w:val="24"/>
          <w:szCs w:val="24"/>
          <w:lang w:val="es-AR"/>
        </w:rPr>
        <w:t>one</w:t>
      </w:r>
      <w:proofErr w:type="spellEnd"/>
      <w:r w:rsidRPr="00F30598" w:rsidR="0054673F">
        <w:rPr>
          <w:rFonts w:ascii="Arial" w:hAnsi="Arial" w:cs="Arial"/>
          <w:sz w:val="24"/>
          <w:szCs w:val="24"/>
          <w:lang w:val="es-AR"/>
        </w:rPr>
        <w:t xml:space="preserve"> laptop per </w:t>
      </w:r>
      <w:proofErr w:type="spellStart"/>
      <w:r w:rsidRPr="00F30598" w:rsidR="0054673F">
        <w:rPr>
          <w:rFonts w:ascii="Arial" w:hAnsi="Arial" w:cs="Arial"/>
          <w:sz w:val="24"/>
          <w:szCs w:val="24"/>
          <w:lang w:val="es-AR"/>
        </w:rPr>
        <w:t>child</w:t>
      </w:r>
      <w:proofErr w:type="spellEnd"/>
      <w:r w:rsidRPr="00F30598" w:rsidR="0054673F">
        <w:rPr>
          <w:rFonts w:ascii="Arial" w:hAnsi="Arial" w:cs="Arial"/>
          <w:sz w:val="24"/>
          <w:szCs w:val="24"/>
          <w:lang w:val="es-AR"/>
        </w:rPr>
        <w:t>” desarrollada en Uruguay.  Sin embargo, debe considerarse que o</w:t>
      </w:r>
      <w:r w:rsidRPr="00F30598" w:rsidR="00FD6EAB">
        <w:rPr>
          <w:rFonts w:ascii="Arial" w:hAnsi="Arial" w:cs="Arial"/>
          <w:sz w:val="24"/>
          <w:szCs w:val="24"/>
          <w:lang w:val="es-AR"/>
        </w:rPr>
        <w:t>tras iniciativas de programas de “</w:t>
      </w:r>
      <w:proofErr w:type="spellStart"/>
      <w:r w:rsidRPr="00F30598" w:rsidR="00FD6EAB">
        <w:rPr>
          <w:rFonts w:ascii="Arial" w:hAnsi="Arial" w:cs="Arial"/>
          <w:sz w:val="24"/>
          <w:szCs w:val="24"/>
          <w:lang w:val="es-AR"/>
        </w:rPr>
        <w:t>one</w:t>
      </w:r>
      <w:proofErr w:type="spellEnd"/>
      <w:r w:rsidRPr="00F30598" w:rsidR="00FD6EAB">
        <w:rPr>
          <w:rFonts w:ascii="Arial" w:hAnsi="Arial" w:cs="Arial"/>
          <w:sz w:val="24"/>
          <w:szCs w:val="24"/>
          <w:lang w:val="es-AR"/>
        </w:rPr>
        <w:t xml:space="preserve"> laptop per </w:t>
      </w:r>
      <w:proofErr w:type="spellStart"/>
      <w:r w:rsidRPr="00F30598" w:rsidR="00FD6EAB">
        <w:rPr>
          <w:rFonts w:ascii="Arial" w:hAnsi="Arial" w:cs="Arial"/>
          <w:sz w:val="24"/>
          <w:szCs w:val="24"/>
          <w:lang w:val="es-AR"/>
        </w:rPr>
        <w:t>child</w:t>
      </w:r>
      <w:proofErr w:type="spellEnd"/>
      <w:r w:rsidRPr="00F30598" w:rsidR="00FD6EAB">
        <w:rPr>
          <w:rFonts w:ascii="Arial" w:hAnsi="Arial" w:cs="Arial"/>
          <w:sz w:val="24"/>
          <w:szCs w:val="24"/>
          <w:lang w:val="es-AR"/>
        </w:rPr>
        <w:t xml:space="preserve">” no han mostrado resultados alentadores y han sido criticados en relación </w:t>
      </w:r>
      <w:r w:rsidRPr="00F30598" w:rsidR="0054673F">
        <w:rPr>
          <w:rFonts w:ascii="Arial" w:hAnsi="Arial" w:cs="Arial"/>
          <w:sz w:val="24"/>
          <w:szCs w:val="24"/>
          <w:lang w:val="es-AR"/>
        </w:rPr>
        <w:t>con</w:t>
      </w:r>
      <w:r w:rsidRPr="00F30598" w:rsidR="00FD6EAB">
        <w:rPr>
          <w:rFonts w:ascii="Arial" w:hAnsi="Arial" w:cs="Arial"/>
          <w:sz w:val="24"/>
          <w:szCs w:val="24"/>
          <w:lang w:val="es-AR"/>
        </w:rPr>
        <w:t xml:space="preserve"> su análisis costo beneficio</w:t>
      </w:r>
      <w:r w:rsidRPr="00F30598" w:rsidR="0054673F">
        <w:rPr>
          <w:rStyle w:val="FootnoteReference"/>
          <w:rFonts w:ascii="Arial" w:hAnsi="Arial" w:cs="Arial"/>
          <w:sz w:val="24"/>
          <w:szCs w:val="24"/>
          <w:lang w:val="es-AR"/>
        </w:rPr>
        <w:footnoteReference w:id="29"/>
      </w:r>
      <w:r w:rsidRPr="00F30598" w:rsidR="0054673F">
        <w:rPr>
          <w:rFonts w:ascii="Arial" w:hAnsi="Arial" w:cs="Arial"/>
          <w:sz w:val="24"/>
          <w:szCs w:val="24"/>
          <w:lang w:val="es-AR"/>
        </w:rPr>
        <w:t xml:space="preserve">. Por ello es relevante la metodología particular de las intervenciones para potenciar su efecto. </w:t>
      </w:r>
      <w:r w:rsidRPr="00F30598" w:rsidR="002D4478">
        <w:rPr>
          <w:rStyle w:val="fontstyle01"/>
          <w:rFonts w:ascii="Arial" w:hAnsi="Arial" w:cs="Arial"/>
          <w:sz w:val="24"/>
          <w:szCs w:val="24"/>
          <w:lang w:val="es-AR"/>
        </w:rPr>
        <w:t xml:space="preserve">Arias y Cristia (2014) </w:t>
      </w:r>
      <w:r w:rsidRPr="00F30598" w:rsidR="0054673F">
        <w:rPr>
          <w:rStyle w:val="fontstyle01"/>
          <w:rFonts w:ascii="Arial" w:hAnsi="Arial" w:cs="Arial"/>
          <w:sz w:val="24"/>
          <w:szCs w:val="24"/>
          <w:lang w:val="es-AR"/>
        </w:rPr>
        <w:t>encuentran</w:t>
      </w:r>
      <w:r w:rsidRPr="00F30598" w:rsidR="002D4478">
        <w:rPr>
          <w:rStyle w:val="fontstyle01"/>
          <w:rFonts w:ascii="Arial" w:hAnsi="Arial" w:cs="Arial"/>
          <w:sz w:val="24"/>
          <w:szCs w:val="24"/>
          <w:lang w:val="es-AR"/>
        </w:rPr>
        <w:t xml:space="preserve"> que los</w:t>
      </w:r>
      <w:r w:rsidRPr="00F30598" w:rsidR="00BF3919">
        <w:rPr>
          <w:rFonts w:ascii="Arial" w:hAnsi="Arial" w:cs="Arial"/>
          <w:color w:val="000000"/>
          <w:sz w:val="24"/>
          <w:szCs w:val="24"/>
          <w:lang w:val="es-AR"/>
        </w:rPr>
        <w:t xml:space="preserve"> </w:t>
      </w:r>
      <w:r w:rsidRPr="00F30598" w:rsidR="002D4478">
        <w:rPr>
          <w:rStyle w:val="fontstyle01"/>
          <w:rFonts w:ascii="Arial" w:hAnsi="Arial" w:cs="Arial"/>
          <w:sz w:val="24"/>
          <w:szCs w:val="24"/>
          <w:lang w:val="es-AR"/>
        </w:rPr>
        <w:t>programas de tecnología en educación que guían el uso de los recursos tecnológicos por parte</w:t>
      </w:r>
      <w:r w:rsidRPr="00F30598" w:rsidR="00BF3919">
        <w:rPr>
          <w:rFonts w:ascii="Arial" w:hAnsi="Arial" w:cs="Arial"/>
          <w:color w:val="000000"/>
          <w:sz w:val="24"/>
          <w:szCs w:val="24"/>
          <w:lang w:val="es-AR"/>
        </w:rPr>
        <w:t xml:space="preserve"> </w:t>
      </w:r>
      <w:r w:rsidRPr="00F30598" w:rsidR="002D4478">
        <w:rPr>
          <w:rStyle w:val="fontstyle01"/>
          <w:rFonts w:ascii="Arial" w:hAnsi="Arial" w:cs="Arial"/>
          <w:sz w:val="24"/>
          <w:szCs w:val="24"/>
          <w:lang w:val="es-AR"/>
        </w:rPr>
        <w:t>de los docentes tienen hasta 4 veces mayor impacto en</w:t>
      </w:r>
      <w:r w:rsidRPr="00F30598" w:rsidR="00BF3919">
        <w:rPr>
          <w:rFonts w:ascii="Arial" w:hAnsi="Arial" w:cs="Arial"/>
          <w:color w:val="000000"/>
          <w:sz w:val="24"/>
          <w:szCs w:val="24"/>
          <w:lang w:val="es-AR"/>
        </w:rPr>
        <w:t xml:space="preserve"> </w:t>
      </w:r>
      <w:r w:rsidRPr="00F30598" w:rsidR="002D4478">
        <w:rPr>
          <w:rStyle w:val="fontstyle01"/>
          <w:rFonts w:ascii="Arial" w:hAnsi="Arial" w:cs="Arial"/>
          <w:sz w:val="24"/>
          <w:szCs w:val="24"/>
          <w:lang w:val="es-AR"/>
        </w:rPr>
        <w:t xml:space="preserve">aprendizajes, que los programas de uso no guiado. </w:t>
      </w:r>
      <w:r w:rsidRPr="00F30598" w:rsidR="0054673F">
        <w:rPr>
          <w:rStyle w:val="fontstyle01"/>
          <w:rFonts w:ascii="Arial" w:hAnsi="Arial" w:cs="Arial"/>
          <w:sz w:val="24"/>
          <w:szCs w:val="24"/>
          <w:lang w:val="es-AR"/>
        </w:rPr>
        <w:t xml:space="preserve">Para considerar la variabilidad en los resultados producto de distintos diseños de las políticas y capacidades de </w:t>
      </w:r>
      <w:r w:rsidRPr="00F30598" w:rsidR="00D66222">
        <w:rPr>
          <w:rStyle w:val="fontstyle01"/>
          <w:rFonts w:ascii="Arial" w:hAnsi="Arial" w:cs="Arial"/>
          <w:sz w:val="24"/>
          <w:szCs w:val="24"/>
          <w:lang w:val="es-AR"/>
        </w:rPr>
        <w:t>los implementadores se incluirá en el análisis de sensibilidad la variación de un parámetro que capture la efectividad.</w:t>
      </w:r>
      <w:r w:rsidRPr="00F30598" w:rsidR="00AE0F12">
        <w:rPr>
          <w:rStyle w:val="fontstyle01"/>
          <w:rFonts w:ascii="Arial" w:hAnsi="Arial" w:cs="Arial"/>
          <w:sz w:val="24"/>
          <w:szCs w:val="24"/>
          <w:lang w:val="es-AR"/>
        </w:rPr>
        <w:t xml:space="preserve"> </w:t>
      </w:r>
      <w:r w:rsidRPr="00F30598" w:rsidR="00D50916">
        <w:rPr>
          <w:rStyle w:val="fontstyle01"/>
          <w:rFonts w:ascii="Arial" w:hAnsi="Arial" w:cs="Arial"/>
          <w:sz w:val="24"/>
          <w:szCs w:val="24"/>
          <w:lang w:val="es-AR"/>
        </w:rPr>
        <w:t>Asimismo, hay que considerar que las</w:t>
      </w:r>
      <w:r w:rsidRPr="00F30598" w:rsidR="00AE0F12">
        <w:rPr>
          <w:rStyle w:val="fontstyle01"/>
          <w:rFonts w:ascii="Arial" w:hAnsi="Arial" w:cs="Arial"/>
          <w:sz w:val="24"/>
          <w:szCs w:val="24"/>
          <w:lang w:val="es-AR"/>
        </w:rPr>
        <w:t xml:space="preserve"> circunstancias en las que tiene lugar el uso de estas tecnologías </w:t>
      </w:r>
      <w:r w:rsidRPr="00F30598" w:rsidR="00D50916">
        <w:rPr>
          <w:rStyle w:val="fontstyle01"/>
          <w:rFonts w:ascii="Arial" w:hAnsi="Arial" w:cs="Arial"/>
          <w:sz w:val="24"/>
          <w:szCs w:val="24"/>
          <w:lang w:val="es-AR"/>
        </w:rPr>
        <w:t>difieren</w:t>
      </w:r>
      <w:r w:rsidRPr="00F30598" w:rsidR="00AE0F12">
        <w:rPr>
          <w:rStyle w:val="fontstyle01"/>
          <w:rFonts w:ascii="Arial" w:hAnsi="Arial" w:cs="Arial"/>
          <w:sz w:val="24"/>
          <w:szCs w:val="24"/>
          <w:lang w:val="es-AR"/>
        </w:rPr>
        <w:t xml:space="preserve"> de aquella experimentada durante las evaluaciones ya que en ese caso eran metodologías complementarias de las clases presenciales.</w:t>
      </w:r>
    </w:p>
    <w:p w:rsidRPr="00F30598" w:rsidR="008803A9" w:rsidP="00DA58E9" w:rsidRDefault="008803A9" w14:paraId="2CE6DE64" w14:textId="38857193">
      <w:pPr>
        <w:spacing w:before="120" w:after="120" w:line="240" w:lineRule="auto"/>
        <w:jc w:val="both"/>
        <w:rPr>
          <w:rFonts w:ascii="Arial" w:hAnsi="Arial" w:cs="Arial"/>
          <w:b/>
          <w:sz w:val="24"/>
          <w:szCs w:val="24"/>
          <w:lang w:val="es-AR"/>
        </w:rPr>
      </w:pPr>
      <w:r w:rsidRPr="00F30598">
        <w:rPr>
          <w:rFonts w:ascii="Arial" w:hAnsi="Arial" w:cs="Arial"/>
          <w:sz w:val="24"/>
          <w:szCs w:val="24"/>
          <w:lang w:val="es-AR"/>
        </w:rPr>
        <w:t xml:space="preserve">Como primer paso </w:t>
      </w:r>
      <w:r w:rsidRPr="00F30598" w:rsidR="00B57EF2">
        <w:rPr>
          <w:rFonts w:ascii="Arial" w:hAnsi="Arial" w:cs="Arial"/>
          <w:sz w:val="24"/>
          <w:szCs w:val="24"/>
          <w:lang w:val="es-AR"/>
        </w:rPr>
        <w:t xml:space="preserve">del análisis </w:t>
      </w:r>
      <w:r w:rsidRPr="00F30598" w:rsidR="003C34D0">
        <w:rPr>
          <w:rFonts w:ascii="Arial" w:hAnsi="Arial" w:cs="Arial"/>
          <w:sz w:val="24"/>
          <w:szCs w:val="24"/>
          <w:lang w:val="es-AR"/>
        </w:rPr>
        <w:t>se estima</w:t>
      </w:r>
      <w:r w:rsidRPr="00F30598">
        <w:rPr>
          <w:rFonts w:ascii="Arial" w:hAnsi="Arial" w:cs="Arial"/>
          <w:sz w:val="24"/>
          <w:szCs w:val="24"/>
          <w:lang w:val="es-AR"/>
        </w:rPr>
        <w:t xml:space="preserve"> a la población beneficiaria. </w:t>
      </w:r>
      <w:r w:rsidRPr="00F30598" w:rsidR="00F43D3F">
        <w:rPr>
          <w:rFonts w:ascii="Arial" w:hAnsi="Arial" w:cs="Arial"/>
          <w:sz w:val="24"/>
          <w:szCs w:val="24"/>
          <w:lang w:val="es-AR"/>
        </w:rPr>
        <w:t>Se consideran que las intervenciones van a operar sobre 100.000 alumnos de escuela pública. Esta cantidad es elegida debido a que las intervenciones cuentan con economías de escala y 100.000 es el mayor número de estudiantes para el cual los costos unitarios más altos están vigentes. De esta manera, se adopta el supuesto más conservador en relación con los costos.</w:t>
      </w:r>
      <w:r w:rsidRPr="00F30598" w:rsidR="00DC3133">
        <w:rPr>
          <w:rFonts w:ascii="Arial" w:hAnsi="Arial" w:cs="Arial"/>
          <w:sz w:val="24"/>
          <w:szCs w:val="24"/>
          <w:lang w:val="es-AR"/>
        </w:rPr>
        <w:t xml:space="preserve"> Sin embargo, debe destacarse, el efecto beneficioso se limita aquellos alumnos </w:t>
      </w:r>
      <w:r w:rsidRPr="00F30598" w:rsidR="00981D04">
        <w:rPr>
          <w:rFonts w:ascii="Arial" w:hAnsi="Arial" w:cs="Arial"/>
          <w:sz w:val="24"/>
          <w:szCs w:val="24"/>
          <w:lang w:val="es-AR"/>
        </w:rPr>
        <w:t>en situación de pobreza multidimensional</w:t>
      </w:r>
      <w:r w:rsidRPr="00F30598" w:rsidR="00DC3133">
        <w:rPr>
          <w:rFonts w:ascii="Arial" w:hAnsi="Arial" w:cs="Arial"/>
          <w:sz w:val="24"/>
          <w:szCs w:val="24"/>
          <w:lang w:val="es-AR"/>
        </w:rPr>
        <w:t xml:space="preserve"> (</w:t>
      </w:r>
      <w:r w:rsidRPr="00F30598" w:rsidR="00F84C44">
        <w:rPr>
          <w:rFonts w:ascii="Arial" w:hAnsi="Arial" w:cs="Arial"/>
          <w:sz w:val="24"/>
          <w:szCs w:val="24"/>
          <w:lang w:val="es-AR"/>
        </w:rPr>
        <w:t>4</w:t>
      </w:r>
      <w:r w:rsidRPr="00F30598" w:rsidR="00981D04">
        <w:rPr>
          <w:rFonts w:ascii="Arial" w:hAnsi="Arial" w:cs="Arial"/>
          <w:sz w:val="24"/>
          <w:szCs w:val="24"/>
          <w:lang w:val="es-AR"/>
        </w:rPr>
        <w:t>2</w:t>
      </w:r>
      <w:r w:rsidRPr="00F30598" w:rsidR="00DC3133">
        <w:rPr>
          <w:rFonts w:ascii="Arial" w:hAnsi="Arial" w:cs="Arial"/>
          <w:sz w:val="24"/>
          <w:szCs w:val="24"/>
          <w:lang w:val="es-AR"/>
        </w:rPr>
        <w:t>%)</w:t>
      </w:r>
      <w:r w:rsidRPr="00F30598" w:rsidR="00EA6FD1">
        <w:rPr>
          <w:rStyle w:val="FootnoteReference"/>
          <w:rFonts w:ascii="Arial" w:hAnsi="Arial" w:cs="Arial"/>
          <w:sz w:val="24"/>
          <w:szCs w:val="24"/>
          <w:lang w:val="es-AR"/>
        </w:rPr>
        <w:footnoteReference w:id="30"/>
      </w:r>
      <w:r w:rsidRPr="00F30598" w:rsidR="00DC3133">
        <w:rPr>
          <w:rFonts w:ascii="Arial" w:hAnsi="Arial" w:cs="Arial"/>
          <w:sz w:val="24"/>
          <w:szCs w:val="24"/>
          <w:lang w:val="es-AR"/>
        </w:rPr>
        <w:t xml:space="preserve"> ya que se asume que el resto de la población tiene capacidad de compensar en el hogar los días sin clase. Por lo tanto, considerando un contrafactual en el cual la medida no se implementa, los niños no afrontarían la pérdida de capacidades</w:t>
      </w:r>
      <w:r w:rsidRPr="00F30598" w:rsidR="00DC3133">
        <w:rPr>
          <w:rStyle w:val="FootnoteReference"/>
          <w:rFonts w:ascii="Arial" w:hAnsi="Arial" w:cs="Arial"/>
          <w:sz w:val="24"/>
          <w:szCs w:val="24"/>
        </w:rPr>
        <w:footnoteReference w:id="31"/>
      </w:r>
      <w:r w:rsidRPr="00F30598" w:rsidR="00DC3133">
        <w:rPr>
          <w:rFonts w:ascii="Arial" w:hAnsi="Arial" w:cs="Arial"/>
          <w:sz w:val="24"/>
          <w:szCs w:val="24"/>
          <w:lang w:val="es-AR"/>
        </w:rPr>
        <w:t xml:space="preserve">. Este subconjunto de beneficiarios se considera como beneficiarios efectivos. El segundo paso consiste en estimar para los beneficiarios efectivos, el efecto en términos de tiempo de educación preservado mediante las medidas. Dado que la </w:t>
      </w:r>
      <w:r w:rsidRPr="00F30598" w:rsidR="00DC3133">
        <w:rPr>
          <w:rFonts w:ascii="Arial" w:hAnsi="Arial" w:cs="Arial"/>
          <w:sz w:val="24"/>
          <w:szCs w:val="24"/>
          <w:lang w:val="es-AR"/>
        </w:rPr>
        <w:lastRenderedPageBreak/>
        <w:t>literatura</w:t>
      </w:r>
      <w:r w:rsidRPr="00F30598" w:rsidR="00DC3133">
        <w:rPr>
          <w:rStyle w:val="FootnoteReference"/>
          <w:rFonts w:ascii="Arial" w:hAnsi="Arial" w:cs="Arial"/>
          <w:sz w:val="24"/>
          <w:szCs w:val="24"/>
        </w:rPr>
        <w:footnoteReference w:id="32"/>
      </w:r>
      <w:r w:rsidRPr="00F30598" w:rsidR="00DC3133">
        <w:rPr>
          <w:rFonts w:ascii="Arial" w:hAnsi="Arial" w:cs="Arial"/>
          <w:sz w:val="24"/>
          <w:szCs w:val="24"/>
          <w:lang w:val="es-AR"/>
        </w:rPr>
        <w:t xml:space="preserve"> </w:t>
      </w:r>
      <w:proofErr w:type="gramStart"/>
      <w:r w:rsidRPr="00F30598" w:rsidR="0021554C">
        <w:rPr>
          <w:rFonts w:ascii="Arial" w:hAnsi="Arial" w:cs="Arial"/>
          <w:sz w:val="24"/>
          <w:szCs w:val="24"/>
          <w:lang w:val="es-AR"/>
        </w:rPr>
        <w:t>equipara</w:t>
      </w:r>
      <w:proofErr w:type="gramEnd"/>
      <w:r w:rsidRPr="00F30598" w:rsidR="0021554C">
        <w:rPr>
          <w:rFonts w:ascii="Arial" w:hAnsi="Arial" w:cs="Arial"/>
          <w:sz w:val="24"/>
          <w:szCs w:val="24"/>
          <w:lang w:val="es-AR"/>
        </w:rPr>
        <w:t xml:space="preserve"> el “efecto verano” a un mes de educación perdido se</w:t>
      </w:r>
      <w:r w:rsidRPr="00F30598" w:rsidR="009630B8">
        <w:rPr>
          <w:rFonts w:ascii="Arial" w:hAnsi="Arial" w:cs="Arial"/>
          <w:sz w:val="24"/>
          <w:szCs w:val="24"/>
          <w:lang w:val="es-AR"/>
        </w:rPr>
        <w:t xml:space="preserve"> asume que ese será el efecto sobre la población beneficiaria efectiva. Por último, para monetizar ese resultado, se</w:t>
      </w:r>
      <w:r w:rsidRPr="00F30598" w:rsidR="0021554C">
        <w:rPr>
          <w:rFonts w:ascii="Arial" w:hAnsi="Arial" w:cs="Arial"/>
          <w:sz w:val="24"/>
          <w:szCs w:val="24"/>
          <w:lang w:val="es-AR"/>
        </w:rPr>
        <w:t xml:space="preserve"> establece el siguiente supuesto: ante la ausencia de la política los beneficiarios efectivos</w:t>
      </w:r>
      <w:r w:rsidRPr="00F30598" w:rsidR="009630B8">
        <w:rPr>
          <w:rFonts w:ascii="Arial" w:hAnsi="Arial" w:cs="Arial"/>
          <w:sz w:val="24"/>
          <w:szCs w:val="24"/>
          <w:lang w:val="es-AR"/>
        </w:rPr>
        <w:t xml:space="preserve"> que formen parte de la población </w:t>
      </w:r>
      <w:proofErr w:type="gramStart"/>
      <w:r w:rsidRPr="00F30598" w:rsidR="009630B8">
        <w:rPr>
          <w:rFonts w:ascii="Arial" w:hAnsi="Arial" w:cs="Arial"/>
          <w:sz w:val="24"/>
          <w:szCs w:val="24"/>
          <w:lang w:val="es-AR"/>
        </w:rPr>
        <w:t>empleada,</w:t>
      </w:r>
      <w:proofErr w:type="gramEnd"/>
      <w:r w:rsidRPr="00F30598" w:rsidR="009630B8">
        <w:rPr>
          <w:rFonts w:ascii="Arial" w:hAnsi="Arial" w:cs="Arial"/>
          <w:sz w:val="24"/>
          <w:szCs w:val="24"/>
          <w:lang w:val="es-AR"/>
        </w:rPr>
        <w:t xml:space="preserve"> </w:t>
      </w:r>
      <w:r w:rsidRPr="00F30598" w:rsidR="0021554C">
        <w:rPr>
          <w:rFonts w:ascii="Arial" w:hAnsi="Arial" w:cs="Arial"/>
          <w:sz w:val="24"/>
          <w:szCs w:val="24"/>
          <w:lang w:val="es-AR"/>
        </w:rPr>
        <w:t>tendrían un efecto sobre su retorno igual a 1/12 de los retornos a un año de educación.</w:t>
      </w:r>
      <w:r w:rsidRPr="00F30598" w:rsidR="009630B8">
        <w:rPr>
          <w:rFonts w:ascii="Arial" w:hAnsi="Arial" w:cs="Arial"/>
          <w:sz w:val="24"/>
          <w:szCs w:val="24"/>
          <w:lang w:val="es-AR"/>
        </w:rPr>
        <w:t xml:space="preserve"> </w:t>
      </w:r>
      <w:r w:rsidRPr="00F30598">
        <w:rPr>
          <w:rFonts w:ascii="Arial" w:hAnsi="Arial" w:cs="Arial"/>
          <w:sz w:val="24"/>
          <w:szCs w:val="24"/>
          <w:lang w:val="es-AR"/>
        </w:rPr>
        <w:t>Vale la pena destacar que, como supuesto conservador, el ejercicio subestima los potenciales beneficios del programa, en tanto no se computa</w:t>
      </w:r>
      <w:r w:rsidRPr="00F30598" w:rsidR="009630B8">
        <w:rPr>
          <w:rFonts w:ascii="Arial" w:hAnsi="Arial" w:cs="Arial"/>
          <w:sz w:val="24"/>
          <w:szCs w:val="24"/>
          <w:lang w:val="es-AR"/>
        </w:rPr>
        <w:t>n</w:t>
      </w:r>
      <w:r w:rsidRPr="00F30598">
        <w:rPr>
          <w:rFonts w:ascii="Arial" w:hAnsi="Arial" w:cs="Arial"/>
          <w:sz w:val="24"/>
          <w:szCs w:val="24"/>
          <w:lang w:val="es-AR"/>
        </w:rPr>
        <w:t xml:space="preserve"> l</w:t>
      </w:r>
      <w:r w:rsidRPr="00F30598" w:rsidR="009630B8">
        <w:rPr>
          <w:rFonts w:ascii="Arial" w:hAnsi="Arial" w:cs="Arial"/>
          <w:sz w:val="24"/>
          <w:szCs w:val="24"/>
          <w:lang w:val="es-AR"/>
        </w:rPr>
        <w:t xml:space="preserve">os posibles efectos acumulativos del efecto verano en el tiempo que, dada las características particulares de esta interrupción </w:t>
      </w:r>
      <w:r w:rsidRPr="00F30598" w:rsidR="00AD275E">
        <w:rPr>
          <w:rFonts w:ascii="Arial" w:hAnsi="Arial" w:cs="Arial"/>
          <w:sz w:val="24"/>
          <w:szCs w:val="24"/>
          <w:lang w:val="es-AR"/>
        </w:rPr>
        <w:t>al período lectivo, podrían potenciarse.</w:t>
      </w:r>
      <w:r w:rsidRPr="00F30598" w:rsidR="00AD275E">
        <w:rPr>
          <w:rStyle w:val="FootnoteReference"/>
          <w:rFonts w:ascii="Arial" w:hAnsi="Arial" w:cs="Arial"/>
          <w:sz w:val="24"/>
          <w:szCs w:val="24"/>
        </w:rPr>
        <w:footnoteReference w:id="33"/>
      </w:r>
      <w:r w:rsidRPr="00F30598" w:rsidR="005C7574">
        <w:rPr>
          <w:rFonts w:ascii="Arial" w:hAnsi="Arial" w:cs="Arial"/>
          <w:sz w:val="24"/>
          <w:szCs w:val="24"/>
          <w:lang w:val="es-AR"/>
        </w:rPr>
        <w:t xml:space="preserve"> </w:t>
      </w:r>
    </w:p>
    <w:p w:rsidRPr="00F30598" w:rsidR="008803A9" w:rsidP="00DA58E9" w:rsidRDefault="008803A9" w14:paraId="2FEE6D1C" w14:textId="77777777">
      <w:pPr>
        <w:spacing w:before="120" w:after="120" w:line="240" w:lineRule="auto"/>
        <w:rPr>
          <w:rFonts w:ascii="Arial" w:hAnsi="Arial" w:cs="Arial"/>
          <w:b/>
          <w:sz w:val="24"/>
          <w:szCs w:val="24"/>
          <w:lang w:val="es-ES"/>
        </w:rPr>
      </w:pPr>
    </w:p>
    <w:p w:rsidRPr="00F30598" w:rsidR="003A6134" w:rsidP="00DA58E9" w:rsidRDefault="005C7574" w14:paraId="7D86D350" w14:textId="42F9FAF7">
      <w:pPr>
        <w:spacing w:before="120" w:after="120" w:line="240" w:lineRule="auto"/>
        <w:jc w:val="both"/>
        <w:rPr>
          <w:rFonts w:ascii="Arial" w:hAnsi="Arial" w:cs="Arial"/>
          <w:sz w:val="24"/>
          <w:szCs w:val="24"/>
          <w:lang w:val="es-ES_tradnl"/>
        </w:rPr>
      </w:pPr>
      <w:r w:rsidRPr="00F30598">
        <w:rPr>
          <w:rFonts w:ascii="Arial" w:hAnsi="Arial" w:cs="Arial"/>
          <w:sz w:val="24"/>
          <w:szCs w:val="24"/>
          <w:lang w:val="es-AR"/>
        </w:rPr>
        <w:t>A continuación, se enumeran los supuestos</w:t>
      </w:r>
      <w:r w:rsidRPr="00F30598" w:rsidR="003A6134">
        <w:rPr>
          <w:rFonts w:ascii="Arial" w:hAnsi="Arial" w:cs="Arial"/>
          <w:sz w:val="24"/>
          <w:szCs w:val="24"/>
          <w:lang w:val="es-ES_tradnl"/>
        </w:rPr>
        <w:t>:</w:t>
      </w:r>
    </w:p>
    <w:p w:rsidRPr="00F30598" w:rsidR="003A6134" w:rsidP="00DA58E9" w:rsidRDefault="003A6134" w14:paraId="38659C06" w14:textId="77777777">
      <w:pPr>
        <w:pStyle w:val="ListParagraph"/>
        <w:numPr>
          <w:ilvl w:val="0"/>
          <w:numId w:val="8"/>
        </w:numPr>
        <w:spacing w:before="120" w:after="120"/>
        <w:contextualSpacing w:val="0"/>
        <w:jc w:val="both"/>
        <w:rPr>
          <w:rFonts w:ascii="Arial" w:hAnsi="Arial" w:cs="Arial"/>
          <w:szCs w:val="24"/>
        </w:rPr>
      </w:pPr>
      <w:r w:rsidRPr="00F30598">
        <w:rPr>
          <w:rFonts w:ascii="Arial" w:hAnsi="Arial" w:cs="Arial"/>
          <w:szCs w:val="24"/>
        </w:rPr>
        <w:t>Tasa de descuento: 5%</w:t>
      </w:r>
    </w:p>
    <w:p w:rsidRPr="00F30598" w:rsidR="003A6134" w:rsidP="17D008AF" w:rsidRDefault="003A6134" w14:paraId="2D1F64AD" w14:textId="100B3D16">
      <w:pPr>
        <w:pStyle w:val="ListParagraph"/>
        <w:numPr>
          <w:ilvl w:val="0"/>
          <w:numId w:val="8"/>
        </w:numPr>
        <w:spacing w:before="120" w:after="120"/>
        <w:contextualSpacing w:val="0"/>
        <w:jc w:val="both"/>
        <w:rPr>
          <w:rFonts w:ascii="Arial" w:hAnsi="Arial" w:cs="Arial"/>
        </w:rPr>
      </w:pPr>
      <w:r w:rsidRPr="17D008AF">
        <w:rPr>
          <w:rFonts w:ascii="Arial" w:hAnsi="Arial" w:cs="Arial"/>
        </w:rPr>
        <w:t xml:space="preserve">Salario </w:t>
      </w:r>
      <w:r w:rsidRPr="17D008AF" w:rsidR="005C7574">
        <w:rPr>
          <w:rFonts w:ascii="Arial" w:hAnsi="Arial" w:cs="Arial"/>
        </w:rPr>
        <w:t>mensual de referencia</w:t>
      </w:r>
      <w:r w:rsidRPr="17D008AF">
        <w:rPr>
          <w:rFonts w:ascii="Arial" w:hAnsi="Arial" w:cs="Arial"/>
        </w:rPr>
        <w:t>: 388 (U</w:t>
      </w:r>
      <w:r w:rsidRPr="17D008AF" w:rsidR="7F5DBF65">
        <w:rPr>
          <w:rFonts w:ascii="Arial" w:hAnsi="Arial" w:cs="Arial"/>
        </w:rPr>
        <w:t>S</w:t>
      </w:r>
      <w:r w:rsidRPr="17D008AF">
        <w:rPr>
          <w:rFonts w:ascii="Arial" w:hAnsi="Arial" w:cs="Arial"/>
        </w:rPr>
        <w:t>D)</w:t>
      </w:r>
    </w:p>
    <w:p w:rsidRPr="00F30598" w:rsidR="003A6134" w:rsidP="00DA58E9" w:rsidRDefault="003A6134" w14:paraId="70068483" w14:textId="77777777">
      <w:pPr>
        <w:pStyle w:val="ListParagraph"/>
        <w:numPr>
          <w:ilvl w:val="0"/>
          <w:numId w:val="8"/>
        </w:numPr>
        <w:spacing w:before="120" w:after="120"/>
        <w:contextualSpacing w:val="0"/>
        <w:jc w:val="both"/>
        <w:rPr>
          <w:rFonts w:ascii="Arial" w:hAnsi="Arial" w:cs="Arial"/>
          <w:szCs w:val="24"/>
        </w:rPr>
      </w:pPr>
      <w:r w:rsidRPr="00F30598">
        <w:rPr>
          <w:rFonts w:ascii="Arial" w:hAnsi="Arial" w:cs="Arial"/>
          <w:szCs w:val="24"/>
        </w:rPr>
        <w:t>Tasa de participación laboral: 0,63</w:t>
      </w:r>
    </w:p>
    <w:p w:rsidRPr="00F30598" w:rsidR="003A6134" w:rsidP="00DA58E9" w:rsidRDefault="003A6134" w14:paraId="0CFF0FC6" w14:textId="25DF1FE3">
      <w:pPr>
        <w:pStyle w:val="ListParagraph"/>
        <w:numPr>
          <w:ilvl w:val="0"/>
          <w:numId w:val="8"/>
        </w:numPr>
        <w:spacing w:before="120" w:after="120"/>
        <w:contextualSpacing w:val="0"/>
        <w:jc w:val="both"/>
        <w:rPr>
          <w:rFonts w:ascii="Arial" w:hAnsi="Arial" w:cs="Arial"/>
          <w:szCs w:val="24"/>
        </w:rPr>
      </w:pPr>
      <w:r w:rsidRPr="00F30598">
        <w:rPr>
          <w:rFonts w:ascii="Arial" w:hAnsi="Arial" w:cs="Arial"/>
          <w:szCs w:val="24"/>
        </w:rPr>
        <w:t xml:space="preserve">Beneficiarios: </w:t>
      </w:r>
      <w:r w:rsidRPr="00F30598" w:rsidR="005C7574">
        <w:rPr>
          <w:rFonts w:ascii="Arial" w:hAnsi="Arial" w:cs="Arial"/>
          <w:szCs w:val="24"/>
        </w:rPr>
        <w:t>100.000</w:t>
      </w:r>
      <w:r w:rsidRPr="00F30598" w:rsidR="00224CB3">
        <w:rPr>
          <w:rFonts w:ascii="Arial" w:hAnsi="Arial" w:cs="Arial"/>
          <w:szCs w:val="24"/>
        </w:rPr>
        <w:t xml:space="preserve"> </w:t>
      </w:r>
      <w:r w:rsidRPr="00F30598">
        <w:rPr>
          <w:rFonts w:ascii="Arial" w:hAnsi="Arial" w:cs="Arial"/>
          <w:szCs w:val="24"/>
        </w:rPr>
        <w:t>estudiantes de escuelas públicas</w:t>
      </w:r>
      <w:r w:rsidRPr="00F30598" w:rsidR="005C7574">
        <w:rPr>
          <w:rFonts w:ascii="Arial" w:hAnsi="Arial" w:cs="Arial"/>
          <w:szCs w:val="24"/>
        </w:rPr>
        <w:t>.</w:t>
      </w:r>
    </w:p>
    <w:p w:rsidRPr="00F30598" w:rsidR="0059293C" w:rsidP="00DA58E9" w:rsidRDefault="0059293C" w14:paraId="73F9BEFC" w14:textId="442966E0">
      <w:pPr>
        <w:pStyle w:val="ListParagraph"/>
        <w:numPr>
          <w:ilvl w:val="0"/>
          <w:numId w:val="8"/>
        </w:numPr>
        <w:spacing w:before="120" w:after="120"/>
        <w:contextualSpacing w:val="0"/>
        <w:jc w:val="both"/>
        <w:rPr>
          <w:rFonts w:ascii="Arial" w:hAnsi="Arial" w:cs="Arial"/>
          <w:szCs w:val="24"/>
        </w:rPr>
      </w:pPr>
      <w:r w:rsidRPr="00F30598">
        <w:rPr>
          <w:rFonts w:ascii="Arial" w:hAnsi="Arial" w:cs="Arial"/>
          <w:szCs w:val="24"/>
        </w:rPr>
        <w:t>Parámetro de efectividad en la implementación: 1.00</w:t>
      </w:r>
    </w:p>
    <w:p w:rsidRPr="00F30598" w:rsidR="0059293C" w:rsidP="00DA58E9" w:rsidRDefault="00F84C44" w14:paraId="4F20CBD9" w14:textId="08C2AD5A">
      <w:pPr>
        <w:pStyle w:val="ListParagraph"/>
        <w:numPr>
          <w:ilvl w:val="0"/>
          <w:numId w:val="8"/>
        </w:numPr>
        <w:spacing w:before="120" w:after="120"/>
        <w:contextualSpacing w:val="0"/>
        <w:jc w:val="both"/>
        <w:rPr>
          <w:rFonts w:ascii="Arial" w:hAnsi="Arial" w:cs="Arial"/>
          <w:szCs w:val="24"/>
        </w:rPr>
      </w:pPr>
      <w:r w:rsidRPr="00F30598">
        <w:rPr>
          <w:rFonts w:ascii="Arial" w:hAnsi="Arial" w:cs="Arial"/>
          <w:szCs w:val="24"/>
        </w:rPr>
        <w:t xml:space="preserve">Niños </w:t>
      </w:r>
      <w:r w:rsidRPr="00F30598" w:rsidR="00981D04">
        <w:rPr>
          <w:rFonts w:ascii="Arial" w:hAnsi="Arial" w:cs="Arial"/>
          <w:szCs w:val="24"/>
        </w:rPr>
        <w:t>en situación de pobreza multidimensional</w:t>
      </w:r>
      <w:r w:rsidRPr="00F30598" w:rsidR="0059293C">
        <w:rPr>
          <w:rFonts w:ascii="Arial" w:hAnsi="Arial" w:cs="Arial"/>
          <w:szCs w:val="24"/>
        </w:rPr>
        <w:t xml:space="preserve">: </w:t>
      </w:r>
      <w:r w:rsidRPr="00F30598" w:rsidR="006E1F36">
        <w:rPr>
          <w:rFonts w:ascii="Arial" w:hAnsi="Arial" w:cs="Arial"/>
          <w:szCs w:val="24"/>
        </w:rPr>
        <w:t>4</w:t>
      </w:r>
      <w:r w:rsidRPr="00F30598" w:rsidR="00981D04">
        <w:rPr>
          <w:rFonts w:ascii="Arial" w:hAnsi="Arial" w:cs="Arial"/>
          <w:szCs w:val="24"/>
        </w:rPr>
        <w:t>2</w:t>
      </w:r>
      <w:r w:rsidRPr="00F30598" w:rsidR="006E1F36">
        <w:rPr>
          <w:rFonts w:ascii="Arial" w:hAnsi="Arial" w:cs="Arial"/>
          <w:szCs w:val="24"/>
        </w:rPr>
        <w:t>%</w:t>
      </w:r>
    </w:p>
    <w:p w:rsidRPr="00F30598" w:rsidR="0059293C" w:rsidP="00DA58E9" w:rsidRDefault="0059293C" w14:paraId="383918E0" w14:textId="7C292090">
      <w:pPr>
        <w:pStyle w:val="ListParagraph"/>
        <w:numPr>
          <w:ilvl w:val="0"/>
          <w:numId w:val="8"/>
        </w:numPr>
        <w:spacing w:before="120" w:after="120"/>
        <w:contextualSpacing w:val="0"/>
        <w:jc w:val="both"/>
        <w:rPr>
          <w:rFonts w:ascii="Arial" w:hAnsi="Arial" w:cs="Arial"/>
          <w:szCs w:val="24"/>
        </w:rPr>
      </w:pPr>
      <w:r w:rsidRPr="00F30598">
        <w:rPr>
          <w:rFonts w:ascii="Arial" w:hAnsi="Arial" w:cs="Arial"/>
          <w:szCs w:val="24"/>
        </w:rPr>
        <w:t>Tasa de empleo: 0.631</w:t>
      </w:r>
    </w:p>
    <w:p w:rsidRPr="00F30598" w:rsidR="0059293C" w:rsidP="00DA58E9" w:rsidRDefault="0059293C" w14:paraId="017C2970" w14:textId="199751AC">
      <w:pPr>
        <w:pStyle w:val="ListParagraph"/>
        <w:numPr>
          <w:ilvl w:val="0"/>
          <w:numId w:val="8"/>
        </w:numPr>
        <w:spacing w:before="120" w:after="120"/>
        <w:contextualSpacing w:val="0"/>
        <w:jc w:val="both"/>
        <w:rPr>
          <w:rFonts w:ascii="Arial" w:hAnsi="Arial" w:cs="Arial"/>
          <w:szCs w:val="24"/>
        </w:rPr>
      </w:pPr>
      <w:r w:rsidRPr="00F30598">
        <w:rPr>
          <w:rFonts w:ascii="Arial" w:hAnsi="Arial" w:cs="Arial"/>
          <w:szCs w:val="24"/>
        </w:rPr>
        <w:t>Horizonte del análisis: 15 años</w:t>
      </w:r>
    </w:p>
    <w:p w:rsidRPr="00F30598" w:rsidR="0059293C" w:rsidP="00DA58E9" w:rsidRDefault="0059293C" w14:paraId="134E5BEC" w14:textId="6D7DA8DD">
      <w:pPr>
        <w:pStyle w:val="ListParagraph"/>
        <w:numPr>
          <w:ilvl w:val="0"/>
          <w:numId w:val="8"/>
        </w:numPr>
        <w:spacing w:before="120" w:after="120"/>
        <w:contextualSpacing w:val="0"/>
        <w:jc w:val="both"/>
        <w:rPr>
          <w:rFonts w:ascii="Arial" w:hAnsi="Arial" w:cs="Arial"/>
          <w:szCs w:val="24"/>
        </w:rPr>
      </w:pPr>
      <w:r w:rsidRPr="00F30598">
        <w:rPr>
          <w:rFonts w:ascii="Arial" w:hAnsi="Arial" w:cs="Arial"/>
          <w:szCs w:val="24"/>
        </w:rPr>
        <w:t>Retorno a un año de educación: 7%</w:t>
      </w:r>
    </w:p>
    <w:p w:rsidRPr="00F30598" w:rsidR="0059293C" w:rsidP="00DA58E9" w:rsidRDefault="0059293C" w14:paraId="0F3FA246" w14:textId="51A05C60">
      <w:pPr>
        <w:pStyle w:val="ListParagraph"/>
        <w:numPr>
          <w:ilvl w:val="0"/>
          <w:numId w:val="8"/>
        </w:numPr>
        <w:spacing w:before="120" w:after="120"/>
        <w:contextualSpacing w:val="0"/>
        <w:jc w:val="both"/>
        <w:rPr>
          <w:rFonts w:ascii="Arial" w:hAnsi="Arial" w:cs="Arial"/>
          <w:szCs w:val="24"/>
        </w:rPr>
      </w:pPr>
      <w:r w:rsidRPr="00F30598">
        <w:rPr>
          <w:rFonts w:ascii="Arial" w:hAnsi="Arial" w:cs="Arial"/>
          <w:szCs w:val="24"/>
        </w:rPr>
        <w:t>Efecto de la política: ganancia de un mes de educación</w:t>
      </w:r>
    </w:p>
    <w:p w:rsidRPr="00F30598" w:rsidR="00540A44" w:rsidP="00DA58E9" w:rsidRDefault="00540A44" w14:paraId="691025D2" w14:textId="77777777">
      <w:pPr>
        <w:spacing w:before="120" w:after="120" w:line="240" w:lineRule="auto"/>
        <w:rPr>
          <w:rFonts w:ascii="Arial" w:hAnsi="Arial" w:cs="Arial"/>
          <w:sz w:val="24"/>
          <w:szCs w:val="24"/>
          <w:lang w:val="es-ES_tradnl"/>
        </w:rPr>
      </w:pPr>
    </w:p>
    <w:p w:rsidRPr="00F30598" w:rsidR="00540A44" w:rsidP="00DA58E9" w:rsidRDefault="00540A44" w14:paraId="16382DEB" w14:textId="77777777">
      <w:pPr>
        <w:spacing w:before="120" w:after="120" w:line="240" w:lineRule="auto"/>
        <w:jc w:val="both"/>
        <w:rPr>
          <w:rFonts w:ascii="Arial" w:hAnsi="Arial" w:cs="Arial"/>
          <w:b/>
          <w:sz w:val="24"/>
          <w:szCs w:val="24"/>
          <w:lang w:val="es-ES"/>
        </w:rPr>
      </w:pPr>
      <w:r w:rsidRPr="00F30598">
        <w:rPr>
          <w:rFonts w:ascii="Arial" w:hAnsi="Arial" w:cs="Arial"/>
          <w:b/>
          <w:sz w:val="24"/>
          <w:szCs w:val="24"/>
          <w:lang w:val="es-ES"/>
        </w:rPr>
        <w:t>Costos</w:t>
      </w:r>
    </w:p>
    <w:p w:rsidRPr="00F30598" w:rsidR="00540A44" w:rsidP="00DA58E9" w:rsidRDefault="00C72EAC" w14:paraId="04463CF5" w14:textId="2F811CBB">
      <w:pPr>
        <w:spacing w:before="120" w:after="120" w:line="240" w:lineRule="auto"/>
        <w:jc w:val="both"/>
        <w:rPr>
          <w:rFonts w:ascii="Arial" w:hAnsi="Arial" w:cs="Arial"/>
          <w:sz w:val="24"/>
          <w:szCs w:val="24"/>
          <w:lang w:val="es-ES"/>
        </w:rPr>
      </w:pPr>
      <w:r w:rsidRPr="00F30598">
        <w:rPr>
          <w:rFonts w:ascii="Arial" w:hAnsi="Arial" w:cs="Arial"/>
          <w:sz w:val="24"/>
          <w:szCs w:val="24"/>
          <w:lang w:val="es-AR"/>
        </w:rPr>
        <w:t xml:space="preserve">A diferencia del cálculo del beneficio de la suavización del consumo, en este caso no se consideran costos de oportunidad asociados a optar entre permanecer en el sistema educativo o participar del mercado laboral. </w:t>
      </w:r>
      <w:r w:rsidRPr="00F30598" w:rsidR="00F82CFD">
        <w:rPr>
          <w:rFonts w:ascii="Arial" w:hAnsi="Arial" w:cs="Arial"/>
          <w:sz w:val="24"/>
          <w:szCs w:val="24"/>
          <w:lang w:val="es-AR"/>
        </w:rPr>
        <w:t xml:space="preserve">De acuerdo </w:t>
      </w:r>
      <w:r w:rsidRPr="00F30598" w:rsidR="00981D04">
        <w:rPr>
          <w:rFonts w:ascii="Arial" w:hAnsi="Arial" w:cs="Arial"/>
          <w:sz w:val="24"/>
          <w:szCs w:val="24"/>
          <w:lang w:val="es-AR"/>
        </w:rPr>
        <w:t>con</w:t>
      </w:r>
      <w:r w:rsidRPr="00F30598" w:rsidR="00F82CFD">
        <w:rPr>
          <w:rFonts w:ascii="Arial" w:hAnsi="Arial" w:cs="Arial"/>
          <w:sz w:val="24"/>
          <w:szCs w:val="24"/>
          <w:lang w:val="es-AR"/>
        </w:rPr>
        <w:t xml:space="preserve"> información del BID, </w:t>
      </w:r>
      <w:r w:rsidRPr="00F30598" w:rsidR="00F82CFD">
        <w:rPr>
          <w:rFonts w:ascii="Arial" w:hAnsi="Arial" w:cs="Arial"/>
          <w:sz w:val="24"/>
          <w:szCs w:val="24"/>
          <w:lang w:val="es-ES"/>
        </w:rPr>
        <w:t>l</w:t>
      </w:r>
      <w:r w:rsidRPr="00F30598" w:rsidR="00540A44">
        <w:rPr>
          <w:rFonts w:ascii="Arial" w:hAnsi="Arial" w:cs="Arial"/>
          <w:sz w:val="24"/>
          <w:szCs w:val="24"/>
          <w:lang w:val="es-ES"/>
        </w:rPr>
        <w:t xml:space="preserve">os costos del programa son los </w:t>
      </w:r>
      <w:r w:rsidRPr="00F30598">
        <w:rPr>
          <w:rFonts w:ascii="Arial" w:hAnsi="Arial" w:cs="Arial"/>
          <w:sz w:val="24"/>
          <w:szCs w:val="24"/>
          <w:lang w:val="es-ES"/>
        </w:rPr>
        <w:t xml:space="preserve">costos operativos </w:t>
      </w:r>
      <w:r w:rsidRPr="00F30598" w:rsidR="00182E62">
        <w:rPr>
          <w:rFonts w:ascii="Arial" w:hAnsi="Arial" w:cs="Arial"/>
          <w:sz w:val="24"/>
          <w:szCs w:val="24"/>
          <w:lang w:val="es-ES"/>
        </w:rPr>
        <w:t>del programa.</w:t>
      </w:r>
      <w:r w:rsidRPr="00F30598" w:rsidR="00540A44">
        <w:rPr>
          <w:rFonts w:ascii="Arial" w:hAnsi="Arial" w:cs="Arial"/>
          <w:sz w:val="24"/>
          <w:szCs w:val="24"/>
          <w:lang w:val="es-ES"/>
        </w:rPr>
        <w:t xml:space="preserve"> En primer lugar, se encuentran los costos derivados de promover la continuidad de las actividades educativas de los estudiantes con sus docentes y escuelas de acuerdo con las condiciones existentes en cada país y comunidad. Ello supone un costo de 2 millones de dólares para desarrollar planes de clase y distribuir contenidos para toda la enseñanza básica. </w:t>
      </w:r>
    </w:p>
    <w:p w:rsidRPr="00F30598" w:rsidR="00540A44" w:rsidP="00DA58E9" w:rsidRDefault="00540A44" w14:paraId="159D3968" w14:textId="77777777">
      <w:pPr>
        <w:spacing w:before="120" w:after="120" w:line="240" w:lineRule="auto"/>
        <w:jc w:val="both"/>
        <w:rPr>
          <w:rFonts w:ascii="Arial" w:hAnsi="Arial" w:cs="Arial"/>
          <w:sz w:val="24"/>
          <w:szCs w:val="24"/>
          <w:lang w:val="es-ES"/>
        </w:rPr>
      </w:pPr>
      <w:r w:rsidRPr="00F30598">
        <w:rPr>
          <w:rFonts w:ascii="Arial" w:hAnsi="Arial" w:cs="Arial"/>
          <w:sz w:val="24"/>
          <w:szCs w:val="24"/>
          <w:lang w:val="es-ES"/>
        </w:rPr>
        <w:t>Una vez que se superen las condiciones de emergencia sanitaria se apoyará a los sistemas educativos para reiniciar las labores regulares a través de:</w:t>
      </w:r>
    </w:p>
    <w:p w:rsidRPr="00F30598" w:rsidR="00540A44" w:rsidP="00DA58E9" w:rsidRDefault="00540A44" w14:paraId="4BAFF950" w14:textId="77777777">
      <w:pPr>
        <w:pStyle w:val="ListParagraph"/>
        <w:numPr>
          <w:ilvl w:val="0"/>
          <w:numId w:val="6"/>
        </w:numPr>
        <w:spacing w:before="120" w:after="120"/>
        <w:contextualSpacing w:val="0"/>
        <w:jc w:val="both"/>
        <w:rPr>
          <w:rFonts w:ascii="Arial" w:hAnsi="Arial" w:cs="Arial"/>
          <w:szCs w:val="24"/>
        </w:rPr>
      </w:pPr>
      <w:r w:rsidRPr="00F30598">
        <w:rPr>
          <w:rFonts w:ascii="Arial" w:hAnsi="Arial" w:cs="Arial" w:eastAsiaTheme="minorHAnsi"/>
          <w:szCs w:val="24"/>
        </w:rPr>
        <w:lastRenderedPageBreak/>
        <w:t xml:space="preserve">Esfuerzos para recuperar la asistencia escolar y disminuir las barreras de acceso, a través de sistemas de seguimiento de trayectorias educativas y apoyo a estudiantes y campañas sobre la importancia de asistir a la escuela desde preescolar </w:t>
      </w:r>
      <w:r w:rsidRPr="00F30598">
        <w:rPr>
          <w:rFonts w:ascii="Arial" w:hAnsi="Arial" w:cs="Arial"/>
          <w:szCs w:val="24"/>
        </w:rPr>
        <w:t xml:space="preserve">hasta secundaria. </w:t>
      </w:r>
    </w:p>
    <w:p w:rsidRPr="00F30598" w:rsidR="00540A44" w:rsidP="00DA58E9" w:rsidRDefault="00540A44" w14:paraId="40D09BE9" w14:textId="77777777">
      <w:pPr>
        <w:pStyle w:val="ListParagraph"/>
        <w:numPr>
          <w:ilvl w:val="0"/>
          <w:numId w:val="6"/>
        </w:numPr>
        <w:spacing w:before="120" w:after="120"/>
        <w:contextualSpacing w:val="0"/>
        <w:jc w:val="both"/>
        <w:rPr>
          <w:rFonts w:ascii="Arial" w:hAnsi="Arial" w:cs="Arial" w:eastAsiaTheme="minorHAnsi"/>
          <w:szCs w:val="24"/>
        </w:rPr>
      </w:pPr>
      <w:r w:rsidRPr="00F30598">
        <w:rPr>
          <w:rFonts w:ascii="Arial" w:hAnsi="Arial" w:cs="Arial" w:eastAsiaTheme="minorHAnsi"/>
          <w:szCs w:val="24"/>
        </w:rPr>
        <w:t>Desarrollar e implementar sistema de protección de trayectorias incluido comu</w:t>
      </w:r>
      <w:r w:rsidRPr="00F30598">
        <w:rPr>
          <w:rFonts w:ascii="Arial" w:hAnsi="Arial" w:cs="Arial"/>
          <w:szCs w:val="24"/>
        </w:rPr>
        <w:t xml:space="preserve">nicación con los padres, lo cual supone un costo de </w:t>
      </w:r>
      <w:r w:rsidRPr="00F30598">
        <w:rPr>
          <w:rFonts w:ascii="Arial" w:hAnsi="Arial" w:cs="Arial" w:eastAsiaTheme="minorHAnsi"/>
          <w:szCs w:val="24"/>
        </w:rPr>
        <w:t xml:space="preserve">5 </w:t>
      </w:r>
      <w:r w:rsidRPr="00F30598">
        <w:rPr>
          <w:rFonts w:ascii="Arial" w:hAnsi="Arial" w:cs="Arial"/>
          <w:szCs w:val="24"/>
        </w:rPr>
        <w:t>dólares por a</w:t>
      </w:r>
      <w:r w:rsidRPr="00F30598">
        <w:rPr>
          <w:rFonts w:ascii="Arial" w:hAnsi="Arial" w:cs="Arial" w:eastAsiaTheme="minorHAnsi"/>
          <w:szCs w:val="24"/>
        </w:rPr>
        <w:t>lumno</w:t>
      </w:r>
      <w:r w:rsidRPr="00F30598">
        <w:rPr>
          <w:rFonts w:ascii="Arial" w:hAnsi="Arial" w:cs="Arial"/>
          <w:szCs w:val="24"/>
        </w:rPr>
        <w:t>.</w:t>
      </w:r>
    </w:p>
    <w:p w:rsidRPr="00F30598" w:rsidR="00540A44" w:rsidP="00DA58E9" w:rsidRDefault="00540A44" w14:paraId="1E17EA3B" w14:textId="77777777">
      <w:pPr>
        <w:pStyle w:val="ListParagraph"/>
        <w:numPr>
          <w:ilvl w:val="0"/>
          <w:numId w:val="6"/>
        </w:numPr>
        <w:spacing w:before="120" w:after="120"/>
        <w:contextualSpacing w:val="0"/>
        <w:jc w:val="both"/>
        <w:rPr>
          <w:rFonts w:ascii="Arial" w:hAnsi="Arial" w:cs="Arial" w:eastAsiaTheme="minorHAnsi"/>
          <w:szCs w:val="24"/>
        </w:rPr>
      </w:pPr>
      <w:r w:rsidRPr="00F30598">
        <w:rPr>
          <w:rFonts w:ascii="Arial" w:hAnsi="Arial" w:cs="Arial" w:eastAsiaTheme="minorHAnsi"/>
          <w:szCs w:val="24"/>
        </w:rPr>
        <w:t xml:space="preserve">Desarrollo de programas de apoyo dirigidos a los estudiantes de último año de secundaria que deberían graduarse en el 2020, incluyendo programas de nivelación para obtener el título de bachiller, apoyo para presentar las pruebas de estado y preparación para la transición hacia la educación superior o el mercado laboral, lo cual supone un costo que oscila entre 242 y 303 dólares por programas de 4 meses o 25% del costo anual por estudiante. </w:t>
      </w:r>
    </w:p>
    <w:p w:rsidRPr="00F30598" w:rsidR="00540A44" w:rsidP="00DA58E9" w:rsidRDefault="00540A44" w14:paraId="0388F280" w14:textId="77777777">
      <w:pPr>
        <w:pStyle w:val="ListParagraph"/>
        <w:numPr>
          <w:ilvl w:val="0"/>
          <w:numId w:val="6"/>
        </w:numPr>
        <w:spacing w:before="120" w:after="120"/>
        <w:contextualSpacing w:val="0"/>
        <w:jc w:val="both"/>
        <w:rPr>
          <w:rFonts w:ascii="Arial" w:hAnsi="Arial" w:cs="Arial" w:eastAsiaTheme="minorHAnsi"/>
          <w:szCs w:val="24"/>
        </w:rPr>
      </w:pPr>
      <w:r w:rsidRPr="00F30598">
        <w:rPr>
          <w:rFonts w:ascii="Arial" w:hAnsi="Arial" w:cs="Arial" w:eastAsiaTheme="minorHAnsi"/>
          <w:szCs w:val="24"/>
        </w:rPr>
        <w:t>D</w:t>
      </w:r>
      <w:proofErr w:type="spellStart"/>
      <w:r w:rsidRPr="00F30598">
        <w:rPr>
          <w:rFonts w:ascii="Arial" w:hAnsi="Arial" w:cs="Arial" w:eastAsiaTheme="minorHAnsi"/>
          <w:szCs w:val="24"/>
          <w:lang w:val="es-AR"/>
        </w:rPr>
        <w:t>esarrollo</w:t>
      </w:r>
      <w:proofErr w:type="spellEnd"/>
      <w:r w:rsidRPr="00F30598">
        <w:rPr>
          <w:rFonts w:ascii="Arial" w:hAnsi="Arial" w:cs="Arial" w:eastAsiaTheme="minorHAnsi"/>
          <w:szCs w:val="24"/>
          <w:lang w:val="es-AR"/>
        </w:rPr>
        <w:t xml:space="preserve"> de recursos análogos y en línea, en particular sistemas de gestión de aprendizajes y plataformas de contenidos, que incorporen modalidades flexibles de atención para apoyar a los docentes en la implementación de nuevas estrategias en las áreas curriculares base: </w:t>
      </w:r>
    </w:p>
    <w:p w:rsidRPr="00F30598" w:rsidR="00540A44" w:rsidP="006F53C9" w:rsidRDefault="00540A44" w14:paraId="37CBD1E5" w14:textId="5E3CC87E">
      <w:pPr>
        <w:pStyle w:val="ListParagraph"/>
        <w:numPr>
          <w:ilvl w:val="1"/>
          <w:numId w:val="6"/>
        </w:numPr>
        <w:spacing w:before="120" w:after="120"/>
        <w:contextualSpacing w:val="0"/>
        <w:jc w:val="both"/>
        <w:rPr>
          <w:rFonts w:ascii="Arial" w:hAnsi="Arial" w:cs="Arial" w:eastAsiaTheme="minorHAnsi"/>
          <w:szCs w:val="24"/>
        </w:rPr>
      </w:pPr>
      <w:r w:rsidRPr="00F30598">
        <w:rPr>
          <w:rFonts w:ascii="Arial" w:hAnsi="Arial" w:cs="Arial" w:eastAsiaTheme="minorHAnsi"/>
          <w:szCs w:val="24"/>
          <w:lang w:val="es-AR"/>
        </w:rPr>
        <w:t xml:space="preserve">2 </w:t>
      </w:r>
      <w:proofErr w:type="gramStart"/>
      <w:r w:rsidRPr="00F30598">
        <w:rPr>
          <w:rFonts w:ascii="Arial" w:hAnsi="Arial" w:cs="Arial" w:eastAsiaTheme="minorHAnsi"/>
          <w:szCs w:val="24"/>
          <w:lang w:val="es-AR"/>
        </w:rPr>
        <w:t>Plataformas</w:t>
      </w:r>
      <w:proofErr w:type="gramEnd"/>
      <w:r w:rsidRPr="00F30598">
        <w:rPr>
          <w:rFonts w:ascii="Arial" w:hAnsi="Arial" w:cs="Arial" w:eastAsiaTheme="minorHAnsi"/>
          <w:szCs w:val="24"/>
          <w:lang w:val="es-AR"/>
        </w:rPr>
        <w:t xml:space="preserve"> (Matemática y Lengua) con un costo de </w:t>
      </w:r>
      <w:r w:rsidRPr="00F30598" w:rsidR="00722460">
        <w:rPr>
          <w:rFonts w:ascii="Arial" w:hAnsi="Arial" w:cs="Arial" w:eastAsiaTheme="minorHAnsi"/>
          <w:szCs w:val="24"/>
          <w:lang w:val="es-AR"/>
        </w:rPr>
        <w:t>9</w:t>
      </w:r>
      <w:r w:rsidRPr="00F30598">
        <w:rPr>
          <w:rFonts w:ascii="Arial" w:hAnsi="Arial" w:cs="Arial" w:eastAsiaTheme="minorHAnsi"/>
          <w:szCs w:val="24"/>
          <w:lang w:val="es-AR"/>
        </w:rPr>
        <w:t xml:space="preserve"> </w:t>
      </w:r>
      <w:r w:rsidRPr="00F30598">
        <w:rPr>
          <w:rFonts w:ascii="Arial" w:hAnsi="Arial" w:cs="Arial"/>
          <w:szCs w:val="24"/>
        </w:rPr>
        <w:t xml:space="preserve">dólares </w:t>
      </w:r>
      <w:r w:rsidRPr="00F30598">
        <w:rPr>
          <w:rFonts w:ascii="Arial" w:hAnsi="Arial" w:cs="Arial" w:eastAsiaTheme="minorHAnsi"/>
          <w:szCs w:val="24"/>
          <w:lang w:val="es-AR"/>
        </w:rPr>
        <w:t>alumno</w:t>
      </w:r>
    </w:p>
    <w:p w:rsidRPr="00F30598" w:rsidR="00540A44" w:rsidP="006F53C9" w:rsidRDefault="00540A44" w14:paraId="21401D47" w14:textId="7B747BCD">
      <w:pPr>
        <w:pStyle w:val="ListParagraph"/>
        <w:numPr>
          <w:ilvl w:val="1"/>
          <w:numId w:val="6"/>
        </w:numPr>
        <w:spacing w:before="120" w:after="120"/>
        <w:contextualSpacing w:val="0"/>
        <w:jc w:val="both"/>
        <w:rPr>
          <w:rFonts w:ascii="Arial" w:hAnsi="Arial" w:cs="Arial" w:eastAsiaTheme="minorHAnsi"/>
          <w:szCs w:val="24"/>
        </w:rPr>
      </w:pPr>
      <w:r w:rsidRPr="00F30598">
        <w:rPr>
          <w:rFonts w:ascii="Arial" w:hAnsi="Arial" w:cs="Arial" w:eastAsiaTheme="minorHAnsi"/>
          <w:szCs w:val="24"/>
        </w:rPr>
        <w:t>Plataforma de “</w:t>
      </w:r>
      <w:proofErr w:type="spellStart"/>
      <w:r w:rsidRPr="00F30598">
        <w:rPr>
          <w:rFonts w:ascii="Arial" w:hAnsi="Arial" w:cs="Arial" w:eastAsiaTheme="minorHAnsi"/>
          <w:szCs w:val="24"/>
        </w:rPr>
        <w:t>Learning</w:t>
      </w:r>
      <w:proofErr w:type="spellEnd"/>
      <w:r w:rsidRPr="00F30598">
        <w:rPr>
          <w:rFonts w:ascii="Arial" w:hAnsi="Arial" w:cs="Arial" w:eastAsiaTheme="minorHAnsi"/>
          <w:szCs w:val="24"/>
        </w:rPr>
        <w:t xml:space="preserve"> </w:t>
      </w:r>
      <w:proofErr w:type="spellStart"/>
      <w:r w:rsidRPr="00F30598">
        <w:rPr>
          <w:rFonts w:ascii="Arial" w:hAnsi="Arial" w:cs="Arial" w:eastAsiaTheme="minorHAnsi"/>
          <w:szCs w:val="24"/>
        </w:rPr>
        <w:t>Managment</w:t>
      </w:r>
      <w:proofErr w:type="spellEnd"/>
      <w:r w:rsidRPr="00F30598">
        <w:rPr>
          <w:rFonts w:ascii="Arial" w:hAnsi="Arial" w:cs="Arial" w:eastAsiaTheme="minorHAnsi"/>
          <w:szCs w:val="24"/>
        </w:rPr>
        <w:t xml:space="preserve"> </w:t>
      </w:r>
      <w:proofErr w:type="spellStart"/>
      <w:r w:rsidRPr="00F30598">
        <w:rPr>
          <w:rFonts w:ascii="Arial" w:hAnsi="Arial" w:cs="Arial" w:eastAsiaTheme="minorHAnsi"/>
          <w:szCs w:val="24"/>
        </w:rPr>
        <w:t>System</w:t>
      </w:r>
      <w:proofErr w:type="spellEnd"/>
      <w:r w:rsidRPr="00F30598">
        <w:rPr>
          <w:rFonts w:ascii="Arial" w:hAnsi="Arial" w:cs="Arial" w:eastAsiaTheme="minorHAnsi"/>
          <w:szCs w:val="24"/>
        </w:rPr>
        <w:t xml:space="preserve">”, con un costo de </w:t>
      </w:r>
      <w:r w:rsidRPr="00F30598" w:rsidR="00722460">
        <w:rPr>
          <w:rFonts w:ascii="Arial" w:hAnsi="Arial" w:cs="Arial" w:eastAsiaTheme="minorHAnsi"/>
          <w:szCs w:val="24"/>
        </w:rPr>
        <w:t>6</w:t>
      </w:r>
      <w:r w:rsidRPr="00F30598">
        <w:rPr>
          <w:rFonts w:ascii="Arial" w:hAnsi="Arial" w:cs="Arial" w:eastAsiaTheme="minorHAnsi"/>
          <w:szCs w:val="24"/>
        </w:rPr>
        <w:t xml:space="preserve"> dólares por alumno por año</w:t>
      </w:r>
    </w:p>
    <w:p w:rsidRPr="00F30598" w:rsidR="00540A44" w:rsidP="006F53C9" w:rsidRDefault="00540A44" w14:paraId="001E4781" w14:textId="77777777">
      <w:pPr>
        <w:pStyle w:val="ListParagraph"/>
        <w:numPr>
          <w:ilvl w:val="0"/>
          <w:numId w:val="7"/>
        </w:numPr>
        <w:spacing w:before="120" w:after="120"/>
        <w:contextualSpacing w:val="0"/>
        <w:jc w:val="both"/>
        <w:rPr>
          <w:rFonts w:ascii="Arial" w:hAnsi="Arial" w:cs="Arial" w:eastAsiaTheme="minorHAnsi"/>
          <w:szCs w:val="24"/>
        </w:rPr>
      </w:pPr>
      <w:r w:rsidRPr="00F30598">
        <w:rPr>
          <w:rFonts w:ascii="Arial" w:hAnsi="Arial" w:cs="Arial" w:eastAsiaTheme="minorHAnsi"/>
          <w:szCs w:val="24"/>
        </w:rPr>
        <w:t>Programas de diagnóstico, nivelación y aceleración de aprendizajes, para identificar las brechas que se generen en el aprendizaje de los distintos grupos estudiantiles por el cierre de centros educativos en respuesta al COVID-19, así como herramientas para el desarrollo de estrategias diferenciadas para la adaptación del currículo, el calendario y horario escolar, según el contexto de cada región y centro educativo:</w:t>
      </w:r>
    </w:p>
    <w:p w:rsidRPr="00F30598" w:rsidR="00540A44" w:rsidP="006F53C9" w:rsidRDefault="00540A44" w14:paraId="24A9E1F4" w14:textId="77777777">
      <w:pPr>
        <w:pStyle w:val="ListParagraph"/>
        <w:numPr>
          <w:ilvl w:val="1"/>
          <w:numId w:val="7"/>
        </w:numPr>
        <w:spacing w:before="120" w:after="120"/>
        <w:contextualSpacing w:val="0"/>
        <w:jc w:val="both"/>
        <w:rPr>
          <w:rFonts w:ascii="Arial" w:hAnsi="Arial" w:cs="Arial" w:eastAsiaTheme="minorHAnsi"/>
          <w:szCs w:val="24"/>
        </w:rPr>
      </w:pPr>
      <w:r w:rsidRPr="00F30598">
        <w:rPr>
          <w:rFonts w:ascii="Arial" w:hAnsi="Arial" w:cs="Arial" w:eastAsiaTheme="minorHAnsi"/>
          <w:szCs w:val="24"/>
        </w:rPr>
        <w:t>Evaluación diagnóstica: 6 dólares por estudiante</w:t>
      </w:r>
    </w:p>
    <w:p w:rsidRPr="00F30598" w:rsidR="00540A44" w:rsidP="006F53C9" w:rsidRDefault="00540A44" w14:paraId="244E0910" w14:textId="77777777">
      <w:pPr>
        <w:pStyle w:val="ListParagraph"/>
        <w:numPr>
          <w:ilvl w:val="1"/>
          <w:numId w:val="7"/>
        </w:numPr>
        <w:spacing w:before="120" w:after="120"/>
        <w:contextualSpacing w:val="0"/>
        <w:jc w:val="both"/>
        <w:rPr>
          <w:rFonts w:ascii="Arial" w:hAnsi="Arial" w:cs="Arial" w:eastAsiaTheme="minorHAnsi"/>
          <w:szCs w:val="24"/>
        </w:rPr>
      </w:pPr>
      <w:r w:rsidRPr="00F30598">
        <w:rPr>
          <w:rFonts w:ascii="Arial" w:hAnsi="Arial" w:cs="Arial" w:eastAsiaTheme="minorHAnsi"/>
          <w:szCs w:val="24"/>
        </w:rPr>
        <w:t>Programas de aceleración de aprendizaje: 170 dólares por alumno por año</w:t>
      </w:r>
    </w:p>
    <w:p w:rsidRPr="00F30598" w:rsidR="00540A44" w:rsidP="006F53C9" w:rsidRDefault="00540A44" w14:paraId="04985303" w14:textId="77777777">
      <w:pPr>
        <w:pStyle w:val="ListParagraph"/>
        <w:numPr>
          <w:ilvl w:val="0"/>
          <w:numId w:val="7"/>
        </w:numPr>
        <w:spacing w:before="120" w:after="120"/>
        <w:contextualSpacing w:val="0"/>
        <w:jc w:val="both"/>
        <w:rPr>
          <w:rFonts w:ascii="Arial" w:hAnsi="Arial" w:cs="Arial"/>
          <w:color w:val="000000"/>
          <w:shd w:val="clear" w:color="auto" w:fill="FFFFFF"/>
        </w:rPr>
      </w:pPr>
      <w:r w:rsidRPr="00F30598">
        <w:rPr>
          <w:rFonts w:ascii="Arial" w:hAnsi="Arial" w:cs="Arial" w:eastAsiaTheme="minorHAnsi"/>
          <w:szCs w:val="24"/>
        </w:rPr>
        <w:t xml:space="preserve">Contrataciones o transferencias directas a los centros educativos para la provisión de paquetes de reinicio de clase que incluyan insumos de limpieza, mascarillas, potabilización de agua, reparaciones menores a la infraestructura sanitaria y de mejora del acceso a agua potable: 20 dólares por </w:t>
      </w:r>
      <w:r w:rsidRPr="00F30598">
        <w:rPr>
          <w:rFonts w:ascii="Arial" w:hAnsi="Arial" w:cs="Arial"/>
          <w:szCs w:val="24"/>
          <w:lang w:val="es-AR"/>
        </w:rPr>
        <w:t>alumno.</w:t>
      </w:r>
    </w:p>
    <w:p w:rsidRPr="006F53C9" w:rsidR="00021763" w:rsidP="006F53C9" w:rsidRDefault="00021763" w14:paraId="34F99E5E" w14:textId="77777777">
      <w:pPr>
        <w:pStyle w:val="Heading1"/>
        <w:spacing w:after="120" w:line="240" w:lineRule="auto"/>
        <w:rPr>
          <w:rFonts w:ascii="Arial Bold" w:hAnsi="Arial Bold" w:cs="Arial"/>
          <w:b/>
          <w:bCs/>
          <w:smallCaps/>
          <w:sz w:val="24"/>
          <w:szCs w:val="24"/>
          <w:lang w:val="es-ES_tradnl"/>
        </w:rPr>
      </w:pPr>
      <w:r w:rsidRPr="006F53C9">
        <w:rPr>
          <w:rFonts w:ascii="Arial Bold" w:hAnsi="Arial Bold" w:cs="Arial"/>
          <w:b/>
          <w:bCs/>
          <w:smallCaps/>
          <w:sz w:val="24"/>
          <w:szCs w:val="24"/>
          <w:lang w:val="es-ES_tradnl"/>
        </w:rPr>
        <w:t>RESULTADOS</w:t>
      </w:r>
    </w:p>
    <w:p w:rsidRPr="00F30598" w:rsidR="00CF7A0A" w:rsidP="006F53C9" w:rsidRDefault="00021763" w14:paraId="67B77D40" w14:textId="63864A44">
      <w:pPr>
        <w:spacing w:before="120" w:after="120" w:line="240" w:lineRule="auto"/>
        <w:jc w:val="both"/>
        <w:rPr>
          <w:rFonts w:ascii="Arial" w:hAnsi="Arial" w:cs="Arial"/>
          <w:sz w:val="24"/>
          <w:szCs w:val="24"/>
          <w:lang w:val="es-ES"/>
        </w:rPr>
      </w:pPr>
      <w:r w:rsidRPr="00F30598">
        <w:rPr>
          <w:rFonts w:ascii="Arial" w:hAnsi="Arial" w:cs="Arial"/>
          <w:sz w:val="24"/>
          <w:szCs w:val="24"/>
          <w:lang w:val="es-ES"/>
        </w:rPr>
        <w:t>E</w:t>
      </w:r>
      <w:r w:rsidRPr="00F30598" w:rsidR="00540A44">
        <w:rPr>
          <w:rFonts w:ascii="Arial" w:hAnsi="Arial" w:cs="Arial"/>
          <w:sz w:val="24"/>
          <w:szCs w:val="24"/>
          <w:lang w:val="es-ES"/>
        </w:rPr>
        <w:t xml:space="preserve">l </w:t>
      </w:r>
      <w:r w:rsidRPr="00F30598" w:rsidR="003A10C6">
        <w:rPr>
          <w:rFonts w:ascii="Arial" w:hAnsi="Arial" w:cs="Arial"/>
          <w:sz w:val="24"/>
          <w:szCs w:val="24"/>
          <w:lang w:val="es-ES"/>
        </w:rPr>
        <w:fldChar w:fldCharType="begin"/>
      </w:r>
      <w:r w:rsidRPr="00F30598" w:rsidR="003A10C6">
        <w:rPr>
          <w:rFonts w:ascii="Arial" w:hAnsi="Arial" w:cs="Arial"/>
          <w:sz w:val="24"/>
          <w:szCs w:val="24"/>
          <w:lang w:val="es-ES"/>
        </w:rPr>
        <w:instrText xml:space="preserve"> REF _Ref37247816 \h </w:instrText>
      </w:r>
      <w:r w:rsidRPr="00F30598" w:rsidR="008C0CC4">
        <w:rPr>
          <w:rFonts w:ascii="Arial" w:hAnsi="Arial" w:cs="Arial"/>
          <w:sz w:val="24"/>
          <w:szCs w:val="24"/>
          <w:lang w:val="es-ES"/>
        </w:rPr>
        <w:instrText xml:space="preserve"> \* MERGEFORMAT </w:instrText>
      </w:r>
      <w:r w:rsidRPr="00F30598" w:rsidR="003A10C6">
        <w:rPr>
          <w:rFonts w:ascii="Arial" w:hAnsi="Arial" w:cs="Arial"/>
          <w:sz w:val="24"/>
          <w:szCs w:val="24"/>
          <w:lang w:val="es-ES"/>
        </w:rPr>
      </w:r>
      <w:r w:rsidRPr="00F30598" w:rsidR="003A10C6">
        <w:rPr>
          <w:rFonts w:ascii="Arial" w:hAnsi="Arial" w:cs="Arial"/>
          <w:sz w:val="24"/>
          <w:szCs w:val="24"/>
          <w:lang w:val="es-ES"/>
        </w:rPr>
        <w:fldChar w:fldCharType="separate"/>
      </w:r>
      <w:r w:rsidRPr="00F30598" w:rsidR="00ED2BD4">
        <w:rPr>
          <w:rFonts w:ascii="Arial" w:hAnsi="Arial" w:cs="Arial"/>
          <w:sz w:val="24"/>
          <w:szCs w:val="24"/>
          <w:lang w:val="es-AR"/>
        </w:rPr>
        <w:t xml:space="preserve">Cuadro </w:t>
      </w:r>
      <w:r w:rsidRPr="00F30598" w:rsidR="00ED2BD4">
        <w:rPr>
          <w:rFonts w:ascii="Arial" w:hAnsi="Arial" w:cs="Arial"/>
          <w:noProof/>
          <w:sz w:val="24"/>
          <w:szCs w:val="24"/>
          <w:lang w:val="es-AR"/>
        </w:rPr>
        <w:t>28</w:t>
      </w:r>
      <w:r w:rsidRPr="00F30598" w:rsidR="003A10C6">
        <w:rPr>
          <w:rFonts w:ascii="Arial" w:hAnsi="Arial" w:cs="Arial"/>
          <w:sz w:val="24"/>
          <w:szCs w:val="24"/>
          <w:lang w:val="es-ES"/>
        </w:rPr>
        <w:fldChar w:fldCharType="end"/>
      </w:r>
      <w:r w:rsidRPr="00F30598" w:rsidR="00540A44">
        <w:rPr>
          <w:rFonts w:ascii="Arial" w:hAnsi="Arial" w:cs="Arial"/>
          <w:sz w:val="24"/>
          <w:szCs w:val="24"/>
          <w:lang w:val="es-ES"/>
        </w:rPr>
        <w:t xml:space="preserve"> </w:t>
      </w:r>
      <w:r w:rsidRPr="00F30598" w:rsidR="00CF7A0A">
        <w:rPr>
          <w:rFonts w:ascii="Arial" w:hAnsi="Arial" w:cs="Arial"/>
          <w:sz w:val="24"/>
          <w:szCs w:val="24"/>
          <w:lang w:val="es-ES"/>
        </w:rPr>
        <w:t>refleja la cantidad de beneficiarios e identifica cuáles de ellos evitan la perdida de capacidades como resultado de las políticas implementadas</w:t>
      </w:r>
      <w:r w:rsidRPr="00F30598" w:rsidR="00540A44">
        <w:rPr>
          <w:rFonts w:ascii="Arial" w:hAnsi="Arial" w:cs="Arial"/>
          <w:sz w:val="24"/>
          <w:szCs w:val="24"/>
          <w:lang w:val="es-ES"/>
        </w:rPr>
        <w:t>.</w:t>
      </w:r>
      <w:r w:rsidRPr="00F30598" w:rsidR="00CF7A0A">
        <w:rPr>
          <w:rFonts w:ascii="Arial" w:hAnsi="Arial" w:cs="Arial"/>
          <w:sz w:val="24"/>
          <w:szCs w:val="24"/>
          <w:lang w:val="es-ES"/>
        </w:rPr>
        <w:t xml:space="preserve"> El </w:t>
      </w:r>
      <w:r w:rsidRPr="00F30598" w:rsidR="00CF06F6">
        <w:rPr>
          <w:rFonts w:ascii="Arial" w:hAnsi="Arial" w:cs="Arial"/>
          <w:sz w:val="24"/>
          <w:szCs w:val="24"/>
          <w:lang w:val="es-ES"/>
        </w:rPr>
        <w:fldChar w:fldCharType="begin"/>
      </w:r>
      <w:r w:rsidRPr="00F30598" w:rsidR="00CF06F6">
        <w:rPr>
          <w:rFonts w:ascii="Arial" w:hAnsi="Arial" w:cs="Arial"/>
          <w:sz w:val="24"/>
          <w:szCs w:val="24"/>
          <w:lang w:val="es-ES"/>
        </w:rPr>
        <w:instrText xml:space="preserve"> REF _Ref37247258 \h </w:instrText>
      </w:r>
      <w:r w:rsidRPr="00F30598" w:rsidR="008C0CC4">
        <w:rPr>
          <w:rFonts w:ascii="Arial" w:hAnsi="Arial" w:cs="Arial"/>
          <w:sz w:val="24"/>
          <w:szCs w:val="24"/>
          <w:lang w:val="es-ES"/>
        </w:rPr>
        <w:instrText xml:space="preserve"> \* MERGEFORMAT </w:instrText>
      </w:r>
      <w:r w:rsidRPr="00F30598" w:rsidR="00CF06F6">
        <w:rPr>
          <w:rFonts w:ascii="Arial" w:hAnsi="Arial" w:cs="Arial"/>
          <w:sz w:val="24"/>
          <w:szCs w:val="24"/>
          <w:lang w:val="es-ES"/>
        </w:rPr>
      </w:r>
      <w:r w:rsidRPr="00F30598" w:rsidR="00CF06F6">
        <w:rPr>
          <w:rFonts w:ascii="Arial" w:hAnsi="Arial" w:cs="Arial"/>
          <w:sz w:val="24"/>
          <w:szCs w:val="24"/>
          <w:lang w:val="es-ES"/>
        </w:rPr>
        <w:fldChar w:fldCharType="separate"/>
      </w:r>
      <w:r w:rsidRPr="00F30598" w:rsidR="00ED2BD4">
        <w:rPr>
          <w:rFonts w:ascii="Arial" w:hAnsi="Arial" w:cs="Arial"/>
          <w:sz w:val="24"/>
          <w:szCs w:val="24"/>
          <w:lang w:val="es-AR"/>
        </w:rPr>
        <w:t xml:space="preserve">Cuadro </w:t>
      </w:r>
      <w:r w:rsidRPr="00F30598" w:rsidR="00ED2BD4">
        <w:rPr>
          <w:rFonts w:ascii="Arial" w:hAnsi="Arial" w:cs="Arial"/>
          <w:noProof/>
          <w:sz w:val="24"/>
          <w:szCs w:val="24"/>
          <w:lang w:val="es-AR"/>
        </w:rPr>
        <w:t>29</w:t>
      </w:r>
      <w:r w:rsidRPr="00F30598" w:rsidR="00CF06F6">
        <w:rPr>
          <w:rFonts w:ascii="Arial" w:hAnsi="Arial" w:cs="Arial"/>
          <w:sz w:val="24"/>
          <w:szCs w:val="24"/>
          <w:lang w:val="es-ES"/>
        </w:rPr>
        <w:fldChar w:fldCharType="end"/>
      </w:r>
      <w:r w:rsidRPr="00F30598" w:rsidR="00CF06F6">
        <w:rPr>
          <w:rFonts w:ascii="Arial" w:hAnsi="Arial" w:cs="Arial"/>
          <w:sz w:val="24"/>
          <w:szCs w:val="24"/>
          <w:lang w:val="es-ES"/>
        </w:rPr>
        <w:t xml:space="preserve"> resume los datos de costos, beneficios, VAN y ratio </w:t>
      </w:r>
      <w:proofErr w:type="spellStart"/>
      <w:proofErr w:type="gramStart"/>
      <w:r w:rsidRPr="00F30598" w:rsidR="00CF06F6">
        <w:rPr>
          <w:rFonts w:ascii="Arial" w:hAnsi="Arial" w:cs="Arial"/>
          <w:sz w:val="24"/>
          <w:szCs w:val="24"/>
          <w:lang w:val="es-ES"/>
        </w:rPr>
        <w:t>beneficio:costo</w:t>
      </w:r>
      <w:proofErr w:type="spellEnd"/>
      <w:proofErr w:type="gramEnd"/>
      <w:r w:rsidRPr="00F30598" w:rsidR="00CF06F6">
        <w:rPr>
          <w:rFonts w:ascii="Arial" w:hAnsi="Arial" w:cs="Arial"/>
          <w:sz w:val="24"/>
          <w:szCs w:val="24"/>
          <w:lang w:val="es-ES"/>
        </w:rPr>
        <w:t>. Como puede observarse, en el escenario base e</w:t>
      </w:r>
      <w:r w:rsidRPr="00F30598" w:rsidR="00CF7A0A">
        <w:rPr>
          <w:rFonts w:ascii="Arial" w:hAnsi="Arial" w:cs="Arial"/>
          <w:sz w:val="24"/>
          <w:szCs w:val="24"/>
          <w:lang w:val="es-ES"/>
        </w:rPr>
        <w:t xml:space="preserve">l cociente es mayor a </w:t>
      </w:r>
      <w:r w:rsidRPr="00F30598" w:rsidR="00415457">
        <w:rPr>
          <w:rFonts w:ascii="Arial" w:hAnsi="Arial" w:cs="Arial"/>
          <w:sz w:val="24"/>
          <w:szCs w:val="24"/>
          <w:lang w:val="es-ES"/>
        </w:rPr>
        <w:t>1</w:t>
      </w:r>
      <w:r w:rsidRPr="00F30598" w:rsidR="00CF7A0A">
        <w:rPr>
          <w:rFonts w:ascii="Arial" w:hAnsi="Arial" w:cs="Arial"/>
          <w:sz w:val="24"/>
          <w:szCs w:val="24"/>
          <w:lang w:val="es-ES"/>
        </w:rPr>
        <w:t xml:space="preserve">, lo que sugiere que la </w:t>
      </w:r>
      <w:r w:rsidRPr="00F30598" w:rsidR="00CF7A0A">
        <w:rPr>
          <w:rFonts w:ascii="Arial" w:hAnsi="Arial" w:cs="Arial"/>
          <w:sz w:val="24"/>
          <w:szCs w:val="24"/>
          <w:lang w:val="es-ES"/>
        </w:rPr>
        <w:lastRenderedPageBreak/>
        <w:t>intervención es beneficiosa.</w:t>
      </w:r>
      <w:r w:rsidRPr="00F30598" w:rsidR="00415457">
        <w:rPr>
          <w:rFonts w:ascii="Arial" w:hAnsi="Arial" w:cs="Arial"/>
          <w:sz w:val="24"/>
          <w:szCs w:val="24"/>
          <w:lang w:val="es-ES"/>
        </w:rPr>
        <w:t xml:space="preserve"> La TIRM es de 9% superando el valor de 5% de la tasa de descuento.</w:t>
      </w:r>
    </w:p>
    <w:p w:rsidRPr="00F30598" w:rsidR="00362FD9" w:rsidP="006F53C9" w:rsidRDefault="00362FD9" w14:paraId="5DAB74BA" w14:textId="76E495ED">
      <w:pPr>
        <w:pStyle w:val="Caption"/>
        <w:keepNext/>
        <w:spacing w:before="240" w:after="120"/>
        <w:rPr>
          <w:rFonts w:ascii="Arial" w:hAnsi="Arial" w:cs="Arial"/>
          <w:sz w:val="24"/>
          <w:szCs w:val="24"/>
        </w:rPr>
      </w:pPr>
      <w:bookmarkStart w:name="_Ref37247816" w:id="47"/>
      <w:r w:rsidRPr="00F30598">
        <w:rPr>
          <w:rFonts w:ascii="Arial" w:hAnsi="Arial" w:cs="Arial"/>
          <w:sz w:val="24"/>
          <w:szCs w:val="24"/>
        </w:rPr>
        <w:t xml:space="preserve">Cuadro </w:t>
      </w:r>
      <w:r w:rsidRPr="00F30598">
        <w:rPr>
          <w:rFonts w:ascii="Arial" w:hAnsi="Arial" w:cs="Arial"/>
          <w:sz w:val="24"/>
          <w:szCs w:val="24"/>
        </w:rPr>
        <w:fldChar w:fldCharType="begin"/>
      </w:r>
      <w:r w:rsidRPr="00F30598">
        <w:rPr>
          <w:rFonts w:ascii="Arial" w:hAnsi="Arial" w:cs="Arial"/>
          <w:sz w:val="24"/>
          <w:szCs w:val="24"/>
        </w:rPr>
        <w:instrText xml:space="preserve"> SEQ Cuadro \* ARABIC </w:instrText>
      </w:r>
      <w:r w:rsidRPr="00F30598">
        <w:rPr>
          <w:rFonts w:ascii="Arial" w:hAnsi="Arial" w:cs="Arial"/>
          <w:sz w:val="24"/>
          <w:szCs w:val="24"/>
        </w:rPr>
        <w:fldChar w:fldCharType="separate"/>
      </w:r>
      <w:r w:rsidRPr="00F30598" w:rsidR="00ED2BD4">
        <w:rPr>
          <w:rFonts w:ascii="Arial" w:hAnsi="Arial" w:cs="Arial"/>
          <w:noProof/>
          <w:sz w:val="24"/>
          <w:szCs w:val="24"/>
        </w:rPr>
        <w:t>28</w:t>
      </w:r>
      <w:r w:rsidRPr="00F30598">
        <w:rPr>
          <w:rFonts w:ascii="Arial" w:hAnsi="Arial" w:cs="Arial"/>
          <w:sz w:val="24"/>
          <w:szCs w:val="24"/>
        </w:rPr>
        <w:fldChar w:fldCharType="end"/>
      </w:r>
      <w:bookmarkEnd w:id="47"/>
      <w:r w:rsidRPr="00F30598">
        <w:rPr>
          <w:rFonts w:ascii="Arial" w:hAnsi="Arial" w:cs="Arial"/>
          <w:sz w:val="24"/>
          <w:szCs w:val="24"/>
        </w:rPr>
        <w:t xml:space="preserve">: </w:t>
      </w:r>
      <w:r w:rsidRPr="00F30598" w:rsidR="00CF7A0A">
        <w:rPr>
          <w:rFonts w:ascii="Arial" w:hAnsi="Arial" w:cs="Arial"/>
          <w:sz w:val="24"/>
          <w:szCs w:val="24"/>
        </w:rPr>
        <w:t>Beneficiarios por tipo</w:t>
      </w:r>
    </w:p>
    <w:p w:rsidRPr="00F30598" w:rsidR="00540A44" w:rsidP="006F53C9" w:rsidRDefault="00CC0115" w14:paraId="0C03F4C3" w14:textId="0B175F4B">
      <w:pPr>
        <w:spacing w:before="120" w:after="120" w:line="240" w:lineRule="auto"/>
        <w:jc w:val="center"/>
        <w:rPr>
          <w:rFonts w:ascii="Arial" w:hAnsi="Arial" w:cs="Arial"/>
          <w:sz w:val="24"/>
          <w:szCs w:val="24"/>
        </w:rPr>
      </w:pPr>
      <w:r w:rsidRPr="00F30598">
        <w:rPr>
          <w:rFonts w:ascii="Arial" w:hAnsi="Arial" w:cs="Arial"/>
          <w:noProof/>
        </w:rPr>
        <w:drawing>
          <wp:inline distT="0" distB="0" distL="0" distR="0" wp14:anchorId="3DBA9312" wp14:editId="19329D5D">
            <wp:extent cx="5143500" cy="9144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143500" cy="914400"/>
                    </a:xfrm>
                    <a:prstGeom prst="rect">
                      <a:avLst/>
                    </a:prstGeom>
                    <a:noFill/>
                    <a:ln>
                      <a:noFill/>
                    </a:ln>
                  </pic:spPr>
                </pic:pic>
              </a:graphicData>
            </a:graphic>
          </wp:inline>
        </w:drawing>
      </w:r>
    </w:p>
    <w:p w:rsidRPr="00F30598" w:rsidR="00540A44" w:rsidP="006F53C9" w:rsidRDefault="00540A44" w14:paraId="0ED18CF2" w14:textId="77777777">
      <w:pPr>
        <w:spacing w:before="120" w:after="120" w:line="240" w:lineRule="auto"/>
        <w:jc w:val="both"/>
        <w:rPr>
          <w:rFonts w:ascii="Arial" w:hAnsi="Arial" w:cs="Arial"/>
          <w:bCs/>
          <w:lang w:val="es-ES"/>
        </w:rPr>
      </w:pPr>
      <w:r w:rsidRPr="00F30598">
        <w:rPr>
          <w:rFonts w:ascii="Arial" w:hAnsi="Arial" w:cs="Arial"/>
          <w:bCs/>
          <w:lang w:val="es-ES"/>
        </w:rPr>
        <w:t xml:space="preserve">Fuente: elaboración propia </w:t>
      </w:r>
    </w:p>
    <w:p w:rsidRPr="00F30598" w:rsidR="00540A44" w:rsidP="006F53C9" w:rsidRDefault="00540A44" w14:paraId="1818EAEC" w14:textId="77777777">
      <w:pPr>
        <w:spacing w:before="120" w:after="120" w:line="240" w:lineRule="auto"/>
        <w:jc w:val="both"/>
        <w:rPr>
          <w:rFonts w:ascii="Arial" w:hAnsi="Arial" w:cs="Arial"/>
          <w:b/>
          <w:lang w:val="es-ES"/>
        </w:rPr>
      </w:pPr>
    </w:p>
    <w:p w:rsidRPr="00F30598" w:rsidR="00CF06F6" w:rsidP="006F53C9" w:rsidRDefault="00CF06F6" w14:paraId="5770C625" w14:textId="1C039C2E">
      <w:pPr>
        <w:pStyle w:val="Caption"/>
        <w:keepNext/>
        <w:spacing w:before="120" w:after="120"/>
        <w:jc w:val="both"/>
        <w:rPr>
          <w:rFonts w:ascii="Arial" w:hAnsi="Arial" w:cs="Arial"/>
          <w:sz w:val="24"/>
          <w:szCs w:val="24"/>
        </w:rPr>
      </w:pPr>
      <w:bookmarkStart w:name="_Ref37247258" w:id="48"/>
      <w:r w:rsidRPr="00F30598">
        <w:rPr>
          <w:rFonts w:ascii="Arial" w:hAnsi="Arial" w:cs="Arial"/>
          <w:sz w:val="24"/>
          <w:szCs w:val="24"/>
        </w:rPr>
        <w:t xml:space="preserve">Cuadro </w:t>
      </w:r>
      <w:r w:rsidRPr="00F30598">
        <w:rPr>
          <w:rFonts w:ascii="Arial" w:hAnsi="Arial" w:cs="Arial"/>
          <w:sz w:val="24"/>
          <w:szCs w:val="24"/>
        </w:rPr>
        <w:fldChar w:fldCharType="begin"/>
      </w:r>
      <w:r w:rsidRPr="00F30598">
        <w:rPr>
          <w:rFonts w:ascii="Arial" w:hAnsi="Arial" w:cs="Arial"/>
          <w:sz w:val="24"/>
          <w:szCs w:val="24"/>
        </w:rPr>
        <w:instrText xml:space="preserve"> SEQ Cuadro \* ARABIC </w:instrText>
      </w:r>
      <w:r w:rsidRPr="00F30598">
        <w:rPr>
          <w:rFonts w:ascii="Arial" w:hAnsi="Arial" w:cs="Arial"/>
          <w:sz w:val="24"/>
          <w:szCs w:val="24"/>
        </w:rPr>
        <w:fldChar w:fldCharType="separate"/>
      </w:r>
      <w:r w:rsidRPr="00F30598" w:rsidR="00ED2BD4">
        <w:rPr>
          <w:rFonts w:ascii="Arial" w:hAnsi="Arial" w:cs="Arial"/>
          <w:noProof/>
          <w:sz w:val="24"/>
          <w:szCs w:val="24"/>
        </w:rPr>
        <w:t>29</w:t>
      </w:r>
      <w:r w:rsidRPr="00F30598">
        <w:rPr>
          <w:rFonts w:ascii="Arial" w:hAnsi="Arial" w:cs="Arial"/>
          <w:sz w:val="24"/>
          <w:szCs w:val="24"/>
        </w:rPr>
        <w:fldChar w:fldCharType="end"/>
      </w:r>
      <w:bookmarkEnd w:id="48"/>
      <w:r w:rsidRPr="00F30598">
        <w:rPr>
          <w:rFonts w:ascii="Arial" w:hAnsi="Arial" w:cs="Arial"/>
          <w:sz w:val="24"/>
          <w:szCs w:val="24"/>
        </w:rPr>
        <w:t>: Resultados: Costos, Beneficios, VAN</w:t>
      </w:r>
      <w:r w:rsidRPr="00F30598" w:rsidR="00415457">
        <w:rPr>
          <w:rFonts w:ascii="Arial" w:hAnsi="Arial" w:cs="Arial"/>
          <w:sz w:val="24"/>
          <w:szCs w:val="24"/>
        </w:rPr>
        <w:t>,</w:t>
      </w:r>
      <w:r w:rsidRPr="00F30598">
        <w:rPr>
          <w:rFonts w:ascii="Arial" w:hAnsi="Arial" w:cs="Arial"/>
          <w:sz w:val="24"/>
          <w:szCs w:val="24"/>
        </w:rPr>
        <w:t xml:space="preserve"> Ratio </w:t>
      </w:r>
      <w:proofErr w:type="spellStart"/>
      <w:proofErr w:type="gramStart"/>
      <w:r w:rsidRPr="00F30598">
        <w:rPr>
          <w:rFonts w:ascii="Arial" w:hAnsi="Arial" w:cs="Arial"/>
          <w:sz w:val="24"/>
          <w:szCs w:val="24"/>
        </w:rPr>
        <w:t>Beneficio:Costo</w:t>
      </w:r>
      <w:proofErr w:type="spellEnd"/>
      <w:proofErr w:type="gramEnd"/>
      <w:r w:rsidRPr="00F30598" w:rsidR="00415457">
        <w:rPr>
          <w:rFonts w:ascii="Arial" w:hAnsi="Arial" w:cs="Arial"/>
          <w:sz w:val="24"/>
          <w:szCs w:val="24"/>
        </w:rPr>
        <w:t xml:space="preserve"> y TIRM</w:t>
      </w:r>
    </w:p>
    <w:p w:rsidRPr="006F53C9" w:rsidR="00540A44" w:rsidP="006F53C9" w:rsidRDefault="00540A44" w14:paraId="035D3C10" w14:textId="7D9D337A">
      <w:pPr>
        <w:spacing w:before="120" w:after="0" w:line="240" w:lineRule="auto"/>
        <w:jc w:val="both"/>
        <w:rPr>
          <w:rFonts w:ascii="Arial" w:hAnsi="Arial" w:cs="Arial"/>
          <w:lang w:val="es-AR"/>
        </w:rPr>
      </w:pPr>
    </w:p>
    <w:p w:rsidRPr="00F30598" w:rsidR="00C973B2" w:rsidP="006F53C9" w:rsidRDefault="00415457" w14:paraId="1BC66F38" w14:textId="6F9157C7">
      <w:pPr>
        <w:spacing w:before="120" w:after="120" w:line="240" w:lineRule="auto"/>
        <w:jc w:val="both"/>
        <w:rPr>
          <w:rFonts w:ascii="Arial" w:hAnsi="Arial" w:cs="Arial"/>
          <w:lang w:val="es-ES"/>
        </w:rPr>
      </w:pPr>
      <w:r w:rsidRPr="00F30598">
        <w:rPr>
          <w:rFonts w:ascii="Arial" w:hAnsi="Arial" w:cs="Arial"/>
          <w:noProof/>
        </w:rPr>
        <w:drawing>
          <wp:inline distT="0" distB="0" distL="0" distR="0" wp14:anchorId="7A9FA07D" wp14:editId="6A59908D">
            <wp:extent cx="5612130" cy="2345055"/>
            <wp:effectExtent l="0" t="0" r="762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612130" cy="2345055"/>
                    </a:xfrm>
                    <a:prstGeom prst="rect">
                      <a:avLst/>
                    </a:prstGeom>
                    <a:noFill/>
                    <a:ln>
                      <a:noFill/>
                    </a:ln>
                  </pic:spPr>
                </pic:pic>
              </a:graphicData>
            </a:graphic>
          </wp:inline>
        </w:drawing>
      </w:r>
    </w:p>
    <w:p w:rsidRPr="006F53C9" w:rsidR="0089072B" w:rsidP="006F53C9" w:rsidRDefault="0089072B" w14:paraId="5DC859E4" w14:textId="77777777">
      <w:pPr>
        <w:spacing w:before="120" w:after="120" w:line="240" w:lineRule="auto"/>
        <w:jc w:val="both"/>
        <w:rPr>
          <w:rFonts w:ascii="Arial" w:hAnsi="Arial" w:cs="Arial"/>
          <w:bCs/>
          <w:sz w:val="18"/>
          <w:szCs w:val="18"/>
          <w:lang w:val="es-ES"/>
        </w:rPr>
      </w:pPr>
      <w:r w:rsidRPr="006F53C9">
        <w:rPr>
          <w:rFonts w:ascii="Arial" w:hAnsi="Arial" w:cs="Arial"/>
          <w:bCs/>
          <w:sz w:val="18"/>
          <w:szCs w:val="18"/>
          <w:lang w:val="es-ES"/>
        </w:rPr>
        <w:t xml:space="preserve">Fuente: elaboración propia </w:t>
      </w:r>
    </w:p>
    <w:p w:rsidRPr="00F30598" w:rsidR="0089072B" w:rsidP="006F53C9" w:rsidRDefault="0089072B" w14:paraId="4257A418" w14:textId="77777777">
      <w:pPr>
        <w:spacing w:before="120" w:after="120" w:line="240" w:lineRule="auto"/>
        <w:jc w:val="both"/>
        <w:rPr>
          <w:rFonts w:ascii="Arial" w:hAnsi="Arial" w:cs="Arial"/>
          <w:b/>
          <w:sz w:val="24"/>
          <w:szCs w:val="24"/>
          <w:lang w:val="es-ES"/>
        </w:rPr>
      </w:pPr>
    </w:p>
    <w:p w:rsidRPr="00F30598" w:rsidR="00B81A69" w:rsidP="006F53C9" w:rsidRDefault="00B81A69" w14:paraId="53F555D6" w14:textId="38A3045E">
      <w:pPr>
        <w:spacing w:before="120" w:after="120" w:line="240" w:lineRule="auto"/>
        <w:jc w:val="both"/>
        <w:rPr>
          <w:rFonts w:ascii="Arial" w:hAnsi="Arial" w:cs="Arial"/>
          <w:sz w:val="24"/>
          <w:szCs w:val="24"/>
          <w:lang w:val="es-ES"/>
        </w:rPr>
      </w:pPr>
      <w:r w:rsidRPr="00F30598">
        <w:rPr>
          <w:rFonts w:ascii="Arial" w:hAnsi="Arial" w:cs="Arial"/>
          <w:sz w:val="24"/>
          <w:szCs w:val="24"/>
          <w:lang w:val="es-ES"/>
        </w:rPr>
        <w:t xml:space="preserve">En el análisis de sensibilidad se varían dos parámetros. En primer lugar, la tasa de descuento para dar cuenta de cambios en la tasa de interés usada para determinar el valor presente de los flujos futuros y en segundo lugar la efectividad de la intervención. Para reproducir cambios en esta dimensión se disminuye la proporción de beneficiarios que efectivamente ven preservadas sus habilidades como resultado de la intervención. El </w:t>
      </w:r>
      <w:r w:rsidRPr="00F30598">
        <w:rPr>
          <w:rFonts w:ascii="Arial" w:hAnsi="Arial" w:cs="Arial"/>
          <w:sz w:val="24"/>
          <w:szCs w:val="24"/>
          <w:lang w:val="es-ES"/>
        </w:rPr>
        <w:fldChar w:fldCharType="begin"/>
      </w:r>
      <w:r w:rsidRPr="00F30598">
        <w:rPr>
          <w:rFonts w:ascii="Arial" w:hAnsi="Arial" w:cs="Arial"/>
          <w:sz w:val="24"/>
          <w:szCs w:val="24"/>
          <w:lang w:val="es-ES"/>
        </w:rPr>
        <w:instrText xml:space="preserve"> REF _Ref37249297 \h </w:instrText>
      </w:r>
      <w:r w:rsidRPr="00F30598" w:rsidR="00DF592C">
        <w:rPr>
          <w:rFonts w:ascii="Arial" w:hAnsi="Arial" w:cs="Arial"/>
          <w:sz w:val="24"/>
          <w:szCs w:val="24"/>
          <w:lang w:val="es-ES"/>
        </w:rPr>
        <w:instrText xml:space="preserve"> \* MERGEFORMAT </w:instrText>
      </w:r>
      <w:r w:rsidRPr="00F30598">
        <w:rPr>
          <w:rFonts w:ascii="Arial" w:hAnsi="Arial" w:cs="Arial"/>
          <w:sz w:val="24"/>
          <w:szCs w:val="24"/>
          <w:lang w:val="es-ES"/>
        </w:rPr>
      </w:r>
      <w:r w:rsidRPr="00F30598">
        <w:rPr>
          <w:rFonts w:ascii="Arial" w:hAnsi="Arial" w:cs="Arial"/>
          <w:sz w:val="24"/>
          <w:szCs w:val="24"/>
          <w:lang w:val="es-ES"/>
        </w:rPr>
        <w:fldChar w:fldCharType="separate"/>
      </w:r>
      <w:r w:rsidRPr="00F30598" w:rsidR="00ED2BD4">
        <w:rPr>
          <w:rFonts w:ascii="Arial" w:hAnsi="Arial" w:cs="Arial"/>
          <w:sz w:val="24"/>
          <w:szCs w:val="24"/>
          <w:lang w:val="es-AR"/>
        </w:rPr>
        <w:t xml:space="preserve">Cuadro </w:t>
      </w:r>
      <w:r w:rsidRPr="00F30598" w:rsidR="00ED2BD4">
        <w:rPr>
          <w:rFonts w:ascii="Arial" w:hAnsi="Arial" w:cs="Arial"/>
          <w:noProof/>
          <w:sz w:val="24"/>
          <w:szCs w:val="24"/>
          <w:lang w:val="es-AR"/>
        </w:rPr>
        <w:t>30</w:t>
      </w:r>
      <w:r w:rsidRPr="00F30598">
        <w:rPr>
          <w:rFonts w:ascii="Arial" w:hAnsi="Arial" w:cs="Arial"/>
          <w:sz w:val="24"/>
          <w:szCs w:val="24"/>
          <w:lang w:val="es-ES"/>
        </w:rPr>
        <w:fldChar w:fldCharType="end"/>
      </w:r>
      <w:r w:rsidRPr="00F30598">
        <w:rPr>
          <w:rFonts w:ascii="Arial" w:hAnsi="Arial" w:cs="Arial"/>
          <w:sz w:val="24"/>
          <w:szCs w:val="24"/>
          <w:lang w:val="es-ES"/>
        </w:rPr>
        <w:t xml:space="preserve"> y el </w:t>
      </w:r>
      <w:r w:rsidRPr="00F30598">
        <w:rPr>
          <w:rFonts w:ascii="Arial" w:hAnsi="Arial" w:cs="Arial"/>
          <w:sz w:val="24"/>
          <w:szCs w:val="24"/>
          <w:lang w:val="es-ES"/>
        </w:rPr>
        <w:fldChar w:fldCharType="begin"/>
      </w:r>
      <w:r w:rsidRPr="00F30598">
        <w:rPr>
          <w:rFonts w:ascii="Arial" w:hAnsi="Arial" w:cs="Arial"/>
          <w:sz w:val="24"/>
          <w:szCs w:val="24"/>
          <w:lang w:val="es-ES"/>
        </w:rPr>
        <w:instrText xml:space="preserve"> REF _Ref37249316 \h </w:instrText>
      </w:r>
      <w:r w:rsidRPr="00F30598" w:rsidR="00DF592C">
        <w:rPr>
          <w:rFonts w:ascii="Arial" w:hAnsi="Arial" w:cs="Arial"/>
          <w:sz w:val="24"/>
          <w:szCs w:val="24"/>
          <w:lang w:val="es-ES"/>
        </w:rPr>
        <w:instrText xml:space="preserve"> \* MERGEFORMAT </w:instrText>
      </w:r>
      <w:r w:rsidRPr="00F30598">
        <w:rPr>
          <w:rFonts w:ascii="Arial" w:hAnsi="Arial" w:cs="Arial"/>
          <w:sz w:val="24"/>
          <w:szCs w:val="24"/>
          <w:lang w:val="es-ES"/>
        </w:rPr>
      </w:r>
      <w:r w:rsidRPr="00F30598">
        <w:rPr>
          <w:rFonts w:ascii="Arial" w:hAnsi="Arial" w:cs="Arial"/>
          <w:sz w:val="24"/>
          <w:szCs w:val="24"/>
          <w:lang w:val="es-ES"/>
        </w:rPr>
        <w:fldChar w:fldCharType="separate"/>
      </w:r>
      <w:r w:rsidRPr="00F30598" w:rsidR="00ED2BD4">
        <w:rPr>
          <w:rFonts w:ascii="Arial" w:hAnsi="Arial" w:cs="Arial"/>
          <w:sz w:val="24"/>
          <w:szCs w:val="24"/>
          <w:lang w:val="es-AR"/>
        </w:rPr>
        <w:t xml:space="preserve">Cuadro </w:t>
      </w:r>
      <w:r w:rsidRPr="00F30598" w:rsidR="00ED2BD4">
        <w:rPr>
          <w:rFonts w:ascii="Arial" w:hAnsi="Arial" w:cs="Arial"/>
          <w:noProof/>
          <w:sz w:val="24"/>
          <w:szCs w:val="24"/>
          <w:lang w:val="es-AR"/>
        </w:rPr>
        <w:t>31</w:t>
      </w:r>
      <w:r w:rsidRPr="00F30598">
        <w:rPr>
          <w:rFonts w:ascii="Arial" w:hAnsi="Arial" w:cs="Arial"/>
          <w:sz w:val="24"/>
          <w:szCs w:val="24"/>
          <w:lang w:val="es-ES"/>
        </w:rPr>
        <w:fldChar w:fldCharType="end"/>
      </w:r>
      <w:r w:rsidRPr="00F30598">
        <w:rPr>
          <w:rFonts w:ascii="Arial" w:hAnsi="Arial" w:cs="Arial"/>
          <w:sz w:val="24"/>
          <w:szCs w:val="24"/>
          <w:lang w:val="es-ES"/>
        </w:rPr>
        <w:t xml:space="preserve"> muestran los resultados para los distintos escenarios en términos de VAN y ratio </w:t>
      </w:r>
      <w:proofErr w:type="spellStart"/>
      <w:r w:rsidRPr="00F30598">
        <w:rPr>
          <w:rFonts w:ascii="Arial" w:hAnsi="Arial" w:cs="Arial"/>
          <w:sz w:val="24"/>
          <w:szCs w:val="24"/>
          <w:lang w:val="es-ES"/>
        </w:rPr>
        <w:t>Beneficio:Costo</w:t>
      </w:r>
      <w:proofErr w:type="spellEnd"/>
      <w:r w:rsidRPr="00F30598">
        <w:rPr>
          <w:rFonts w:ascii="Arial" w:hAnsi="Arial" w:cs="Arial"/>
          <w:sz w:val="24"/>
          <w:szCs w:val="24"/>
          <w:lang w:val="es-ES"/>
        </w:rPr>
        <w:t xml:space="preserve"> respectivamente. </w:t>
      </w:r>
      <w:r w:rsidRPr="00F30598" w:rsidR="00DF592C">
        <w:rPr>
          <w:rFonts w:ascii="Arial" w:hAnsi="Arial" w:cs="Arial"/>
          <w:sz w:val="24"/>
          <w:szCs w:val="24"/>
          <w:lang w:val="es-ES"/>
        </w:rPr>
        <w:t xml:space="preserve">Como puede observarse el proyecto es beneficioso en tres de los cuatro escenarios analizados. Solo ante una menor efectividad (75%) sumada a una mayor tasa de descuento el valor actual de los costos es mayor al de los beneficios. De cualquier manera, es necesario plantear recaudos sobre la interpretación de este escenario. En primer lugar, el hecho de que la población beneficiaria esté compuesta por alumnos de primaria y secundaria hace que, en promedio, su ingreso al mercado laboral se demore varios años. Por esta razón el resultado es muy afectado por la tasa de descuento (particularmente limitando a 15 años el horizonte de análisis) y </w:t>
      </w:r>
      <w:r w:rsidRPr="00F30598" w:rsidR="00DF592C">
        <w:rPr>
          <w:rFonts w:ascii="Arial" w:hAnsi="Arial" w:cs="Arial"/>
          <w:sz w:val="24"/>
          <w:szCs w:val="24"/>
          <w:lang w:val="es-ES"/>
        </w:rPr>
        <w:lastRenderedPageBreak/>
        <w:t>refuerza la decisión de considerar una tasa de descuento del 5% para el escenario base. En segundo lugar, el supuesto de que la política actúa solamente sobre l</w:t>
      </w:r>
      <w:r w:rsidRPr="00F30598" w:rsidR="00F84C44">
        <w:rPr>
          <w:rFonts w:ascii="Arial" w:hAnsi="Arial" w:cs="Arial"/>
          <w:sz w:val="24"/>
          <w:szCs w:val="24"/>
          <w:lang w:val="es-ES"/>
        </w:rPr>
        <w:t xml:space="preserve">os niños </w:t>
      </w:r>
      <w:r w:rsidRPr="00F30598" w:rsidR="00981D04">
        <w:rPr>
          <w:rFonts w:ascii="Arial" w:hAnsi="Arial" w:cs="Arial"/>
          <w:sz w:val="24"/>
          <w:szCs w:val="24"/>
          <w:lang w:val="es-ES"/>
        </w:rPr>
        <w:t>en situación de pobreza multidimensional</w:t>
      </w:r>
      <w:r w:rsidRPr="00F30598" w:rsidR="00F84C44">
        <w:rPr>
          <w:rFonts w:ascii="Arial" w:hAnsi="Arial" w:cs="Arial"/>
          <w:sz w:val="24"/>
          <w:szCs w:val="24"/>
          <w:lang w:val="es-ES"/>
        </w:rPr>
        <w:t xml:space="preserve"> </w:t>
      </w:r>
      <w:r w:rsidRPr="00F30598" w:rsidR="00DF592C">
        <w:rPr>
          <w:rFonts w:ascii="Arial" w:hAnsi="Arial" w:cs="Arial"/>
          <w:sz w:val="24"/>
          <w:szCs w:val="24"/>
          <w:lang w:val="es-ES"/>
        </w:rPr>
        <w:t>(</w:t>
      </w:r>
      <w:r w:rsidRPr="00F30598" w:rsidR="00F84C44">
        <w:rPr>
          <w:rFonts w:ascii="Arial" w:hAnsi="Arial" w:cs="Arial"/>
          <w:sz w:val="24"/>
          <w:szCs w:val="24"/>
          <w:lang w:val="es-ES"/>
        </w:rPr>
        <w:t>4</w:t>
      </w:r>
      <w:r w:rsidRPr="00F30598" w:rsidR="00F85934">
        <w:rPr>
          <w:rFonts w:ascii="Arial" w:hAnsi="Arial" w:cs="Arial"/>
          <w:sz w:val="24"/>
          <w:szCs w:val="24"/>
          <w:lang w:val="es-ES"/>
        </w:rPr>
        <w:t>2</w:t>
      </w:r>
      <w:r w:rsidRPr="00F30598" w:rsidR="00DF592C">
        <w:rPr>
          <w:rFonts w:ascii="Arial" w:hAnsi="Arial" w:cs="Arial"/>
          <w:sz w:val="24"/>
          <w:szCs w:val="24"/>
          <w:lang w:val="es-ES"/>
        </w:rPr>
        <w:t>% del total) ya afecta en cierta medida la efectividad del programa e implica un supuesto conservador. Por lo tanto, se considera que</w:t>
      </w:r>
      <w:r w:rsidRPr="00F30598" w:rsidR="007B77B6">
        <w:rPr>
          <w:rFonts w:ascii="Arial" w:hAnsi="Arial" w:cs="Arial"/>
          <w:sz w:val="24"/>
          <w:szCs w:val="24"/>
          <w:lang w:val="es-ES"/>
        </w:rPr>
        <w:t>,</w:t>
      </w:r>
      <w:r w:rsidRPr="00F30598" w:rsidR="00DF592C">
        <w:rPr>
          <w:rFonts w:ascii="Arial" w:hAnsi="Arial" w:cs="Arial"/>
          <w:sz w:val="24"/>
          <w:szCs w:val="24"/>
          <w:lang w:val="es-ES"/>
        </w:rPr>
        <w:t xml:space="preserve"> dadas las circunstancias particulares de implementación, los supuestos del escenario en el cual los efectos son negativos </w:t>
      </w:r>
      <w:proofErr w:type="gramStart"/>
      <w:r w:rsidRPr="00F30598" w:rsidR="00DF592C">
        <w:rPr>
          <w:rFonts w:ascii="Arial" w:hAnsi="Arial" w:cs="Arial"/>
          <w:sz w:val="24"/>
          <w:szCs w:val="24"/>
          <w:lang w:val="es-ES"/>
        </w:rPr>
        <w:t>es</w:t>
      </w:r>
      <w:proofErr w:type="gramEnd"/>
      <w:r w:rsidRPr="00F30598" w:rsidR="00DF592C">
        <w:rPr>
          <w:rFonts w:ascii="Arial" w:hAnsi="Arial" w:cs="Arial"/>
          <w:sz w:val="24"/>
          <w:szCs w:val="24"/>
          <w:lang w:val="es-ES"/>
        </w:rPr>
        <w:t xml:space="preserve"> menos factible.</w:t>
      </w:r>
    </w:p>
    <w:p w:rsidRPr="00F30598" w:rsidR="00751C7F" w:rsidP="006F53C9" w:rsidRDefault="00751C7F" w14:paraId="74AF993A" w14:textId="60EB541A">
      <w:pPr>
        <w:pStyle w:val="Caption"/>
        <w:keepNext/>
        <w:spacing w:before="120" w:after="120"/>
        <w:jc w:val="both"/>
        <w:rPr>
          <w:rFonts w:ascii="Arial" w:hAnsi="Arial" w:cs="Arial"/>
          <w:sz w:val="22"/>
          <w:szCs w:val="22"/>
        </w:rPr>
      </w:pPr>
      <w:bookmarkStart w:name="_Ref37249297" w:id="49"/>
      <w:r w:rsidRPr="00F30598">
        <w:rPr>
          <w:rFonts w:ascii="Arial" w:hAnsi="Arial" w:cs="Arial"/>
          <w:sz w:val="22"/>
          <w:szCs w:val="22"/>
        </w:rPr>
        <w:t xml:space="preserve">Cuadro </w:t>
      </w:r>
      <w:r w:rsidRPr="00F30598">
        <w:rPr>
          <w:rFonts w:ascii="Arial" w:hAnsi="Arial" w:cs="Arial"/>
          <w:sz w:val="22"/>
          <w:szCs w:val="22"/>
        </w:rPr>
        <w:fldChar w:fldCharType="begin"/>
      </w:r>
      <w:r w:rsidRPr="00F30598">
        <w:rPr>
          <w:rFonts w:ascii="Arial" w:hAnsi="Arial" w:cs="Arial"/>
          <w:sz w:val="22"/>
          <w:szCs w:val="22"/>
        </w:rPr>
        <w:instrText xml:space="preserve"> SEQ Cuadro \* ARABIC </w:instrText>
      </w:r>
      <w:r w:rsidRPr="00F30598">
        <w:rPr>
          <w:rFonts w:ascii="Arial" w:hAnsi="Arial" w:cs="Arial"/>
          <w:sz w:val="22"/>
          <w:szCs w:val="22"/>
        </w:rPr>
        <w:fldChar w:fldCharType="separate"/>
      </w:r>
      <w:r w:rsidRPr="00F30598" w:rsidR="00ED2BD4">
        <w:rPr>
          <w:rFonts w:ascii="Arial" w:hAnsi="Arial" w:cs="Arial"/>
          <w:noProof/>
          <w:sz w:val="22"/>
          <w:szCs w:val="22"/>
        </w:rPr>
        <w:t>30</w:t>
      </w:r>
      <w:r w:rsidRPr="00F30598">
        <w:rPr>
          <w:rFonts w:ascii="Arial" w:hAnsi="Arial" w:cs="Arial"/>
          <w:sz w:val="22"/>
          <w:szCs w:val="22"/>
        </w:rPr>
        <w:fldChar w:fldCharType="end"/>
      </w:r>
      <w:bookmarkEnd w:id="49"/>
      <w:r w:rsidRPr="00F30598" w:rsidR="009E0DF8">
        <w:rPr>
          <w:rFonts w:ascii="Arial" w:hAnsi="Arial" w:cs="Arial"/>
          <w:sz w:val="22"/>
          <w:szCs w:val="22"/>
        </w:rPr>
        <w:t>: Análisis de sensibilidad (Valor Actual Neto)</w:t>
      </w:r>
    </w:p>
    <w:p w:rsidRPr="00F30598" w:rsidR="00540A44" w:rsidP="006F53C9" w:rsidRDefault="00415457" w14:paraId="63D516C7" w14:textId="5BDCD4B1">
      <w:pPr>
        <w:spacing w:before="120" w:after="120" w:line="240" w:lineRule="auto"/>
        <w:jc w:val="both"/>
        <w:rPr>
          <w:rFonts w:ascii="Arial" w:hAnsi="Arial" w:cs="Arial"/>
          <w:sz w:val="24"/>
          <w:szCs w:val="24"/>
          <w:lang w:val="es-ES"/>
        </w:rPr>
      </w:pPr>
      <w:r w:rsidRPr="00F30598">
        <w:rPr>
          <w:rFonts w:ascii="Arial" w:hAnsi="Arial" w:cs="Arial"/>
          <w:sz w:val="24"/>
          <w:szCs w:val="24"/>
          <w:lang w:val="es-ES"/>
        </w:rPr>
        <w:t xml:space="preserve"> </w:t>
      </w:r>
      <w:r w:rsidRPr="00F30598" w:rsidR="00C3064B">
        <w:rPr>
          <w:rFonts w:ascii="Arial" w:hAnsi="Arial" w:cs="Arial"/>
          <w:noProof/>
        </w:rPr>
        <w:drawing>
          <wp:inline distT="0" distB="0" distL="0" distR="0" wp14:anchorId="21009246" wp14:editId="691B6D55">
            <wp:extent cx="5600700" cy="755650"/>
            <wp:effectExtent l="0" t="0" r="0" b="635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600700" cy="755650"/>
                    </a:xfrm>
                    <a:prstGeom prst="rect">
                      <a:avLst/>
                    </a:prstGeom>
                    <a:noFill/>
                    <a:ln>
                      <a:noFill/>
                    </a:ln>
                  </pic:spPr>
                </pic:pic>
              </a:graphicData>
            </a:graphic>
          </wp:inline>
        </w:drawing>
      </w:r>
    </w:p>
    <w:p w:rsidRPr="00F30598" w:rsidR="00751C7F" w:rsidP="006F53C9" w:rsidRDefault="00751C7F" w14:paraId="24A31EB8" w14:textId="20DE3EC1">
      <w:pPr>
        <w:spacing w:before="120" w:after="120" w:line="240" w:lineRule="auto"/>
        <w:jc w:val="both"/>
        <w:rPr>
          <w:rFonts w:ascii="Arial" w:hAnsi="Arial" w:cs="Arial"/>
          <w:sz w:val="24"/>
          <w:szCs w:val="24"/>
          <w:lang w:val="es-ES"/>
        </w:rPr>
      </w:pPr>
    </w:p>
    <w:p w:rsidRPr="00F30598" w:rsidR="00751C7F" w:rsidP="006F53C9" w:rsidRDefault="00751C7F" w14:paraId="45395292" w14:textId="4868FD65">
      <w:pPr>
        <w:pStyle w:val="Caption"/>
        <w:keepNext/>
        <w:spacing w:before="120" w:after="120"/>
        <w:jc w:val="both"/>
        <w:rPr>
          <w:rFonts w:ascii="Arial" w:hAnsi="Arial" w:cs="Arial"/>
          <w:sz w:val="22"/>
          <w:szCs w:val="22"/>
        </w:rPr>
      </w:pPr>
      <w:bookmarkStart w:name="_Ref37249316" w:id="50"/>
      <w:r w:rsidRPr="00F30598">
        <w:rPr>
          <w:rFonts w:ascii="Arial" w:hAnsi="Arial" w:cs="Arial"/>
          <w:sz w:val="22"/>
          <w:szCs w:val="22"/>
        </w:rPr>
        <w:t xml:space="preserve">Cuadro </w:t>
      </w:r>
      <w:r w:rsidRPr="00F30598">
        <w:rPr>
          <w:rFonts w:ascii="Arial" w:hAnsi="Arial" w:cs="Arial"/>
          <w:sz w:val="22"/>
          <w:szCs w:val="22"/>
        </w:rPr>
        <w:fldChar w:fldCharType="begin"/>
      </w:r>
      <w:r w:rsidRPr="00F30598">
        <w:rPr>
          <w:rFonts w:ascii="Arial" w:hAnsi="Arial" w:cs="Arial"/>
          <w:sz w:val="22"/>
          <w:szCs w:val="22"/>
        </w:rPr>
        <w:instrText xml:space="preserve"> SEQ Cuadro \* ARABIC </w:instrText>
      </w:r>
      <w:r w:rsidRPr="00F30598">
        <w:rPr>
          <w:rFonts w:ascii="Arial" w:hAnsi="Arial" w:cs="Arial"/>
          <w:sz w:val="22"/>
          <w:szCs w:val="22"/>
        </w:rPr>
        <w:fldChar w:fldCharType="separate"/>
      </w:r>
      <w:r w:rsidRPr="00F30598" w:rsidR="00ED2BD4">
        <w:rPr>
          <w:rFonts w:ascii="Arial" w:hAnsi="Arial" w:cs="Arial"/>
          <w:noProof/>
          <w:sz w:val="22"/>
          <w:szCs w:val="22"/>
        </w:rPr>
        <w:t>31</w:t>
      </w:r>
      <w:r w:rsidRPr="00F30598">
        <w:rPr>
          <w:rFonts w:ascii="Arial" w:hAnsi="Arial" w:cs="Arial"/>
          <w:sz w:val="22"/>
          <w:szCs w:val="22"/>
        </w:rPr>
        <w:fldChar w:fldCharType="end"/>
      </w:r>
      <w:bookmarkEnd w:id="50"/>
      <w:r w:rsidRPr="00F30598">
        <w:rPr>
          <w:rFonts w:ascii="Arial" w:hAnsi="Arial" w:cs="Arial"/>
          <w:sz w:val="22"/>
          <w:szCs w:val="22"/>
        </w:rPr>
        <w:t xml:space="preserve">: </w:t>
      </w:r>
      <w:r w:rsidRPr="00F30598" w:rsidR="009E0DF8">
        <w:rPr>
          <w:rFonts w:ascii="Arial" w:hAnsi="Arial" w:cs="Arial"/>
          <w:sz w:val="22"/>
          <w:szCs w:val="22"/>
        </w:rPr>
        <w:t xml:space="preserve">Análisis de sensibilidad (Ratio </w:t>
      </w:r>
      <w:proofErr w:type="spellStart"/>
      <w:proofErr w:type="gramStart"/>
      <w:r w:rsidRPr="00F30598" w:rsidR="009E0DF8">
        <w:rPr>
          <w:rFonts w:ascii="Arial" w:hAnsi="Arial" w:cs="Arial"/>
          <w:sz w:val="22"/>
          <w:szCs w:val="22"/>
        </w:rPr>
        <w:t>Beneficio:Costo</w:t>
      </w:r>
      <w:proofErr w:type="spellEnd"/>
      <w:proofErr w:type="gramEnd"/>
      <w:r w:rsidRPr="00F30598" w:rsidR="009E0DF8">
        <w:rPr>
          <w:rFonts w:ascii="Arial" w:hAnsi="Arial" w:cs="Arial"/>
          <w:sz w:val="22"/>
          <w:szCs w:val="22"/>
        </w:rPr>
        <w:t>)</w:t>
      </w:r>
    </w:p>
    <w:p w:rsidRPr="00F30598" w:rsidR="00751C7F" w:rsidP="006F53C9" w:rsidRDefault="00751C7F" w14:paraId="091A37A7" w14:textId="58FC60AB">
      <w:pPr>
        <w:spacing w:before="120" w:after="120" w:line="240" w:lineRule="auto"/>
        <w:jc w:val="both"/>
        <w:rPr>
          <w:rFonts w:ascii="Arial" w:hAnsi="Arial" w:cs="Arial"/>
          <w:sz w:val="24"/>
          <w:szCs w:val="24"/>
          <w:lang w:val="es-ES"/>
        </w:rPr>
      </w:pPr>
    </w:p>
    <w:p w:rsidRPr="00F30598" w:rsidR="00415457" w:rsidP="006F53C9" w:rsidRDefault="00C3064B" w14:paraId="0FDC58B7" w14:textId="45ECE646">
      <w:pPr>
        <w:spacing w:before="120" w:after="120" w:line="240" w:lineRule="auto"/>
        <w:jc w:val="both"/>
        <w:rPr>
          <w:rFonts w:ascii="Arial" w:hAnsi="Arial" w:cs="Arial"/>
          <w:sz w:val="24"/>
          <w:szCs w:val="24"/>
          <w:lang w:val="es-ES"/>
        </w:rPr>
      </w:pPr>
      <w:r w:rsidRPr="00F30598">
        <w:rPr>
          <w:rFonts w:ascii="Arial" w:hAnsi="Arial" w:cs="Arial"/>
          <w:noProof/>
        </w:rPr>
        <w:drawing>
          <wp:inline distT="0" distB="0" distL="0" distR="0" wp14:anchorId="0A04EA79" wp14:editId="12F46C56">
            <wp:extent cx="5600700" cy="755650"/>
            <wp:effectExtent l="0" t="0" r="0" b="635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600700" cy="755650"/>
                    </a:xfrm>
                    <a:prstGeom prst="rect">
                      <a:avLst/>
                    </a:prstGeom>
                    <a:noFill/>
                    <a:ln>
                      <a:noFill/>
                    </a:ln>
                  </pic:spPr>
                </pic:pic>
              </a:graphicData>
            </a:graphic>
          </wp:inline>
        </w:drawing>
      </w:r>
    </w:p>
    <w:p w:rsidRPr="00F30598" w:rsidR="00E63B00" w:rsidP="006F53C9" w:rsidRDefault="00E63B00" w14:paraId="3189F091" w14:textId="77777777">
      <w:pPr>
        <w:spacing w:before="120" w:after="120" w:line="240" w:lineRule="auto"/>
        <w:rPr>
          <w:rFonts w:ascii="Arial" w:hAnsi="Arial" w:cs="Arial" w:eastAsiaTheme="majorEastAsia"/>
          <w:color w:val="2E74B5" w:themeColor="accent1" w:themeShade="BF"/>
          <w:sz w:val="32"/>
          <w:szCs w:val="32"/>
          <w:lang w:val="es-AR"/>
        </w:rPr>
      </w:pPr>
      <w:r w:rsidRPr="00F30598">
        <w:rPr>
          <w:rFonts w:ascii="Arial" w:hAnsi="Arial" w:cs="Arial"/>
        </w:rPr>
        <w:br w:type="page"/>
      </w:r>
    </w:p>
    <w:p w:rsidRPr="00AC6429" w:rsidR="00D03CB4" w:rsidP="006F53C9" w:rsidRDefault="00D03CB4" w14:paraId="424E8123" w14:textId="30972597">
      <w:pPr>
        <w:pStyle w:val="Heading1"/>
        <w:spacing w:before="120" w:after="120" w:line="240" w:lineRule="auto"/>
        <w:rPr>
          <w:rFonts w:ascii="Arial Bold" w:hAnsi="Arial Bold" w:cs="Arial"/>
          <w:b/>
          <w:bCs/>
          <w:smallCaps/>
          <w:sz w:val="24"/>
          <w:szCs w:val="24"/>
          <w:lang w:val="es-ES_tradnl"/>
        </w:rPr>
      </w:pPr>
      <w:bookmarkStart w:name="_Toc38020453" w:id="51"/>
      <w:bookmarkStart w:name="_Toc38020667" w:id="52"/>
      <w:r w:rsidRPr="00AC6429">
        <w:rPr>
          <w:rFonts w:ascii="Arial Bold" w:hAnsi="Arial Bold" w:cs="Arial"/>
          <w:b/>
          <w:bCs/>
          <w:smallCaps/>
          <w:sz w:val="24"/>
          <w:szCs w:val="24"/>
          <w:lang w:val="es-ES_tradnl"/>
        </w:rPr>
        <w:lastRenderedPageBreak/>
        <w:t>EFECTO GENERAL EN MORTALIDAD Y MORBILIDAD</w:t>
      </w:r>
      <w:bookmarkEnd w:id="51"/>
      <w:bookmarkEnd w:id="52"/>
    </w:p>
    <w:p w:rsidRPr="00F30598" w:rsidR="00D03CB4" w:rsidP="006F53C9" w:rsidRDefault="00D03CB4" w14:paraId="58BCF10F" w14:textId="77777777">
      <w:pPr>
        <w:spacing w:before="120" w:after="120" w:line="240" w:lineRule="auto"/>
        <w:jc w:val="both"/>
        <w:rPr>
          <w:rFonts w:ascii="Arial" w:hAnsi="Arial" w:cs="Arial"/>
          <w:sz w:val="24"/>
          <w:szCs w:val="24"/>
          <w:lang w:val="es-ES"/>
        </w:rPr>
      </w:pPr>
      <w:r w:rsidRPr="00F30598">
        <w:rPr>
          <w:rFonts w:ascii="Arial" w:hAnsi="Arial" w:cs="Arial"/>
          <w:sz w:val="24"/>
          <w:szCs w:val="24"/>
          <w:lang w:val="es-ES"/>
        </w:rPr>
        <w:t>Todas las intervenciones analizadas anteriormente tienen por objetivo preservar los niveles de capital humano (y producto futuro) ante un escenario en el cual la pandemia requiere de una serie de políticas integrales entre las que se encuentra el distanciamiento social. Por lo tanto, toda vez que las intervenciones, al preservar los niveles de consumo hacen viable el distanciamiento social, tienen también un efecto indirecto sobre la evolución de la pandemia. Está fuera del alcance de este estudio estimar los efectos económicos de las medidas de distanciamiento, sin embargo, dado que la motivación de las medidas propuestas obedece a la coyuntura particular generada por la pandemia, a continuación, se presenta un ejercicio para ilustrar la magnitud de la dinámica que se pretende evitar.</w:t>
      </w:r>
    </w:p>
    <w:p w:rsidRPr="00F30598" w:rsidR="00D03CB4" w:rsidP="006F53C9" w:rsidRDefault="00D03CB4" w14:paraId="6378A204" w14:textId="77777777">
      <w:pPr>
        <w:spacing w:before="120" w:after="120" w:line="240" w:lineRule="auto"/>
        <w:jc w:val="both"/>
        <w:rPr>
          <w:rFonts w:ascii="Arial" w:hAnsi="Arial" w:cs="Arial"/>
          <w:sz w:val="24"/>
          <w:szCs w:val="24"/>
          <w:lang w:val="es-ES"/>
        </w:rPr>
      </w:pPr>
      <w:r w:rsidRPr="00F30598">
        <w:rPr>
          <w:rFonts w:ascii="Arial" w:hAnsi="Arial" w:cs="Arial"/>
          <w:sz w:val="24"/>
          <w:szCs w:val="24"/>
          <w:lang w:val="es-ES"/>
        </w:rPr>
        <w:t>Dado que un menor aislamiento social implica una reproducción más rápida de la infección, el ejercicio propuesto plantea tres escenarios en los cuales los números de reproducción efectivos del modelo SIR, alcanzados como resultado de las medidas de política integrales, se incrementan en distintos porcentajes respecto de un escenario base (10%, 20% y 30% respectivamente).</w:t>
      </w:r>
    </w:p>
    <w:p w:rsidRPr="00F30598" w:rsidR="00D03CB4" w:rsidP="006F53C9" w:rsidRDefault="00D03CB4" w14:paraId="25EC5DEE" w14:textId="77777777">
      <w:pPr>
        <w:spacing w:before="120" w:after="120" w:line="240" w:lineRule="auto"/>
        <w:jc w:val="both"/>
        <w:rPr>
          <w:rFonts w:ascii="Arial" w:hAnsi="Arial" w:cs="Arial"/>
          <w:sz w:val="24"/>
          <w:szCs w:val="24"/>
          <w:lang w:val="es-ES"/>
        </w:rPr>
      </w:pPr>
      <w:r w:rsidRPr="00F30598">
        <w:rPr>
          <w:rFonts w:ascii="Arial" w:hAnsi="Arial" w:cs="Arial"/>
          <w:sz w:val="24"/>
          <w:szCs w:val="24"/>
          <w:lang w:val="es-ES"/>
        </w:rPr>
        <w:t xml:space="preserve">Tal cual se deduce de la descripción del modelo presentado anteriormente, cambios en la cantidad de infectados y población susceptible en circulación afectan el número de reproducción a través de la tasa de contactos. Por lo tanto, los distintos escenarios reflejan diversos resultados de las políticas sobre la tasa de contactos entre individuos la cual impacta a su vez en el número de reproducción efectivo de la infección. Si bien no estamos en condiciones de estimar el efecto concreto en el número de reproducción por retirar de la interacción a un individuo susceptible o infectado, en el siguiente ejercicio, los distintos escenarios permiten una aproximación al potencial de las intervenciones. </w:t>
      </w:r>
    </w:p>
    <w:p w:rsidRPr="00F30598" w:rsidR="00D03CB4" w:rsidP="006F53C9" w:rsidRDefault="00D03CB4" w14:paraId="77DC2B34" w14:textId="77777777">
      <w:pPr>
        <w:spacing w:before="120" w:after="120" w:line="240" w:lineRule="auto"/>
        <w:jc w:val="both"/>
        <w:rPr>
          <w:rFonts w:ascii="Arial" w:hAnsi="Arial" w:cs="Arial"/>
          <w:sz w:val="24"/>
          <w:szCs w:val="24"/>
          <w:lang w:val="es-ES"/>
        </w:rPr>
      </w:pPr>
      <w:r w:rsidRPr="00F30598">
        <w:rPr>
          <w:rFonts w:ascii="Arial" w:hAnsi="Arial" w:cs="Arial"/>
          <w:sz w:val="24"/>
          <w:szCs w:val="24"/>
          <w:lang w:val="es-ES"/>
        </w:rPr>
        <w:t>En el escenario base, el número de reproducción efectivo post intervención es igual a 1,12 lo que implica una reducción del 50% respecto del número de reproducción original estimado para Wuhan. Este escenario es considerado factible a partir del comportamiento de epidemias anteriores y de las proyecciones realizadas en relación con la expansión de la pandemia del COVID-19</w:t>
      </w:r>
      <w:r w:rsidRPr="00F30598">
        <w:rPr>
          <w:rStyle w:val="FootnoteReference"/>
          <w:rFonts w:ascii="Arial" w:hAnsi="Arial" w:cs="Arial"/>
          <w:sz w:val="24"/>
          <w:szCs w:val="24"/>
        </w:rPr>
        <w:footnoteReference w:id="34"/>
      </w:r>
      <w:r w:rsidRPr="00F30598">
        <w:rPr>
          <w:rFonts w:ascii="Arial" w:hAnsi="Arial" w:cs="Arial"/>
          <w:sz w:val="24"/>
          <w:szCs w:val="24"/>
          <w:lang w:val="es-ES"/>
        </w:rPr>
        <w:t xml:space="preserve">. En los cuadros a continuación se estima el costo en términos de mortalidad y morbilidad del escenario base, los tres escenarios alternativos y el escenario contrafactual sin tratamiento en el cual no tiene lugar la reducción del número de reproducción. El beneficio de cada uno de los escenarios de tratamiento está dado por la disminución de costos de mortalidad y morbilidad respecto del escenario contrafactual. Los costos están dados por el costo de la intervención. Cabe destacar que estos costos consideran solamente los costos del paquete de intervenciones recomendadas por la Organización Mundial de la Salud (WHO 2020). No se consideran otros costos, particularmente los asociados a la reducción de la actividad económica asociada a las medidas de aislamiento social. Tampoco se intentan cuantificar otros beneficios que pudieran generarse por la disminución de la tasa de crecimiento de los infectados, entre ellos los vinculados a la saturación del sistema de salud o a </w:t>
      </w:r>
      <w:r w:rsidRPr="00F30598">
        <w:rPr>
          <w:rFonts w:ascii="Arial" w:hAnsi="Arial" w:cs="Arial"/>
          <w:sz w:val="24"/>
          <w:szCs w:val="24"/>
          <w:lang w:val="es-ES"/>
        </w:rPr>
        <w:lastRenderedPageBreak/>
        <w:t>aquellos que son consecuencia de evitar cambios en el comportamiento de empresas o personas.</w:t>
      </w:r>
    </w:p>
    <w:p w:rsidRPr="00F30598" w:rsidR="00D03CB4" w:rsidP="006F53C9" w:rsidRDefault="00D03CB4" w14:paraId="54726F7D" w14:textId="77777777">
      <w:pPr>
        <w:spacing w:before="120" w:after="120" w:line="240" w:lineRule="auto"/>
        <w:jc w:val="both"/>
        <w:rPr>
          <w:rFonts w:ascii="Arial" w:hAnsi="Arial" w:cs="Arial"/>
          <w:sz w:val="24"/>
          <w:szCs w:val="24"/>
          <w:lang w:val="es-ES"/>
        </w:rPr>
      </w:pPr>
      <w:r w:rsidRPr="00F30598">
        <w:rPr>
          <w:rFonts w:ascii="Arial" w:hAnsi="Arial" w:cs="Arial"/>
          <w:sz w:val="24"/>
          <w:szCs w:val="24"/>
          <w:lang w:val="es-ES"/>
        </w:rPr>
        <w:t>Los siguientes cuadros resumen los resultados para los distintos escenarios. Como puede observarse, cambios proporcionalmente menores en el número de reproducción tienen como consecuencia aumentos considerables en la cantidad de infectados y fallecidos. Esos efectos se trasladan a los costos en términos de pérdida de productividad como consecuencia de las tasas de morbilidad y mortalidad. El VAN se reduce en los escenarios donde el número de reproducción es mayor. Dado que uno de sus determinantes es la tasa de contacto, las políticas analizadas en este documento, al favorecer las condiciones en que los hogares pueden sostener parcialmente su nivel de consumo a pesar de implementar medidas de aislamiento social, hacen que estas sean más factibles. De esta manera, favorecen la disminución de los costos asociados a la mortalidad y morbilidad del COVID-19.</w:t>
      </w:r>
    </w:p>
    <w:p w:rsidRPr="00F30598" w:rsidR="00D03CB4" w:rsidP="006F53C9" w:rsidRDefault="00D03CB4" w14:paraId="452BE327" w14:textId="66289C13">
      <w:pPr>
        <w:pStyle w:val="Caption"/>
        <w:keepNext/>
        <w:spacing w:before="120" w:after="120"/>
        <w:rPr>
          <w:rFonts w:ascii="Arial" w:hAnsi="Arial" w:cs="Arial"/>
          <w:sz w:val="24"/>
          <w:szCs w:val="24"/>
        </w:rPr>
      </w:pPr>
      <w:r w:rsidRPr="00F30598">
        <w:rPr>
          <w:rFonts w:ascii="Arial" w:hAnsi="Arial" w:cs="Arial"/>
          <w:sz w:val="24"/>
          <w:szCs w:val="24"/>
        </w:rPr>
        <w:t xml:space="preserve">Cuadro </w:t>
      </w:r>
      <w:r w:rsidRPr="00F30598">
        <w:rPr>
          <w:rFonts w:ascii="Arial" w:hAnsi="Arial" w:cs="Arial"/>
          <w:sz w:val="24"/>
          <w:szCs w:val="24"/>
        </w:rPr>
        <w:fldChar w:fldCharType="begin"/>
      </w:r>
      <w:r w:rsidRPr="00F30598">
        <w:rPr>
          <w:rFonts w:ascii="Arial" w:hAnsi="Arial" w:cs="Arial"/>
          <w:sz w:val="24"/>
          <w:szCs w:val="24"/>
        </w:rPr>
        <w:instrText xml:space="preserve"> SEQ Cuadro \* ARABIC </w:instrText>
      </w:r>
      <w:r w:rsidRPr="00F30598">
        <w:rPr>
          <w:rFonts w:ascii="Arial" w:hAnsi="Arial" w:cs="Arial"/>
          <w:sz w:val="24"/>
          <w:szCs w:val="24"/>
        </w:rPr>
        <w:fldChar w:fldCharType="separate"/>
      </w:r>
      <w:r w:rsidRPr="00F30598" w:rsidR="00ED2BD4">
        <w:rPr>
          <w:rFonts w:ascii="Arial" w:hAnsi="Arial" w:cs="Arial"/>
          <w:noProof/>
          <w:sz w:val="24"/>
          <w:szCs w:val="24"/>
        </w:rPr>
        <w:t>32</w:t>
      </w:r>
      <w:r w:rsidRPr="00F30598">
        <w:rPr>
          <w:rFonts w:ascii="Arial" w:hAnsi="Arial" w:cs="Arial"/>
          <w:sz w:val="24"/>
          <w:szCs w:val="24"/>
        </w:rPr>
        <w:fldChar w:fldCharType="end"/>
      </w:r>
      <w:r w:rsidRPr="00F30598" w:rsidR="00AC5626">
        <w:rPr>
          <w:rFonts w:ascii="Arial" w:hAnsi="Arial" w:cs="Arial"/>
          <w:sz w:val="24"/>
          <w:szCs w:val="24"/>
        </w:rPr>
        <w:t>: Resultados en mortalidad y morbilidad</w:t>
      </w:r>
    </w:p>
    <w:p w:rsidRPr="00F30598" w:rsidR="00D03CB4" w:rsidP="006F53C9" w:rsidRDefault="00AC0B69" w14:paraId="3FB639B7" w14:textId="6C782ACD">
      <w:pPr>
        <w:spacing w:before="120" w:after="120" w:line="240" w:lineRule="auto"/>
        <w:rPr>
          <w:rFonts w:ascii="Arial" w:hAnsi="Arial" w:cs="Arial"/>
          <w:sz w:val="24"/>
          <w:szCs w:val="24"/>
        </w:rPr>
      </w:pPr>
      <w:r>
        <w:rPr>
          <w:noProof/>
        </w:rPr>
        <w:drawing>
          <wp:inline distT="0" distB="0" distL="0" distR="0" wp14:anchorId="590EDAFB" wp14:editId="428D91CE">
            <wp:extent cx="5612130" cy="1828165"/>
            <wp:effectExtent l="0" t="0" r="7620" b="635"/>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5612130" cy="1828165"/>
                    </a:xfrm>
                    <a:prstGeom prst="rect">
                      <a:avLst/>
                    </a:prstGeom>
                    <a:noFill/>
                    <a:ln>
                      <a:noFill/>
                    </a:ln>
                  </pic:spPr>
                </pic:pic>
              </a:graphicData>
            </a:graphic>
          </wp:inline>
        </w:drawing>
      </w:r>
    </w:p>
    <w:p w:rsidRPr="00F30598" w:rsidR="00D03CB4" w:rsidP="006F53C9" w:rsidRDefault="00D03CB4" w14:paraId="4CD1068F" w14:textId="77777777">
      <w:pPr>
        <w:spacing w:before="120" w:after="120" w:line="240" w:lineRule="auto"/>
        <w:rPr>
          <w:rFonts w:ascii="Arial" w:hAnsi="Arial" w:cs="Arial"/>
          <w:sz w:val="24"/>
          <w:szCs w:val="24"/>
        </w:rPr>
      </w:pPr>
    </w:p>
    <w:p w:rsidRPr="00F30598" w:rsidR="00D03CB4" w:rsidP="006F53C9" w:rsidRDefault="00D03CB4" w14:paraId="09F57711" w14:textId="3EF863C3">
      <w:pPr>
        <w:pStyle w:val="Caption"/>
        <w:keepNext/>
        <w:spacing w:before="120" w:after="120"/>
        <w:rPr>
          <w:rFonts w:ascii="Arial" w:hAnsi="Arial" w:cs="Arial"/>
          <w:sz w:val="24"/>
          <w:szCs w:val="24"/>
        </w:rPr>
      </w:pPr>
      <w:r w:rsidRPr="00F30598">
        <w:rPr>
          <w:rFonts w:ascii="Arial" w:hAnsi="Arial" w:cs="Arial"/>
          <w:sz w:val="24"/>
          <w:szCs w:val="24"/>
        </w:rPr>
        <w:t xml:space="preserve">Cuadro </w:t>
      </w:r>
      <w:r w:rsidRPr="00F30598">
        <w:rPr>
          <w:rFonts w:ascii="Arial" w:hAnsi="Arial" w:cs="Arial"/>
          <w:sz w:val="24"/>
          <w:szCs w:val="24"/>
        </w:rPr>
        <w:fldChar w:fldCharType="begin"/>
      </w:r>
      <w:r w:rsidRPr="00F30598">
        <w:rPr>
          <w:rFonts w:ascii="Arial" w:hAnsi="Arial" w:cs="Arial"/>
          <w:sz w:val="24"/>
          <w:szCs w:val="24"/>
        </w:rPr>
        <w:instrText xml:space="preserve"> SEQ Cuadro \* ARABIC </w:instrText>
      </w:r>
      <w:r w:rsidRPr="00F30598">
        <w:rPr>
          <w:rFonts w:ascii="Arial" w:hAnsi="Arial" w:cs="Arial"/>
          <w:sz w:val="24"/>
          <w:szCs w:val="24"/>
        </w:rPr>
        <w:fldChar w:fldCharType="separate"/>
      </w:r>
      <w:r w:rsidRPr="00F30598" w:rsidR="00ED2BD4">
        <w:rPr>
          <w:rFonts w:ascii="Arial" w:hAnsi="Arial" w:cs="Arial"/>
          <w:noProof/>
          <w:sz w:val="24"/>
          <w:szCs w:val="24"/>
        </w:rPr>
        <w:t>33</w:t>
      </w:r>
      <w:r w:rsidRPr="00F30598">
        <w:rPr>
          <w:rFonts w:ascii="Arial" w:hAnsi="Arial" w:cs="Arial"/>
          <w:noProof/>
          <w:sz w:val="24"/>
          <w:szCs w:val="24"/>
        </w:rPr>
        <w:fldChar w:fldCharType="end"/>
      </w:r>
      <w:r w:rsidRPr="00F30598" w:rsidR="00AC5626">
        <w:rPr>
          <w:rFonts w:ascii="Arial" w:hAnsi="Arial" w:cs="Arial"/>
          <w:noProof/>
          <w:sz w:val="24"/>
          <w:szCs w:val="24"/>
        </w:rPr>
        <w:t>: Valor Actual Neto y Ratio Beneficio: Costo</w:t>
      </w:r>
    </w:p>
    <w:p w:rsidRPr="00F30598" w:rsidR="00D03CB4" w:rsidP="006F53C9" w:rsidRDefault="00D03CB4" w14:paraId="28E575DC" w14:textId="77777777">
      <w:pPr>
        <w:spacing w:before="120" w:after="120" w:line="240" w:lineRule="auto"/>
        <w:rPr>
          <w:rFonts w:ascii="Arial" w:hAnsi="Arial" w:cs="Arial"/>
          <w:sz w:val="24"/>
          <w:szCs w:val="24"/>
        </w:rPr>
      </w:pPr>
      <w:r w:rsidRPr="00F30598">
        <w:rPr>
          <w:rFonts w:ascii="Arial" w:hAnsi="Arial" w:cs="Arial"/>
          <w:noProof/>
        </w:rPr>
        <w:drawing>
          <wp:inline distT="0" distB="0" distL="0" distR="0" wp14:anchorId="0030CA6D" wp14:editId="6AD26B99">
            <wp:extent cx="5400040" cy="789305"/>
            <wp:effectExtent l="0" t="0" r="0" b="0"/>
            <wp:docPr id="2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400040" cy="789305"/>
                    </a:xfrm>
                    <a:prstGeom prst="rect">
                      <a:avLst/>
                    </a:prstGeom>
                    <a:noFill/>
                    <a:ln>
                      <a:noFill/>
                    </a:ln>
                  </pic:spPr>
                </pic:pic>
              </a:graphicData>
            </a:graphic>
          </wp:inline>
        </w:drawing>
      </w:r>
    </w:p>
    <w:p w:rsidRPr="00F30598" w:rsidR="0089072B" w:rsidP="006F53C9" w:rsidRDefault="0089072B" w14:paraId="1E4BE106" w14:textId="77777777">
      <w:pPr>
        <w:spacing w:before="120" w:after="120" w:line="240" w:lineRule="auto"/>
        <w:rPr>
          <w:rFonts w:ascii="Arial" w:hAnsi="Arial" w:cs="Arial" w:eastAsiaTheme="majorEastAsia"/>
          <w:color w:val="2E74B5" w:themeColor="accent1" w:themeShade="BF"/>
          <w:sz w:val="32"/>
          <w:szCs w:val="32"/>
          <w:lang w:val="es-AR"/>
        </w:rPr>
      </w:pPr>
      <w:r w:rsidRPr="00F30598">
        <w:rPr>
          <w:rFonts w:ascii="Arial" w:hAnsi="Arial" w:cs="Arial"/>
        </w:rPr>
        <w:br w:type="page"/>
      </w:r>
    </w:p>
    <w:p w:rsidRPr="00F30598" w:rsidR="00F214E3" w:rsidP="006F53C9" w:rsidRDefault="00D03CB4" w14:paraId="1A6DD968" w14:textId="5F7B7532">
      <w:pPr>
        <w:pStyle w:val="Heading1"/>
        <w:spacing w:before="120" w:after="120" w:line="240" w:lineRule="auto"/>
        <w:rPr>
          <w:rFonts w:ascii="Arial" w:hAnsi="Arial" w:cs="Arial"/>
        </w:rPr>
      </w:pPr>
      <w:bookmarkStart w:name="_Toc38020454" w:id="53"/>
      <w:bookmarkStart w:name="_Toc38020668" w:id="54"/>
      <w:r w:rsidRPr="0002343C">
        <w:rPr>
          <w:rFonts w:ascii="Arial Bold" w:hAnsi="Arial Bold" w:cs="Arial"/>
          <w:b/>
          <w:bCs/>
          <w:smallCaps/>
          <w:sz w:val="24"/>
          <w:szCs w:val="24"/>
          <w:lang w:val="es-ES_tradnl"/>
        </w:rPr>
        <w:lastRenderedPageBreak/>
        <w:t>CONCLUSIONES</w:t>
      </w:r>
      <w:bookmarkEnd w:id="53"/>
      <w:bookmarkEnd w:id="54"/>
      <w:r w:rsidRPr="00F30598">
        <w:rPr>
          <w:rFonts w:ascii="Arial" w:hAnsi="Arial" w:cs="Arial"/>
        </w:rPr>
        <w:t xml:space="preserve"> </w:t>
      </w:r>
    </w:p>
    <w:p w:rsidRPr="00F30598" w:rsidR="0003339F" w:rsidP="006F53C9" w:rsidRDefault="00D03CB4" w14:paraId="2DE41D2C" w14:textId="0F598C18">
      <w:pPr>
        <w:spacing w:before="120" w:after="120" w:line="240" w:lineRule="auto"/>
        <w:jc w:val="both"/>
        <w:rPr>
          <w:rFonts w:ascii="Arial" w:hAnsi="Arial" w:cs="Arial"/>
          <w:sz w:val="24"/>
          <w:szCs w:val="24"/>
          <w:lang w:val="es-AR"/>
        </w:rPr>
      </w:pPr>
      <w:r w:rsidRPr="00F30598">
        <w:rPr>
          <w:rFonts w:ascii="Arial" w:hAnsi="Arial" w:cs="Arial"/>
          <w:sz w:val="24"/>
          <w:szCs w:val="24"/>
          <w:lang w:val="es-ES"/>
        </w:rPr>
        <w:t>En este documento se presentaron una serie de análisis económicos de las intervenciones</w:t>
      </w:r>
      <w:r w:rsidRPr="00F30598" w:rsidR="002A7C3D">
        <w:rPr>
          <w:rFonts w:ascii="Arial" w:hAnsi="Arial" w:cs="Arial"/>
          <w:sz w:val="24"/>
          <w:szCs w:val="24"/>
          <w:lang w:val="es-ES"/>
        </w:rPr>
        <w:t xml:space="preserve"> </w:t>
      </w:r>
      <w:r w:rsidRPr="00F30598" w:rsidR="009C2F18">
        <w:rPr>
          <w:rFonts w:ascii="Arial" w:hAnsi="Arial" w:cs="Arial"/>
          <w:sz w:val="24"/>
          <w:szCs w:val="24"/>
          <w:lang w:val="es-ES"/>
        </w:rPr>
        <w:t>contempladas en el marco de la operación “APOYO A POBLACIONES VULNERABLES AFECTADAS POR CORONAVIRUS”.</w:t>
      </w:r>
      <w:r w:rsidRPr="00F30598">
        <w:rPr>
          <w:rFonts w:ascii="Arial" w:hAnsi="Arial" w:cs="Arial"/>
          <w:sz w:val="24"/>
          <w:szCs w:val="24"/>
          <w:lang w:val="es-ES"/>
        </w:rPr>
        <w:t xml:space="preserve"> En todos los casos se ha aplicado una metodología de Análisis Costo Beneficio.</w:t>
      </w:r>
      <w:r w:rsidRPr="00F30598" w:rsidR="00AA13CD">
        <w:rPr>
          <w:rFonts w:ascii="Arial" w:hAnsi="Arial" w:cs="Arial"/>
          <w:sz w:val="24"/>
          <w:szCs w:val="24"/>
          <w:lang w:val="es-ES"/>
        </w:rPr>
        <w:t xml:space="preserve"> Las intervenciones de política estudiadas generan beneficios a través de dos canales: el efecto de las transferencias sobre el capital humano y el efecto multiplicador del gasto de las familias beneficiarias en la economía.</w:t>
      </w:r>
      <w:r w:rsidRPr="00F30598" w:rsidR="009C2F18">
        <w:rPr>
          <w:rFonts w:ascii="Arial" w:hAnsi="Arial" w:cs="Arial"/>
          <w:sz w:val="24"/>
          <w:szCs w:val="24"/>
          <w:lang w:val="es-ES"/>
        </w:rPr>
        <w:t xml:space="preserve"> Los resultados se resumen en el </w:t>
      </w:r>
      <w:r w:rsidRPr="00F30598" w:rsidR="009C2F18">
        <w:rPr>
          <w:rFonts w:ascii="Arial" w:hAnsi="Arial" w:cs="Arial"/>
          <w:sz w:val="24"/>
          <w:szCs w:val="24"/>
          <w:lang w:val="es-ES"/>
        </w:rPr>
        <w:fldChar w:fldCharType="begin"/>
      </w:r>
      <w:r w:rsidRPr="00F30598" w:rsidR="009C2F18">
        <w:rPr>
          <w:rFonts w:ascii="Arial" w:hAnsi="Arial" w:cs="Arial"/>
          <w:sz w:val="24"/>
          <w:szCs w:val="24"/>
          <w:lang w:val="es-ES"/>
        </w:rPr>
        <w:instrText xml:space="preserve"> REF _Ref37320338 \h </w:instrText>
      </w:r>
      <w:r w:rsidRPr="00F30598" w:rsidR="008C0CC4">
        <w:rPr>
          <w:rFonts w:ascii="Arial" w:hAnsi="Arial" w:cs="Arial"/>
          <w:sz w:val="24"/>
          <w:szCs w:val="24"/>
          <w:lang w:val="es-ES"/>
        </w:rPr>
        <w:instrText xml:space="preserve"> \* MERGEFORMAT </w:instrText>
      </w:r>
      <w:r w:rsidRPr="00F30598" w:rsidR="009C2F18">
        <w:rPr>
          <w:rFonts w:ascii="Arial" w:hAnsi="Arial" w:cs="Arial"/>
          <w:sz w:val="24"/>
          <w:szCs w:val="24"/>
          <w:lang w:val="es-ES"/>
        </w:rPr>
      </w:r>
      <w:r w:rsidRPr="00F30598" w:rsidR="009C2F18">
        <w:rPr>
          <w:rFonts w:ascii="Arial" w:hAnsi="Arial" w:cs="Arial"/>
          <w:sz w:val="24"/>
          <w:szCs w:val="24"/>
          <w:lang w:val="es-ES"/>
        </w:rPr>
        <w:fldChar w:fldCharType="separate"/>
      </w:r>
      <w:r w:rsidRPr="00F30598" w:rsidR="00ED2BD4">
        <w:rPr>
          <w:rFonts w:ascii="Arial" w:hAnsi="Arial" w:cs="Arial"/>
          <w:sz w:val="24"/>
          <w:szCs w:val="24"/>
          <w:lang w:val="es-AR"/>
        </w:rPr>
        <w:t xml:space="preserve">Cuadro </w:t>
      </w:r>
      <w:r w:rsidRPr="00F30598" w:rsidR="00ED2BD4">
        <w:rPr>
          <w:rFonts w:ascii="Arial" w:hAnsi="Arial" w:cs="Arial"/>
          <w:noProof/>
          <w:sz w:val="24"/>
          <w:szCs w:val="24"/>
          <w:lang w:val="es-AR"/>
        </w:rPr>
        <w:t>34</w:t>
      </w:r>
      <w:r w:rsidRPr="00F30598" w:rsidR="009C2F18">
        <w:rPr>
          <w:rFonts w:ascii="Arial" w:hAnsi="Arial" w:cs="Arial"/>
          <w:sz w:val="24"/>
          <w:szCs w:val="24"/>
          <w:lang w:val="es-ES"/>
        </w:rPr>
        <w:fldChar w:fldCharType="end"/>
      </w:r>
      <w:r w:rsidRPr="00F30598" w:rsidR="009C2F18">
        <w:rPr>
          <w:rFonts w:ascii="Arial" w:hAnsi="Arial" w:cs="Arial"/>
          <w:sz w:val="24"/>
          <w:szCs w:val="24"/>
          <w:lang w:val="es-ES"/>
        </w:rPr>
        <w:t>.</w:t>
      </w:r>
      <w:r w:rsidRPr="00F30598" w:rsidR="00AA13CD">
        <w:rPr>
          <w:rFonts w:ascii="Arial" w:hAnsi="Arial" w:cs="Arial"/>
          <w:sz w:val="24"/>
          <w:szCs w:val="24"/>
          <w:lang w:val="es-ES"/>
        </w:rPr>
        <w:t xml:space="preserve"> En todos los casos las intervenciones muestran un Valor Actual Neto positivo bajo el escenario de una tasa de descuento del 5%.</w:t>
      </w:r>
      <w:r w:rsidRPr="00F30598" w:rsidR="00AA1C5B">
        <w:rPr>
          <w:rFonts w:ascii="Arial" w:hAnsi="Arial" w:cs="Arial"/>
          <w:sz w:val="24"/>
          <w:szCs w:val="24"/>
          <w:lang w:val="es-ES"/>
        </w:rPr>
        <w:t xml:space="preserve"> El VAN de</w:t>
      </w:r>
      <w:r w:rsidRPr="00F30598" w:rsidR="003B4EDC">
        <w:rPr>
          <w:rFonts w:ascii="Arial" w:hAnsi="Arial" w:cs="Arial"/>
          <w:sz w:val="24"/>
          <w:szCs w:val="24"/>
          <w:lang w:val="es-ES"/>
        </w:rPr>
        <w:t xml:space="preserve"> la intervención analizada para el Componente 1 </w:t>
      </w:r>
      <w:r w:rsidRPr="00F30598" w:rsidR="006946AF">
        <w:rPr>
          <w:rFonts w:ascii="Arial" w:hAnsi="Arial" w:cs="Arial"/>
          <w:sz w:val="24"/>
          <w:szCs w:val="24"/>
          <w:lang w:val="es-ES"/>
        </w:rPr>
        <w:t>(</w:t>
      </w:r>
      <w:r w:rsidRPr="00F30598" w:rsidR="006946AF">
        <w:rPr>
          <w:rFonts w:ascii="Arial" w:hAnsi="Arial" w:cs="Arial"/>
          <w:sz w:val="24"/>
          <w:szCs w:val="24"/>
          <w:lang w:val="es-AR"/>
        </w:rPr>
        <w:t>Transferencias a familiares de infectados en situación de vulnerabilidad</w:t>
      </w:r>
      <w:r w:rsidRPr="00F30598" w:rsidR="006946AF">
        <w:rPr>
          <w:rFonts w:ascii="Arial" w:hAnsi="Arial" w:cs="Arial"/>
          <w:sz w:val="24"/>
          <w:szCs w:val="24"/>
          <w:lang w:val="es-ES"/>
        </w:rPr>
        <w:t xml:space="preserve">) </w:t>
      </w:r>
      <w:r w:rsidRPr="00F30598" w:rsidR="003B4EDC">
        <w:rPr>
          <w:rFonts w:ascii="Arial" w:hAnsi="Arial" w:cs="Arial"/>
          <w:sz w:val="24"/>
          <w:szCs w:val="24"/>
          <w:lang w:val="es-ES"/>
        </w:rPr>
        <w:t xml:space="preserve">alcanza los </w:t>
      </w:r>
      <w:r w:rsidRPr="00F30598" w:rsidR="53F5060A">
        <w:rPr>
          <w:rFonts w:ascii="Arial" w:hAnsi="Arial" w:cs="Arial"/>
          <w:sz w:val="24"/>
          <w:szCs w:val="24"/>
          <w:lang w:val="es-ES"/>
        </w:rPr>
        <w:t>USD</w:t>
      </w:r>
      <w:r w:rsidRPr="00F30598" w:rsidR="00A26B57">
        <w:rPr>
          <w:rFonts w:ascii="Arial" w:hAnsi="Arial" w:cs="Arial"/>
          <w:sz w:val="24"/>
          <w:szCs w:val="24"/>
          <w:lang w:val="es-ES"/>
        </w:rPr>
        <w:t>3,5 millones</w:t>
      </w:r>
      <w:r w:rsidRPr="00F30598" w:rsidR="00AA1C5B">
        <w:rPr>
          <w:rStyle w:val="FootnoteReference"/>
          <w:rFonts w:ascii="Arial" w:hAnsi="Arial" w:cs="Arial"/>
          <w:sz w:val="24"/>
          <w:szCs w:val="24"/>
          <w:lang w:val="es-ES"/>
        </w:rPr>
        <w:footnoteReference w:id="35"/>
      </w:r>
      <w:r w:rsidRPr="00F30598" w:rsidR="006946AF">
        <w:rPr>
          <w:rFonts w:ascii="Arial" w:hAnsi="Arial" w:cs="Arial"/>
          <w:sz w:val="24"/>
          <w:szCs w:val="24"/>
          <w:lang w:val="es-ES"/>
        </w:rPr>
        <w:t>. La intervención analizada para el Componente 2 (</w:t>
      </w:r>
      <w:r w:rsidRPr="00F30598" w:rsidR="006946AF">
        <w:rPr>
          <w:rFonts w:ascii="Arial" w:hAnsi="Arial" w:cs="Arial"/>
          <w:sz w:val="24"/>
          <w:szCs w:val="24"/>
          <w:lang w:val="es-AR"/>
        </w:rPr>
        <w:t>Transferencias a población identificada previamente como vulnerable)</w:t>
      </w:r>
      <w:r w:rsidRPr="00F30598" w:rsidR="006946AF">
        <w:rPr>
          <w:rFonts w:ascii="Arial" w:hAnsi="Arial" w:cs="Arial"/>
          <w:sz w:val="24"/>
          <w:szCs w:val="24"/>
          <w:lang w:val="es-ES"/>
        </w:rPr>
        <w:t xml:space="preserve"> alcanza un VAN de </w:t>
      </w:r>
      <w:r w:rsidRPr="00F30598" w:rsidR="70365501">
        <w:rPr>
          <w:rFonts w:ascii="Arial" w:hAnsi="Arial" w:cs="Arial"/>
          <w:sz w:val="24"/>
          <w:szCs w:val="24"/>
          <w:lang w:val="es-ES"/>
        </w:rPr>
        <w:t>USD</w:t>
      </w:r>
      <w:r w:rsidRPr="00F30598" w:rsidR="00A26B57">
        <w:rPr>
          <w:rFonts w:ascii="Arial" w:hAnsi="Arial" w:cs="Arial"/>
          <w:sz w:val="24"/>
          <w:szCs w:val="24"/>
          <w:lang w:val="es-ES"/>
        </w:rPr>
        <w:t>32 millones</w:t>
      </w:r>
      <w:r w:rsidRPr="00F30598" w:rsidR="006946AF">
        <w:rPr>
          <w:rFonts w:ascii="Arial" w:hAnsi="Arial" w:cs="Arial"/>
          <w:sz w:val="24"/>
          <w:szCs w:val="24"/>
          <w:lang w:val="es-ES"/>
        </w:rPr>
        <w:t>. En este caso los beneficios se generan íntegramente a través del efecto multiplicador y el “</w:t>
      </w:r>
      <w:r w:rsidRPr="00F30598" w:rsidR="006E5D5B">
        <w:rPr>
          <w:rFonts w:ascii="Arial" w:hAnsi="Arial" w:cs="Arial"/>
          <w:sz w:val="24"/>
          <w:szCs w:val="24"/>
          <w:lang w:val="es-ES"/>
        </w:rPr>
        <w:t>suavización del consumo</w:t>
      </w:r>
      <w:r w:rsidRPr="00F30598" w:rsidR="006946AF">
        <w:rPr>
          <w:rFonts w:ascii="Arial" w:hAnsi="Arial" w:cs="Arial"/>
          <w:sz w:val="24"/>
          <w:szCs w:val="24"/>
          <w:lang w:val="es-ES"/>
        </w:rPr>
        <w:t xml:space="preserve">”. Para el Componente 3 se analizaron dos intervenciones. La primera, </w:t>
      </w:r>
      <w:r w:rsidRPr="00F30598" w:rsidR="006946AF">
        <w:rPr>
          <w:rFonts w:ascii="Arial" w:hAnsi="Arial" w:cs="Arial"/>
          <w:sz w:val="24"/>
          <w:szCs w:val="24"/>
          <w:lang w:val="es-AR"/>
        </w:rPr>
        <w:t xml:space="preserve">transferencias a población vulnerable que no era beneficiaria de programas preexistentes, tiene un VAN de </w:t>
      </w:r>
      <w:r w:rsidRPr="00F30598" w:rsidR="01F6EA2B">
        <w:rPr>
          <w:rFonts w:ascii="Arial" w:hAnsi="Arial" w:cs="Arial"/>
          <w:sz w:val="24"/>
          <w:szCs w:val="24"/>
          <w:lang w:val="es-AR"/>
        </w:rPr>
        <w:t>USD</w:t>
      </w:r>
      <w:r w:rsidRPr="00F30598" w:rsidR="009C2F18">
        <w:rPr>
          <w:rFonts w:ascii="Arial" w:hAnsi="Arial" w:cs="Arial"/>
          <w:sz w:val="24"/>
          <w:szCs w:val="24"/>
          <w:lang w:val="es-AR"/>
        </w:rPr>
        <w:t>129</w:t>
      </w:r>
      <w:r w:rsidRPr="00F30598" w:rsidR="00A26B57">
        <w:rPr>
          <w:rFonts w:ascii="Arial" w:hAnsi="Arial" w:cs="Arial"/>
          <w:sz w:val="24"/>
          <w:szCs w:val="24"/>
          <w:lang w:val="es-AR"/>
        </w:rPr>
        <w:t xml:space="preserve"> millones de dólares</w:t>
      </w:r>
      <w:r w:rsidRPr="00F30598" w:rsidR="006946AF">
        <w:rPr>
          <w:rFonts w:ascii="Arial" w:hAnsi="Arial" w:cs="Arial"/>
          <w:sz w:val="24"/>
          <w:szCs w:val="24"/>
          <w:lang w:val="es-AR"/>
        </w:rPr>
        <w:t xml:space="preserve"> y sus </w:t>
      </w:r>
      <w:r w:rsidRPr="00F30598" w:rsidR="006946AF">
        <w:rPr>
          <w:rFonts w:ascii="Arial" w:hAnsi="Arial" w:cs="Arial"/>
          <w:sz w:val="24"/>
          <w:szCs w:val="24"/>
          <w:lang w:val="es-ES"/>
        </w:rPr>
        <w:t>beneficios también se generan íntegramente a través del efecto multiplicador y el</w:t>
      </w:r>
      <w:r w:rsidRPr="00F30598" w:rsidR="009C2F18">
        <w:rPr>
          <w:rFonts w:ascii="Arial" w:hAnsi="Arial" w:cs="Arial"/>
          <w:sz w:val="24"/>
          <w:szCs w:val="24"/>
          <w:lang w:val="es-ES"/>
        </w:rPr>
        <w:t xml:space="preserve"> de</w:t>
      </w:r>
      <w:r w:rsidRPr="00F30598" w:rsidR="006946AF">
        <w:rPr>
          <w:rFonts w:ascii="Arial" w:hAnsi="Arial" w:cs="Arial"/>
          <w:sz w:val="24"/>
          <w:szCs w:val="24"/>
          <w:lang w:val="es-ES"/>
        </w:rPr>
        <w:t xml:space="preserve"> “</w:t>
      </w:r>
      <w:r w:rsidRPr="00F30598" w:rsidR="006E5D5B">
        <w:rPr>
          <w:rFonts w:ascii="Arial" w:hAnsi="Arial" w:cs="Arial"/>
          <w:sz w:val="24"/>
          <w:szCs w:val="24"/>
          <w:lang w:val="es-ES"/>
        </w:rPr>
        <w:t>suavización del consumo</w:t>
      </w:r>
      <w:r w:rsidRPr="00F30598" w:rsidR="006946AF">
        <w:rPr>
          <w:rFonts w:ascii="Arial" w:hAnsi="Arial" w:cs="Arial"/>
          <w:sz w:val="24"/>
          <w:szCs w:val="24"/>
          <w:lang w:val="es-ES"/>
        </w:rPr>
        <w:t xml:space="preserve">”. La segunda, </w:t>
      </w:r>
      <w:r w:rsidRPr="00F30598" w:rsidR="006946AF">
        <w:rPr>
          <w:rFonts w:ascii="Arial" w:hAnsi="Arial" w:cs="Arial"/>
          <w:sz w:val="24"/>
          <w:szCs w:val="24"/>
          <w:lang w:val="es-AR"/>
        </w:rPr>
        <w:t xml:space="preserve">Intervenciones </w:t>
      </w:r>
      <w:r w:rsidRPr="00F30598" w:rsidR="009C2F18">
        <w:rPr>
          <w:rFonts w:ascii="Arial" w:hAnsi="Arial" w:cs="Arial"/>
          <w:sz w:val="24"/>
          <w:szCs w:val="24"/>
          <w:lang w:val="es-AR"/>
        </w:rPr>
        <w:t>formación profesional del tipo</w:t>
      </w:r>
      <w:r w:rsidRPr="00F30598" w:rsidR="006946AF">
        <w:rPr>
          <w:rFonts w:ascii="Arial" w:hAnsi="Arial" w:cs="Arial"/>
          <w:sz w:val="24"/>
          <w:szCs w:val="24"/>
          <w:lang w:val="es-AR"/>
        </w:rPr>
        <w:t xml:space="preserve"> “Cash </w:t>
      </w:r>
      <w:proofErr w:type="spellStart"/>
      <w:r w:rsidRPr="00F30598" w:rsidR="006946AF">
        <w:rPr>
          <w:rFonts w:ascii="Arial" w:hAnsi="Arial" w:cs="Arial"/>
          <w:sz w:val="24"/>
          <w:szCs w:val="24"/>
          <w:lang w:val="es-AR"/>
        </w:rPr>
        <w:t>for</w:t>
      </w:r>
      <w:proofErr w:type="spellEnd"/>
      <w:r w:rsidRPr="00F30598" w:rsidR="006946AF">
        <w:rPr>
          <w:rFonts w:ascii="Arial" w:hAnsi="Arial" w:cs="Arial"/>
          <w:sz w:val="24"/>
          <w:szCs w:val="24"/>
          <w:lang w:val="es-AR"/>
        </w:rPr>
        <w:t xml:space="preserve"> Training” alcanza un VAN de </w:t>
      </w:r>
      <w:r w:rsidRPr="00F30598" w:rsidR="633F623B">
        <w:rPr>
          <w:rFonts w:ascii="Arial" w:hAnsi="Arial" w:cs="Arial"/>
          <w:sz w:val="24"/>
          <w:szCs w:val="24"/>
          <w:lang w:val="es-AR"/>
        </w:rPr>
        <w:t>USD</w:t>
      </w:r>
      <w:r w:rsidRPr="00F30598" w:rsidR="009C2F18">
        <w:rPr>
          <w:rFonts w:ascii="Arial" w:hAnsi="Arial" w:cs="Arial"/>
          <w:sz w:val="24"/>
          <w:szCs w:val="24"/>
          <w:lang w:val="es-AR"/>
        </w:rPr>
        <w:t>15</w:t>
      </w:r>
      <w:r w:rsidRPr="00F30598" w:rsidR="00A26B57">
        <w:rPr>
          <w:rFonts w:ascii="Arial" w:hAnsi="Arial" w:cs="Arial"/>
          <w:sz w:val="24"/>
          <w:szCs w:val="24"/>
          <w:lang w:val="es-AR"/>
        </w:rPr>
        <w:t xml:space="preserve"> millones</w:t>
      </w:r>
      <w:r w:rsidRPr="00F30598" w:rsidR="006946AF">
        <w:rPr>
          <w:rFonts w:ascii="Arial" w:hAnsi="Arial" w:cs="Arial"/>
          <w:sz w:val="24"/>
          <w:szCs w:val="24"/>
          <w:lang w:val="es-AR"/>
        </w:rPr>
        <w:t>. Para el Componente 4 (</w:t>
      </w:r>
      <w:r w:rsidRPr="00F30598" w:rsidR="006946AF">
        <w:rPr>
          <w:rFonts w:ascii="Arial" w:hAnsi="Arial" w:eastAsia="Times New Roman" w:cs="Arial"/>
          <w:sz w:val="24"/>
          <w:szCs w:val="24"/>
          <w:lang w:val="es-MX"/>
        </w:rPr>
        <w:t>Subsidios a empresas formales para mantener los niveles de empleo formal)</w:t>
      </w:r>
      <w:r w:rsidRPr="00F30598" w:rsidR="006946AF">
        <w:rPr>
          <w:rFonts w:ascii="Arial" w:hAnsi="Arial" w:cs="Arial"/>
          <w:sz w:val="24"/>
          <w:szCs w:val="24"/>
          <w:lang w:val="es-AR"/>
        </w:rPr>
        <w:t xml:space="preserve">, los efectos combinados del </w:t>
      </w:r>
      <w:r w:rsidRPr="00F30598" w:rsidR="006946AF">
        <w:rPr>
          <w:rFonts w:ascii="Arial" w:hAnsi="Arial" w:cs="Arial"/>
          <w:sz w:val="24"/>
          <w:szCs w:val="24"/>
          <w:lang w:val="es-ES"/>
        </w:rPr>
        <w:t>multiplicador, “</w:t>
      </w:r>
      <w:r w:rsidRPr="00F30598" w:rsidR="006E5D5B">
        <w:rPr>
          <w:rFonts w:ascii="Arial" w:hAnsi="Arial" w:cs="Arial"/>
          <w:sz w:val="24"/>
          <w:szCs w:val="24"/>
          <w:lang w:val="es-ES"/>
        </w:rPr>
        <w:t>suavización del consumo</w:t>
      </w:r>
      <w:r w:rsidRPr="00F30598" w:rsidR="006946AF">
        <w:rPr>
          <w:rFonts w:ascii="Arial" w:hAnsi="Arial" w:cs="Arial"/>
          <w:sz w:val="24"/>
          <w:szCs w:val="24"/>
          <w:lang w:val="es-ES"/>
        </w:rPr>
        <w:t>” y preservación de habilidades de capital humano generan un VAN de</w:t>
      </w:r>
      <w:r w:rsidRPr="00F30598" w:rsidR="0001337A">
        <w:rPr>
          <w:rFonts w:ascii="Arial" w:hAnsi="Arial" w:cs="Arial"/>
          <w:sz w:val="24"/>
          <w:szCs w:val="24"/>
          <w:lang w:val="es-ES"/>
        </w:rPr>
        <w:t xml:space="preserve"> </w:t>
      </w:r>
      <w:r w:rsidRPr="00F30598" w:rsidR="61BBEA3A">
        <w:rPr>
          <w:rFonts w:ascii="Arial" w:hAnsi="Arial" w:cs="Arial"/>
          <w:sz w:val="24"/>
          <w:szCs w:val="24"/>
          <w:lang w:val="es-ES"/>
        </w:rPr>
        <w:t>USD</w:t>
      </w:r>
      <w:r w:rsidRPr="00F30598" w:rsidR="009C2F18">
        <w:rPr>
          <w:rFonts w:ascii="Arial" w:hAnsi="Arial" w:cs="Arial"/>
          <w:sz w:val="24"/>
          <w:szCs w:val="24"/>
          <w:lang w:val="es-ES"/>
        </w:rPr>
        <w:t>225</w:t>
      </w:r>
      <w:r w:rsidRPr="00F30598" w:rsidR="0001337A">
        <w:rPr>
          <w:rFonts w:ascii="Arial" w:hAnsi="Arial" w:cs="Arial"/>
          <w:sz w:val="24"/>
          <w:szCs w:val="24"/>
          <w:lang w:val="es-ES"/>
        </w:rPr>
        <w:t xml:space="preserve"> millones</w:t>
      </w:r>
      <w:r w:rsidRPr="00F30598" w:rsidR="0001337A">
        <w:rPr>
          <w:rFonts w:ascii="Arial" w:hAnsi="Arial" w:cs="Arial"/>
          <w:sz w:val="24"/>
          <w:szCs w:val="24"/>
          <w:lang w:val="es-AR"/>
        </w:rPr>
        <w:t>.</w:t>
      </w:r>
      <w:r w:rsidRPr="00F30598" w:rsidR="006946AF">
        <w:rPr>
          <w:rFonts w:ascii="Arial" w:hAnsi="Arial" w:cs="Arial"/>
          <w:sz w:val="24"/>
          <w:szCs w:val="24"/>
          <w:lang w:val="es-AR"/>
        </w:rPr>
        <w:t xml:space="preserve"> Por último, la intervención analizada en el Componente 5 (m</w:t>
      </w:r>
      <w:proofErr w:type="spellStart"/>
      <w:r w:rsidRPr="00F30598" w:rsidR="006946AF">
        <w:rPr>
          <w:rFonts w:ascii="Arial" w:hAnsi="Arial" w:eastAsia="Times New Roman" w:cs="Arial"/>
          <w:sz w:val="24"/>
          <w:szCs w:val="24"/>
          <w:lang w:val="es-MX"/>
        </w:rPr>
        <w:t>itigación</w:t>
      </w:r>
      <w:proofErr w:type="spellEnd"/>
      <w:r w:rsidRPr="00F30598" w:rsidR="006946AF">
        <w:rPr>
          <w:rFonts w:ascii="Arial" w:hAnsi="Arial" w:eastAsia="Times New Roman" w:cs="Arial"/>
          <w:sz w:val="24"/>
          <w:szCs w:val="24"/>
          <w:lang w:val="es-MX"/>
        </w:rPr>
        <w:t xml:space="preserve"> de </w:t>
      </w:r>
      <w:r w:rsidRPr="00F30598" w:rsidR="006946AF">
        <w:rPr>
          <w:rFonts w:ascii="Arial" w:hAnsi="Arial" w:cs="Arial"/>
          <w:sz w:val="24"/>
          <w:szCs w:val="24"/>
          <w:lang w:val="es"/>
        </w:rPr>
        <w:t xml:space="preserve">los efectos del cierre de los centros educativos) genera un VAN de </w:t>
      </w:r>
      <w:r w:rsidRPr="00F30598" w:rsidR="5035F766">
        <w:rPr>
          <w:rFonts w:ascii="Arial" w:hAnsi="Arial" w:cs="Arial"/>
          <w:sz w:val="24"/>
          <w:szCs w:val="24"/>
          <w:lang w:val="es"/>
        </w:rPr>
        <w:t>USD</w:t>
      </w:r>
      <w:r w:rsidRPr="00F30598" w:rsidR="002513A0">
        <w:rPr>
          <w:rFonts w:ascii="Arial" w:hAnsi="Arial" w:cs="Arial"/>
          <w:sz w:val="24"/>
          <w:szCs w:val="24"/>
          <w:lang w:val="es"/>
        </w:rPr>
        <w:t>8</w:t>
      </w:r>
      <w:r w:rsidRPr="00F30598" w:rsidR="00FB5D9E">
        <w:rPr>
          <w:rFonts w:ascii="Arial" w:hAnsi="Arial" w:cs="Arial"/>
          <w:sz w:val="24"/>
          <w:szCs w:val="24"/>
          <w:lang w:val="es"/>
        </w:rPr>
        <w:t xml:space="preserve"> millones</w:t>
      </w:r>
      <w:r w:rsidRPr="00F30598" w:rsidR="002513A0">
        <w:rPr>
          <w:rFonts w:ascii="Arial" w:hAnsi="Arial" w:cs="Arial"/>
          <w:sz w:val="24"/>
          <w:szCs w:val="24"/>
          <w:lang w:val="es"/>
        </w:rPr>
        <w:t xml:space="preserve"> (para </w:t>
      </w:r>
      <w:r w:rsidRPr="00F30598" w:rsidR="009C2F18">
        <w:rPr>
          <w:rFonts w:ascii="Arial" w:hAnsi="Arial" w:cs="Arial"/>
          <w:sz w:val="24"/>
          <w:szCs w:val="24"/>
          <w:lang w:val="es"/>
        </w:rPr>
        <w:t>10</w:t>
      </w:r>
      <w:r w:rsidRPr="00F30598" w:rsidR="002513A0">
        <w:rPr>
          <w:rFonts w:ascii="Arial" w:hAnsi="Arial" w:cs="Arial"/>
          <w:sz w:val="24"/>
          <w:szCs w:val="24"/>
          <w:lang w:val="es"/>
        </w:rPr>
        <w:t>0.000 alumnos)</w:t>
      </w:r>
      <w:r w:rsidRPr="00F30598" w:rsidR="001826D0">
        <w:rPr>
          <w:rFonts w:ascii="Arial" w:hAnsi="Arial" w:cs="Arial"/>
          <w:sz w:val="24"/>
          <w:szCs w:val="24"/>
          <w:lang w:val="es"/>
        </w:rPr>
        <w:t xml:space="preserve">. </w:t>
      </w:r>
      <w:r w:rsidRPr="00F30598" w:rsidR="001826D0">
        <w:rPr>
          <w:rFonts w:ascii="Arial" w:hAnsi="Arial" w:cs="Arial"/>
          <w:sz w:val="24"/>
          <w:szCs w:val="24"/>
          <w:lang w:val="es-AR"/>
        </w:rPr>
        <w:t xml:space="preserve">Se llevó a cabo también para cada ejercicio un análisis de sensibilidad en el cual se modificaron la tasa de descuento y un parámetro que captura la efectividad de las intervenciones. Si bien los VAN son sensibles a estas modificaciones y se redujeron, </w:t>
      </w:r>
      <w:r w:rsidRPr="00F30598" w:rsidR="009C2F18">
        <w:rPr>
          <w:rFonts w:ascii="Arial" w:hAnsi="Arial" w:cs="Arial"/>
          <w:sz w:val="24"/>
          <w:szCs w:val="24"/>
          <w:lang w:val="es-AR"/>
        </w:rPr>
        <w:t>solamente en un</w:t>
      </w:r>
      <w:r w:rsidRPr="00F30598" w:rsidR="001826D0">
        <w:rPr>
          <w:rFonts w:ascii="Arial" w:hAnsi="Arial" w:cs="Arial"/>
          <w:sz w:val="24"/>
          <w:szCs w:val="24"/>
          <w:lang w:val="es-AR"/>
        </w:rPr>
        <w:t xml:space="preserve"> caso</w:t>
      </w:r>
      <w:r w:rsidRPr="00F30598" w:rsidR="009C2F18">
        <w:rPr>
          <w:rFonts w:ascii="Arial" w:hAnsi="Arial" w:cs="Arial"/>
          <w:sz w:val="24"/>
          <w:szCs w:val="24"/>
          <w:lang w:val="es-AR"/>
        </w:rPr>
        <w:t xml:space="preserve"> (bajo circunstancias de implementación improbables)</w:t>
      </w:r>
      <w:r w:rsidRPr="00F30598" w:rsidR="001826D0">
        <w:rPr>
          <w:rFonts w:ascii="Arial" w:hAnsi="Arial" w:cs="Arial"/>
          <w:sz w:val="24"/>
          <w:szCs w:val="24"/>
          <w:lang w:val="es-AR"/>
        </w:rPr>
        <w:t xml:space="preserve"> alcanzaron valores negativos</w:t>
      </w:r>
      <w:r w:rsidRPr="00F30598" w:rsidR="003F1D47">
        <w:rPr>
          <w:rFonts w:ascii="Arial" w:hAnsi="Arial" w:cs="Arial"/>
          <w:sz w:val="24"/>
          <w:szCs w:val="24"/>
          <w:lang w:val="es-AR"/>
        </w:rPr>
        <w:t>,</w:t>
      </w:r>
      <w:r w:rsidRPr="00F30598" w:rsidR="00D5732D">
        <w:rPr>
          <w:rFonts w:ascii="Arial" w:hAnsi="Arial" w:cs="Arial"/>
          <w:sz w:val="24"/>
          <w:szCs w:val="24"/>
          <w:lang w:val="es-AR"/>
        </w:rPr>
        <w:t xml:space="preserve"> lo que sugiere que todas las políticas analizadas son beneficiosas desde una perspectiva económica</w:t>
      </w:r>
      <w:r w:rsidRPr="00F30598" w:rsidR="000E76F8">
        <w:rPr>
          <w:rFonts w:ascii="Arial" w:hAnsi="Arial" w:cs="Arial"/>
          <w:sz w:val="24"/>
          <w:szCs w:val="24"/>
          <w:lang w:val="es-AR"/>
        </w:rPr>
        <w:t>.</w:t>
      </w:r>
      <w:r w:rsidRPr="00F30598" w:rsidR="006D4001">
        <w:rPr>
          <w:rFonts w:ascii="Arial" w:hAnsi="Arial" w:cs="Arial"/>
          <w:sz w:val="24"/>
          <w:szCs w:val="24"/>
          <w:lang w:val="es-AR"/>
        </w:rPr>
        <w:t xml:space="preserve"> </w:t>
      </w:r>
      <w:r w:rsidRPr="00F30598" w:rsidR="00E7787B">
        <w:rPr>
          <w:rFonts w:ascii="Arial" w:hAnsi="Arial" w:cs="Arial"/>
          <w:sz w:val="24"/>
          <w:szCs w:val="24"/>
          <w:lang w:val="es-AR"/>
        </w:rPr>
        <w:t>Se presenta el VAN total (</w:t>
      </w:r>
      <w:r w:rsidRPr="00F30598" w:rsidR="7AB91981">
        <w:rPr>
          <w:rFonts w:ascii="Arial" w:hAnsi="Arial" w:cs="Arial"/>
          <w:sz w:val="24"/>
          <w:szCs w:val="24"/>
          <w:lang w:val="es-AR"/>
        </w:rPr>
        <w:t>USD</w:t>
      </w:r>
      <w:r w:rsidRPr="00F30598" w:rsidR="00E7787B">
        <w:rPr>
          <w:rFonts w:ascii="Arial" w:hAnsi="Arial" w:cs="Arial"/>
          <w:sz w:val="24"/>
          <w:szCs w:val="24"/>
          <w:lang w:val="es-AR"/>
        </w:rPr>
        <w:t>472 millones) y un promedio ponderado de la TIRM (no se incluye la intervención asociada a familiares de infectados porque el valor en ese caso es muy alto por la estructura de los flujos positivos y negativos)</w:t>
      </w:r>
      <w:r w:rsidRPr="00F30598" w:rsidR="006D4001">
        <w:rPr>
          <w:rFonts w:ascii="Arial" w:hAnsi="Arial" w:cs="Arial"/>
          <w:sz w:val="24"/>
          <w:szCs w:val="24"/>
          <w:lang w:val="es-AR"/>
        </w:rPr>
        <w:t>.</w:t>
      </w:r>
      <w:r w:rsidRPr="00F30598" w:rsidR="00E7787B">
        <w:rPr>
          <w:rFonts w:ascii="Arial" w:hAnsi="Arial" w:cs="Arial"/>
          <w:sz w:val="24"/>
          <w:szCs w:val="24"/>
          <w:lang w:val="es-AR"/>
        </w:rPr>
        <w:t xml:space="preserve"> La TIRM promedio supera la tasa de descuento. </w:t>
      </w:r>
    </w:p>
    <w:p w:rsidRPr="00F30598" w:rsidR="00961D70" w:rsidP="006F53C9" w:rsidRDefault="00961D70" w14:paraId="20283D35" w14:textId="3A10778A">
      <w:pPr>
        <w:pStyle w:val="Caption"/>
        <w:keepNext/>
        <w:spacing w:before="120" w:after="120"/>
        <w:jc w:val="both"/>
        <w:rPr>
          <w:rFonts w:ascii="Arial" w:hAnsi="Arial" w:cs="Arial"/>
          <w:sz w:val="24"/>
          <w:szCs w:val="24"/>
        </w:rPr>
      </w:pPr>
      <w:bookmarkStart w:name="_Ref37320338" w:id="55"/>
      <w:r w:rsidRPr="00F30598">
        <w:rPr>
          <w:rFonts w:ascii="Arial" w:hAnsi="Arial" w:cs="Arial"/>
          <w:sz w:val="24"/>
          <w:szCs w:val="24"/>
        </w:rPr>
        <w:t xml:space="preserve">Cuadro </w:t>
      </w:r>
      <w:r w:rsidRPr="00F30598">
        <w:rPr>
          <w:rFonts w:ascii="Arial" w:hAnsi="Arial" w:cs="Arial"/>
          <w:sz w:val="24"/>
          <w:szCs w:val="24"/>
        </w:rPr>
        <w:fldChar w:fldCharType="begin"/>
      </w:r>
      <w:r w:rsidRPr="00F30598">
        <w:rPr>
          <w:rFonts w:ascii="Arial" w:hAnsi="Arial" w:cs="Arial"/>
          <w:sz w:val="24"/>
          <w:szCs w:val="24"/>
        </w:rPr>
        <w:instrText xml:space="preserve"> SEQ Cuadro \* ARABIC </w:instrText>
      </w:r>
      <w:r w:rsidRPr="00F30598">
        <w:rPr>
          <w:rFonts w:ascii="Arial" w:hAnsi="Arial" w:cs="Arial"/>
          <w:sz w:val="24"/>
          <w:szCs w:val="24"/>
        </w:rPr>
        <w:fldChar w:fldCharType="separate"/>
      </w:r>
      <w:r w:rsidRPr="00F30598" w:rsidR="00ED2BD4">
        <w:rPr>
          <w:rFonts w:ascii="Arial" w:hAnsi="Arial" w:cs="Arial"/>
          <w:noProof/>
          <w:sz w:val="24"/>
          <w:szCs w:val="24"/>
        </w:rPr>
        <w:t>34</w:t>
      </w:r>
      <w:r w:rsidRPr="00F30598">
        <w:rPr>
          <w:rFonts w:ascii="Arial" w:hAnsi="Arial" w:cs="Arial"/>
          <w:sz w:val="24"/>
          <w:szCs w:val="24"/>
        </w:rPr>
        <w:fldChar w:fldCharType="end"/>
      </w:r>
      <w:bookmarkEnd w:id="55"/>
      <w:r w:rsidRPr="00F30598">
        <w:rPr>
          <w:rFonts w:ascii="Arial" w:hAnsi="Arial" w:cs="Arial"/>
          <w:sz w:val="24"/>
          <w:szCs w:val="24"/>
        </w:rPr>
        <w:t>: Resumen de resultados por intervención</w:t>
      </w:r>
    </w:p>
    <w:p w:rsidRPr="00F30598" w:rsidR="007C5394" w:rsidP="006F53C9" w:rsidRDefault="007C5394" w14:paraId="63C79A46" w14:textId="57B23410">
      <w:pPr>
        <w:spacing w:before="120" w:after="120" w:line="240" w:lineRule="auto"/>
        <w:jc w:val="both"/>
        <w:rPr>
          <w:rFonts w:ascii="Arial" w:hAnsi="Arial" w:cs="Arial"/>
          <w:sz w:val="24"/>
          <w:szCs w:val="24"/>
          <w:lang w:val="es-AR"/>
        </w:rPr>
      </w:pPr>
    </w:p>
    <w:p w:rsidRPr="00F30598" w:rsidR="004C5CB6" w:rsidP="006F53C9" w:rsidRDefault="00B44174" w14:paraId="44A31944" w14:textId="7582146F">
      <w:pPr>
        <w:spacing w:before="120" w:after="120" w:line="240" w:lineRule="auto"/>
        <w:jc w:val="both"/>
        <w:rPr>
          <w:rFonts w:ascii="Arial" w:hAnsi="Arial" w:cs="Arial"/>
          <w:sz w:val="24"/>
          <w:szCs w:val="24"/>
          <w:lang w:val="es-AR"/>
        </w:rPr>
      </w:pPr>
      <w:r w:rsidRPr="00F30598">
        <w:rPr>
          <w:rFonts w:ascii="Arial" w:hAnsi="Arial" w:cs="Arial"/>
          <w:noProof/>
        </w:rPr>
        <w:lastRenderedPageBreak/>
        <w:drawing>
          <wp:inline distT="0" distB="0" distL="0" distR="0" wp14:anchorId="4F5D8E18" wp14:editId="29033EA7">
            <wp:extent cx="5612130" cy="2044065"/>
            <wp:effectExtent l="0" t="0" r="762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612130" cy="2044065"/>
                    </a:xfrm>
                    <a:prstGeom prst="rect">
                      <a:avLst/>
                    </a:prstGeom>
                    <a:noFill/>
                    <a:ln>
                      <a:noFill/>
                    </a:ln>
                  </pic:spPr>
                </pic:pic>
              </a:graphicData>
            </a:graphic>
          </wp:inline>
        </w:drawing>
      </w:r>
    </w:p>
    <w:p w:rsidRPr="00F30598" w:rsidR="004C5CB6" w:rsidP="006F53C9" w:rsidRDefault="004C5CB6" w14:paraId="6D4D48FE" w14:textId="77777777">
      <w:pPr>
        <w:spacing w:before="120" w:after="120" w:line="240" w:lineRule="auto"/>
        <w:rPr>
          <w:rFonts w:ascii="Arial" w:hAnsi="Arial" w:cs="Arial" w:eastAsiaTheme="majorEastAsia"/>
          <w:color w:val="2E74B5" w:themeColor="accent1" w:themeShade="BF"/>
          <w:sz w:val="32"/>
          <w:szCs w:val="32"/>
          <w:lang w:val="es-AR"/>
        </w:rPr>
      </w:pPr>
      <w:r w:rsidRPr="00F30598">
        <w:rPr>
          <w:rFonts w:ascii="Arial" w:hAnsi="Arial" w:cs="Arial"/>
        </w:rPr>
        <w:br w:type="page"/>
      </w:r>
    </w:p>
    <w:p w:rsidRPr="00FC5815" w:rsidR="004C5CB6" w:rsidP="006F53C9" w:rsidRDefault="004C5CB6" w14:paraId="58EE2C83" w14:textId="3B74076A">
      <w:pPr>
        <w:pStyle w:val="Heading1"/>
        <w:spacing w:before="120" w:after="240" w:line="240" w:lineRule="auto"/>
        <w:jc w:val="center"/>
        <w:rPr>
          <w:rFonts w:ascii="Arial Bold" w:hAnsi="Arial Bold" w:cs="Arial"/>
          <w:b/>
          <w:bCs/>
          <w:smallCaps/>
          <w:sz w:val="24"/>
          <w:szCs w:val="24"/>
          <w:lang w:val="en-US"/>
        </w:rPr>
      </w:pPr>
      <w:bookmarkStart w:name="_Toc38020455" w:id="56"/>
      <w:bookmarkStart w:name="_Toc38020669" w:id="57"/>
      <w:r w:rsidRPr="00FC5815">
        <w:rPr>
          <w:rFonts w:ascii="Arial Bold" w:hAnsi="Arial Bold" w:cs="Arial"/>
          <w:b/>
          <w:bCs/>
          <w:smallCaps/>
          <w:sz w:val="24"/>
          <w:szCs w:val="24"/>
          <w:lang w:val="en-US"/>
        </w:rPr>
        <w:lastRenderedPageBreak/>
        <w:t>REFERENCIAS</w:t>
      </w:r>
      <w:bookmarkEnd w:id="56"/>
      <w:bookmarkEnd w:id="57"/>
    </w:p>
    <w:p w:rsidRPr="007A0561" w:rsidR="007A0561" w:rsidP="007A0561" w:rsidRDefault="007A0561" w14:paraId="3E050155" w14:textId="77777777">
      <w:pPr>
        <w:autoSpaceDE w:val="0"/>
        <w:autoSpaceDN w:val="0"/>
        <w:adjustRightInd w:val="0"/>
        <w:spacing w:before="120" w:after="120" w:line="240" w:lineRule="auto"/>
        <w:ind w:left="360"/>
        <w:jc w:val="both"/>
        <w:rPr>
          <w:rFonts w:ascii="Arial" w:hAnsi="Arial" w:cs="Arial"/>
          <w:color w:val="231F20"/>
          <w:sz w:val="24"/>
          <w:szCs w:val="24"/>
        </w:rPr>
      </w:pPr>
      <w:r w:rsidRPr="007A0561">
        <w:rPr>
          <w:rFonts w:ascii="Arial" w:hAnsi="Arial" w:cs="Arial"/>
          <w:color w:val="231F20"/>
          <w:sz w:val="24"/>
          <w:szCs w:val="24"/>
        </w:rPr>
        <w:t>Addison, John, and Pedro Portugal. 1989. “Job Displacement, Relative Wage Changes, and Duration of Unemployment.” Journal of Labor Economics, 7(3): 281-302.</w:t>
      </w:r>
    </w:p>
    <w:p w:rsidRPr="007A0561" w:rsidR="007A0561" w:rsidP="007A0561" w:rsidRDefault="007A0561" w14:paraId="7E4D1CCC" w14:textId="09021483">
      <w:pPr>
        <w:autoSpaceDE w:val="0"/>
        <w:autoSpaceDN w:val="0"/>
        <w:adjustRightInd w:val="0"/>
        <w:spacing w:before="120" w:after="120" w:line="240" w:lineRule="auto"/>
        <w:ind w:left="360"/>
        <w:jc w:val="both"/>
        <w:rPr>
          <w:rFonts w:ascii="Arial" w:hAnsi="Arial" w:cs="Arial"/>
          <w:color w:val="231F20"/>
          <w:sz w:val="24"/>
          <w:szCs w:val="24"/>
        </w:rPr>
      </w:pPr>
      <w:r w:rsidRPr="007A0561">
        <w:rPr>
          <w:rFonts w:ascii="Arial" w:hAnsi="Arial" w:cs="Arial"/>
          <w:color w:val="231F20"/>
          <w:sz w:val="24"/>
          <w:szCs w:val="24"/>
        </w:rPr>
        <w:t xml:space="preserve">Albrecht J, P-A Edin, M </w:t>
      </w:r>
      <w:proofErr w:type="spellStart"/>
      <w:r w:rsidRPr="007A0561">
        <w:rPr>
          <w:rFonts w:ascii="Arial" w:hAnsi="Arial" w:cs="Arial"/>
          <w:color w:val="231F20"/>
          <w:sz w:val="24"/>
          <w:szCs w:val="24"/>
        </w:rPr>
        <w:t>Sundström</w:t>
      </w:r>
      <w:proofErr w:type="spellEnd"/>
      <w:r w:rsidRPr="007A0561">
        <w:rPr>
          <w:rFonts w:ascii="Arial" w:hAnsi="Arial" w:cs="Arial"/>
          <w:color w:val="231F20"/>
          <w:sz w:val="24"/>
          <w:szCs w:val="24"/>
        </w:rPr>
        <w:t xml:space="preserve"> &amp; S </w:t>
      </w:r>
      <w:proofErr w:type="spellStart"/>
      <w:r w:rsidRPr="007A0561">
        <w:rPr>
          <w:rFonts w:ascii="Arial" w:hAnsi="Arial" w:cs="Arial"/>
          <w:color w:val="231F20"/>
          <w:sz w:val="24"/>
          <w:szCs w:val="24"/>
        </w:rPr>
        <w:t>Vroman</w:t>
      </w:r>
      <w:proofErr w:type="spellEnd"/>
      <w:r w:rsidRPr="007A0561">
        <w:rPr>
          <w:rFonts w:ascii="Arial" w:hAnsi="Arial" w:cs="Arial"/>
          <w:color w:val="231F20"/>
          <w:sz w:val="24"/>
          <w:szCs w:val="24"/>
        </w:rPr>
        <w:t xml:space="preserve"> (1999), “Career Interruptions and Subsequent Earnings: A Reexamination Using Swedish Data, Journal of Human Resources, vol 34, pp 294–311</w:t>
      </w:r>
    </w:p>
    <w:p w:rsidRPr="007A0561" w:rsidR="007A0561" w:rsidP="007A0561" w:rsidRDefault="007A0561" w14:paraId="7D32B366" w14:textId="7C5FBE58">
      <w:pPr>
        <w:autoSpaceDE w:val="0"/>
        <w:autoSpaceDN w:val="0"/>
        <w:adjustRightInd w:val="0"/>
        <w:spacing w:before="120" w:after="120" w:line="240" w:lineRule="auto"/>
        <w:ind w:left="360"/>
        <w:jc w:val="both"/>
        <w:rPr>
          <w:rFonts w:ascii="Arial" w:hAnsi="Arial" w:cs="Arial"/>
          <w:color w:val="231F20"/>
          <w:sz w:val="24"/>
          <w:szCs w:val="24"/>
        </w:rPr>
      </w:pPr>
      <w:r w:rsidRPr="007A0561">
        <w:rPr>
          <w:rFonts w:ascii="Arial" w:hAnsi="Arial" w:cs="Arial"/>
          <w:color w:val="231F20"/>
          <w:sz w:val="24"/>
          <w:szCs w:val="24"/>
        </w:rPr>
        <w:t xml:space="preserve">Alexander, K. L., </w:t>
      </w:r>
      <w:proofErr w:type="spellStart"/>
      <w:r w:rsidRPr="007A0561">
        <w:rPr>
          <w:rFonts w:ascii="Arial" w:hAnsi="Arial" w:cs="Arial"/>
          <w:color w:val="231F20"/>
          <w:sz w:val="24"/>
          <w:szCs w:val="24"/>
        </w:rPr>
        <w:t>Entwisle</w:t>
      </w:r>
      <w:proofErr w:type="spellEnd"/>
      <w:r w:rsidRPr="007A0561">
        <w:rPr>
          <w:rFonts w:ascii="Arial" w:hAnsi="Arial" w:cs="Arial"/>
          <w:color w:val="231F20"/>
          <w:sz w:val="24"/>
          <w:szCs w:val="24"/>
        </w:rPr>
        <w:t>, D. R., &amp; Olson, L. S. (2007). Lasting Consequences of the Summer Learning Gap. American Sociological Review, 72(2), 167–180.</w:t>
      </w:r>
    </w:p>
    <w:p w:rsidRPr="007A0561" w:rsidR="007A0561" w:rsidP="007A0561" w:rsidRDefault="007A0561" w14:paraId="4B13E45D" w14:textId="78D77865">
      <w:pPr>
        <w:autoSpaceDE w:val="0"/>
        <w:autoSpaceDN w:val="0"/>
        <w:adjustRightInd w:val="0"/>
        <w:spacing w:before="120" w:after="120" w:line="240" w:lineRule="auto"/>
        <w:ind w:left="360"/>
        <w:jc w:val="both"/>
        <w:rPr>
          <w:rFonts w:ascii="Arial" w:hAnsi="Arial" w:cs="Arial"/>
          <w:color w:val="231F20"/>
          <w:sz w:val="24"/>
          <w:szCs w:val="24"/>
        </w:rPr>
      </w:pPr>
      <w:r w:rsidRPr="007A0561">
        <w:rPr>
          <w:rFonts w:ascii="Arial" w:hAnsi="Arial" w:cs="Arial"/>
          <w:color w:val="231F20"/>
          <w:sz w:val="24"/>
          <w:szCs w:val="24"/>
        </w:rPr>
        <w:t xml:space="preserve">Banerjee, </w:t>
      </w:r>
      <w:proofErr w:type="gramStart"/>
      <w:r w:rsidRPr="007A0561">
        <w:rPr>
          <w:rFonts w:ascii="Arial" w:hAnsi="Arial" w:cs="Arial"/>
          <w:color w:val="231F20"/>
          <w:sz w:val="24"/>
          <w:szCs w:val="24"/>
        </w:rPr>
        <w:t>A. ,</w:t>
      </w:r>
      <w:proofErr w:type="gramEnd"/>
      <w:r w:rsidRPr="007A0561">
        <w:rPr>
          <w:rFonts w:ascii="Arial" w:hAnsi="Arial" w:cs="Arial"/>
          <w:color w:val="231F20"/>
          <w:sz w:val="24"/>
          <w:szCs w:val="24"/>
        </w:rPr>
        <w:t xml:space="preserve"> Cole, S. , </w:t>
      </w:r>
      <w:proofErr w:type="spellStart"/>
      <w:r w:rsidRPr="007A0561">
        <w:rPr>
          <w:rFonts w:ascii="Arial" w:hAnsi="Arial" w:cs="Arial"/>
          <w:color w:val="231F20"/>
          <w:sz w:val="24"/>
          <w:szCs w:val="24"/>
        </w:rPr>
        <w:t>Duflo</w:t>
      </w:r>
      <w:proofErr w:type="spellEnd"/>
      <w:r w:rsidRPr="007A0561">
        <w:rPr>
          <w:rFonts w:ascii="Arial" w:hAnsi="Arial" w:cs="Arial"/>
          <w:color w:val="231F20"/>
          <w:sz w:val="24"/>
          <w:szCs w:val="24"/>
        </w:rPr>
        <w:t>, E. , &amp; Linden, L. (2007). Remedying education: Evidence from two randomized experiments in India. Quarterly Journal of Economics, 122 (3), 1235–1264</w:t>
      </w:r>
    </w:p>
    <w:p w:rsidRPr="007A0561" w:rsidR="007A0561" w:rsidP="007A0561" w:rsidRDefault="007A0561" w14:paraId="11BEAC6C" w14:textId="0EDFDF01">
      <w:pPr>
        <w:autoSpaceDE w:val="0"/>
        <w:autoSpaceDN w:val="0"/>
        <w:adjustRightInd w:val="0"/>
        <w:spacing w:before="120" w:after="120" w:line="240" w:lineRule="auto"/>
        <w:ind w:left="360"/>
        <w:jc w:val="both"/>
        <w:rPr>
          <w:rFonts w:ascii="Arial" w:hAnsi="Arial" w:cs="Arial"/>
          <w:color w:val="231F20"/>
          <w:sz w:val="24"/>
          <w:szCs w:val="24"/>
        </w:rPr>
      </w:pPr>
      <w:r w:rsidRPr="007A0561">
        <w:rPr>
          <w:rFonts w:ascii="Arial" w:hAnsi="Arial" w:cs="Arial"/>
          <w:color w:val="231F20"/>
          <w:sz w:val="24"/>
          <w:szCs w:val="24"/>
        </w:rPr>
        <w:t>Blanchard O. y Summers L., "Hysteresis and the European Unemployment Problem," NBER Macroeconomics Annual 1 (1986): 15-78.</w:t>
      </w:r>
    </w:p>
    <w:p w:rsidRPr="007A0561" w:rsidR="007A0561" w:rsidP="007A0561" w:rsidRDefault="007A0561" w14:paraId="6EB00AB8" w14:textId="02BEA052">
      <w:pPr>
        <w:autoSpaceDE w:val="0"/>
        <w:autoSpaceDN w:val="0"/>
        <w:adjustRightInd w:val="0"/>
        <w:spacing w:before="120" w:after="120" w:line="240" w:lineRule="auto"/>
        <w:ind w:left="360"/>
        <w:jc w:val="both"/>
        <w:rPr>
          <w:rFonts w:ascii="Arial" w:hAnsi="Arial" w:cs="Arial"/>
          <w:color w:val="231F20"/>
          <w:sz w:val="24"/>
          <w:szCs w:val="24"/>
        </w:rPr>
      </w:pPr>
      <w:r w:rsidRPr="007A0561">
        <w:rPr>
          <w:rFonts w:ascii="Arial" w:hAnsi="Arial" w:cs="Arial"/>
          <w:color w:val="231F20"/>
          <w:sz w:val="24"/>
          <w:szCs w:val="24"/>
        </w:rPr>
        <w:t>Brent, R. (2013); “A cost-benefit framework for evaluating conditional cash-transfer programs; Journal of Benefit-Cost Analysis 4(2), pp. 159–180</w:t>
      </w:r>
    </w:p>
    <w:p w:rsidRPr="007A0561" w:rsidR="007A0561" w:rsidP="007A0561" w:rsidRDefault="007A0561" w14:paraId="4A6511A0" w14:textId="77777777">
      <w:pPr>
        <w:autoSpaceDE w:val="0"/>
        <w:autoSpaceDN w:val="0"/>
        <w:adjustRightInd w:val="0"/>
        <w:spacing w:before="120" w:after="120" w:line="240" w:lineRule="auto"/>
        <w:ind w:left="360"/>
        <w:jc w:val="both"/>
        <w:rPr>
          <w:rFonts w:ascii="Arial" w:hAnsi="Arial" w:cs="Arial"/>
          <w:color w:val="231F20"/>
          <w:sz w:val="24"/>
          <w:szCs w:val="24"/>
        </w:rPr>
      </w:pPr>
      <w:r w:rsidRPr="007A0561">
        <w:rPr>
          <w:rFonts w:ascii="Arial" w:hAnsi="Arial" w:cs="Arial"/>
          <w:color w:val="231F20"/>
          <w:sz w:val="24"/>
          <w:szCs w:val="24"/>
        </w:rPr>
        <w:t xml:space="preserve">Card D., Kluve J., Weber A., What Works? A </w:t>
      </w:r>
      <w:proofErr w:type="spellStart"/>
      <w:r w:rsidRPr="007A0561">
        <w:rPr>
          <w:rFonts w:ascii="Arial" w:hAnsi="Arial" w:cs="Arial"/>
          <w:color w:val="231F20"/>
          <w:sz w:val="24"/>
          <w:szCs w:val="24"/>
        </w:rPr>
        <w:t>Meta Analysis</w:t>
      </w:r>
      <w:proofErr w:type="spellEnd"/>
      <w:r w:rsidRPr="007A0561">
        <w:rPr>
          <w:rFonts w:ascii="Arial" w:hAnsi="Arial" w:cs="Arial"/>
          <w:color w:val="231F20"/>
          <w:sz w:val="24"/>
          <w:szCs w:val="24"/>
        </w:rPr>
        <w:t xml:space="preserve"> of Recent Active Labor Market Program Evaluations, Journal of the European Economic Association, Volume 16, Issue 3, June 2018, Pages 894–931, https://doi.org/10.1093/jeea/jvx028</w:t>
      </w:r>
    </w:p>
    <w:p w:rsidRPr="007A0561" w:rsidR="007A0561" w:rsidP="007A0561" w:rsidRDefault="007A0561" w14:paraId="231CD287" w14:textId="7A99BA93">
      <w:pPr>
        <w:autoSpaceDE w:val="0"/>
        <w:autoSpaceDN w:val="0"/>
        <w:adjustRightInd w:val="0"/>
        <w:spacing w:before="120" w:after="120" w:line="240" w:lineRule="auto"/>
        <w:ind w:left="360"/>
        <w:jc w:val="both"/>
        <w:rPr>
          <w:rFonts w:ascii="Arial" w:hAnsi="Arial" w:cs="Arial"/>
          <w:color w:val="231F20"/>
          <w:sz w:val="24"/>
          <w:szCs w:val="24"/>
        </w:rPr>
      </w:pPr>
      <w:r w:rsidRPr="007A0561">
        <w:rPr>
          <w:rFonts w:ascii="Arial" w:hAnsi="Arial" w:cs="Arial"/>
          <w:color w:val="231F20"/>
          <w:sz w:val="24"/>
          <w:szCs w:val="24"/>
        </w:rPr>
        <w:t xml:space="preserve">Clark, </w:t>
      </w:r>
      <w:proofErr w:type="spellStart"/>
      <w:proofErr w:type="gramStart"/>
      <w:r w:rsidRPr="007A0561">
        <w:rPr>
          <w:rFonts w:ascii="Arial" w:hAnsi="Arial" w:cs="Arial"/>
          <w:color w:val="231F20"/>
          <w:sz w:val="24"/>
          <w:szCs w:val="24"/>
        </w:rPr>
        <w:t>K.,and</w:t>
      </w:r>
      <w:proofErr w:type="spellEnd"/>
      <w:proofErr w:type="gramEnd"/>
      <w:r w:rsidRPr="007A0561">
        <w:rPr>
          <w:rFonts w:ascii="Arial" w:hAnsi="Arial" w:cs="Arial"/>
          <w:color w:val="231F20"/>
          <w:sz w:val="24"/>
          <w:szCs w:val="24"/>
        </w:rPr>
        <w:t xml:space="preserve"> L. Summers. 1979.Labormarket dynamics and unemployment, a reconsideration. Brookings Papers on Economic Activity 1:13-60.</w:t>
      </w:r>
    </w:p>
    <w:p w:rsidRPr="007A0561" w:rsidR="007A0561" w:rsidP="007A0561" w:rsidRDefault="007A0561" w14:paraId="273E7936" w14:textId="77777777">
      <w:pPr>
        <w:autoSpaceDE w:val="0"/>
        <w:autoSpaceDN w:val="0"/>
        <w:adjustRightInd w:val="0"/>
        <w:spacing w:before="120" w:after="120" w:line="240" w:lineRule="auto"/>
        <w:ind w:left="360"/>
        <w:jc w:val="both"/>
        <w:rPr>
          <w:rFonts w:ascii="Arial" w:hAnsi="Arial" w:cs="Arial"/>
          <w:color w:val="231F20"/>
          <w:sz w:val="24"/>
          <w:szCs w:val="24"/>
        </w:rPr>
      </w:pPr>
      <w:r w:rsidRPr="007A0561">
        <w:rPr>
          <w:rFonts w:ascii="Arial" w:hAnsi="Arial" w:cs="Arial"/>
          <w:color w:val="231F20"/>
          <w:sz w:val="24"/>
          <w:szCs w:val="24"/>
        </w:rPr>
        <w:t>Deaton, A. (1992). Household Saving in LDCs: Credit Markets, Insurance and Welfare. The Scandinavian Journal of Economics, 94(2), 253-273. doi:10.2307/3440451</w:t>
      </w:r>
    </w:p>
    <w:p w:rsidRPr="007A0561" w:rsidR="007A0561" w:rsidP="007A0561" w:rsidRDefault="007A0561" w14:paraId="22BCD5F9" w14:textId="77777777">
      <w:pPr>
        <w:autoSpaceDE w:val="0"/>
        <w:autoSpaceDN w:val="0"/>
        <w:adjustRightInd w:val="0"/>
        <w:spacing w:before="120" w:after="120" w:line="240" w:lineRule="auto"/>
        <w:ind w:left="360"/>
        <w:jc w:val="both"/>
        <w:rPr>
          <w:rFonts w:ascii="Arial" w:hAnsi="Arial" w:cs="Arial"/>
          <w:color w:val="231F20"/>
          <w:sz w:val="24"/>
          <w:szCs w:val="24"/>
        </w:rPr>
      </w:pPr>
      <w:r w:rsidRPr="007A0561">
        <w:rPr>
          <w:rFonts w:ascii="Arial" w:hAnsi="Arial" w:cs="Arial"/>
          <w:color w:val="231F20"/>
          <w:sz w:val="24"/>
          <w:szCs w:val="24"/>
        </w:rPr>
        <w:t xml:space="preserve">De Castillo, C., </w:t>
      </w:r>
      <w:proofErr w:type="spellStart"/>
      <w:r w:rsidRPr="007A0561">
        <w:rPr>
          <w:rFonts w:ascii="Arial" w:hAnsi="Arial" w:cs="Arial"/>
          <w:color w:val="231F20"/>
          <w:sz w:val="24"/>
          <w:szCs w:val="24"/>
        </w:rPr>
        <w:t>Lema</w:t>
      </w:r>
      <w:proofErr w:type="spellEnd"/>
      <w:r w:rsidRPr="007A0561">
        <w:rPr>
          <w:rFonts w:ascii="Arial" w:hAnsi="Arial" w:cs="Arial"/>
          <w:color w:val="231F20"/>
          <w:sz w:val="24"/>
          <w:szCs w:val="24"/>
        </w:rPr>
        <w:t>, R. (1998). Economic Analysis of Social Investment Fund Projects: Case Studies and Minimum Requirements Proposal.  World Bank. http://siteresources.worldbank.org/INTSF/Resources/395669-1124228448379/1563169-1126037528964/Castillo_Lema_EconAnalysisSIF_Cases.pdf</w:t>
      </w:r>
    </w:p>
    <w:p w:rsidRPr="007A0561" w:rsidR="007A0561" w:rsidP="007A0561" w:rsidRDefault="007A0561" w14:paraId="416984A1" w14:textId="77777777">
      <w:pPr>
        <w:autoSpaceDE w:val="0"/>
        <w:autoSpaceDN w:val="0"/>
        <w:adjustRightInd w:val="0"/>
        <w:spacing w:before="120" w:after="120" w:line="240" w:lineRule="auto"/>
        <w:ind w:left="360"/>
        <w:jc w:val="both"/>
        <w:rPr>
          <w:rFonts w:ascii="Arial" w:hAnsi="Arial" w:cs="Arial"/>
          <w:color w:val="231F20"/>
          <w:sz w:val="24"/>
          <w:szCs w:val="24"/>
        </w:rPr>
      </w:pPr>
      <w:r w:rsidRPr="007A0561">
        <w:rPr>
          <w:rFonts w:ascii="Arial" w:hAnsi="Arial" w:cs="Arial"/>
          <w:color w:val="231F20"/>
          <w:sz w:val="24"/>
          <w:szCs w:val="24"/>
        </w:rPr>
        <w:t xml:space="preserve">Dhaliwal, I., </w:t>
      </w:r>
      <w:proofErr w:type="spellStart"/>
      <w:r w:rsidRPr="007A0561">
        <w:rPr>
          <w:rFonts w:ascii="Arial" w:hAnsi="Arial" w:cs="Arial"/>
          <w:color w:val="231F20"/>
          <w:sz w:val="24"/>
          <w:szCs w:val="24"/>
        </w:rPr>
        <w:t>Duflo</w:t>
      </w:r>
      <w:proofErr w:type="spellEnd"/>
      <w:r w:rsidRPr="007A0561">
        <w:rPr>
          <w:rFonts w:ascii="Arial" w:hAnsi="Arial" w:cs="Arial"/>
          <w:color w:val="231F20"/>
          <w:sz w:val="24"/>
          <w:szCs w:val="24"/>
        </w:rPr>
        <w:t xml:space="preserve">, E., </w:t>
      </w:r>
      <w:proofErr w:type="spellStart"/>
      <w:r w:rsidRPr="007A0561">
        <w:rPr>
          <w:rFonts w:ascii="Arial" w:hAnsi="Arial" w:cs="Arial"/>
          <w:color w:val="231F20"/>
          <w:sz w:val="24"/>
          <w:szCs w:val="24"/>
        </w:rPr>
        <w:t>Glennerster</w:t>
      </w:r>
      <w:proofErr w:type="spellEnd"/>
      <w:r w:rsidRPr="007A0561">
        <w:rPr>
          <w:rFonts w:ascii="Arial" w:hAnsi="Arial" w:cs="Arial"/>
          <w:color w:val="231F20"/>
          <w:sz w:val="24"/>
          <w:szCs w:val="24"/>
        </w:rPr>
        <w:t>, R., &amp; Tulloch, C. August 2011</w:t>
      </w:r>
      <w:proofErr w:type="gramStart"/>
      <w:r w:rsidRPr="007A0561">
        <w:rPr>
          <w:rFonts w:ascii="Arial" w:hAnsi="Arial" w:cs="Arial"/>
          <w:color w:val="231F20"/>
          <w:sz w:val="24"/>
          <w:szCs w:val="24"/>
        </w:rPr>
        <w:t>.“</w:t>
      </w:r>
      <w:proofErr w:type="gramEnd"/>
      <w:r w:rsidRPr="007A0561">
        <w:rPr>
          <w:rFonts w:ascii="Arial" w:hAnsi="Arial" w:cs="Arial"/>
          <w:color w:val="231F20"/>
          <w:sz w:val="24"/>
          <w:szCs w:val="24"/>
        </w:rPr>
        <w:t>. Comparative Cost-Effectiveness Analysis to Inform Policy in Developing Countries: A General Framework with Applications for Education.” Abdul Jameel Poverty Action Lab. http://economics.mit.edu/files/6959</w:t>
      </w:r>
    </w:p>
    <w:p w:rsidRPr="007A0561" w:rsidR="007A0561" w:rsidP="007A0561" w:rsidRDefault="007A0561" w14:paraId="14C191D4" w14:textId="66190F1A">
      <w:pPr>
        <w:autoSpaceDE w:val="0"/>
        <w:autoSpaceDN w:val="0"/>
        <w:adjustRightInd w:val="0"/>
        <w:spacing w:before="120" w:after="120" w:line="240" w:lineRule="auto"/>
        <w:ind w:left="360"/>
        <w:jc w:val="both"/>
        <w:rPr>
          <w:rFonts w:ascii="Arial" w:hAnsi="Arial" w:cs="Arial"/>
          <w:color w:val="231F20"/>
          <w:sz w:val="24"/>
          <w:szCs w:val="24"/>
        </w:rPr>
      </w:pPr>
    </w:p>
    <w:p w:rsidRPr="007A0561" w:rsidR="007A0561" w:rsidP="007A0561" w:rsidRDefault="007A0561" w14:paraId="20D89C60" w14:textId="6F56C427">
      <w:pPr>
        <w:autoSpaceDE w:val="0"/>
        <w:autoSpaceDN w:val="0"/>
        <w:adjustRightInd w:val="0"/>
        <w:spacing w:before="120" w:after="120" w:line="240" w:lineRule="auto"/>
        <w:ind w:left="360"/>
        <w:jc w:val="both"/>
        <w:rPr>
          <w:rFonts w:ascii="Arial" w:hAnsi="Arial" w:cs="Arial"/>
          <w:color w:val="231F20"/>
          <w:sz w:val="24"/>
          <w:szCs w:val="24"/>
        </w:rPr>
      </w:pPr>
      <w:r w:rsidRPr="007A0561">
        <w:rPr>
          <w:rFonts w:ascii="Arial" w:hAnsi="Arial" w:cs="Arial"/>
          <w:color w:val="231F20"/>
          <w:sz w:val="24"/>
          <w:szCs w:val="24"/>
        </w:rPr>
        <w:t xml:space="preserve">Drummond MF, </w:t>
      </w:r>
      <w:proofErr w:type="spellStart"/>
      <w:r w:rsidRPr="007A0561">
        <w:rPr>
          <w:rFonts w:ascii="Arial" w:hAnsi="Arial" w:cs="Arial"/>
          <w:color w:val="231F20"/>
          <w:sz w:val="24"/>
          <w:szCs w:val="24"/>
        </w:rPr>
        <w:t>Sculpher</w:t>
      </w:r>
      <w:proofErr w:type="spellEnd"/>
      <w:r w:rsidRPr="007A0561">
        <w:rPr>
          <w:rFonts w:ascii="Arial" w:hAnsi="Arial" w:cs="Arial"/>
          <w:color w:val="231F20"/>
          <w:sz w:val="24"/>
          <w:szCs w:val="24"/>
        </w:rPr>
        <w:t xml:space="preserve"> MJ, Torrance GW, O’Brien BJ, Stoddart G. (2015) Methods for the economic evaluation of health care </w:t>
      </w:r>
      <w:proofErr w:type="gramStart"/>
      <w:r w:rsidRPr="007A0561">
        <w:rPr>
          <w:rFonts w:ascii="Arial" w:hAnsi="Arial" w:cs="Arial"/>
          <w:color w:val="231F20"/>
          <w:sz w:val="24"/>
          <w:szCs w:val="24"/>
        </w:rPr>
        <w:t>programmes .</w:t>
      </w:r>
      <w:proofErr w:type="gramEnd"/>
      <w:r w:rsidRPr="007A0561">
        <w:rPr>
          <w:rFonts w:ascii="Arial" w:hAnsi="Arial" w:cs="Arial"/>
          <w:color w:val="231F20"/>
          <w:sz w:val="24"/>
          <w:szCs w:val="24"/>
        </w:rPr>
        <w:t xml:space="preserve"> 4th ed. Oxford University Press.</w:t>
      </w:r>
    </w:p>
    <w:p w:rsidRPr="007A0561" w:rsidR="007A0561" w:rsidP="007A0561" w:rsidRDefault="007A0561" w14:paraId="30F3D2C3" w14:textId="72982D1A">
      <w:pPr>
        <w:autoSpaceDE w:val="0"/>
        <w:autoSpaceDN w:val="0"/>
        <w:adjustRightInd w:val="0"/>
        <w:spacing w:before="120" w:after="120" w:line="240" w:lineRule="auto"/>
        <w:ind w:left="360"/>
        <w:jc w:val="both"/>
        <w:rPr>
          <w:rFonts w:ascii="Arial" w:hAnsi="Arial" w:cs="Arial"/>
          <w:color w:val="231F20"/>
          <w:sz w:val="24"/>
          <w:szCs w:val="24"/>
        </w:rPr>
      </w:pPr>
      <w:r w:rsidRPr="007A0561">
        <w:rPr>
          <w:rFonts w:ascii="Arial" w:hAnsi="Arial" w:cs="Arial"/>
          <w:color w:val="231F20"/>
          <w:sz w:val="24"/>
          <w:szCs w:val="24"/>
        </w:rPr>
        <w:lastRenderedPageBreak/>
        <w:t xml:space="preserve">Duryea (1998). “Children's Advancement Through School in Brazil: The Role of Transitory Shocks to Household Income” Inter-American Development Bank, </w:t>
      </w:r>
      <w:proofErr w:type="spellStart"/>
      <w:r w:rsidRPr="007A0561">
        <w:rPr>
          <w:rFonts w:ascii="Arial" w:hAnsi="Arial" w:cs="Arial"/>
          <w:color w:val="231F20"/>
          <w:sz w:val="24"/>
          <w:szCs w:val="24"/>
        </w:rPr>
        <w:t>Documento</w:t>
      </w:r>
      <w:proofErr w:type="spellEnd"/>
      <w:r w:rsidRPr="007A0561">
        <w:rPr>
          <w:rFonts w:ascii="Arial" w:hAnsi="Arial" w:cs="Arial"/>
          <w:color w:val="231F20"/>
          <w:sz w:val="24"/>
          <w:szCs w:val="24"/>
        </w:rPr>
        <w:t xml:space="preserve"> de </w:t>
      </w:r>
      <w:proofErr w:type="spellStart"/>
      <w:r w:rsidRPr="007A0561">
        <w:rPr>
          <w:rFonts w:ascii="Arial" w:hAnsi="Arial" w:cs="Arial"/>
          <w:color w:val="231F20"/>
          <w:sz w:val="24"/>
          <w:szCs w:val="24"/>
        </w:rPr>
        <w:t>Trabajo</w:t>
      </w:r>
      <w:proofErr w:type="spellEnd"/>
      <w:r w:rsidRPr="007A0561">
        <w:rPr>
          <w:rFonts w:ascii="Arial" w:hAnsi="Arial" w:cs="Arial"/>
          <w:color w:val="231F20"/>
          <w:sz w:val="24"/>
          <w:szCs w:val="24"/>
        </w:rPr>
        <w:t xml:space="preserve"> #376.</w:t>
      </w:r>
    </w:p>
    <w:p w:rsidRPr="007A0561" w:rsidR="007A0561" w:rsidP="007A0561" w:rsidRDefault="007A0561" w14:paraId="14E94C0C" w14:textId="1F4C27F0">
      <w:pPr>
        <w:autoSpaceDE w:val="0"/>
        <w:autoSpaceDN w:val="0"/>
        <w:adjustRightInd w:val="0"/>
        <w:spacing w:before="120" w:after="120" w:line="240" w:lineRule="auto"/>
        <w:ind w:left="360"/>
        <w:jc w:val="both"/>
        <w:rPr>
          <w:rFonts w:ascii="Arial" w:hAnsi="Arial" w:cs="Arial"/>
          <w:color w:val="231F20"/>
          <w:sz w:val="24"/>
          <w:szCs w:val="24"/>
        </w:rPr>
      </w:pPr>
      <w:r w:rsidRPr="007A0561">
        <w:rPr>
          <w:rFonts w:ascii="Arial" w:hAnsi="Arial" w:cs="Arial"/>
          <w:color w:val="231F20"/>
          <w:sz w:val="24"/>
          <w:szCs w:val="24"/>
        </w:rPr>
        <w:t>Duryea, Lam y Levison (2007) “Effects of economic shocks on children's employment and schooling in Brazil” Journal of Development Economics Vol. 84.</w:t>
      </w:r>
    </w:p>
    <w:p w:rsidRPr="007A0561" w:rsidR="007A0561" w:rsidP="007A0561" w:rsidRDefault="007A0561" w14:paraId="47FA79FA" w14:textId="77777777">
      <w:pPr>
        <w:autoSpaceDE w:val="0"/>
        <w:autoSpaceDN w:val="0"/>
        <w:adjustRightInd w:val="0"/>
        <w:spacing w:before="120" w:after="120" w:line="240" w:lineRule="auto"/>
        <w:ind w:left="360"/>
        <w:jc w:val="both"/>
        <w:rPr>
          <w:rFonts w:ascii="Arial" w:hAnsi="Arial" w:cs="Arial"/>
          <w:color w:val="231F20"/>
          <w:sz w:val="24"/>
          <w:szCs w:val="24"/>
        </w:rPr>
      </w:pPr>
      <w:r w:rsidRPr="007A0561">
        <w:rPr>
          <w:rFonts w:ascii="Arial" w:hAnsi="Arial" w:cs="Arial"/>
          <w:color w:val="231F20"/>
          <w:sz w:val="24"/>
          <w:szCs w:val="24"/>
        </w:rPr>
        <w:t>Edin, Per-Andres, and Magnus Gustavsson. 2008. “Time Out of Work and Skill Depreciation.” Industrial Labor Relations Review, 61(2): 163-180.</w:t>
      </w:r>
    </w:p>
    <w:p w:rsidRPr="007A0561" w:rsidR="007A0561" w:rsidP="007A0561" w:rsidRDefault="007A0561" w14:paraId="749494EB" w14:textId="77777777">
      <w:pPr>
        <w:autoSpaceDE w:val="0"/>
        <w:autoSpaceDN w:val="0"/>
        <w:adjustRightInd w:val="0"/>
        <w:spacing w:before="120" w:after="120" w:line="240" w:lineRule="auto"/>
        <w:ind w:left="360"/>
        <w:jc w:val="both"/>
        <w:rPr>
          <w:rFonts w:ascii="Arial" w:hAnsi="Arial" w:cs="Arial"/>
          <w:color w:val="231F20"/>
          <w:sz w:val="24"/>
          <w:szCs w:val="24"/>
        </w:rPr>
      </w:pPr>
      <w:r w:rsidRPr="007A0561">
        <w:rPr>
          <w:rFonts w:ascii="Arial" w:hAnsi="Arial" w:cs="Arial"/>
          <w:color w:val="231F20"/>
          <w:sz w:val="24"/>
          <w:szCs w:val="24"/>
        </w:rPr>
        <w:t>Egger, D.; Haushofer, J. Miguel, E.; Niehaus, P.; Walker, W. (2019) "General Equilibrium Effects of Cash Transfers: Experimental Evidence from Kenya," NBER Working Papers 26600, National Bureau of Economic Research, Inc.</w:t>
      </w:r>
    </w:p>
    <w:p w:rsidRPr="007A0561" w:rsidR="007A0561" w:rsidP="007A0561" w:rsidRDefault="007A0561" w14:paraId="0321F07D" w14:textId="77777777">
      <w:pPr>
        <w:autoSpaceDE w:val="0"/>
        <w:autoSpaceDN w:val="0"/>
        <w:adjustRightInd w:val="0"/>
        <w:spacing w:before="120" w:after="120" w:line="240" w:lineRule="auto"/>
        <w:ind w:left="360"/>
        <w:jc w:val="both"/>
        <w:rPr>
          <w:rFonts w:ascii="Arial" w:hAnsi="Arial" w:cs="Arial"/>
          <w:color w:val="231F20"/>
          <w:sz w:val="24"/>
          <w:szCs w:val="24"/>
        </w:rPr>
      </w:pPr>
      <w:r w:rsidRPr="007A0561">
        <w:rPr>
          <w:rFonts w:ascii="Arial" w:hAnsi="Arial" w:cs="Arial"/>
          <w:color w:val="231F20"/>
          <w:sz w:val="24"/>
          <w:szCs w:val="24"/>
        </w:rPr>
        <w:t>Evans, D. (2008). Social project appraisal and discounting for the very long term. Economic Issues, 13(Part I), 61-70. http://www.economicissues.org.uk/Files/108Evans.pdf</w:t>
      </w:r>
    </w:p>
    <w:p w:rsidRPr="007A0561" w:rsidR="007A0561" w:rsidP="007A0561" w:rsidRDefault="007A0561" w14:paraId="753CF3C3" w14:textId="6A6543D1">
      <w:pPr>
        <w:autoSpaceDE w:val="0"/>
        <w:autoSpaceDN w:val="0"/>
        <w:adjustRightInd w:val="0"/>
        <w:spacing w:before="120" w:after="120" w:line="240" w:lineRule="auto"/>
        <w:ind w:left="360"/>
        <w:jc w:val="both"/>
        <w:rPr>
          <w:rFonts w:ascii="Arial" w:hAnsi="Arial" w:cs="Arial"/>
          <w:color w:val="231F20"/>
          <w:sz w:val="24"/>
          <w:szCs w:val="24"/>
        </w:rPr>
      </w:pPr>
    </w:p>
    <w:p w:rsidRPr="007A0561" w:rsidR="007A0561" w:rsidP="007A0561" w:rsidRDefault="007A0561" w14:paraId="33231DD3" w14:textId="0E935C3E">
      <w:pPr>
        <w:autoSpaceDE w:val="0"/>
        <w:autoSpaceDN w:val="0"/>
        <w:adjustRightInd w:val="0"/>
        <w:spacing w:before="120" w:after="120" w:line="240" w:lineRule="auto"/>
        <w:ind w:left="360"/>
        <w:jc w:val="both"/>
        <w:rPr>
          <w:rFonts w:ascii="Arial" w:hAnsi="Arial" w:cs="Arial"/>
          <w:color w:val="231F20"/>
          <w:sz w:val="24"/>
          <w:szCs w:val="24"/>
        </w:rPr>
      </w:pPr>
      <w:r w:rsidRPr="007A0561">
        <w:rPr>
          <w:rFonts w:ascii="Arial" w:hAnsi="Arial" w:cs="Arial"/>
          <w:color w:val="231F20"/>
          <w:sz w:val="24"/>
          <w:szCs w:val="24"/>
        </w:rPr>
        <w:t xml:space="preserve">Foley, M. (1997). ‘Multiple job holding in Russia during the transition’, Working Paper, Yale University. </w:t>
      </w:r>
    </w:p>
    <w:p w:rsidRPr="007A0561" w:rsidR="007A0561" w:rsidP="007A0561" w:rsidRDefault="007A0561" w14:paraId="14636A70" w14:textId="77777777">
      <w:pPr>
        <w:autoSpaceDE w:val="0"/>
        <w:autoSpaceDN w:val="0"/>
        <w:adjustRightInd w:val="0"/>
        <w:spacing w:before="120" w:after="120" w:line="240" w:lineRule="auto"/>
        <w:ind w:left="360"/>
        <w:jc w:val="both"/>
        <w:rPr>
          <w:rFonts w:ascii="Arial" w:hAnsi="Arial" w:cs="Arial"/>
          <w:color w:val="231F20"/>
          <w:sz w:val="24"/>
          <w:szCs w:val="24"/>
        </w:rPr>
      </w:pPr>
      <w:r w:rsidRPr="007A0561">
        <w:rPr>
          <w:rFonts w:ascii="Arial" w:hAnsi="Arial" w:cs="Arial"/>
          <w:color w:val="231F20"/>
          <w:sz w:val="24"/>
          <w:szCs w:val="24"/>
          <w:lang w:val="es-ES_tradnl"/>
        </w:rPr>
        <w:t xml:space="preserve">González-Velosa, C., Ripani, L., and Rosas-Shady, D. (2012). </w:t>
      </w:r>
      <w:r w:rsidRPr="007A0561">
        <w:rPr>
          <w:rFonts w:ascii="Arial" w:hAnsi="Arial" w:cs="Arial"/>
          <w:color w:val="231F20"/>
          <w:sz w:val="24"/>
          <w:szCs w:val="24"/>
        </w:rPr>
        <w:t>“How Can Job Opportunities for Young People in Latin America be Improved?” Inter-American Development Bank: Labor Markets and Social Security Unit (SCL/LMK), Technical Notes No. IDB-TN-345.</w:t>
      </w:r>
    </w:p>
    <w:p w:rsidRPr="007A0561" w:rsidR="007A0561" w:rsidP="007A0561" w:rsidRDefault="007A0561" w14:paraId="44F6FA1E" w14:textId="77777777">
      <w:pPr>
        <w:autoSpaceDE w:val="0"/>
        <w:autoSpaceDN w:val="0"/>
        <w:adjustRightInd w:val="0"/>
        <w:spacing w:before="120" w:after="120" w:line="240" w:lineRule="auto"/>
        <w:ind w:left="360"/>
        <w:jc w:val="both"/>
        <w:rPr>
          <w:rFonts w:ascii="Arial" w:hAnsi="Arial" w:cs="Arial"/>
          <w:color w:val="231F20"/>
          <w:sz w:val="24"/>
          <w:szCs w:val="24"/>
        </w:rPr>
      </w:pPr>
      <w:r w:rsidRPr="007A0561">
        <w:rPr>
          <w:rFonts w:ascii="Arial" w:hAnsi="Arial" w:cs="Arial"/>
          <w:color w:val="231F20"/>
          <w:sz w:val="24"/>
          <w:szCs w:val="24"/>
        </w:rPr>
        <w:t>Gregory, Mary, and Robert Jukes. 2001. “Unemployment and Subsequent Earnings: Estimating Scarring Among British Men 1984-94.” Economic Journal, 111(474): 607-625.</w:t>
      </w:r>
    </w:p>
    <w:p w:rsidRPr="007A0561" w:rsidR="007A0561" w:rsidP="007A0561" w:rsidRDefault="007A0561" w14:paraId="07CBF059" w14:textId="77777777">
      <w:pPr>
        <w:autoSpaceDE w:val="0"/>
        <w:autoSpaceDN w:val="0"/>
        <w:adjustRightInd w:val="0"/>
        <w:spacing w:before="120" w:after="120" w:line="240" w:lineRule="auto"/>
        <w:ind w:left="360"/>
        <w:jc w:val="both"/>
        <w:rPr>
          <w:rFonts w:ascii="Arial" w:hAnsi="Arial" w:cs="Arial"/>
          <w:color w:val="231F20"/>
          <w:sz w:val="24"/>
          <w:szCs w:val="24"/>
        </w:rPr>
      </w:pPr>
      <w:proofErr w:type="spellStart"/>
      <w:r w:rsidRPr="007A0561">
        <w:rPr>
          <w:rFonts w:ascii="Arial" w:hAnsi="Arial" w:cs="Arial"/>
          <w:color w:val="231F20"/>
          <w:sz w:val="24"/>
          <w:szCs w:val="24"/>
        </w:rPr>
        <w:t>Guariglia</w:t>
      </w:r>
      <w:proofErr w:type="spellEnd"/>
      <w:r w:rsidRPr="007A0561">
        <w:rPr>
          <w:rFonts w:ascii="Arial" w:hAnsi="Arial" w:cs="Arial"/>
          <w:color w:val="231F20"/>
          <w:sz w:val="24"/>
          <w:szCs w:val="24"/>
        </w:rPr>
        <w:t>, A. and B.-Y. Kim (1999). ‘Unemployment risk, precautionary savings, and moonlighting in Russia’, William Davidson Institute Working Paper No. 232. University of Michigan</w:t>
      </w:r>
    </w:p>
    <w:p w:rsidRPr="007A0561" w:rsidR="007A0561" w:rsidP="007A0561" w:rsidRDefault="007A0561" w14:paraId="3E606DFC" w14:textId="308C5BA1">
      <w:pPr>
        <w:autoSpaceDE w:val="0"/>
        <w:autoSpaceDN w:val="0"/>
        <w:adjustRightInd w:val="0"/>
        <w:spacing w:before="120" w:after="120" w:line="240" w:lineRule="auto"/>
        <w:ind w:left="360"/>
        <w:jc w:val="both"/>
        <w:rPr>
          <w:rFonts w:ascii="Arial" w:hAnsi="Arial" w:cs="Arial"/>
          <w:color w:val="231F20"/>
          <w:sz w:val="24"/>
          <w:szCs w:val="24"/>
        </w:rPr>
      </w:pPr>
      <w:proofErr w:type="spellStart"/>
      <w:r w:rsidRPr="007A0561">
        <w:rPr>
          <w:rFonts w:ascii="Arial" w:hAnsi="Arial" w:cs="Arial"/>
          <w:color w:val="231F20"/>
          <w:sz w:val="24"/>
          <w:szCs w:val="24"/>
        </w:rPr>
        <w:t>Guarcello</w:t>
      </w:r>
      <w:proofErr w:type="spellEnd"/>
      <w:r w:rsidRPr="007A0561">
        <w:rPr>
          <w:rFonts w:ascii="Arial" w:hAnsi="Arial" w:cs="Arial"/>
          <w:color w:val="231F20"/>
          <w:sz w:val="24"/>
          <w:szCs w:val="24"/>
        </w:rPr>
        <w:t xml:space="preserve">, </w:t>
      </w:r>
      <w:proofErr w:type="spellStart"/>
      <w:r w:rsidRPr="007A0561">
        <w:rPr>
          <w:rFonts w:ascii="Arial" w:hAnsi="Arial" w:cs="Arial"/>
          <w:color w:val="231F20"/>
          <w:sz w:val="24"/>
          <w:szCs w:val="24"/>
        </w:rPr>
        <w:t>Mealli</w:t>
      </w:r>
      <w:proofErr w:type="spellEnd"/>
      <w:r w:rsidRPr="007A0561">
        <w:rPr>
          <w:rFonts w:ascii="Arial" w:hAnsi="Arial" w:cs="Arial"/>
          <w:color w:val="231F20"/>
          <w:sz w:val="24"/>
          <w:szCs w:val="24"/>
        </w:rPr>
        <w:t xml:space="preserve"> y Rosati (2010) “Household vulnerability and child labor: the effect of shocks, credit rationing, and insurance”.</w:t>
      </w:r>
    </w:p>
    <w:p w:rsidRPr="007A0561" w:rsidR="007A0561" w:rsidP="007A0561" w:rsidRDefault="007A0561" w14:paraId="12FEBB9E" w14:textId="6D4BA0EB">
      <w:pPr>
        <w:autoSpaceDE w:val="0"/>
        <w:autoSpaceDN w:val="0"/>
        <w:adjustRightInd w:val="0"/>
        <w:spacing w:before="120" w:after="120" w:line="240" w:lineRule="auto"/>
        <w:ind w:left="360"/>
        <w:jc w:val="both"/>
        <w:rPr>
          <w:rFonts w:ascii="Arial" w:hAnsi="Arial" w:cs="Arial"/>
          <w:color w:val="231F20"/>
          <w:sz w:val="24"/>
          <w:szCs w:val="24"/>
        </w:rPr>
      </w:pPr>
      <w:r w:rsidRPr="007A0561">
        <w:rPr>
          <w:rFonts w:ascii="Arial" w:hAnsi="Arial" w:cs="Arial"/>
          <w:color w:val="231F20"/>
          <w:sz w:val="24"/>
          <w:szCs w:val="24"/>
        </w:rPr>
        <w:t>Hargraves-Heap, S. P.1980.Choosing the wrong natural rate, accelerating inflation or decelerating unemployment and growth. Economic Journal 90(September):611-20</w:t>
      </w:r>
    </w:p>
    <w:p w:rsidRPr="007A0561" w:rsidR="007A0561" w:rsidP="007A0561" w:rsidRDefault="007A0561" w14:paraId="5DC8F2DE" w14:textId="77777777">
      <w:pPr>
        <w:autoSpaceDE w:val="0"/>
        <w:autoSpaceDN w:val="0"/>
        <w:adjustRightInd w:val="0"/>
        <w:spacing w:before="120" w:after="120" w:line="240" w:lineRule="auto"/>
        <w:ind w:left="360"/>
        <w:jc w:val="both"/>
        <w:rPr>
          <w:rFonts w:ascii="Arial" w:hAnsi="Arial" w:cs="Arial"/>
          <w:color w:val="231F20"/>
          <w:sz w:val="24"/>
          <w:szCs w:val="24"/>
        </w:rPr>
      </w:pPr>
      <w:r w:rsidRPr="007A0561">
        <w:rPr>
          <w:rFonts w:ascii="Arial" w:hAnsi="Arial" w:cs="Arial"/>
          <w:color w:val="231F20"/>
          <w:sz w:val="24"/>
          <w:szCs w:val="24"/>
        </w:rPr>
        <w:t xml:space="preserve">Heckman, J. J., Moon, S. H., Pinto, R., Savelyev, P., &amp; </w:t>
      </w:r>
      <w:proofErr w:type="spellStart"/>
      <w:r w:rsidRPr="007A0561">
        <w:rPr>
          <w:rFonts w:ascii="Arial" w:hAnsi="Arial" w:cs="Arial"/>
          <w:color w:val="231F20"/>
          <w:sz w:val="24"/>
          <w:szCs w:val="24"/>
        </w:rPr>
        <w:t>Yavitz</w:t>
      </w:r>
      <w:proofErr w:type="spellEnd"/>
      <w:r w:rsidRPr="007A0561">
        <w:rPr>
          <w:rFonts w:ascii="Arial" w:hAnsi="Arial" w:cs="Arial"/>
          <w:color w:val="231F20"/>
          <w:sz w:val="24"/>
          <w:szCs w:val="24"/>
        </w:rPr>
        <w:t>, A. (2010). A new cost-benefit and rate of return analysis for the Perry Preschool Program: A summary (No. w16180). National Bureau of Economic Research. http://www.nber.org/papers/w16180.pdf</w:t>
      </w:r>
    </w:p>
    <w:p w:rsidRPr="007A0561" w:rsidR="007A0561" w:rsidP="007A0561" w:rsidRDefault="007A0561" w14:paraId="14C6CF81" w14:textId="77777777">
      <w:pPr>
        <w:autoSpaceDE w:val="0"/>
        <w:autoSpaceDN w:val="0"/>
        <w:adjustRightInd w:val="0"/>
        <w:spacing w:before="120" w:after="120" w:line="240" w:lineRule="auto"/>
        <w:ind w:left="360"/>
        <w:jc w:val="both"/>
        <w:rPr>
          <w:rFonts w:ascii="Arial" w:hAnsi="Arial" w:cs="Arial"/>
          <w:color w:val="231F20"/>
          <w:sz w:val="24"/>
          <w:szCs w:val="24"/>
        </w:rPr>
      </w:pPr>
      <w:r w:rsidRPr="007A0561">
        <w:rPr>
          <w:rFonts w:ascii="Arial" w:hAnsi="Arial" w:cs="Arial"/>
          <w:color w:val="231F20"/>
          <w:sz w:val="24"/>
          <w:szCs w:val="24"/>
        </w:rPr>
        <w:t xml:space="preserve">Jacoby, H. and E. </w:t>
      </w:r>
      <w:proofErr w:type="spellStart"/>
      <w:r w:rsidRPr="007A0561">
        <w:rPr>
          <w:rFonts w:ascii="Arial" w:hAnsi="Arial" w:cs="Arial"/>
          <w:color w:val="231F20"/>
          <w:sz w:val="24"/>
          <w:szCs w:val="24"/>
        </w:rPr>
        <w:t>Skoufias</w:t>
      </w:r>
      <w:proofErr w:type="spellEnd"/>
      <w:r w:rsidRPr="007A0561">
        <w:rPr>
          <w:rFonts w:ascii="Arial" w:hAnsi="Arial" w:cs="Arial"/>
          <w:color w:val="231F20"/>
          <w:sz w:val="24"/>
          <w:szCs w:val="24"/>
        </w:rPr>
        <w:t xml:space="preserve"> (1998). ‘Testing theories of consumption behavior using information on aggregate shocks: Income seasonality and rainfall in rural India’, American Journal of Agricultural Economics, 80(1), (February), pp. 1—14.</w:t>
      </w:r>
    </w:p>
    <w:p w:rsidRPr="007A0561" w:rsidR="007A0561" w:rsidP="007A0561" w:rsidRDefault="007A0561" w14:paraId="7D124499" w14:textId="4111C008">
      <w:pPr>
        <w:autoSpaceDE w:val="0"/>
        <w:autoSpaceDN w:val="0"/>
        <w:adjustRightInd w:val="0"/>
        <w:spacing w:before="120" w:after="120" w:line="240" w:lineRule="auto"/>
        <w:ind w:left="360"/>
        <w:jc w:val="both"/>
        <w:rPr>
          <w:rFonts w:ascii="Arial" w:hAnsi="Arial" w:cs="Arial"/>
          <w:color w:val="231F20"/>
          <w:sz w:val="24"/>
          <w:szCs w:val="24"/>
        </w:rPr>
      </w:pPr>
      <w:proofErr w:type="spellStart"/>
      <w:r w:rsidRPr="007A0561">
        <w:rPr>
          <w:rFonts w:ascii="Arial" w:hAnsi="Arial" w:cs="Arial"/>
          <w:color w:val="231F20"/>
          <w:sz w:val="24"/>
          <w:szCs w:val="24"/>
        </w:rPr>
        <w:t>Karoly</w:t>
      </w:r>
      <w:proofErr w:type="spellEnd"/>
      <w:r w:rsidRPr="007A0561">
        <w:rPr>
          <w:rFonts w:ascii="Arial" w:hAnsi="Arial" w:cs="Arial"/>
          <w:color w:val="231F20"/>
          <w:sz w:val="24"/>
          <w:szCs w:val="24"/>
        </w:rPr>
        <w:t>, L. (2012), “Toward Standardization of Benefit-Cost Analysis of Early Childhood Interventions”, Journal of Benefit-Cost Analysis, Volume 3, Issue 1, Article 4.</w:t>
      </w:r>
    </w:p>
    <w:p w:rsidRPr="007A0561" w:rsidR="007A0561" w:rsidP="007A0561" w:rsidRDefault="007A0561" w14:paraId="6100CB8B" w14:textId="52327158">
      <w:pPr>
        <w:autoSpaceDE w:val="0"/>
        <w:autoSpaceDN w:val="0"/>
        <w:adjustRightInd w:val="0"/>
        <w:spacing w:before="120" w:after="120" w:line="240" w:lineRule="auto"/>
        <w:ind w:left="360"/>
        <w:jc w:val="both"/>
        <w:rPr>
          <w:rFonts w:ascii="Arial" w:hAnsi="Arial" w:cs="Arial"/>
          <w:color w:val="231F20"/>
          <w:sz w:val="24"/>
          <w:szCs w:val="24"/>
        </w:rPr>
      </w:pPr>
      <w:r w:rsidRPr="007A0561">
        <w:rPr>
          <w:rFonts w:ascii="Arial" w:hAnsi="Arial" w:cs="Arial"/>
          <w:color w:val="231F20"/>
          <w:sz w:val="24"/>
          <w:szCs w:val="24"/>
        </w:rPr>
        <w:lastRenderedPageBreak/>
        <w:t xml:space="preserve">James S. Kim, Jonathan </w:t>
      </w:r>
      <w:proofErr w:type="spellStart"/>
      <w:r w:rsidRPr="007A0561">
        <w:rPr>
          <w:rFonts w:ascii="Arial" w:hAnsi="Arial" w:cs="Arial"/>
          <w:color w:val="231F20"/>
          <w:sz w:val="24"/>
          <w:szCs w:val="24"/>
        </w:rPr>
        <w:t>Guryan</w:t>
      </w:r>
      <w:proofErr w:type="spellEnd"/>
      <w:r w:rsidRPr="007A0561">
        <w:rPr>
          <w:rFonts w:ascii="Arial" w:hAnsi="Arial" w:cs="Arial"/>
          <w:color w:val="231F20"/>
          <w:sz w:val="24"/>
          <w:szCs w:val="24"/>
        </w:rPr>
        <w:t xml:space="preserve">, Thomas G. White, David M. Quinn, Lauren </w:t>
      </w:r>
      <w:proofErr w:type="spellStart"/>
      <w:r w:rsidRPr="007A0561">
        <w:rPr>
          <w:rFonts w:ascii="Arial" w:hAnsi="Arial" w:cs="Arial"/>
          <w:color w:val="231F20"/>
          <w:sz w:val="24"/>
          <w:szCs w:val="24"/>
        </w:rPr>
        <w:t>Capotosto</w:t>
      </w:r>
      <w:proofErr w:type="spellEnd"/>
      <w:r w:rsidRPr="007A0561">
        <w:rPr>
          <w:rFonts w:ascii="Arial" w:hAnsi="Arial" w:cs="Arial"/>
          <w:color w:val="231F20"/>
          <w:sz w:val="24"/>
          <w:szCs w:val="24"/>
        </w:rPr>
        <w:t xml:space="preserve"> &amp; Helen Chen Kingston (2016) Delayed Effects of a Low-Cost and Large-Scale Summer Reading Intervention on Elementary School Children's Reading Comprehension, Journal of Research on Educational Effectiveness, 9:sup1, 1-22.</w:t>
      </w:r>
    </w:p>
    <w:p w:rsidRPr="007A0561" w:rsidR="007A0561" w:rsidP="007A0561" w:rsidRDefault="007A0561" w14:paraId="5D719EB8" w14:textId="06724F4D">
      <w:pPr>
        <w:autoSpaceDE w:val="0"/>
        <w:autoSpaceDN w:val="0"/>
        <w:adjustRightInd w:val="0"/>
        <w:spacing w:before="120" w:after="120" w:line="240" w:lineRule="auto"/>
        <w:ind w:left="360"/>
        <w:jc w:val="both"/>
        <w:rPr>
          <w:rFonts w:ascii="Arial" w:hAnsi="Arial" w:cs="Arial"/>
          <w:color w:val="231F20"/>
          <w:sz w:val="24"/>
          <w:szCs w:val="24"/>
        </w:rPr>
      </w:pPr>
      <w:r w:rsidRPr="007A0561">
        <w:rPr>
          <w:rFonts w:ascii="Arial" w:hAnsi="Arial" w:cs="Arial"/>
          <w:color w:val="231F20"/>
          <w:sz w:val="24"/>
          <w:szCs w:val="24"/>
        </w:rPr>
        <w:t>Kraft, M.A., &amp; Monti-Nussbaum, M. (2017). Can schools empower parents to prevent summer learning loss? A text messaging field experiment to promote literacy skills. The ANNALS of the American Academy of Political and Social Science.</w:t>
      </w:r>
    </w:p>
    <w:p w:rsidRPr="007A0561" w:rsidR="007A0561" w:rsidP="007A0561" w:rsidRDefault="007A0561" w14:paraId="707D83EA" w14:textId="77777777">
      <w:pPr>
        <w:autoSpaceDE w:val="0"/>
        <w:autoSpaceDN w:val="0"/>
        <w:adjustRightInd w:val="0"/>
        <w:spacing w:before="120" w:after="120" w:line="240" w:lineRule="auto"/>
        <w:ind w:left="360"/>
        <w:jc w:val="both"/>
        <w:rPr>
          <w:rFonts w:ascii="Arial" w:hAnsi="Arial" w:cs="Arial"/>
          <w:color w:val="231F20"/>
          <w:sz w:val="24"/>
          <w:szCs w:val="24"/>
        </w:rPr>
      </w:pPr>
      <w:r w:rsidRPr="007A0561">
        <w:rPr>
          <w:rFonts w:ascii="Arial" w:hAnsi="Arial" w:cs="Arial"/>
          <w:color w:val="231F20"/>
          <w:sz w:val="24"/>
          <w:szCs w:val="24"/>
          <w:lang w:val="es-ES_tradnl"/>
        </w:rPr>
        <w:t xml:space="preserve">Li Q, Guan X, Wu P, et al. </w:t>
      </w:r>
      <w:r w:rsidRPr="007A0561">
        <w:rPr>
          <w:rFonts w:ascii="Arial" w:hAnsi="Arial" w:cs="Arial"/>
          <w:color w:val="231F20"/>
          <w:sz w:val="24"/>
          <w:szCs w:val="24"/>
        </w:rPr>
        <w:t xml:space="preserve">Early transmission dynamics in Wuhan, China, of novel coronavirus-infected pneumonia. [published on January 29, 2020]. N </w:t>
      </w:r>
      <w:proofErr w:type="spellStart"/>
      <w:r w:rsidRPr="007A0561">
        <w:rPr>
          <w:rFonts w:ascii="Arial" w:hAnsi="Arial" w:cs="Arial"/>
          <w:color w:val="231F20"/>
          <w:sz w:val="24"/>
          <w:szCs w:val="24"/>
        </w:rPr>
        <w:t>Engl</w:t>
      </w:r>
      <w:proofErr w:type="spellEnd"/>
      <w:r w:rsidRPr="007A0561">
        <w:rPr>
          <w:rFonts w:ascii="Arial" w:hAnsi="Arial" w:cs="Arial"/>
          <w:color w:val="231F20"/>
          <w:sz w:val="24"/>
          <w:szCs w:val="24"/>
        </w:rPr>
        <w:t xml:space="preserve"> J Med. 2020.</w:t>
      </w:r>
    </w:p>
    <w:p w:rsidRPr="007A0561" w:rsidR="007A0561" w:rsidP="007A0561" w:rsidRDefault="007A0561" w14:paraId="24428887" w14:textId="77777777">
      <w:pPr>
        <w:autoSpaceDE w:val="0"/>
        <w:autoSpaceDN w:val="0"/>
        <w:adjustRightInd w:val="0"/>
        <w:spacing w:before="120" w:after="120" w:line="240" w:lineRule="auto"/>
        <w:ind w:left="360"/>
        <w:jc w:val="both"/>
        <w:rPr>
          <w:rFonts w:ascii="Arial" w:hAnsi="Arial" w:cs="Arial"/>
          <w:color w:val="231F20"/>
          <w:sz w:val="24"/>
          <w:szCs w:val="24"/>
        </w:rPr>
      </w:pPr>
      <w:r w:rsidRPr="007A0561">
        <w:rPr>
          <w:rFonts w:ascii="Arial" w:hAnsi="Arial" w:cs="Arial"/>
          <w:color w:val="231F20"/>
          <w:sz w:val="24"/>
          <w:szCs w:val="24"/>
        </w:rPr>
        <w:t>Lomborg, B. (Ed.). (2010). Latin American Development Priorities: Costs and Benefits. Cambridge University Press.</w:t>
      </w:r>
    </w:p>
    <w:p w:rsidRPr="007A0561" w:rsidR="007A0561" w:rsidP="007A0561" w:rsidRDefault="007A0561" w14:paraId="277C71B8" w14:textId="77777777">
      <w:pPr>
        <w:autoSpaceDE w:val="0"/>
        <w:autoSpaceDN w:val="0"/>
        <w:adjustRightInd w:val="0"/>
        <w:spacing w:before="120" w:after="120" w:line="240" w:lineRule="auto"/>
        <w:ind w:left="360"/>
        <w:jc w:val="both"/>
        <w:rPr>
          <w:rFonts w:ascii="Arial" w:hAnsi="Arial" w:cs="Arial"/>
          <w:color w:val="231F20"/>
          <w:sz w:val="24"/>
          <w:szCs w:val="24"/>
        </w:rPr>
      </w:pPr>
      <w:r w:rsidRPr="007A0561">
        <w:rPr>
          <w:rFonts w:ascii="Arial" w:hAnsi="Arial" w:cs="Arial"/>
          <w:color w:val="231F20"/>
          <w:sz w:val="24"/>
          <w:szCs w:val="24"/>
        </w:rPr>
        <w:t>López, H. (2008). The social discount rate: Estimates for nine Latin American countries. https://openknowledge.worldbank.org/handle/10986/6659</w:t>
      </w:r>
    </w:p>
    <w:p w:rsidRPr="007A0561" w:rsidR="007A0561" w:rsidP="007A0561" w:rsidRDefault="007A0561" w14:paraId="5B6FE56C" w14:textId="77777777">
      <w:pPr>
        <w:autoSpaceDE w:val="0"/>
        <w:autoSpaceDN w:val="0"/>
        <w:adjustRightInd w:val="0"/>
        <w:spacing w:before="120" w:after="120" w:line="240" w:lineRule="auto"/>
        <w:ind w:left="360"/>
        <w:jc w:val="both"/>
        <w:rPr>
          <w:rFonts w:ascii="Arial" w:hAnsi="Arial" w:cs="Arial"/>
          <w:color w:val="231F20"/>
          <w:sz w:val="24"/>
          <w:szCs w:val="24"/>
          <w:lang w:val="es-ES_tradnl"/>
        </w:rPr>
      </w:pPr>
      <w:r w:rsidRPr="007A0561">
        <w:rPr>
          <w:rFonts w:ascii="Arial" w:hAnsi="Arial" w:cs="Arial"/>
          <w:color w:val="231F20"/>
          <w:sz w:val="24"/>
          <w:szCs w:val="24"/>
          <w:lang w:val="es-ES_tradnl"/>
        </w:rPr>
        <w:t xml:space="preserve">Marconi, </w:t>
      </w:r>
      <w:proofErr w:type="gramStart"/>
      <w:r w:rsidRPr="007A0561">
        <w:rPr>
          <w:rFonts w:ascii="Arial" w:hAnsi="Arial" w:cs="Arial"/>
          <w:color w:val="231F20"/>
          <w:sz w:val="24"/>
          <w:szCs w:val="24"/>
          <w:lang w:val="es-ES_tradnl"/>
        </w:rPr>
        <w:t>C  (</w:t>
      </w:r>
      <w:proofErr w:type="gramEnd"/>
      <w:r w:rsidRPr="007A0561">
        <w:rPr>
          <w:rFonts w:ascii="Arial" w:hAnsi="Arial" w:cs="Arial"/>
          <w:color w:val="231F20"/>
          <w:sz w:val="24"/>
          <w:szCs w:val="24"/>
          <w:lang w:val="es-ES_tradnl"/>
        </w:rPr>
        <w:t>2016). Antecedentes y agenda de evaluación e investigación del Programa CEI 2013-2015: año 2013 “Evaluación de impacto sobre los aprendizajes”</w:t>
      </w:r>
    </w:p>
    <w:p w:rsidRPr="007A0561" w:rsidR="007A0561" w:rsidP="007A0561" w:rsidRDefault="007A0561" w14:paraId="40DEA6BB" w14:textId="53F7E520">
      <w:pPr>
        <w:autoSpaceDE w:val="0"/>
        <w:autoSpaceDN w:val="0"/>
        <w:adjustRightInd w:val="0"/>
        <w:spacing w:before="120" w:after="120" w:line="240" w:lineRule="auto"/>
        <w:ind w:left="360"/>
        <w:jc w:val="both"/>
        <w:rPr>
          <w:rFonts w:ascii="Arial" w:hAnsi="Arial" w:cs="Arial"/>
          <w:color w:val="231F20"/>
          <w:sz w:val="24"/>
          <w:szCs w:val="24"/>
        </w:rPr>
      </w:pPr>
      <w:r w:rsidRPr="007A0561">
        <w:rPr>
          <w:rFonts w:ascii="Arial" w:hAnsi="Arial" w:cs="Arial"/>
          <w:color w:val="231F20"/>
          <w:sz w:val="24"/>
          <w:szCs w:val="24"/>
        </w:rPr>
        <w:t xml:space="preserve">McIntosh E, Clarke PM, Frew </w:t>
      </w:r>
      <w:proofErr w:type="gramStart"/>
      <w:r w:rsidRPr="007A0561">
        <w:rPr>
          <w:rFonts w:ascii="Arial" w:hAnsi="Arial" w:cs="Arial"/>
          <w:color w:val="231F20"/>
          <w:sz w:val="24"/>
          <w:szCs w:val="24"/>
        </w:rPr>
        <w:t>EJ.(</w:t>
      </w:r>
      <w:proofErr w:type="gramEnd"/>
      <w:r w:rsidRPr="007A0561">
        <w:rPr>
          <w:rFonts w:ascii="Arial" w:hAnsi="Arial" w:cs="Arial"/>
          <w:color w:val="231F20"/>
          <w:sz w:val="24"/>
          <w:szCs w:val="24"/>
        </w:rPr>
        <w:t>2010) Applied Methods of Cost–Benefit Analysis in Health Care. Oxford, United Kingdom: Oxford University Press, 2010</w:t>
      </w:r>
    </w:p>
    <w:p w:rsidRPr="007A0561" w:rsidR="007A0561" w:rsidP="007A0561" w:rsidRDefault="007A0561" w14:paraId="78078DCD" w14:textId="77777777">
      <w:pPr>
        <w:autoSpaceDE w:val="0"/>
        <w:autoSpaceDN w:val="0"/>
        <w:adjustRightInd w:val="0"/>
        <w:spacing w:before="120" w:after="120" w:line="240" w:lineRule="auto"/>
        <w:ind w:left="360"/>
        <w:jc w:val="both"/>
        <w:rPr>
          <w:rFonts w:ascii="Arial" w:hAnsi="Arial" w:cs="Arial"/>
          <w:color w:val="231F20"/>
          <w:sz w:val="24"/>
          <w:szCs w:val="24"/>
        </w:rPr>
      </w:pPr>
      <w:r w:rsidRPr="007A0561">
        <w:rPr>
          <w:rFonts w:ascii="Arial" w:hAnsi="Arial" w:cs="Arial"/>
          <w:color w:val="231F20"/>
          <w:sz w:val="24"/>
          <w:szCs w:val="24"/>
        </w:rPr>
        <w:t>Martínez, R., y Fernández, A. (2008). The cost of hunger: social and economic impact of child undernutrition in Central America and the Dominican Republic. ECLAC.</w:t>
      </w:r>
    </w:p>
    <w:p w:rsidRPr="007A0561" w:rsidR="007A0561" w:rsidP="007A0561" w:rsidRDefault="007A0561" w14:paraId="5C2F3F99" w14:textId="79E20967">
      <w:pPr>
        <w:autoSpaceDE w:val="0"/>
        <w:autoSpaceDN w:val="0"/>
        <w:adjustRightInd w:val="0"/>
        <w:spacing w:before="120" w:after="120" w:line="240" w:lineRule="auto"/>
        <w:ind w:left="360"/>
        <w:jc w:val="both"/>
        <w:rPr>
          <w:rFonts w:ascii="Arial" w:hAnsi="Arial" w:cs="Arial"/>
          <w:color w:val="231F20"/>
          <w:sz w:val="24"/>
          <w:szCs w:val="24"/>
        </w:rPr>
      </w:pPr>
      <w:r w:rsidRPr="007A0561">
        <w:rPr>
          <w:rFonts w:ascii="Arial" w:hAnsi="Arial" w:cs="Arial"/>
          <w:color w:val="231F20"/>
          <w:sz w:val="24"/>
          <w:szCs w:val="24"/>
        </w:rPr>
        <w:t>Morduch, J. (1995). ‘Income smoothing and consumption smoothing’, Journal of Economic Perspectives, 9 (Summer), pp. 103—114.</w:t>
      </w:r>
    </w:p>
    <w:p w:rsidRPr="007A0561" w:rsidR="007A0561" w:rsidP="007A0561" w:rsidRDefault="007A0561" w14:paraId="77CBE106" w14:textId="3B3E3B75">
      <w:pPr>
        <w:autoSpaceDE w:val="0"/>
        <w:autoSpaceDN w:val="0"/>
        <w:adjustRightInd w:val="0"/>
        <w:spacing w:before="120" w:after="120" w:line="240" w:lineRule="auto"/>
        <w:ind w:left="360"/>
        <w:jc w:val="both"/>
        <w:rPr>
          <w:rFonts w:ascii="Arial" w:hAnsi="Arial" w:cs="Arial"/>
          <w:color w:val="231F20"/>
          <w:sz w:val="24"/>
          <w:szCs w:val="24"/>
        </w:rPr>
      </w:pPr>
      <w:r w:rsidRPr="007A0561">
        <w:rPr>
          <w:rFonts w:ascii="Arial" w:hAnsi="Arial" w:cs="Arial"/>
          <w:color w:val="231F20"/>
          <w:sz w:val="24"/>
          <w:szCs w:val="24"/>
        </w:rPr>
        <w:t>Neal, Derek. 1995. “Industry-Specific Human Capital: Evidence from Displaced Workers.” Journal of Labor Economics, 13(4): 653-677.</w:t>
      </w:r>
    </w:p>
    <w:p w:rsidRPr="007A0561" w:rsidR="007A0561" w:rsidP="007A0561" w:rsidRDefault="007A0561" w14:paraId="5D7BC6DA" w14:textId="5AB76E0C">
      <w:pPr>
        <w:autoSpaceDE w:val="0"/>
        <w:autoSpaceDN w:val="0"/>
        <w:adjustRightInd w:val="0"/>
        <w:spacing w:before="120" w:after="120" w:line="240" w:lineRule="auto"/>
        <w:ind w:left="360"/>
        <w:jc w:val="both"/>
        <w:rPr>
          <w:rFonts w:ascii="Arial" w:hAnsi="Arial" w:cs="Arial"/>
          <w:color w:val="231F20"/>
          <w:sz w:val="24"/>
          <w:szCs w:val="24"/>
          <w:lang w:val="es-ES_tradnl"/>
        </w:rPr>
      </w:pPr>
      <w:proofErr w:type="spellStart"/>
      <w:r w:rsidRPr="007A0561">
        <w:rPr>
          <w:rFonts w:ascii="Arial" w:hAnsi="Arial" w:cs="Arial"/>
          <w:color w:val="231F20"/>
          <w:sz w:val="24"/>
          <w:szCs w:val="24"/>
        </w:rPr>
        <w:t>Observatorio</w:t>
      </w:r>
      <w:proofErr w:type="spellEnd"/>
      <w:r w:rsidRPr="007A0561">
        <w:rPr>
          <w:rFonts w:ascii="Arial" w:hAnsi="Arial" w:cs="Arial"/>
          <w:color w:val="231F20"/>
          <w:sz w:val="24"/>
          <w:szCs w:val="24"/>
        </w:rPr>
        <w:t xml:space="preserve"> Social del Ecuador (2018). </w:t>
      </w:r>
      <w:r w:rsidRPr="007A0561">
        <w:rPr>
          <w:rFonts w:ascii="Arial" w:hAnsi="Arial" w:cs="Arial"/>
          <w:color w:val="231F20"/>
          <w:sz w:val="24"/>
          <w:szCs w:val="24"/>
          <w:lang w:val="es-ES_tradnl"/>
        </w:rPr>
        <w:t>Situación de la niñez y adolescencia en el Ecuador, una mirada a través de los ODS.</w:t>
      </w:r>
    </w:p>
    <w:p w:rsidRPr="007A0561" w:rsidR="007A0561" w:rsidP="007A0561" w:rsidRDefault="007A0561" w14:paraId="38E75DF9" w14:textId="49E7A4EF">
      <w:pPr>
        <w:autoSpaceDE w:val="0"/>
        <w:autoSpaceDN w:val="0"/>
        <w:adjustRightInd w:val="0"/>
        <w:spacing w:before="120" w:after="120" w:line="240" w:lineRule="auto"/>
        <w:ind w:left="360"/>
        <w:jc w:val="both"/>
        <w:rPr>
          <w:rFonts w:ascii="Arial" w:hAnsi="Arial" w:cs="Arial"/>
          <w:color w:val="231F20"/>
          <w:sz w:val="24"/>
          <w:szCs w:val="24"/>
        </w:rPr>
      </w:pPr>
      <w:r w:rsidRPr="007A0561">
        <w:rPr>
          <w:rFonts w:ascii="Arial" w:hAnsi="Arial" w:cs="Arial"/>
          <w:color w:val="231F20"/>
          <w:sz w:val="24"/>
          <w:szCs w:val="24"/>
        </w:rPr>
        <w:t>Paxson, C. (1992). Using Weather Variability to Estimate the Response of Savings to Transitory Income in Thailand. The American Economic Review, 82(1), 15-33. Retrieved April 10, 2020, from www.jstor.org/stable/2117600</w:t>
      </w:r>
    </w:p>
    <w:p w:rsidRPr="007A0561" w:rsidR="007A0561" w:rsidP="007A0561" w:rsidRDefault="007A0561" w14:paraId="1F0CFCE4" w14:textId="26C2745C">
      <w:pPr>
        <w:autoSpaceDE w:val="0"/>
        <w:autoSpaceDN w:val="0"/>
        <w:adjustRightInd w:val="0"/>
        <w:spacing w:before="120" w:after="120" w:line="240" w:lineRule="auto"/>
        <w:ind w:left="360"/>
        <w:jc w:val="both"/>
        <w:rPr>
          <w:rFonts w:ascii="Arial" w:hAnsi="Arial" w:cs="Arial"/>
          <w:color w:val="231F20"/>
          <w:sz w:val="24"/>
          <w:szCs w:val="24"/>
          <w:lang w:val="es-ES_tradnl"/>
        </w:rPr>
      </w:pPr>
      <w:r w:rsidRPr="007A0561">
        <w:rPr>
          <w:rFonts w:ascii="Arial" w:hAnsi="Arial" w:cs="Arial"/>
          <w:color w:val="231F20"/>
          <w:sz w:val="24"/>
          <w:szCs w:val="24"/>
          <w:lang w:val="es-ES_tradnl"/>
        </w:rPr>
        <w:t xml:space="preserve">Perera M, </w:t>
      </w:r>
      <w:proofErr w:type="spellStart"/>
      <w:r w:rsidRPr="007A0561">
        <w:rPr>
          <w:rFonts w:ascii="Arial" w:hAnsi="Arial" w:cs="Arial"/>
          <w:color w:val="231F20"/>
          <w:sz w:val="24"/>
          <w:szCs w:val="24"/>
          <w:lang w:val="es-ES_tradnl"/>
        </w:rPr>
        <w:t>Aboal</w:t>
      </w:r>
      <w:proofErr w:type="spellEnd"/>
      <w:r w:rsidRPr="007A0561">
        <w:rPr>
          <w:rFonts w:ascii="Arial" w:hAnsi="Arial" w:cs="Arial"/>
          <w:color w:val="231F20"/>
          <w:sz w:val="24"/>
          <w:szCs w:val="24"/>
          <w:lang w:val="es-ES_tradnl"/>
        </w:rPr>
        <w:t xml:space="preserve"> D, (2017) “Evaluación del Impacto de la Plataforma Adaptativa de Matemática en los resultados de los Aprendizajes”)</w:t>
      </w:r>
    </w:p>
    <w:p w:rsidRPr="007A0561" w:rsidR="007A0561" w:rsidP="007A0561" w:rsidRDefault="007A0561" w14:paraId="704A5DE6" w14:textId="20386A32">
      <w:pPr>
        <w:autoSpaceDE w:val="0"/>
        <w:autoSpaceDN w:val="0"/>
        <w:adjustRightInd w:val="0"/>
        <w:spacing w:before="120" w:after="120" w:line="240" w:lineRule="auto"/>
        <w:ind w:left="360"/>
        <w:jc w:val="both"/>
        <w:rPr>
          <w:rFonts w:ascii="Arial" w:hAnsi="Arial" w:cs="Arial"/>
          <w:color w:val="231F20"/>
          <w:sz w:val="24"/>
          <w:szCs w:val="24"/>
          <w:lang w:val="es-ES_tradnl"/>
        </w:rPr>
      </w:pPr>
      <w:proofErr w:type="spellStart"/>
      <w:proofErr w:type="gramStart"/>
      <w:r w:rsidRPr="007A0561">
        <w:rPr>
          <w:rFonts w:ascii="Arial" w:hAnsi="Arial" w:cs="Arial"/>
          <w:color w:val="231F20"/>
          <w:sz w:val="24"/>
          <w:szCs w:val="24"/>
        </w:rPr>
        <w:t>Phelps,E</w:t>
      </w:r>
      <w:proofErr w:type="spellEnd"/>
      <w:r w:rsidRPr="007A0561">
        <w:rPr>
          <w:rFonts w:ascii="Arial" w:hAnsi="Arial" w:cs="Arial"/>
          <w:color w:val="231F20"/>
          <w:sz w:val="24"/>
          <w:szCs w:val="24"/>
        </w:rPr>
        <w:t>.</w:t>
      </w:r>
      <w:proofErr w:type="gramEnd"/>
      <w:r w:rsidRPr="007A0561">
        <w:rPr>
          <w:rFonts w:ascii="Arial" w:hAnsi="Arial" w:cs="Arial"/>
          <w:color w:val="231F20"/>
          <w:sz w:val="24"/>
          <w:szCs w:val="24"/>
        </w:rPr>
        <w:t xml:space="preserve"> 1972.Inflation policy and unemployment theory. </w:t>
      </w:r>
      <w:proofErr w:type="spellStart"/>
      <w:proofErr w:type="gramStart"/>
      <w:r w:rsidRPr="007A0561">
        <w:rPr>
          <w:rFonts w:ascii="Arial" w:hAnsi="Arial" w:cs="Arial"/>
          <w:color w:val="231F20"/>
          <w:sz w:val="24"/>
          <w:szCs w:val="24"/>
          <w:lang w:val="es-ES_tradnl"/>
        </w:rPr>
        <w:t>NewYork:Norton</w:t>
      </w:r>
      <w:proofErr w:type="spellEnd"/>
      <w:proofErr w:type="gramEnd"/>
      <w:r w:rsidRPr="007A0561">
        <w:rPr>
          <w:rFonts w:ascii="Arial" w:hAnsi="Arial" w:cs="Arial"/>
          <w:color w:val="231F20"/>
          <w:sz w:val="24"/>
          <w:szCs w:val="24"/>
          <w:lang w:val="es-ES_tradnl"/>
        </w:rPr>
        <w:t>.</w:t>
      </w:r>
    </w:p>
    <w:p w:rsidRPr="007A0561" w:rsidR="007A0561" w:rsidP="007A0561" w:rsidRDefault="007A0561" w14:paraId="38AF253B" w14:textId="0D1E453C">
      <w:pPr>
        <w:autoSpaceDE w:val="0"/>
        <w:autoSpaceDN w:val="0"/>
        <w:adjustRightInd w:val="0"/>
        <w:spacing w:before="120" w:after="120" w:line="240" w:lineRule="auto"/>
        <w:ind w:left="360"/>
        <w:jc w:val="both"/>
        <w:rPr>
          <w:rFonts w:ascii="Arial" w:hAnsi="Arial" w:cs="Arial"/>
          <w:color w:val="231F20"/>
          <w:sz w:val="24"/>
          <w:szCs w:val="24"/>
          <w:lang w:val="es-ES_tradnl"/>
        </w:rPr>
      </w:pPr>
      <w:r w:rsidRPr="007A0561">
        <w:rPr>
          <w:rFonts w:ascii="Arial" w:hAnsi="Arial" w:cs="Arial"/>
          <w:color w:val="231F20"/>
          <w:sz w:val="24"/>
          <w:szCs w:val="24"/>
          <w:lang w:val="es-ES_tradnl"/>
        </w:rPr>
        <w:t>Rodríguez Cisneros (2016), “Determinantes de la deserción escolar en la educación secundaria asociados a las características de las instituciones educativas en el Ecuador”. Pontificia Universidad Católica del Ecuador.</w:t>
      </w:r>
    </w:p>
    <w:p w:rsidRPr="007A0561" w:rsidR="007A0561" w:rsidP="007A0561" w:rsidRDefault="007A0561" w14:paraId="793FE97F" w14:textId="77777777">
      <w:pPr>
        <w:autoSpaceDE w:val="0"/>
        <w:autoSpaceDN w:val="0"/>
        <w:adjustRightInd w:val="0"/>
        <w:spacing w:before="120" w:after="120" w:line="240" w:lineRule="auto"/>
        <w:ind w:left="360"/>
        <w:jc w:val="both"/>
        <w:rPr>
          <w:rFonts w:ascii="Arial" w:hAnsi="Arial" w:cs="Arial"/>
          <w:color w:val="231F20"/>
          <w:sz w:val="24"/>
          <w:szCs w:val="24"/>
        </w:rPr>
      </w:pPr>
      <w:r w:rsidRPr="007A0561">
        <w:rPr>
          <w:rFonts w:ascii="Arial" w:hAnsi="Arial" w:cs="Arial"/>
          <w:color w:val="231F20"/>
          <w:sz w:val="24"/>
          <w:szCs w:val="24"/>
          <w:lang w:val="es-ES_tradnl"/>
        </w:rPr>
        <w:lastRenderedPageBreak/>
        <w:t xml:space="preserve">Siegel, J. E., Weinstein, M. C., Russell, L. B., &amp; Gold, M. R. (1996). </w:t>
      </w:r>
      <w:r w:rsidRPr="007A0561">
        <w:rPr>
          <w:rFonts w:ascii="Arial" w:hAnsi="Arial" w:cs="Arial"/>
          <w:color w:val="231F20"/>
          <w:sz w:val="24"/>
          <w:szCs w:val="24"/>
        </w:rPr>
        <w:t>Recommendations for reporting cost-effectiveness analyses. Jama, 276(16), 1339-1341</w:t>
      </w:r>
    </w:p>
    <w:p w:rsidRPr="007A0561" w:rsidR="007A0561" w:rsidP="007A0561" w:rsidRDefault="007A0561" w14:paraId="4DF62671" w14:textId="77777777">
      <w:pPr>
        <w:autoSpaceDE w:val="0"/>
        <w:autoSpaceDN w:val="0"/>
        <w:adjustRightInd w:val="0"/>
        <w:spacing w:before="120" w:after="120" w:line="240" w:lineRule="auto"/>
        <w:ind w:left="360"/>
        <w:jc w:val="both"/>
        <w:rPr>
          <w:rFonts w:ascii="Arial" w:hAnsi="Arial" w:cs="Arial"/>
          <w:color w:val="231F20"/>
          <w:sz w:val="24"/>
          <w:szCs w:val="24"/>
        </w:rPr>
      </w:pPr>
      <w:proofErr w:type="spellStart"/>
      <w:r w:rsidRPr="007A0561">
        <w:rPr>
          <w:rFonts w:ascii="Arial" w:hAnsi="Arial" w:cs="Arial"/>
          <w:color w:val="231F20"/>
          <w:sz w:val="24"/>
          <w:szCs w:val="24"/>
        </w:rPr>
        <w:t>Schmieder</w:t>
      </w:r>
      <w:proofErr w:type="spellEnd"/>
      <w:r w:rsidRPr="007A0561">
        <w:rPr>
          <w:rFonts w:ascii="Arial" w:hAnsi="Arial" w:cs="Arial"/>
          <w:color w:val="231F20"/>
          <w:sz w:val="24"/>
          <w:szCs w:val="24"/>
        </w:rPr>
        <w:t>, Johannes F., Till von Wachter, and Stefan Bender. 2013. “The Causal Effect of Unemployment Duration on Wages: Evidence from Unemployment Insurance Extensions.” Working Paper</w:t>
      </w:r>
    </w:p>
    <w:p w:rsidRPr="007A0561" w:rsidR="007A0561" w:rsidP="007A0561" w:rsidRDefault="007A0561" w14:paraId="32342559" w14:textId="77777777">
      <w:pPr>
        <w:autoSpaceDE w:val="0"/>
        <w:autoSpaceDN w:val="0"/>
        <w:adjustRightInd w:val="0"/>
        <w:spacing w:before="120" w:after="120" w:line="240" w:lineRule="auto"/>
        <w:ind w:left="360"/>
        <w:jc w:val="both"/>
        <w:rPr>
          <w:rFonts w:ascii="Arial" w:hAnsi="Arial" w:cs="Arial"/>
          <w:color w:val="231F20"/>
          <w:sz w:val="24"/>
          <w:szCs w:val="24"/>
        </w:rPr>
      </w:pPr>
      <w:proofErr w:type="spellStart"/>
      <w:r w:rsidRPr="007A0561">
        <w:rPr>
          <w:rFonts w:ascii="Arial" w:hAnsi="Arial" w:cs="Arial"/>
          <w:color w:val="231F20"/>
          <w:sz w:val="24"/>
          <w:szCs w:val="24"/>
        </w:rPr>
        <w:t>Skoufias</w:t>
      </w:r>
      <w:proofErr w:type="spellEnd"/>
      <w:r w:rsidRPr="007A0561">
        <w:rPr>
          <w:rFonts w:ascii="Arial" w:hAnsi="Arial" w:cs="Arial"/>
          <w:color w:val="231F20"/>
          <w:sz w:val="24"/>
          <w:szCs w:val="24"/>
        </w:rPr>
        <w:t xml:space="preserve"> (2004). “Consumption smoothing during the economic transition in Bulgaria”. Journal of Comparative Economics Vol. 32.</w:t>
      </w:r>
    </w:p>
    <w:p w:rsidRPr="007A0561" w:rsidR="007A0561" w:rsidP="007A0561" w:rsidRDefault="007A0561" w14:paraId="158983CD" w14:textId="768C13DC">
      <w:pPr>
        <w:autoSpaceDE w:val="0"/>
        <w:autoSpaceDN w:val="0"/>
        <w:adjustRightInd w:val="0"/>
        <w:spacing w:before="120" w:after="120" w:line="240" w:lineRule="auto"/>
        <w:ind w:left="360"/>
        <w:jc w:val="both"/>
        <w:rPr>
          <w:rFonts w:ascii="Arial" w:hAnsi="Arial" w:cs="Arial"/>
          <w:color w:val="231F20"/>
          <w:sz w:val="24"/>
          <w:szCs w:val="24"/>
        </w:rPr>
      </w:pPr>
      <w:proofErr w:type="spellStart"/>
      <w:r w:rsidRPr="007A0561">
        <w:rPr>
          <w:rFonts w:ascii="Arial" w:hAnsi="Arial" w:cs="Arial"/>
          <w:color w:val="231F20"/>
          <w:sz w:val="24"/>
          <w:szCs w:val="24"/>
        </w:rPr>
        <w:t>Skoufias</w:t>
      </w:r>
      <w:proofErr w:type="spellEnd"/>
      <w:r w:rsidRPr="007A0561">
        <w:rPr>
          <w:rFonts w:ascii="Arial" w:hAnsi="Arial" w:cs="Arial"/>
          <w:color w:val="231F20"/>
          <w:sz w:val="24"/>
          <w:szCs w:val="24"/>
        </w:rPr>
        <w:t xml:space="preserve"> (2003) “Consumption smoothing in Russia: Evidence from the RLMS”. Economics of Transition Volume 11</w:t>
      </w:r>
    </w:p>
    <w:p w:rsidRPr="007A0561" w:rsidR="007A0561" w:rsidP="007A0561" w:rsidRDefault="007A0561" w14:paraId="4B995268" w14:textId="77777777">
      <w:pPr>
        <w:autoSpaceDE w:val="0"/>
        <w:autoSpaceDN w:val="0"/>
        <w:adjustRightInd w:val="0"/>
        <w:spacing w:before="120" w:after="120" w:line="240" w:lineRule="auto"/>
        <w:ind w:left="360"/>
        <w:jc w:val="both"/>
        <w:rPr>
          <w:rFonts w:ascii="Arial" w:hAnsi="Arial" w:cs="Arial"/>
          <w:color w:val="231F20"/>
          <w:sz w:val="24"/>
          <w:szCs w:val="24"/>
        </w:rPr>
      </w:pPr>
      <w:proofErr w:type="spellStart"/>
      <w:r w:rsidRPr="007A0561">
        <w:rPr>
          <w:rFonts w:ascii="Arial" w:hAnsi="Arial" w:cs="Arial"/>
          <w:color w:val="231F20"/>
          <w:sz w:val="24"/>
          <w:szCs w:val="24"/>
        </w:rPr>
        <w:t>Udry</w:t>
      </w:r>
      <w:proofErr w:type="spellEnd"/>
      <w:r w:rsidRPr="007A0561">
        <w:rPr>
          <w:rFonts w:ascii="Arial" w:hAnsi="Arial" w:cs="Arial"/>
          <w:color w:val="231F20"/>
          <w:sz w:val="24"/>
          <w:szCs w:val="24"/>
        </w:rPr>
        <w:t xml:space="preserve"> C., Credit Markets in Northern Nigeria: Credit as Insurance in a Rural Economy, The World Bank Economic Review, Volume 4, Issue 3, September 1990, Pages 251–269, https://doi.org/10.1093/wber/4.3.251</w:t>
      </w:r>
    </w:p>
    <w:p w:rsidRPr="007A0561" w:rsidR="007A0561" w:rsidP="007A0561" w:rsidRDefault="007A0561" w14:paraId="53FB465B" w14:textId="77777777">
      <w:pPr>
        <w:autoSpaceDE w:val="0"/>
        <w:autoSpaceDN w:val="0"/>
        <w:adjustRightInd w:val="0"/>
        <w:spacing w:before="120" w:after="120" w:line="240" w:lineRule="auto"/>
        <w:ind w:left="360"/>
        <w:jc w:val="both"/>
        <w:rPr>
          <w:rFonts w:ascii="Arial" w:hAnsi="Arial" w:cs="Arial"/>
          <w:color w:val="231F20"/>
          <w:sz w:val="24"/>
          <w:szCs w:val="24"/>
        </w:rPr>
      </w:pPr>
      <w:r w:rsidRPr="007A0561">
        <w:rPr>
          <w:rFonts w:ascii="Arial" w:hAnsi="Arial" w:cs="Arial"/>
          <w:color w:val="231F20"/>
          <w:sz w:val="24"/>
          <w:szCs w:val="24"/>
        </w:rPr>
        <w:t xml:space="preserve">Wu Z, McGoogan JM. Characteristics of and Important Lessons from the Coronavirus Disease 2019 (COVID-19) Outbreak in China: Summary of a Report of 72 314 Cases </w:t>
      </w:r>
      <w:proofErr w:type="gramStart"/>
      <w:r w:rsidRPr="007A0561">
        <w:rPr>
          <w:rFonts w:ascii="Arial" w:hAnsi="Arial" w:cs="Arial"/>
          <w:color w:val="231F20"/>
          <w:sz w:val="24"/>
          <w:szCs w:val="24"/>
        </w:rPr>
        <w:t>From</w:t>
      </w:r>
      <w:proofErr w:type="gramEnd"/>
      <w:r w:rsidRPr="007A0561">
        <w:rPr>
          <w:rFonts w:ascii="Arial" w:hAnsi="Arial" w:cs="Arial"/>
          <w:color w:val="231F20"/>
          <w:sz w:val="24"/>
          <w:szCs w:val="24"/>
        </w:rPr>
        <w:t xml:space="preserve"> the Chinese Center for Disease Control and Prevention. JAMA. Published online February 24, 2020.</w:t>
      </w:r>
    </w:p>
    <w:p w:rsidRPr="007A0561" w:rsidR="007A0561" w:rsidP="007A0561" w:rsidRDefault="007A0561" w14:paraId="69C70472" w14:textId="77777777">
      <w:pPr>
        <w:autoSpaceDE w:val="0"/>
        <w:autoSpaceDN w:val="0"/>
        <w:adjustRightInd w:val="0"/>
        <w:spacing w:before="120" w:after="120" w:line="240" w:lineRule="auto"/>
        <w:ind w:left="360"/>
        <w:jc w:val="both"/>
        <w:rPr>
          <w:rFonts w:ascii="Arial" w:hAnsi="Arial" w:cs="Arial"/>
          <w:color w:val="231F20"/>
          <w:sz w:val="24"/>
          <w:szCs w:val="24"/>
        </w:rPr>
      </w:pPr>
      <w:r w:rsidRPr="007A0561">
        <w:rPr>
          <w:rFonts w:ascii="Arial" w:hAnsi="Arial" w:cs="Arial"/>
          <w:color w:val="231F20"/>
          <w:sz w:val="24"/>
          <w:szCs w:val="24"/>
        </w:rPr>
        <w:t xml:space="preserve">Zhuang, J., Liang, Z., Lin, T., &amp; De Guzman, F. (2007). Theory and Practice in the Choice of Social Discount Rate for Cost-Benefit Analysis: A Survey (ERD Working Paper No. 94). Asian Development Bank, Manila, Philippines. Retrieved </w:t>
      </w:r>
      <w:proofErr w:type="gramStart"/>
      <w:r w:rsidRPr="007A0561">
        <w:rPr>
          <w:rFonts w:ascii="Arial" w:hAnsi="Arial" w:cs="Arial"/>
          <w:color w:val="231F20"/>
          <w:sz w:val="24"/>
          <w:szCs w:val="24"/>
        </w:rPr>
        <w:t>December,</w:t>
      </w:r>
      <w:proofErr w:type="gramEnd"/>
      <w:r w:rsidRPr="007A0561">
        <w:rPr>
          <w:rFonts w:ascii="Arial" w:hAnsi="Arial" w:cs="Arial"/>
          <w:color w:val="231F20"/>
          <w:sz w:val="24"/>
          <w:szCs w:val="24"/>
        </w:rPr>
        <w:t xml:space="preserve"> 7, 2009. http://facweb.knowlton.ohio-state.edu/pviton/courses/crp6600/zhuang_etal.pdf</w:t>
      </w:r>
    </w:p>
    <w:p w:rsidRPr="00F30598" w:rsidR="00EB367E" w:rsidP="006F53C9" w:rsidRDefault="00EB367E" w14:paraId="612E81DA" w14:textId="4AD6BC40">
      <w:pPr>
        <w:autoSpaceDE w:val="0"/>
        <w:autoSpaceDN w:val="0"/>
        <w:adjustRightInd w:val="0"/>
        <w:spacing w:before="120" w:after="120" w:line="240" w:lineRule="auto"/>
        <w:ind w:left="360"/>
        <w:jc w:val="both"/>
        <w:rPr>
          <w:rFonts w:ascii="Arial" w:hAnsi="Arial" w:cs="Arial"/>
          <w:color w:val="231F20"/>
          <w:sz w:val="24"/>
          <w:szCs w:val="24"/>
        </w:rPr>
      </w:pPr>
    </w:p>
    <w:sectPr w:rsidRPr="00F30598" w:rsidR="00EB367E" w:rsidSect="00584928">
      <w:headerReference w:type="default" r:id="rId51"/>
      <w:footerReference w:type="default" r:id="rId52"/>
      <w:pgSz w:w="12240" w:h="15840"/>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D50C4" w:rsidP="001271DE" w:rsidRDefault="00CD50C4" w14:paraId="6CEE4BE6" w14:textId="77777777">
      <w:pPr>
        <w:spacing w:after="0" w:line="240" w:lineRule="auto"/>
      </w:pPr>
      <w:r>
        <w:separator/>
      </w:r>
    </w:p>
  </w:endnote>
  <w:endnote w:type="continuationSeparator" w:id="0">
    <w:p w:rsidR="00CD50C4" w:rsidP="001271DE" w:rsidRDefault="00CD50C4" w14:paraId="6D3CFF2C" w14:textId="77777777">
      <w:pPr>
        <w:spacing w:after="0" w:line="240" w:lineRule="auto"/>
      </w:pPr>
      <w:r>
        <w:continuationSeparator/>
      </w:r>
    </w:p>
  </w:endnote>
  <w:endnote w:type="continuationNotice" w:id="1">
    <w:p w:rsidR="00383BEB" w:rsidRDefault="00383BEB" w14:paraId="64153E5C"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roman"/>
    <w:notTrueType/>
    <w:pitch w:val="default"/>
  </w:font>
  <w:font w:name="Arial-BoldMT">
    <w:altName w:val="Arial"/>
    <w:panose1 w:val="00000000000000000000"/>
    <w:charset w:val="00"/>
    <w:family w:val="roman"/>
    <w:notTrueType/>
    <w:pitch w:val="default"/>
  </w:font>
  <w:font w:name="Arial Bold">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59974870"/>
      <w:docPartObj>
        <w:docPartGallery w:val="Page Numbers (Bottom of Page)"/>
        <w:docPartUnique/>
      </w:docPartObj>
    </w:sdtPr>
    <w:sdtEndPr>
      <w:rPr>
        <w:noProof/>
      </w:rPr>
    </w:sdtEndPr>
    <w:sdtContent>
      <w:p w:rsidR="003C4982" w:rsidRDefault="00BD4265" w14:paraId="135C53CA" w14:textId="6267E67B">
        <w:pPr>
          <w:pStyle w:val="Footer"/>
          <w:jc w:val="right"/>
        </w:pPr>
      </w:p>
    </w:sdtContent>
  </w:sdt>
  <w:p w:rsidR="003C4982" w:rsidRDefault="003C4982" w14:paraId="61868969"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D50C4" w:rsidP="001271DE" w:rsidRDefault="00CD50C4" w14:paraId="63CDDD65" w14:textId="77777777">
      <w:pPr>
        <w:spacing w:after="0" w:line="240" w:lineRule="auto"/>
      </w:pPr>
      <w:r>
        <w:separator/>
      </w:r>
    </w:p>
  </w:footnote>
  <w:footnote w:type="continuationSeparator" w:id="0">
    <w:p w:rsidR="00CD50C4" w:rsidP="001271DE" w:rsidRDefault="00CD50C4" w14:paraId="5B7BB62B" w14:textId="77777777">
      <w:pPr>
        <w:spacing w:after="0" w:line="240" w:lineRule="auto"/>
      </w:pPr>
      <w:r>
        <w:continuationSeparator/>
      </w:r>
    </w:p>
  </w:footnote>
  <w:footnote w:type="continuationNotice" w:id="1">
    <w:p w:rsidR="00383BEB" w:rsidRDefault="00383BEB" w14:paraId="40EDEF1C" w14:textId="77777777">
      <w:pPr>
        <w:spacing w:after="0" w:line="240" w:lineRule="auto"/>
      </w:pPr>
    </w:p>
  </w:footnote>
  <w:footnote w:id="2">
    <w:p w:rsidRPr="00DA26F4" w:rsidR="003C4982" w:rsidP="00DA58E9" w:rsidRDefault="003C4982" w14:paraId="50B3D77E" w14:textId="320C13C1">
      <w:pPr>
        <w:pStyle w:val="FootnoteText"/>
        <w:ind w:left="288" w:hanging="288"/>
        <w:jc w:val="both"/>
        <w:rPr>
          <w:rFonts w:ascii="Arial" w:hAnsi="Arial" w:cs="Arial"/>
          <w:sz w:val="18"/>
          <w:szCs w:val="18"/>
        </w:rPr>
      </w:pPr>
      <w:r w:rsidRPr="00DA26F4">
        <w:rPr>
          <w:rStyle w:val="FootnoteReference"/>
          <w:rFonts w:ascii="Arial" w:hAnsi="Arial" w:cs="Arial"/>
          <w:sz w:val="18"/>
          <w:szCs w:val="18"/>
        </w:rPr>
        <w:footnoteRef/>
      </w:r>
      <w:r w:rsidRPr="00DA26F4">
        <w:rPr>
          <w:rFonts w:ascii="Arial" w:hAnsi="Arial" w:cs="Arial"/>
          <w:sz w:val="18"/>
          <w:szCs w:val="18"/>
        </w:rPr>
        <w:t xml:space="preserve"> </w:t>
      </w:r>
      <w:r w:rsidRPr="00DA26F4">
        <w:rPr>
          <w:rFonts w:ascii="Arial" w:hAnsi="Arial" w:cs="Arial"/>
          <w:sz w:val="18"/>
          <w:szCs w:val="18"/>
        </w:rPr>
        <w:tab/>
      </w:r>
      <w:r w:rsidRPr="00DA26F4">
        <w:rPr>
          <w:rFonts w:ascii="Arial" w:hAnsi="Arial" w:cs="Arial"/>
          <w:sz w:val="18"/>
          <w:szCs w:val="18"/>
        </w:rPr>
        <w:t>Para mayores detalles, ver el documento de proyecto.</w:t>
      </w:r>
    </w:p>
  </w:footnote>
  <w:footnote w:id="3">
    <w:p w:rsidRPr="003663F3" w:rsidR="00AE3947" w:rsidP="00AE3947" w:rsidRDefault="00AE3947" w14:paraId="5AE276DA" w14:textId="77777777">
      <w:pPr>
        <w:pStyle w:val="FootnoteText"/>
        <w:ind w:left="289"/>
        <w:rPr>
          <w:rFonts w:ascii="Arial" w:hAnsi="Arial" w:cs="Arial"/>
          <w:sz w:val="18"/>
          <w:szCs w:val="18"/>
          <w:lang w:val="es-ES"/>
        </w:rPr>
      </w:pPr>
      <w:r w:rsidRPr="00BB7F4A">
        <w:rPr>
          <w:rStyle w:val="FootnoteReference"/>
          <w:rFonts w:ascii="Arial" w:hAnsi="Arial" w:cs="Arial"/>
          <w:sz w:val="18"/>
          <w:szCs w:val="18"/>
        </w:rPr>
        <w:footnoteRef/>
      </w:r>
      <w:r w:rsidRPr="00BB7F4A">
        <w:rPr>
          <w:rFonts w:ascii="Arial" w:hAnsi="Arial" w:cs="Arial"/>
          <w:sz w:val="18"/>
          <w:szCs w:val="18"/>
        </w:rPr>
        <w:t xml:space="preserve"> </w:t>
      </w:r>
      <w:r w:rsidRPr="00BB7F4A">
        <w:rPr>
          <w:rFonts w:ascii="Arial" w:hAnsi="Arial" w:cs="Arial"/>
          <w:sz w:val="18"/>
          <w:szCs w:val="18"/>
        </w:rPr>
        <w:tab/>
      </w:r>
      <w:r w:rsidRPr="00BB7F4A">
        <w:rPr>
          <w:rFonts w:ascii="Arial" w:hAnsi="Arial" w:cs="Arial"/>
          <w:sz w:val="18"/>
          <w:szCs w:val="18"/>
          <w:lang w:val="es-ES"/>
        </w:rPr>
        <w:t>El Gobierno de Bolivia financiará la mitad restante del costo de todos los bonos. Al momento del procesamiento de esta operación el Gobierno se encontraba en diálogo con el BM para financi</w:t>
      </w:r>
      <w:r w:rsidRPr="003663F3">
        <w:rPr>
          <w:rFonts w:ascii="Arial" w:hAnsi="Arial" w:cs="Arial"/>
          <w:sz w:val="18"/>
          <w:szCs w:val="18"/>
          <w:lang w:val="es-ES"/>
        </w:rPr>
        <w:t>amiento.</w:t>
      </w:r>
    </w:p>
  </w:footnote>
  <w:footnote w:id="4">
    <w:p w:rsidR="00AE3947" w:rsidP="00AE3947" w:rsidRDefault="00AE3947" w14:paraId="3CF66522" w14:textId="77777777">
      <w:pPr>
        <w:pStyle w:val="FootnoteText"/>
      </w:pPr>
      <w:r w:rsidRPr="00E20C38">
        <w:rPr>
          <w:rStyle w:val="FootnoteReference"/>
          <w:rFonts w:ascii="Arial" w:hAnsi="Arial" w:cs="Arial"/>
          <w:sz w:val="18"/>
          <w:szCs w:val="18"/>
        </w:rPr>
        <w:footnoteRef/>
      </w:r>
      <w:r w:rsidRPr="00E20C38">
        <w:rPr>
          <w:rFonts w:ascii="Arial" w:hAnsi="Arial" w:cs="Arial"/>
          <w:sz w:val="18"/>
          <w:szCs w:val="18"/>
        </w:rPr>
        <w:t xml:space="preserve"> El Banco acompaña estos esfuerzos mediante la cooperación técnica Apoyo a la Gestión e Implementación de la Institucionalidad de los Gobiernos Indígenas Originario Campesinos (</w:t>
      </w:r>
      <w:r w:rsidRPr="00E20C38">
        <w:rPr>
          <w:rFonts w:ascii="Arial" w:hAnsi="Arial" w:cs="Arial"/>
          <w:color w:val="0C1320"/>
          <w:sz w:val="18"/>
          <w:szCs w:val="18"/>
        </w:rPr>
        <w:t>ATN/JF-16567-BO)</w:t>
      </w:r>
    </w:p>
  </w:footnote>
  <w:footnote w:id="5">
    <w:p w:rsidRPr="00BB7F4A" w:rsidR="00AE3947" w:rsidP="00AE3947" w:rsidRDefault="00AE3947" w14:paraId="53929E52" w14:textId="77777777">
      <w:pPr>
        <w:pStyle w:val="FootnoteText"/>
        <w:rPr>
          <w:rFonts w:ascii="Arial" w:hAnsi="Arial" w:cs="Arial"/>
          <w:sz w:val="18"/>
          <w:szCs w:val="18"/>
        </w:rPr>
      </w:pPr>
      <w:r w:rsidRPr="00BB7F4A">
        <w:rPr>
          <w:rStyle w:val="FootnoteReference"/>
          <w:rFonts w:ascii="Arial" w:hAnsi="Arial" w:cs="Arial"/>
          <w:sz w:val="18"/>
          <w:szCs w:val="18"/>
        </w:rPr>
        <w:footnoteRef/>
      </w:r>
      <w:r w:rsidRPr="00BB7F4A">
        <w:rPr>
          <w:rFonts w:ascii="Arial" w:hAnsi="Arial" w:cs="Arial"/>
          <w:sz w:val="18"/>
          <w:szCs w:val="18"/>
        </w:rPr>
        <w:tab/>
      </w:r>
      <w:r w:rsidRPr="00BB7F4A">
        <w:rPr>
          <w:rFonts w:ascii="Arial" w:hAnsi="Arial" w:cs="Arial"/>
          <w:sz w:val="18"/>
          <w:szCs w:val="18"/>
        </w:rPr>
        <w:t xml:space="preserve">Este subcomponente se alinea a lo establecido en el Prototipo de Apoyo a Poblaciones Vulnerables, en específico </w:t>
      </w:r>
      <w:r w:rsidRPr="00896151">
        <w:rPr>
          <w:rFonts w:ascii="Arial" w:hAnsi="Arial" w:cs="Arial"/>
          <w:sz w:val="18"/>
          <w:szCs w:val="18"/>
          <w:lang w:val="es-ES"/>
        </w:rPr>
        <w:t>¶</w:t>
      </w:r>
      <w:r w:rsidRPr="00BB7F4A">
        <w:rPr>
          <w:rFonts w:ascii="Arial" w:hAnsi="Arial" w:cs="Arial"/>
          <w:sz w:val="18"/>
          <w:szCs w:val="18"/>
        </w:rPr>
        <w:t xml:space="preserve">1.18, </w:t>
      </w:r>
      <w:r w:rsidRPr="00896151">
        <w:rPr>
          <w:rFonts w:ascii="Arial" w:hAnsi="Arial" w:cs="Arial"/>
          <w:sz w:val="18"/>
          <w:szCs w:val="18"/>
          <w:lang w:val="es-ES"/>
        </w:rPr>
        <w:t>¶</w:t>
      </w:r>
      <w:r w:rsidRPr="00BB7F4A">
        <w:rPr>
          <w:rFonts w:ascii="Arial" w:hAnsi="Arial" w:cs="Arial"/>
          <w:sz w:val="18"/>
          <w:szCs w:val="18"/>
        </w:rPr>
        <w:t xml:space="preserve">1.20 y </w:t>
      </w:r>
      <w:r w:rsidRPr="00896151">
        <w:rPr>
          <w:rFonts w:ascii="Arial" w:hAnsi="Arial" w:cs="Arial"/>
          <w:sz w:val="18"/>
          <w:szCs w:val="18"/>
          <w:lang w:val="es-ES"/>
        </w:rPr>
        <w:t>¶</w:t>
      </w:r>
      <w:r w:rsidRPr="00BB7F4A">
        <w:rPr>
          <w:rFonts w:ascii="Arial" w:hAnsi="Arial" w:cs="Arial"/>
          <w:sz w:val="18"/>
          <w:szCs w:val="18"/>
        </w:rPr>
        <w:t>1.22, así como la nota al pie 16 del prototipo.</w:t>
      </w:r>
    </w:p>
  </w:footnote>
  <w:footnote w:id="6">
    <w:p w:rsidRPr="00BB7F4A" w:rsidR="00AE3947" w:rsidP="00AE3947" w:rsidRDefault="00AE3947" w14:paraId="3AD088E1" w14:textId="77777777">
      <w:pPr>
        <w:pStyle w:val="FootnoteText"/>
        <w:rPr>
          <w:rFonts w:ascii="Arial" w:hAnsi="Arial" w:cs="Arial"/>
          <w:sz w:val="18"/>
          <w:szCs w:val="18"/>
        </w:rPr>
      </w:pPr>
      <w:r w:rsidRPr="00BB7F4A">
        <w:rPr>
          <w:rStyle w:val="FootnoteReference"/>
          <w:rFonts w:ascii="Arial" w:hAnsi="Arial" w:cs="Arial"/>
          <w:sz w:val="18"/>
          <w:szCs w:val="18"/>
        </w:rPr>
        <w:footnoteRef/>
      </w:r>
      <w:r w:rsidRPr="00BB7F4A">
        <w:rPr>
          <w:rFonts w:ascii="Arial" w:hAnsi="Arial" w:cs="Arial"/>
          <w:sz w:val="18"/>
          <w:szCs w:val="18"/>
        </w:rPr>
        <w:t xml:space="preserve"> </w:t>
      </w:r>
      <w:r w:rsidRPr="00BB7F4A">
        <w:rPr>
          <w:rFonts w:ascii="Arial" w:hAnsi="Arial" w:cs="Arial"/>
          <w:sz w:val="18"/>
          <w:szCs w:val="18"/>
        </w:rPr>
        <w:tab/>
      </w:r>
      <w:r w:rsidRPr="00BB7F4A">
        <w:rPr>
          <w:rFonts w:ascii="Arial" w:hAnsi="Arial" w:cs="Arial"/>
          <w:sz w:val="18"/>
          <w:szCs w:val="18"/>
        </w:rPr>
        <w:t>De acuerdo con el Decreto Supremo 4206 (</w:t>
      </w:r>
      <w:hyperlink w:history="1" r:id="rId1">
        <w:r w:rsidRPr="00BB7F4A">
          <w:rPr>
            <w:rStyle w:val="Hyperlink"/>
            <w:rFonts w:ascii="Arial" w:hAnsi="Arial" w:cs="Arial"/>
            <w:sz w:val="18"/>
            <w:szCs w:val="18"/>
          </w:rPr>
          <w:t>https://boliviaemprende.com/wp-content/uploads/2020/04/Decreto-Supremo-4206-Gaceta-Oficial-de-Bolivia-en-PDF.pdf</w:t>
        </w:r>
      </w:hyperlink>
      <w:r w:rsidRPr="00BB7F4A">
        <w:rPr>
          <w:rFonts w:ascii="Arial" w:hAnsi="Arial" w:cs="Arial"/>
          <w:sz w:val="18"/>
          <w:szCs w:val="18"/>
        </w:rPr>
        <w:t>), el apoyo cubrirá el consumo de electricidad y las Tasas de Alumbrado Público y Aseo así como la tasa de la Autoridad de Fiscalización y Control de Cooperativas que se incluyen en las facturas. Estos apoyos beneficiarán también a población vulnerable ocupada en el sector informal. Como se mencionó anteriormente, en Bolivia 82% de los empleos están en el sector informal, y la vulnerabilidad rebasa al 60% de la población.</w:t>
      </w:r>
    </w:p>
  </w:footnote>
  <w:footnote w:id="7">
    <w:p w:rsidRPr="00BB7F4A" w:rsidR="00AE3947" w:rsidP="00AE3947" w:rsidRDefault="00AE3947" w14:paraId="6D1FF873" w14:textId="77777777">
      <w:pPr>
        <w:pStyle w:val="FootnoteText"/>
        <w:rPr>
          <w:rFonts w:ascii="Arial" w:hAnsi="Arial" w:cs="Arial"/>
          <w:sz w:val="18"/>
          <w:szCs w:val="18"/>
        </w:rPr>
      </w:pPr>
      <w:r w:rsidRPr="00BB7F4A">
        <w:rPr>
          <w:rStyle w:val="FootnoteReference"/>
          <w:rFonts w:ascii="Arial" w:hAnsi="Arial" w:cs="Arial"/>
          <w:sz w:val="18"/>
          <w:szCs w:val="18"/>
        </w:rPr>
        <w:footnoteRef/>
      </w:r>
      <w:r w:rsidRPr="00BB7F4A">
        <w:rPr>
          <w:rFonts w:ascii="Arial" w:hAnsi="Arial" w:cs="Arial"/>
          <w:sz w:val="18"/>
          <w:szCs w:val="18"/>
        </w:rPr>
        <w:t xml:space="preserve"> </w:t>
      </w:r>
      <w:r w:rsidRPr="00BB7F4A">
        <w:rPr>
          <w:rFonts w:ascii="Arial" w:hAnsi="Arial" w:cs="Arial"/>
          <w:sz w:val="18"/>
          <w:szCs w:val="18"/>
        </w:rPr>
        <w:tab/>
      </w:r>
      <w:r w:rsidRPr="00BB7F4A">
        <w:rPr>
          <w:rFonts w:ascii="Arial" w:hAnsi="Arial" w:cs="Arial"/>
          <w:sz w:val="18"/>
          <w:szCs w:val="18"/>
        </w:rPr>
        <w:t>A partir de datos de la Encuesta de Hogares 2018, en estas viviendas viven alrededor de 7 millones de personas. El número exacto de beneficiarios se definirá según el consumo efectivo de dichos hogares en los meses que dure el apoyo.</w:t>
      </w:r>
    </w:p>
  </w:footnote>
  <w:footnote w:id="8">
    <w:p w:rsidRPr="00DA26F4" w:rsidR="003C4982" w:rsidP="00DA58E9" w:rsidRDefault="003C4982" w14:paraId="2516C874" w14:textId="28ACC11A">
      <w:pPr>
        <w:pStyle w:val="FootnoteText"/>
        <w:ind w:left="288" w:hanging="288"/>
        <w:jc w:val="both"/>
        <w:rPr>
          <w:rFonts w:ascii="Arial" w:hAnsi="Arial" w:cs="Arial"/>
        </w:rPr>
      </w:pPr>
      <w:r w:rsidRPr="00DA26F4">
        <w:rPr>
          <w:rStyle w:val="FootnoteReference"/>
          <w:rFonts w:ascii="Arial" w:hAnsi="Arial" w:cs="Arial"/>
        </w:rPr>
        <w:footnoteRef/>
      </w:r>
      <w:r w:rsidRPr="00DA26F4">
        <w:rPr>
          <w:rFonts w:ascii="Arial" w:hAnsi="Arial" w:cs="Arial"/>
        </w:rPr>
        <w:t xml:space="preserve"> </w:t>
      </w:r>
      <w:r w:rsidR="00DA58E9">
        <w:rPr>
          <w:rFonts w:ascii="Arial" w:hAnsi="Arial" w:cs="Arial"/>
        </w:rPr>
        <w:tab/>
      </w:r>
      <w:r w:rsidRPr="00DA26F4">
        <w:rPr>
          <w:rFonts w:ascii="Arial" w:hAnsi="Arial" w:cs="Arial"/>
        </w:rPr>
        <w:t>Dada la estructura del modelo y las intervenciones utilizadas en esta operación, los resultados son lineales</w:t>
      </w:r>
      <w:r w:rsidR="007B515E">
        <w:rPr>
          <w:rFonts w:ascii="Arial" w:hAnsi="Arial" w:cs="Arial"/>
        </w:rPr>
        <w:t xml:space="preserve"> en cada componente</w:t>
      </w:r>
      <w:r w:rsidRPr="00DA26F4">
        <w:rPr>
          <w:rFonts w:ascii="Arial" w:hAnsi="Arial" w:cs="Arial"/>
        </w:rPr>
        <w:t xml:space="preserve">. Es decir, si se reduce el número de beneficiarios y presupuesto en x%, el VPN se modificará en ese X% y la razón </w:t>
      </w:r>
      <w:proofErr w:type="spellStart"/>
      <w:proofErr w:type="gramStart"/>
      <w:r w:rsidRPr="00DA26F4">
        <w:rPr>
          <w:rFonts w:ascii="Arial" w:hAnsi="Arial" w:cs="Arial"/>
        </w:rPr>
        <w:t>beneficio:costo</w:t>
      </w:r>
      <w:proofErr w:type="spellEnd"/>
      <w:proofErr w:type="gramEnd"/>
      <w:r w:rsidRPr="00DA26F4">
        <w:rPr>
          <w:rFonts w:ascii="Arial" w:hAnsi="Arial" w:cs="Arial"/>
        </w:rPr>
        <w:t xml:space="preserve"> así como la TIR y la TIR(M) no se verán modificadas. </w:t>
      </w:r>
    </w:p>
  </w:footnote>
  <w:footnote w:id="9">
    <w:p w:rsidRPr="00DA26F4" w:rsidR="003C4982" w:rsidP="00DA58E9" w:rsidRDefault="003C4982" w14:paraId="5061614E" w14:textId="2911C595">
      <w:pPr>
        <w:pStyle w:val="FootnoteText"/>
        <w:ind w:left="288" w:hanging="288"/>
        <w:jc w:val="both"/>
        <w:rPr>
          <w:rFonts w:ascii="Arial" w:hAnsi="Arial" w:cs="Arial"/>
        </w:rPr>
      </w:pPr>
      <w:r w:rsidRPr="00DA26F4">
        <w:rPr>
          <w:rStyle w:val="FootnoteReference"/>
          <w:rFonts w:ascii="Arial" w:hAnsi="Arial" w:cs="Arial"/>
        </w:rPr>
        <w:footnoteRef/>
      </w:r>
      <w:r w:rsidRPr="00DA26F4">
        <w:rPr>
          <w:rFonts w:ascii="Arial" w:hAnsi="Arial" w:cs="Arial"/>
        </w:rPr>
        <w:t xml:space="preserve"> Las transferencias para hogares previamente beneficiados incluyen los siguientes casos: beneficiarios de Transferencias Condicionadas (Bono Desarrollo Humano en el caso de Ecuador); beneficiarios de transferencias a personas con discapacidad (beneficiarios del Bono Joaquín Gallegos Lara en el caso de Ecuador), beneficiarios de programa de alimentación escolar (reciben almuerzo y desayuno escolar) y beneficiarios pensiones no contributivas (en el caso de Ecuador, la Pensión para Adultos Mayores y Pensión personas con Discapacidad (Complemento del Bono de Desarrollo Humano). Todos estos beneficiarios fueron identificados en fueron identificados en la Encuesta de Hogares (ECV). Los beneficiarios de transferencias a hogares vulnerables fuera del sistema (Componente 3) fueron identificados en la Encuesta de Hogares (ECV) de forma tal de incluir a todos los hogares con ingresos en los 3 quintiles más bajos, donde el jefe de hogar no está empleado en el mercado formal y que no reciben ninguna de las transferencias asociadas al Componente 2. Por último, el dato de potenciales empleos perdidos a partir de la crisis fue proporcionado por el BID. A partir de ese número se estimó la cantidaa22d de beneficiarios del subsidio al empleo del Componente 4.</w:t>
      </w:r>
    </w:p>
  </w:footnote>
  <w:footnote w:id="10">
    <w:p w:rsidRPr="00DA26F4" w:rsidR="003C4982" w:rsidP="00DA58E9" w:rsidRDefault="003C4982" w14:paraId="07E98352" w14:textId="790E4BEF">
      <w:pPr>
        <w:pStyle w:val="FootnoteText"/>
        <w:ind w:left="288" w:hanging="288"/>
        <w:jc w:val="both"/>
        <w:rPr>
          <w:rFonts w:ascii="Arial" w:hAnsi="Arial" w:cs="Arial"/>
        </w:rPr>
      </w:pPr>
      <w:r w:rsidRPr="00DA26F4">
        <w:rPr>
          <w:rStyle w:val="FootnoteReference"/>
          <w:rFonts w:ascii="Arial" w:hAnsi="Arial" w:cs="Arial"/>
        </w:rPr>
        <w:footnoteRef/>
      </w:r>
      <w:r w:rsidRPr="00DA26F4">
        <w:rPr>
          <w:rFonts w:ascii="Arial" w:hAnsi="Arial" w:cs="Arial"/>
        </w:rPr>
        <w:t xml:space="preserve"> </w:t>
      </w:r>
      <w:r w:rsidR="00DA58E9">
        <w:rPr>
          <w:rFonts w:ascii="Arial" w:hAnsi="Arial" w:cs="Arial"/>
        </w:rPr>
        <w:tab/>
      </w:r>
      <w:r w:rsidRPr="00DA26F4">
        <w:rPr>
          <w:rFonts w:ascii="Arial" w:hAnsi="Arial" w:cs="Arial"/>
        </w:rPr>
        <w:t xml:space="preserve">La propensión marginal a consumir se estimó a partir del promedio </w:t>
      </w:r>
      <w:proofErr w:type="gramStart"/>
      <w:r w:rsidRPr="00DA26F4">
        <w:rPr>
          <w:rFonts w:ascii="Arial" w:hAnsi="Arial" w:cs="Arial"/>
        </w:rPr>
        <w:t>del ratio</w:t>
      </w:r>
      <w:proofErr w:type="gramEnd"/>
      <w:r w:rsidRPr="00DA26F4">
        <w:rPr>
          <w:rFonts w:ascii="Arial" w:hAnsi="Arial" w:cs="Arial"/>
        </w:rPr>
        <w:t xml:space="preserve"> entre consumo y producto interno bruto de los últimos cinco años. La propensión marginal a importar se estimó a partir del promedio </w:t>
      </w:r>
      <w:proofErr w:type="gramStart"/>
      <w:r w:rsidRPr="00DA26F4">
        <w:rPr>
          <w:rFonts w:ascii="Arial" w:hAnsi="Arial" w:cs="Arial"/>
        </w:rPr>
        <w:t>del ratio</w:t>
      </w:r>
      <w:proofErr w:type="gramEnd"/>
      <w:r w:rsidRPr="00DA26F4">
        <w:rPr>
          <w:rFonts w:ascii="Arial" w:hAnsi="Arial" w:cs="Arial"/>
        </w:rPr>
        <w:t xml:space="preserve"> entre importaciones y producto interno bruto de los últimos cinco años. En la estimación se asume que todo el consumo es inducido por el gasto, es decir, se asume que no hay consumo autónomo para simplificar el cálculo.</w:t>
      </w:r>
    </w:p>
  </w:footnote>
  <w:footnote w:id="11">
    <w:p w:rsidRPr="00DA26F4" w:rsidR="003C4982" w:rsidP="00DA58E9" w:rsidRDefault="003C4982" w14:paraId="03D325BD" w14:textId="0132B706">
      <w:pPr>
        <w:spacing w:after="0"/>
        <w:ind w:left="288" w:hanging="288"/>
        <w:jc w:val="both"/>
        <w:rPr>
          <w:rFonts w:ascii="Arial" w:hAnsi="Arial" w:cs="Arial"/>
          <w:sz w:val="20"/>
          <w:szCs w:val="20"/>
          <w:lang w:val="es-ES"/>
        </w:rPr>
      </w:pPr>
      <w:r w:rsidRPr="00DA26F4">
        <w:rPr>
          <w:rStyle w:val="FootnoteReference"/>
          <w:rFonts w:ascii="Arial" w:hAnsi="Arial" w:cs="Arial"/>
          <w:sz w:val="20"/>
          <w:szCs w:val="20"/>
        </w:rPr>
        <w:footnoteRef/>
      </w:r>
      <w:r w:rsidRPr="00DA26F4">
        <w:rPr>
          <w:rFonts w:ascii="Arial" w:hAnsi="Arial" w:cs="Arial"/>
          <w:sz w:val="20"/>
          <w:szCs w:val="20"/>
          <w:lang w:val="es-ES"/>
        </w:rPr>
        <w:t xml:space="preserve"> </w:t>
      </w:r>
      <w:r w:rsidR="00DA58E9">
        <w:rPr>
          <w:rFonts w:ascii="Arial" w:hAnsi="Arial" w:cs="Arial"/>
          <w:sz w:val="20"/>
          <w:szCs w:val="20"/>
          <w:lang w:val="es-ES"/>
        </w:rPr>
        <w:tab/>
      </w:r>
      <w:proofErr w:type="spellStart"/>
      <w:r w:rsidRPr="00DA26F4">
        <w:rPr>
          <w:rFonts w:ascii="Arial" w:hAnsi="Arial" w:cs="Arial"/>
          <w:sz w:val="20"/>
          <w:szCs w:val="20"/>
          <w:lang w:val="es-ES"/>
        </w:rPr>
        <w:t>Baland</w:t>
      </w:r>
      <w:proofErr w:type="spellEnd"/>
      <w:r w:rsidRPr="00DA26F4">
        <w:rPr>
          <w:rFonts w:ascii="Arial" w:hAnsi="Arial" w:cs="Arial"/>
          <w:sz w:val="20"/>
          <w:szCs w:val="20"/>
          <w:lang w:val="es-ES"/>
        </w:rPr>
        <w:t xml:space="preserve"> y Robinson (2000) desarrollan teóricamente la relación entre restricciones al crédito y subinversión en capital humano.</w:t>
      </w:r>
    </w:p>
    <w:p w:rsidRPr="00DA26F4" w:rsidR="003C4982" w:rsidP="00DA58E9" w:rsidRDefault="003C4982" w14:paraId="565B6A06" w14:textId="77777777">
      <w:pPr>
        <w:pStyle w:val="FootnoteText"/>
        <w:ind w:left="288" w:hanging="288"/>
        <w:jc w:val="both"/>
        <w:rPr>
          <w:rFonts w:ascii="Arial" w:hAnsi="Arial" w:cs="Arial"/>
          <w:lang w:val="es-ES_tradnl"/>
        </w:rPr>
      </w:pPr>
    </w:p>
  </w:footnote>
  <w:footnote w:id="12">
    <w:p w:rsidRPr="00DA26F4" w:rsidR="003C4982" w:rsidP="00DA58E9" w:rsidRDefault="003C4982" w14:paraId="0BFF4206" w14:textId="77777777">
      <w:pPr>
        <w:pStyle w:val="FootnoteText"/>
        <w:ind w:left="288" w:hanging="288"/>
        <w:jc w:val="both"/>
        <w:rPr>
          <w:rFonts w:ascii="Arial" w:hAnsi="Arial" w:cs="Arial"/>
        </w:rPr>
      </w:pPr>
      <w:r w:rsidRPr="00DA26F4">
        <w:rPr>
          <w:rStyle w:val="FootnoteReference"/>
          <w:rFonts w:ascii="Arial" w:hAnsi="Arial" w:cs="Arial"/>
        </w:rPr>
        <w:footnoteRef/>
      </w:r>
      <w:r w:rsidRPr="00DA26F4">
        <w:rPr>
          <w:rFonts w:ascii="Arial" w:hAnsi="Arial" w:cs="Arial"/>
        </w:rPr>
        <w:t xml:space="preserve"> Se utilizan los efectos calculados para los casos de padres con ocho años de educación.</w:t>
      </w:r>
    </w:p>
  </w:footnote>
  <w:footnote w:id="13">
    <w:p w:rsidRPr="00DA26F4" w:rsidR="003C4982" w:rsidP="00DA58E9" w:rsidRDefault="003C4982" w14:paraId="58268733" w14:textId="21348D21">
      <w:pPr>
        <w:pStyle w:val="FootnoteText"/>
        <w:ind w:left="288" w:hanging="288"/>
        <w:jc w:val="both"/>
        <w:rPr>
          <w:rFonts w:ascii="Arial" w:hAnsi="Arial" w:cs="Arial"/>
        </w:rPr>
      </w:pPr>
      <w:r w:rsidRPr="00DA26F4">
        <w:rPr>
          <w:rStyle w:val="FootnoteReference"/>
          <w:rFonts w:ascii="Arial" w:hAnsi="Arial" w:cs="Arial"/>
        </w:rPr>
        <w:footnoteRef/>
      </w:r>
      <w:r w:rsidRPr="00DA26F4">
        <w:rPr>
          <w:rFonts w:ascii="Arial" w:hAnsi="Arial" w:cs="Arial"/>
        </w:rPr>
        <w:t xml:space="preserve"> Se utilizan los efectos diploma y no los retornos a un año de educación porque se quiere capturar el efecto del abandono previo a finalizar el nivel educativo en curso.</w:t>
      </w:r>
    </w:p>
  </w:footnote>
  <w:footnote w:id="14">
    <w:p w:rsidRPr="00DA26F4" w:rsidR="003C4982" w:rsidP="00DA58E9" w:rsidRDefault="003C4982" w14:paraId="5A948B7D" w14:textId="77777777">
      <w:pPr>
        <w:pStyle w:val="FootnoteText"/>
        <w:ind w:left="288" w:hanging="288"/>
        <w:jc w:val="both"/>
        <w:rPr>
          <w:rFonts w:ascii="Arial" w:hAnsi="Arial" w:cs="Arial"/>
        </w:rPr>
      </w:pPr>
      <w:r w:rsidRPr="00DA26F4">
        <w:rPr>
          <w:rStyle w:val="FootnoteReference"/>
          <w:rFonts w:ascii="Arial" w:hAnsi="Arial" w:cs="Arial"/>
        </w:rPr>
        <w:footnoteRef/>
      </w:r>
      <w:r w:rsidRPr="00DA26F4">
        <w:rPr>
          <w:rFonts w:ascii="Arial" w:hAnsi="Arial" w:cs="Arial"/>
        </w:rPr>
        <w:t xml:space="preserve"> Esto se justifica debido a que el efecto con las transferencias tiene que ser menor al de preservar el sueldo frente a un posible despido.</w:t>
      </w:r>
    </w:p>
  </w:footnote>
  <w:footnote w:id="15">
    <w:p w:rsidRPr="00DA26F4" w:rsidR="003C4982" w:rsidP="00DA58E9" w:rsidRDefault="003C4982" w14:paraId="0803ECFA" w14:textId="5C3EC19B">
      <w:pPr>
        <w:pStyle w:val="FootnoteText"/>
        <w:ind w:left="288" w:hanging="288"/>
        <w:jc w:val="both"/>
        <w:rPr>
          <w:rFonts w:ascii="Arial" w:hAnsi="Arial" w:cs="Arial"/>
        </w:rPr>
      </w:pPr>
      <w:r w:rsidRPr="00DA26F4">
        <w:rPr>
          <w:rStyle w:val="FootnoteReference"/>
          <w:rFonts w:ascii="Arial" w:hAnsi="Arial" w:cs="Arial"/>
        </w:rPr>
        <w:footnoteRef/>
      </w:r>
      <w:r w:rsidRPr="00DA26F4">
        <w:rPr>
          <w:rFonts w:ascii="Arial" w:hAnsi="Arial" w:cs="Arial"/>
        </w:rPr>
        <w:t xml:space="preserve"> </w:t>
      </w:r>
      <w:r w:rsidR="00DA58E9">
        <w:rPr>
          <w:rFonts w:ascii="Arial" w:hAnsi="Arial" w:cs="Arial"/>
        </w:rPr>
        <w:tab/>
      </w:r>
      <w:r w:rsidRPr="00DA26F4">
        <w:rPr>
          <w:rFonts w:ascii="Arial" w:hAnsi="Arial" w:cs="Arial"/>
        </w:rPr>
        <w:t>Se adopta un horizonte de 15 años para computar efectos en salarios sobre niños que asisten a primaria.</w:t>
      </w:r>
    </w:p>
  </w:footnote>
  <w:footnote w:id="16">
    <w:p w:rsidRPr="00DA26F4" w:rsidR="003C4982" w:rsidP="00DA58E9" w:rsidRDefault="003C4982" w14:paraId="7FCFB94B" w14:textId="6E963138">
      <w:pPr>
        <w:pStyle w:val="FootnoteText"/>
        <w:ind w:left="288" w:hanging="288"/>
        <w:jc w:val="both"/>
        <w:rPr>
          <w:rFonts w:ascii="Arial" w:hAnsi="Arial" w:cs="Arial"/>
        </w:rPr>
      </w:pPr>
      <w:r w:rsidRPr="00DA26F4">
        <w:rPr>
          <w:rStyle w:val="FootnoteReference"/>
          <w:rFonts w:ascii="Arial" w:hAnsi="Arial" w:cs="Arial"/>
        </w:rPr>
        <w:footnoteRef/>
      </w:r>
      <w:r w:rsidRPr="00DA26F4">
        <w:rPr>
          <w:rFonts w:ascii="Arial" w:hAnsi="Arial" w:cs="Arial"/>
        </w:rPr>
        <w:t xml:space="preserve"> </w:t>
      </w:r>
      <w:r w:rsidR="00DA58E9">
        <w:rPr>
          <w:rFonts w:ascii="Arial" w:hAnsi="Arial" w:cs="Arial"/>
        </w:rPr>
        <w:tab/>
      </w:r>
      <w:r w:rsidRPr="00DA26F4">
        <w:rPr>
          <w:rFonts w:ascii="Arial" w:hAnsi="Arial" w:cs="Arial"/>
        </w:rPr>
        <w:t>Hogares con ingresos en los 3 quintiles más bajos, donde el jefe de hogar no está empleado en el mercado formal y que no reciben ninguna de las transferencias asociadas al Componente 2.</w:t>
      </w:r>
    </w:p>
  </w:footnote>
  <w:footnote w:id="17">
    <w:p w:rsidRPr="00DA26F4" w:rsidR="003C4982" w:rsidP="00DA58E9" w:rsidRDefault="003C4982" w14:paraId="54D915E3" w14:textId="63AA9BAC">
      <w:pPr>
        <w:pStyle w:val="FootnoteText"/>
        <w:ind w:left="288" w:hanging="288"/>
        <w:jc w:val="both"/>
        <w:rPr>
          <w:rFonts w:ascii="Arial" w:hAnsi="Arial" w:cs="Arial"/>
        </w:rPr>
      </w:pPr>
      <w:r w:rsidRPr="00DA26F4">
        <w:rPr>
          <w:rStyle w:val="FootnoteReference"/>
          <w:rFonts w:ascii="Arial" w:hAnsi="Arial" w:cs="Arial"/>
        </w:rPr>
        <w:footnoteRef/>
      </w:r>
      <w:r w:rsidRPr="00DA26F4">
        <w:rPr>
          <w:rFonts w:ascii="Arial" w:hAnsi="Arial" w:cs="Arial"/>
        </w:rPr>
        <w:t xml:space="preserve"> </w:t>
      </w:r>
      <w:r w:rsidR="00DA58E9">
        <w:rPr>
          <w:rFonts w:ascii="Arial" w:hAnsi="Arial" w:cs="Arial"/>
        </w:rPr>
        <w:tab/>
      </w:r>
      <w:r w:rsidRPr="00DA26F4">
        <w:rPr>
          <w:rFonts w:ascii="Arial" w:hAnsi="Arial" w:cs="Arial"/>
        </w:rPr>
        <w:t>Programa de Transferencias Condicionadas, sucesor del programa Bono Solidario. Forma parte del “Programa de Protección Social” del Ministerio de Inclusión Económica y Social, mediante el cual se vincula a programas de microcrédito y capacitación profesional (“Crédito Productivo Solidario”) y protección ante emergencias y catástrofes naturales (“Bono de Emergencia”). El programa incluye a familias con niñas y niños menores de 16 años, así como a adultos mayores y personas con discapacidad. (</w:t>
      </w:r>
      <w:hyperlink w:history="1" r:id="rId2">
        <w:r w:rsidRPr="00DA26F4">
          <w:rPr>
            <w:rStyle w:val="Hyperlink"/>
            <w:rFonts w:ascii="Arial" w:hAnsi="Arial" w:cs="Arial"/>
          </w:rPr>
          <w:t>https://dds.cepal.org/bpsnc/programa?id=15</w:t>
        </w:r>
      </w:hyperlink>
      <w:r w:rsidRPr="00DA26F4">
        <w:rPr>
          <w:rFonts w:ascii="Arial" w:hAnsi="Arial" w:cs="Arial"/>
        </w:rPr>
        <w:t>)</w:t>
      </w:r>
      <w:r w:rsidR="00DA58E9">
        <w:rPr>
          <w:rFonts w:ascii="Arial" w:hAnsi="Arial" w:cs="Arial"/>
        </w:rPr>
        <w:t>.</w:t>
      </w:r>
    </w:p>
  </w:footnote>
  <w:footnote w:id="18">
    <w:p w:rsidRPr="00DA26F4" w:rsidR="003C4982" w:rsidP="00DA58E9" w:rsidRDefault="003C4982" w14:paraId="022BD962" w14:textId="135FF9FC">
      <w:pPr>
        <w:pStyle w:val="FootnoteText"/>
        <w:ind w:left="288" w:hanging="288"/>
        <w:jc w:val="both"/>
        <w:rPr>
          <w:rFonts w:ascii="Arial" w:hAnsi="Arial" w:cs="Arial"/>
        </w:rPr>
      </w:pPr>
      <w:r w:rsidRPr="00DA26F4">
        <w:rPr>
          <w:rStyle w:val="FootnoteReference"/>
          <w:rFonts w:ascii="Arial" w:hAnsi="Arial" w:cs="Arial"/>
        </w:rPr>
        <w:footnoteRef/>
      </w:r>
      <w:r w:rsidRPr="00DA26F4">
        <w:rPr>
          <w:rFonts w:ascii="Arial" w:hAnsi="Arial" w:cs="Arial"/>
        </w:rPr>
        <w:t xml:space="preserve"> </w:t>
      </w:r>
      <w:r w:rsidR="00DA58E9">
        <w:rPr>
          <w:rFonts w:ascii="Arial" w:hAnsi="Arial" w:cs="Arial"/>
        </w:rPr>
        <w:tab/>
      </w:r>
      <w:r w:rsidRPr="00DA26F4">
        <w:rPr>
          <w:rFonts w:ascii="Arial" w:hAnsi="Arial" w:cs="Arial"/>
        </w:rPr>
        <w:t xml:space="preserve">Debe considerarse que </w:t>
      </w:r>
      <w:r w:rsidRPr="00DA26F4">
        <w:rPr>
          <w:rFonts w:ascii="Arial" w:hAnsi="Arial" w:cs="Arial"/>
          <w:lang w:val="es-ES"/>
        </w:rPr>
        <w:t>que la tasa de empleo de los menores de 18 es mayor que la tasa promedio.</w:t>
      </w:r>
    </w:p>
  </w:footnote>
  <w:footnote w:id="19">
    <w:p w:rsidRPr="00DA26F4" w:rsidR="003C4982" w:rsidP="00DA58E9" w:rsidRDefault="003C4982" w14:paraId="14F8AB80" w14:textId="2323116B">
      <w:pPr>
        <w:pStyle w:val="FootnoteText"/>
        <w:ind w:left="288" w:hanging="288"/>
        <w:jc w:val="both"/>
        <w:rPr>
          <w:rFonts w:ascii="Arial" w:hAnsi="Arial" w:cs="Arial"/>
        </w:rPr>
      </w:pPr>
      <w:r w:rsidRPr="00DA26F4">
        <w:rPr>
          <w:rStyle w:val="FootnoteReference"/>
          <w:rFonts w:ascii="Arial" w:hAnsi="Arial" w:cs="Arial"/>
        </w:rPr>
        <w:footnoteRef/>
      </w:r>
      <w:r w:rsidRPr="00DA26F4">
        <w:rPr>
          <w:rFonts w:ascii="Arial" w:hAnsi="Arial" w:cs="Arial"/>
        </w:rPr>
        <w:t xml:space="preserve"> </w:t>
      </w:r>
      <w:r w:rsidR="00DA58E9">
        <w:rPr>
          <w:rFonts w:ascii="Arial" w:hAnsi="Arial" w:cs="Arial"/>
        </w:rPr>
        <w:tab/>
      </w:r>
      <w:r w:rsidRPr="00DA26F4">
        <w:rPr>
          <w:rFonts w:ascii="Arial" w:hAnsi="Arial" w:cs="Arial"/>
        </w:rPr>
        <w:t>En este documento se presentan en los cuadros los valores de la TIR y de la TIR</w:t>
      </w:r>
      <w:r w:rsidRPr="00DA26F4">
        <w:rPr>
          <w:rFonts w:ascii="Arial" w:hAnsi="Arial" w:cs="Arial"/>
          <w:lang w:val="es-ES_tradnl"/>
        </w:rPr>
        <w:t>M</w:t>
      </w:r>
      <w:r w:rsidRPr="00DA26F4">
        <w:rPr>
          <w:rFonts w:ascii="Arial" w:hAnsi="Arial" w:cs="Arial"/>
        </w:rPr>
        <w:t xml:space="preserve">, pero solo para la TIRM se calcula el promedio ponderado presentado en las conclusiones. Tanto la TIR como la TIRM son métodos de valoración de la rentabilidad que ofrece una inversión. La primera es la tasa de descuento que genera un valor actual neto igual a cero para un proyecto determinado. Sin embargo, presenta dos problemas. En primer lugar, incorpora un supuesto de reinversión de los flujos positivos a la misma tasa calculada. En segundo lugar, cuando el signo de los flujos varía en el tiempo la TIR puede adoptar distintos valores. La TIRM busca solucionar estos problemas. En este caso, los flujos financieros del proyecto son descontados y reinvertidos a una tasa externa que se establece como aquella que refleja el costo del capital. En el caso de los ejercicios desarrollados en este documento, se utiliza la tasa de descuento en ambos casos. Por lo tanto, cambios en la tasa de descuento, implican cambios en la TIRM y si el proyecto tiene un VAN positivo a una tasa de descuento determinada, la TIRM superará el valor de esa tasa. </w:t>
      </w:r>
    </w:p>
    <w:p w:rsidRPr="00DA26F4" w:rsidR="003C4982" w:rsidP="00DA58E9" w:rsidRDefault="003C4982" w14:paraId="0EEFFB22" w14:textId="1696A5D2">
      <w:pPr>
        <w:pStyle w:val="FootnoteText"/>
        <w:ind w:left="288" w:hanging="288"/>
        <w:jc w:val="both"/>
        <w:rPr>
          <w:rFonts w:ascii="Arial" w:hAnsi="Arial" w:cs="Arial"/>
        </w:rPr>
      </w:pPr>
    </w:p>
  </w:footnote>
  <w:footnote w:id="20">
    <w:p w:rsidRPr="00DA26F4" w:rsidR="003C4982" w:rsidP="00DA58E9" w:rsidRDefault="003C4982" w14:paraId="23DC6DB3" w14:textId="55876EB8">
      <w:pPr>
        <w:spacing w:after="0"/>
        <w:ind w:left="288" w:hanging="288"/>
        <w:jc w:val="both"/>
        <w:rPr>
          <w:rFonts w:ascii="Arial" w:hAnsi="Arial" w:cs="Arial"/>
          <w:sz w:val="20"/>
          <w:szCs w:val="20"/>
          <w:lang w:val="es-ES"/>
        </w:rPr>
      </w:pPr>
      <w:r w:rsidRPr="00DA26F4">
        <w:rPr>
          <w:rStyle w:val="FootnoteReference"/>
          <w:rFonts w:ascii="Arial" w:hAnsi="Arial" w:cs="Arial"/>
          <w:sz w:val="20"/>
          <w:szCs w:val="20"/>
        </w:rPr>
        <w:footnoteRef/>
      </w:r>
      <w:r w:rsidRPr="00DA26F4">
        <w:rPr>
          <w:rFonts w:ascii="Arial" w:hAnsi="Arial" w:cs="Arial"/>
          <w:sz w:val="20"/>
          <w:szCs w:val="20"/>
          <w:lang w:val="es-ES"/>
        </w:rPr>
        <w:t xml:space="preserve"> </w:t>
      </w:r>
      <w:r w:rsidR="00DA58E9">
        <w:rPr>
          <w:rFonts w:ascii="Arial" w:hAnsi="Arial" w:cs="Arial"/>
          <w:sz w:val="20"/>
          <w:szCs w:val="20"/>
          <w:lang w:val="es-ES"/>
        </w:rPr>
        <w:tab/>
      </w:r>
      <w:r w:rsidRPr="00DA26F4">
        <w:rPr>
          <w:rFonts w:ascii="Arial" w:hAnsi="Arial" w:cs="Arial"/>
          <w:sz w:val="20"/>
          <w:szCs w:val="20"/>
          <w:lang w:val="es-ES"/>
        </w:rPr>
        <w:t xml:space="preserve">Se utiliza un modelo SIR (población susceptible, infectada y recuperada) básico En estos modelos compartimentales se divide a la población en compartimentos y se establecen supuestos acerca de la naturaleza y tasa de tiempo en que los individuos se mueven de uno a otro estado </w:t>
      </w:r>
      <w:r w:rsidRPr="00DA26F4">
        <w:rPr>
          <w:rFonts w:ascii="Arial" w:hAnsi="Arial" w:cs="Arial"/>
          <w:color w:val="242021"/>
          <w:sz w:val="20"/>
          <w:szCs w:val="20"/>
          <w:lang w:val="es-ES"/>
        </w:rPr>
        <w:t>Brauer (2008)</w:t>
      </w:r>
      <w:r w:rsidRPr="00DA26F4">
        <w:rPr>
          <w:rFonts w:ascii="Arial" w:hAnsi="Arial" w:cs="Arial"/>
          <w:sz w:val="20"/>
          <w:szCs w:val="20"/>
          <w:lang w:val="es-ES"/>
        </w:rPr>
        <w:t xml:space="preserve">. Dado que el modelo es muy sencillo, el número de individuos en cada compartimento fluctúa en el tiempo de una forma determinística y no se consideran distintos comportamientos a partir de </w:t>
      </w:r>
      <w:proofErr w:type="spellStart"/>
      <w:proofErr w:type="gramStart"/>
      <w:r w:rsidRPr="00DA26F4">
        <w:rPr>
          <w:rFonts w:ascii="Arial" w:hAnsi="Arial" w:cs="Arial"/>
          <w:i/>
          <w:iCs/>
          <w:sz w:val="20"/>
          <w:szCs w:val="20"/>
          <w:lang w:val="es-ES"/>
        </w:rPr>
        <w:t>clusters</w:t>
      </w:r>
      <w:proofErr w:type="spellEnd"/>
      <w:proofErr w:type="gramEnd"/>
      <w:r w:rsidRPr="00DA26F4">
        <w:rPr>
          <w:rFonts w:ascii="Arial" w:hAnsi="Arial" w:cs="Arial"/>
          <w:sz w:val="20"/>
          <w:szCs w:val="20"/>
          <w:lang w:val="es-ES"/>
        </w:rPr>
        <w:t>. Básicamente, el número de reproducción de la enfermedad (el número promedio de casos secundarios causados por cada caso infeccioso) depende de la duración promedio de la infección, de la tasa de infección y de la tasa de contactos entre individuos. Ver documento de ACB del sector salud para una descripción más detallada.</w:t>
      </w:r>
    </w:p>
  </w:footnote>
  <w:footnote w:id="21">
    <w:p w:rsidRPr="00DA26F4" w:rsidR="003C4982" w:rsidP="00DA58E9" w:rsidRDefault="003C4982" w14:paraId="26A4390A" w14:textId="47AF6C0C">
      <w:pPr>
        <w:pStyle w:val="FootnoteText"/>
        <w:ind w:left="288" w:hanging="288"/>
        <w:jc w:val="both"/>
        <w:rPr>
          <w:rFonts w:ascii="Arial" w:hAnsi="Arial" w:cs="Arial"/>
        </w:rPr>
      </w:pPr>
      <w:r w:rsidRPr="00DA26F4">
        <w:rPr>
          <w:rStyle w:val="FootnoteReference"/>
          <w:rFonts w:ascii="Arial" w:hAnsi="Arial" w:cs="Arial"/>
        </w:rPr>
        <w:footnoteRef/>
      </w:r>
      <w:r w:rsidRPr="00DA26F4">
        <w:rPr>
          <w:rFonts w:ascii="Arial" w:hAnsi="Arial" w:cs="Arial"/>
          <w:lang w:val="es-ES"/>
        </w:rPr>
        <w:t xml:space="preserve"> </w:t>
      </w:r>
      <w:r w:rsidR="00DA58E9">
        <w:rPr>
          <w:rFonts w:ascii="Arial" w:hAnsi="Arial" w:cs="Arial"/>
          <w:lang w:val="es-ES"/>
        </w:rPr>
        <w:tab/>
      </w:r>
      <w:r w:rsidRPr="00DA26F4">
        <w:rPr>
          <w:rFonts w:ascii="Arial" w:hAnsi="Arial" w:cs="Arial"/>
          <w:lang w:val="es-ES"/>
        </w:rPr>
        <w:t xml:space="preserve">La elección del día 50 se basa en la experiencia de la evolución de la epidemia del SARS en Beijing descripta por </w:t>
      </w:r>
      <w:proofErr w:type="spellStart"/>
      <w:r w:rsidRPr="00DA26F4">
        <w:rPr>
          <w:rFonts w:ascii="Arial" w:hAnsi="Arial" w:cs="Arial"/>
        </w:rPr>
        <w:t>Cowling</w:t>
      </w:r>
      <w:proofErr w:type="spellEnd"/>
      <w:r w:rsidRPr="00DA26F4">
        <w:rPr>
          <w:rFonts w:ascii="Arial" w:hAnsi="Arial" w:cs="Arial"/>
        </w:rPr>
        <w:t xml:space="preserve"> et al (2007). Debe considerarse que en el caso de la pandemia del COVID-19, ninguno de los países de la región parece haber llegado aún al pico de infectados diario que refleje fehacientemente la caída en el número de reproducción.</w:t>
      </w:r>
    </w:p>
  </w:footnote>
  <w:footnote w:id="22">
    <w:p w:rsidRPr="00DA26F4" w:rsidR="003C4982" w:rsidP="00DA58E9" w:rsidRDefault="003C4982" w14:paraId="5A6937C7" w14:textId="2FD0F515">
      <w:pPr>
        <w:pStyle w:val="FootnoteText"/>
        <w:ind w:left="288" w:hanging="288"/>
        <w:jc w:val="both"/>
        <w:rPr>
          <w:rFonts w:ascii="Arial" w:hAnsi="Arial" w:cs="Arial"/>
        </w:rPr>
      </w:pPr>
      <w:r w:rsidRPr="00DA26F4">
        <w:rPr>
          <w:rStyle w:val="FootnoteReference"/>
          <w:rFonts w:ascii="Arial" w:hAnsi="Arial" w:cs="Arial"/>
        </w:rPr>
        <w:footnoteRef/>
      </w:r>
      <w:r w:rsidRPr="00DA26F4">
        <w:rPr>
          <w:rFonts w:ascii="Arial" w:hAnsi="Arial" w:cs="Arial"/>
        </w:rPr>
        <w:t xml:space="preserve"> </w:t>
      </w:r>
      <w:bookmarkStart w:name="_Hlk36747045" w:id="22"/>
      <w:r w:rsidR="00DA58E9">
        <w:rPr>
          <w:rFonts w:ascii="Arial" w:hAnsi="Arial" w:cs="Arial"/>
        </w:rPr>
        <w:tab/>
      </w:r>
      <w:r w:rsidRPr="00DA26F4">
        <w:rPr>
          <w:rFonts w:ascii="Arial" w:hAnsi="Arial" w:cs="Arial"/>
        </w:rPr>
        <w:t xml:space="preserve">Ver, por ejemplo, Klein et al. </w:t>
      </w:r>
      <w:r w:rsidRPr="00DA26F4">
        <w:rPr>
          <w:rFonts w:ascii="Arial" w:hAnsi="Arial" w:cs="Arial"/>
          <w:lang w:val="fr-FR"/>
        </w:rPr>
        <w:t xml:space="preserve">(2020), Ferguson et al. (2020), Shen et al. </w:t>
      </w:r>
      <w:r w:rsidRPr="00DA26F4">
        <w:rPr>
          <w:rFonts w:ascii="Arial" w:hAnsi="Arial" w:cs="Arial"/>
        </w:rPr>
        <w:t xml:space="preserve">(2020), </w:t>
      </w:r>
      <w:proofErr w:type="spellStart"/>
      <w:r w:rsidRPr="00DA26F4">
        <w:rPr>
          <w:rFonts w:ascii="Arial" w:hAnsi="Arial" w:cs="Arial"/>
        </w:rPr>
        <w:t>Wallinga</w:t>
      </w:r>
      <w:proofErr w:type="spellEnd"/>
      <w:r w:rsidRPr="00DA26F4">
        <w:rPr>
          <w:rFonts w:ascii="Arial" w:hAnsi="Arial" w:cs="Arial"/>
        </w:rPr>
        <w:t xml:space="preserve"> y </w:t>
      </w:r>
      <w:proofErr w:type="spellStart"/>
      <w:r w:rsidRPr="00DA26F4">
        <w:rPr>
          <w:rFonts w:ascii="Arial" w:hAnsi="Arial" w:cs="Arial"/>
        </w:rPr>
        <w:t>Teunis</w:t>
      </w:r>
      <w:proofErr w:type="spellEnd"/>
      <w:r w:rsidRPr="00DA26F4">
        <w:rPr>
          <w:rFonts w:ascii="Arial" w:hAnsi="Arial" w:cs="Arial"/>
        </w:rPr>
        <w:t xml:space="preserve"> (2004) y </w:t>
      </w:r>
      <w:proofErr w:type="spellStart"/>
      <w:r w:rsidRPr="00DA26F4">
        <w:rPr>
          <w:rFonts w:ascii="Arial" w:hAnsi="Arial" w:cs="Arial"/>
        </w:rPr>
        <w:t>Cowling</w:t>
      </w:r>
      <w:proofErr w:type="spellEnd"/>
      <w:r w:rsidRPr="00DA26F4">
        <w:rPr>
          <w:rFonts w:ascii="Arial" w:hAnsi="Arial" w:cs="Arial"/>
        </w:rPr>
        <w:t xml:space="preserve"> et al. (2007).</w:t>
      </w:r>
      <w:bookmarkEnd w:id="22"/>
    </w:p>
  </w:footnote>
  <w:footnote w:id="23">
    <w:p w:rsidRPr="00DA26F4" w:rsidR="003C4982" w:rsidP="00DA58E9" w:rsidRDefault="003C4982" w14:paraId="118DBFA3" w14:textId="21A5D1F2">
      <w:pPr>
        <w:pStyle w:val="FootnoteText"/>
        <w:ind w:left="288" w:hanging="288"/>
        <w:jc w:val="both"/>
        <w:rPr>
          <w:rFonts w:ascii="Arial" w:hAnsi="Arial" w:cs="Arial"/>
        </w:rPr>
      </w:pPr>
      <w:r w:rsidRPr="00DA26F4">
        <w:rPr>
          <w:rStyle w:val="FootnoteReference"/>
          <w:rFonts w:ascii="Arial" w:hAnsi="Arial" w:cs="Arial"/>
        </w:rPr>
        <w:footnoteRef/>
      </w:r>
      <w:r w:rsidRPr="00DA26F4">
        <w:rPr>
          <w:rFonts w:ascii="Arial" w:hAnsi="Arial" w:cs="Arial"/>
          <w:lang w:val="es-ES"/>
        </w:rPr>
        <w:t xml:space="preserve"> Las estimaciones de </w:t>
      </w:r>
      <w:proofErr w:type="spellStart"/>
      <w:r w:rsidRPr="00DA26F4">
        <w:rPr>
          <w:rFonts w:ascii="Arial" w:hAnsi="Arial" w:cs="Arial"/>
          <w:lang w:val="es-ES"/>
        </w:rPr>
        <w:t>Qun</w:t>
      </w:r>
      <w:proofErr w:type="spellEnd"/>
      <w:r w:rsidRPr="00DA26F4">
        <w:rPr>
          <w:rFonts w:ascii="Arial" w:hAnsi="Arial" w:cs="Arial"/>
          <w:lang w:val="es-ES"/>
        </w:rPr>
        <w:t xml:space="preserve"> Li et al. </w:t>
      </w:r>
      <w:r w:rsidRPr="00DA26F4">
        <w:rPr>
          <w:rFonts w:ascii="Arial" w:hAnsi="Arial" w:cs="Arial"/>
        </w:rPr>
        <w:t>(2020) validan un período de observación o cuarentena de 14-días para personas expuestas</w:t>
      </w:r>
    </w:p>
  </w:footnote>
  <w:footnote w:id="24">
    <w:p w:rsidRPr="00DA26F4" w:rsidR="003C4982" w:rsidP="00DA58E9" w:rsidRDefault="003C4982" w14:paraId="7FC4A77A" w14:textId="7C2C468B">
      <w:pPr>
        <w:pStyle w:val="FootnoteText"/>
        <w:ind w:left="288" w:hanging="288"/>
        <w:jc w:val="both"/>
        <w:rPr>
          <w:rFonts w:ascii="Arial" w:hAnsi="Arial" w:cs="Arial"/>
        </w:rPr>
      </w:pPr>
      <w:r w:rsidRPr="00DA26F4">
        <w:rPr>
          <w:rStyle w:val="FootnoteReference"/>
          <w:rFonts w:ascii="Arial" w:hAnsi="Arial" w:cs="Arial"/>
        </w:rPr>
        <w:footnoteRef/>
      </w:r>
      <w:r w:rsidRPr="00DA26F4">
        <w:rPr>
          <w:rFonts w:ascii="Arial" w:hAnsi="Arial" w:cs="Arial"/>
        </w:rPr>
        <w:t xml:space="preserve"> </w:t>
      </w:r>
      <w:r w:rsidR="006F53C9">
        <w:rPr>
          <w:rFonts w:ascii="Arial" w:hAnsi="Arial" w:cs="Arial"/>
        </w:rPr>
        <w:tab/>
      </w:r>
      <w:r w:rsidRPr="00DA26F4">
        <w:rPr>
          <w:rFonts w:ascii="Arial" w:hAnsi="Arial" w:cs="Arial"/>
        </w:rPr>
        <w:t>Cabe destacar que la relación entre el número de reproducción y la cantidad de infectados al final del período no es lineal. El crecimiento de la cantidad de infectados crece, inicialmente, en forma exponencial.</w:t>
      </w:r>
    </w:p>
  </w:footnote>
  <w:footnote w:id="25">
    <w:p w:rsidRPr="00DA26F4" w:rsidR="003C4982" w:rsidP="00DA58E9" w:rsidRDefault="003C4982" w14:paraId="2042F1FC" w14:textId="499B2E8B">
      <w:pPr>
        <w:pStyle w:val="FootnoteText"/>
        <w:ind w:left="288" w:hanging="288"/>
        <w:jc w:val="both"/>
        <w:rPr>
          <w:rFonts w:ascii="Arial" w:hAnsi="Arial" w:cs="Arial"/>
        </w:rPr>
      </w:pPr>
      <w:r w:rsidRPr="00DA26F4">
        <w:rPr>
          <w:rStyle w:val="FootnoteReference"/>
          <w:rFonts w:ascii="Arial" w:hAnsi="Arial" w:cs="Arial"/>
        </w:rPr>
        <w:footnoteRef/>
      </w:r>
      <w:r w:rsidRPr="00DA26F4">
        <w:rPr>
          <w:rFonts w:ascii="Arial" w:hAnsi="Arial" w:cs="Arial"/>
        </w:rPr>
        <w:t xml:space="preserve"> </w:t>
      </w:r>
      <w:r w:rsidR="006F53C9">
        <w:rPr>
          <w:rFonts w:ascii="Arial" w:hAnsi="Arial" w:cs="Arial"/>
        </w:rPr>
        <w:tab/>
      </w:r>
      <w:r w:rsidRPr="00DA26F4">
        <w:rPr>
          <w:rFonts w:ascii="Arial" w:hAnsi="Arial" w:cs="Arial"/>
        </w:rPr>
        <w:t>Ver Ibarrarán y Rosas (2009) y González-Velosa et al. (2012).</w:t>
      </w:r>
    </w:p>
  </w:footnote>
  <w:footnote w:id="26">
    <w:p w:rsidRPr="00DA26F4" w:rsidR="003C4982" w:rsidP="00DA58E9" w:rsidRDefault="003C4982" w14:paraId="434A1196" w14:textId="615561A3">
      <w:pPr>
        <w:pStyle w:val="FootnoteText"/>
        <w:ind w:left="288" w:hanging="288"/>
        <w:jc w:val="both"/>
        <w:rPr>
          <w:rFonts w:ascii="Arial" w:hAnsi="Arial" w:cs="Arial"/>
        </w:rPr>
      </w:pPr>
      <w:r w:rsidRPr="00DA26F4">
        <w:rPr>
          <w:rStyle w:val="FootnoteReference"/>
          <w:rFonts w:ascii="Arial" w:hAnsi="Arial" w:cs="Arial"/>
        </w:rPr>
        <w:footnoteRef/>
      </w:r>
      <w:r w:rsidRPr="00DA26F4">
        <w:rPr>
          <w:rFonts w:ascii="Arial" w:hAnsi="Arial" w:cs="Arial"/>
        </w:rPr>
        <w:t xml:space="preserve"> </w:t>
      </w:r>
      <w:r w:rsidR="006F53C9">
        <w:rPr>
          <w:rFonts w:ascii="Arial" w:hAnsi="Arial" w:cs="Arial"/>
        </w:rPr>
        <w:tab/>
      </w:r>
      <w:r w:rsidRPr="00DA26F4">
        <w:rPr>
          <w:rFonts w:ascii="Arial" w:hAnsi="Arial" w:cs="Arial"/>
        </w:rPr>
        <w:t xml:space="preserve">Ver Card (2018) para un </w:t>
      </w:r>
      <w:proofErr w:type="gramStart"/>
      <w:r w:rsidRPr="00DA26F4">
        <w:rPr>
          <w:rFonts w:ascii="Arial" w:hAnsi="Arial" w:cs="Arial"/>
        </w:rPr>
        <w:t>meta análisis</w:t>
      </w:r>
      <w:proofErr w:type="gramEnd"/>
      <w:r w:rsidRPr="00DA26F4">
        <w:rPr>
          <w:rFonts w:ascii="Arial" w:hAnsi="Arial" w:cs="Arial"/>
        </w:rPr>
        <w:t xml:space="preserve"> reciente de la literatura que resalta la variabilidad de los resultados.</w:t>
      </w:r>
    </w:p>
  </w:footnote>
  <w:footnote w:id="27">
    <w:p w:rsidRPr="00DA26F4" w:rsidR="003C4982" w:rsidP="00DA58E9" w:rsidRDefault="003C4982" w14:paraId="1E472EEF" w14:textId="6E814EDB">
      <w:pPr>
        <w:pStyle w:val="FootnoteText"/>
        <w:ind w:left="288" w:hanging="288"/>
        <w:jc w:val="both"/>
        <w:rPr>
          <w:rFonts w:ascii="Arial" w:hAnsi="Arial" w:cs="Arial"/>
          <w:lang w:val="es-ES"/>
        </w:rPr>
      </w:pPr>
      <w:r w:rsidRPr="00DA26F4">
        <w:rPr>
          <w:rStyle w:val="FootnoteReference"/>
          <w:rFonts w:ascii="Arial" w:hAnsi="Arial" w:cs="Arial"/>
        </w:rPr>
        <w:footnoteRef/>
      </w:r>
      <w:r w:rsidRPr="00DA26F4">
        <w:rPr>
          <w:rFonts w:ascii="Arial" w:hAnsi="Arial" w:cs="Arial"/>
        </w:rPr>
        <w:t xml:space="preserve"> </w:t>
      </w:r>
      <w:r w:rsidRPr="00DA26F4">
        <w:rPr>
          <w:rFonts w:ascii="Arial" w:hAnsi="Arial" w:cs="Arial"/>
          <w:lang w:val="es-ES"/>
        </w:rPr>
        <w:t>En el análisis de sensibilidad, para dar cuenta de la falta de datos concretos acerca de la duración del período de desempleo, se estudiará la efectividad de la política en términos del número de puestos de trabajo preservados, la cual también puede interpretarse como equivalente a modificar el tiempo en que tardan los trabajadores en recuperar su empleo.</w:t>
      </w:r>
    </w:p>
  </w:footnote>
  <w:footnote w:id="28">
    <w:p w:rsidRPr="00DA26F4" w:rsidR="003C4982" w:rsidP="00DA58E9" w:rsidRDefault="003C4982" w14:paraId="6AC022D0" w14:textId="12DFD1C8">
      <w:pPr>
        <w:pStyle w:val="FootnoteText"/>
        <w:ind w:left="288" w:hanging="288"/>
        <w:jc w:val="both"/>
        <w:rPr>
          <w:rFonts w:ascii="Arial" w:hAnsi="Arial" w:cs="Arial"/>
        </w:rPr>
      </w:pPr>
      <w:r w:rsidRPr="00DA26F4">
        <w:rPr>
          <w:rStyle w:val="FootnoteReference"/>
          <w:rFonts w:ascii="Arial" w:hAnsi="Arial" w:cs="Arial"/>
        </w:rPr>
        <w:footnoteRef/>
      </w:r>
      <w:proofErr w:type="spellStart"/>
      <w:r w:rsidRPr="00DA26F4">
        <w:rPr>
          <w:rFonts w:ascii="Arial" w:hAnsi="Arial" w:cs="Arial"/>
        </w:rPr>
        <w:t>Arulampalam</w:t>
      </w:r>
      <w:proofErr w:type="spellEnd"/>
      <w:r w:rsidRPr="00DA26F4">
        <w:rPr>
          <w:rFonts w:ascii="Arial" w:hAnsi="Arial" w:cs="Arial"/>
        </w:rPr>
        <w:t xml:space="preserve"> et al. (1997).</w:t>
      </w:r>
    </w:p>
  </w:footnote>
  <w:footnote w:id="29">
    <w:p w:rsidRPr="00DA26F4" w:rsidR="003C4982" w:rsidP="00DA58E9" w:rsidRDefault="003C4982" w14:paraId="371775BC" w14:textId="44178A7A">
      <w:pPr>
        <w:pStyle w:val="FootnoteText"/>
        <w:ind w:left="288" w:hanging="288"/>
        <w:jc w:val="both"/>
        <w:rPr>
          <w:rFonts w:ascii="Arial" w:hAnsi="Arial" w:cs="Arial"/>
        </w:rPr>
      </w:pPr>
      <w:r w:rsidRPr="00DA26F4">
        <w:rPr>
          <w:rStyle w:val="FootnoteReference"/>
          <w:rFonts w:ascii="Arial" w:hAnsi="Arial" w:cs="Arial"/>
        </w:rPr>
        <w:footnoteRef/>
      </w:r>
      <w:r w:rsidRPr="00DA26F4">
        <w:rPr>
          <w:rFonts w:ascii="Arial" w:hAnsi="Arial" w:cs="Arial"/>
        </w:rPr>
        <w:t xml:space="preserve"> Ver por ejemplo el DIA 2017 “Aprender Mejor: Políticas Públicas para el Desarrollo de Habilidades”.</w:t>
      </w:r>
    </w:p>
  </w:footnote>
  <w:footnote w:id="30">
    <w:p w:rsidRPr="00DA26F4" w:rsidR="003C4982" w:rsidP="00DA58E9" w:rsidRDefault="003C4982" w14:paraId="59C2B611" w14:textId="42744347">
      <w:pPr>
        <w:pStyle w:val="FootnoteText"/>
        <w:ind w:left="288" w:hanging="288"/>
        <w:jc w:val="both"/>
        <w:rPr>
          <w:rFonts w:ascii="Arial" w:hAnsi="Arial" w:cs="Arial"/>
        </w:rPr>
      </w:pPr>
      <w:r w:rsidRPr="00DA26F4">
        <w:rPr>
          <w:rStyle w:val="FootnoteReference"/>
          <w:rFonts w:ascii="Arial" w:hAnsi="Arial" w:cs="Arial"/>
        </w:rPr>
        <w:footnoteRef/>
      </w:r>
      <w:r w:rsidRPr="00DA26F4">
        <w:rPr>
          <w:rFonts w:ascii="Arial" w:hAnsi="Arial" w:cs="Arial"/>
        </w:rPr>
        <w:t xml:space="preserve"> Observatorio Social del Ecuador (2018). Situación de la niñez y adolescencia en el Ecuador, una mirada a través de los ODS.</w:t>
      </w:r>
    </w:p>
  </w:footnote>
  <w:footnote w:id="31">
    <w:p w:rsidRPr="00DA26F4" w:rsidR="003C4982" w:rsidP="00DA58E9" w:rsidRDefault="003C4982" w14:paraId="3820628E" w14:textId="3B507D95">
      <w:pPr>
        <w:pStyle w:val="FootnoteText"/>
        <w:ind w:left="288" w:hanging="288"/>
        <w:jc w:val="both"/>
        <w:rPr>
          <w:rFonts w:ascii="Arial" w:hAnsi="Arial" w:cs="Arial"/>
        </w:rPr>
      </w:pPr>
      <w:r w:rsidRPr="00DA26F4">
        <w:rPr>
          <w:rStyle w:val="FootnoteReference"/>
          <w:rFonts w:ascii="Arial" w:hAnsi="Arial" w:cs="Arial"/>
        </w:rPr>
        <w:footnoteRef/>
      </w:r>
      <w:r w:rsidRPr="00DA26F4">
        <w:rPr>
          <w:rFonts w:ascii="Arial" w:hAnsi="Arial" w:cs="Arial"/>
        </w:rPr>
        <w:t xml:space="preserve"> Ver por ejemplo Alexander et al. (2017), Kim y Quinn (2013) y Cooper et al. (1996) para una justificación de este supuesto.</w:t>
      </w:r>
    </w:p>
  </w:footnote>
  <w:footnote w:id="32">
    <w:p w:rsidRPr="00DA26F4" w:rsidR="003C4982" w:rsidP="00DA58E9" w:rsidRDefault="003C4982" w14:paraId="11FE3520" w14:textId="3F79A1BF">
      <w:pPr>
        <w:pStyle w:val="FootnoteText"/>
        <w:ind w:left="288" w:hanging="288"/>
        <w:jc w:val="both"/>
        <w:rPr>
          <w:rFonts w:ascii="Arial" w:hAnsi="Arial" w:cs="Arial"/>
        </w:rPr>
      </w:pPr>
      <w:r w:rsidRPr="00DA26F4">
        <w:rPr>
          <w:rStyle w:val="FootnoteReference"/>
          <w:rFonts w:ascii="Arial" w:hAnsi="Arial" w:cs="Arial"/>
        </w:rPr>
        <w:footnoteRef/>
      </w:r>
      <w:r w:rsidRPr="00DA26F4">
        <w:rPr>
          <w:rFonts w:ascii="Arial" w:hAnsi="Arial" w:cs="Arial"/>
        </w:rPr>
        <w:t xml:space="preserve"> Se adoptan los valores estimados por Cooper et al. (1996) quienes conducen un </w:t>
      </w:r>
      <w:proofErr w:type="gramStart"/>
      <w:r w:rsidRPr="00DA26F4">
        <w:rPr>
          <w:rFonts w:ascii="Arial" w:hAnsi="Arial" w:cs="Arial"/>
        </w:rPr>
        <w:t>meta-análisis</w:t>
      </w:r>
      <w:proofErr w:type="gramEnd"/>
      <w:r w:rsidRPr="00DA26F4">
        <w:rPr>
          <w:rFonts w:ascii="Arial" w:hAnsi="Arial" w:cs="Arial"/>
        </w:rPr>
        <w:t xml:space="preserve"> para EEUU.</w:t>
      </w:r>
    </w:p>
  </w:footnote>
  <w:footnote w:id="33">
    <w:p w:rsidRPr="00DA26F4" w:rsidR="003C4982" w:rsidP="00DA58E9" w:rsidRDefault="003C4982" w14:paraId="2CD64E44" w14:textId="219E3343">
      <w:pPr>
        <w:pStyle w:val="FootnoteText"/>
        <w:ind w:left="288" w:hanging="288"/>
        <w:jc w:val="both"/>
        <w:rPr>
          <w:rFonts w:ascii="Arial" w:hAnsi="Arial" w:cs="Arial"/>
        </w:rPr>
      </w:pPr>
      <w:r w:rsidRPr="00DA26F4">
        <w:rPr>
          <w:rStyle w:val="FootnoteReference"/>
          <w:rFonts w:ascii="Arial" w:hAnsi="Arial" w:cs="Arial"/>
        </w:rPr>
        <w:footnoteRef/>
      </w:r>
      <w:r w:rsidRPr="00DA26F4">
        <w:rPr>
          <w:rFonts w:ascii="Arial" w:hAnsi="Arial" w:cs="Arial"/>
        </w:rPr>
        <w:t xml:space="preserve"> </w:t>
      </w:r>
      <w:proofErr w:type="gramStart"/>
      <w:r w:rsidRPr="00DA26F4">
        <w:rPr>
          <w:rFonts w:ascii="Arial" w:hAnsi="Arial" w:cs="Arial"/>
        </w:rPr>
        <w:t>Ver</w:t>
      </w:r>
      <w:proofErr w:type="gramEnd"/>
      <w:r w:rsidRPr="00DA26F4">
        <w:rPr>
          <w:rFonts w:ascii="Arial" w:hAnsi="Arial" w:cs="Arial"/>
        </w:rPr>
        <w:t xml:space="preserve"> por ejemplo, Alexander et al. (2017).</w:t>
      </w:r>
    </w:p>
  </w:footnote>
  <w:footnote w:id="34">
    <w:p w:rsidRPr="00DA26F4" w:rsidR="003C4982" w:rsidP="00DA58E9" w:rsidRDefault="003C4982" w14:paraId="2576BFAB" w14:textId="68EBF1A1">
      <w:pPr>
        <w:pStyle w:val="FootnoteText"/>
        <w:ind w:left="288" w:hanging="288"/>
        <w:jc w:val="both"/>
        <w:rPr>
          <w:rFonts w:ascii="Arial" w:hAnsi="Arial" w:cs="Arial"/>
        </w:rPr>
      </w:pPr>
      <w:r w:rsidRPr="00DA26F4">
        <w:rPr>
          <w:rStyle w:val="FootnoteReference"/>
          <w:rFonts w:ascii="Arial" w:hAnsi="Arial" w:cs="Arial"/>
        </w:rPr>
        <w:footnoteRef/>
      </w:r>
      <w:r w:rsidRPr="00DA26F4">
        <w:rPr>
          <w:rFonts w:ascii="Arial" w:hAnsi="Arial" w:cs="Arial"/>
        </w:rPr>
        <w:t xml:space="preserve"> </w:t>
      </w:r>
      <w:r w:rsidR="006F53C9">
        <w:rPr>
          <w:rFonts w:ascii="Arial" w:hAnsi="Arial" w:cs="Arial"/>
        </w:rPr>
        <w:tab/>
      </w:r>
      <w:r w:rsidRPr="00DA26F4">
        <w:rPr>
          <w:rFonts w:ascii="Arial" w:hAnsi="Arial" w:cs="Arial"/>
        </w:rPr>
        <w:t xml:space="preserve">Ver, por ejemplo, Klein et al. </w:t>
      </w:r>
      <w:r w:rsidRPr="00DA26F4">
        <w:rPr>
          <w:rFonts w:ascii="Arial" w:hAnsi="Arial" w:cs="Arial"/>
          <w:lang w:val="fr-FR"/>
        </w:rPr>
        <w:t xml:space="preserve">(2020), Ferguson et al. (2020), Shen et al. </w:t>
      </w:r>
      <w:r w:rsidRPr="00DA26F4">
        <w:rPr>
          <w:rFonts w:ascii="Arial" w:hAnsi="Arial" w:cs="Arial"/>
        </w:rPr>
        <w:t xml:space="preserve">(2020), </w:t>
      </w:r>
      <w:proofErr w:type="spellStart"/>
      <w:r w:rsidRPr="00DA26F4">
        <w:rPr>
          <w:rFonts w:ascii="Arial" w:hAnsi="Arial" w:cs="Arial"/>
        </w:rPr>
        <w:t>Wallinga</w:t>
      </w:r>
      <w:proofErr w:type="spellEnd"/>
      <w:r w:rsidRPr="00DA26F4">
        <w:rPr>
          <w:rFonts w:ascii="Arial" w:hAnsi="Arial" w:cs="Arial"/>
        </w:rPr>
        <w:t xml:space="preserve"> y </w:t>
      </w:r>
      <w:proofErr w:type="spellStart"/>
      <w:r w:rsidRPr="00DA26F4">
        <w:rPr>
          <w:rFonts w:ascii="Arial" w:hAnsi="Arial" w:cs="Arial"/>
        </w:rPr>
        <w:t>Teunis</w:t>
      </w:r>
      <w:proofErr w:type="spellEnd"/>
      <w:r w:rsidRPr="00DA26F4">
        <w:rPr>
          <w:rFonts w:ascii="Arial" w:hAnsi="Arial" w:cs="Arial"/>
        </w:rPr>
        <w:t xml:space="preserve"> (2004) y </w:t>
      </w:r>
      <w:proofErr w:type="spellStart"/>
      <w:r w:rsidRPr="00DA26F4">
        <w:rPr>
          <w:rFonts w:ascii="Arial" w:hAnsi="Arial" w:cs="Arial"/>
        </w:rPr>
        <w:t>Cowling</w:t>
      </w:r>
      <w:proofErr w:type="spellEnd"/>
      <w:r w:rsidRPr="00DA26F4">
        <w:rPr>
          <w:rFonts w:ascii="Arial" w:hAnsi="Arial" w:cs="Arial"/>
        </w:rPr>
        <w:t xml:space="preserve"> et al. (2007).</w:t>
      </w:r>
    </w:p>
  </w:footnote>
  <w:footnote w:id="35">
    <w:p w:rsidRPr="00DA26F4" w:rsidR="003C4982" w:rsidP="00DA58E9" w:rsidRDefault="003C4982" w14:paraId="44FB5EB3" w14:textId="77777777">
      <w:pPr>
        <w:pStyle w:val="FootnoteText"/>
        <w:ind w:left="288" w:hanging="288"/>
        <w:jc w:val="both"/>
        <w:rPr>
          <w:rFonts w:ascii="Arial" w:hAnsi="Arial" w:cs="Arial"/>
        </w:rPr>
      </w:pPr>
      <w:r w:rsidRPr="00DA26F4">
        <w:rPr>
          <w:rStyle w:val="FootnoteReference"/>
          <w:rFonts w:ascii="Arial" w:hAnsi="Arial" w:cs="Arial"/>
        </w:rPr>
        <w:footnoteRef/>
      </w:r>
      <w:r w:rsidRPr="00DA26F4">
        <w:rPr>
          <w:rFonts w:ascii="Arial" w:hAnsi="Arial" w:cs="Arial"/>
        </w:rPr>
        <w:t xml:space="preserve"> La magnitud de las intervenciones propuestas no obedece a las posibilidades de financiamiento mediante un préstamo del BID. La cantidad de hogares o individuos beneficiarios ha sido establecida bajo el supuesto </w:t>
      </w:r>
    </w:p>
    <w:p w:rsidRPr="00DA26F4" w:rsidR="003C4982" w:rsidP="00DA58E9" w:rsidRDefault="003C4982" w14:paraId="4B3DA012" w14:textId="4C005CF7">
      <w:pPr>
        <w:pStyle w:val="FootnoteText"/>
        <w:ind w:left="288" w:hanging="288"/>
        <w:jc w:val="both"/>
        <w:rPr>
          <w:rFonts w:ascii="Arial" w:hAnsi="Arial" w:cs="Arial"/>
        </w:rPr>
      </w:pPr>
      <w:r w:rsidRPr="00DA26F4">
        <w:rPr>
          <w:rFonts w:ascii="Arial" w:hAnsi="Arial" w:cs="Arial"/>
        </w:rPr>
        <w:t xml:space="preserve">de cubrir a la mayor proporción de la población posible. Salvo en el caso del Componente 5, donde hay economías de escala, esta decisión metodológica no afecta los resultados ante un escenario en el cual el BID financie estas intervenciones a una escala menor. Esto obviamente afecta el cálculo del VAN aunque no del Ratio </w:t>
      </w:r>
      <w:proofErr w:type="spellStart"/>
      <w:proofErr w:type="gramStart"/>
      <w:r w:rsidRPr="00DA26F4">
        <w:rPr>
          <w:rFonts w:ascii="Arial" w:hAnsi="Arial" w:cs="Arial"/>
        </w:rPr>
        <w:t>Beneficio:Costo</w:t>
      </w:r>
      <w:proofErr w:type="spellEnd"/>
      <w:proofErr w:type="gramEnd"/>
      <w:r w:rsidRPr="00DA26F4">
        <w:rPr>
          <w:rFonts w:ascii="Arial" w:hAnsi="Arial" w:cs="Aria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18336367"/>
      <w:docPartObj>
        <w:docPartGallery w:val="Page Numbers (Top of Page)"/>
        <w:docPartUnique/>
      </w:docPartObj>
    </w:sdtPr>
    <w:sdtEndPr>
      <w:rPr>
        <w:rFonts w:ascii="Arial" w:hAnsi="Arial" w:cs="Arial"/>
        <w:sz w:val="18"/>
        <w:szCs w:val="18"/>
      </w:rPr>
    </w:sdtEndPr>
    <w:sdtContent>
      <w:p w:rsidRPr="00584928" w:rsidR="00584928" w:rsidRDefault="00584928" w14:paraId="249D66EF" w14:textId="0BCA05CC">
        <w:pPr>
          <w:pStyle w:val="Header"/>
          <w:jc w:val="right"/>
          <w:rPr>
            <w:rFonts w:ascii="Arial" w:hAnsi="Arial" w:cs="Arial"/>
            <w:sz w:val="18"/>
            <w:szCs w:val="18"/>
          </w:rPr>
        </w:pPr>
        <w:r w:rsidRPr="00584928">
          <w:rPr>
            <w:rFonts w:ascii="Arial" w:hAnsi="Arial" w:cs="Arial"/>
            <w:sz w:val="18"/>
            <w:szCs w:val="18"/>
          </w:rPr>
          <w:t>EEO#1-BO-L1216</w:t>
        </w:r>
      </w:p>
      <w:p w:rsidRPr="00584928" w:rsidR="00584928" w:rsidRDefault="00584928" w14:paraId="64D01FA8" w14:textId="6858756B">
        <w:pPr>
          <w:pStyle w:val="Header"/>
          <w:jc w:val="right"/>
          <w:rPr>
            <w:rFonts w:ascii="Arial" w:hAnsi="Arial" w:cs="Arial"/>
            <w:sz w:val="18"/>
            <w:szCs w:val="18"/>
          </w:rPr>
        </w:pPr>
        <w:proofErr w:type="spellStart"/>
        <w:r w:rsidRPr="00584928">
          <w:rPr>
            <w:rFonts w:ascii="Arial" w:hAnsi="Arial" w:cs="Arial"/>
            <w:sz w:val="18"/>
            <w:szCs w:val="18"/>
          </w:rPr>
          <w:t>Página</w:t>
        </w:r>
        <w:proofErr w:type="spellEnd"/>
        <w:r w:rsidRPr="00584928">
          <w:rPr>
            <w:rFonts w:ascii="Arial" w:hAnsi="Arial" w:cs="Arial"/>
            <w:sz w:val="18"/>
            <w:szCs w:val="18"/>
          </w:rPr>
          <w:t xml:space="preserve"> </w:t>
        </w:r>
        <w:r w:rsidRPr="00584928">
          <w:rPr>
            <w:rFonts w:ascii="Arial" w:hAnsi="Arial" w:cs="Arial"/>
            <w:sz w:val="18"/>
            <w:szCs w:val="18"/>
          </w:rPr>
          <w:fldChar w:fldCharType="begin"/>
        </w:r>
        <w:r w:rsidRPr="00584928">
          <w:rPr>
            <w:rFonts w:ascii="Arial" w:hAnsi="Arial" w:cs="Arial"/>
            <w:sz w:val="18"/>
            <w:szCs w:val="18"/>
          </w:rPr>
          <w:instrText xml:space="preserve"> PAGE </w:instrText>
        </w:r>
        <w:r w:rsidRPr="00584928">
          <w:rPr>
            <w:rFonts w:ascii="Arial" w:hAnsi="Arial" w:cs="Arial"/>
            <w:sz w:val="18"/>
            <w:szCs w:val="18"/>
          </w:rPr>
          <w:fldChar w:fldCharType="separate"/>
        </w:r>
        <w:r w:rsidRPr="00584928">
          <w:rPr>
            <w:rFonts w:ascii="Arial" w:hAnsi="Arial" w:cs="Arial"/>
            <w:noProof/>
            <w:sz w:val="18"/>
            <w:szCs w:val="18"/>
          </w:rPr>
          <w:t>2</w:t>
        </w:r>
        <w:r w:rsidRPr="00584928">
          <w:rPr>
            <w:rFonts w:ascii="Arial" w:hAnsi="Arial" w:cs="Arial"/>
            <w:sz w:val="18"/>
            <w:szCs w:val="18"/>
          </w:rPr>
          <w:fldChar w:fldCharType="end"/>
        </w:r>
        <w:r w:rsidRPr="00584928">
          <w:rPr>
            <w:rFonts w:ascii="Arial" w:hAnsi="Arial" w:cs="Arial"/>
            <w:sz w:val="18"/>
            <w:szCs w:val="18"/>
          </w:rPr>
          <w:t xml:space="preserve"> de </w:t>
        </w:r>
        <w:r w:rsidRPr="00584928">
          <w:rPr>
            <w:rFonts w:ascii="Arial" w:hAnsi="Arial" w:cs="Arial"/>
            <w:sz w:val="18"/>
            <w:szCs w:val="18"/>
          </w:rPr>
          <w:fldChar w:fldCharType="begin"/>
        </w:r>
        <w:r w:rsidRPr="00584928">
          <w:rPr>
            <w:rFonts w:ascii="Arial" w:hAnsi="Arial" w:cs="Arial"/>
            <w:sz w:val="18"/>
            <w:szCs w:val="18"/>
          </w:rPr>
          <w:instrText xml:space="preserve"> NUMPAGES  </w:instrText>
        </w:r>
        <w:r w:rsidRPr="00584928">
          <w:rPr>
            <w:rFonts w:ascii="Arial" w:hAnsi="Arial" w:cs="Arial"/>
            <w:sz w:val="18"/>
            <w:szCs w:val="18"/>
          </w:rPr>
          <w:fldChar w:fldCharType="separate"/>
        </w:r>
        <w:r w:rsidRPr="00584928">
          <w:rPr>
            <w:rFonts w:ascii="Arial" w:hAnsi="Arial" w:cs="Arial"/>
            <w:noProof/>
            <w:sz w:val="18"/>
            <w:szCs w:val="18"/>
          </w:rPr>
          <w:t>2</w:t>
        </w:r>
        <w:r w:rsidRPr="00584928">
          <w:rPr>
            <w:rFonts w:ascii="Arial" w:hAnsi="Arial" w:cs="Arial"/>
            <w:sz w:val="18"/>
            <w:szCs w:val="18"/>
          </w:rPr>
          <w:fldChar w:fldCharType="end"/>
        </w:r>
      </w:p>
    </w:sdtContent>
  </w:sdt>
  <w:p w:rsidR="00584928" w:rsidRDefault="00584928" w14:paraId="434F003B"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1E774F"/>
    <w:multiLevelType w:val="hybridMultilevel"/>
    <w:tmpl w:val="99E6AD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6A62E6"/>
    <w:multiLevelType w:val="hybridMultilevel"/>
    <w:tmpl w:val="80744672"/>
    <w:lvl w:ilvl="0" w:tplc="D88E6D5A">
      <w:start w:val="1"/>
      <w:numFmt w:val="upperRoman"/>
      <w:lvlText w:val="%1."/>
      <w:lvlJc w:val="left"/>
      <w:pPr>
        <w:ind w:left="1080" w:hanging="720"/>
      </w:pPr>
    </w:lvl>
    <w:lvl w:ilvl="1" w:tplc="04090019">
      <w:start w:val="1"/>
      <w:numFmt w:val="lowerLetter"/>
      <w:lvlText w:val="%2."/>
      <w:lvlJc w:val="left"/>
      <w:pPr>
        <w:ind w:left="1440" w:hanging="360"/>
      </w:pPr>
    </w:lvl>
    <w:lvl w:ilvl="2" w:tplc="71624B28">
      <w:start w:val="1"/>
      <w:numFmt w:val="lowerRoman"/>
      <w:lvlText w:val="%3)"/>
      <w:lvlJc w:val="left"/>
      <w:pPr>
        <w:ind w:left="2700" w:hanging="720"/>
      </w:pPr>
    </w:lvl>
    <w:lvl w:ilvl="3" w:tplc="123008DC">
      <w:start w:val="2"/>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9EA2C9B"/>
    <w:multiLevelType w:val="hybridMultilevel"/>
    <w:tmpl w:val="43FC8CA8"/>
    <w:lvl w:ilvl="0" w:tplc="24A431C2">
      <w:numFmt w:val="bullet"/>
      <w:lvlText w:val=""/>
      <w:lvlJc w:val="left"/>
      <w:pPr>
        <w:ind w:left="720" w:hanging="360"/>
      </w:pPr>
      <w:rPr>
        <w:rFonts w:hint="default" w:ascii="Symbol" w:hAnsi="Symbol" w:eastAsia="Times New Roman" w:cs="Arial"/>
      </w:rPr>
    </w:lvl>
    <w:lvl w:ilvl="1" w:tplc="2C0A0003" w:tentative="1">
      <w:start w:val="1"/>
      <w:numFmt w:val="bullet"/>
      <w:lvlText w:val="o"/>
      <w:lvlJc w:val="left"/>
      <w:pPr>
        <w:ind w:left="1440" w:hanging="360"/>
      </w:pPr>
      <w:rPr>
        <w:rFonts w:hint="default" w:ascii="Courier New" w:hAnsi="Courier New" w:cs="Courier New"/>
      </w:rPr>
    </w:lvl>
    <w:lvl w:ilvl="2" w:tplc="2C0A0005" w:tentative="1">
      <w:start w:val="1"/>
      <w:numFmt w:val="bullet"/>
      <w:lvlText w:val=""/>
      <w:lvlJc w:val="left"/>
      <w:pPr>
        <w:ind w:left="2160" w:hanging="360"/>
      </w:pPr>
      <w:rPr>
        <w:rFonts w:hint="default" w:ascii="Wingdings" w:hAnsi="Wingdings"/>
      </w:rPr>
    </w:lvl>
    <w:lvl w:ilvl="3" w:tplc="2C0A0001" w:tentative="1">
      <w:start w:val="1"/>
      <w:numFmt w:val="bullet"/>
      <w:lvlText w:val=""/>
      <w:lvlJc w:val="left"/>
      <w:pPr>
        <w:ind w:left="2880" w:hanging="360"/>
      </w:pPr>
      <w:rPr>
        <w:rFonts w:hint="default" w:ascii="Symbol" w:hAnsi="Symbol"/>
      </w:rPr>
    </w:lvl>
    <w:lvl w:ilvl="4" w:tplc="2C0A0003" w:tentative="1">
      <w:start w:val="1"/>
      <w:numFmt w:val="bullet"/>
      <w:lvlText w:val="o"/>
      <w:lvlJc w:val="left"/>
      <w:pPr>
        <w:ind w:left="3600" w:hanging="360"/>
      </w:pPr>
      <w:rPr>
        <w:rFonts w:hint="default" w:ascii="Courier New" w:hAnsi="Courier New" w:cs="Courier New"/>
      </w:rPr>
    </w:lvl>
    <w:lvl w:ilvl="5" w:tplc="2C0A0005" w:tentative="1">
      <w:start w:val="1"/>
      <w:numFmt w:val="bullet"/>
      <w:lvlText w:val=""/>
      <w:lvlJc w:val="left"/>
      <w:pPr>
        <w:ind w:left="4320" w:hanging="360"/>
      </w:pPr>
      <w:rPr>
        <w:rFonts w:hint="default" w:ascii="Wingdings" w:hAnsi="Wingdings"/>
      </w:rPr>
    </w:lvl>
    <w:lvl w:ilvl="6" w:tplc="2C0A0001" w:tentative="1">
      <w:start w:val="1"/>
      <w:numFmt w:val="bullet"/>
      <w:lvlText w:val=""/>
      <w:lvlJc w:val="left"/>
      <w:pPr>
        <w:ind w:left="5040" w:hanging="360"/>
      </w:pPr>
      <w:rPr>
        <w:rFonts w:hint="default" w:ascii="Symbol" w:hAnsi="Symbol"/>
      </w:rPr>
    </w:lvl>
    <w:lvl w:ilvl="7" w:tplc="2C0A0003" w:tentative="1">
      <w:start w:val="1"/>
      <w:numFmt w:val="bullet"/>
      <w:lvlText w:val="o"/>
      <w:lvlJc w:val="left"/>
      <w:pPr>
        <w:ind w:left="5760" w:hanging="360"/>
      </w:pPr>
      <w:rPr>
        <w:rFonts w:hint="default" w:ascii="Courier New" w:hAnsi="Courier New" w:cs="Courier New"/>
      </w:rPr>
    </w:lvl>
    <w:lvl w:ilvl="8" w:tplc="2C0A0005" w:tentative="1">
      <w:start w:val="1"/>
      <w:numFmt w:val="bullet"/>
      <w:lvlText w:val=""/>
      <w:lvlJc w:val="left"/>
      <w:pPr>
        <w:ind w:left="6480" w:hanging="360"/>
      </w:pPr>
      <w:rPr>
        <w:rFonts w:hint="default" w:ascii="Wingdings" w:hAnsi="Wingdings"/>
      </w:rPr>
    </w:lvl>
  </w:abstractNum>
  <w:abstractNum w:abstractNumId="3" w15:restartNumberingAfterBreak="0">
    <w:nsid w:val="2B6C129D"/>
    <w:multiLevelType w:val="hybridMultilevel"/>
    <w:tmpl w:val="062295F8"/>
    <w:lvl w:ilvl="0" w:tplc="E9563E6A">
      <w:start w:val="1"/>
      <w:numFmt w:val="bullet"/>
      <w:lvlText w:val=""/>
      <w:lvlJc w:val="left"/>
      <w:pPr>
        <w:ind w:left="720" w:hanging="360"/>
      </w:pPr>
      <w:rPr>
        <w:rFonts w:hint="default" w:ascii="Symbol" w:hAnsi="Symbol"/>
        <w:lang w:val="es-AR"/>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30B97865"/>
    <w:multiLevelType w:val="hybridMultilevel"/>
    <w:tmpl w:val="2DD6E96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3C925C34"/>
    <w:multiLevelType w:val="hybridMultilevel"/>
    <w:tmpl w:val="EEEA0BC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42335E87"/>
    <w:multiLevelType w:val="hybridMultilevel"/>
    <w:tmpl w:val="3A1EE8C0"/>
    <w:lvl w:ilvl="0" w:tplc="2C0A0001">
      <w:start w:val="1"/>
      <w:numFmt w:val="bullet"/>
      <w:lvlText w:val=""/>
      <w:lvlJc w:val="left"/>
      <w:pPr>
        <w:ind w:left="720" w:hanging="360"/>
      </w:pPr>
      <w:rPr>
        <w:rFonts w:hint="default" w:ascii="Symbol" w:hAnsi="Symbol"/>
      </w:rPr>
    </w:lvl>
    <w:lvl w:ilvl="1" w:tplc="2C0A0003" w:tentative="1">
      <w:start w:val="1"/>
      <w:numFmt w:val="bullet"/>
      <w:lvlText w:val="o"/>
      <w:lvlJc w:val="left"/>
      <w:pPr>
        <w:ind w:left="1440" w:hanging="360"/>
      </w:pPr>
      <w:rPr>
        <w:rFonts w:hint="default" w:ascii="Courier New" w:hAnsi="Courier New" w:cs="Courier New"/>
      </w:rPr>
    </w:lvl>
    <w:lvl w:ilvl="2" w:tplc="2C0A0005" w:tentative="1">
      <w:start w:val="1"/>
      <w:numFmt w:val="bullet"/>
      <w:lvlText w:val=""/>
      <w:lvlJc w:val="left"/>
      <w:pPr>
        <w:ind w:left="2160" w:hanging="360"/>
      </w:pPr>
      <w:rPr>
        <w:rFonts w:hint="default" w:ascii="Wingdings" w:hAnsi="Wingdings"/>
      </w:rPr>
    </w:lvl>
    <w:lvl w:ilvl="3" w:tplc="2C0A0001" w:tentative="1">
      <w:start w:val="1"/>
      <w:numFmt w:val="bullet"/>
      <w:lvlText w:val=""/>
      <w:lvlJc w:val="left"/>
      <w:pPr>
        <w:ind w:left="2880" w:hanging="360"/>
      </w:pPr>
      <w:rPr>
        <w:rFonts w:hint="default" w:ascii="Symbol" w:hAnsi="Symbol"/>
      </w:rPr>
    </w:lvl>
    <w:lvl w:ilvl="4" w:tplc="2C0A0003" w:tentative="1">
      <w:start w:val="1"/>
      <w:numFmt w:val="bullet"/>
      <w:lvlText w:val="o"/>
      <w:lvlJc w:val="left"/>
      <w:pPr>
        <w:ind w:left="3600" w:hanging="360"/>
      </w:pPr>
      <w:rPr>
        <w:rFonts w:hint="default" w:ascii="Courier New" w:hAnsi="Courier New" w:cs="Courier New"/>
      </w:rPr>
    </w:lvl>
    <w:lvl w:ilvl="5" w:tplc="2C0A0005" w:tentative="1">
      <w:start w:val="1"/>
      <w:numFmt w:val="bullet"/>
      <w:lvlText w:val=""/>
      <w:lvlJc w:val="left"/>
      <w:pPr>
        <w:ind w:left="4320" w:hanging="360"/>
      </w:pPr>
      <w:rPr>
        <w:rFonts w:hint="default" w:ascii="Wingdings" w:hAnsi="Wingdings"/>
      </w:rPr>
    </w:lvl>
    <w:lvl w:ilvl="6" w:tplc="2C0A0001" w:tentative="1">
      <w:start w:val="1"/>
      <w:numFmt w:val="bullet"/>
      <w:lvlText w:val=""/>
      <w:lvlJc w:val="left"/>
      <w:pPr>
        <w:ind w:left="5040" w:hanging="360"/>
      </w:pPr>
      <w:rPr>
        <w:rFonts w:hint="default" w:ascii="Symbol" w:hAnsi="Symbol"/>
      </w:rPr>
    </w:lvl>
    <w:lvl w:ilvl="7" w:tplc="2C0A0003" w:tentative="1">
      <w:start w:val="1"/>
      <w:numFmt w:val="bullet"/>
      <w:lvlText w:val="o"/>
      <w:lvlJc w:val="left"/>
      <w:pPr>
        <w:ind w:left="5760" w:hanging="360"/>
      </w:pPr>
      <w:rPr>
        <w:rFonts w:hint="default" w:ascii="Courier New" w:hAnsi="Courier New" w:cs="Courier New"/>
      </w:rPr>
    </w:lvl>
    <w:lvl w:ilvl="8" w:tplc="2C0A0005" w:tentative="1">
      <w:start w:val="1"/>
      <w:numFmt w:val="bullet"/>
      <w:lvlText w:val=""/>
      <w:lvlJc w:val="left"/>
      <w:pPr>
        <w:ind w:left="6480" w:hanging="360"/>
      </w:pPr>
      <w:rPr>
        <w:rFonts w:hint="default" w:ascii="Wingdings" w:hAnsi="Wingdings"/>
      </w:rPr>
    </w:lvl>
  </w:abstractNum>
  <w:abstractNum w:abstractNumId="7" w15:restartNumberingAfterBreak="0">
    <w:nsid w:val="44594911"/>
    <w:multiLevelType w:val="multilevel"/>
    <w:tmpl w:val="48822A1A"/>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ascii="Arial" w:hAnsi="Arial" w:cs="Arial"/>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6BC6054"/>
    <w:multiLevelType w:val="hybridMultilevel"/>
    <w:tmpl w:val="BF8863FE"/>
    <w:lvl w:ilvl="0" w:tplc="CC92B656">
      <w:start w:val="1"/>
      <w:numFmt w:val="decimal"/>
      <w:lvlText w:val="%1."/>
      <w:lvlJc w:val="left"/>
      <w:pPr>
        <w:ind w:left="720" w:hanging="360"/>
      </w:pPr>
      <w:rPr>
        <w:rFonts w:hint="default" w:ascii="Times New Roman" w:hAnsi="Times New Roman" w:cs="Times New Roman"/>
        <w:b/>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84D7C3B"/>
    <w:multiLevelType w:val="hybridMultilevel"/>
    <w:tmpl w:val="5344BA7C"/>
    <w:lvl w:ilvl="0" w:tplc="72EEB14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A72496A"/>
    <w:multiLevelType w:val="hybridMultilevel"/>
    <w:tmpl w:val="EB64F44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54D36BA9"/>
    <w:multiLevelType w:val="hybridMultilevel"/>
    <w:tmpl w:val="61DC9DA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6"/>
  </w:num>
  <w:num w:numId="3">
    <w:abstractNumId w:val="0"/>
  </w:num>
  <w:num w:numId="4">
    <w:abstractNumId w:val="2"/>
  </w:num>
  <w:num w:numId="5">
    <w:abstractNumId w:val="11"/>
  </w:num>
  <w:num w:numId="6">
    <w:abstractNumId w:val="3"/>
  </w:num>
  <w:num w:numId="7">
    <w:abstractNumId w:val="10"/>
  </w:num>
  <w:num w:numId="8">
    <w:abstractNumId w:val="4"/>
  </w:num>
  <w:num w:numId="9">
    <w:abstractNumId w:val="8"/>
  </w:num>
  <w:num w:numId="10">
    <w:abstractNumId w:val="9"/>
  </w:num>
  <w:num w:numId="11">
    <w:abstractNumId w:val="5"/>
  </w:num>
  <w:num w:numId="12">
    <w:abstractNumId w:val="1"/>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00"/>
  <w:doNotDisplayPageBoundaries/>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1E38"/>
    <w:rsid w:val="0000640B"/>
    <w:rsid w:val="000100A6"/>
    <w:rsid w:val="00011303"/>
    <w:rsid w:val="00011464"/>
    <w:rsid w:val="0001337A"/>
    <w:rsid w:val="00021763"/>
    <w:rsid w:val="0002343C"/>
    <w:rsid w:val="00024EAE"/>
    <w:rsid w:val="000273AB"/>
    <w:rsid w:val="0002760F"/>
    <w:rsid w:val="00027A76"/>
    <w:rsid w:val="00031A5E"/>
    <w:rsid w:val="00032667"/>
    <w:rsid w:val="0003339F"/>
    <w:rsid w:val="00035B06"/>
    <w:rsid w:val="000370C9"/>
    <w:rsid w:val="0004349E"/>
    <w:rsid w:val="00043C0C"/>
    <w:rsid w:val="00046A46"/>
    <w:rsid w:val="000619DF"/>
    <w:rsid w:val="00066DEC"/>
    <w:rsid w:val="0007224B"/>
    <w:rsid w:val="000727F5"/>
    <w:rsid w:val="00090556"/>
    <w:rsid w:val="000924A8"/>
    <w:rsid w:val="00092D8E"/>
    <w:rsid w:val="00093FE1"/>
    <w:rsid w:val="00096368"/>
    <w:rsid w:val="000967EA"/>
    <w:rsid w:val="000B0178"/>
    <w:rsid w:val="000B1F9B"/>
    <w:rsid w:val="000C0A23"/>
    <w:rsid w:val="000D2240"/>
    <w:rsid w:val="000D6B8C"/>
    <w:rsid w:val="000E263F"/>
    <w:rsid w:val="000E76F8"/>
    <w:rsid w:val="000F1F8A"/>
    <w:rsid w:val="00110B88"/>
    <w:rsid w:val="001142A9"/>
    <w:rsid w:val="0012680D"/>
    <w:rsid w:val="001271DE"/>
    <w:rsid w:val="00146D78"/>
    <w:rsid w:val="00156131"/>
    <w:rsid w:val="0015715F"/>
    <w:rsid w:val="00162E42"/>
    <w:rsid w:val="0016412C"/>
    <w:rsid w:val="00165A7A"/>
    <w:rsid w:val="001826D0"/>
    <w:rsid w:val="00182E62"/>
    <w:rsid w:val="00196AFC"/>
    <w:rsid w:val="001A6777"/>
    <w:rsid w:val="001C0DEF"/>
    <w:rsid w:val="001C6CFD"/>
    <w:rsid w:val="001D56A6"/>
    <w:rsid w:val="001E0356"/>
    <w:rsid w:val="001E0ABE"/>
    <w:rsid w:val="001E3948"/>
    <w:rsid w:val="001E58C4"/>
    <w:rsid w:val="001E7C6A"/>
    <w:rsid w:val="001F086E"/>
    <w:rsid w:val="00201319"/>
    <w:rsid w:val="00201576"/>
    <w:rsid w:val="00202951"/>
    <w:rsid w:val="0020555B"/>
    <w:rsid w:val="00205AEC"/>
    <w:rsid w:val="00207237"/>
    <w:rsid w:val="00212418"/>
    <w:rsid w:val="0021554C"/>
    <w:rsid w:val="0021677A"/>
    <w:rsid w:val="002213F2"/>
    <w:rsid w:val="00222B64"/>
    <w:rsid w:val="00224CB3"/>
    <w:rsid w:val="00227403"/>
    <w:rsid w:val="00235625"/>
    <w:rsid w:val="00250EE3"/>
    <w:rsid w:val="002513A0"/>
    <w:rsid w:val="002540F8"/>
    <w:rsid w:val="002543BB"/>
    <w:rsid w:val="00254BAC"/>
    <w:rsid w:val="002578BC"/>
    <w:rsid w:val="00262E2D"/>
    <w:rsid w:val="00263FF1"/>
    <w:rsid w:val="00270DBE"/>
    <w:rsid w:val="0027323F"/>
    <w:rsid w:val="00276EF7"/>
    <w:rsid w:val="0029399C"/>
    <w:rsid w:val="00295289"/>
    <w:rsid w:val="002952BC"/>
    <w:rsid w:val="0029574A"/>
    <w:rsid w:val="002A3098"/>
    <w:rsid w:val="002A35C4"/>
    <w:rsid w:val="002A4BB8"/>
    <w:rsid w:val="002A50C6"/>
    <w:rsid w:val="002A5E13"/>
    <w:rsid w:val="002A7C3D"/>
    <w:rsid w:val="002B06CF"/>
    <w:rsid w:val="002B2660"/>
    <w:rsid w:val="002C5239"/>
    <w:rsid w:val="002D0786"/>
    <w:rsid w:val="002D4478"/>
    <w:rsid w:val="002D4CCF"/>
    <w:rsid w:val="002E146C"/>
    <w:rsid w:val="002E61A2"/>
    <w:rsid w:val="002E6B53"/>
    <w:rsid w:val="002F358F"/>
    <w:rsid w:val="002F40A8"/>
    <w:rsid w:val="0030270A"/>
    <w:rsid w:val="00317C50"/>
    <w:rsid w:val="0033125F"/>
    <w:rsid w:val="003313F9"/>
    <w:rsid w:val="003408B8"/>
    <w:rsid w:val="00342511"/>
    <w:rsid w:val="00343E9F"/>
    <w:rsid w:val="0034565F"/>
    <w:rsid w:val="0035215F"/>
    <w:rsid w:val="003574C0"/>
    <w:rsid w:val="00357E6B"/>
    <w:rsid w:val="00360641"/>
    <w:rsid w:val="003617CF"/>
    <w:rsid w:val="00362FD9"/>
    <w:rsid w:val="003711FF"/>
    <w:rsid w:val="00371B8A"/>
    <w:rsid w:val="00374931"/>
    <w:rsid w:val="00377D2D"/>
    <w:rsid w:val="00383BEB"/>
    <w:rsid w:val="0038485E"/>
    <w:rsid w:val="00392C5F"/>
    <w:rsid w:val="0039799F"/>
    <w:rsid w:val="003A10C6"/>
    <w:rsid w:val="003A1BC1"/>
    <w:rsid w:val="003A6134"/>
    <w:rsid w:val="003B2CA4"/>
    <w:rsid w:val="003B4EDC"/>
    <w:rsid w:val="003C339F"/>
    <w:rsid w:val="003C34D0"/>
    <w:rsid w:val="003C4982"/>
    <w:rsid w:val="003D28A5"/>
    <w:rsid w:val="003D3B0C"/>
    <w:rsid w:val="003D6CF5"/>
    <w:rsid w:val="003E6FAA"/>
    <w:rsid w:val="003F05F0"/>
    <w:rsid w:val="003F1D47"/>
    <w:rsid w:val="003F2159"/>
    <w:rsid w:val="003F51D9"/>
    <w:rsid w:val="003F74A0"/>
    <w:rsid w:val="003F7BC5"/>
    <w:rsid w:val="00412D27"/>
    <w:rsid w:val="00415457"/>
    <w:rsid w:val="004179F3"/>
    <w:rsid w:val="0042145B"/>
    <w:rsid w:val="00426E7D"/>
    <w:rsid w:val="00431FA1"/>
    <w:rsid w:val="00444D40"/>
    <w:rsid w:val="00445EC8"/>
    <w:rsid w:val="0046738D"/>
    <w:rsid w:val="0047380A"/>
    <w:rsid w:val="0047387E"/>
    <w:rsid w:val="00484DB5"/>
    <w:rsid w:val="004921F4"/>
    <w:rsid w:val="00492F92"/>
    <w:rsid w:val="00493BC2"/>
    <w:rsid w:val="004B106C"/>
    <w:rsid w:val="004C461E"/>
    <w:rsid w:val="004C5CB6"/>
    <w:rsid w:val="004C5CCE"/>
    <w:rsid w:val="004D052D"/>
    <w:rsid w:val="004D1DB6"/>
    <w:rsid w:val="004D4EC9"/>
    <w:rsid w:val="004D789B"/>
    <w:rsid w:val="004E1199"/>
    <w:rsid w:val="004E1F56"/>
    <w:rsid w:val="004E2CE1"/>
    <w:rsid w:val="004F3B56"/>
    <w:rsid w:val="00502003"/>
    <w:rsid w:val="00502C79"/>
    <w:rsid w:val="0050505E"/>
    <w:rsid w:val="005130C2"/>
    <w:rsid w:val="005211AF"/>
    <w:rsid w:val="00532E41"/>
    <w:rsid w:val="00534B1C"/>
    <w:rsid w:val="0053787E"/>
    <w:rsid w:val="00540A44"/>
    <w:rsid w:val="00541A25"/>
    <w:rsid w:val="00542DC8"/>
    <w:rsid w:val="0054527F"/>
    <w:rsid w:val="00545A53"/>
    <w:rsid w:val="00545CB5"/>
    <w:rsid w:val="0054673F"/>
    <w:rsid w:val="00557F7A"/>
    <w:rsid w:val="00560304"/>
    <w:rsid w:val="005635D7"/>
    <w:rsid w:val="00566C63"/>
    <w:rsid w:val="005705AF"/>
    <w:rsid w:val="005722EE"/>
    <w:rsid w:val="00574316"/>
    <w:rsid w:val="00575CDE"/>
    <w:rsid w:val="00581622"/>
    <w:rsid w:val="0058217D"/>
    <w:rsid w:val="00582A4E"/>
    <w:rsid w:val="00584928"/>
    <w:rsid w:val="005864E5"/>
    <w:rsid w:val="005870DB"/>
    <w:rsid w:val="0059293C"/>
    <w:rsid w:val="005A5E74"/>
    <w:rsid w:val="005A7E8A"/>
    <w:rsid w:val="005B3011"/>
    <w:rsid w:val="005C7574"/>
    <w:rsid w:val="005D00B0"/>
    <w:rsid w:val="005D334C"/>
    <w:rsid w:val="005F14B8"/>
    <w:rsid w:val="005F2A8E"/>
    <w:rsid w:val="005F7D2C"/>
    <w:rsid w:val="00600F4F"/>
    <w:rsid w:val="00607441"/>
    <w:rsid w:val="00620FAE"/>
    <w:rsid w:val="00623D18"/>
    <w:rsid w:val="00624B5F"/>
    <w:rsid w:val="00650649"/>
    <w:rsid w:val="00651210"/>
    <w:rsid w:val="00654B8D"/>
    <w:rsid w:val="006605E6"/>
    <w:rsid w:val="00661CC4"/>
    <w:rsid w:val="00663C0D"/>
    <w:rsid w:val="006763A6"/>
    <w:rsid w:val="00681E65"/>
    <w:rsid w:val="006946AF"/>
    <w:rsid w:val="0069509D"/>
    <w:rsid w:val="00695468"/>
    <w:rsid w:val="006A653B"/>
    <w:rsid w:val="006A7655"/>
    <w:rsid w:val="006B0DF4"/>
    <w:rsid w:val="006B19C6"/>
    <w:rsid w:val="006B4394"/>
    <w:rsid w:val="006C1C49"/>
    <w:rsid w:val="006C677D"/>
    <w:rsid w:val="006D0CF9"/>
    <w:rsid w:val="006D4001"/>
    <w:rsid w:val="006E0684"/>
    <w:rsid w:val="006E1F36"/>
    <w:rsid w:val="006E5D5B"/>
    <w:rsid w:val="006F103E"/>
    <w:rsid w:val="006F1328"/>
    <w:rsid w:val="006F20D6"/>
    <w:rsid w:val="006F2C09"/>
    <w:rsid w:val="006F410C"/>
    <w:rsid w:val="006F53C9"/>
    <w:rsid w:val="007007CC"/>
    <w:rsid w:val="00700AF8"/>
    <w:rsid w:val="00706D89"/>
    <w:rsid w:val="007121C8"/>
    <w:rsid w:val="00716447"/>
    <w:rsid w:val="0072053F"/>
    <w:rsid w:val="00722460"/>
    <w:rsid w:val="00731C83"/>
    <w:rsid w:val="00733F98"/>
    <w:rsid w:val="00735CB7"/>
    <w:rsid w:val="007413F5"/>
    <w:rsid w:val="00743578"/>
    <w:rsid w:val="00744ACB"/>
    <w:rsid w:val="007518A7"/>
    <w:rsid w:val="00751C7F"/>
    <w:rsid w:val="00751EC7"/>
    <w:rsid w:val="00754514"/>
    <w:rsid w:val="00757E5F"/>
    <w:rsid w:val="00760C8C"/>
    <w:rsid w:val="0077402B"/>
    <w:rsid w:val="00775018"/>
    <w:rsid w:val="007758DB"/>
    <w:rsid w:val="00783800"/>
    <w:rsid w:val="007933D5"/>
    <w:rsid w:val="00796409"/>
    <w:rsid w:val="0079650A"/>
    <w:rsid w:val="007A0561"/>
    <w:rsid w:val="007A07CF"/>
    <w:rsid w:val="007A2D9E"/>
    <w:rsid w:val="007B312B"/>
    <w:rsid w:val="007B515E"/>
    <w:rsid w:val="007B56F1"/>
    <w:rsid w:val="007B5DFC"/>
    <w:rsid w:val="007B77B6"/>
    <w:rsid w:val="007C45DF"/>
    <w:rsid w:val="007C5394"/>
    <w:rsid w:val="007C71A7"/>
    <w:rsid w:val="007C7929"/>
    <w:rsid w:val="007D7AA8"/>
    <w:rsid w:val="007E12AF"/>
    <w:rsid w:val="007E55B8"/>
    <w:rsid w:val="007F0091"/>
    <w:rsid w:val="007F2030"/>
    <w:rsid w:val="007F30BF"/>
    <w:rsid w:val="007F62B5"/>
    <w:rsid w:val="007F6DED"/>
    <w:rsid w:val="007F7EA1"/>
    <w:rsid w:val="00815F2F"/>
    <w:rsid w:val="00822DEE"/>
    <w:rsid w:val="00827E99"/>
    <w:rsid w:val="008324EF"/>
    <w:rsid w:val="008337D8"/>
    <w:rsid w:val="008371DB"/>
    <w:rsid w:val="00851760"/>
    <w:rsid w:val="0085548F"/>
    <w:rsid w:val="008678B4"/>
    <w:rsid w:val="00876DD3"/>
    <w:rsid w:val="0087766C"/>
    <w:rsid w:val="008803A9"/>
    <w:rsid w:val="0088233F"/>
    <w:rsid w:val="00883405"/>
    <w:rsid w:val="0089072B"/>
    <w:rsid w:val="008916B7"/>
    <w:rsid w:val="00892DB0"/>
    <w:rsid w:val="00896CC0"/>
    <w:rsid w:val="008A2DF4"/>
    <w:rsid w:val="008A470F"/>
    <w:rsid w:val="008A56DB"/>
    <w:rsid w:val="008A6790"/>
    <w:rsid w:val="008B7F96"/>
    <w:rsid w:val="008C0CC4"/>
    <w:rsid w:val="008C0D54"/>
    <w:rsid w:val="008D4316"/>
    <w:rsid w:val="008D4528"/>
    <w:rsid w:val="008E2425"/>
    <w:rsid w:val="00901024"/>
    <w:rsid w:val="00904FD0"/>
    <w:rsid w:val="00922E2E"/>
    <w:rsid w:val="00924C59"/>
    <w:rsid w:val="009255D3"/>
    <w:rsid w:val="00926D5C"/>
    <w:rsid w:val="009272B8"/>
    <w:rsid w:val="009273E4"/>
    <w:rsid w:val="0093220E"/>
    <w:rsid w:val="00943D66"/>
    <w:rsid w:val="00952E14"/>
    <w:rsid w:val="0095331A"/>
    <w:rsid w:val="00953653"/>
    <w:rsid w:val="00961D70"/>
    <w:rsid w:val="009630B8"/>
    <w:rsid w:val="00981D04"/>
    <w:rsid w:val="009845C5"/>
    <w:rsid w:val="00985B01"/>
    <w:rsid w:val="009928D0"/>
    <w:rsid w:val="009952C6"/>
    <w:rsid w:val="009A1E38"/>
    <w:rsid w:val="009B115A"/>
    <w:rsid w:val="009B1D9E"/>
    <w:rsid w:val="009B366F"/>
    <w:rsid w:val="009B5284"/>
    <w:rsid w:val="009B5EC8"/>
    <w:rsid w:val="009C2F18"/>
    <w:rsid w:val="009C5FC0"/>
    <w:rsid w:val="009D3D4D"/>
    <w:rsid w:val="009D7AF2"/>
    <w:rsid w:val="009E0DF8"/>
    <w:rsid w:val="009F0DDB"/>
    <w:rsid w:val="00A03108"/>
    <w:rsid w:val="00A03370"/>
    <w:rsid w:val="00A0560B"/>
    <w:rsid w:val="00A07C85"/>
    <w:rsid w:val="00A110D3"/>
    <w:rsid w:val="00A14E2E"/>
    <w:rsid w:val="00A233C5"/>
    <w:rsid w:val="00A24FCE"/>
    <w:rsid w:val="00A2507D"/>
    <w:rsid w:val="00A25D64"/>
    <w:rsid w:val="00A26B57"/>
    <w:rsid w:val="00A33859"/>
    <w:rsid w:val="00A36BD0"/>
    <w:rsid w:val="00A4351A"/>
    <w:rsid w:val="00A45BAF"/>
    <w:rsid w:val="00A552B4"/>
    <w:rsid w:val="00A62BB0"/>
    <w:rsid w:val="00A63581"/>
    <w:rsid w:val="00A73244"/>
    <w:rsid w:val="00A73633"/>
    <w:rsid w:val="00A81303"/>
    <w:rsid w:val="00A81BF1"/>
    <w:rsid w:val="00A8366D"/>
    <w:rsid w:val="00AA13CD"/>
    <w:rsid w:val="00AA1C5B"/>
    <w:rsid w:val="00AA7BA9"/>
    <w:rsid w:val="00AB0747"/>
    <w:rsid w:val="00AC0B69"/>
    <w:rsid w:val="00AC37D6"/>
    <w:rsid w:val="00AC5626"/>
    <w:rsid w:val="00AC6429"/>
    <w:rsid w:val="00AD275E"/>
    <w:rsid w:val="00AE0B42"/>
    <w:rsid w:val="00AE0F12"/>
    <w:rsid w:val="00AE1C90"/>
    <w:rsid w:val="00AE3947"/>
    <w:rsid w:val="00AF6246"/>
    <w:rsid w:val="00B03A1A"/>
    <w:rsid w:val="00B0503C"/>
    <w:rsid w:val="00B07E90"/>
    <w:rsid w:val="00B14FE1"/>
    <w:rsid w:val="00B4010C"/>
    <w:rsid w:val="00B44174"/>
    <w:rsid w:val="00B442CC"/>
    <w:rsid w:val="00B507EF"/>
    <w:rsid w:val="00B531DF"/>
    <w:rsid w:val="00B54754"/>
    <w:rsid w:val="00B55B86"/>
    <w:rsid w:val="00B56B0E"/>
    <w:rsid w:val="00B57DFA"/>
    <w:rsid w:val="00B57EF2"/>
    <w:rsid w:val="00B63469"/>
    <w:rsid w:val="00B6649D"/>
    <w:rsid w:val="00B66B8B"/>
    <w:rsid w:val="00B76310"/>
    <w:rsid w:val="00B76959"/>
    <w:rsid w:val="00B81A69"/>
    <w:rsid w:val="00B86300"/>
    <w:rsid w:val="00BA02BD"/>
    <w:rsid w:val="00BB21F0"/>
    <w:rsid w:val="00BB38DA"/>
    <w:rsid w:val="00BB7ACB"/>
    <w:rsid w:val="00BC11AD"/>
    <w:rsid w:val="00BC58BE"/>
    <w:rsid w:val="00BD4265"/>
    <w:rsid w:val="00BD6580"/>
    <w:rsid w:val="00BE4A64"/>
    <w:rsid w:val="00BF0CC6"/>
    <w:rsid w:val="00BF1053"/>
    <w:rsid w:val="00BF3919"/>
    <w:rsid w:val="00C1380C"/>
    <w:rsid w:val="00C20B5C"/>
    <w:rsid w:val="00C251BF"/>
    <w:rsid w:val="00C3064B"/>
    <w:rsid w:val="00C33985"/>
    <w:rsid w:val="00C34A3E"/>
    <w:rsid w:val="00C44864"/>
    <w:rsid w:val="00C44AE8"/>
    <w:rsid w:val="00C53C4D"/>
    <w:rsid w:val="00C57BE0"/>
    <w:rsid w:val="00C610CB"/>
    <w:rsid w:val="00C67570"/>
    <w:rsid w:val="00C72EAC"/>
    <w:rsid w:val="00C7713F"/>
    <w:rsid w:val="00C84C8F"/>
    <w:rsid w:val="00C86979"/>
    <w:rsid w:val="00C86982"/>
    <w:rsid w:val="00C9341D"/>
    <w:rsid w:val="00C973B2"/>
    <w:rsid w:val="00CA2C62"/>
    <w:rsid w:val="00CA5EB8"/>
    <w:rsid w:val="00CA7639"/>
    <w:rsid w:val="00CB780D"/>
    <w:rsid w:val="00CC0115"/>
    <w:rsid w:val="00CC334C"/>
    <w:rsid w:val="00CC34CE"/>
    <w:rsid w:val="00CC43D2"/>
    <w:rsid w:val="00CD189A"/>
    <w:rsid w:val="00CD1D92"/>
    <w:rsid w:val="00CD4D9D"/>
    <w:rsid w:val="00CD50C4"/>
    <w:rsid w:val="00CE3B8F"/>
    <w:rsid w:val="00CE3DEF"/>
    <w:rsid w:val="00CE6F75"/>
    <w:rsid w:val="00CF06F6"/>
    <w:rsid w:val="00CF0B22"/>
    <w:rsid w:val="00CF50E2"/>
    <w:rsid w:val="00CF5C6B"/>
    <w:rsid w:val="00CF7A0A"/>
    <w:rsid w:val="00D03CB4"/>
    <w:rsid w:val="00D0671B"/>
    <w:rsid w:val="00D11D0B"/>
    <w:rsid w:val="00D13F2A"/>
    <w:rsid w:val="00D205B2"/>
    <w:rsid w:val="00D24CE0"/>
    <w:rsid w:val="00D435BD"/>
    <w:rsid w:val="00D45FE8"/>
    <w:rsid w:val="00D50916"/>
    <w:rsid w:val="00D52561"/>
    <w:rsid w:val="00D5268D"/>
    <w:rsid w:val="00D526E1"/>
    <w:rsid w:val="00D5732D"/>
    <w:rsid w:val="00D64157"/>
    <w:rsid w:val="00D66222"/>
    <w:rsid w:val="00D71795"/>
    <w:rsid w:val="00D75FB0"/>
    <w:rsid w:val="00D76A93"/>
    <w:rsid w:val="00D80FA3"/>
    <w:rsid w:val="00D87F2B"/>
    <w:rsid w:val="00D915D1"/>
    <w:rsid w:val="00DA26F4"/>
    <w:rsid w:val="00DA2B77"/>
    <w:rsid w:val="00DA58E9"/>
    <w:rsid w:val="00DB0F53"/>
    <w:rsid w:val="00DB7ADF"/>
    <w:rsid w:val="00DC3133"/>
    <w:rsid w:val="00DD359E"/>
    <w:rsid w:val="00DD4265"/>
    <w:rsid w:val="00DD6E26"/>
    <w:rsid w:val="00DE383B"/>
    <w:rsid w:val="00DE3FA8"/>
    <w:rsid w:val="00DF02BB"/>
    <w:rsid w:val="00DF0B5C"/>
    <w:rsid w:val="00DF592C"/>
    <w:rsid w:val="00E02304"/>
    <w:rsid w:val="00E0348C"/>
    <w:rsid w:val="00E03B3C"/>
    <w:rsid w:val="00E1297A"/>
    <w:rsid w:val="00E1687D"/>
    <w:rsid w:val="00E25BE6"/>
    <w:rsid w:val="00E26984"/>
    <w:rsid w:val="00E34385"/>
    <w:rsid w:val="00E4480A"/>
    <w:rsid w:val="00E6312B"/>
    <w:rsid w:val="00E63B00"/>
    <w:rsid w:val="00E7269C"/>
    <w:rsid w:val="00E73A39"/>
    <w:rsid w:val="00E75F1F"/>
    <w:rsid w:val="00E76264"/>
    <w:rsid w:val="00E76A7F"/>
    <w:rsid w:val="00E7787B"/>
    <w:rsid w:val="00EA2DA1"/>
    <w:rsid w:val="00EA3DBE"/>
    <w:rsid w:val="00EA5525"/>
    <w:rsid w:val="00EA6FD1"/>
    <w:rsid w:val="00EB367E"/>
    <w:rsid w:val="00EB3CD2"/>
    <w:rsid w:val="00EC2B44"/>
    <w:rsid w:val="00ED26CA"/>
    <w:rsid w:val="00ED2BD4"/>
    <w:rsid w:val="00ED33E1"/>
    <w:rsid w:val="00ED59C1"/>
    <w:rsid w:val="00EE7B51"/>
    <w:rsid w:val="00EF0E77"/>
    <w:rsid w:val="00EF2415"/>
    <w:rsid w:val="00F14E97"/>
    <w:rsid w:val="00F15BDB"/>
    <w:rsid w:val="00F214E3"/>
    <w:rsid w:val="00F30598"/>
    <w:rsid w:val="00F32C7D"/>
    <w:rsid w:val="00F333BF"/>
    <w:rsid w:val="00F36A50"/>
    <w:rsid w:val="00F36E4B"/>
    <w:rsid w:val="00F4085C"/>
    <w:rsid w:val="00F43171"/>
    <w:rsid w:val="00F43D3F"/>
    <w:rsid w:val="00F464CB"/>
    <w:rsid w:val="00F467F9"/>
    <w:rsid w:val="00F4693D"/>
    <w:rsid w:val="00F46A09"/>
    <w:rsid w:val="00F632B4"/>
    <w:rsid w:val="00F64049"/>
    <w:rsid w:val="00F64D31"/>
    <w:rsid w:val="00F64D89"/>
    <w:rsid w:val="00F75EA9"/>
    <w:rsid w:val="00F75FD6"/>
    <w:rsid w:val="00F768D3"/>
    <w:rsid w:val="00F80067"/>
    <w:rsid w:val="00F81EB2"/>
    <w:rsid w:val="00F82CFD"/>
    <w:rsid w:val="00F84C44"/>
    <w:rsid w:val="00F85934"/>
    <w:rsid w:val="00F85D6F"/>
    <w:rsid w:val="00F90AE9"/>
    <w:rsid w:val="00F9133D"/>
    <w:rsid w:val="00F97D3B"/>
    <w:rsid w:val="00FA3E94"/>
    <w:rsid w:val="00FA5B77"/>
    <w:rsid w:val="00FB0E4E"/>
    <w:rsid w:val="00FB2D32"/>
    <w:rsid w:val="00FB4C75"/>
    <w:rsid w:val="00FB5D9E"/>
    <w:rsid w:val="00FB6DF6"/>
    <w:rsid w:val="00FC0A9B"/>
    <w:rsid w:val="00FC5815"/>
    <w:rsid w:val="00FD2E27"/>
    <w:rsid w:val="00FD6EAB"/>
    <w:rsid w:val="00FE03D7"/>
    <w:rsid w:val="00FE6DD2"/>
    <w:rsid w:val="00FF5851"/>
    <w:rsid w:val="00FF5A53"/>
    <w:rsid w:val="01F6EA2B"/>
    <w:rsid w:val="0F58DC2D"/>
    <w:rsid w:val="0F9E6665"/>
    <w:rsid w:val="0FFFFAE6"/>
    <w:rsid w:val="132EC52A"/>
    <w:rsid w:val="14EE531A"/>
    <w:rsid w:val="17D008AF"/>
    <w:rsid w:val="19F4D9FD"/>
    <w:rsid w:val="1C48B1FD"/>
    <w:rsid w:val="22DC4162"/>
    <w:rsid w:val="3BEB6977"/>
    <w:rsid w:val="42633E60"/>
    <w:rsid w:val="5035F766"/>
    <w:rsid w:val="52B2C51D"/>
    <w:rsid w:val="53F5060A"/>
    <w:rsid w:val="5EA2F4FB"/>
    <w:rsid w:val="6071D166"/>
    <w:rsid w:val="61BBEA3A"/>
    <w:rsid w:val="633F623B"/>
    <w:rsid w:val="663052E4"/>
    <w:rsid w:val="70365501"/>
    <w:rsid w:val="72883759"/>
    <w:rsid w:val="75D7100A"/>
    <w:rsid w:val="78C9BD18"/>
    <w:rsid w:val="7AB91981"/>
    <w:rsid w:val="7F5DBF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118B2"/>
  <w15:chartTrackingRefBased/>
  <w15:docId w15:val="{EA26D2F9-DA84-426F-B71B-60E775D3A56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79650A"/>
    <w:pPr>
      <w:keepNext/>
      <w:keepLines/>
      <w:spacing w:before="240" w:after="0"/>
      <w:outlineLvl w:val="0"/>
    </w:pPr>
    <w:rPr>
      <w:rFonts w:asciiTheme="majorHAnsi" w:hAnsiTheme="majorHAnsi" w:eastAsiaTheme="majorEastAsia" w:cstheme="majorBidi"/>
      <w:color w:val="2E74B5" w:themeColor="accent1" w:themeShade="BF"/>
      <w:sz w:val="32"/>
      <w:szCs w:val="32"/>
      <w:lang w:val="es-AR"/>
    </w:rPr>
  </w:style>
  <w:style w:type="paragraph" w:styleId="Heading2">
    <w:name w:val="heading 2"/>
    <w:basedOn w:val="Normal"/>
    <w:next w:val="Normal"/>
    <w:link w:val="Heading2Char"/>
    <w:uiPriority w:val="9"/>
    <w:unhideWhenUsed/>
    <w:qFormat/>
    <w:rsid w:val="0079650A"/>
    <w:pPr>
      <w:keepNext/>
      <w:keepLines/>
      <w:spacing w:before="40" w:after="0"/>
      <w:outlineLvl w:val="1"/>
    </w:pPr>
    <w:rPr>
      <w:rFonts w:asciiTheme="majorHAnsi" w:hAnsiTheme="majorHAnsi" w:eastAsiaTheme="majorEastAsia" w:cstheme="majorBidi"/>
      <w:color w:val="2E74B5" w:themeColor="accent1" w:themeShade="BF"/>
      <w:sz w:val="26"/>
      <w:szCs w:val="26"/>
      <w:lang w:val="es-AR"/>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PlaceholderText">
    <w:name w:val="Placeholder Text"/>
    <w:basedOn w:val="DefaultParagraphFont"/>
    <w:uiPriority w:val="99"/>
    <w:semiHidden/>
    <w:rsid w:val="009A1E38"/>
    <w:rPr>
      <w:color w:val="808080"/>
    </w:rPr>
  </w:style>
  <w:style w:type="paragraph" w:styleId="ListParagraph">
    <w:name w:val="List Paragraph"/>
    <w:basedOn w:val="Normal"/>
    <w:uiPriority w:val="34"/>
    <w:qFormat/>
    <w:rsid w:val="007758DB"/>
    <w:pPr>
      <w:spacing w:after="0" w:line="240" w:lineRule="auto"/>
      <w:ind w:left="720"/>
      <w:contextualSpacing/>
    </w:pPr>
    <w:rPr>
      <w:rFonts w:ascii="Times New Roman" w:hAnsi="Times New Roman" w:eastAsia="Times New Roman" w:cs="Times New Roman"/>
      <w:sz w:val="24"/>
      <w:szCs w:val="20"/>
      <w:lang w:val="es-ES_tradnl"/>
    </w:rPr>
  </w:style>
  <w:style w:type="paragraph" w:styleId="Header">
    <w:name w:val="header"/>
    <w:basedOn w:val="Normal"/>
    <w:link w:val="HeaderChar"/>
    <w:uiPriority w:val="99"/>
    <w:unhideWhenUsed/>
    <w:rsid w:val="001271DE"/>
    <w:pPr>
      <w:tabs>
        <w:tab w:val="center" w:pos="4419"/>
        <w:tab w:val="right" w:pos="8838"/>
      </w:tabs>
      <w:spacing w:after="0" w:line="240" w:lineRule="auto"/>
    </w:pPr>
  </w:style>
  <w:style w:type="character" w:styleId="HeaderChar" w:customStyle="1">
    <w:name w:val="Header Char"/>
    <w:basedOn w:val="DefaultParagraphFont"/>
    <w:link w:val="Header"/>
    <w:uiPriority w:val="99"/>
    <w:rsid w:val="001271DE"/>
  </w:style>
  <w:style w:type="paragraph" w:styleId="Footer">
    <w:name w:val="footer"/>
    <w:basedOn w:val="Normal"/>
    <w:link w:val="FooterChar"/>
    <w:uiPriority w:val="99"/>
    <w:unhideWhenUsed/>
    <w:rsid w:val="001271DE"/>
    <w:pPr>
      <w:tabs>
        <w:tab w:val="center" w:pos="4419"/>
        <w:tab w:val="right" w:pos="8838"/>
      </w:tabs>
      <w:spacing w:after="0" w:line="240" w:lineRule="auto"/>
    </w:pPr>
  </w:style>
  <w:style w:type="character" w:styleId="FooterChar" w:customStyle="1">
    <w:name w:val="Footer Char"/>
    <w:basedOn w:val="DefaultParagraphFont"/>
    <w:link w:val="Footer"/>
    <w:uiPriority w:val="99"/>
    <w:rsid w:val="001271DE"/>
  </w:style>
  <w:style w:type="character" w:styleId="Heading1Char" w:customStyle="1">
    <w:name w:val="Heading 1 Char"/>
    <w:basedOn w:val="DefaultParagraphFont"/>
    <w:link w:val="Heading1"/>
    <w:uiPriority w:val="9"/>
    <w:rsid w:val="0079650A"/>
    <w:rPr>
      <w:rFonts w:asciiTheme="majorHAnsi" w:hAnsiTheme="majorHAnsi" w:eastAsiaTheme="majorEastAsia" w:cstheme="majorBidi"/>
      <w:color w:val="2E74B5" w:themeColor="accent1" w:themeShade="BF"/>
      <w:sz w:val="32"/>
      <w:szCs w:val="32"/>
      <w:lang w:val="es-AR"/>
    </w:rPr>
  </w:style>
  <w:style w:type="character" w:styleId="Heading2Char" w:customStyle="1">
    <w:name w:val="Heading 2 Char"/>
    <w:basedOn w:val="DefaultParagraphFont"/>
    <w:link w:val="Heading2"/>
    <w:uiPriority w:val="9"/>
    <w:rsid w:val="0079650A"/>
    <w:rPr>
      <w:rFonts w:asciiTheme="majorHAnsi" w:hAnsiTheme="majorHAnsi" w:eastAsiaTheme="majorEastAsia" w:cstheme="majorBidi"/>
      <w:color w:val="2E74B5" w:themeColor="accent1" w:themeShade="BF"/>
      <w:sz w:val="26"/>
      <w:szCs w:val="26"/>
      <w:lang w:val="es-AR"/>
    </w:rPr>
  </w:style>
  <w:style w:type="paragraph" w:styleId="FootnoteText">
    <w:name w:val="footnote text"/>
    <w:aliases w:val="footnote,Footnote Text Char Char Char,Footnote Text Char Char Char Char Char Char Char,Footnote Text Char Char Char Char Char,Footnote Text Char Char Char Char Char Char,Footnote Text Char Char Char Char Ch Char,foottextfra,F,fn,ADB,ft,FN"/>
    <w:basedOn w:val="Normal"/>
    <w:link w:val="FootnoteTextChar"/>
    <w:uiPriority w:val="99"/>
    <w:unhideWhenUsed/>
    <w:qFormat/>
    <w:rsid w:val="0079650A"/>
    <w:pPr>
      <w:spacing w:after="0" w:line="240" w:lineRule="auto"/>
    </w:pPr>
    <w:rPr>
      <w:sz w:val="20"/>
      <w:szCs w:val="20"/>
      <w:lang w:val="es-AR"/>
    </w:rPr>
  </w:style>
  <w:style w:type="character" w:styleId="FootnoteTextChar" w:customStyle="1">
    <w:name w:val="Footnote Text Char"/>
    <w:aliases w:val="footnote Char,Footnote Text Char Char Char Char,Footnote Text Char Char Char Char Char Char Char Char,Footnote Text Char Char Char Char Char Char1,Footnote Text Char Char Char Char Char Char Char1,foottextfra Char,F Char,fn Char"/>
    <w:basedOn w:val="DefaultParagraphFont"/>
    <w:link w:val="FootnoteText"/>
    <w:uiPriority w:val="99"/>
    <w:rsid w:val="0079650A"/>
    <w:rPr>
      <w:sz w:val="20"/>
      <w:szCs w:val="20"/>
      <w:lang w:val="es-AR"/>
    </w:rPr>
  </w:style>
  <w:style w:type="character" w:styleId="FootnoteReference">
    <w:name w:val="footnote reference"/>
    <w:aliases w:val="referencia nota al pie,FC,ftref,16 Point,Superscript 6 Point,Footnote Reference Number,Footnote Reference_LVL6,Footnote Reference_LVL61,Footnote Reference_LVL62,Footnote Reference_LVL63,Footnote Reference_LVL64,Знак сноски-FN,titulo "/>
    <w:basedOn w:val="DefaultParagraphFont"/>
    <w:link w:val="Char2"/>
    <w:uiPriority w:val="99"/>
    <w:unhideWhenUsed/>
    <w:qFormat/>
    <w:rsid w:val="0079650A"/>
    <w:rPr>
      <w:vertAlign w:val="superscript"/>
    </w:rPr>
  </w:style>
  <w:style w:type="paragraph" w:styleId="Caption">
    <w:name w:val="caption"/>
    <w:basedOn w:val="Normal"/>
    <w:next w:val="Normal"/>
    <w:uiPriority w:val="35"/>
    <w:unhideWhenUsed/>
    <w:qFormat/>
    <w:rsid w:val="0079650A"/>
    <w:pPr>
      <w:spacing w:after="200" w:line="240" w:lineRule="auto"/>
    </w:pPr>
    <w:rPr>
      <w:i/>
      <w:iCs/>
      <w:color w:val="44546A" w:themeColor="text2"/>
      <w:sz w:val="18"/>
      <w:szCs w:val="18"/>
      <w:lang w:val="es-AR"/>
    </w:rPr>
  </w:style>
  <w:style w:type="paragraph" w:styleId="Char2" w:customStyle="1">
    <w:name w:val="Char2"/>
    <w:basedOn w:val="Normal"/>
    <w:link w:val="FootnoteReference"/>
    <w:uiPriority w:val="99"/>
    <w:rsid w:val="0079650A"/>
    <w:pPr>
      <w:spacing w:line="240" w:lineRule="exact"/>
      <w:jc w:val="both"/>
    </w:pPr>
    <w:rPr>
      <w:vertAlign w:val="superscript"/>
    </w:rPr>
  </w:style>
  <w:style w:type="paragraph" w:styleId="Normal0" w:customStyle="1">
    <w:name w:val="Normal_0"/>
    <w:qFormat/>
    <w:rsid w:val="004179F3"/>
    <w:pPr>
      <w:spacing w:after="80" w:line="256" w:lineRule="auto"/>
    </w:pPr>
  </w:style>
  <w:style w:type="paragraph" w:styleId="Paragraph" w:customStyle="1">
    <w:name w:val="Paragraph"/>
    <w:aliases w:val="paragraph,p,PARAGRAPH,PG,pa,at"/>
    <w:basedOn w:val="BodyTextIndent"/>
    <w:link w:val="ParagraphChar"/>
    <w:qFormat/>
    <w:rsid w:val="00540A44"/>
    <w:pPr>
      <w:tabs>
        <w:tab w:val="num" w:pos="720"/>
      </w:tabs>
      <w:spacing w:before="120" w:line="240" w:lineRule="auto"/>
      <w:ind w:left="720" w:hanging="720"/>
      <w:jc w:val="both"/>
      <w:outlineLvl w:val="1"/>
    </w:pPr>
    <w:rPr>
      <w:rFonts w:ascii="Times New Roman" w:hAnsi="Times New Roman" w:eastAsia="Times New Roman" w:cs="Times New Roman"/>
      <w:sz w:val="24"/>
      <w:szCs w:val="24"/>
      <w:lang w:val="es-ES_tradnl"/>
    </w:rPr>
  </w:style>
  <w:style w:type="character" w:styleId="ParagraphChar" w:customStyle="1">
    <w:name w:val="Paragraph Char"/>
    <w:link w:val="Paragraph"/>
    <w:rsid w:val="00540A44"/>
    <w:rPr>
      <w:rFonts w:ascii="Times New Roman" w:hAnsi="Times New Roman" w:eastAsia="Times New Roman" w:cs="Times New Roman"/>
      <w:sz w:val="24"/>
      <w:szCs w:val="24"/>
      <w:lang w:val="es-ES_tradnl"/>
    </w:rPr>
  </w:style>
  <w:style w:type="table" w:styleId="TableGrid">
    <w:name w:val="Table Grid"/>
    <w:basedOn w:val="TableNormal"/>
    <w:uiPriority w:val="59"/>
    <w:rsid w:val="00540A44"/>
    <w:pPr>
      <w:spacing w:after="0" w:line="240" w:lineRule="auto"/>
    </w:pPr>
    <w:rPr>
      <w:rFonts w:ascii="Calibri" w:hAnsi="Calibri" w:eastAsia="Calibri" w:cs="Times New Roman"/>
      <w:sz w:val="20"/>
      <w:szCs w:val="20"/>
      <w:lang w:val="pt-BR" w:eastAsia="pt-B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Indent">
    <w:name w:val="Body Text Indent"/>
    <w:basedOn w:val="Normal"/>
    <w:link w:val="BodyTextIndentChar"/>
    <w:uiPriority w:val="99"/>
    <w:semiHidden/>
    <w:unhideWhenUsed/>
    <w:rsid w:val="00540A44"/>
    <w:pPr>
      <w:spacing w:after="120"/>
      <w:ind w:left="283"/>
    </w:pPr>
  </w:style>
  <w:style w:type="character" w:styleId="BodyTextIndentChar" w:customStyle="1">
    <w:name w:val="Body Text Indent Char"/>
    <w:basedOn w:val="DefaultParagraphFont"/>
    <w:link w:val="BodyTextIndent"/>
    <w:uiPriority w:val="99"/>
    <w:semiHidden/>
    <w:rsid w:val="00540A44"/>
  </w:style>
  <w:style w:type="paragraph" w:styleId="BalloonText">
    <w:name w:val="Balloon Text"/>
    <w:basedOn w:val="Normal"/>
    <w:link w:val="BalloonTextChar"/>
    <w:uiPriority w:val="99"/>
    <w:semiHidden/>
    <w:unhideWhenUsed/>
    <w:rsid w:val="007C71A7"/>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7C71A7"/>
    <w:rPr>
      <w:rFonts w:ascii="Segoe UI" w:hAnsi="Segoe UI" w:cs="Segoe UI"/>
      <w:sz w:val="18"/>
      <w:szCs w:val="18"/>
    </w:rPr>
  </w:style>
  <w:style w:type="character" w:styleId="CommentReference">
    <w:name w:val="annotation reference"/>
    <w:basedOn w:val="DefaultParagraphFont"/>
    <w:uiPriority w:val="99"/>
    <w:semiHidden/>
    <w:unhideWhenUsed/>
    <w:rsid w:val="00A26B57"/>
    <w:rPr>
      <w:sz w:val="16"/>
      <w:szCs w:val="16"/>
    </w:rPr>
  </w:style>
  <w:style w:type="paragraph" w:styleId="CommentText">
    <w:name w:val="annotation text"/>
    <w:basedOn w:val="Normal"/>
    <w:link w:val="CommentTextChar"/>
    <w:uiPriority w:val="99"/>
    <w:semiHidden/>
    <w:unhideWhenUsed/>
    <w:rsid w:val="00A26B57"/>
    <w:pPr>
      <w:spacing w:line="240" w:lineRule="auto"/>
    </w:pPr>
    <w:rPr>
      <w:sz w:val="20"/>
      <w:szCs w:val="20"/>
    </w:rPr>
  </w:style>
  <w:style w:type="character" w:styleId="CommentTextChar" w:customStyle="1">
    <w:name w:val="Comment Text Char"/>
    <w:basedOn w:val="DefaultParagraphFont"/>
    <w:link w:val="CommentText"/>
    <w:uiPriority w:val="99"/>
    <w:semiHidden/>
    <w:rsid w:val="00A26B57"/>
    <w:rPr>
      <w:sz w:val="20"/>
      <w:szCs w:val="20"/>
    </w:rPr>
  </w:style>
  <w:style w:type="paragraph" w:styleId="CommentSubject">
    <w:name w:val="annotation subject"/>
    <w:basedOn w:val="CommentText"/>
    <w:next w:val="CommentText"/>
    <w:link w:val="CommentSubjectChar"/>
    <w:uiPriority w:val="99"/>
    <w:semiHidden/>
    <w:unhideWhenUsed/>
    <w:rsid w:val="00A26B57"/>
    <w:rPr>
      <w:b/>
      <w:bCs/>
    </w:rPr>
  </w:style>
  <w:style w:type="character" w:styleId="CommentSubjectChar" w:customStyle="1">
    <w:name w:val="Comment Subject Char"/>
    <w:basedOn w:val="CommentTextChar"/>
    <w:link w:val="CommentSubject"/>
    <w:uiPriority w:val="99"/>
    <w:semiHidden/>
    <w:rsid w:val="00A26B57"/>
    <w:rPr>
      <w:b/>
      <w:bCs/>
      <w:sz w:val="20"/>
      <w:szCs w:val="20"/>
    </w:rPr>
  </w:style>
  <w:style w:type="paragraph" w:styleId="Revision">
    <w:name w:val="Revision"/>
    <w:hidden/>
    <w:uiPriority w:val="99"/>
    <w:semiHidden/>
    <w:rsid w:val="003F05F0"/>
    <w:pPr>
      <w:spacing w:after="0" w:line="240" w:lineRule="auto"/>
    </w:pPr>
  </w:style>
  <w:style w:type="character" w:styleId="Hyperlink">
    <w:name w:val="Hyperlink"/>
    <w:basedOn w:val="DefaultParagraphFont"/>
    <w:uiPriority w:val="99"/>
    <w:unhideWhenUsed/>
    <w:rsid w:val="0021677A"/>
    <w:rPr>
      <w:color w:val="0000FF"/>
      <w:u w:val="single"/>
    </w:rPr>
  </w:style>
  <w:style w:type="character" w:styleId="UnresolvedMention1" w:customStyle="1">
    <w:name w:val="Unresolved Mention1"/>
    <w:basedOn w:val="DefaultParagraphFont"/>
    <w:uiPriority w:val="99"/>
    <w:semiHidden/>
    <w:unhideWhenUsed/>
    <w:rsid w:val="004E1199"/>
    <w:rPr>
      <w:color w:val="605E5C"/>
      <w:shd w:val="clear" w:color="auto" w:fill="E1DFDD"/>
    </w:rPr>
  </w:style>
  <w:style w:type="character" w:styleId="fontstyle01" w:customStyle="1">
    <w:name w:val="fontstyle01"/>
    <w:basedOn w:val="DefaultParagraphFont"/>
    <w:rsid w:val="002D4478"/>
    <w:rPr>
      <w:rFonts w:hint="default" w:ascii="ArialMT" w:hAnsi="ArialMT"/>
      <w:b w:val="0"/>
      <w:bCs w:val="0"/>
      <w:i w:val="0"/>
      <w:iCs w:val="0"/>
      <w:color w:val="000000"/>
      <w:sz w:val="22"/>
      <w:szCs w:val="22"/>
    </w:rPr>
  </w:style>
  <w:style w:type="character" w:styleId="fontstyle21" w:customStyle="1">
    <w:name w:val="fontstyle21"/>
    <w:basedOn w:val="DefaultParagraphFont"/>
    <w:rsid w:val="002D4478"/>
    <w:rPr>
      <w:rFonts w:hint="default" w:ascii="Arial-BoldMT" w:hAnsi="Arial-BoldMT"/>
      <w:b/>
      <w:bCs/>
      <w:i w:val="0"/>
      <w:iCs w:val="0"/>
      <w:color w:val="000000"/>
      <w:sz w:val="22"/>
      <w:szCs w:val="22"/>
    </w:rPr>
  </w:style>
  <w:style w:type="paragraph" w:styleId="Default" w:customStyle="1">
    <w:name w:val="Default"/>
    <w:rsid w:val="004C5CB6"/>
    <w:pPr>
      <w:autoSpaceDE w:val="0"/>
      <w:autoSpaceDN w:val="0"/>
      <w:adjustRightInd w:val="0"/>
      <w:spacing w:after="0" w:line="240" w:lineRule="auto"/>
    </w:pPr>
    <w:rPr>
      <w:rFonts w:ascii="Calibri" w:hAnsi="Calibri" w:eastAsia="Calibri" w:cs="Calibri"/>
      <w:color w:val="000000"/>
      <w:sz w:val="24"/>
      <w:szCs w:val="24"/>
      <w:lang w:val="es-AR" w:eastAsia="pt-BR"/>
    </w:rPr>
  </w:style>
  <w:style w:type="character" w:styleId="UnresolvedMention">
    <w:name w:val="Unresolved Mention"/>
    <w:basedOn w:val="DefaultParagraphFont"/>
    <w:uiPriority w:val="99"/>
    <w:semiHidden/>
    <w:unhideWhenUsed/>
    <w:rsid w:val="008324EF"/>
    <w:rPr>
      <w:color w:val="605E5C"/>
      <w:shd w:val="clear" w:color="auto" w:fill="E1DFDD"/>
    </w:rPr>
  </w:style>
  <w:style w:type="character" w:styleId="Emphasis">
    <w:name w:val="Emphasis"/>
    <w:basedOn w:val="DefaultParagraphFont"/>
    <w:uiPriority w:val="20"/>
    <w:qFormat/>
    <w:rsid w:val="008324EF"/>
    <w:rPr>
      <w:i/>
      <w:iCs/>
    </w:rPr>
  </w:style>
  <w:style w:type="character" w:styleId="nlmstring-name" w:customStyle="1">
    <w:name w:val="nlm_string-name"/>
    <w:basedOn w:val="DefaultParagraphFont"/>
    <w:rsid w:val="00BC58BE"/>
  </w:style>
  <w:style w:type="paragraph" w:styleId="TOCHeading">
    <w:name w:val="TOC Heading"/>
    <w:basedOn w:val="Heading1"/>
    <w:next w:val="Normal"/>
    <w:uiPriority w:val="39"/>
    <w:unhideWhenUsed/>
    <w:qFormat/>
    <w:rsid w:val="00FA3E94"/>
    <w:pPr>
      <w:outlineLvl w:val="9"/>
    </w:pPr>
    <w:rPr>
      <w:lang w:val="en-US"/>
    </w:rPr>
  </w:style>
  <w:style w:type="paragraph" w:styleId="TOC1">
    <w:name w:val="toc 1"/>
    <w:basedOn w:val="Normal"/>
    <w:next w:val="Normal"/>
    <w:autoRedefine/>
    <w:uiPriority w:val="39"/>
    <w:unhideWhenUsed/>
    <w:rsid w:val="00FA3E94"/>
    <w:pPr>
      <w:spacing w:after="100"/>
    </w:pPr>
  </w:style>
  <w:style w:type="paragraph" w:styleId="TOC2">
    <w:name w:val="toc 2"/>
    <w:basedOn w:val="Normal"/>
    <w:next w:val="Normal"/>
    <w:autoRedefine/>
    <w:uiPriority w:val="39"/>
    <w:unhideWhenUsed/>
    <w:rsid w:val="00FA3E94"/>
    <w:pPr>
      <w:spacing w:after="100"/>
      <w:ind w:left="220"/>
    </w:pPr>
  </w:style>
  <w:style w:type="paragraph" w:styleId="BodyText">
    <w:name w:val="Body Text"/>
    <w:basedOn w:val="Normal"/>
    <w:link w:val="BodyTextChar"/>
    <w:uiPriority w:val="99"/>
    <w:unhideWhenUsed/>
    <w:rsid w:val="00FA3E94"/>
    <w:pPr>
      <w:spacing w:after="120"/>
    </w:pPr>
  </w:style>
  <w:style w:type="character" w:styleId="BodyTextChar" w:customStyle="1">
    <w:name w:val="Body Text Char"/>
    <w:basedOn w:val="DefaultParagraphFont"/>
    <w:link w:val="BodyText"/>
    <w:uiPriority w:val="99"/>
    <w:rsid w:val="00FA3E94"/>
  </w:style>
  <w:style w:type="character" w:styleId="ColorfulList-Accent1Char" w:customStyle="1">
    <w:name w:val="Colorful List - Accent 1 Char"/>
    <w:link w:val="ColorfulList-Accent11"/>
    <w:uiPriority w:val="34"/>
    <w:locked/>
    <w:rsid w:val="00FA3E94"/>
  </w:style>
  <w:style w:type="paragraph" w:styleId="ColorfulList-Accent11" w:customStyle="1">
    <w:name w:val="Colorful List - Accent 11"/>
    <w:basedOn w:val="Normal"/>
    <w:link w:val="ColorfulList-Accent1Char"/>
    <w:uiPriority w:val="34"/>
    <w:qFormat/>
    <w:rsid w:val="00FA3E94"/>
    <w:pPr>
      <w:spacing w:after="200" w:line="276" w:lineRule="auto"/>
      <w:ind w:left="720"/>
      <w:contextualSpacing/>
    </w:pPr>
  </w:style>
  <w:style w:type="paragraph" w:styleId="Newpage" w:customStyle="1">
    <w:name w:val="Newpage"/>
    <w:basedOn w:val="Normal"/>
    <w:rsid w:val="00FA3E94"/>
    <w:pPr>
      <w:tabs>
        <w:tab w:val="left" w:pos="1440"/>
        <w:tab w:val="left" w:pos="3060"/>
      </w:tabs>
      <w:spacing w:after="0" w:line="240" w:lineRule="auto"/>
      <w:jc w:val="center"/>
    </w:pPr>
    <w:rPr>
      <w:rFonts w:ascii="Times New Roman" w:hAnsi="Times New Roman" w:eastAsia="Times New Roman" w:cs="Arial"/>
      <w:b/>
      <w:smallCaps/>
      <w:sz w:val="24"/>
      <w:szCs w:val="20"/>
    </w:rPr>
  </w:style>
  <w:style w:type="character" w:styleId="SubSubParChar" w:customStyle="1">
    <w:name w:val="SubSubPar Char"/>
    <w:link w:val="SubSubPar"/>
    <w:locked/>
    <w:rsid w:val="00FA3E94"/>
    <w:rPr>
      <w:rFonts w:ascii="Times New Roman" w:hAnsi="Times New Roman" w:cs="Times New Roman"/>
      <w:sz w:val="24"/>
      <w:szCs w:val="16"/>
    </w:rPr>
  </w:style>
  <w:style w:type="paragraph" w:styleId="SubSubPar" w:customStyle="1">
    <w:name w:val="SubSubPar"/>
    <w:basedOn w:val="Normal"/>
    <w:link w:val="SubSubParChar"/>
    <w:rsid w:val="00FA3E94"/>
    <w:pPr>
      <w:tabs>
        <w:tab w:val="left" w:pos="0"/>
        <w:tab w:val="num" w:pos="1152"/>
        <w:tab w:val="num" w:pos="1296"/>
      </w:tabs>
      <w:spacing w:before="120" w:after="120" w:line="240" w:lineRule="auto"/>
      <w:ind w:left="1296" w:hanging="288"/>
      <w:jc w:val="both"/>
      <w:outlineLvl w:val="2"/>
    </w:pPr>
    <w:rPr>
      <w:rFonts w:ascii="Times New Roman" w:hAnsi="Times New Roman" w:cs="Times New Roman"/>
      <w:sz w:val="24"/>
      <w:szCs w:val="16"/>
    </w:rPr>
  </w:style>
  <w:style w:type="paragraph" w:styleId="TOC3">
    <w:name w:val="toc 3"/>
    <w:basedOn w:val="Normal"/>
    <w:next w:val="Normal"/>
    <w:autoRedefine/>
    <w:uiPriority w:val="39"/>
    <w:unhideWhenUsed/>
    <w:rsid w:val="00FA3E94"/>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2012304">
      <w:bodyDiv w:val="1"/>
      <w:marLeft w:val="0"/>
      <w:marRight w:val="0"/>
      <w:marTop w:val="0"/>
      <w:marBottom w:val="0"/>
      <w:divBdr>
        <w:top w:val="none" w:sz="0" w:space="0" w:color="auto"/>
        <w:left w:val="none" w:sz="0" w:space="0" w:color="auto"/>
        <w:bottom w:val="none" w:sz="0" w:space="0" w:color="auto"/>
        <w:right w:val="none" w:sz="0" w:space="0" w:color="auto"/>
      </w:divBdr>
    </w:div>
    <w:div w:id="289013830">
      <w:bodyDiv w:val="1"/>
      <w:marLeft w:val="0"/>
      <w:marRight w:val="0"/>
      <w:marTop w:val="0"/>
      <w:marBottom w:val="0"/>
      <w:divBdr>
        <w:top w:val="none" w:sz="0" w:space="0" w:color="auto"/>
        <w:left w:val="none" w:sz="0" w:space="0" w:color="auto"/>
        <w:bottom w:val="none" w:sz="0" w:space="0" w:color="auto"/>
        <w:right w:val="none" w:sz="0" w:space="0" w:color="auto"/>
      </w:divBdr>
    </w:div>
    <w:div w:id="470755203">
      <w:bodyDiv w:val="1"/>
      <w:marLeft w:val="0"/>
      <w:marRight w:val="0"/>
      <w:marTop w:val="0"/>
      <w:marBottom w:val="0"/>
      <w:divBdr>
        <w:top w:val="none" w:sz="0" w:space="0" w:color="auto"/>
        <w:left w:val="none" w:sz="0" w:space="0" w:color="auto"/>
        <w:bottom w:val="none" w:sz="0" w:space="0" w:color="auto"/>
        <w:right w:val="none" w:sz="0" w:space="0" w:color="auto"/>
      </w:divBdr>
    </w:div>
    <w:div w:id="498471065">
      <w:bodyDiv w:val="1"/>
      <w:marLeft w:val="0"/>
      <w:marRight w:val="0"/>
      <w:marTop w:val="0"/>
      <w:marBottom w:val="0"/>
      <w:divBdr>
        <w:top w:val="none" w:sz="0" w:space="0" w:color="auto"/>
        <w:left w:val="none" w:sz="0" w:space="0" w:color="auto"/>
        <w:bottom w:val="none" w:sz="0" w:space="0" w:color="auto"/>
        <w:right w:val="none" w:sz="0" w:space="0" w:color="auto"/>
      </w:divBdr>
    </w:div>
    <w:div w:id="573782379">
      <w:bodyDiv w:val="1"/>
      <w:marLeft w:val="0"/>
      <w:marRight w:val="0"/>
      <w:marTop w:val="0"/>
      <w:marBottom w:val="0"/>
      <w:divBdr>
        <w:top w:val="none" w:sz="0" w:space="0" w:color="auto"/>
        <w:left w:val="none" w:sz="0" w:space="0" w:color="auto"/>
        <w:bottom w:val="none" w:sz="0" w:space="0" w:color="auto"/>
        <w:right w:val="none" w:sz="0" w:space="0" w:color="auto"/>
      </w:divBdr>
    </w:div>
    <w:div w:id="829907488">
      <w:bodyDiv w:val="1"/>
      <w:marLeft w:val="0"/>
      <w:marRight w:val="0"/>
      <w:marTop w:val="0"/>
      <w:marBottom w:val="0"/>
      <w:divBdr>
        <w:top w:val="none" w:sz="0" w:space="0" w:color="auto"/>
        <w:left w:val="none" w:sz="0" w:space="0" w:color="auto"/>
        <w:bottom w:val="none" w:sz="0" w:space="0" w:color="auto"/>
        <w:right w:val="none" w:sz="0" w:space="0" w:color="auto"/>
      </w:divBdr>
    </w:div>
    <w:div w:id="906837393">
      <w:bodyDiv w:val="1"/>
      <w:marLeft w:val="0"/>
      <w:marRight w:val="0"/>
      <w:marTop w:val="0"/>
      <w:marBottom w:val="0"/>
      <w:divBdr>
        <w:top w:val="none" w:sz="0" w:space="0" w:color="auto"/>
        <w:left w:val="none" w:sz="0" w:space="0" w:color="auto"/>
        <w:bottom w:val="none" w:sz="0" w:space="0" w:color="auto"/>
        <w:right w:val="none" w:sz="0" w:space="0" w:color="auto"/>
      </w:divBdr>
    </w:div>
    <w:div w:id="1063286268">
      <w:bodyDiv w:val="1"/>
      <w:marLeft w:val="0"/>
      <w:marRight w:val="0"/>
      <w:marTop w:val="0"/>
      <w:marBottom w:val="0"/>
      <w:divBdr>
        <w:top w:val="none" w:sz="0" w:space="0" w:color="auto"/>
        <w:left w:val="none" w:sz="0" w:space="0" w:color="auto"/>
        <w:bottom w:val="none" w:sz="0" w:space="0" w:color="auto"/>
        <w:right w:val="none" w:sz="0" w:space="0" w:color="auto"/>
      </w:divBdr>
    </w:div>
    <w:div w:id="1571235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13" /><Relationship Type="http://schemas.openxmlformats.org/officeDocument/2006/relationships/image" Target="media/image5.emf" Id="rId18" /><Relationship Type="http://schemas.openxmlformats.org/officeDocument/2006/relationships/image" Target="media/image13.emf" Id="rId26" /><Relationship Type="http://schemas.openxmlformats.org/officeDocument/2006/relationships/image" Target="media/image26.emf" Id="rId39" /><Relationship Type="http://schemas.openxmlformats.org/officeDocument/2006/relationships/customXml" Target="../customXml/item3.xml" Id="rId3" /><Relationship Type="http://schemas.openxmlformats.org/officeDocument/2006/relationships/image" Target="media/image8.emf" Id="rId21" /><Relationship Type="http://schemas.openxmlformats.org/officeDocument/2006/relationships/image" Target="media/image21.emf" Id="rId34" /><Relationship Type="http://schemas.openxmlformats.org/officeDocument/2006/relationships/image" Target="media/image29.emf" Id="rId42" /><Relationship Type="http://schemas.openxmlformats.org/officeDocument/2006/relationships/image" Target="media/image34.emf" Id="rId47" /><Relationship Type="http://schemas.openxmlformats.org/officeDocument/2006/relationships/image" Target="media/image37.emf" Id="rId50" /><Relationship Type="http://schemas.openxmlformats.org/officeDocument/2006/relationships/customXml" Target="../customXml/item7.xml" Id="rId7" /><Relationship Type="http://schemas.openxmlformats.org/officeDocument/2006/relationships/footnotes" Target="footnotes.xml" Id="rId12" /><Relationship Type="http://schemas.openxmlformats.org/officeDocument/2006/relationships/image" Target="media/image4.emf" Id="rId17" /><Relationship Type="http://schemas.openxmlformats.org/officeDocument/2006/relationships/image" Target="media/image12.emf" Id="rId25" /><Relationship Type="http://schemas.openxmlformats.org/officeDocument/2006/relationships/image" Target="media/image20.emf" Id="rId33" /><Relationship Type="http://schemas.openxmlformats.org/officeDocument/2006/relationships/image" Target="media/image25.emf" Id="rId38" /><Relationship Type="http://schemas.openxmlformats.org/officeDocument/2006/relationships/image" Target="media/image33.emf" Id="rId46" /><Relationship Type="http://schemas.openxmlformats.org/officeDocument/2006/relationships/customXml" Target="../customXml/item2.xml" Id="rId2" /><Relationship Type="http://schemas.openxmlformats.org/officeDocument/2006/relationships/image" Target="media/image3.emf" Id="rId16" /><Relationship Type="http://schemas.openxmlformats.org/officeDocument/2006/relationships/image" Target="media/image7.emf" Id="rId20" /><Relationship Type="http://schemas.openxmlformats.org/officeDocument/2006/relationships/image" Target="media/image16.emf" Id="rId29" /><Relationship Type="http://schemas.openxmlformats.org/officeDocument/2006/relationships/image" Target="media/image28.emf" Id="rId41" /><Relationship Type="http://schemas.openxmlformats.org/officeDocument/2006/relationships/theme" Target="theme/theme1.xml" Id="rId54"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webSettings" Target="webSettings.xml" Id="rId11" /><Relationship Type="http://schemas.openxmlformats.org/officeDocument/2006/relationships/image" Target="media/image11.emf" Id="rId24" /><Relationship Type="http://schemas.openxmlformats.org/officeDocument/2006/relationships/image" Target="media/image19.emf" Id="rId32" /><Relationship Type="http://schemas.openxmlformats.org/officeDocument/2006/relationships/image" Target="media/image24.emf" Id="rId37" /><Relationship Type="http://schemas.openxmlformats.org/officeDocument/2006/relationships/image" Target="media/image27.emf" Id="rId40" /><Relationship Type="http://schemas.openxmlformats.org/officeDocument/2006/relationships/image" Target="media/image32.emf" Id="rId45" /><Relationship Type="http://schemas.openxmlformats.org/officeDocument/2006/relationships/fontTable" Target="fontTable.xml" Id="rId53" /><Relationship Type="http://schemas.openxmlformats.org/officeDocument/2006/relationships/customXml" Target="../customXml/item5.xml" Id="rId5" /><Relationship Type="http://schemas.openxmlformats.org/officeDocument/2006/relationships/image" Target="media/image2.emf" Id="rId15" /><Relationship Type="http://schemas.openxmlformats.org/officeDocument/2006/relationships/image" Target="media/image10.emf" Id="rId23" /><Relationship Type="http://schemas.openxmlformats.org/officeDocument/2006/relationships/image" Target="media/image15.emf" Id="rId28" /><Relationship Type="http://schemas.openxmlformats.org/officeDocument/2006/relationships/image" Target="media/image23.emf" Id="rId36" /><Relationship Type="http://schemas.openxmlformats.org/officeDocument/2006/relationships/image" Target="media/image36.emf" Id="rId49" /><Relationship Type="http://schemas.openxmlformats.org/officeDocument/2006/relationships/settings" Target="settings.xml" Id="rId10" /><Relationship Type="http://schemas.openxmlformats.org/officeDocument/2006/relationships/image" Target="media/image6.emf" Id="rId19" /><Relationship Type="http://schemas.openxmlformats.org/officeDocument/2006/relationships/image" Target="media/image18.emf" Id="rId31" /><Relationship Type="http://schemas.openxmlformats.org/officeDocument/2006/relationships/image" Target="media/image31.emf" Id="rId44" /><Relationship Type="http://schemas.openxmlformats.org/officeDocument/2006/relationships/footer" Target="footer1.xml" Id="rId52" /><Relationship Type="http://schemas.openxmlformats.org/officeDocument/2006/relationships/customXml" Target="../customXml/item4.xml" Id="rId4" /><Relationship Type="http://schemas.openxmlformats.org/officeDocument/2006/relationships/styles" Target="styles.xml" Id="rId9" /><Relationship Type="http://schemas.openxmlformats.org/officeDocument/2006/relationships/image" Target="media/image1.emf" Id="rId14" /><Relationship Type="http://schemas.openxmlformats.org/officeDocument/2006/relationships/image" Target="media/image9.emf" Id="rId22" /><Relationship Type="http://schemas.openxmlformats.org/officeDocument/2006/relationships/image" Target="media/image14.emf" Id="rId27" /><Relationship Type="http://schemas.openxmlformats.org/officeDocument/2006/relationships/image" Target="media/image17.emf" Id="rId30" /><Relationship Type="http://schemas.openxmlformats.org/officeDocument/2006/relationships/image" Target="media/image22.emf" Id="rId35" /><Relationship Type="http://schemas.openxmlformats.org/officeDocument/2006/relationships/image" Target="media/image30.emf" Id="rId43" /><Relationship Type="http://schemas.openxmlformats.org/officeDocument/2006/relationships/image" Target="media/image35.emf" Id="rId48" /><Relationship Type="http://schemas.openxmlformats.org/officeDocument/2006/relationships/numbering" Target="numbering.xml" Id="rId8" /><Relationship Type="http://schemas.openxmlformats.org/officeDocument/2006/relationships/header" Target="header1.xml" Id="rId51" /></Relationships>
</file>

<file path=word/_rels/footnotes.xml.rels><?xml version="1.0" encoding="UTF-8" standalone="yes"?>
<Relationships xmlns="http://schemas.openxmlformats.org/package/2006/relationships"><Relationship Id="rId2" Type="http://schemas.openxmlformats.org/officeDocument/2006/relationships/hyperlink" Target="https://dds.cepal.org/bpsnc/programa?id=15" TargetMode="External"/><Relationship Id="rId1" Type="http://schemas.openxmlformats.org/officeDocument/2006/relationships/hyperlink" Target="https://boliviaemprende.com/wp-content/uploads/2020/04/Decreto-Supremo-4206-Gaceta-Oficial-de-Bolivia-en-PDF.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227233A05173E488838498826B1FA7F" ma:contentTypeVersion="0" ma:contentTypeDescription="A content type to manage public (operations) IDB documents" ma:contentTypeScope="" ma:versionID="574bf9310ce3518fba0e6ece492a40bf">
  <xsd:schema xmlns:xsd="http://www.w3.org/2001/XMLSchema" xmlns:xs="http://www.w3.org/2001/XMLSchema" xmlns:p="http://schemas.microsoft.com/office/2006/metadata/properties" xmlns:ns2="cdc7663a-08f0-4737-9e8c-148ce897a09c" targetNamespace="http://schemas.microsoft.com/office/2006/metadata/properties" ma:root="true" ma:fieldsID="88175d51e1797af223cc37070fea672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TermName>
          <TermId xmlns="http://schemas.microsoft.com/office/infopath/2007/PartnerControls">6445a937-aea4-4907-9f24-bff96a7c61c8</TermId>
        </TermInfo>
      </Terms>
    </ic46d7e087fd4a108fb86518ca413cc6>
    <IDBDocs_x0020_Number xmlns="cdc7663a-08f0-4737-9e8c-148ce897a09c" xsi:nil="true"/>
    <Division_x0020_or_x0020_Unit xmlns="cdc7663a-08f0-4737-9e8c-148ce897a09c">SCL/SPH</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Silveira Sheyla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IS-POV</TermName>
          <TermId xmlns="http://schemas.microsoft.com/office/infopath/2007/PartnerControls">c99b9e13-7d25-4ef5-800d-099d9545c397</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55</Value>
      <Value>26</Value>
      <Value>1</Value>
      <Value>56</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BO-L1216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IS</TermName>
          <TermId xmlns="http://schemas.microsoft.com/office/infopath/2007/PartnerControls">3f908695-d5b5-49f6-941f-76876b39564f</TermId>
        </TermInfo>
      </Terms>
    </nddeef1749674d76abdbe4b239a70bc6>
    <Record_x0020_Number xmlns="cdc7663a-08f0-4737-9e8c-148ce897a09c" xsi:nil="true"/>
    <_dlc_DocId xmlns="cdc7663a-08f0-4737-9e8c-148ce897a09c">EZSHARE-1489285279-2</_dlc_DocId>
    <_dlc_DocIdUrl xmlns="cdc7663a-08f0-4737-9e8c-148ce897a09c">
      <Url>https://idbg.sharepoint.com/teams/EZ-BO-LON/BO-L1216/_layouts/15/DocIdRedir.aspx?ID=EZSHARE-1489285279-2</Url>
      <Description>EZSHARE-1489285279-2</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F8B36F-E3D8-42E3-9EEF-FCEB21CD1B72}"/>
</file>

<file path=customXml/itemProps2.xml><?xml version="1.0" encoding="utf-8"?>
<ds:datastoreItem xmlns:ds="http://schemas.openxmlformats.org/officeDocument/2006/customXml" ds:itemID="{38BB3777-BED0-4323-A643-069F09034997}">
  <ds:schemaRefs>
    <ds:schemaRef ds:uri="http://schemas.microsoft.com/sharepoint/events"/>
  </ds:schemaRefs>
</ds:datastoreItem>
</file>

<file path=customXml/itemProps3.xml><?xml version="1.0" encoding="utf-8"?>
<ds:datastoreItem xmlns:ds="http://schemas.openxmlformats.org/officeDocument/2006/customXml" ds:itemID="{B87680EB-A7C5-4511-863B-2008D78C16CF}"/>
</file>

<file path=customXml/itemProps4.xml><?xml version="1.0" encoding="utf-8"?>
<ds:datastoreItem xmlns:ds="http://schemas.openxmlformats.org/officeDocument/2006/customXml" ds:itemID="{40AE26D8-F239-4816-B40F-DFD360135236}"/>
</file>

<file path=customXml/itemProps5.xml><?xml version="1.0" encoding="utf-8"?>
<ds:datastoreItem xmlns:ds="http://schemas.openxmlformats.org/officeDocument/2006/customXml" ds:itemID="{E5BF4151-18A9-4BBE-98C5-277F922954FD}">
  <ds:schemaRefs>
    <ds:schemaRef ds:uri="http://schemas.microsoft.com/sharepoint/v3/contenttype/forms"/>
  </ds:schemaRefs>
</ds:datastoreItem>
</file>

<file path=customXml/itemProps6.xml><?xml version="1.0" encoding="utf-8"?>
<ds:datastoreItem xmlns:ds="http://schemas.openxmlformats.org/officeDocument/2006/customXml" ds:itemID="{CBE9F028-0C0E-4BAF-B126-27183F53BE81}">
  <ds:schemaRefs>
    <ds:schemaRef ds:uri="http://purl.org/dc/terms/"/>
    <ds:schemaRef ds:uri="cdc7663a-08f0-4737-9e8c-148ce897a09c"/>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7.xml><?xml version="1.0" encoding="utf-8"?>
<ds:datastoreItem xmlns:ds="http://schemas.openxmlformats.org/officeDocument/2006/customXml" ds:itemID="{0C5C5077-F964-4339-A5FA-CA21AA796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46</Pages>
  <Words>13594</Words>
  <Characters>77487</Characters>
  <Application>Microsoft Office Word</Application>
  <DocSecurity>0</DocSecurity>
  <Lines>645</Lines>
  <Paragraphs>181</Paragraphs>
  <ScaleCrop>false</ScaleCrop>
  <Company/>
  <LinksUpToDate>false</LinksUpToDate>
  <CharactersWithSpaces>90900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Ibarraran, Pablo</dc:creator>
  <cp:keywords/>
  <dc:description/>
  <cp:lastModifiedBy>Ibarraran, Pablo</cp:lastModifiedBy>
  <cp:revision>12</cp:revision>
  <dcterms:created xsi:type="dcterms:W3CDTF">2020-05-05T01:08:00Z</dcterms:created>
  <dcterms:modified xsi:type="dcterms:W3CDTF">2020-05-14T13:54:00Z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56;#IS-POV|c99b9e13-7d25-4ef5-800d-099d9545c397</vt:lpwstr>
  </property>
  <property fmtid="{D5CDD505-2E9C-101B-9397-08002B2CF9AE}" pid="7" name="Fund IDB">
    <vt:lpwstr/>
  </property>
  <property fmtid="{D5CDD505-2E9C-101B-9397-08002B2CF9AE}" pid="8" name="Country">
    <vt:lpwstr>26;#BO|6445a937-aea4-4907-9f24-bff96a7c61c8</vt:lpwstr>
  </property>
  <property fmtid="{D5CDD505-2E9C-101B-9397-08002B2CF9AE}" pid="9" name="Sector IDB">
    <vt:lpwstr>55;#IS|3f908695-d5b5-49f6-941f-76876b39564f</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faf7d88b-172b-43f7-925e-cb42043c6eaf</vt:lpwstr>
  </property>
  <property fmtid="{D5CDD505-2E9C-101B-9397-08002B2CF9AE}" pid="12" name="Disclosure Activity">
    <vt:lpwstr>Loan Proposal</vt:lpwstr>
  </property>
  <property fmtid="{D5CDD505-2E9C-101B-9397-08002B2CF9AE}" pid="13" name="ContentTypeId">
    <vt:lpwstr>0x0101001A458A224826124E8B45B1D613300CFC000227233A05173E488838498826B1FA7F</vt:lpwstr>
  </property>
</Properties>
</file>