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E4BD1" w14:textId="0DA60A8E" w:rsidR="046F7ED1" w:rsidRDefault="046F7ED1" w:rsidP="0046157C">
      <w:pPr>
        <w:spacing w:after="0" w:line="240" w:lineRule="auto"/>
        <w:jc w:val="center"/>
        <w:rPr>
          <w:rFonts w:ascii="Arial" w:eastAsia="Arial" w:hAnsi="Arial" w:cs="Arial"/>
          <w:color w:val="000000" w:themeColor="text1"/>
        </w:rPr>
      </w:pPr>
      <w:r w:rsidRPr="78D6DB4F">
        <w:rPr>
          <w:rFonts w:ascii="Arial" w:eastAsia="Arial" w:hAnsi="Arial" w:cs="Arial"/>
          <w:b/>
          <w:bCs/>
          <w:color w:val="000000" w:themeColor="text1"/>
        </w:rPr>
        <w:t>TC DOCUMENT</w:t>
      </w:r>
    </w:p>
    <w:p w14:paraId="3BBAB1BB" w14:textId="77777777" w:rsidR="0095711B" w:rsidRPr="000F744C" w:rsidRDefault="54260729" w:rsidP="0046157C">
      <w:pPr>
        <w:pStyle w:val="ListParagraph"/>
        <w:numPr>
          <w:ilvl w:val="0"/>
          <w:numId w:val="8"/>
        </w:numPr>
        <w:spacing w:after="60" w:line="240" w:lineRule="auto"/>
        <w:contextualSpacing w:val="0"/>
        <w:rPr>
          <w:rFonts w:ascii="Arial" w:eastAsia="Arial" w:hAnsi="Arial" w:cs="Arial"/>
          <w:b/>
          <w:bCs/>
        </w:rPr>
      </w:pPr>
      <w:r w:rsidRPr="78D6DB4F">
        <w:rPr>
          <w:rFonts w:ascii="Arial" w:eastAsia="Arial" w:hAnsi="Arial" w:cs="Arial"/>
          <w:b/>
          <w:bCs/>
        </w:rPr>
        <w:t>Basic Information for TC</w:t>
      </w:r>
    </w:p>
    <w:tbl>
      <w:tblPr>
        <w:tblStyle w:val="TableGrid"/>
        <w:tblW w:w="8100" w:type="dxa"/>
        <w:tblInd w:w="535"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150"/>
        <w:gridCol w:w="4950"/>
      </w:tblGrid>
      <w:tr w:rsidR="009F33FF" w:rsidRPr="00B811D8" w14:paraId="3BBAB1BE" w14:textId="77777777" w:rsidTr="00323F71">
        <w:tc>
          <w:tcPr>
            <w:tcW w:w="3150" w:type="dxa"/>
          </w:tcPr>
          <w:p w14:paraId="3BBAB1BC" w14:textId="77777777" w:rsidR="009F33FF" w:rsidRPr="000F744C" w:rsidRDefault="54260729" w:rsidP="54260729">
            <w:pPr>
              <w:pStyle w:val="ListParagraph"/>
              <w:numPr>
                <w:ilvl w:val="0"/>
                <w:numId w:val="5"/>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EndPr/>
          <w:sdtContent>
            <w:tc>
              <w:tcPr>
                <w:tcW w:w="4950" w:type="dxa"/>
              </w:tcPr>
              <w:p w14:paraId="3BBAB1BD" w14:textId="44D6A840" w:rsidR="009F33FF" w:rsidRPr="00B811D8" w:rsidRDefault="0028247E" w:rsidP="0028247E">
                <w:pPr>
                  <w:spacing w:after="60"/>
                  <w:rPr>
                    <w:rFonts w:ascii="Arial" w:hAnsi="Arial" w:cs="Arial"/>
                    <w:sz w:val="18"/>
                    <w:szCs w:val="18"/>
                    <w:lang w:val="es-ES_tradnl"/>
                  </w:rPr>
                </w:pPr>
                <w:r>
                  <w:rPr>
                    <w:rFonts w:ascii="Arial" w:hAnsi="Arial" w:cs="Arial"/>
                    <w:sz w:val="18"/>
                    <w:szCs w:val="18"/>
                  </w:rPr>
                  <w:t>COLOMBIA</w:t>
                </w:r>
              </w:p>
            </w:tc>
          </w:sdtContent>
        </w:sdt>
      </w:tr>
      <w:tr w:rsidR="009F33FF" w:rsidRPr="00B811D8" w14:paraId="3BBAB1C1" w14:textId="77777777" w:rsidTr="00323F71">
        <w:tc>
          <w:tcPr>
            <w:tcW w:w="3150" w:type="dxa"/>
          </w:tcPr>
          <w:p w14:paraId="3BBAB1BF" w14:textId="77777777" w:rsidR="009F33FF" w:rsidRPr="000F744C" w:rsidRDefault="54260729" w:rsidP="54260729">
            <w:pPr>
              <w:pStyle w:val="ListParagraph"/>
              <w:numPr>
                <w:ilvl w:val="0"/>
                <w:numId w:val="5"/>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EndPr/>
          <w:sdtContent>
            <w:tc>
              <w:tcPr>
                <w:tcW w:w="4950" w:type="dxa"/>
              </w:tcPr>
              <w:p w14:paraId="3BBAB1C0" w14:textId="7A017364" w:rsidR="009F33FF" w:rsidRPr="00064B19" w:rsidRDefault="0028247E" w:rsidP="0028247E">
                <w:pPr>
                  <w:spacing w:after="60"/>
                  <w:rPr>
                    <w:rFonts w:ascii="Arial" w:hAnsi="Arial" w:cs="Arial"/>
                    <w:sz w:val="18"/>
                    <w:szCs w:val="18"/>
                  </w:rPr>
                </w:pPr>
                <w:r>
                  <w:rPr>
                    <w:rFonts w:ascii="Arial" w:hAnsi="Arial" w:cs="Arial"/>
                    <w:sz w:val="18"/>
                    <w:szCs w:val="18"/>
                  </w:rPr>
                  <w:t>Sustainable infrastructure standards and green finance for transport PPPs in Colombia</w:t>
                </w:r>
              </w:p>
            </w:tc>
          </w:sdtContent>
        </w:sdt>
      </w:tr>
      <w:tr w:rsidR="009F33FF" w:rsidRPr="00B811D8" w14:paraId="3BBAB1C4" w14:textId="77777777" w:rsidTr="00323F71">
        <w:trPr>
          <w:trHeight w:val="263"/>
        </w:trPr>
        <w:tc>
          <w:tcPr>
            <w:tcW w:w="3150" w:type="dxa"/>
          </w:tcPr>
          <w:p w14:paraId="3BBAB1C2" w14:textId="77777777" w:rsidR="009F33FF" w:rsidRPr="000F744C" w:rsidRDefault="54260729" w:rsidP="54260729">
            <w:pPr>
              <w:pStyle w:val="ListParagraph"/>
              <w:numPr>
                <w:ilvl w:val="0"/>
                <w:numId w:val="5"/>
              </w:numPr>
              <w:spacing w:after="60"/>
              <w:ind w:left="180" w:hanging="180"/>
              <w:contextualSpacing w:val="0"/>
              <w:jc w:val="both"/>
              <w:rPr>
                <w:rFonts w:ascii="Arial" w:eastAsia="Arial" w:hAnsi="Arial" w:cs="Arial"/>
                <w:sz w:val="18"/>
                <w:szCs w:val="18"/>
              </w:rPr>
            </w:pPr>
            <w:r w:rsidRPr="54260729">
              <w:rPr>
                <w:rFonts w:ascii="Arial" w:eastAsia="Arial" w:hAnsi="Arial" w:cs="Arial"/>
                <w:sz w:val="18"/>
                <w:szCs w:val="18"/>
              </w:rPr>
              <w:t>TC Number:</w:t>
            </w:r>
          </w:p>
        </w:tc>
        <w:tc>
          <w:tcPr>
            <w:tcW w:w="4950" w:type="dxa"/>
          </w:tcPr>
          <w:p w14:paraId="3BBAB1C3" w14:textId="74F09155" w:rsidR="009F33FF" w:rsidRPr="00B811D8" w:rsidRDefault="0014421E" w:rsidP="00EC6CAF">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EndPr/>
              <w:sdtContent>
                <w:r w:rsidR="00664574">
                  <w:rPr>
                    <w:rFonts w:ascii="Arial" w:hAnsi="Arial" w:cs="Arial"/>
                    <w:sz w:val="18"/>
                    <w:szCs w:val="18"/>
                  </w:rPr>
                  <w:t>CO-T1681</w:t>
                </w:r>
              </w:sdtContent>
            </w:sdt>
          </w:p>
        </w:tc>
      </w:tr>
      <w:tr w:rsidR="009F33FF" w:rsidRPr="00B84429" w14:paraId="3BBAB1C7" w14:textId="77777777" w:rsidTr="00323F71">
        <w:trPr>
          <w:trHeight w:val="288"/>
        </w:trPr>
        <w:tc>
          <w:tcPr>
            <w:tcW w:w="3150" w:type="dxa"/>
          </w:tcPr>
          <w:p w14:paraId="3BBAB1C5" w14:textId="77777777" w:rsidR="009F33FF" w:rsidRPr="000F744C" w:rsidRDefault="00E85797"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Team Leader/Members:</w:t>
            </w:r>
          </w:p>
        </w:tc>
        <w:tc>
          <w:tcPr>
            <w:tcW w:w="4950" w:type="dxa"/>
          </w:tcPr>
          <w:p w14:paraId="3BBAB1C6" w14:textId="66FE26B1" w:rsidR="00B83CCE" w:rsidRPr="0046157C" w:rsidRDefault="0014421E" w:rsidP="0088665A">
            <w:pPr>
              <w:spacing w:after="60"/>
              <w:jc w:val="both"/>
              <w:rPr>
                <w:rFonts w:ascii="Arial" w:hAnsi="Arial" w:cs="Arial"/>
                <w:sz w:val="18"/>
                <w:szCs w:val="18"/>
              </w:rPr>
            </w:pPr>
            <w:sdt>
              <w:sdtPr>
                <w:rPr>
                  <w:rFonts w:ascii="Arial" w:hAnsi="Arial" w:cs="Arial"/>
                  <w:sz w:val="18"/>
                  <w:szCs w:val="18"/>
                </w:rPr>
                <w:alias w:val="TEAM_MEMBER"/>
                <w:tag w:val="TEAM_MEMBER"/>
                <w:id w:val="1614069462"/>
                <w:lock w:val="sdtLocked"/>
                <w:placeholder>
                  <w:docPart w:val="340553074E0848D2AE8D6AF27714379D"/>
                </w:placeholder>
              </w:sdtPr>
              <w:sdtEndPr/>
              <w:sdtContent>
                <w:r w:rsidR="00AC5774" w:rsidRPr="0046157C">
                  <w:rPr>
                    <w:rFonts w:ascii="Arial" w:hAnsi="Arial" w:cs="Arial"/>
                    <w:sz w:val="18"/>
                    <w:szCs w:val="18"/>
                  </w:rPr>
                  <w:t>Sandoval, Jose Manuel (CSD/CCS) Team Leader; Ariza Donado, Natalia (INE/TSP) Alternate Team Leader; Suarez Aleman, Ancor (VPC/002) Alternate Team Leader; Acevedo Calle, Daniela (LEG/SGO); Alvarez Pagliuca, Claudia Patricia (VPC/002); Fanny Bertossi (INE/TSP); Gomez, Juan Carlos (CSD/CCS); Irigoyen, Jose Luis (INE/ENE); Juan Francisco Martinez (CSD/CCS); Luis Restrepo (IFD/CMF); Margarita Jimenez (CSD/CCS); Martinez Alvarez, Juan (IFD/CMF); Nayeli Mayorga (INE/ENE); Patricia Gutierrez Mesones (CSD/CCS); Sara Carias (CSD/CCS); Siqueira Moraes, Marcos (VPC/002); Ayala Roa, Mauricio; Gonzalez Martinez, Julian</w:t>
                </w:r>
                <w:r w:rsidR="00323F71">
                  <w:rPr>
                    <w:rFonts w:ascii="Arial" w:hAnsi="Arial" w:cs="Arial"/>
                    <w:sz w:val="18"/>
                    <w:szCs w:val="18"/>
                  </w:rPr>
                  <w:t xml:space="preserve"> (BID Invest)</w:t>
                </w:r>
              </w:sdtContent>
            </w:sdt>
          </w:p>
        </w:tc>
      </w:tr>
      <w:tr w:rsidR="00E85797" w:rsidRPr="002D7FB5" w14:paraId="3BBAB1CA" w14:textId="77777777" w:rsidTr="00323F71">
        <w:tc>
          <w:tcPr>
            <w:tcW w:w="3150" w:type="dxa"/>
          </w:tcPr>
          <w:p w14:paraId="3BBAB1C8" w14:textId="77777777" w:rsidR="00E85797" w:rsidRPr="000F744C" w:rsidRDefault="00B811D8" w:rsidP="26B9D784">
            <w:pPr>
              <w:pStyle w:val="ListParagraph"/>
              <w:numPr>
                <w:ilvl w:val="0"/>
                <w:numId w:val="5"/>
              </w:numPr>
              <w:spacing w:after="60"/>
              <w:ind w:left="162" w:hanging="162"/>
              <w:jc w:val="both"/>
              <w:rPr>
                <w:rFonts w:ascii="Arial" w:eastAsia="Arial" w:hAnsi="Arial" w:cs="Arial"/>
                <w:sz w:val="18"/>
                <w:szCs w:val="18"/>
              </w:rPr>
            </w:pPr>
            <w:r w:rsidRPr="26B9D784">
              <w:rPr>
                <w:rFonts w:ascii="Arial" w:eastAsia="Arial" w:hAnsi="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EndPr/>
          <w:sdtContent>
            <w:tc>
              <w:tcPr>
                <w:tcW w:w="4950" w:type="dxa"/>
              </w:tcPr>
              <w:p w14:paraId="3BBAB1C9" w14:textId="14AE1621" w:rsidR="00E85797" w:rsidRPr="00B811D8" w:rsidRDefault="00C70C8B" w:rsidP="002D7FB5">
                <w:pPr>
                  <w:spacing w:after="60"/>
                  <w:rPr>
                    <w:rFonts w:ascii="Arial" w:hAnsi="Arial" w:cs="Arial"/>
                    <w:sz w:val="18"/>
                    <w:szCs w:val="18"/>
                    <w:lang w:val="es-ES_tradnl"/>
                  </w:rPr>
                </w:pPr>
                <w:r>
                  <w:rPr>
                    <w:rFonts w:ascii="Arial" w:hAnsi="Arial" w:cs="Arial"/>
                    <w:sz w:val="18"/>
                    <w:szCs w:val="18"/>
                  </w:rPr>
                  <w:t>Client Support</w:t>
                </w:r>
              </w:p>
            </w:tc>
          </w:sdtContent>
        </w:sdt>
      </w:tr>
      <w:tr w:rsidR="00E85797" w:rsidRPr="00B811D8" w14:paraId="3BBAB1CD" w14:textId="77777777" w:rsidTr="00323F71">
        <w:tc>
          <w:tcPr>
            <w:tcW w:w="3150" w:type="dxa"/>
          </w:tcPr>
          <w:p w14:paraId="3BBAB1CB" w14:textId="77777777" w:rsidR="00E85797" w:rsidRPr="000F744C" w:rsidRDefault="00E85797" w:rsidP="26B9D784">
            <w:pPr>
              <w:pStyle w:val="ListParagraph"/>
              <w:numPr>
                <w:ilvl w:val="0"/>
                <w:numId w:val="5"/>
              </w:numPr>
              <w:spacing w:after="60"/>
              <w:ind w:left="162" w:hanging="162"/>
              <w:jc w:val="both"/>
              <w:rPr>
                <w:rFonts w:ascii="Arial" w:eastAsia="Arial" w:hAnsi="Arial" w:cs="Arial"/>
                <w:sz w:val="18"/>
                <w:szCs w:val="18"/>
              </w:rPr>
            </w:pPr>
            <w:r w:rsidRPr="26B9D784">
              <w:rPr>
                <w:rFonts w:ascii="Arial" w:eastAsia="Arial" w:hAnsi="Arial" w:cs="Arial"/>
                <w:sz w:val="18"/>
                <w:szCs w:val="18"/>
              </w:rPr>
              <w:t>Operation Supported by the TC:</w:t>
            </w:r>
          </w:p>
        </w:tc>
        <w:tc>
          <w:tcPr>
            <w:tcW w:w="4950" w:type="dxa"/>
          </w:tcPr>
          <w:p w14:paraId="3BBAB1CC" w14:textId="2B7AE62C" w:rsidR="00E85797" w:rsidRPr="00B811D8" w:rsidRDefault="0014421E" w:rsidP="00EC6CAF">
            <w:pPr>
              <w:spacing w:after="60"/>
              <w:rPr>
                <w:rFonts w:ascii="Arial" w:hAnsi="Arial" w:cs="Arial"/>
                <w:color w:val="000000" w:themeColor="text1"/>
                <w:sz w:val="18"/>
                <w:szCs w:val="18"/>
                <w:lang w:val="es-ES"/>
              </w:rPr>
            </w:pPr>
            <w:sdt>
              <w:sdtPr>
                <w:rPr>
                  <w:rFonts w:ascii="Arial" w:hAnsi="Arial" w:cs="Arial"/>
                  <w:sz w:val="18"/>
                  <w:szCs w:val="18"/>
                </w:rPr>
                <w:alias w:val="OP_SUPPORT"/>
                <w:tag w:val="OP_SUPPORT"/>
                <w:id w:val="-2123912766"/>
                <w:lock w:val="sdtContentLocked"/>
                <w:placeholder>
                  <w:docPart w:val="F21B320DC5CC4CA29D18953BBE653F77"/>
                </w:placeholder>
                <w:showingPlcHdr/>
              </w:sdtPr>
              <w:sdtEndPr/>
              <w:sdtContent>
                <w:r w:rsidR="00EC6CAF">
                  <w:rPr>
                    <w:rFonts w:ascii="Arial" w:hAnsi="Arial" w:cs="Arial"/>
                    <w:sz w:val="18"/>
                    <w:szCs w:val="18"/>
                  </w:rPr>
                  <w:t xml:space="preserve"> </w:t>
                </w:r>
              </w:sdtContent>
            </w:sdt>
            <w:r w:rsidR="0E165AF1" w:rsidRPr="00E40AE6">
              <w:rPr>
                <w:rFonts w:ascii="Arial" w:hAnsi="Arial" w:cs="Arial"/>
                <w:color w:val="000000" w:themeColor="text1"/>
                <w:sz w:val="18"/>
                <w:szCs w:val="18"/>
              </w:rPr>
              <w:t>N/A</w:t>
            </w:r>
          </w:p>
        </w:tc>
      </w:tr>
      <w:tr w:rsidR="009F33FF" w:rsidRPr="00B811D8" w14:paraId="3BBAB1D0" w14:textId="77777777" w:rsidTr="00323F71">
        <w:tc>
          <w:tcPr>
            <w:tcW w:w="3150" w:type="dxa"/>
          </w:tcPr>
          <w:p w14:paraId="3BBAB1CE"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Date of TC Abstract authorization:</w:t>
            </w:r>
          </w:p>
        </w:tc>
        <w:tc>
          <w:tcPr>
            <w:tcW w:w="4950" w:type="dxa"/>
          </w:tcPr>
          <w:p w14:paraId="3BBAB1CF" w14:textId="512DF123" w:rsidR="009F33FF" w:rsidRPr="00B811D8" w:rsidRDefault="0014421E" w:rsidP="00EC6CAF">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EndPr/>
              <w:sdtContent>
                <w:r w:rsidR="00EC6CAF">
                  <w:rPr>
                    <w:rFonts w:ascii="Arial" w:hAnsi="Arial" w:cs="Arial"/>
                    <w:sz w:val="18"/>
                    <w:szCs w:val="18"/>
                  </w:rPr>
                  <w:t>06 Jul 2022</w:t>
                </w:r>
              </w:sdtContent>
            </w:sdt>
            <w:r w:rsidR="002E65F5" w:rsidRPr="00E40AE6">
              <w:rPr>
                <w:rFonts w:ascii="Arial" w:hAnsi="Arial" w:cs="Arial"/>
                <w:color w:val="000000" w:themeColor="text1"/>
                <w:sz w:val="18"/>
                <w:szCs w:val="18"/>
                <w:lang w:val="es-ES_tradnl"/>
              </w:rPr>
              <w:t>.</w:t>
            </w:r>
          </w:p>
        </w:tc>
      </w:tr>
      <w:tr w:rsidR="009F33FF" w:rsidRPr="00B84429" w14:paraId="3BBAB1D3" w14:textId="77777777" w:rsidTr="00323F71">
        <w:trPr>
          <w:trHeight w:val="288"/>
        </w:trPr>
        <w:tc>
          <w:tcPr>
            <w:tcW w:w="3150" w:type="dxa"/>
          </w:tcPr>
          <w:p w14:paraId="3BBAB1D1"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Beneficiary:</w:t>
            </w:r>
          </w:p>
        </w:tc>
        <w:tc>
          <w:tcPr>
            <w:tcW w:w="4950" w:type="dxa"/>
          </w:tcPr>
          <w:p w14:paraId="3BBAB1D2" w14:textId="06F69796" w:rsidR="009F33FF" w:rsidRPr="00B811D8" w:rsidRDefault="4D9E391B" w:rsidP="00825F8B">
            <w:pPr>
              <w:tabs>
                <w:tab w:val="left" w:pos="3740"/>
                <w:tab w:val="left" w:pos="4256"/>
              </w:tabs>
              <w:spacing w:after="60"/>
              <w:rPr>
                <w:rFonts w:ascii="Arial" w:eastAsia="Arial" w:hAnsi="Arial" w:cs="Arial"/>
                <w:sz w:val="18"/>
                <w:szCs w:val="18"/>
                <w:lang w:val="es-ES"/>
              </w:rPr>
            </w:pPr>
            <w:r w:rsidRPr="63E6AAD4">
              <w:rPr>
                <w:rFonts w:ascii="Arial" w:eastAsia="Arial" w:hAnsi="Arial" w:cs="Arial"/>
                <w:sz w:val="18"/>
                <w:szCs w:val="18"/>
                <w:lang w:val="es-ES"/>
              </w:rPr>
              <w:t>Agencia Nacional de Infraestructura –ANI-</w:t>
            </w:r>
          </w:p>
        </w:tc>
      </w:tr>
      <w:tr w:rsidR="009F33FF" w:rsidRPr="00B811D8" w14:paraId="3BBAB1D6" w14:textId="77777777" w:rsidTr="00323F71">
        <w:tc>
          <w:tcPr>
            <w:tcW w:w="3150" w:type="dxa"/>
          </w:tcPr>
          <w:p w14:paraId="3BBAB1D4"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Executing Agency and contact name</w:t>
            </w:r>
            <w:r w:rsidR="00B811D8" w:rsidRPr="26B9D784">
              <w:rPr>
                <w:rFonts w:ascii="Arial" w:eastAsia="Arial" w:hAnsi="Arial" w:cs="Arial"/>
                <w:sz w:val="18"/>
                <w:szCs w:val="18"/>
              </w:rPr>
              <w:t>:</w:t>
            </w:r>
            <w:r w:rsidRPr="26B9D784">
              <w:rPr>
                <w:rFonts w:ascii="Arial" w:eastAsia="Arial" w:hAnsi="Arial" w:cs="Arial"/>
                <w:sz w:val="18"/>
                <w:szCs w:val="18"/>
              </w:rPr>
              <w:t xml:space="preserve"> </w:t>
            </w:r>
          </w:p>
        </w:tc>
        <w:tc>
          <w:tcPr>
            <w:tcW w:w="4950" w:type="dxa"/>
          </w:tcPr>
          <w:p w14:paraId="3BBAB1D5" w14:textId="28F42572" w:rsidR="009F33FF" w:rsidRPr="00B811D8" w:rsidRDefault="0014421E" w:rsidP="000F6D52">
            <w:pPr>
              <w:spacing w:after="60"/>
              <w:rPr>
                <w:rFonts w:ascii="Arial" w:hAnsi="Arial" w:cs="Arial"/>
                <w:sz w:val="18"/>
                <w:szCs w:val="18"/>
                <w:lang w:val="es-ES_tradnl"/>
              </w:rPr>
            </w:pPr>
            <w:sdt>
              <w:sdtPr>
                <w:rPr>
                  <w:rFonts w:ascii="Arial" w:hAnsi="Arial" w:cs="Arial"/>
                  <w:sz w:val="18"/>
                  <w:szCs w:val="18"/>
                </w:rPr>
                <w:alias w:val="AGENCY"/>
                <w:tag w:val="AGENCY"/>
                <w:id w:val="1409500846"/>
                <w:lock w:val="sdtContentLocked"/>
                <w:placeholder>
                  <w:docPart w:val="1826176F614340649BFAC28C3B63B783"/>
                </w:placeholder>
              </w:sdtPr>
              <w:sdtEndPr/>
              <w:sdtContent>
                <w:r w:rsidR="00EC6CAF">
                  <w:rPr>
                    <w:rFonts w:ascii="Arial" w:hAnsi="Arial" w:cs="Arial"/>
                    <w:sz w:val="18"/>
                    <w:szCs w:val="18"/>
                  </w:rPr>
                  <w:t>Inter-American Development Bank</w:t>
                </w:r>
              </w:sdtContent>
            </w:sdt>
            <w:r w:rsidR="00432C3D">
              <w:rPr>
                <w:rFonts w:ascii="Arial" w:hAnsi="Arial" w:cs="Arial"/>
                <w:sz w:val="18"/>
                <w:szCs w:val="18"/>
                <w:lang w:val="es-ES_tradnl"/>
              </w:rPr>
              <w:t xml:space="preserve">  </w:t>
            </w:r>
          </w:p>
        </w:tc>
      </w:tr>
      <w:tr w:rsidR="00FA40C9" w:rsidRPr="00B811D8" w14:paraId="3BBAB1D9" w14:textId="77777777" w:rsidTr="00323F71">
        <w:trPr>
          <w:trHeight w:val="288"/>
        </w:trPr>
        <w:tc>
          <w:tcPr>
            <w:tcW w:w="3150" w:type="dxa"/>
          </w:tcPr>
          <w:p w14:paraId="3BBAB1D7" w14:textId="77777777" w:rsidR="00FA40C9" w:rsidRPr="000F744C" w:rsidRDefault="00FA40C9"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EndPr/>
          <w:sdtContent>
            <w:tc>
              <w:tcPr>
                <w:tcW w:w="4950" w:type="dxa"/>
              </w:tcPr>
              <w:p w14:paraId="3BBAB1D8" w14:textId="017B5D99" w:rsidR="00084849" w:rsidRPr="001127C3" w:rsidRDefault="00431EE3" w:rsidP="00364A0B">
                <w:pPr>
                  <w:spacing w:after="60"/>
                  <w:rPr>
                    <w:rFonts w:ascii="Arial" w:hAnsi="Arial" w:cs="Arial"/>
                    <w:sz w:val="18"/>
                    <w:szCs w:val="18"/>
                  </w:rPr>
                </w:pPr>
                <w:r>
                  <w:rPr>
                    <w:rFonts w:ascii="Arial" w:hAnsi="Arial" w:cs="Arial"/>
                    <w:sz w:val="18"/>
                    <w:szCs w:val="18"/>
                  </w:rPr>
                  <w:t xml:space="preserve"> United Kingdom Sustainable Infrastructure Program(SIP)</w:t>
                </w:r>
              </w:p>
            </w:tc>
          </w:sdtContent>
        </w:sdt>
      </w:tr>
      <w:tr w:rsidR="009F33FF" w:rsidRPr="00B811D8" w14:paraId="3BBAB1DC" w14:textId="77777777" w:rsidTr="00323F71">
        <w:tc>
          <w:tcPr>
            <w:tcW w:w="3150" w:type="dxa"/>
          </w:tcPr>
          <w:p w14:paraId="3BBAB1DA"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4950" w:type="dxa"/>
              </w:tcPr>
              <w:p w14:paraId="3BBAB1DB" w14:textId="2A25C944" w:rsidR="009F33FF" w:rsidRPr="00B811D8" w:rsidRDefault="0028247E" w:rsidP="00EC6CAF">
                <w:pPr>
                  <w:spacing w:after="60"/>
                  <w:rPr>
                    <w:rFonts w:ascii="Arial" w:hAnsi="Arial" w:cs="Arial"/>
                    <w:sz w:val="18"/>
                    <w:szCs w:val="18"/>
                    <w:lang w:val="es-ES_tradnl"/>
                  </w:rPr>
                </w:pPr>
                <w:r>
                  <w:rPr>
                    <w:rFonts w:ascii="Arial"/>
                    <w:sz w:val="18"/>
                  </w:rPr>
                  <w:t>US$600,000.00</w:t>
                </w:r>
                <w:r>
                  <w:rPr>
                    <w:rFonts w:ascii="Arial"/>
                    <w:sz w:val="18"/>
                  </w:rPr>
                  <w:br/>
                </w:r>
              </w:p>
            </w:tc>
          </w:sdtContent>
        </w:sdt>
      </w:tr>
      <w:tr w:rsidR="009F33FF" w:rsidRPr="00B811D8" w14:paraId="3BBAB1DF" w14:textId="77777777" w:rsidTr="00323F71">
        <w:tc>
          <w:tcPr>
            <w:tcW w:w="3150" w:type="dxa"/>
          </w:tcPr>
          <w:p w14:paraId="3BBAB1DD"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EndPr/>
          <w:sdtContent>
            <w:tc>
              <w:tcPr>
                <w:tcW w:w="4950" w:type="dxa"/>
              </w:tcPr>
              <w:p w14:paraId="3BBAB1DE" w14:textId="5A9A3C52" w:rsidR="009F33FF" w:rsidRPr="00B811D8" w:rsidRDefault="004A0A91" w:rsidP="004A0A91">
                <w:pPr>
                  <w:spacing w:after="60"/>
                  <w:rPr>
                    <w:rFonts w:ascii="Arial" w:hAnsi="Arial" w:cs="Arial"/>
                    <w:sz w:val="18"/>
                    <w:szCs w:val="18"/>
                    <w:lang w:val="es-ES_tradnl"/>
                  </w:rPr>
                </w:pPr>
                <w:r w:rsidRPr="004A0A91">
                  <w:rPr>
                    <w:rFonts w:ascii="Arial" w:hAnsi="Arial" w:cs="Arial"/>
                    <w:sz w:val="18"/>
                    <w:szCs w:val="18"/>
                  </w:rPr>
                  <w:t>US$0</w:t>
                </w:r>
              </w:p>
            </w:tc>
          </w:sdtContent>
        </w:sdt>
      </w:tr>
      <w:tr w:rsidR="00825F8B" w:rsidRPr="00B811D8" w14:paraId="3BBAB1E2" w14:textId="77777777" w:rsidTr="00323F71">
        <w:tc>
          <w:tcPr>
            <w:tcW w:w="3150" w:type="dxa"/>
          </w:tcPr>
          <w:p w14:paraId="3BBAB1E0" w14:textId="77777777" w:rsidR="00825F8B" w:rsidRPr="000F744C" w:rsidRDefault="00825F8B" w:rsidP="00825F8B">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Disbursement period (which includes Execution period):</w:t>
            </w:r>
          </w:p>
        </w:tc>
        <w:tc>
          <w:tcPr>
            <w:tcW w:w="4950" w:type="dxa"/>
          </w:tcPr>
          <w:p w14:paraId="3BBAB1E1" w14:textId="2E101CD0" w:rsidR="00825F8B" w:rsidRPr="00F45E82" w:rsidRDefault="70D39467" w:rsidP="00825F8B">
            <w:pPr>
              <w:tabs>
                <w:tab w:val="left" w:pos="3675"/>
              </w:tabs>
              <w:spacing w:after="60"/>
              <w:rPr>
                <w:rFonts w:ascii="Arial" w:eastAsia="Arial" w:hAnsi="Arial" w:cs="Arial"/>
                <w:sz w:val="18"/>
                <w:szCs w:val="18"/>
              </w:rPr>
            </w:pPr>
            <w:r w:rsidRPr="2A93A035">
              <w:rPr>
                <w:rFonts w:ascii="Arial" w:eastAsia="Arial" w:hAnsi="Arial" w:cs="Arial"/>
                <w:sz w:val="18"/>
                <w:szCs w:val="18"/>
              </w:rPr>
              <w:t>2</w:t>
            </w:r>
            <w:r w:rsidR="0014421E">
              <w:rPr>
                <w:rFonts w:ascii="Arial" w:eastAsia="Arial" w:hAnsi="Arial" w:cs="Arial"/>
                <w:sz w:val="18"/>
                <w:szCs w:val="18"/>
              </w:rPr>
              <w:t>3</w:t>
            </w:r>
            <w:r w:rsidRPr="2A93A035">
              <w:rPr>
                <w:rFonts w:ascii="Arial" w:eastAsia="Arial" w:hAnsi="Arial" w:cs="Arial"/>
                <w:sz w:val="18"/>
                <w:szCs w:val="18"/>
              </w:rPr>
              <w:t xml:space="preserve"> months</w:t>
            </w:r>
          </w:p>
        </w:tc>
      </w:tr>
      <w:tr w:rsidR="00825F8B" w:rsidRPr="00B811D8" w14:paraId="3BBAB1E5" w14:textId="77777777" w:rsidTr="00323F71">
        <w:tc>
          <w:tcPr>
            <w:tcW w:w="3150" w:type="dxa"/>
          </w:tcPr>
          <w:p w14:paraId="3BBAB1E3" w14:textId="4F4BDB48" w:rsidR="00825F8B" w:rsidRPr="000F744C" w:rsidRDefault="00825F8B" w:rsidP="00825F8B">
            <w:pPr>
              <w:pStyle w:val="ListParagraph"/>
              <w:numPr>
                <w:ilvl w:val="0"/>
                <w:numId w:val="5"/>
              </w:numPr>
              <w:spacing w:after="60"/>
              <w:ind w:left="180" w:hanging="180"/>
              <w:contextualSpacing w:val="0"/>
              <w:jc w:val="both"/>
              <w:rPr>
                <w:rFonts w:ascii="Arial" w:eastAsia="Arial" w:hAnsi="Arial" w:cs="Arial"/>
                <w:sz w:val="18"/>
                <w:szCs w:val="18"/>
              </w:rPr>
            </w:pPr>
            <w:r>
              <w:rPr>
                <w:rFonts w:ascii="Arial" w:eastAsia="Arial" w:hAnsi="Arial" w:cs="Arial"/>
                <w:sz w:val="18"/>
                <w:szCs w:val="18"/>
              </w:rPr>
              <w:t>Required start date:</w:t>
            </w:r>
          </w:p>
        </w:tc>
        <w:tc>
          <w:tcPr>
            <w:tcW w:w="4950" w:type="dxa"/>
          </w:tcPr>
          <w:p w14:paraId="3BBAB1E4" w14:textId="744996F2" w:rsidR="00825F8B" w:rsidRPr="00B811D8" w:rsidRDefault="2B9001BB" w:rsidP="00825F8B">
            <w:pPr>
              <w:tabs>
                <w:tab w:val="left" w:pos="3460"/>
                <w:tab w:val="left" w:pos="4900"/>
              </w:tabs>
              <w:spacing w:after="60"/>
              <w:rPr>
                <w:rFonts w:ascii="Arial" w:eastAsia="Arial" w:hAnsi="Arial" w:cs="Arial"/>
                <w:sz w:val="18"/>
                <w:szCs w:val="18"/>
                <w:lang w:val="es-ES"/>
              </w:rPr>
            </w:pPr>
            <w:r w:rsidRPr="7CEB446B">
              <w:rPr>
                <w:rFonts w:ascii="Arial" w:eastAsia="Arial" w:hAnsi="Arial" w:cs="Arial"/>
                <w:sz w:val="18"/>
                <w:szCs w:val="18"/>
                <w:lang w:val="es-ES"/>
              </w:rPr>
              <w:t>January, 2023</w:t>
            </w:r>
          </w:p>
        </w:tc>
      </w:tr>
      <w:tr w:rsidR="00825F8B" w:rsidRPr="00B811D8" w14:paraId="3BBAB1E8" w14:textId="77777777" w:rsidTr="00323F71">
        <w:tc>
          <w:tcPr>
            <w:tcW w:w="3150" w:type="dxa"/>
          </w:tcPr>
          <w:p w14:paraId="3BBAB1E6" w14:textId="4C78BE9A" w:rsidR="00825F8B" w:rsidRPr="000F744C" w:rsidRDefault="00825F8B" w:rsidP="00825F8B">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Types of consultants:</w:t>
            </w:r>
          </w:p>
        </w:tc>
        <w:tc>
          <w:tcPr>
            <w:tcW w:w="4950" w:type="dxa"/>
          </w:tcPr>
          <w:p w14:paraId="3BBAB1E7" w14:textId="05C1FD26" w:rsidR="00825F8B" w:rsidRPr="00B811D8" w:rsidRDefault="2F96CF0A" w:rsidP="00825F8B">
            <w:pPr>
              <w:tabs>
                <w:tab w:val="left" w:pos="3536"/>
                <w:tab w:val="left" w:pos="4900"/>
              </w:tabs>
              <w:spacing w:after="60"/>
              <w:rPr>
                <w:rFonts w:ascii="Arial" w:eastAsia="Arial" w:hAnsi="Arial" w:cs="Arial"/>
                <w:sz w:val="18"/>
                <w:szCs w:val="18"/>
                <w:lang w:val="es-ES"/>
              </w:rPr>
            </w:pPr>
            <w:r w:rsidRPr="02857B00">
              <w:rPr>
                <w:rFonts w:ascii="Arial" w:eastAsia="Arial" w:hAnsi="Arial" w:cs="Arial"/>
                <w:sz w:val="18"/>
                <w:szCs w:val="18"/>
                <w:lang w:val="es-ES"/>
              </w:rPr>
              <w:t>Firms; consultants</w:t>
            </w:r>
          </w:p>
        </w:tc>
      </w:tr>
      <w:tr w:rsidR="009F33FF" w:rsidRPr="00B811D8" w14:paraId="3BBAB1EB" w14:textId="77777777" w:rsidTr="00323F71">
        <w:tc>
          <w:tcPr>
            <w:tcW w:w="3150" w:type="dxa"/>
          </w:tcPr>
          <w:p w14:paraId="3BBAB1E9"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EndPr/>
          <w:sdtContent>
            <w:tc>
              <w:tcPr>
                <w:tcW w:w="4950" w:type="dxa"/>
              </w:tcPr>
              <w:p w14:paraId="3BBAB1EA" w14:textId="76C265D0" w:rsidR="009F33FF" w:rsidRPr="00B811D8" w:rsidRDefault="00EC6CAF" w:rsidP="00EC6CAF">
                <w:pPr>
                  <w:tabs>
                    <w:tab w:val="left" w:pos="3772"/>
                  </w:tabs>
                  <w:spacing w:after="60"/>
                  <w:rPr>
                    <w:rFonts w:ascii="Arial" w:hAnsi="Arial" w:cs="Arial"/>
                    <w:sz w:val="18"/>
                    <w:szCs w:val="18"/>
                    <w:lang w:val="es-ES_tradnl"/>
                  </w:rPr>
                </w:pPr>
                <w:r>
                  <w:rPr>
                    <w:rFonts w:ascii="Arial" w:hAnsi="Arial" w:cs="Arial"/>
                    <w:sz w:val="18"/>
                    <w:szCs w:val="18"/>
                  </w:rPr>
                  <w:t>CSD/CCS-Climate Change</w:t>
                </w:r>
              </w:p>
            </w:tc>
          </w:sdtContent>
        </w:sdt>
      </w:tr>
      <w:tr w:rsidR="009F33FF" w:rsidRPr="00B811D8" w14:paraId="3BBAB1EE" w14:textId="77777777" w:rsidTr="00323F71">
        <w:tc>
          <w:tcPr>
            <w:tcW w:w="3150" w:type="dxa"/>
          </w:tcPr>
          <w:p w14:paraId="3BBAB1EC" w14:textId="77777777" w:rsidR="009F33FF" w:rsidRPr="000F744C" w:rsidRDefault="009F33FF"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EndPr/>
          <w:sdtContent>
            <w:tc>
              <w:tcPr>
                <w:tcW w:w="4950" w:type="dxa"/>
              </w:tcPr>
              <w:p w14:paraId="3BBAB1ED" w14:textId="4D9FCC7F" w:rsidR="009F33FF" w:rsidRPr="00064B19" w:rsidRDefault="00EC6CAF" w:rsidP="00EC6CAF">
                <w:pPr>
                  <w:tabs>
                    <w:tab w:val="left" w:pos="3772"/>
                  </w:tabs>
                  <w:spacing w:after="60"/>
                  <w:rPr>
                    <w:rFonts w:ascii="Arial" w:hAnsi="Arial" w:cs="Arial"/>
                    <w:sz w:val="18"/>
                    <w:szCs w:val="18"/>
                  </w:rPr>
                </w:pPr>
                <w:r>
                  <w:rPr>
                    <w:rFonts w:ascii="Arial" w:hAnsi="Arial" w:cs="Arial"/>
                    <w:sz w:val="18"/>
                    <w:szCs w:val="18"/>
                  </w:rPr>
                  <w:t>CAN/CCO-Country Office Colombia</w:t>
                </w:r>
              </w:p>
            </w:tc>
          </w:sdtContent>
        </w:sdt>
      </w:tr>
      <w:tr w:rsidR="00825F8B" w:rsidRPr="00B811D8" w14:paraId="3BBAB1F1" w14:textId="77777777" w:rsidTr="00323F71">
        <w:tc>
          <w:tcPr>
            <w:tcW w:w="3150" w:type="dxa"/>
          </w:tcPr>
          <w:p w14:paraId="3BBAB1EF" w14:textId="66D727FC" w:rsidR="00825F8B" w:rsidRPr="000F744C" w:rsidRDefault="00825F8B" w:rsidP="00825F8B">
            <w:pPr>
              <w:pStyle w:val="ListParagraph"/>
              <w:numPr>
                <w:ilvl w:val="0"/>
                <w:numId w:val="5"/>
              </w:numPr>
              <w:spacing w:after="60"/>
              <w:ind w:left="180" w:hanging="180"/>
              <w:contextualSpacing w:val="0"/>
              <w:jc w:val="both"/>
              <w:rPr>
                <w:rFonts w:ascii="Arial" w:eastAsia="Arial" w:hAnsi="Arial" w:cs="Arial"/>
                <w:sz w:val="18"/>
                <w:szCs w:val="18"/>
              </w:rPr>
            </w:pPr>
            <w:r>
              <w:rPr>
                <w:rFonts w:ascii="Arial" w:eastAsia="Arial" w:hAnsi="Arial" w:cs="Arial"/>
                <w:sz w:val="18"/>
                <w:szCs w:val="18"/>
              </w:rPr>
              <w:t>TC i</w:t>
            </w:r>
            <w:r w:rsidRPr="26B9D784">
              <w:rPr>
                <w:rFonts w:ascii="Arial" w:eastAsia="Arial" w:hAnsi="Arial" w:cs="Arial"/>
                <w:sz w:val="18"/>
                <w:szCs w:val="18"/>
              </w:rPr>
              <w:t xml:space="preserve">ncluded in Country Strategy: </w:t>
            </w:r>
          </w:p>
        </w:tc>
        <w:tc>
          <w:tcPr>
            <w:tcW w:w="4950" w:type="dxa"/>
          </w:tcPr>
          <w:p w14:paraId="3BBAB1F0" w14:textId="0CC9519F" w:rsidR="00825F8B" w:rsidRPr="00F45E82" w:rsidRDefault="00966578" w:rsidP="00825F8B">
            <w:pPr>
              <w:tabs>
                <w:tab w:val="left" w:pos="3976"/>
              </w:tabs>
              <w:spacing w:after="60"/>
              <w:rPr>
                <w:rFonts w:ascii="Arial" w:eastAsia="Arial" w:hAnsi="Arial" w:cs="Arial"/>
                <w:sz w:val="18"/>
                <w:szCs w:val="18"/>
              </w:rPr>
            </w:pPr>
            <w:r>
              <w:rPr>
                <w:rFonts w:ascii="Arial" w:eastAsia="Arial" w:hAnsi="Arial" w:cs="Arial"/>
                <w:sz w:val="18"/>
                <w:szCs w:val="18"/>
              </w:rPr>
              <w:t>Yes</w:t>
            </w:r>
          </w:p>
        </w:tc>
      </w:tr>
      <w:tr w:rsidR="00825F8B" w:rsidRPr="00B811D8" w14:paraId="3BBAB1F4" w14:textId="77777777" w:rsidTr="00323F71">
        <w:tc>
          <w:tcPr>
            <w:tcW w:w="3150" w:type="dxa"/>
          </w:tcPr>
          <w:p w14:paraId="3BBAB1F2" w14:textId="3F1F7DCE" w:rsidR="00825F8B" w:rsidRPr="000F744C" w:rsidRDefault="00825F8B" w:rsidP="00825F8B">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TC included in CPD:</w:t>
            </w:r>
          </w:p>
        </w:tc>
        <w:tc>
          <w:tcPr>
            <w:tcW w:w="4950" w:type="dxa"/>
          </w:tcPr>
          <w:p w14:paraId="3BBAB1F3" w14:textId="3CA8513A" w:rsidR="00825F8B" w:rsidRPr="00F45E82" w:rsidRDefault="77BA7550" w:rsidP="00825F8B">
            <w:pPr>
              <w:tabs>
                <w:tab w:val="left" w:pos="3439"/>
                <w:tab w:val="left" w:pos="4578"/>
              </w:tabs>
              <w:spacing w:after="60"/>
              <w:rPr>
                <w:rFonts w:ascii="Arial" w:eastAsia="Arial" w:hAnsi="Arial" w:cs="Arial"/>
                <w:sz w:val="18"/>
                <w:szCs w:val="18"/>
              </w:rPr>
            </w:pPr>
            <w:r w:rsidRPr="02857B00">
              <w:rPr>
                <w:rFonts w:ascii="Arial" w:eastAsia="Arial" w:hAnsi="Arial" w:cs="Arial"/>
                <w:sz w:val="18"/>
                <w:szCs w:val="18"/>
              </w:rPr>
              <w:t>Yes</w:t>
            </w:r>
          </w:p>
        </w:tc>
      </w:tr>
      <w:tr w:rsidR="009F33FF" w:rsidRPr="00B811D8" w14:paraId="3BBAB1F7" w14:textId="77777777" w:rsidTr="00323F71">
        <w:tc>
          <w:tcPr>
            <w:tcW w:w="3150" w:type="dxa"/>
          </w:tcPr>
          <w:p w14:paraId="3BBAB1F5" w14:textId="77777777" w:rsidR="009F33FF" w:rsidRPr="000F744C" w:rsidRDefault="00B811D8" w:rsidP="26B9D784">
            <w:pPr>
              <w:pStyle w:val="ListParagraph"/>
              <w:numPr>
                <w:ilvl w:val="0"/>
                <w:numId w:val="5"/>
              </w:numPr>
              <w:spacing w:after="60"/>
              <w:ind w:left="180" w:hanging="180"/>
              <w:contextualSpacing w:val="0"/>
              <w:jc w:val="both"/>
              <w:rPr>
                <w:rFonts w:ascii="Arial" w:eastAsia="Arial" w:hAnsi="Arial" w:cs="Arial"/>
                <w:sz w:val="18"/>
                <w:szCs w:val="18"/>
              </w:rPr>
            </w:pPr>
            <w:r w:rsidRPr="26B9D784">
              <w:rPr>
                <w:rFonts w:ascii="Arial" w:eastAsia="Arial" w:hAnsi="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0003491FDAF3450DA841F91B1428BBB7"/>
            </w:placeholder>
            <w:showingPlcHdr/>
            <w:text/>
          </w:sdtPr>
          <w:sdtEndPr/>
          <w:sdtContent>
            <w:tc>
              <w:tcPr>
                <w:tcW w:w="4950" w:type="dxa"/>
              </w:tcPr>
              <w:p w14:paraId="3BBAB1F6" w14:textId="7FB6AE35" w:rsidR="009F33FF" w:rsidRPr="00064B19" w:rsidRDefault="00F45E82" w:rsidP="00F45E82">
                <w:pPr>
                  <w:tabs>
                    <w:tab w:val="left" w:pos="3772"/>
                  </w:tabs>
                  <w:spacing w:after="60"/>
                  <w:rPr>
                    <w:rFonts w:ascii="Arial" w:eastAsia="Arial" w:hAnsi="Arial" w:cs="Arial"/>
                    <w:sz w:val="18"/>
                    <w:szCs w:val="18"/>
                  </w:rPr>
                </w:pPr>
                <w:r>
                  <w:rPr>
                    <w:rFonts w:ascii="Arial" w:hAnsi="Arial" w:cs="Arial"/>
                    <w:sz w:val="18"/>
                    <w:szCs w:val="18"/>
                  </w:rPr>
                  <w:t xml:space="preserve"> Environmental sustainability; Institutional capacity and rule of law; Social inclusion and equality</w:t>
                </w:r>
              </w:p>
            </w:tc>
          </w:sdtContent>
        </w:sdt>
      </w:tr>
    </w:tbl>
    <w:sdt>
      <w:sdtPr>
        <w:alias w:val="ANNEXES"/>
        <w:tag w:val="ANNEXES"/>
        <w:id w:val="918745576"/>
        <w:lock w:val="sdtLocked"/>
        <w:placeholder>
          <w:docPart w:val="DefaultPlaceholder_1081868574"/>
        </w:placeholder>
        <w:showingPlcHdr/>
      </w:sdtPr>
      <w:sdtEndPr/>
      <w:sdtContent>
        <w:p w14:paraId="74DE615A" w14:textId="69C1078B" w:rsidR="00901F8B" w:rsidRPr="00323F71" w:rsidRDefault="00323F71" w:rsidP="00323F71">
          <w:pPr>
            <w:rPr>
              <w:lang w:val="es-CO"/>
            </w:rPr>
          </w:pPr>
          <w:r w:rsidRPr="00323F71">
            <w:rPr>
              <w:rStyle w:val="PlaceholderText"/>
              <w:lang w:val="es-CO"/>
            </w:rPr>
            <w:t>Haga clic aquí para escribir texto.</w:t>
          </w:r>
        </w:p>
      </w:sdtContent>
    </w:sdt>
    <w:p w14:paraId="5F0195AA" w14:textId="7516CEA9" w:rsidR="00472C12" w:rsidRPr="00323F71" w:rsidRDefault="31043AE7" w:rsidP="00416BF1">
      <w:pPr>
        <w:spacing w:before="120" w:after="120"/>
        <w:ind w:left="579" w:hanging="579"/>
        <w:rPr>
          <w:lang w:val="es-CO"/>
        </w:rPr>
      </w:pPr>
      <w:r w:rsidRPr="00323F71">
        <w:rPr>
          <w:rFonts w:ascii="Arial" w:eastAsia="Arial" w:hAnsi="Arial" w:cs="Arial"/>
          <w:b/>
          <w:bCs/>
          <w:color w:val="000000" w:themeColor="text1"/>
          <w:lang w:val="es-CO"/>
        </w:rPr>
        <w:t>II.</w:t>
      </w:r>
      <w:r w:rsidR="54260729" w:rsidRPr="00323F71">
        <w:rPr>
          <w:lang w:val="es-CO"/>
        </w:rPr>
        <w:tab/>
      </w:r>
      <w:r w:rsidRPr="00323F71">
        <w:rPr>
          <w:rFonts w:ascii="Arial" w:eastAsia="Arial" w:hAnsi="Arial" w:cs="Arial"/>
          <w:b/>
          <w:bCs/>
          <w:color w:val="000000" w:themeColor="text1"/>
          <w:lang w:val="es-CO"/>
        </w:rPr>
        <w:t>Objective and Justification</w:t>
      </w:r>
    </w:p>
    <w:p w14:paraId="2B78D088" w14:textId="335DB518" w:rsidR="00981A7F" w:rsidRP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t xml:space="preserve">The objective of this </w:t>
      </w:r>
      <w:r w:rsidR="001D554C" w:rsidRPr="001D554C">
        <w:rPr>
          <w:rFonts w:ascii="Arial" w:eastAsia="Arial" w:hAnsi="Arial" w:cs="Arial"/>
          <w:color w:val="000000" w:themeColor="text1"/>
        </w:rPr>
        <w:t xml:space="preserve">non-reimbursable </w:t>
      </w:r>
      <w:r w:rsidRPr="00F90A46">
        <w:rPr>
          <w:rFonts w:ascii="Arial" w:eastAsia="Arial" w:hAnsi="Arial" w:cs="Arial"/>
          <w:color w:val="000000" w:themeColor="text1"/>
        </w:rPr>
        <w:t xml:space="preserve">technical cooperation (TC) is to support the National Infrastructure Agency (ANI) and the Government of Colombia (GoC) in their efforts to promote sustainable infrastructure standards in the private-public partnerships (PPP) project portfolio, with an emphasis on climate change mitigation measures, and to facilitate green finance schemes that incentivize private investments for the development of sustainable infrastructure in Colombia´s transport sector. </w:t>
      </w:r>
    </w:p>
    <w:p w14:paraId="66A3F516" w14:textId="77777777" w:rsidR="00981A7F" w:rsidRPr="00F90A46" w:rsidRDefault="00981A7F" w:rsidP="006E6818">
      <w:pPr>
        <w:pStyle w:val="ListParagraph"/>
        <w:spacing w:before="120" w:after="120" w:line="240" w:lineRule="auto"/>
        <w:jc w:val="both"/>
        <w:rPr>
          <w:rFonts w:ascii="Arial" w:eastAsia="Arial" w:hAnsi="Arial" w:cs="Arial"/>
          <w:color w:val="000000" w:themeColor="text1"/>
        </w:rPr>
      </w:pPr>
    </w:p>
    <w:p w14:paraId="6C9CBC80" w14:textId="0DE30D20" w:rsidR="00981A7F" w:rsidRP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lastRenderedPageBreak/>
        <w:t xml:space="preserve">The transport sector has been identified as a key sector for </w:t>
      </w:r>
      <w:r w:rsidR="005C7A55">
        <w:rPr>
          <w:rFonts w:ascii="Arial" w:eastAsia="Arial" w:hAnsi="Arial" w:cs="Arial"/>
          <w:color w:val="000000" w:themeColor="text1"/>
        </w:rPr>
        <w:t>C</w:t>
      </w:r>
      <w:r w:rsidRPr="00F90A46">
        <w:rPr>
          <w:rFonts w:ascii="Arial" w:eastAsia="Arial" w:hAnsi="Arial" w:cs="Arial"/>
          <w:color w:val="000000" w:themeColor="text1"/>
        </w:rPr>
        <w:t xml:space="preserve">limate </w:t>
      </w:r>
      <w:r w:rsidR="005C7A55">
        <w:rPr>
          <w:rFonts w:ascii="Arial" w:eastAsia="Arial" w:hAnsi="Arial" w:cs="Arial"/>
          <w:color w:val="000000" w:themeColor="text1"/>
        </w:rPr>
        <w:t>C</w:t>
      </w:r>
      <w:r w:rsidRPr="00F90A46">
        <w:rPr>
          <w:rFonts w:ascii="Arial" w:eastAsia="Arial" w:hAnsi="Arial" w:cs="Arial"/>
          <w:color w:val="000000" w:themeColor="text1"/>
        </w:rPr>
        <w:t>hange (CC) policy because</w:t>
      </w:r>
      <w:r w:rsidR="00F96343">
        <w:rPr>
          <w:rFonts w:ascii="Arial" w:eastAsia="Arial" w:hAnsi="Arial" w:cs="Arial"/>
          <w:color w:val="000000" w:themeColor="text1"/>
        </w:rPr>
        <w:t>:</w:t>
      </w:r>
      <w:r w:rsidRPr="00F90A46">
        <w:rPr>
          <w:rFonts w:ascii="Arial" w:eastAsia="Arial" w:hAnsi="Arial" w:cs="Arial"/>
          <w:color w:val="000000" w:themeColor="text1"/>
        </w:rPr>
        <w:t xml:space="preserve"> </w:t>
      </w:r>
      <w:r w:rsidR="00F96343">
        <w:rPr>
          <w:rFonts w:ascii="Arial" w:eastAsia="Arial" w:hAnsi="Arial" w:cs="Arial"/>
          <w:color w:val="000000" w:themeColor="text1"/>
        </w:rPr>
        <w:t xml:space="preserve">(i) </w:t>
      </w:r>
      <w:r w:rsidRPr="00F90A46">
        <w:rPr>
          <w:rFonts w:ascii="Arial" w:eastAsia="Arial" w:hAnsi="Arial" w:cs="Arial"/>
          <w:color w:val="000000" w:themeColor="text1"/>
        </w:rPr>
        <w:t xml:space="preserve">it has a great opportunity to implement mitigation measures to reduce </w:t>
      </w:r>
      <w:r w:rsidR="00BF62F5" w:rsidRPr="00F90A46">
        <w:rPr>
          <w:rFonts w:ascii="Arial" w:eastAsia="Arial" w:hAnsi="Arial" w:cs="Arial"/>
          <w:color w:val="000000" w:themeColor="text1"/>
        </w:rPr>
        <w:t xml:space="preserve">Greenhouse Gas </w:t>
      </w:r>
      <w:r w:rsidR="00BF62F5">
        <w:rPr>
          <w:rFonts w:ascii="Arial" w:eastAsia="Arial" w:hAnsi="Arial" w:cs="Arial"/>
          <w:color w:val="000000" w:themeColor="text1"/>
        </w:rPr>
        <w:t>(</w:t>
      </w:r>
      <w:r w:rsidRPr="00F90A46">
        <w:rPr>
          <w:rFonts w:ascii="Arial" w:eastAsia="Arial" w:hAnsi="Arial" w:cs="Arial"/>
          <w:color w:val="000000" w:themeColor="text1"/>
        </w:rPr>
        <w:t>GHG</w:t>
      </w:r>
      <w:r w:rsidR="00BF62F5">
        <w:rPr>
          <w:rFonts w:ascii="Arial" w:eastAsia="Arial" w:hAnsi="Arial" w:cs="Arial"/>
          <w:color w:val="000000" w:themeColor="text1"/>
        </w:rPr>
        <w:t>)</w:t>
      </w:r>
      <w:r w:rsidRPr="00F90A46">
        <w:rPr>
          <w:rFonts w:ascii="Arial" w:eastAsia="Arial" w:hAnsi="Arial" w:cs="Arial"/>
          <w:color w:val="000000" w:themeColor="text1"/>
        </w:rPr>
        <w:t xml:space="preserve"> emissions, and</w:t>
      </w:r>
      <w:r w:rsidR="00F96343">
        <w:rPr>
          <w:rFonts w:ascii="Arial" w:eastAsia="Arial" w:hAnsi="Arial" w:cs="Arial"/>
          <w:color w:val="000000" w:themeColor="text1"/>
        </w:rPr>
        <w:t xml:space="preserve">; (ii) </w:t>
      </w:r>
      <w:r w:rsidRPr="00F90A46">
        <w:rPr>
          <w:rFonts w:ascii="Arial" w:eastAsia="Arial" w:hAnsi="Arial" w:cs="Arial"/>
          <w:color w:val="000000" w:themeColor="text1"/>
        </w:rPr>
        <w:t>its infrastructure can be highly affected by negative climate impacts urging the need for building resilience through adaptation measures. Several policy documents</w:t>
      </w:r>
      <w:r w:rsidR="00A56C69">
        <w:rPr>
          <w:rFonts w:ascii="Arial" w:eastAsia="Arial" w:hAnsi="Arial" w:cs="Arial"/>
          <w:color w:val="000000" w:themeColor="text1"/>
        </w:rPr>
        <w:t xml:space="preserve"> </w:t>
      </w:r>
      <w:r w:rsidR="00A56C69" w:rsidRPr="00F90A46">
        <w:rPr>
          <w:rFonts w:ascii="Arial" w:eastAsia="Arial" w:hAnsi="Arial" w:cs="Arial"/>
          <w:color w:val="000000" w:themeColor="text1"/>
        </w:rPr>
        <w:t>identify the transport sector as a source of GHG mitigation</w:t>
      </w:r>
      <w:r w:rsidR="00650BF3">
        <w:rPr>
          <w:rFonts w:ascii="Arial" w:eastAsia="Arial" w:hAnsi="Arial" w:cs="Arial"/>
          <w:color w:val="000000" w:themeColor="text1"/>
        </w:rPr>
        <w:t>, such as</w:t>
      </w:r>
      <w:r w:rsidR="00653EB8">
        <w:rPr>
          <w:rFonts w:ascii="Arial" w:eastAsia="Arial" w:hAnsi="Arial" w:cs="Arial"/>
          <w:color w:val="000000" w:themeColor="text1"/>
        </w:rPr>
        <w:t>,</w:t>
      </w:r>
      <w:r w:rsidRPr="00F90A46">
        <w:rPr>
          <w:rFonts w:ascii="Arial" w:eastAsia="Arial" w:hAnsi="Arial" w:cs="Arial"/>
          <w:color w:val="000000" w:themeColor="text1"/>
        </w:rPr>
        <w:t xml:space="preserve"> the Climate Change National Policy (2017), the Country’s National Determined Contribution (NDC), and the Decarbonization Long</w:t>
      </w:r>
      <w:r w:rsidR="00EF3436">
        <w:rPr>
          <w:rFonts w:ascii="Arial" w:eastAsia="Arial" w:hAnsi="Arial" w:cs="Arial"/>
          <w:color w:val="000000" w:themeColor="text1"/>
        </w:rPr>
        <w:t>-</w:t>
      </w:r>
      <w:r w:rsidRPr="00F90A46">
        <w:rPr>
          <w:rFonts w:ascii="Arial" w:eastAsia="Arial" w:hAnsi="Arial" w:cs="Arial"/>
          <w:color w:val="000000" w:themeColor="text1"/>
        </w:rPr>
        <w:t xml:space="preserve">Term Strategy (E2050). </w:t>
      </w:r>
      <w:r w:rsidR="00F360E7">
        <w:rPr>
          <w:rFonts w:ascii="Arial" w:eastAsia="Arial" w:hAnsi="Arial" w:cs="Arial"/>
          <w:color w:val="000000" w:themeColor="text1"/>
        </w:rPr>
        <w:t>Acco</w:t>
      </w:r>
      <w:r w:rsidR="002641AC">
        <w:rPr>
          <w:rFonts w:ascii="Arial" w:eastAsia="Arial" w:hAnsi="Arial" w:cs="Arial"/>
          <w:color w:val="000000" w:themeColor="text1"/>
        </w:rPr>
        <w:t xml:space="preserve">rding to </w:t>
      </w:r>
      <w:r w:rsidR="002641AC" w:rsidRPr="00C59B8B">
        <w:rPr>
          <w:rFonts w:ascii="Arial" w:eastAsia="Arial" w:hAnsi="Arial" w:cs="Arial"/>
          <w:color w:val="000000" w:themeColor="text1"/>
        </w:rPr>
        <w:t>th</w:t>
      </w:r>
      <w:r w:rsidR="35465AFB" w:rsidRPr="00C59B8B">
        <w:rPr>
          <w:rFonts w:ascii="Arial" w:eastAsia="Arial" w:hAnsi="Arial" w:cs="Arial"/>
          <w:color w:val="000000" w:themeColor="text1"/>
        </w:rPr>
        <w:t>e</w:t>
      </w:r>
      <w:r w:rsidR="002641AC" w:rsidRPr="00C59B8B">
        <w:rPr>
          <w:rFonts w:ascii="Arial" w:eastAsia="Arial" w:hAnsi="Arial" w:cs="Arial"/>
          <w:color w:val="000000" w:themeColor="text1"/>
        </w:rPr>
        <w:t>s</w:t>
      </w:r>
      <w:r w:rsidR="35465AFB" w:rsidRPr="00C59B8B">
        <w:rPr>
          <w:rFonts w:ascii="Arial" w:eastAsia="Arial" w:hAnsi="Arial" w:cs="Arial"/>
          <w:color w:val="000000" w:themeColor="text1"/>
        </w:rPr>
        <w:t>e</w:t>
      </w:r>
      <w:r w:rsidR="002641AC">
        <w:rPr>
          <w:rFonts w:ascii="Arial" w:eastAsia="Arial" w:hAnsi="Arial" w:cs="Arial"/>
          <w:color w:val="000000" w:themeColor="text1"/>
        </w:rPr>
        <w:t xml:space="preserve"> sources</w:t>
      </w:r>
      <w:r w:rsidR="00EF3436">
        <w:rPr>
          <w:rFonts w:ascii="Arial" w:eastAsia="Arial" w:hAnsi="Arial" w:cs="Arial"/>
          <w:color w:val="000000" w:themeColor="text1"/>
        </w:rPr>
        <w:t>,</w:t>
      </w:r>
      <w:r w:rsidR="002641AC">
        <w:rPr>
          <w:rFonts w:ascii="Arial" w:eastAsia="Arial" w:hAnsi="Arial" w:cs="Arial"/>
          <w:color w:val="000000" w:themeColor="text1"/>
        </w:rPr>
        <w:t xml:space="preserve"> t</w:t>
      </w:r>
      <w:r w:rsidRPr="00F90A46">
        <w:rPr>
          <w:rFonts w:ascii="Arial" w:eastAsia="Arial" w:hAnsi="Arial" w:cs="Arial"/>
          <w:color w:val="000000" w:themeColor="text1"/>
        </w:rPr>
        <w:t>he transport sector is the third sector with higher GHG emissions, responsible for 12% of the total emission of the country (2018), following deforestation and cattle ranching activities. The freight transport sector accounts for 29,31 Tn CO</w:t>
      </w:r>
      <w:r w:rsidRPr="00F90A46">
        <w:rPr>
          <w:rFonts w:ascii="Arial" w:eastAsia="Arial" w:hAnsi="Arial" w:cs="Arial"/>
          <w:color w:val="000000" w:themeColor="text1"/>
          <w:vertAlign w:val="subscript"/>
        </w:rPr>
        <w:t>2</w:t>
      </w:r>
      <w:r w:rsidRPr="00F90A46">
        <w:rPr>
          <w:rFonts w:ascii="Arial" w:eastAsia="Arial" w:hAnsi="Arial" w:cs="Arial"/>
          <w:color w:val="000000" w:themeColor="text1"/>
        </w:rPr>
        <w:t xml:space="preserve"> annually. The transport sector is also responsible for 78% of air</w:t>
      </w:r>
      <w:r w:rsidR="0088665A">
        <w:rPr>
          <w:rFonts w:ascii="Arial" w:eastAsia="Arial" w:hAnsi="Arial" w:cs="Arial"/>
          <w:color w:val="000000" w:themeColor="text1"/>
        </w:rPr>
        <w:t>-</w:t>
      </w:r>
      <w:r w:rsidRPr="00F90A46">
        <w:rPr>
          <w:rFonts w:ascii="Arial" w:eastAsia="Arial" w:hAnsi="Arial" w:cs="Arial"/>
          <w:color w:val="000000" w:themeColor="text1"/>
        </w:rPr>
        <w:t xml:space="preserve">polluting emissions, mostly from road </w:t>
      </w:r>
      <w:r w:rsidR="00F97DFE" w:rsidRPr="00F90A46">
        <w:rPr>
          <w:rFonts w:ascii="Arial" w:eastAsia="Arial" w:hAnsi="Arial" w:cs="Arial"/>
          <w:color w:val="000000" w:themeColor="text1"/>
        </w:rPr>
        <w:t>transport</w:t>
      </w:r>
      <w:r w:rsidR="00F97DFE">
        <w:rPr>
          <w:rFonts w:ascii="Arial" w:eastAsia="Arial" w:hAnsi="Arial" w:cs="Arial"/>
          <w:color w:val="000000" w:themeColor="text1"/>
        </w:rPr>
        <w:t>ation</w:t>
      </w:r>
      <w:r w:rsidRPr="00F90A46">
        <w:rPr>
          <w:rFonts w:ascii="Arial" w:eastAsia="Arial" w:hAnsi="Arial" w:cs="Arial"/>
          <w:color w:val="000000" w:themeColor="text1"/>
        </w:rPr>
        <w:t xml:space="preserve"> (91%). According to the NDC, Colombia aims to reduce its GHG emissions by 51% by 2030, </w:t>
      </w:r>
      <w:r w:rsidR="0094586F">
        <w:rPr>
          <w:rFonts w:ascii="Arial" w:eastAsia="Arial" w:hAnsi="Arial" w:cs="Arial"/>
          <w:color w:val="000000" w:themeColor="text1"/>
        </w:rPr>
        <w:t>including</w:t>
      </w:r>
      <w:r w:rsidRPr="00F90A46">
        <w:rPr>
          <w:rFonts w:ascii="Arial" w:eastAsia="Arial" w:hAnsi="Arial" w:cs="Arial"/>
          <w:color w:val="000000" w:themeColor="text1"/>
        </w:rPr>
        <w:t xml:space="preserve"> mitigation measures compromised by the transport sector. </w:t>
      </w:r>
    </w:p>
    <w:p w14:paraId="796F17D9" w14:textId="77777777" w:rsidR="00981A7F" w:rsidRPr="00F90A46" w:rsidRDefault="00981A7F" w:rsidP="006E6818">
      <w:pPr>
        <w:pStyle w:val="ListParagraph"/>
        <w:spacing w:before="120" w:after="120" w:line="240" w:lineRule="auto"/>
        <w:jc w:val="both"/>
        <w:rPr>
          <w:rFonts w:ascii="Arial" w:eastAsia="Arial" w:hAnsi="Arial" w:cs="Arial"/>
          <w:color w:val="000000" w:themeColor="text1"/>
        </w:rPr>
      </w:pPr>
    </w:p>
    <w:p w14:paraId="4AB78FB2" w14:textId="58279D5D" w:rsidR="00B20F83" w:rsidRP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t xml:space="preserve">At the same time, transportation faces many challenges to ensure sustainability and resilience as it is highly </w:t>
      </w:r>
      <w:hyperlink r:id="rId13">
        <w:r w:rsidRPr="00F90A46">
          <w:rPr>
            <w:rStyle w:val="Hyperlink"/>
            <w:rFonts w:ascii="Arial" w:eastAsia="Arial" w:hAnsi="Arial" w:cs="Arial"/>
          </w:rPr>
          <w:t>vulnerable to the effects of CC, such as floods, hurricanes, the rise of sea level,</w:t>
        </w:r>
      </w:hyperlink>
      <w:r w:rsidRPr="00F90A46">
        <w:rPr>
          <w:rFonts w:ascii="Arial" w:eastAsia="Arial" w:hAnsi="Arial" w:cs="Arial"/>
          <w:color w:val="000000" w:themeColor="text1"/>
        </w:rPr>
        <w:t xml:space="preserve"> and major soil erosions, which requires the implementation of adaptation measures. The country estimates that annual losses due to landslides on roads could represent more than 130,000 million COP according to the </w:t>
      </w:r>
      <w:hyperlink r:id="rId14">
        <w:r w:rsidRPr="00F90A46">
          <w:rPr>
            <w:rStyle w:val="Hyperlink"/>
            <w:rFonts w:ascii="Arial" w:eastAsia="Arial" w:hAnsi="Arial" w:cs="Arial"/>
          </w:rPr>
          <w:t>Long-term Climate Strategy (E2050)</w:t>
        </w:r>
      </w:hyperlink>
      <w:r w:rsidRPr="00F90A46">
        <w:rPr>
          <w:rFonts w:ascii="Arial" w:eastAsia="Arial" w:hAnsi="Arial" w:cs="Arial"/>
          <w:color w:val="000000" w:themeColor="text1"/>
        </w:rPr>
        <w:t xml:space="preserve">. Studies have been carried out to quantify the negative impacts CC may impose on the economy, using the data of impacts during the </w:t>
      </w:r>
      <w:r w:rsidRPr="007E0781">
        <w:rPr>
          <w:rFonts w:ascii="Arial" w:eastAsia="Arial" w:hAnsi="Arial" w:cs="Arial"/>
          <w:i/>
          <w:iCs/>
          <w:color w:val="000000" w:themeColor="text1"/>
        </w:rPr>
        <w:t>La Niña</w:t>
      </w:r>
      <w:r w:rsidRPr="00F90A46">
        <w:rPr>
          <w:rFonts w:ascii="Arial" w:eastAsia="Arial" w:hAnsi="Arial" w:cs="Arial"/>
          <w:color w:val="000000" w:themeColor="text1"/>
        </w:rPr>
        <w:t xml:space="preserve"> phenomenon in 2010-2011 and</w:t>
      </w:r>
      <w:r w:rsidR="007E0781">
        <w:rPr>
          <w:rFonts w:ascii="Arial" w:eastAsia="Arial" w:hAnsi="Arial" w:cs="Arial"/>
          <w:color w:val="000000" w:themeColor="text1"/>
        </w:rPr>
        <w:t xml:space="preserve"> </w:t>
      </w:r>
      <w:r w:rsidR="007E0781" w:rsidRPr="007E0781">
        <w:rPr>
          <w:rFonts w:ascii="Arial" w:eastAsia="Arial" w:hAnsi="Arial" w:cs="Arial"/>
          <w:color w:val="000000" w:themeColor="text1"/>
        </w:rPr>
        <w:t>Institute of Hydrology, Meteorology and Environmental Studies</w:t>
      </w:r>
      <w:r w:rsidRPr="00F90A46">
        <w:rPr>
          <w:rFonts w:ascii="Arial" w:eastAsia="Arial" w:hAnsi="Arial" w:cs="Arial"/>
          <w:color w:val="000000" w:themeColor="text1"/>
        </w:rPr>
        <w:t xml:space="preserve"> </w:t>
      </w:r>
      <w:r w:rsidR="007E0781">
        <w:rPr>
          <w:rFonts w:ascii="Arial" w:eastAsia="Arial" w:hAnsi="Arial" w:cs="Arial"/>
          <w:color w:val="000000" w:themeColor="text1"/>
        </w:rPr>
        <w:t>(</w:t>
      </w:r>
      <w:r w:rsidRPr="00F90A46">
        <w:rPr>
          <w:rFonts w:ascii="Arial" w:eastAsia="Arial" w:hAnsi="Arial" w:cs="Arial"/>
          <w:color w:val="000000" w:themeColor="text1"/>
        </w:rPr>
        <w:t>IDEAM</w:t>
      </w:r>
      <w:r w:rsidR="007E0781">
        <w:rPr>
          <w:rFonts w:ascii="Arial" w:eastAsia="Arial" w:hAnsi="Arial" w:cs="Arial"/>
          <w:color w:val="000000" w:themeColor="text1"/>
        </w:rPr>
        <w:t>)</w:t>
      </w:r>
      <w:r w:rsidRPr="00F90A46">
        <w:rPr>
          <w:rFonts w:ascii="Arial" w:eastAsia="Arial" w:hAnsi="Arial" w:cs="Arial"/>
          <w:color w:val="000000" w:themeColor="text1"/>
        </w:rPr>
        <w:t xml:space="preserve"> future climate scenarios.  </w:t>
      </w:r>
      <w:hyperlink r:id="rId15">
        <w:r w:rsidRPr="00F90A46">
          <w:rPr>
            <w:rStyle w:val="Hyperlink"/>
            <w:rFonts w:ascii="Arial" w:eastAsia="Arial" w:hAnsi="Arial" w:cs="Arial"/>
          </w:rPr>
          <w:t>DNP, IDB, and ECLAC</w:t>
        </w:r>
      </w:hyperlink>
      <w:r w:rsidRPr="00F90A46">
        <w:rPr>
          <w:rFonts w:ascii="Arial" w:eastAsia="Arial" w:hAnsi="Arial" w:cs="Arial"/>
          <w:color w:val="000000" w:themeColor="text1"/>
        </w:rPr>
        <w:t xml:space="preserve"> estimated that between 2011 and 2100, there would be an average annual loss of </w:t>
      </w:r>
      <w:r w:rsidR="00A40627">
        <w:rPr>
          <w:rFonts w:ascii="Arial" w:eastAsia="Arial" w:hAnsi="Arial" w:cs="Arial"/>
          <w:color w:val="000000" w:themeColor="text1"/>
        </w:rPr>
        <w:t>Gross Domestic Product (</w:t>
      </w:r>
      <w:r w:rsidRPr="00F90A46">
        <w:rPr>
          <w:rFonts w:ascii="Arial" w:eastAsia="Arial" w:hAnsi="Arial" w:cs="Arial"/>
          <w:color w:val="000000" w:themeColor="text1"/>
        </w:rPr>
        <w:t>GDP</w:t>
      </w:r>
      <w:r w:rsidR="00A40627">
        <w:rPr>
          <w:rFonts w:ascii="Arial" w:eastAsia="Arial" w:hAnsi="Arial" w:cs="Arial"/>
          <w:color w:val="000000" w:themeColor="text1"/>
        </w:rPr>
        <w:t>)</w:t>
      </w:r>
      <w:r w:rsidRPr="00F90A46">
        <w:rPr>
          <w:rFonts w:ascii="Arial" w:eastAsia="Arial" w:hAnsi="Arial" w:cs="Arial"/>
          <w:color w:val="000000" w:themeColor="text1"/>
        </w:rPr>
        <w:t xml:space="preserve"> of 0.49%, because of climate change, </w:t>
      </w:r>
      <w:r w:rsidR="006E6818">
        <w:rPr>
          <w:rFonts w:ascii="Arial" w:eastAsia="Arial" w:hAnsi="Arial" w:cs="Arial"/>
          <w:color w:val="000000" w:themeColor="text1"/>
        </w:rPr>
        <w:t>being</w:t>
      </w:r>
      <w:r w:rsidRPr="00F90A46">
        <w:rPr>
          <w:rFonts w:ascii="Arial" w:eastAsia="Arial" w:hAnsi="Arial" w:cs="Arial"/>
          <w:color w:val="000000" w:themeColor="text1"/>
        </w:rPr>
        <w:t xml:space="preserve"> transportation infrastructure </w:t>
      </w:r>
      <w:r w:rsidR="006E6818">
        <w:rPr>
          <w:rFonts w:ascii="Arial" w:eastAsia="Arial" w:hAnsi="Arial" w:cs="Arial"/>
          <w:color w:val="000000" w:themeColor="text1"/>
        </w:rPr>
        <w:t xml:space="preserve">highly </w:t>
      </w:r>
      <w:r w:rsidRPr="00F90A46">
        <w:rPr>
          <w:rFonts w:ascii="Arial" w:eastAsia="Arial" w:hAnsi="Arial" w:cs="Arial"/>
          <w:color w:val="000000" w:themeColor="text1"/>
        </w:rPr>
        <w:t>affected.</w:t>
      </w:r>
    </w:p>
    <w:p w14:paraId="357402A6" w14:textId="77777777" w:rsidR="00B20F83" w:rsidRPr="00F90A46" w:rsidRDefault="00B20F83" w:rsidP="006E6818">
      <w:pPr>
        <w:pStyle w:val="ListParagraph"/>
        <w:spacing w:before="120" w:after="120" w:line="240" w:lineRule="auto"/>
        <w:jc w:val="both"/>
        <w:rPr>
          <w:rFonts w:ascii="Arial" w:eastAsia="Arial" w:hAnsi="Arial" w:cs="Arial"/>
          <w:color w:val="000000" w:themeColor="text1"/>
        </w:rPr>
      </w:pPr>
    </w:p>
    <w:p w14:paraId="4CE5C12A" w14:textId="2744CC2C" w:rsidR="00B20F83" w:rsidRP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t>To this end, Colombia has made progress in promoting sustainable infrastructure in the transport sector, however, additional efforts need to be made to have sufficient enabling conditions and strong capacity in the governmental agencies</w:t>
      </w:r>
      <w:r w:rsidR="00F3341C">
        <w:rPr>
          <w:rFonts w:ascii="Arial" w:eastAsia="Arial" w:hAnsi="Arial" w:cs="Arial"/>
          <w:color w:val="000000" w:themeColor="text1"/>
        </w:rPr>
        <w:t>’ sector</w:t>
      </w:r>
      <w:r w:rsidRPr="00F90A46">
        <w:rPr>
          <w:rFonts w:ascii="Arial" w:eastAsia="Arial" w:hAnsi="Arial" w:cs="Arial"/>
          <w:color w:val="000000" w:themeColor="text1"/>
        </w:rPr>
        <w:t xml:space="preserve"> to move forward in the implementation of concrete and high-impact projects. In 2021, the country issued the Sustainable Infrastructure Policy (SIP) (</w:t>
      </w:r>
      <w:hyperlink r:id="rId16">
        <w:r w:rsidRPr="00F90A46">
          <w:rPr>
            <w:rStyle w:val="Hyperlink"/>
            <w:rFonts w:ascii="Arial" w:eastAsia="Arial" w:hAnsi="Arial" w:cs="Arial"/>
          </w:rPr>
          <w:t>CONPES 4060</w:t>
        </w:r>
      </w:hyperlink>
      <w:r w:rsidRPr="00F90A46">
        <w:rPr>
          <w:rFonts w:ascii="Arial" w:eastAsia="Arial" w:hAnsi="Arial" w:cs="Arial"/>
          <w:color w:val="000000" w:themeColor="text1"/>
        </w:rPr>
        <w:t>) for the development of projects under the 5th Generation of public-private concession models (PPP) which recognizes advances in the establishment of regulations</w:t>
      </w:r>
      <w:r w:rsidR="006122A6">
        <w:rPr>
          <w:rFonts w:ascii="Arial" w:eastAsia="Arial" w:hAnsi="Arial" w:cs="Arial"/>
          <w:color w:val="000000" w:themeColor="text1"/>
        </w:rPr>
        <w:t xml:space="preserve"> which</w:t>
      </w:r>
      <w:r w:rsidR="00D61448" w:rsidRPr="00F90A46">
        <w:rPr>
          <w:rFonts w:ascii="Arial" w:eastAsia="Arial" w:hAnsi="Arial" w:cs="Arial"/>
          <w:color w:val="000000" w:themeColor="text1"/>
        </w:rPr>
        <w:t xml:space="preserve"> </w:t>
      </w:r>
      <w:r w:rsidRPr="00F90A46">
        <w:rPr>
          <w:rFonts w:ascii="Arial" w:eastAsia="Arial" w:hAnsi="Arial" w:cs="Arial"/>
          <w:color w:val="000000" w:themeColor="text1"/>
        </w:rPr>
        <w:t xml:space="preserve">fostered the project's strengthening in their structuring process by adding cost-benefit analysis, value for money and high technical standards. At the same time, </w:t>
      </w:r>
      <w:r w:rsidR="00CA7FCA">
        <w:rPr>
          <w:rFonts w:ascii="Arial" w:eastAsia="Arial" w:hAnsi="Arial" w:cs="Arial"/>
          <w:color w:val="000000" w:themeColor="text1"/>
        </w:rPr>
        <w:t>the new policy</w:t>
      </w:r>
      <w:r w:rsidRPr="00F90A46">
        <w:rPr>
          <w:rFonts w:ascii="Arial" w:eastAsia="Arial" w:hAnsi="Arial" w:cs="Arial"/>
          <w:color w:val="000000" w:themeColor="text1"/>
        </w:rPr>
        <w:t xml:space="preserve"> warns about incipient interventions for adaptation to climate change, few incentives for the incorporation of sustainability and green infrastructure criteria, and a low orientation towards compensation for social and environmental damage in the projects, among other gaps. Finally, CONPES 4060 introduces intermodal transport infrastructure for the first time to the PPP model by promoting rail and water transport, due to their potential in reducing costs and GHG emissions. Indeed, we estimate that moving cargo through river and rail modes could reduce emissions by</w:t>
      </w:r>
      <w:hyperlink r:id="rId17">
        <w:r w:rsidRPr="00F90A46">
          <w:rPr>
            <w:rStyle w:val="Hyperlink"/>
            <w:rFonts w:ascii="Arial" w:eastAsia="Arial" w:hAnsi="Arial" w:cs="Arial"/>
          </w:rPr>
          <w:t xml:space="preserve"> 62% and 33% per ton transported respectively.</w:t>
        </w:r>
      </w:hyperlink>
      <w:r w:rsidRPr="00F90A46">
        <w:rPr>
          <w:rFonts w:ascii="Arial" w:eastAsia="Arial" w:hAnsi="Arial" w:cs="Arial"/>
          <w:color w:val="000000" w:themeColor="text1"/>
        </w:rPr>
        <w:t xml:space="preserve"> Recognizing this high potential, the country prepared in 2021, with the support of the IDB, the Railway Master Plan</w:t>
      </w:r>
      <w:r w:rsidR="78876360" w:rsidRPr="6F2EBBBD">
        <w:rPr>
          <w:rFonts w:ascii="Arial" w:eastAsia="Arial" w:hAnsi="Arial" w:cs="Arial"/>
          <w:color w:val="000000" w:themeColor="text1"/>
        </w:rPr>
        <w:t xml:space="preserve"> for</w:t>
      </w:r>
      <w:r w:rsidRPr="00F90A46">
        <w:rPr>
          <w:rFonts w:ascii="Arial" w:eastAsia="Arial" w:hAnsi="Arial" w:cs="Arial"/>
          <w:color w:val="000000" w:themeColor="text1"/>
        </w:rPr>
        <w:t xml:space="preserve"> the </w:t>
      </w:r>
      <w:r w:rsidR="24F72561" w:rsidRPr="6F2EBBBD">
        <w:rPr>
          <w:rFonts w:ascii="Arial" w:eastAsia="Arial" w:hAnsi="Arial" w:cs="Arial"/>
          <w:color w:val="000000" w:themeColor="text1"/>
        </w:rPr>
        <w:t>reactivation and</w:t>
      </w:r>
      <w:r w:rsidRPr="6F2EBBBD">
        <w:rPr>
          <w:rFonts w:ascii="Arial" w:eastAsia="Arial" w:hAnsi="Arial" w:cs="Arial"/>
          <w:color w:val="000000" w:themeColor="text1"/>
        </w:rPr>
        <w:t xml:space="preserve"> </w:t>
      </w:r>
      <w:r w:rsidRPr="00F90A46">
        <w:rPr>
          <w:rFonts w:ascii="Arial" w:eastAsia="Arial" w:hAnsi="Arial" w:cs="Arial"/>
          <w:color w:val="000000" w:themeColor="text1"/>
        </w:rPr>
        <w:t xml:space="preserve">promotion of rail transport, which </w:t>
      </w:r>
      <w:r w:rsidR="430D3849" w:rsidRPr="6F2EBBBD">
        <w:rPr>
          <w:rFonts w:ascii="Arial" w:eastAsia="Arial" w:hAnsi="Arial" w:cs="Arial"/>
          <w:color w:val="000000" w:themeColor="text1"/>
        </w:rPr>
        <w:t>has</w:t>
      </w:r>
      <w:r w:rsidRPr="6F2EBBBD" w:rsidDel="31043AE7">
        <w:rPr>
          <w:rFonts w:ascii="Arial" w:eastAsia="Arial" w:hAnsi="Arial" w:cs="Arial"/>
          <w:color w:val="000000" w:themeColor="text1"/>
        </w:rPr>
        <w:t xml:space="preserve"> </w:t>
      </w:r>
      <w:r w:rsidRPr="00F90A46">
        <w:rPr>
          <w:rFonts w:ascii="Arial" w:eastAsia="Arial" w:hAnsi="Arial" w:cs="Arial"/>
          <w:color w:val="000000" w:themeColor="text1"/>
        </w:rPr>
        <w:t>also been prioritized by the current administration</w:t>
      </w:r>
      <w:r w:rsidR="41A2E027" w:rsidRPr="6F2EBBBD">
        <w:rPr>
          <w:rFonts w:ascii="Arial" w:eastAsia="Arial" w:hAnsi="Arial" w:cs="Arial"/>
          <w:color w:val="000000" w:themeColor="text1"/>
        </w:rPr>
        <w:t xml:space="preserve">, and </w:t>
      </w:r>
      <w:r w:rsidR="009F0028" w:rsidRPr="4B5EA932">
        <w:rPr>
          <w:rFonts w:ascii="Arial" w:eastAsia="Arial" w:hAnsi="Arial" w:cs="Arial"/>
          <w:color w:val="000000" w:themeColor="text1"/>
        </w:rPr>
        <w:t xml:space="preserve">the government </w:t>
      </w:r>
      <w:r w:rsidR="41A2E027" w:rsidRPr="6F2EBBBD">
        <w:rPr>
          <w:rFonts w:ascii="Arial" w:eastAsia="Arial" w:hAnsi="Arial" w:cs="Arial"/>
          <w:color w:val="000000" w:themeColor="text1"/>
        </w:rPr>
        <w:t xml:space="preserve">is currently updating the Fluvial </w:t>
      </w:r>
      <w:r w:rsidR="7052E88E" w:rsidRPr="4B5EA932">
        <w:rPr>
          <w:rFonts w:ascii="Arial" w:eastAsia="Arial" w:hAnsi="Arial" w:cs="Arial"/>
          <w:color w:val="000000" w:themeColor="text1"/>
        </w:rPr>
        <w:t>and</w:t>
      </w:r>
      <w:r w:rsidR="41A2E027" w:rsidRPr="6F2EBBBD">
        <w:rPr>
          <w:rFonts w:ascii="Arial" w:eastAsia="Arial" w:hAnsi="Arial" w:cs="Arial"/>
          <w:color w:val="000000" w:themeColor="text1"/>
        </w:rPr>
        <w:t xml:space="preserve"> Intermodal Transport Master </w:t>
      </w:r>
      <w:r w:rsidR="41A2E027" w:rsidRPr="4B5EA932">
        <w:rPr>
          <w:rFonts w:ascii="Arial" w:eastAsia="Arial" w:hAnsi="Arial" w:cs="Arial"/>
          <w:color w:val="000000" w:themeColor="text1"/>
        </w:rPr>
        <w:t>Plan</w:t>
      </w:r>
      <w:r w:rsidR="206987F3" w:rsidRPr="4B5EA932">
        <w:rPr>
          <w:rFonts w:ascii="Arial" w:eastAsia="Arial" w:hAnsi="Arial" w:cs="Arial"/>
          <w:color w:val="000000" w:themeColor="text1"/>
        </w:rPr>
        <w:t>s</w:t>
      </w:r>
      <w:r w:rsidRPr="00F90A46">
        <w:rPr>
          <w:rFonts w:ascii="Arial" w:eastAsia="Arial" w:hAnsi="Arial" w:cs="Arial"/>
          <w:color w:val="000000" w:themeColor="text1"/>
        </w:rPr>
        <w:t xml:space="preserve">. </w:t>
      </w:r>
    </w:p>
    <w:p w14:paraId="45D7DC9A" w14:textId="77777777" w:rsidR="00B20F83" w:rsidRPr="00F90A46" w:rsidRDefault="00B20F83" w:rsidP="006E6818">
      <w:pPr>
        <w:pStyle w:val="ListParagraph"/>
        <w:spacing w:before="120" w:after="120" w:line="240" w:lineRule="auto"/>
        <w:jc w:val="both"/>
        <w:rPr>
          <w:rFonts w:ascii="Arial" w:eastAsia="Arial" w:hAnsi="Arial" w:cs="Arial"/>
          <w:color w:val="000000" w:themeColor="text1"/>
        </w:rPr>
      </w:pPr>
    </w:p>
    <w:p w14:paraId="57315149" w14:textId="2700E975" w:rsidR="00472C12" w:rsidRP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t xml:space="preserve">The SIP specifically points out </w:t>
      </w:r>
      <w:r w:rsidR="00323BFD">
        <w:rPr>
          <w:rFonts w:ascii="Arial" w:eastAsia="Arial" w:hAnsi="Arial" w:cs="Arial"/>
          <w:color w:val="000000" w:themeColor="text1"/>
        </w:rPr>
        <w:t>three</w:t>
      </w:r>
      <w:r w:rsidR="00323BFD" w:rsidRPr="00F90A46">
        <w:rPr>
          <w:rFonts w:ascii="Arial" w:eastAsia="Arial" w:hAnsi="Arial" w:cs="Arial"/>
          <w:color w:val="000000" w:themeColor="text1"/>
        </w:rPr>
        <w:t xml:space="preserve"> </w:t>
      </w:r>
      <w:r w:rsidRPr="00F90A46">
        <w:rPr>
          <w:rFonts w:ascii="Arial" w:eastAsia="Arial" w:hAnsi="Arial" w:cs="Arial"/>
          <w:color w:val="000000" w:themeColor="text1"/>
        </w:rPr>
        <w:t xml:space="preserve">main barriers to be addressed by this TC: </w:t>
      </w:r>
      <w:r w:rsidR="54260729">
        <w:br/>
      </w:r>
    </w:p>
    <w:p w14:paraId="697A8F82" w14:textId="4AE25F24" w:rsidR="00472C12" w:rsidRDefault="31043AE7" w:rsidP="006E6818">
      <w:pPr>
        <w:pStyle w:val="ListParagraph"/>
        <w:numPr>
          <w:ilvl w:val="0"/>
          <w:numId w:val="23"/>
        </w:numPr>
        <w:spacing w:before="120" w:after="120" w:line="240" w:lineRule="auto"/>
        <w:ind w:left="1080"/>
        <w:jc w:val="both"/>
        <w:rPr>
          <w:rFonts w:ascii="Arial" w:eastAsia="Arial" w:hAnsi="Arial" w:cs="Arial"/>
          <w:color w:val="000000" w:themeColor="text1"/>
        </w:rPr>
      </w:pPr>
      <w:r w:rsidRPr="006E6818">
        <w:rPr>
          <w:rFonts w:ascii="Arial" w:eastAsia="Arial" w:hAnsi="Arial" w:cs="Arial"/>
          <w:b/>
          <w:bCs/>
          <w:color w:val="000000" w:themeColor="text1"/>
        </w:rPr>
        <w:t>Shortfall in the institutional governance,</w:t>
      </w:r>
      <w:r w:rsidRPr="006E6818">
        <w:rPr>
          <w:rFonts w:ascii="Arial" w:eastAsia="Arial" w:hAnsi="Arial" w:cs="Arial"/>
          <w:color w:val="000000" w:themeColor="text1"/>
        </w:rPr>
        <w:t xml:space="preserve"> as the country lacks an appropriate corporative governance mechanism, the institutional coordination at the operation level is low and project monitoring systems need to be improved with technical instruments. In 2018, almost 50% of the projects presented delays associated with lack of coordination mechanisms among different agencies (</w:t>
      </w:r>
      <w:hyperlink r:id="rId18">
        <w:r w:rsidRPr="006E6818">
          <w:rPr>
            <w:rStyle w:val="Hyperlink"/>
            <w:rFonts w:ascii="Arial" w:eastAsia="Calibri" w:hAnsi="Arial" w:cs="Arial"/>
          </w:rPr>
          <w:t>DNP, 2021:27</w:t>
        </w:r>
      </w:hyperlink>
      <w:r w:rsidRPr="006E6818">
        <w:rPr>
          <w:rFonts w:ascii="Arial" w:eastAsia="Arial" w:hAnsi="Arial" w:cs="Arial"/>
          <w:color w:val="000000" w:themeColor="text1"/>
        </w:rPr>
        <w:t>).</w:t>
      </w:r>
    </w:p>
    <w:p w14:paraId="6968CFED" w14:textId="77777777" w:rsidR="006E6818" w:rsidRPr="006E6818" w:rsidRDefault="006E6818" w:rsidP="006E6818">
      <w:pPr>
        <w:pStyle w:val="ListParagraph"/>
        <w:spacing w:before="120" w:after="120" w:line="240" w:lineRule="auto"/>
        <w:ind w:left="1080"/>
        <w:jc w:val="both"/>
        <w:rPr>
          <w:rFonts w:ascii="Arial" w:eastAsia="Arial" w:hAnsi="Arial" w:cs="Arial"/>
          <w:color w:val="000000" w:themeColor="text1"/>
        </w:rPr>
      </w:pPr>
    </w:p>
    <w:p w14:paraId="74D9DE57" w14:textId="74FDADDB" w:rsidR="00472C12" w:rsidRDefault="31043AE7" w:rsidP="006E6818">
      <w:pPr>
        <w:pStyle w:val="ListParagraph"/>
        <w:numPr>
          <w:ilvl w:val="0"/>
          <w:numId w:val="23"/>
        </w:numPr>
        <w:spacing w:before="120" w:after="120" w:line="240" w:lineRule="auto"/>
        <w:ind w:left="1080"/>
        <w:jc w:val="both"/>
        <w:rPr>
          <w:rFonts w:ascii="Arial" w:eastAsia="Arial" w:hAnsi="Arial" w:cs="Arial"/>
          <w:color w:val="000000" w:themeColor="text1"/>
        </w:rPr>
      </w:pPr>
      <w:r w:rsidRPr="006E6818">
        <w:rPr>
          <w:rFonts w:ascii="Arial" w:eastAsia="Arial" w:hAnsi="Arial" w:cs="Arial"/>
          <w:b/>
          <w:bCs/>
          <w:color w:val="000000" w:themeColor="text1"/>
        </w:rPr>
        <w:t>Lack of alternative financing mechanisms</w:t>
      </w:r>
      <w:r w:rsidRPr="006E6818">
        <w:rPr>
          <w:rFonts w:ascii="Arial" w:eastAsia="Arial" w:hAnsi="Arial" w:cs="Arial"/>
          <w:color w:val="000000" w:themeColor="text1"/>
        </w:rPr>
        <w:t>. Financial markets and domestic capital are insufficient to finance all the projects identified under the country’s transport infrastructure long-term roadmap (Intermodal Transportation Master Plan). As an example, the recent increase of the future national budget appropriations of up to 0,5% GDP (average) allowed by the Ministry of finance for 2021-2051, will not cover all projects.</w:t>
      </w:r>
    </w:p>
    <w:p w14:paraId="4303A6F1" w14:textId="77777777" w:rsidR="006E6818" w:rsidRPr="006E6818" w:rsidRDefault="006E6818" w:rsidP="006E6818">
      <w:pPr>
        <w:pStyle w:val="ListParagraph"/>
        <w:spacing w:before="120" w:after="120" w:line="240" w:lineRule="auto"/>
        <w:ind w:left="1080"/>
        <w:jc w:val="both"/>
        <w:rPr>
          <w:rFonts w:ascii="Arial" w:eastAsia="Arial" w:hAnsi="Arial" w:cs="Arial"/>
          <w:color w:val="000000" w:themeColor="text1"/>
        </w:rPr>
      </w:pPr>
    </w:p>
    <w:p w14:paraId="0A1F5587" w14:textId="1B89E1DF" w:rsidR="00472C12" w:rsidRPr="006E6818" w:rsidRDefault="31043AE7" w:rsidP="006E6818">
      <w:pPr>
        <w:pStyle w:val="ListParagraph"/>
        <w:numPr>
          <w:ilvl w:val="0"/>
          <w:numId w:val="23"/>
        </w:numPr>
        <w:spacing w:before="120" w:after="120" w:line="240" w:lineRule="auto"/>
        <w:ind w:left="1080"/>
        <w:jc w:val="both"/>
        <w:rPr>
          <w:rFonts w:ascii="Arial" w:eastAsia="Arial" w:hAnsi="Arial" w:cs="Arial"/>
          <w:color w:val="000000" w:themeColor="text1"/>
        </w:rPr>
      </w:pPr>
      <w:r w:rsidRPr="006E6818">
        <w:rPr>
          <w:rFonts w:ascii="Arial" w:eastAsia="Arial" w:hAnsi="Arial" w:cs="Arial"/>
          <w:b/>
          <w:bCs/>
          <w:color w:val="000000" w:themeColor="text1"/>
        </w:rPr>
        <w:t>Lack of a cross-cutting climate change approach</w:t>
      </w:r>
      <w:r w:rsidRPr="006E6818">
        <w:rPr>
          <w:rFonts w:ascii="Arial" w:eastAsia="Arial" w:hAnsi="Arial" w:cs="Arial"/>
          <w:color w:val="000000" w:themeColor="text1"/>
        </w:rPr>
        <w:t xml:space="preserve"> to fulfill the country’s commitments under the Paris Agreement and the Sustainable Development Goals, as well as to prevent the effects of catastrophic climate change events by including resilient designs which may include innovation in material and maintenance under a framework of green infrastructure. Floodings caused by </w:t>
      </w:r>
      <w:r w:rsidRPr="006E6818">
        <w:rPr>
          <w:rFonts w:ascii="Arial" w:eastAsia="Arial" w:hAnsi="Arial" w:cs="Arial"/>
          <w:i/>
          <w:iCs/>
          <w:color w:val="000000" w:themeColor="text1"/>
        </w:rPr>
        <w:t xml:space="preserve">La Niña </w:t>
      </w:r>
      <w:r w:rsidRPr="006E6818">
        <w:rPr>
          <w:rFonts w:ascii="Arial" w:eastAsia="Arial" w:hAnsi="Arial" w:cs="Arial"/>
          <w:color w:val="000000" w:themeColor="text1"/>
        </w:rPr>
        <w:t xml:space="preserve">phenomenon in 2010-2011 caused damage to over </w:t>
      </w:r>
      <w:hyperlink r:id="rId19">
        <w:r w:rsidRPr="006E6818">
          <w:rPr>
            <w:rStyle w:val="Hyperlink"/>
            <w:rFonts w:ascii="Arial" w:eastAsia="Arial" w:hAnsi="Arial" w:cs="Arial"/>
          </w:rPr>
          <w:t>1.600 km of route infrastructure</w:t>
        </w:r>
      </w:hyperlink>
      <w:r w:rsidRPr="006E6818">
        <w:rPr>
          <w:rFonts w:ascii="Arial" w:eastAsia="Arial" w:hAnsi="Arial" w:cs="Arial"/>
          <w:color w:val="000000" w:themeColor="text1"/>
        </w:rPr>
        <w:t xml:space="preserve">. </w:t>
      </w:r>
    </w:p>
    <w:p w14:paraId="13AADBB7" w14:textId="77777777" w:rsidR="00F90A46" w:rsidRPr="00F90A46" w:rsidRDefault="00F90A46" w:rsidP="006E6818">
      <w:pPr>
        <w:pStyle w:val="ListParagraph"/>
        <w:spacing w:before="120" w:after="120" w:line="240" w:lineRule="auto"/>
        <w:ind w:left="1350"/>
        <w:jc w:val="both"/>
        <w:rPr>
          <w:rFonts w:ascii="Arial" w:eastAsia="Arial" w:hAnsi="Arial" w:cs="Arial"/>
          <w:color w:val="000000" w:themeColor="text1"/>
        </w:rPr>
      </w:pPr>
    </w:p>
    <w:p w14:paraId="61E0F689" w14:textId="12389F3E" w:rsid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t>As per the experience from ANI all these barriers caused serious damage to the development of the projects including execution delays, cost overruns, and difficulties to give financial closure to the projects. There is a need to further develop tools, methodologies, and regulations to ensure</w:t>
      </w:r>
      <w:r w:rsidR="00333B59">
        <w:rPr>
          <w:rFonts w:ascii="Arial" w:eastAsia="Arial" w:hAnsi="Arial" w:cs="Arial"/>
          <w:color w:val="000000" w:themeColor="text1"/>
        </w:rPr>
        <w:t>:</w:t>
      </w:r>
      <w:r w:rsidRPr="00F90A46">
        <w:rPr>
          <w:rFonts w:ascii="Arial" w:eastAsia="Arial" w:hAnsi="Arial" w:cs="Arial"/>
          <w:color w:val="000000" w:themeColor="text1"/>
        </w:rPr>
        <w:t xml:space="preserve"> </w:t>
      </w:r>
      <w:r w:rsidR="00333B59">
        <w:rPr>
          <w:rFonts w:ascii="Arial" w:eastAsia="Arial" w:hAnsi="Arial" w:cs="Arial"/>
          <w:color w:val="000000" w:themeColor="text1"/>
        </w:rPr>
        <w:t xml:space="preserve">(i) </w:t>
      </w:r>
      <w:r w:rsidR="00FA3D6C">
        <w:rPr>
          <w:rFonts w:ascii="Arial" w:eastAsia="Arial" w:hAnsi="Arial" w:cs="Arial"/>
          <w:color w:val="000000" w:themeColor="text1"/>
        </w:rPr>
        <w:t xml:space="preserve">the </w:t>
      </w:r>
      <w:r w:rsidRPr="00F90A46">
        <w:rPr>
          <w:rFonts w:ascii="Arial" w:eastAsia="Arial" w:hAnsi="Arial" w:cs="Arial"/>
          <w:color w:val="000000" w:themeColor="text1"/>
        </w:rPr>
        <w:t>governance mechanism is strengthened</w:t>
      </w:r>
      <w:r w:rsidR="0035436A">
        <w:rPr>
          <w:rFonts w:ascii="Arial" w:eastAsia="Arial" w:hAnsi="Arial" w:cs="Arial"/>
          <w:color w:val="000000" w:themeColor="text1"/>
        </w:rPr>
        <w:t>; (ii)</w:t>
      </w:r>
      <w:r w:rsidRPr="00F90A46">
        <w:rPr>
          <w:rFonts w:ascii="Arial" w:eastAsia="Arial" w:hAnsi="Arial" w:cs="Arial"/>
          <w:color w:val="000000" w:themeColor="text1"/>
        </w:rPr>
        <w:t xml:space="preserve"> social and environmental sustainability criteria are appropriately incorporated in the project cycle of the transport PPP</w:t>
      </w:r>
      <w:r w:rsidR="007B6BAE">
        <w:rPr>
          <w:rFonts w:ascii="Arial" w:eastAsia="Arial" w:hAnsi="Arial" w:cs="Arial"/>
          <w:color w:val="000000" w:themeColor="text1"/>
        </w:rPr>
        <w:t xml:space="preserve"> and</w:t>
      </w:r>
      <w:r w:rsidR="001F0928">
        <w:rPr>
          <w:rFonts w:ascii="Arial" w:eastAsia="Arial" w:hAnsi="Arial" w:cs="Arial"/>
          <w:color w:val="000000" w:themeColor="text1"/>
        </w:rPr>
        <w:t>;</w:t>
      </w:r>
      <w:r w:rsidR="007B6BAE">
        <w:rPr>
          <w:rFonts w:ascii="Arial" w:eastAsia="Arial" w:hAnsi="Arial" w:cs="Arial"/>
          <w:color w:val="000000" w:themeColor="text1"/>
        </w:rPr>
        <w:t xml:space="preserve"> (iii)</w:t>
      </w:r>
      <w:r w:rsidRPr="00F90A46">
        <w:rPr>
          <w:rFonts w:ascii="Arial" w:eastAsia="Arial" w:hAnsi="Arial" w:cs="Arial"/>
          <w:color w:val="000000" w:themeColor="text1"/>
        </w:rPr>
        <w:t xml:space="preserve"> promote a continuous dialogue between the infrastructure developers, financiers, and the government entities towards the capabilities, of implementing a sustainability-focused strategy within the present and future projects of the ANI. </w:t>
      </w:r>
    </w:p>
    <w:p w14:paraId="65EEFE10" w14:textId="77777777" w:rsidR="00F90A46" w:rsidRDefault="00F90A46" w:rsidP="006E6818">
      <w:pPr>
        <w:pStyle w:val="ListParagraph"/>
        <w:spacing w:before="120" w:after="120" w:line="240" w:lineRule="auto"/>
        <w:jc w:val="both"/>
        <w:rPr>
          <w:rFonts w:ascii="Arial" w:eastAsia="Arial" w:hAnsi="Arial" w:cs="Arial"/>
          <w:color w:val="000000" w:themeColor="text1"/>
        </w:rPr>
      </w:pPr>
    </w:p>
    <w:p w14:paraId="6167D6CB" w14:textId="5FB0BD6E" w:rsidR="00472C12" w:rsidRP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color w:val="000000" w:themeColor="text1"/>
        </w:rPr>
        <w:t>The Inter-American Development Bank (IDB) in conjunction with the United Kingdom Sustainable Infrastructure Program (UKSIP), has supported the GoC since 2019 to promote sustainable low-carbon infrastructure. To continue with this support, a High-Level Dialogue on June 9th, 2021, was an important milestone in developing a new UKSIP technical assistance for Colombia. The GoC, represented by several agencies including the Ministry of Transport</w:t>
      </w:r>
      <w:r w:rsidR="00C702D3">
        <w:rPr>
          <w:rFonts w:ascii="Arial" w:eastAsia="Arial" w:hAnsi="Arial" w:cs="Arial"/>
          <w:color w:val="000000" w:themeColor="text1"/>
        </w:rPr>
        <w:t>ation</w:t>
      </w:r>
      <w:r w:rsidRPr="00F90A46">
        <w:rPr>
          <w:rFonts w:ascii="Arial" w:eastAsia="Arial" w:hAnsi="Arial" w:cs="Arial"/>
          <w:color w:val="000000" w:themeColor="text1"/>
        </w:rPr>
        <w:t xml:space="preserve"> (MT) discussed with representatives from the IDB group, and the UK Government the strategic areas of intervention. The participants agreed the transport sector and PPP should be a key pillar to continue working under the UKSIP in 2022-2023.</w:t>
      </w:r>
    </w:p>
    <w:p w14:paraId="2F79C566" w14:textId="77777777" w:rsidR="00472C12" w:rsidRPr="00F90A46" w:rsidRDefault="00472C12" w:rsidP="006E6818">
      <w:pPr>
        <w:pStyle w:val="ListParagraph"/>
        <w:spacing w:line="240" w:lineRule="auto"/>
        <w:rPr>
          <w:rFonts w:ascii="Arial" w:eastAsia="Arial" w:hAnsi="Arial" w:cs="Arial"/>
          <w:color w:val="000000" w:themeColor="text1"/>
        </w:rPr>
      </w:pPr>
    </w:p>
    <w:p w14:paraId="6285DFB8" w14:textId="2EC99515" w:rsidR="00F90A46"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C72450">
        <w:rPr>
          <w:rFonts w:ascii="Arial" w:eastAsia="Arial" w:hAnsi="Arial" w:cs="Arial"/>
          <w:b/>
          <w:bCs/>
          <w:color w:val="000000" w:themeColor="text1"/>
        </w:rPr>
        <w:t>Beneficiaries:</w:t>
      </w:r>
      <w:r w:rsidRPr="00F90A46">
        <w:rPr>
          <w:rFonts w:ascii="Arial" w:eastAsia="Arial" w:hAnsi="Arial" w:cs="Arial"/>
          <w:color w:val="000000" w:themeColor="text1"/>
        </w:rPr>
        <w:t xml:space="preserve"> the main beneficiary will be </w:t>
      </w:r>
      <w:r w:rsidR="00083A46">
        <w:rPr>
          <w:rFonts w:ascii="Arial" w:eastAsia="Arial" w:hAnsi="Arial" w:cs="Arial"/>
          <w:color w:val="000000" w:themeColor="text1"/>
        </w:rPr>
        <w:t xml:space="preserve">the </w:t>
      </w:r>
      <w:r w:rsidRPr="00F90A46">
        <w:rPr>
          <w:rFonts w:ascii="Arial" w:eastAsia="Arial" w:hAnsi="Arial" w:cs="Arial"/>
          <w:color w:val="000000" w:themeColor="text1"/>
        </w:rPr>
        <w:t>agencies</w:t>
      </w:r>
      <w:r w:rsidR="00B731D8">
        <w:rPr>
          <w:rFonts w:ascii="Arial" w:eastAsia="Arial" w:hAnsi="Arial" w:cs="Arial"/>
          <w:color w:val="000000" w:themeColor="text1"/>
        </w:rPr>
        <w:t xml:space="preserve"> from the transportation sector</w:t>
      </w:r>
      <w:r w:rsidR="00083A46">
        <w:rPr>
          <w:rFonts w:ascii="Arial" w:eastAsia="Arial" w:hAnsi="Arial" w:cs="Arial"/>
          <w:color w:val="000000" w:themeColor="text1"/>
        </w:rPr>
        <w:t xml:space="preserve"> of GoC</w:t>
      </w:r>
      <w:r w:rsidR="00B731D8">
        <w:rPr>
          <w:rFonts w:ascii="Arial" w:eastAsia="Arial" w:hAnsi="Arial" w:cs="Arial"/>
          <w:color w:val="000000" w:themeColor="text1"/>
        </w:rPr>
        <w:t>,</w:t>
      </w:r>
      <w:r w:rsidRPr="00F90A46">
        <w:rPr>
          <w:rFonts w:ascii="Arial" w:eastAsia="Arial" w:hAnsi="Arial" w:cs="Arial"/>
          <w:color w:val="000000" w:themeColor="text1"/>
        </w:rPr>
        <w:t xml:space="preserve"> who will receive support to improve their capacities to set sustainable infrastructure KPIs and projects</w:t>
      </w:r>
      <w:r w:rsidR="008C646D">
        <w:rPr>
          <w:rFonts w:ascii="Arial" w:eastAsia="Arial" w:hAnsi="Arial" w:cs="Arial"/>
          <w:color w:val="000000" w:themeColor="text1"/>
        </w:rPr>
        <w:t>.</w:t>
      </w:r>
      <w:r w:rsidRPr="00F90A46">
        <w:rPr>
          <w:rFonts w:ascii="Arial" w:eastAsia="Arial" w:hAnsi="Arial" w:cs="Arial"/>
          <w:color w:val="000000" w:themeColor="text1"/>
        </w:rPr>
        <w:t xml:space="preserve"> </w:t>
      </w:r>
      <w:r w:rsidR="008C646D">
        <w:rPr>
          <w:rFonts w:ascii="Arial" w:eastAsia="Arial" w:hAnsi="Arial" w:cs="Arial"/>
          <w:color w:val="000000" w:themeColor="text1"/>
        </w:rPr>
        <w:t>These</w:t>
      </w:r>
      <w:r w:rsidRPr="00F90A46">
        <w:rPr>
          <w:rFonts w:ascii="Arial" w:eastAsia="Arial" w:hAnsi="Arial" w:cs="Arial"/>
          <w:color w:val="000000" w:themeColor="text1"/>
        </w:rPr>
        <w:t xml:space="preserve"> could overcome </w:t>
      </w:r>
      <w:r w:rsidR="00090720">
        <w:rPr>
          <w:rFonts w:ascii="Arial" w:eastAsia="Arial" w:hAnsi="Arial" w:cs="Arial"/>
          <w:color w:val="000000" w:themeColor="text1"/>
        </w:rPr>
        <w:t xml:space="preserve">(i) </w:t>
      </w:r>
      <w:r w:rsidRPr="00F90A46">
        <w:rPr>
          <w:rFonts w:ascii="Arial" w:eastAsia="Arial" w:hAnsi="Arial" w:cs="Arial"/>
          <w:color w:val="000000" w:themeColor="text1"/>
        </w:rPr>
        <w:t>project financing difficulties</w:t>
      </w:r>
      <w:r w:rsidR="00090720">
        <w:rPr>
          <w:rFonts w:ascii="Arial" w:eastAsia="Arial" w:hAnsi="Arial" w:cs="Arial"/>
          <w:color w:val="000000" w:themeColor="text1"/>
        </w:rPr>
        <w:t>; (ii)</w:t>
      </w:r>
      <w:r w:rsidRPr="00F90A46">
        <w:rPr>
          <w:rFonts w:ascii="Arial" w:eastAsia="Arial" w:hAnsi="Arial" w:cs="Arial"/>
          <w:color w:val="000000" w:themeColor="text1"/>
        </w:rPr>
        <w:t xml:space="preserve"> unlock new financial resources attached to sustainable KPIs and strengthen the reliance of transport</w:t>
      </w:r>
      <w:r w:rsidR="00E940F0">
        <w:rPr>
          <w:rFonts w:ascii="Arial" w:eastAsia="Arial" w:hAnsi="Arial" w:cs="Arial"/>
          <w:color w:val="000000" w:themeColor="text1"/>
        </w:rPr>
        <w:t>at</w:t>
      </w:r>
      <w:r w:rsidR="006A03B0">
        <w:rPr>
          <w:rFonts w:ascii="Arial" w:eastAsia="Arial" w:hAnsi="Arial" w:cs="Arial"/>
          <w:color w:val="000000" w:themeColor="text1"/>
        </w:rPr>
        <w:t>ion</w:t>
      </w:r>
      <w:r w:rsidRPr="00F90A46">
        <w:rPr>
          <w:rFonts w:ascii="Arial" w:eastAsia="Arial" w:hAnsi="Arial" w:cs="Arial"/>
          <w:color w:val="000000" w:themeColor="text1"/>
        </w:rPr>
        <w:t xml:space="preserve"> assets</w:t>
      </w:r>
      <w:r w:rsidR="00624FF7">
        <w:rPr>
          <w:rFonts w:ascii="Arial" w:eastAsia="Arial" w:hAnsi="Arial" w:cs="Arial"/>
          <w:color w:val="000000" w:themeColor="text1"/>
        </w:rPr>
        <w:t xml:space="preserve"> and</w:t>
      </w:r>
      <w:r w:rsidR="00A75FD3">
        <w:rPr>
          <w:rFonts w:ascii="Arial" w:eastAsia="Arial" w:hAnsi="Arial" w:cs="Arial"/>
          <w:color w:val="000000" w:themeColor="text1"/>
        </w:rPr>
        <w:t xml:space="preserve">; </w:t>
      </w:r>
      <w:r w:rsidR="00624FF7">
        <w:rPr>
          <w:rFonts w:ascii="Arial" w:eastAsia="Arial" w:hAnsi="Arial" w:cs="Arial"/>
          <w:color w:val="000000" w:themeColor="text1"/>
        </w:rPr>
        <w:t xml:space="preserve">(iii) </w:t>
      </w:r>
      <w:r w:rsidRPr="00F90A46">
        <w:rPr>
          <w:rFonts w:ascii="Arial" w:eastAsia="Arial" w:hAnsi="Arial" w:cs="Arial"/>
          <w:color w:val="000000" w:themeColor="text1"/>
        </w:rPr>
        <w:t xml:space="preserve">the projects' governance mechanism for the implementation of PPP with a social and </w:t>
      </w:r>
      <w:r w:rsidRPr="00F90A46">
        <w:rPr>
          <w:rFonts w:ascii="Arial" w:eastAsia="Arial" w:hAnsi="Arial" w:cs="Arial"/>
          <w:color w:val="000000" w:themeColor="text1"/>
        </w:rPr>
        <w:lastRenderedPageBreak/>
        <w:t xml:space="preserve">environmentally sustainable approach. </w:t>
      </w:r>
      <w:r w:rsidR="714497EF" w:rsidRPr="6F2EBBBD">
        <w:rPr>
          <w:rFonts w:ascii="Arial" w:eastAsia="Arial" w:hAnsi="Arial" w:cs="Arial"/>
          <w:color w:val="000000" w:themeColor="text1"/>
        </w:rPr>
        <w:t xml:space="preserve">Some examples are: </w:t>
      </w:r>
      <w:r w:rsidR="01C1E8EC" w:rsidRPr="6F2EBBBD">
        <w:rPr>
          <w:rFonts w:ascii="Arial" w:eastAsia="Arial" w:hAnsi="Arial" w:cs="Arial"/>
          <w:color w:val="000000" w:themeColor="text1"/>
        </w:rPr>
        <w:t xml:space="preserve">The Ministry of Transport, and its infrastructure Agency -ANI-, the local mobility agencies at the municipality level, </w:t>
      </w:r>
      <w:r w:rsidR="00053C71" w:rsidRPr="4B5EA932">
        <w:rPr>
          <w:rFonts w:ascii="Arial" w:eastAsia="Arial" w:hAnsi="Arial" w:cs="Arial"/>
          <w:color w:val="000000" w:themeColor="text1"/>
        </w:rPr>
        <w:t>subnational</w:t>
      </w:r>
      <w:r w:rsidR="01C1E8EC" w:rsidRPr="4B5EA932">
        <w:rPr>
          <w:rFonts w:ascii="Arial" w:eastAsia="Arial" w:hAnsi="Arial" w:cs="Arial"/>
          <w:color w:val="000000" w:themeColor="text1"/>
        </w:rPr>
        <w:t xml:space="preserve"> government</w:t>
      </w:r>
      <w:r w:rsidR="00053C71" w:rsidRPr="4B5EA932">
        <w:rPr>
          <w:rFonts w:ascii="Arial" w:eastAsia="Arial" w:hAnsi="Arial" w:cs="Arial"/>
          <w:color w:val="000000" w:themeColor="text1"/>
        </w:rPr>
        <w:t>s</w:t>
      </w:r>
      <w:r w:rsidR="01C1E8EC" w:rsidRPr="4B5EA932">
        <w:rPr>
          <w:rFonts w:ascii="Arial" w:eastAsia="Arial" w:hAnsi="Arial" w:cs="Arial"/>
          <w:color w:val="000000" w:themeColor="text1"/>
        </w:rPr>
        <w:t xml:space="preserve"> </w:t>
      </w:r>
      <w:r w:rsidR="00E52241" w:rsidRPr="4B5EA932">
        <w:rPr>
          <w:rFonts w:ascii="Arial" w:eastAsia="Arial" w:hAnsi="Arial" w:cs="Arial"/>
          <w:color w:val="000000" w:themeColor="text1"/>
        </w:rPr>
        <w:t xml:space="preserve">that are </w:t>
      </w:r>
      <w:r w:rsidR="005555F2" w:rsidRPr="4B5EA932">
        <w:rPr>
          <w:rFonts w:ascii="Arial" w:eastAsia="Arial" w:hAnsi="Arial" w:cs="Arial"/>
          <w:color w:val="000000" w:themeColor="text1"/>
        </w:rPr>
        <w:t>developing</w:t>
      </w:r>
      <w:r w:rsidR="01C1E8EC" w:rsidRPr="4B5EA932">
        <w:rPr>
          <w:rFonts w:ascii="Arial" w:eastAsia="Arial" w:hAnsi="Arial" w:cs="Arial"/>
          <w:color w:val="000000" w:themeColor="text1"/>
        </w:rPr>
        <w:t xml:space="preserve"> th</w:t>
      </w:r>
      <w:r w:rsidR="00E52241" w:rsidRPr="4B5EA932">
        <w:rPr>
          <w:rFonts w:ascii="Arial" w:eastAsia="Arial" w:hAnsi="Arial" w:cs="Arial"/>
          <w:color w:val="000000" w:themeColor="text1"/>
        </w:rPr>
        <w:t>e</w:t>
      </w:r>
      <w:r w:rsidR="01C1E8EC" w:rsidRPr="4B5EA932">
        <w:rPr>
          <w:rFonts w:ascii="Arial" w:eastAsia="Arial" w:hAnsi="Arial" w:cs="Arial"/>
          <w:color w:val="000000" w:themeColor="text1"/>
        </w:rPr>
        <w:t>s</w:t>
      </w:r>
      <w:r w:rsidR="00E52241" w:rsidRPr="4B5EA932">
        <w:rPr>
          <w:rFonts w:ascii="Arial" w:eastAsia="Arial" w:hAnsi="Arial" w:cs="Arial"/>
          <w:color w:val="000000" w:themeColor="text1"/>
        </w:rPr>
        <w:t>e</w:t>
      </w:r>
      <w:r w:rsidR="01C1E8EC" w:rsidRPr="4B5EA932">
        <w:rPr>
          <w:rFonts w:ascii="Arial" w:eastAsia="Arial" w:hAnsi="Arial" w:cs="Arial"/>
          <w:color w:val="000000" w:themeColor="text1"/>
        </w:rPr>
        <w:t xml:space="preserve"> type</w:t>
      </w:r>
      <w:r w:rsidR="00E52241" w:rsidRPr="4B5EA932">
        <w:rPr>
          <w:rFonts w:ascii="Arial" w:eastAsia="Arial" w:hAnsi="Arial" w:cs="Arial"/>
          <w:color w:val="000000" w:themeColor="text1"/>
        </w:rPr>
        <w:t>s</w:t>
      </w:r>
      <w:r w:rsidR="01C1E8EC" w:rsidRPr="6F2EBBBD">
        <w:rPr>
          <w:rFonts w:ascii="Arial" w:eastAsia="Arial" w:hAnsi="Arial" w:cs="Arial"/>
          <w:color w:val="000000" w:themeColor="text1"/>
        </w:rPr>
        <w:t xml:space="preserve"> of projects such </w:t>
      </w:r>
      <w:r w:rsidR="005555F2" w:rsidRPr="4B5EA932">
        <w:rPr>
          <w:rFonts w:ascii="Arial" w:eastAsia="Arial" w:hAnsi="Arial" w:cs="Arial"/>
          <w:color w:val="000000" w:themeColor="text1"/>
        </w:rPr>
        <w:t>as</w:t>
      </w:r>
      <w:r w:rsidR="01C1E8EC" w:rsidRPr="4B5EA932">
        <w:rPr>
          <w:rFonts w:ascii="Arial" w:eastAsia="Arial" w:hAnsi="Arial" w:cs="Arial"/>
          <w:color w:val="000000" w:themeColor="text1"/>
        </w:rPr>
        <w:t xml:space="preserve"> </w:t>
      </w:r>
      <w:r w:rsidR="01C1E8EC" w:rsidRPr="00585C77">
        <w:rPr>
          <w:rFonts w:ascii="Arial" w:eastAsia="Arial" w:hAnsi="Arial" w:cs="Arial"/>
          <w:i/>
          <w:color w:val="000000" w:themeColor="text1"/>
        </w:rPr>
        <w:t>Gobernación de</w:t>
      </w:r>
      <w:r w:rsidR="6D7446FC" w:rsidRPr="00585C77">
        <w:rPr>
          <w:rFonts w:ascii="Arial" w:eastAsia="Arial" w:hAnsi="Arial" w:cs="Arial"/>
          <w:i/>
          <w:color w:val="000000" w:themeColor="text1"/>
        </w:rPr>
        <w:t xml:space="preserve"> </w:t>
      </w:r>
      <w:r w:rsidR="01C1E8EC" w:rsidRPr="00585C77">
        <w:rPr>
          <w:rFonts w:ascii="Arial" w:eastAsia="Arial" w:hAnsi="Arial" w:cs="Arial"/>
          <w:i/>
          <w:color w:val="000000" w:themeColor="text1"/>
        </w:rPr>
        <w:t>Antioquia</w:t>
      </w:r>
      <w:r w:rsidR="01C1E8EC" w:rsidRPr="6F2EBBBD">
        <w:rPr>
          <w:rFonts w:ascii="Arial" w:eastAsia="Arial" w:hAnsi="Arial" w:cs="Arial"/>
          <w:color w:val="000000" w:themeColor="text1"/>
        </w:rPr>
        <w:t>,</w:t>
      </w:r>
      <w:r w:rsidR="080BE7A3" w:rsidRPr="6F2EBBBD">
        <w:rPr>
          <w:rFonts w:ascii="Arial" w:eastAsia="Arial" w:hAnsi="Arial" w:cs="Arial"/>
          <w:color w:val="000000" w:themeColor="text1"/>
        </w:rPr>
        <w:t xml:space="preserve"> and</w:t>
      </w:r>
      <w:r w:rsidR="01C1E8EC" w:rsidRPr="6F2EBBBD">
        <w:rPr>
          <w:rFonts w:ascii="Arial" w:eastAsia="Arial" w:hAnsi="Arial" w:cs="Arial"/>
          <w:color w:val="000000" w:themeColor="text1"/>
        </w:rPr>
        <w:t xml:space="preserve"> structuring agencies such as Findeter and </w:t>
      </w:r>
      <w:r w:rsidR="003D41AB" w:rsidRPr="4B5EA932">
        <w:rPr>
          <w:rFonts w:ascii="Arial" w:eastAsia="Arial" w:hAnsi="Arial" w:cs="Arial"/>
          <w:color w:val="000000" w:themeColor="text1"/>
        </w:rPr>
        <w:t xml:space="preserve">FDN. </w:t>
      </w:r>
      <w:r w:rsidRPr="6F2EBBBD" w:rsidDel="31043AE7">
        <w:rPr>
          <w:rFonts w:ascii="Arial" w:eastAsia="Arial" w:hAnsi="Arial" w:cs="Arial"/>
          <w:color w:val="000000" w:themeColor="text1"/>
        </w:rPr>
        <w:t xml:space="preserve"> </w:t>
      </w:r>
      <w:r w:rsidRPr="00F90A46">
        <w:rPr>
          <w:rFonts w:ascii="Arial" w:eastAsia="Arial" w:hAnsi="Arial" w:cs="Arial"/>
          <w:color w:val="000000" w:themeColor="text1"/>
        </w:rPr>
        <w:t>Indirectly, the private sector will benefit from improvements in the procedures to engage in PPP initiatives</w:t>
      </w:r>
      <w:r w:rsidR="67216F5D" w:rsidRPr="4B5EA932">
        <w:rPr>
          <w:rFonts w:ascii="Arial" w:eastAsia="Arial" w:hAnsi="Arial" w:cs="Arial"/>
          <w:color w:val="000000" w:themeColor="text1"/>
        </w:rPr>
        <w:t>.</w:t>
      </w:r>
    </w:p>
    <w:p w14:paraId="44E4742E" w14:textId="77777777" w:rsidR="00F90A46" w:rsidRPr="00F90A46" w:rsidRDefault="00F90A46" w:rsidP="006E6818">
      <w:pPr>
        <w:pStyle w:val="ListParagraph"/>
        <w:spacing w:line="240" w:lineRule="auto"/>
        <w:rPr>
          <w:rFonts w:ascii="Arial" w:eastAsia="Arial" w:hAnsi="Arial" w:cs="Arial"/>
          <w:b/>
          <w:bCs/>
          <w:color w:val="000000" w:themeColor="text1"/>
        </w:rPr>
      </w:pPr>
    </w:p>
    <w:p w14:paraId="075CD558" w14:textId="4684308B" w:rsidR="00F90A46" w:rsidRPr="006E6818" w:rsidRDefault="31043AE7" w:rsidP="006E6818">
      <w:pPr>
        <w:pStyle w:val="ListParagraph"/>
        <w:numPr>
          <w:ilvl w:val="1"/>
          <w:numId w:val="22"/>
        </w:numPr>
        <w:spacing w:before="120" w:after="120" w:line="240" w:lineRule="auto"/>
        <w:jc w:val="both"/>
        <w:rPr>
          <w:rFonts w:ascii="Arial" w:eastAsia="Arial" w:hAnsi="Arial" w:cs="Arial"/>
          <w:color w:val="000000" w:themeColor="text1"/>
        </w:rPr>
      </w:pPr>
      <w:r w:rsidRPr="00F90A46">
        <w:rPr>
          <w:rFonts w:ascii="Arial" w:eastAsia="Arial" w:hAnsi="Arial" w:cs="Arial"/>
          <w:b/>
          <w:bCs/>
          <w:color w:val="000000" w:themeColor="text1"/>
        </w:rPr>
        <w:t xml:space="preserve">Strategic alignment. </w:t>
      </w:r>
      <w:r w:rsidRPr="00F90A46">
        <w:rPr>
          <w:rFonts w:ascii="Arial" w:eastAsia="Arial" w:hAnsi="Arial" w:cs="Arial"/>
          <w:color w:val="000000" w:themeColor="text1"/>
        </w:rPr>
        <w:t>This TC is consistent with the updated Institutional Strategy of the Inter-American Development Bank Group 2020-2024 (AB-3190-2) and is aligned with the development challenge of (i) environmental sustainability, by supporting the adaptation and mitigation of the impact of the transport</w:t>
      </w:r>
      <w:r w:rsidR="008E21CA">
        <w:rPr>
          <w:rFonts w:ascii="Arial" w:eastAsia="Arial" w:hAnsi="Arial" w:cs="Arial"/>
          <w:color w:val="000000" w:themeColor="text1"/>
        </w:rPr>
        <w:t>ation</w:t>
      </w:r>
      <w:r w:rsidRPr="00F90A46">
        <w:rPr>
          <w:rFonts w:ascii="Arial" w:eastAsia="Arial" w:hAnsi="Arial" w:cs="Arial"/>
          <w:color w:val="000000" w:themeColor="text1"/>
        </w:rPr>
        <w:t xml:space="preserve"> sector on CC in Colombia; (ii) institutional capacity and rule of l</w:t>
      </w:r>
      <w:r w:rsidR="002A0FB3">
        <w:rPr>
          <w:rFonts w:ascii="Arial" w:eastAsia="Arial" w:hAnsi="Arial" w:cs="Arial"/>
          <w:color w:val="000000" w:themeColor="text1"/>
        </w:rPr>
        <w:t>a</w:t>
      </w:r>
      <w:r w:rsidRPr="00F90A46">
        <w:rPr>
          <w:rFonts w:ascii="Arial" w:eastAsia="Arial" w:hAnsi="Arial" w:cs="Arial"/>
          <w:color w:val="000000" w:themeColor="text1"/>
        </w:rPr>
        <w:t>w, by building capacity of the transport</w:t>
      </w:r>
      <w:r w:rsidR="002A0FB3">
        <w:rPr>
          <w:rFonts w:ascii="Arial" w:eastAsia="Arial" w:hAnsi="Arial" w:cs="Arial"/>
          <w:color w:val="000000" w:themeColor="text1"/>
        </w:rPr>
        <w:t>ation</w:t>
      </w:r>
      <w:r w:rsidRPr="00F90A46">
        <w:rPr>
          <w:rFonts w:ascii="Arial" w:eastAsia="Arial" w:hAnsi="Arial" w:cs="Arial"/>
          <w:color w:val="000000" w:themeColor="text1"/>
        </w:rPr>
        <w:t xml:space="preserve"> public sector agencies to overcome bottleneck </w:t>
      </w:r>
      <w:r w:rsidR="006E2158">
        <w:rPr>
          <w:rFonts w:ascii="Arial" w:eastAsia="Arial" w:hAnsi="Arial" w:cs="Arial"/>
          <w:color w:val="000000" w:themeColor="text1"/>
        </w:rPr>
        <w:t xml:space="preserve">and delays </w:t>
      </w:r>
      <w:r w:rsidRPr="00F90A46">
        <w:rPr>
          <w:rFonts w:ascii="Arial" w:eastAsia="Arial" w:hAnsi="Arial" w:cs="Arial"/>
          <w:color w:val="000000" w:themeColor="text1"/>
        </w:rPr>
        <w:t>during the operation of the projects and to better include social and environmental criteria within the projects; (iii) productivity and innovation, by promoting the identification of innovative financial mechanism</w:t>
      </w:r>
      <w:r w:rsidR="006E2158">
        <w:rPr>
          <w:rFonts w:ascii="Arial" w:eastAsia="Arial" w:hAnsi="Arial" w:cs="Arial"/>
          <w:color w:val="000000" w:themeColor="text1"/>
        </w:rPr>
        <w:t>s</w:t>
      </w:r>
      <w:r w:rsidRPr="00F90A46">
        <w:rPr>
          <w:rFonts w:ascii="Arial" w:eastAsia="Arial" w:hAnsi="Arial" w:cs="Arial"/>
          <w:color w:val="000000" w:themeColor="text1"/>
        </w:rPr>
        <w:t xml:space="preserve"> to fund sustainable infrastructure and overcome difficulties for private sector participation</w:t>
      </w:r>
      <w:r w:rsidR="003473D0">
        <w:rPr>
          <w:rFonts w:ascii="Arial" w:eastAsia="Arial" w:hAnsi="Arial" w:cs="Arial"/>
          <w:color w:val="000000" w:themeColor="text1"/>
        </w:rPr>
        <w:t>.</w:t>
      </w:r>
      <w:r w:rsidRPr="00F90A46">
        <w:rPr>
          <w:rFonts w:ascii="Arial" w:eastAsia="Arial" w:hAnsi="Arial" w:cs="Arial"/>
          <w:color w:val="000000" w:themeColor="text1"/>
        </w:rPr>
        <w:t xml:space="preserve"> The TC also aligns with the IDB Group Country Strategy with Colombia 2019-2022 (GN-2972), in the strategic area of increasing the productivity of the economy through raising the quality of infrastructure, reducing transaction costs in the economy, and improving the international positioning of goods produced in Colombia.</w:t>
      </w:r>
      <w:r w:rsidR="006E6818">
        <w:rPr>
          <w:rFonts w:ascii="Arial" w:eastAsia="Arial" w:hAnsi="Arial" w:cs="Arial"/>
          <w:color w:val="000000" w:themeColor="text1"/>
        </w:rPr>
        <w:t xml:space="preserve"> </w:t>
      </w:r>
      <w:r w:rsidRPr="006E6818">
        <w:rPr>
          <w:rFonts w:ascii="Arial" w:eastAsia="Arial" w:hAnsi="Arial" w:cs="Arial"/>
          <w:color w:val="000000" w:themeColor="text1"/>
        </w:rPr>
        <w:t>Likewise, the TC is aligned with the Transportation Sector Framework Document (SFD) (GN-2740-7) and its focus on “Promote efficient, inclusive, sustainable and quality urban and interurban passenger mobility” and “Promote the technological transformation of the sector”</w:t>
      </w:r>
      <w:r w:rsidR="00B66F3D" w:rsidRPr="006E6818">
        <w:rPr>
          <w:rFonts w:ascii="Arial" w:eastAsia="Arial" w:hAnsi="Arial" w:cs="Arial"/>
          <w:color w:val="000000" w:themeColor="text1"/>
        </w:rPr>
        <w:t xml:space="preserve">. </w:t>
      </w:r>
      <w:r w:rsidR="00FB4319" w:rsidRPr="006E6818">
        <w:rPr>
          <w:rFonts w:ascii="Arial" w:eastAsia="Arial" w:hAnsi="Arial" w:cs="Arial"/>
          <w:color w:val="000000" w:themeColor="text1"/>
        </w:rPr>
        <w:t>It is also aligned</w:t>
      </w:r>
      <w:r w:rsidRPr="006E6818">
        <w:rPr>
          <w:rFonts w:ascii="Arial" w:eastAsia="Arial" w:hAnsi="Arial" w:cs="Arial"/>
          <w:color w:val="000000" w:themeColor="text1"/>
        </w:rPr>
        <w:t xml:space="preserve"> with the Climate Change SFD (GN-2835-8), as it will contribute to “make CC considerations more central to the transport</w:t>
      </w:r>
      <w:r w:rsidR="00C17FF7" w:rsidRPr="006E6818">
        <w:rPr>
          <w:rFonts w:ascii="Arial" w:eastAsia="Arial" w:hAnsi="Arial" w:cs="Arial"/>
          <w:color w:val="000000" w:themeColor="text1"/>
        </w:rPr>
        <w:t>ation</w:t>
      </w:r>
      <w:r w:rsidRPr="006E6818">
        <w:rPr>
          <w:rFonts w:ascii="Arial" w:eastAsia="Arial" w:hAnsi="Arial" w:cs="Arial"/>
          <w:color w:val="000000" w:themeColor="text1"/>
        </w:rPr>
        <w:t xml:space="preserve"> sector actions”. It</w:t>
      </w:r>
      <w:r w:rsidR="00CE66D6" w:rsidRPr="006E6818">
        <w:rPr>
          <w:rFonts w:ascii="Arial" w:eastAsia="Arial" w:hAnsi="Arial" w:cs="Arial"/>
          <w:color w:val="000000" w:themeColor="text1"/>
        </w:rPr>
        <w:t xml:space="preserve"> is </w:t>
      </w:r>
      <w:r w:rsidRPr="006E6818">
        <w:rPr>
          <w:rFonts w:ascii="Arial" w:eastAsia="Arial" w:hAnsi="Arial" w:cs="Arial"/>
          <w:color w:val="000000" w:themeColor="text1"/>
        </w:rPr>
        <w:t xml:space="preserve">aligned </w:t>
      </w:r>
      <w:r w:rsidR="00CE66D6" w:rsidRPr="006E6818">
        <w:rPr>
          <w:rFonts w:ascii="Arial" w:eastAsia="Arial" w:hAnsi="Arial" w:cs="Arial"/>
          <w:color w:val="000000" w:themeColor="text1"/>
        </w:rPr>
        <w:t xml:space="preserve">as well </w:t>
      </w:r>
      <w:r w:rsidRPr="006E6818">
        <w:rPr>
          <w:rFonts w:ascii="Arial" w:eastAsia="Arial" w:hAnsi="Arial" w:cs="Arial"/>
          <w:color w:val="000000" w:themeColor="text1"/>
        </w:rPr>
        <w:t>with the Sustainable Infrastructure for Competitiveness and Inclusive Growth IDB Infrastructure Strategy (GN-2710-5), by supporting the development of sustainable transport</w:t>
      </w:r>
      <w:r w:rsidR="0027219A" w:rsidRPr="006E6818">
        <w:rPr>
          <w:rFonts w:ascii="Arial" w:eastAsia="Arial" w:hAnsi="Arial" w:cs="Arial"/>
          <w:color w:val="000000" w:themeColor="text1"/>
        </w:rPr>
        <w:t>ation</w:t>
      </w:r>
      <w:r w:rsidRPr="006E6818">
        <w:rPr>
          <w:rFonts w:ascii="Arial" w:eastAsia="Arial" w:hAnsi="Arial" w:cs="Arial"/>
          <w:color w:val="000000" w:themeColor="text1"/>
        </w:rPr>
        <w:t xml:space="preserve"> infrastructure.</w:t>
      </w:r>
    </w:p>
    <w:p w14:paraId="0F714B31" w14:textId="77777777" w:rsidR="00F90A46" w:rsidRPr="00F90A46" w:rsidRDefault="00F90A46" w:rsidP="006E6818">
      <w:pPr>
        <w:pStyle w:val="ListParagraph"/>
        <w:spacing w:line="240" w:lineRule="auto"/>
        <w:rPr>
          <w:rFonts w:ascii="Arial" w:eastAsia="Arial" w:hAnsi="Arial" w:cs="Arial"/>
          <w:b/>
          <w:bCs/>
          <w:color w:val="000000" w:themeColor="text1"/>
        </w:rPr>
      </w:pPr>
    </w:p>
    <w:p w14:paraId="662C6C9B" w14:textId="6CB482C8" w:rsidR="00472C12" w:rsidRPr="00F90A46" w:rsidRDefault="31043AE7" w:rsidP="006E6818">
      <w:pPr>
        <w:pStyle w:val="ListParagraph"/>
        <w:numPr>
          <w:ilvl w:val="1"/>
          <w:numId w:val="22"/>
        </w:numPr>
        <w:spacing w:before="240" w:after="120" w:line="240" w:lineRule="auto"/>
        <w:jc w:val="both"/>
        <w:rPr>
          <w:rFonts w:ascii="Arial" w:eastAsia="Arial" w:hAnsi="Arial" w:cs="Arial"/>
          <w:color w:val="000000" w:themeColor="text1"/>
        </w:rPr>
      </w:pPr>
      <w:r w:rsidRPr="00A560A3">
        <w:rPr>
          <w:rFonts w:ascii="Arial" w:eastAsia="Arial" w:hAnsi="Arial" w:cs="Arial"/>
          <w:b/>
          <w:bCs/>
          <w:color w:val="000000" w:themeColor="text1"/>
        </w:rPr>
        <w:t>Synergies:</w:t>
      </w:r>
      <w:r w:rsidRPr="00F90A46">
        <w:rPr>
          <w:rFonts w:ascii="Arial" w:eastAsia="Arial" w:hAnsi="Arial" w:cs="Arial"/>
          <w:b/>
          <w:bCs/>
          <w:color w:val="000000" w:themeColor="text1"/>
        </w:rPr>
        <w:t xml:space="preserve"> </w:t>
      </w:r>
      <w:r w:rsidRPr="00F90A46">
        <w:rPr>
          <w:rFonts w:ascii="Arial" w:eastAsia="Arial" w:hAnsi="Arial" w:cs="Arial"/>
          <w:color w:val="000000" w:themeColor="text1"/>
        </w:rPr>
        <w:t>This TC is complementary to previous</w:t>
      </w:r>
      <w:r w:rsidR="00930FF2">
        <w:rPr>
          <w:rFonts w:ascii="Arial" w:eastAsia="Arial" w:hAnsi="Arial" w:cs="Arial"/>
          <w:color w:val="000000" w:themeColor="text1"/>
        </w:rPr>
        <w:t xml:space="preserve"> and ongoing</w:t>
      </w:r>
      <w:r w:rsidRPr="00F90A46">
        <w:rPr>
          <w:rFonts w:ascii="Arial" w:eastAsia="Arial" w:hAnsi="Arial" w:cs="Arial"/>
          <w:color w:val="000000" w:themeColor="text1"/>
        </w:rPr>
        <w:t xml:space="preserve"> </w:t>
      </w:r>
      <w:r w:rsidR="006F761D">
        <w:rPr>
          <w:rFonts w:ascii="Arial" w:eastAsia="Arial" w:hAnsi="Arial" w:cs="Arial"/>
          <w:color w:val="000000" w:themeColor="text1"/>
        </w:rPr>
        <w:t xml:space="preserve">IDB </w:t>
      </w:r>
      <w:r w:rsidRPr="00F90A46">
        <w:rPr>
          <w:rFonts w:ascii="Arial" w:eastAsia="Arial" w:hAnsi="Arial" w:cs="Arial"/>
          <w:color w:val="000000" w:themeColor="text1"/>
        </w:rPr>
        <w:t>works in Colombia</w:t>
      </w:r>
      <w:r w:rsidR="00E82DBB">
        <w:rPr>
          <w:rFonts w:ascii="Arial" w:eastAsia="Arial" w:hAnsi="Arial" w:cs="Arial"/>
          <w:color w:val="000000" w:themeColor="text1"/>
        </w:rPr>
        <w:t xml:space="preserve"> </w:t>
      </w:r>
      <w:r w:rsidR="00E82DBB" w:rsidRPr="00E82DBB">
        <w:rPr>
          <w:rFonts w:ascii="Arial" w:eastAsia="Arial" w:hAnsi="Arial" w:cs="Arial"/>
          <w:color w:val="000000" w:themeColor="text1"/>
        </w:rPr>
        <w:t>with which</w:t>
      </w:r>
      <w:r w:rsidR="00E82DBB">
        <w:rPr>
          <w:rFonts w:ascii="Arial" w:eastAsia="Arial" w:hAnsi="Arial" w:cs="Arial"/>
          <w:color w:val="000000" w:themeColor="text1"/>
        </w:rPr>
        <w:t xml:space="preserve"> activities and</w:t>
      </w:r>
      <w:r w:rsidR="00E82DBB" w:rsidRPr="00E82DBB">
        <w:rPr>
          <w:rFonts w:ascii="Arial" w:eastAsia="Arial" w:hAnsi="Arial" w:cs="Arial"/>
          <w:color w:val="000000" w:themeColor="text1"/>
        </w:rPr>
        <w:t xml:space="preserve"> results will be coordinated.</w:t>
      </w:r>
      <w:r w:rsidR="00884E4A">
        <w:rPr>
          <w:rFonts w:ascii="Arial" w:eastAsia="Arial" w:hAnsi="Arial" w:cs="Arial"/>
          <w:color w:val="000000" w:themeColor="text1"/>
        </w:rPr>
        <w:t xml:space="preserve"> T</w:t>
      </w:r>
      <w:r w:rsidRPr="00F90A46">
        <w:rPr>
          <w:rFonts w:ascii="Arial" w:eastAsia="Arial" w:hAnsi="Arial" w:cs="Arial"/>
          <w:color w:val="000000" w:themeColor="text1"/>
        </w:rPr>
        <w:t>he Transport Division</w:t>
      </w:r>
      <w:r w:rsidR="0018048D">
        <w:rPr>
          <w:rFonts w:ascii="Arial" w:eastAsia="Arial" w:hAnsi="Arial" w:cs="Arial"/>
          <w:color w:val="000000" w:themeColor="text1"/>
        </w:rPr>
        <w:t xml:space="preserve"> </w:t>
      </w:r>
      <w:r w:rsidR="00F77E8D">
        <w:rPr>
          <w:rFonts w:ascii="Arial" w:eastAsia="Arial" w:hAnsi="Arial" w:cs="Arial"/>
          <w:color w:val="000000" w:themeColor="text1"/>
        </w:rPr>
        <w:t xml:space="preserve">is </w:t>
      </w:r>
      <w:r w:rsidRPr="00F90A46">
        <w:rPr>
          <w:rFonts w:ascii="Arial" w:eastAsia="Arial" w:hAnsi="Arial" w:cs="Arial"/>
          <w:color w:val="000000" w:themeColor="text1"/>
        </w:rPr>
        <w:t>support</w:t>
      </w:r>
      <w:r w:rsidR="00F77E8D">
        <w:rPr>
          <w:rFonts w:ascii="Arial" w:eastAsia="Arial" w:hAnsi="Arial" w:cs="Arial"/>
          <w:color w:val="000000" w:themeColor="text1"/>
        </w:rPr>
        <w:t>ing</w:t>
      </w:r>
      <w:r w:rsidRPr="00F90A46">
        <w:rPr>
          <w:rFonts w:ascii="Arial" w:eastAsia="Arial" w:hAnsi="Arial" w:cs="Arial"/>
          <w:color w:val="000000" w:themeColor="text1"/>
        </w:rPr>
        <w:t xml:space="preserve"> the promotion of sustainable intermodal infrastructure </w:t>
      </w:r>
      <w:r w:rsidR="00F77E8D">
        <w:rPr>
          <w:rFonts w:ascii="Arial" w:eastAsia="Arial" w:hAnsi="Arial" w:cs="Arial"/>
          <w:color w:val="000000" w:themeColor="text1"/>
        </w:rPr>
        <w:t>with various operations</w:t>
      </w:r>
      <w:r w:rsidRPr="00F90A46">
        <w:rPr>
          <w:rFonts w:ascii="Arial" w:eastAsia="Arial" w:hAnsi="Arial" w:cs="Arial"/>
          <w:color w:val="000000" w:themeColor="text1"/>
        </w:rPr>
        <w:t xml:space="preserve"> (3130/OC-CO; 5229/OC-CO; ATN/OC-16766-CO; ATN/OC</w:t>
      </w:r>
      <w:r w:rsidR="00323F71">
        <w:rPr>
          <w:rFonts w:ascii="Arial" w:eastAsia="Arial" w:hAnsi="Arial" w:cs="Arial"/>
          <w:color w:val="000000" w:themeColor="text1"/>
        </w:rPr>
        <w:noBreakHyphen/>
      </w:r>
      <w:r w:rsidRPr="00F90A46">
        <w:rPr>
          <w:rFonts w:ascii="Arial" w:eastAsia="Arial" w:hAnsi="Arial" w:cs="Arial"/>
          <w:color w:val="000000" w:themeColor="text1"/>
        </w:rPr>
        <w:t>17290-CO; ATN/OC-17310-CO)</w:t>
      </w:r>
      <w:r w:rsidR="00F77E8D">
        <w:rPr>
          <w:rFonts w:ascii="Arial" w:eastAsia="Arial" w:hAnsi="Arial" w:cs="Arial"/>
          <w:color w:val="000000" w:themeColor="text1"/>
        </w:rPr>
        <w:t>,</w:t>
      </w:r>
      <w:r w:rsidRPr="00F90A46" w:rsidDel="007B0410">
        <w:rPr>
          <w:rFonts w:ascii="Arial" w:eastAsia="Arial" w:hAnsi="Arial" w:cs="Arial"/>
          <w:color w:val="000000" w:themeColor="text1"/>
        </w:rPr>
        <w:t xml:space="preserve"> as well as </w:t>
      </w:r>
      <w:r w:rsidR="00672520">
        <w:rPr>
          <w:rFonts w:ascii="Arial" w:eastAsia="Arial" w:hAnsi="Arial" w:cs="Arial"/>
          <w:color w:val="000000" w:themeColor="text1"/>
        </w:rPr>
        <w:t>with</w:t>
      </w:r>
      <w:r w:rsidRPr="00F90A46">
        <w:rPr>
          <w:rFonts w:ascii="Arial" w:eastAsia="Arial" w:hAnsi="Arial" w:cs="Arial"/>
          <w:color w:val="000000" w:themeColor="text1"/>
        </w:rPr>
        <w:t xml:space="preserve"> two TC</w:t>
      </w:r>
      <w:r w:rsidR="008607BD">
        <w:rPr>
          <w:rFonts w:ascii="Arial" w:eastAsia="Arial" w:hAnsi="Arial" w:cs="Arial"/>
          <w:color w:val="000000" w:themeColor="text1"/>
        </w:rPr>
        <w:t>s</w:t>
      </w:r>
      <w:r w:rsidRPr="00F90A46">
        <w:rPr>
          <w:rFonts w:ascii="Arial" w:eastAsia="Arial" w:hAnsi="Arial" w:cs="Arial"/>
          <w:color w:val="000000" w:themeColor="text1"/>
        </w:rPr>
        <w:t xml:space="preserve"> on </w:t>
      </w:r>
      <w:r w:rsidR="003C5695">
        <w:rPr>
          <w:rFonts w:ascii="Arial" w:eastAsia="Arial" w:hAnsi="Arial" w:cs="Arial"/>
          <w:color w:val="000000" w:themeColor="text1"/>
        </w:rPr>
        <w:t>c</w:t>
      </w:r>
      <w:r w:rsidRPr="00F90A46">
        <w:rPr>
          <w:rFonts w:ascii="Arial" w:eastAsia="Arial" w:hAnsi="Arial" w:cs="Arial"/>
          <w:color w:val="000000" w:themeColor="text1"/>
        </w:rPr>
        <w:t>limate change and transport</w:t>
      </w:r>
      <w:r w:rsidR="003C5695">
        <w:rPr>
          <w:rFonts w:ascii="Arial" w:eastAsia="Arial" w:hAnsi="Arial" w:cs="Arial"/>
          <w:color w:val="000000" w:themeColor="text1"/>
        </w:rPr>
        <w:t>ation</w:t>
      </w:r>
      <w:r w:rsidRPr="00F90A46">
        <w:rPr>
          <w:rFonts w:ascii="Arial" w:eastAsia="Arial" w:hAnsi="Arial" w:cs="Arial"/>
          <w:color w:val="000000" w:themeColor="text1"/>
        </w:rPr>
        <w:t xml:space="preserve"> in Colombia</w:t>
      </w:r>
      <w:r w:rsidR="00025D87">
        <w:rPr>
          <w:rFonts w:ascii="Arial" w:eastAsia="Arial" w:hAnsi="Arial" w:cs="Arial"/>
          <w:color w:val="000000" w:themeColor="text1"/>
        </w:rPr>
        <w:t xml:space="preserve"> financed by the UKSIP</w:t>
      </w:r>
      <w:r w:rsidRPr="00F90A46">
        <w:rPr>
          <w:rFonts w:ascii="Arial" w:eastAsia="Arial" w:hAnsi="Arial" w:cs="Arial"/>
          <w:color w:val="000000" w:themeColor="text1"/>
        </w:rPr>
        <w:t xml:space="preserve"> (ATN/PI-19369-CO and  ATN/PI-17108-RG</w:t>
      </w:r>
      <w:r w:rsidR="00025D87">
        <w:rPr>
          <w:rFonts w:ascii="Arial" w:eastAsia="Arial" w:hAnsi="Arial" w:cs="Arial"/>
          <w:color w:val="000000" w:themeColor="text1"/>
        </w:rPr>
        <w:t>)</w:t>
      </w:r>
      <w:r w:rsidRPr="00F90A46">
        <w:rPr>
          <w:rFonts w:ascii="Arial" w:eastAsia="Arial" w:hAnsi="Arial" w:cs="Arial"/>
          <w:color w:val="000000" w:themeColor="text1"/>
        </w:rPr>
        <w:t xml:space="preserve">. This last TC allowed to kick-off a dialogue between IDB and the GoC, as well as to carry out a first phase of the work on Sustainable Infrastructure with ANI, including (i) </w:t>
      </w:r>
      <w:r w:rsidR="00A21A57">
        <w:rPr>
          <w:rFonts w:ascii="Arial" w:eastAsia="Arial" w:hAnsi="Arial" w:cs="Arial"/>
          <w:color w:val="000000" w:themeColor="text1"/>
        </w:rPr>
        <w:t>s</w:t>
      </w:r>
      <w:r w:rsidRPr="00F90A46">
        <w:rPr>
          <w:rFonts w:ascii="Arial" w:eastAsia="Arial" w:hAnsi="Arial" w:cs="Arial"/>
          <w:color w:val="000000" w:themeColor="text1"/>
        </w:rPr>
        <w:t xml:space="preserve">ustainable </w:t>
      </w:r>
      <w:r w:rsidR="00366948">
        <w:rPr>
          <w:rFonts w:ascii="Arial" w:eastAsia="Arial" w:hAnsi="Arial" w:cs="Arial"/>
          <w:color w:val="000000" w:themeColor="text1"/>
        </w:rPr>
        <w:t>i</w:t>
      </w:r>
      <w:r w:rsidRPr="00F90A46">
        <w:rPr>
          <w:rFonts w:ascii="Arial" w:eastAsia="Arial" w:hAnsi="Arial" w:cs="Arial"/>
          <w:color w:val="000000" w:themeColor="text1"/>
        </w:rPr>
        <w:t>nfrastructure indicators to assess 5G projects within the ANISCOPIO platform; (ii)</w:t>
      </w:r>
      <w:r w:rsidR="004020DB">
        <w:rPr>
          <w:rFonts w:ascii="Arial" w:eastAsia="Arial" w:hAnsi="Arial" w:cs="Arial"/>
          <w:color w:val="000000" w:themeColor="text1"/>
        </w:rPr>
        <w:t xml:space="preserve"> development of a</w:t>
      </w:r>
      <w:r w:rsidRPr="00F90A46">
        <w:rPr>
          <w:rFonts w:ascii="Arial" w:eastAsia="Arial" w:hAnsi="Arial" w:cs="Arial"/>
          <w:color w:val="000000" w:themeColor="text1"/>
        </w:rPr>
        <w:t xml:space="preserve"> </w:t>
      </w:r>
      <w:r w:rsidR="00A21A57">
        <w:rPr>
          <w:rFonts w:ascii="Arial" w:eastAsia="Arial" w:hAnsi="Arial" w:cs="Arial"/>
          <w:color w:val="000000" w:themeColor="text1"/>
        </w:rPr>
        <w:t>t</w:t>
      </w:r>
      <w:r w:rsidRPr="00F90A46">
        <w:rPr>
          <w:rFonts w:ascii="Arial" w:eastAsia="Arial" w:hAnsi="Arial" w:cs="Arial"/>
          <w:color w:val="000000" w:themeColor="text1"/>
        </w:rPr>
        <w:t>oolkit for climate resilience assessments for PPP projects</w:t>
      </w:r>
      <w:r w:rsidR="002266C5">
        <w:rPr>
          <w:rFonts w:ascii="Arial" w:eastAsia="Arial" w:hAnsi="Arial" w:cs="Arial"/>
          <w:color w:val="000000" w:themeColor="text1"/>
        </w:rPr>
        <w:t>, from which this project will build</w:t>
      </w:r>
      <w:r w:rsidR="00C20F60">
        <w:rPr>
          <w:rFonts w:ascii="Arial" w:eastAsia="Arial" w:hAnsi="Arial" w:cs="Arial"/>
          <w:color w:val="000000" w:themeColor="text1"/>
        </w:rPr>
        <w:t xml:space="preserve"> upon</w:t>
      </w:r>
      <w:r w:rsidRPr="00F90A46">
        <w:rPr>
          <w:rFonts w:ascii="Arial" w:eastAsia="Arial" w:hAnsi="Arial" w:cs="Arial"/>
          <w:color w:val="000000" w:themeColor="text1"/>
        </w:rPr>
        <w:t xml:space="preserve">. </w:t>
      </w:r>
      <w:r w:rsidR="001F4B67">
        <w:rPr>
          <w:rFonts w:ascii="Arial" w:eastAsia="Arial" w:hAnsi="Arial" w:cs="Arial"/>
          <w:color w:val="000000" w:themeColor="text1"/>
        </w:rPr>
        <w:t xml:space="preserve">It will also </w:t>
      </w:r>
      <w:r w:rsidR="001E44CC">
        <w:rPr>
          <w:rFonts w:ascii="Arial" w:eastAsia="Arial" w:hAnsi="Arial" w:cs="Arial"/>
          <w:color w:val="000000" w:themeColor="text1"/>
        </w:rPr>
        <w:t xml:space="preserve">consider </w:t>
      </w:r>
      <w:r w:rsidR="00BE2958">
        <w:rPr>
          <w:rFonts w:ascii="Arial" w:eastAsia="Arial" w:hAnsi="Arial" w:cs="Arial"/>
          <w:color w:val="000000" w:themeColor="text1"/>
        </w:rPr>
        <w:t>useful insight</w:t>
      </w:r>
      <w:r w:rsidR="000230A8">
        <w:rPr>
          <w:rFonts w:ascii="Arial" w:eastAsia="Arial" w:hAnsi="Arial" w:cs="Arial"/>
          <w:color w:val="000000" w:themeColor="text1"/>
        </w:rPr>
        <w:t>s</w:t>
      </w:r>
      <w:r w:rsidR="00BE2958">
        <w:rPr>
          <w:rFonts w:ascii="Arial" w:eastAsia="Arial" w:hAnsi="Arial" w:cs="Arial"/>
          <w:color w:val="000000" w:themeColor="text1"/>
        </w:rPr>
        <w:t xml:space="preserve"> from </w:t>
      </w:r>
      <w:r w:rsidR="00157029">
        <w:rPr>
          <w:rFonts w:ascii="Arial" w:eastAsia="Arial" w:hAnsi="Arial" w:cs="Arial"/>
          <w:color w:val="000000" w:themeColor="text1"/>
        </w:rPr>
        <w:t xml:space="preserve">regional projects </w:t>
      </w:r>
      <w:r w:rsidR="00FB261C">
        <w:rPr>
          <w:rFonts w:ascii="Arial" w:eastAsia="Arial" w:hAnsi="Arial" w:cs="Arial"/>
          <w:color w:val="000000" w:themeColor="text1"/>
        </w:rPr>
        <w:t>focused on PPPs such as</w:t>
      </w:r>
      <w:r w:rsidR="000230A8">
        <w:rPr>
          <w:rFonts w:ascii="Arial" w:eastAsia="Arial" w:hAnsi="Arial" w:cs="Arial"/>
          <w:color w:val="000000" w:themeColor="text1"/>
        </w:rPr>
        <w:t>: (i)</w:t>
      </w:r>
      <w:r w:rsidR="00FB261C">
        <w:rPr>
          <w:rFonts w:ascii="Arial" w:eastAsia="Arial" w:hAnsi="Arial" w:cs="Arial"/>
          <w:color w:val="000000" w:themeColor="text1"/>
        </w:rPr>
        <w:t xml:space="preserve"> </w:t>
      </w:r>
      <w:r w:rsidR="008E235C">
        <w:rPr>
          <w:rFonts w:ascii="Arial" w:eastAsia="Arial" w:hAnsi="Arial" w:cs="Arial"/>
          <w:color w:val="000000" w:themeColor="text1"/>
        </w:rPr>
        <w:t>the</w:t>
      </w:r>
      <w:r w:rsidRPr="00F90A46">
        <w:rPr>
          <w:rFonts w:ascii="Arial" w:eastAsia="Calibri" w:hAnsi="Arial" w:cs="Arial"/>
          <w:color w:val="000000" w:themeColor="text1"/>
        </w:rPr>
        <w:t xml:space="preserve"> </w:t>
      </w:r>
      <w:r w:rsidR="008E235C" w:rsidRPr="008E235C">
        <w:rPr>
          <w:rFonts w:ascii="Arial" w:eastAsia="Calibri" w:hAnsi="Arial" w:cs="Arial"/>
          <w:color w:val="000000" w:themeColor="text1"/>
        </w:rPr>
        <w:t>ATN/MC-15636-RG</w:t>
      </w:r>
      <w:r w:rsidR="007B1AF1">
        <w:rPr>
          <w:rFonts w:ascii="Arial" w:eastAsia="Calibri" w:hAnsi="Arial" w:cs="Arial"/>
          <w:color w:val="000000" w:themeColor="text1"/>
        </w:rPr>
        <w:t xml:space="preserve"> </w:t>
      </w:r>
      <w:r w:rsidR="00FB261C">
        <w:rPr>
          <w:rFonts w:ascii="Arial" w:eastAsia="Calibri" w:hAnsi="Arial" w:cs="Arial"/>
          <w:color w:val="000000" w:themeColor="text1"/>
        </w:rPr>
        <w:t>which developed a</w:t>
      </w:r>
      <w:r w:rsidR="005E7D77">
        <w:rPr>
          <w:rFonts w:ascii="Arial" w:eastAsia="Calibri" w:hAnsi="Arial" w:cs="Arial"/>
          <w:color w:val="000000" w:themeColor="text1"/>
        </w:rPr>
        <w:t xml:space="preserve"> “</w:t>
      </w:r>
      <w:hyperlink r:id="rId20" w:history="1">
        <w:r w:rsidR="005E7D77" w:rsidRPr="00B4049B">
          <w:rPr>
            <w:rStyle w:val="Hyperlink"/>
            <w:rFonts w:ascii="Arial" w:eastAsia="Calibri" w:hAnsi="Arial" w:cs="Arial"/>
          </w:rPr>
          <w:t>Climate Resilient Public Private Partnerships Toolkit for Decision Makers</w:t>
        </w:r>
      </w:hyperlink>
      <w:r w:rsidR="005E7D77">
        <w:rPr>
          <w:rFonts w:ascii="Arial" w:eastAsia="Calibri" w:hAnsi="Arial" w:cs="Arial"/>
          <w:color w:val="000000" w:themeColor="text1"/>
        </w:rPr>
        <w:t>”</w:t>
      </w:r>
      <w:r w:rsidR="00B4049B">
        <w:rPr>
          <w:rFonts w:ascii="Arial" w:eastAsia="Calibri" w:hAnsi="Arial" w:cs="Arial"/>
          <w:color w:val="000000" w:themeColor="text1"/>
        </w:rPr>
        <w:t xml:space="preserve">; </w:t>
      </w:r>
      <w:r w:rsidR="000230A8">
        <w:rPr>
          <w:rFonts w:ascii="Arial" w:eastAsia="Calibri" w:hAnsi="Arial" w:cs="Arial"/>
          <w:color w:val="000000" w:themeColor="text1"/>
        </w:rPr>
        <w:t xml:space="preserve">(ii) </w:t>
      </w:r>
      <w:r w:rsidR="009160CB" w:rsidRPr="009160CB">
        <w:rPr>
          <w:rFonts w:ascii="Arial" w:eastAsia="Calibri" w:hAnsi="Arial" w:cs="Arial"/>
          <w:color w:val="000000" w:themeColor="text1"/>
        </w:rPr>
        <w:t>ATN/CF-17992-RG</w:t>
      </w:r>
      <w:r w:rsidR="009160CB">
        <w:rPr>
          <w:rFonts w:ascii="Arial" w:eastAsia="Calibri" w:hAnsi="Arial" w:cs="Arial"/>
          <w:color w:val="000000" w:themeColor="text1"/>
        </w:rPr>
        <w:t xml:space="preserve"> </w:t>
      </w:r>
      <w:r w:rsidR="00002C76">
        <w:rPr>
          <w:rFonts w:ascii="Arial" w:eastAsia="Calibri" w:hAnsi="Arial" w:cs="Arial"/>
          <w:color w:val="000000" w:themeColor="text1"/>
        </w:rPr>
        <w:t>(</w:t>
      </w:r>
      <w:r w:rsidR="00323F71">
        <w:rPr>
          <w:rFonts w:ascii="Arial" w:eastAsia="Calibri" w:hAnsi="Arial" w:cs="Arial"/>
          <w:color w:val="000000" w:themeColor="text1"/>
        </w:rPr>
        <w:t>C</w:t>
      </w:r>
      <w:r w:rsidR="00002C76">
        <w:rPr>
          <w:rFonts w:ascii="Arial" w:eastAsia="Calibri" w:hAnsi="Arial" w:cs="Arial"/>
          <w:color w:val="000000" w:themeColor="text1"/>
        </w:rPr>
        <w:t>omponent</w:t>
      </w:r>
      <w:r w:rsidR="00323F71">
        <w:rPr>
          <w:rFonts w:ascii="Arial" w:eastAsia="Calibri" w:hAnsi="Arial" w:cs="Arial"/>
          <w:color w:val="000000" w:themeColor="text1"/>
        </w:rPr>
        <w:t>s</w:t>
      </w:r>
      <w:r w:rsidR="00002C76">
        <w:rPr>
          <w:rFonts w:ascii="Arial" w:eastAsia="Calibri" w:hAnsi="Arial" w:cs="Arial"/>
          <w:color w:val="000000" w:themeColor="text1"/>
        </w:rPr>
        <w:t xml:space="preserve"> 1 and 2) </w:t>
      </w:r>
      <w:r w:rsidR="00037F15">
        <w:rPr>
          <w:rFonts w:ascii="Arial" w:eastAsia="Calibri" w:hAnsi="Arial" w:cs="Arial"/>
          <w:color w:val="000000" w:themeColor="text1"/>
        </w:rPr>
        <w:t>concentrated in the</w:t>
      </w:r>
      <w:r w:rsidR="002F1085">
        <w:rPr>
          <w:rFonts w:ascii="Arial" w:eastAsia="Calibri" w:hAnsi="Arial" w:cs="Arial"/>
          <w:color w:val="000000" w:themeColor="text1"/>
        </w:rPr>
        <w:t xml:space="preserve"> development of financial instruments and </w:t>
      </w:r>
      <w:r w:rsidR="001E39AE">
        <w:rPr>
          <w:rFonts w:ascii="Arial" w:eastAsia="Calibri" w:hAnsi="Arial" w:cs="Arial"/>
          <w:color w:val="000000" w:themeColor="text1"/>
        </w:rPr>
        <w:t xml:space="preserve">financial innovation </w:t>
      </w:r>
      <w:r w:rsidR="00730937">
        <w:rPr>
          <w:rFonts w:ascii="Arial" w:eastAsia="Calibri" w:hAnsi="Arial" w:cs="Arial"/>
          <w:color w:val="000000" w:themeColor="text1"/>
        </w:rPr>
        <w:t>knowledge</w:t>
      </w:r>
      <w:r w:rsidR="00FB171A">
        <w:rPr>
          <w:rFonts w:ascii="Arial" w:eastAsia="Calibri" w:hAnsi="Arial" w:cs="Arial"/>
          <w:color w:val="000000" w:themeColor="text1"/>
        </w:rPr>
        <w:t xml:space="preserve"> sharing across LATAM countries</w:t>
      </w:r>
      <w:r w:rsidR="00A6212A">
        <w:rPr>
          <w:rFonts w:ascii="Arial" w:eastAsia="Calibri" w:hAnsi="Arial" w:cs="Arial"/>
          <w:color w:val="000000" w:themeColor="text1"/>
        </w:rPr>
        <w:t xml:space="preserve">; (iii) </w:t>
      </w:r>
      <w:r w:rsidR="000D0828" w:rsidRPr="000D0828">
        <w:rPr>
          <w:rFonts w:ascii="Arial" w:eastAsia="Calibri" w:hAnsi="Arial" w:cs="Arial"/>
          <w:color w:val="000000" w:themeColor="text1"/>
        </w:rPr>
        <w:t>ATC/OC-17971-RG</w:t>
      </w:r>
      <w:r w:rsidR="000D0828">
        <w:rPr>
          <w:rFonts w:ascii="Arial" w:eastAsia="Calibri" w:hAnsi="Arial" w:cs="Arial"/>
          <w:color w:val="000000" w:themeColor="text1"/>
        </w:rPr>
        <w:t xml:space="preserve">, </w:t>
      </w:r>
      <w:r w:rsidR="007000B4">
        <w:rPr>
          <w:rFonts w:ascii="Arial" w:eastAsia="Calibri" w:hAnsi="Arial" w:cs="Arial"/>
          <w:color w:val="000000" w:themeColor="text1"/>
        </w:rPr>
        <w:t xml:space="preserve">which </w:t>
      </w:r>
      <w:r w:rsidR="00D04616">
        <w:rPr>
          <w:rFonts w:ascii="Arial" w:eastAsia="Calibri" w:hAnsi="Arial" w:cs="Arial"/>
          <w:color w:val="000000" w:themeColor="text1"/>
        </w:rPr>
        <w:t xml:space="preserve">includes the </w:t>
      </w:r>
      <w:r w:rsidR="00F63B7E" w:rsidRPr="00F63B7E">
        <w:rPr>
          <w:rFonts w:ascii="Arial" w:eastAsia="Calibri" w:hAnsi="Arial" w:cs="Arial"/>
          <w:color w:val="000000" w:themeColor="text1"/>
        </w:rPr>
        <w:t>creation and strengthening of tools and practices in PPP processes for the integration of sustainability measures to address climate change.</w:t>
      </w:r>
      <w:r w:rsidR="00AE6DE4">
        <w:rPr>
          <w:rFonts w:ascii="Arial" w:eastAsia="Calibri" w:hAnsi="Arial" w:cs="Arial"/>
          <w:color w:val="000000" w:themeColor="text1"/>
        </w:rPr>
        <w:t xml:space="preserve"> </w:t>
      </w:r>
      <w:r w:rsidR="00902680">
        <w:rPr>
          <w:rFonts w:ascii="Arial" w:eastAsia="Calibri" w:hAnsi="Arial" w:cs="Arial"/>
          <w:color w:val="000000" w:themeColor="text1"/>
        </w:rPr>
        <w:t>Finally, t</w:t>
      </w:r>
      <w:r w:rsidR="00AE6DE4">
        <w:rPr>
          <w:rFonts w:ascii="Arial" w:eastAsia="Calibri" w:hAnsi="Arial" w:cs="Arial"/>
          <w:color w:val="000000" w:themeColor="text1"/>
        </w:rPr>
        <w:t>h</w:t>
      </w:r>
      <w:r w:rsidR="005002CB">
        <w:rPr>
          <w:rFonts w:ascii="Arial" w:eastAsia="Calibri" w:hAnsi="Arial" w:cs="Arial"/>
          <w:color w:val="000000" w:themeColor="text1"/>
        </w:rPr>
        <w:t xml:space="preserve">is TC will be coordinated with the progress and expected outcomes from </w:t>
      </w:r>
      <w:r w:rsidR="00881431">
        <w:rPr>
          <w:rFonts w:ascii="Arial" w:eastAsia="Calibri" w:hAnsi="Arial" w:cs="Arial"/>
          <w:color w:val="000000" w:themeColor="text1"/>
        </w:rPr>
        <w:t xml:space="preserve">operation </w:t>
      </w:r>
      <w:r w:rsidR="005002CB" w:rsidRPr="00E30020">
        <w:rPr>
          <w:rFonts w:ascii="Arial" w:eastAsia="Calibri" w:hAnsi="Arial" w:cs="Arial"/>
          <w:color w:val="000000" w:themeColor="text1"/>
        </w:rPr>
        <w:t>ATN/SX-19191-CO</w:t>
      </w:r>
      <w:r w:rsidR="00881431">
        <w:rPr>
          <w:rFonts w:ascii="Arial" w:eastAsia="Calibri" w:hAnsi="Arial" w:cs="Arial"/>
          <w:color w:val="000000" w:themeColor="text1"/>
        </w:rPr>
        <w:t xml:space="preserve">, </w:t>
      </w:r>
      <w:r w:rsidR="00D669BD">
        <w:rPr>
          <w:rFonts w:ascii="Arial" w:eastAsia="Calibri" w:hAnsi="Arial" w:cs="Arial"/>
          <w:color w:val="000000" w:themeColor="text1"/>
        </w:rPr>
        <w:t>which</w:t>
      </w:r>
      <w:r w:rsidR="00002C76">
        <w:rPr>
          <w:rFonts w:ascii="Arial" w:eastAsia="Calibri" w:hAnsi="Arial" w:cs="Arial"/>
          <w:color w:val="000000" w:themeColor="text1"/>
        </w:rPr>
        <w:t xml:space="preserve"> </w:t>
      </w:r>
      <w:r w:rsidR="00881431">
        <w:rPr>
          <w:rFonts w:ascii="Arial" w:eastAsia="Calibri" w:hAnsi="Arial" w:cs="Arial"/>
          <w:color w:val="000000" w:themeColor="text1"/>
        </w:rPr>
        <w:t>w</w:t>
      </w:r>
      <w:r w:rsidR="00567431">
        <w:rPr>
          <w:rFonts w:ascii="Arial" w:eastAsia="Calibri" w:hAnsi="Arial" w:cs="Arial"/>
          <w:color w:val="000000" w:themeColor="text1"/>
        </w:rPr>
        <w:t>i</w:t>
      </w:r>
      <w:r w:rsidR="00881431">
        <w:rPr>
          <w:rFonts w:ascii="Arial" w:eastAsia="Calibri" w:hAnsi="Arial" w:cs="Arial"/>
          <w:color w:val="000000" w:themeColor="text1"/>
        </w:rPr>
        <w:t xml:space="preserve">ll develop </w:t>
      </w:r>
      <w:r w:rsidR="00FE56C0">
        <w:rPr>
          <w:rFonts w:ascii="Arial" w:eastAsia="Calibri" w:hAnsi="Arial" w:cs="Arial"/>
          <w:color w:val="000000" w:themeColor="text1"/>
        </w:rPr>
        <w:t>climate and sustainability tools for PPP led by the National Planning Department (DNP)</w:t>
      </w:r>
      <w:r w:rsidR="00A7727A">
        <w:rPr>
          <w:rFonts w:ascii="Arial" w:eastAsia="Calibri" w:hAnsi="Arial" w:cs="Arial"/>
          <w:color w:val="000000" w:themeColor="text1"/>
        </w:rPr>
        <w:t xml:space="preserve">. </w:t>
      </w:r>
    </w:p>
    <w:p w14:paraId="29DA9541" w14:textId="379F134F" w:rsidR="00472C12" w:rsidRDefault="31043AE7" w:rsidP="006E6818">
      <w:pPr>
        <w:spacing w:before="240" w:after="120" w:line="240" w:lineRule="auto"/>
        <w:ind w:left="579" w:hanging="579"/>
        <w:rPr>
          <w:rFonts w:ascii="Arial" w:eastAsia="Arial" w:hAnsi="Arial" w:cs="Arial"/>
          <w:b/>
          <w:bCs/>
          <w:color w:val="000000" w:themeColor="text1"/>
        </w:rPr>
      </w:pPr>
      <w:r w:rsidRPr="00F90A46">
        <w:rPr>
          <w:rFonts w:ascii="Arial" w:eastAsia="Arial" w:hAnsi="Arial" w:cs="Arial"/>
          <w:b/>
          <w:bCs/>
          <w:color w:val="000000" w:themeColor="text1"/>
        </w:rPr>
        <w:lastRenderedPageBreak/>
        <w:t>III.</w:t>
      </w:r>
      <w:r w:rsidR="54260729" w:rsidRPr="00F90A46">
        <w:rPr>
          <w:rFonts w:ascii="Arial" w:hAnsi="Arial" w:cs="Arial"/>
        </w:rPr>
        <w:tab/>
      </w:r>
      <w:r w:rsidRPr="00F90A46">
        <w:rPr>
          <w:rFonts w:ascii="Arial" w:eastAsia="Arial" w:hAnsi="Arial" w:cs="Arial"/>
          <w:b/>
          <w:bCs/>
          <w:color w:val="000000" w:themeColor="text1"/>
        </w:rPr>
        <w:t>Description of Activities and Outputs and Budget</w:t>
      </w:r>
    </w:p>
    <w:p w14:paraId="06E5627C" w14:textId="6A7F7B03" w:rsidR="00472C12" w:rsidRPr="00F90A46" w:rsidRDefault="31043AE7" w:rsidP="006E6818">
      <w:pPr>
        <w:spacing w:before="120" w:after="12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t>3.1</w:t>
      </w:r>
      <w:r w:rsidR="54260729">
        <w:tab/>
      </w:r>
      <w:r w:rsidRPr="00F90A46">
        <w:rPr>
          <w:rFonts w:ascii="Arial" w:eastAsia="Arial" w:hAnsi="Arial" w:cs="Arial"/>
          <w:b/>
          <w:bCs/>
          <w:color w:val="000000" w:themeColor="text1"/>
        </w:rPr>
        <w:t xml:space="preserve">Component </w:t>
      </w:r>
      <w:r w:rsidR="00E94226">
        <w:rPr>
          <w:rFonts w:ascii="Arial" w:eastAsia="Arial" w:hAnsi="Arial" w:cs="Arial"/>
          <w:b/>
          <w:bCs/>
          <w:color w:val="000000" w:themeColor="text1"/>
        </w:rPr>
        <w:t>1.</w:t>
      </w:r>
      <w:r w:rsidRPr="00F90A46">
        <w:rPr>
          <w:rFonts w:ascii="Arial" w:eastAsia="Arial" w:hAnsi="Arial" w:cs="Arial"/>
          <w:b/>
          <w:bCs/>
          <w:color w:val="000000" w:themeColor="text1"/>
        </w:rPr>
        <w:t xml:space="preserve"> </w:t>
      </w:r>
      <w:r w:rsidRPr="00477F64">
        <w:rPr>
          <w:rFonts w:ascii="Arial" w:eastAsia="Arial" w:hAnsi="Arial" w:cs="Arial"/>
          <w:b/>
          <w:bCs/>
          <w:color w:val="000000" w:themeColor="text1"/>
        </w:rPr>
        <w:t>Green</w:t>
      </w:r>
      <w:r w:rsidRPr="00F90A46">
        <w:rPr>
          <w:rFonts w:ascii="Arial" w:eastAsia="Arial" w:hAnsi="Arial" w:cs="Arial"/>
          <w:b/>
          <w:bCs/>
          <w:color w:val="000000" w:themeColor="text1"/>
        </w:rPr>
        <w:t xml:space="preserve"> Financing for Sustainable Infrastructure Projects </w:t>
      </w:r>
      <w:r w:rsidR="00323F71">
        <w:rPr>
          <w:rFonts w:ascii="Arial" w:eastAsia="Arial" w:hAnsi="Arial" w:cs="Arial"/>
          <w:b/>
          <w:bCs/>
          <w:color w:val="000000" w:themeColor="text1"/>
        </w:rPr>
        <w:br/>
      </w:r>
      <w:r w:rsidRPr="00F90A46">
        <w:rPr>
          <w:rFonts w:ascii="Arial" w:eastAsia="Arial" w:hAnsi="Arial" w:cs="Arial"/>
          <w:b/>
          <w:bCs/>
          <w:color w:val="000000" w:themeColor="text1"/>
        </w:rPr>
        <w:t>(US$150,000).</w:t>
      </w:r>
      <w:r w:rsidRPr="00F90A46">
        <w:rPr>
          <w:rFonts w:ascii="Arial" w:eastAsia="Arial" w:hAnsi="Arial" w:cs="Arial"/>
          <w:color w:val="000000" w:themeColor="text1"/>
        </w:rPr>
        <w:t xml:space="preserve"> </w:t>
      </w:r>
      <w:r w:rsidR="00A56408">
        <w:rPr>
          <w:rFonts w:ascii="Arial" w:eastAsia="Arial" w:hAnsi="Arial" w:cs="Arial"/>
          <w:color w:val="000000" w:themeColor="text1"/>
        </w:rPr>
        <w:t>Th</w:t>
      </w:r>
      <w:r w:rsidR="00266B33">
        <w:rPr>
          <w:rFonts w:ascii="Arial" w:eastAsia="Arial" w:hAnsi="Arial" w:cs="Arial"/>
          <w:color w:val="000000" w:themeColor="text1"/>
        </w:rPr>
        <w:t>is</w:t>
      </w:r>
      <w:r w:rsidR="00A56408">
        <w:rPr>
          <w:rFonts w:ascii="Arial" w:eastAsia="Arial" w:hAnsi="Arial" w:cs="Arial"/>
          <w:color w:val="000000" w:themeColor="text1"/>
        </w:rPr>
        <w:t xml:space="preserve"> component a</w:t>
      </w:r>
      <w:r w:rsidR="00B13BD2" w:rsidRPr="00B13BD2">
        <w:rPr>
          <w:rFonts w:ascii="Arial" w:eastAsia="Arial" w:hAnsi="Arial" w:cs="Arial"/>
          <w:color w:val="000000" w:themeColor="text1"/>
        </w:rPr>
        <w:t xml:space="preserve">ims to contribute to efforts </w:t>
      </w:r>
      <w:r w:rsidR="00EF3436">
        <w:rPr>
          <w:rFonts w:ascii="Arial" w:eastAsia="Arial" w:hAnsi="Arial" w:cs="Arial"/>
          <w:color w:val="000000" w:themeColor="text1"/>
        </w:rPr>
        <w:t xml:space="preserve">led </w:t>
      </w:r>
      <w:r w:rsidR="004619D3">
        <w:rPr>
          <w:rFonts w:ascii="Arial" w:eastAsia="Arial" w:hAnsi="Arial" w:cs="Arial"/>
          <w:color w:val="000000" w:themeColor="text1"/>
        </w:rPr>
        <w:t>by</w:t>
      </w:r>
      <w:r w:rsidR="005E1C7B" w:rsidRPr="005E1C7B">
        <w:rPr>
          <w:rFonts w:ascii="Arial" w:eastAsia="Arial" w:hAnsi="Arial" w:cs="Arial"/>
          <w:color w:val="000000" w:themeColor="text1"/>
        </w:rPr>
        <w:t xml:space="preserve"> </w:t>
      </w:r>
      <w:r w:rsidR="00B13BD2" w:rsidRPr="00B13BD2">
        <w:rPr>
          <w:rFonts w:ascii="Arial" w:eastAsia="Arial" w:hAnsi="Arial" w:cs="Arial"/>
          <w:color w:val="000000" w:themeColor="text1"/>
        </w:rPr>
        <w:t xml:space="preserve">the GoC to overcome </w:t>
      </w:r>
      <w:r w:rsidR="002C1D04">
        <w:rPr>
          <w:rFonts w:ascii="Arial" w:eastAsia="Arial" w:hAnsi="Arial" w:cs="Arial"/>
          <w:color w:val="000000" w:themeColor="text1"/>
        </w:rPr>
        <w:t>project</w:t>
      </w:r>
      <w:r w:rsidR="00B042C3">
        <w:rPr>
          <w:rFonts w:ascii="Arial" w:eastAsia="Arial" w:hAnsi="Arial" w:cs="Arial"/>
          <w:color w:val="000000" w:themeColor="text1"/>
        </w:rPr>
        <w:t>s</w:t>
      </w:r>
      <w:r w:rsidR="002C1D04">
        <w:rPr>
          <w:rFonts w:ascii="Arial" w:eastAsia="Arial" w:hAnsi="Arial" w:cs="Arial"/>
          <w:color w:val="000000" w:themeColor="text1"/>
        </w:rPr>
        <w:t xml:space="preserve">’ financing </w:t>
      </w:r>
      <w:r w:rsidR="00B13BD2" w:rsidRPr="00B13BD2">
        <w:rPr>
          <w:rFonts w:ascii="Arial" w:eastAsia="Arial" w:hAnsi="Arial" w:cs="Arial"/>
          <w:color w:val="000000" w:themeColor="text1"/>
        </w:rPr>
        <w:t xml:space="preserve">limitations by developing innovative </w:t>
      </w:r>
      <w:r w:rsidR="005E1C7B" w:rsidRPr="005E1C7B">
        <w:rPr>
          <w:rFonts w:ascii="Arial" w:eastAsia="Arial" w:hAnsi="Arial" w:cs="Arial"/>
          <w:color w:val="000000" w:themeColor="text1"/>
        </w:rPr>
        <w:t>mechanism</w:t>
      </w:r>
      <w:r w:rsidR="00DD00DB">
        <w:rPr>
          <w:rFonts w:ascii="Arial" w:eastAsia="Arial" w:hAnsi="Arial" w:cs="Arial"/>
          <w:color w:val="000000" w:themeColor="text1"/>
        </w:rPr>
        <w:t>s</w:t>
      </w:r>
      <w:r w:rsidR="005E1C7B" w:rsidRPr="005E1C7B">
        <w:rPr>
          <w:rFonts w:ascii="Arial" w:eastAsia="Arial" w:hAnsi="Arial" w:cs="Arial"/>
          <w:color w:val="000000" w:themeColor="text1"/>
        </w:rPr>
        <w:t xml:space="preserve"> </w:t>
      </w:r>
      <w:r w:rsidR="00B13BD2" w:rsidRPr="00B13BD2">
        <w:rPr>
          <w:rFonts w:ascii="Arial" w:eastAsia="Arial" w:hAnsi="Arial" w:cs="Arial"/>
          <w:color w:val="000000" w:themeColor="text1"/>
        </w:rPr>
        <w:t xml:space="preserve">to mobilize green financing in accordance </w:t>
      </w:r>
      <w:r w:rsidR="004A5012">
        <w:rPr>
          <w:rFonts w:ascii="Arial" w:eastAsia="Arial" w:hAnsi="Arial" w:cs="Arial"/>
          <w:color w:val="000000" w:themeColor="text1"/>
        </w:rPr>
        <w:t>with</w:t>
      </w:r>
      <w:r w:rsidR="00B13BD2" w:rsidRPr="00B13BD2">
        <w:rPr>
          <w:rFonts w:ascii="Arial" w:eastAsia="Arial" w:hAnsi="Arial" w:cs="Arial"/>
          <w:color w:val="000000" w:themeColor="text1"/>
        </w:rPr>
        <w:t xml:space="preserve"> the country’s policy framework for </w:t>
      </w:r>
      <w:r w:rsidR="00DD00DB">
        <w:rPr>
          <w:rFonts w:ascii="Arial" w:eastAsia="Arial" w:hAnsi="Arial" w:cs="Arial"/>
          <w:color w:val="000000" w:themeColor="text1"/>
        </w:rPr>
        <w:t xml:space="preserve">transport </w:t>
      </w:r>
      <w:r w:rsidR="00B13BD2" w:rsidRPr="00B13BD2">
        <w:rPr>
          <w:rFonts w:ascii="Arial" w:eastAsia="Arial" w:hAnsi="Arial" w:cs="Arial"/>
          <w:color w:val="000000" w:themeColor="text1"/>
        </w:rPr>
        <w:t>PPPs sustainable infrastructure projects (CONPES 4060/2021</w:t>
      </w:r>
      <w:r w:rsidR="008F6078">
        <w:rPr>
          <w:rFonts w:ascii="Arial" w:eastAsia="Arial" w:hAnsi="Arial" w:cs="Arial"/>
          <w:color w:val="000000" w:themeColor="text1"/>
        </w:rPr>
        <w:t xml:space="preserve">, </w:t>
      </w:r>
      <w:r w:rsidR="008F6078" w:rsidRPr="008F6078">
        <w:rPr>
          <w:rFonts w:ascii="Arial" w:eastAsia="Arial" w:hAnsi="Arial" w:cs="Arial"/>
          <w:color w:val="000000" w:themeColor="text1"/>
        </w:rPr>
        <w:t>line 17</w:t>
      </w:r>
      <w:r w:rsidR="008F6078" w:rsidRPr="008F6078">
        <w:rPr>
          <w:rStyle w:val="FootnoteReference"/>
          <w:rFonts w:ascii="Arial" w:eastAsia="Arial" w:hAnsi="Arial" w:cs="Arial"/>
          <w:b/>
          <w:bCs/>
          <w:color w:val="000000" w:themeColor="text1"/>
        </w:rPr>
        <w:footnoteReference w:id="2"/>
      </w:r>
      <w:r w:rsidR="00B13BD2" w:rsidRPr="008F6078">
        <w:rPr>
          <w:rFonts w:ascii="Arial" w:eastAsia="Arial" w:hAnsi="Arial" w:cs="Arial"/>
          <w:color w:val="000000" w:themeColor="text1"/>
        </w:rPr>
        <w:t>).</w:t>
      </w:r>
      <w:r w:rsidR="00154F07">
        <w:rPr>
          <w:rFonts w:ascii="Arial" w:eastAsia="Arial" w:hAnsi="Arial" w:cs="Arial"/>
          <w:color w:val="000000" w:themeColor="text1"/>
        </w:rPr>
        <w:t xml:space="preserve"> </w:t>
      </w:r>
      <w:r w:rsidR="00D91370">
        <w:rPr>
          <w:rFonts w:ascii="Arial" w:eastAsia="Arial" w:hAnsi="Arial" w:cs="Arial"/>
          <w:color w:val="000000" w:themeColor="text1"/>
        </w:rPr>
        <w:t xml:space="preserve">The support will </w:t>
      </w:r>
      <w:r w:rsidR="00FE39ED">
        <w:rPr>
          <w:rFonts w:ascii="Arial" w:eastAsia="Arial" w:hAnsi="Arial" w:cs="Arial"/>
          <w:color w:val="000000" w:themeColor="text1"/>
        </w:rPr>
        <w:t>include</w:t>
      </w:r>
      <w:r w:rsidR="00D91370">
        <w:rPr>
          <w:rFonts w:ascii="Arial" w:eastAsia="Arial" w:hAnsi="Arial" w:cs="Arial"/>
          <w:color w:val="000000" w:themeColor="text1"/>
        </w:rPr>
        <w:t xml:space="preserve"> </w:t>
      </w:r>
      <w:r w:rsidR="00654AB3">
        <w:rPr>
          <w:rFonts w:ascii="Arial" w:eastAsia="Arial" w:hAnsi="Arial" w:cs="Arial"/>
          <w:color w:val="000000" w:themeColor="text1"/>
        </w:rPr>
        <w:t xml:space="preserve">contracting firms </w:t>
      </w:r>
      <w:r w:rsidR="00D516AE">
        <w:rPr>
          <w:rFonts w:ascii="Arial" w:eastAsia="Arial" w:hAnsi="Arial" w:cs="Arial"/>
          <w:color w:val="000000" w:themeColor="text1"/>
        </w:rPr>
        <w:t xml:space="preserve">and services </w:t>
      </w:r>
      <w:r w:rsidR="00654AB3">
        <w:rPr>
          <w:rFonts w:ascii="Arial" w:eastAsia="Arial" w:hAnsi="Arial" w:cs="Arial"/>
          <w:color w:val="000000" w:themeColor="text1"/>
        </w:rPr>
        <w:t xml:space="preserve">to </w:t>
      </w:r>
      <w:r w:rsidR="003455A0">
        <w:rPr>
          <w:rFonts w:ascii="Arial" w:eastAsia="Arial" w:hAnsi="Arial" w:cs="Arial"/>
          <w:color w:val="000000" w:themeColor="text1"/>
        </w:rPr>
        <w:t xml:space="preserve">produce recommendation </w:t>
      </w:r>
      <w:r w:rsidRPr="00F90A46">
        <w:rPr>
          <w:rFonts w:ascii="Arial" w:eastAsia="Arial" w:hAnsi="Arial" w:cs="Arial"/>
          <w:color w:val="000000" w:themeColor="text1"/>
        </w:rPr>
        <w:t>to</w:t>
      </w:r>
      <w:r w:rsidR="008C038B">
        <w:rPr>
          <w:rFonts w:ascii="Arial" w:eastAsia="Arial" w:hAnsi="Arial" w:cs="Arial"/>
          <w:color w:val="000000" w:themeColor="text1"/>
        </w:rPr>
        <w:t>:</w:t>
      </w:r>
      <w:r w:rsidR="00B60279">
        <w:rPr>
          <w:rFonts w:ascii="Arial" w:eastAsia="Arial" w:hAnsi="Arial" w:cs="Arial"/>
          <w:color w:val="000000" w:themeColor="text1"/>
        </w:rPr>
        <w:t xml:space="preserve"> (i)</w:t>
      </w:r>
      <w:r w:rsidRPr="00F90A46">
        <w:rPr>
          <w:rFonts w:ascii="Arial" w:eastAsia="Arial" w:hAnsi="Arial" w:cs="Arial"/>
          <w:color w:val="000000" w:themeColor="text1"/>
        </w:rPr>
        <w:t xml:space="preserve"> facilitate access </w:t>
      </w:r>
      <w:r w:rsidR="4A5486A1" w:rsidRPr="42629D19">
        <w:rPr>
          <w:rFonts w:ascii="Arial" w:eastAsia="Arial" w:hAnsi="Arial" w:cs="Arial"/>
          <w:color w:val="000000" w:themeColor="text1"/>
        </w:rPr>
        <w:t>to</w:t>
      </w:r>
      <w:r w:rsidR="6560AC69" w:rsidRPr="42629D19">
        <w:rPr>
          <w:rFonts w:ascii="Arial" w:eastAsia="Arial" w:hAnsi="Arial" w:cs="Arial"/>
          <w:color w:val="000000" w:themeColor="text1"/>
        </w:rPr>
        <w:t xml:space="preserve"> </w:t>
      </w:r>
      <w:r w:rsidRPr="00F90A46">
        <w:rPr>
          <w:rFonts w:ascii="Arial" w:eastAsia="Arial" w:hAnsi="Arial" w:cs="Arial"/>
          <w:color w:val="000000" w:themeColor="text1"/>
        </w:rPr>
        <w:t xml:space="preserve">sustainable financing based on the </w:t>
      </w:r>
      <w:r w:rsidRPr="00D24282">
        <w:rPr>
          <w:rFonts w:ascii="Arial" w:eastAsia="Arial" w:hAnsi="Arial" w:cs="Arial"/>
          <w:color w:val="000000" w:themeColor="text1"/>
        </w:rPr>
        <w:t xml:space="preserve">integration of best </w:t>
      </w:r>
      <w:r w:rsidR="385A20F7" w:rsidRPr="00D24282">
        <w:rPr>
          <w:rFonts w:ascii="Arial" w:eastAsia="Arial" w:hAnsi="Arial" w:cs="Arial"/>
          <w:color w:val="000000" w:themeColor="text1"/>
        </w:rPr>
        <w:t xml:space="preserve">climate </w:t>
      </w:r>
      <w:r w:rsidRPr="00D24282">
        <w:rPr>
          <w:rFonts w:ascii="Arial" w:eastAsia="Arial" w:hAnsi="Arial" w:cs="Arial"/>
          <w:color w:val="000000" w:themeColor="text1"/>
        </w:rPr>
        <w:t>mitigation</w:t>
      </w:r>
      <w:r w:rsidRPr="00D24282" w:rsidDel="005B7894">
        <w:rPr>
          <w:rFonts w:ascii="Arial" w:eastAsia="Arial" w:hAnsi="Arial" w:cs="Arial"/>
          <w:color w:val="000000" w:themeColor="text1"/>
        </w:rPr>
        <w:t xml:space="preserve"> </w:t>
      </w:r>
      <w:r w:rsidRPr="00D24282">
        <w:rPr>
          <w:rFonts w:ascii="Arial" w:eastAsia="Arial" w:hAnsi="Arial" w:cs="Arial"/>
          <w:color w:val="000000" w:themeColor="text1"/>
        </w:rPr>
        <w:t xml:space="preserve">practices </w:t>
      </w:r>
      <w:r w:rsidR="48B079D4" w:rsidRPr="00D24282">
        <w:rPr>
          <w:rFonts w:ascii="Arial" w:eastAsia="Arial" w:hAnsi="Arial" w:cs="Arial"/>
          <w:color w:val="000000" w:themeColor="text1"/>
        </w:rPr>
        <w:t>during the PPP</w:t>
      </w:r>
      <w:r w:rsidR="005B7894" w:rsidRPr="00D24282">
        <w:rPr>
          <w:rFonts w:ascii="Arial" w:eastAsia="Arial" w:hAnsi="Arial" w:cs="Arial"/>
          <w:color w:val="000000" w:themeColor="text1"/>
        </w:rPr>
        <w:t>’s</w:t>
      </w:r>
      <w:r w:rsidR="6560AC69" w:rsidRPr="00D24282">
        <w:rPr>
          <w:rFonts w:ascii="Arial" w:eastAsia="Arial" w:hAnsi="Arial" w:cs="Arial"/>
          <w:color w:val="000000" w:themeColor="text1"/>
        </w:rPr>
        <w:t xml:space="preserve"> </w:t>
      </w:r>
      <w:r w:rsidR="00FF3968">
        <w:rPr>
          <w:rFonts w:ascii="Arial" w:eastAsia="Arial" w:hAnsi="Arial" w:cs="Arial"/>
          <w:color w:val="000000" w:themeColor="text1"/>
        </w:rPr>
        <w:t>life cycle</w:t>
      </w:r>
      <w:r w:rsidRPr="00D24282">
        <w:rPr>
          <w:rFonts w:ascii="Arial" w:eastAsia="Arial" w:hAnsi="Arial" w:cs="Arial"/>
          <w:color w:val="000000" w:themeColor="text1"/>
        </w:rPr>
        <w:t xml:space="preserve">; (ii) </w:t>
      </w:r>
      <w:r w:rsidR="009A07ED" w:rsidRPr="00D24282">
        <w:rPr>
          <w:rFonts w:ascii="Arial" w:eastAsia="Arial" w:hAnsi="Arial" w:cs="Arial"/>
          <w:color w:val="000000" w:themeColor="text1"/>
        </w:rPr>
        <w:t>i</w:t>
      </w:r>
      <w:r w:rsidRPr="00D24282">
        <w:rPr>
          <w:rFonts w:ascii="Arial" w:eastAsia="Arial" w:hAnsi="Arial" w:cs="Arial"/>
          <w:color w:val="000000" w:themeColor="text1"/>
        </w:rPr>
        <w:t>dentify incentives or other innovative</w:t>
      </w:r>
      <w:r w:rsidR="003B7F64" w:rsidRPr="00D24282">
        <w:rPr>
          <w:rFonts w:ascii="Arial" w:eastAsia="Arial" w:hAnsi="Arial" w:cs="Arial"/>
          <w:color w:val="000000" w:themeColor="text1"/>
        </w:rPr>
        <w:t xml:space="preserve"> financing</w:t>
      </w:r>
      <w:r w:rsidRPr="00D24282">
        <w:rPr>
          <w:rFonts w:ascii="Arial" w:eastAsia="Arial" w:hAnsi="Arial" w:cs="Arial"/>
          <w:color w:val="000000" w:themeColor="text1"/>
        </w:rPr>
        <w:t xml:space="preserve"> mechanisms for the development of sustainable infrastructure </w:t>
      </w:r>
      <w:r w:rsidR="003B7F64" w:rsidRPr="00D24282">
        <w:rPr>
          <w:rFonts w:ascii="Arial" w:eastAsia="Arial" w:hAnsi="Arial" w:cs="Arial"/>
          <w:color w:val="000000" w:themeColor="text1"/>
        </w:rPr>
        <w:t xml:space="preserve">projects; </w:t>
      </w:r>
      <w:r w:rsidRPr="00F90A46">
        <w:rPr>
          <w:rFonts w:ascii="Arial" w:eastAsia="Arial" w:hAnsi="Arial" w:cs="Arial"/>
          <w:color w:val="000000" w:themeColor="text1"/>
        </w:rPr>
        <w:t xml:space="preserve">(iii) </w:t>
      </w:r>
      <w:r w:rsidR="009A07ED">
        <w:rPr>
          <w:rFonts w:ascii="Arial" w:eastAsia="Arial" w:hAnsi="Arial" w:cs="Arial"/>
          <w:color w:val="000000" w:themeColor="text1"/>
        </w:rPr>
        <w:t>c</w:t>
      </w:r>
      <w:r w:rsidRPr="00F90A46">
        <w:rPr>
          <w:rFonts w:ascii="Arial" w:eastAsia="Arial" w:hAnsi="Arial" w:cs="Arial"/>
          <w:color w:val="000000" w:themeColor="text1"/>
        </w:rPr>
        <w:t>arry</w:t>
      </w:r>
      <w:r w:rsidRPr="00D24282">
        <w:rPr>
          <w:rFonts w:ascii="Arial" w:eastAsia="Arial" w:hAnsi="Arial" w:cs="Arial"/>
          <w:color w:val="000000" w:themeColor="text1"/>
        </w:rPr>
        <w:t xml:space="preserve"> out national and international business roundtables, workshops, capacity building workshops between project developers, funding sources and other relevant stakeholders</w:t>
      </w:r>
      <w:r w:rsidR="008E7369" w:rsidRPr="00D24282">
        <w:rPr>
          <w:rFonts w:ascii="Arial" w:eastAsia="Arial" w:hAnsi="Arial" w:cs="Arial"/>
          <w:color w:val="000000" w:themeColor="text1"/>
        </w:rPr>
        <w:t xml:space="preserve"> such as financiers and institutional investors</w:t>
      </w:r>
      <w:r w:rsidRPr="00D24282">
        <w:rPr>
          <w:rFonts w:ascii="Arial" w:eastAsia="Arial" w:hAnsi="Arial" w:cs="Arial"/>
          <w:color w:val="000000" w:themeColor="text1"/>
        </w:rPr>
        <w:t>;</w:t>
      </w:r>
      <w:r w:rsidR="00816205" w:rsidRPr="00D24282">
        <w:rPr>
          <w:rFonts w:ascii="Arial" w:eastAsia="Arial" w:hAnsi="Arial" w:cs="Arial"/>
          <w:color w:val="000000" w:themeColor="text1"/>
        </w:rPr>
        <w:t xml:space="preserve"> (iv) explor</w:t>
      </w:r>
      <w:r w:rsidR="00E66FDB" w:rsidRPr="00D24282">
        <w:rPr>
          <w:rFonts w:ascii="Arial" w:eastAsia="Arial" w:hAnsi="Arial" w:cs="Arial"/>
          <w:color w:val="000000" w:themeColor="text1"/>
        </w:rPr>
        <w:t xml:space="preserve">e </w:t>
      </w:r>
      <w:r w:rsidR="00816205" w:rsidRPr="00D24282">
        <w:rPr>
          <w:rFonts w:ascii="Arial" w:eastAsia="Arial" w:hAnsi="Arial" w:cs="Arial"/>
          <w:color w:val="000000" w:themeColor="text1"/>
        </w:rPr>
        <w:t>in-depth the green, social, and sustainable debt markets including bond and project bond markets, as well as carbon bonds and markets</w:t>
      </w:r>
      <w:r w:rsidR="00416BF1">
        <w:rPr>
          <w:rFonts w:ascii="Arial" w:eastAsia="Arial" w:hAnsi="Arial" w:cs="Arial"/>
          <w:color w:val="000000" w:themeColor="text1"/>
        </w:rPr>
        <w:t>.</w:t>
      </w:r>
    </w:p>
    <w:p w14:paraId="7E22EFEC" w14:textId="32D7A9A8" w:rsidR="00472C12" w:rsidRPr="00F90A46" w:rsidRDefault="31043AE7" w:rsidP="006E6818">
      <w:pPr>
        <w:spacing w:before="120" w:after="12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t>3.2</w:t>
      </w:r>
      <w:r w:rsidR="54260729">
        <w:tab/>
      </w:r>
      <w:r w:rsidRPr="000934C5">
        <w:rPr>
          <w:rFonts w:ascii="Arial" w:eastAsia="Arial" w:hAnsi="Arial" w:cs="Arial"/>
          <w:b/>
          <w:bCs/>
          <w:color w:val="000000" w:themeColor="text1"/>
        </w:rPr>
        <w:t xml:space="preserve">Component </w:t>
      </w:r>
      <w:r w:rsidR="00E94226">
        <w:rPr>
          <w:rFonts w:ascii="Arial" w:eastAsia="Arial" w:hAnsi="Arial" w:cs="Arial"/>
          <w:b/>
          <w:bCs/>
          <w:color w:val="000000" w:themeColor="text1"/>
        </w:rPr>
        <w:t>2.</w:t>
      </w:r>
      <w:r w:rsidRPr="000934C5">
        <w:rPr>
          <w:rFonts w:ascii="Arial" w:eastAsia="Arial" w:hAnsi="Arial" w:cs="Arial"/>
          <w:b/>
          <w:bCs/>
          <w:color w:val="000000" w:themeColor="text1"/>
        </w:rPr>
        <w:t xml:space="preserve"> </w:t>
      </w:r>
      <w:r w:rsidR="54260729">
        <w:tab/>
      </w:r>
      <w:r w:rsidRPr="000934C5">
        <w:rPr>
          <w:rFonts w:ascii="Arial" w:eastAsia="Arial" w:hAnsi="Arial" w:cs="Arial"/>
          <w:b/>
          <w:bCs/>
          <w:color w:val="000000" w:themeColor="text1"/>
        </w:rPr>
        <w:t>Green Infrastructure Guidelines (US$125,000).</w:t>
      </w:r>
      <w:r w:rsidRPr="00F90A46">
        <w:rPr>
          <w:rFonts w:ascii="Arial" w:eastAsia="Arial" w:hAnsi="Arial" w:cs="Arial"/>
          <w:color w:val="000000" w:themeColor="text1"/>
        </w:rPr>
        <w:t xml:space="preserve"> This component will finance the development and/or implementation of green infrastructure guidelines for transport PPPs led by the ANI, </w:t>
      </w:r>
      <w:r w:rsidR="4E76541F" w:rsidRPr="6F2EBBBD">
        <w:rPr>
          <w:rFonts w:ascii="Arial" w:eastAsia="Arial" w:hAnsi="Arial" w:cs="Arial"/>
          <w:color w:val="000000" w:themeColor="text1"/>
        </w:rPr>
        <w:t xml:space="preserve">as proposed by CONPES 4060. </w:t>
      </w:r>
      <w:r w:rsidR="00FF3968" w:rsidRPr="6F2EBBBD">
        <w:rPr>
          <w:rFonts w:ascii="Arial" w:eastAsia="Arial" w:hAnsi="Arial" w:cs="Arial"/>
          <w:color w:val="000000" w:themeColor="text1"/>
        </w:rPr>
        <w:t>These</w:t>
      </w:r>
      <w:r w:rsidR="4E76541F" w:rsidRPr="6F2EBBBD">
        <w:rPr>
          <w:rFonts w:ascii="Arial" w:eastAsia="Arial" w:hAnsi="Arial" w:cs="Arial"/>
          <w:color w:val="000000" w:themeColor="text1"/>
        </w:rPr>
        <w:t xml:space="preserve"> guidelines will have a strong focus on climate mitigation</w:t>
      </w:r>
      <w:r w:rsidRPr="6F2EBBBD">
        <w:rPr>
          <w:rFonts w:ascii="Arial" w:eastAsia="Arial" w:hAnsi="Arial" w:cs="Arial"/>
          <w:color w:val="000000" w:themeColor="text1"/>
        </w:rPr>
        <w:t xml:space="preserve">, </w:t>
      </w:r>
      <w:r w:rsidRPr="00F90A46">
        <w:rPr>
          <w:rFonts w:ascii="Arial" w:eastAsia="Arial" w:hAnsi="Arial" w:cs="Arial"/>
          <w:color w:val="000000" w:themeColor="text1"/>
        </w:rPr>
        <w:t xml:space="preserve">compatible with </w:t>
      </w:r>
      <w:r w:rsidR="5E0A2C35" w:rsidRPr="6F2EBBBD">
        <w:rPr>
          <w:rFonts w:ascii="Arial" w:eastAsia="Arial" w:hAnsi="Arial" w:cs="Arial"/>
          <w:color w:val="000000" w:themeColor="text1"/>
        </w:rPr>
        <w:t>the NDC</w:t>
      </w:r>
      <w:r w:rsidRPr="00F90A46">
        <w:rPr>
          <w:rFonts w:ascii="Arial" w:eastAsia="Arial" w:hAnsi="Arial" w:cs="Arial"/>
          <w:color w:val="000000" w:themeColor="text1"/>
        </w:rPr>
        <w:t xml:space="preserve"> goals and </w:t>
      </w:r>
      <w:r w:rsidR="5D228C1E" w:rsidRPr="6F2EBBBD">
        <w:rPr>
          <w:rFonts w:ascii="Arial" w:eastAsia="Arial" w:hAnsi="Arial" w:cs="Arial"/>
          <w:color w:val="000000" w:themeColor="text1"/>
        </w:rPr>
        <w:t>sectoral priorities</w:t>
      </w:r>
      <w:r w:rsidR="00F155CF">
        <w:rPr>
          <w:rFonts w:ascii="Arial" w:eastAsia="Arial" w:hAnsi="Arial" w:cs="Arial"/>
          <w:color w:val="000000" w:themeColor="text1"/>
        </w:rPr>
        <w:t>, but other approaches such as nature-based solutions</w:t>
      </w:r>
      <w:r w:rsidR="003547EB">
        <w:rPr>
          <w:rFonts w:ascii="Arial" w:eastAsia="Arial" w:hAnsi="Arial" w:cs="Arial"/>
          <w:color w:val="000000" w:themeColor="text1"/>
        </w:rPr>
        <w:t>.</w:t>
      </w:r>
      <w:r w:rsidR="003F0571">
        <w:rPr>
          <w:rFonts w:ascii="Arial" w:eastAsia="Arial" w:hAnsi="Arial" w:cs="Arial"/>
          <w:color w:val="000000" w:themeColor="text1"/>
        </w:rPr>
        <w:t xml:space="preserve"> The development </w:t>
      </w:r>
      <w:r w:rsidR="00190527">
        <w:rPr>
          <w:rFonts w:ascii="Arial" w:eastAsia="Arial" w:hAnsi="Arial" w:cs="Arial"/>
          <w:color w:val="000000" w:themeColor="text1"/>
        </w:rPr>
        <w:t>of a standardized methodology by</w:t>
      </w:r>
      <w:r w:rsidR="00CE7162">
        <w:rPr>
          <w:rFonts w:ascii="Arial" w:eastAsia="Arial" w:hAnsi="Arial" w:cs="Arial"/>
          <w:color w:val="000000" w:themeColor="text1"/>
        </w:rPr>
        <w:t xml:space="preserve"> the ANI</w:t>
      </w:r>
      <w:r w:rsidR="00190527">
        <w:rPr>
          <w:rFonts w:ascii="Arial" w:eastAsia="Arial" w:hAnsi="Arial" w:cs="Arial"/>
          <w:color w:val="000000" w:themeColor="text1"/>
        </w:rPr>
        <w:t xml:space="preserve"> </w:t>
      </w:r>
      <w:r w:rsidR="7DF160D8" w:rsidRPr="22E15C97">
        <w:rPr>
          <w:rFonts w:ascii="Arial" w:eastAsia="Arial" w:hAnsi="Arial" w:cs="Arial"/>
          <w:color w:val="000000" w:themeColor="text1"/>
        </w:rPr>
        <w:t>for quantifying</w:t>
      </w:r>
      <w:r w:rsidR="00791A94" w:rsidRPr="00791A94">
        <w:rPr>
          <w:rFonts w:ascii="Arial" w:eastAsia="Arial" w:hAnsi="Arial" w:cs="Arial"/>
          <w:color w:val="000000" w:themeColor="text1"/>
        </w:rPr>
        <w:t xml:space="preserve"> non-marketable goods </w:t>
      </w:r>
      <w:r w:rsidR="00761DC0">
        <w:rPr>
          <w:rFonts w:ascii="Arial" w:eastAsia="Arial" w:hAnsi="Arial" w:cs="Arial"/>
          <w:color w:val="000000" w:themeColor="text1"/>
        </w:rPr>
        <w:t>to</w:t>
      </w:r>
      <w:r w:rsidR="00791A94" w:rsidRPr="00791A94">
        <w:rPr>
          <w:rFonts w:ascii="Arial" w:eastAsia="Arial" w:hAnsi="Arial" w:cs="Arial"/>
          <w:color w:val="000000" w:themeColor="text1"/>
        </w:rPr>
        <w:t xml:space="preserve"> guide investment decisions and environmental compensations</w:t>
      </w:r>
      <w:r w:rsidR="00B66375">
        <w:rPr>
          <w:rFonts w:ascii="Arial" w:eastAsia="Arial" w:hAnsi="Arial" w:cs="Arial"/>
          <w:color w:val="000000" w:themeColor="text1"/>
        </w:rPr>
        <w:t>, as proposed by CONPES 4060,</w:t>
      </w:r>
      <w:r w:rsidR="00E67016">
        <w:rPr>
          <w:rFonts w:ascii="Arial" w:eastAsia="Arial" w:hAnsi="Arial" w:cs="Arial"/>
          <w:color w:val="000000" w:themeColor="text1"/>
        </w:rPr>
        <w:t xml:space="preserve"> will be also </w:t>
      </w:r>
      <w:r w:rsidR="00E67016" w:rsidRPr="22E15C97">
        <w:rPr>
          <w:rFonts w:ascii="Arial" w:eastAsia="Arial" w:hAnsi="Arial" w:cs="Arial"/>
          <w:color w:val="000000" w:themeColor="text1"/>
        </w:rPr>
        <w:t>support</w:t>
      </w:r>
      <w:r w:rsidR="00B66375">
        <w:rPr>
          <w:rFonts w:ascii="Arial" w:eastAsia="Arial" w:hAnsi="Arial" w:cs="Arial"/>
          <w:color w:val="000000" w:themeColor="text1"/>
        </w:rPr>
        <w:t>ed</w:t>
      </w:r>
      <w:r w:rsidR="00DA00DA" w:rsidRPr="004A5012">
        <w:rPr>
          <w:rStyle w:val="FootnoteReference"/>
          <w:rFonts w:ascii="Arial" w:eastAsia="Arial" w:hAnsi="Arial" w:cs="Arial"/>
          <w:i/>
          <w:iCs/>
          <w:color w:val="000000" w:themeColor="text1"/>
        </w:rPr>
        <w:footnoteReference w:id="3"/>
      </w:r>
      <w:r w:rsidR="00761DC0" w:rsidRPr="22E15C97">
        <w:rPr>
          <w:rFonts w:ascii="Arial" w:eastAsia="Arial" w:hAnsi="Arial" w:cs="Arial"/>
          <w:color w:val="000000" w:themeColor="text1"/>
        </w:rPr>
        <w:t>.</w:t>
      </w:r>
      <w:r w:rsidR="5D228C1E" w:rsidRPr="6F2EBBBD" w:rsidDel="003F0571">
        <w:rPr>
          <w:rFonts w:ascii="Arial" w:eastAsia="Arial" w:hAnsi="Arial" w:cs="Arial"/>
          <w:color w:val="000000" w:themeColor="text1"/>
        </w:rPr>
        <w:t xml:space="preserve"> </w:t>
      </w:r>
      <w:r w:rsidR="5D228C1E" w:rsidRPr="6F2EBBBD">
        <w:rPr>
          <w:rFonts w:ascii="Arial" w:eastAsia="Arial" w:hAnsi="Arial" w:cs="Arial"/>
          <w:color w:val="000000" w:themeColor="text1"/>
        </w:rPr>
        <w:t>This component will consider all</w:t>
      </w:r>
      <w:r w:rsidRPr="6F2EBBBD">
        <w:rPr>
          <w:rFonts w:ascii="Arial" w:eastAsia="Arial" w:hAnsi="Arial" w:cs="Arial"/>
          <w:color w:val="000000" w:themeColor="text1"/>
        </w:rPr>
        <w:t xml:space="preserve"> </w:t>
      </w:r>
      <w:r w:rsidRPr="00F90A46">
        <w:rPr>
          <w:rFonts w:ascii="Arial" w:eastAsia="Arial" w:hAnsi="Arial" w:cs="Arial"/>
          <w:color w:val="000000" w:themeColor="text1"/>
        </w:rPr>
        <w:t>environmental regulations</w:t>
      </w:r>
      <w:r w:rsidR="1A75DD8E" w:rsidRPr="6F2EBBBD">
        <w:rPr>
          <w:rFonts w:ascii="Arial" w:eastAsia="Arial" w:hAnsi="Arial" w:cs="Arial"/>
          <w:color w:val="000000" w:themeColor="text1"/>
        </w:rPr>
        <w:t xml:space="preserve"> in place</w:t>
      </w:r>
      <w:r w:rsidRPr="00F90A46">
        <w:rPr>
          <w:rFonts w:ascii="Arial" w:eastAsia="Arial" w:hAnsi="Arial" w:cs="Arial"/>
          <w:color w:val="000000" w:themeColor="text1"/>
        </w:rPr>
        <w:t xml:space="preserve">, </w:t>
      </w:r>
      <w:r w:rsidR="00512C41">
        <w:rPr>
          <w:rFonts w:ascii="Arial" w:eastAsia="Arial" w:hAnsi="Arial" w:cs="Arial"/>
          <w:color w:val="000000" w:themeColor="text1"/>
        </w:rPr>
        <w:t xml:space="preserve">as well as </w:t>
      </w:r>
      <w:r w:rsidRPr="00F90A46">
        <w:rPr>
          <w:rFonts w:ascii="Arial" w:eastAsia="Arial" w:hAnsi="Arial" w:cs="Arial"/>
          <w:color w:val="000000" w:themeColor="text1"/>
        </w:rPr>
        <w:t>the progress done by the Ministry of Transportation</w:t>
      </w:r>
      <w:r w:rsidR="00005EFE">
        <w:rPr>
          <w:rFonts w:ascii="Arial" w:eastAsia="Arial" w:hAnsi="Arial" w:cs="Arial"/>
          <w:color w:val="000000" w:themeColor="text1"/>
        </w:rPr>
        <w:t xml:space="preserve"> and the ANI</w:t>
      </w:r>
      <w:r w:rsidRPr="00F90A46">
        <w:rPr>
          <w:rFonts w:ascii="Arial" w:eastAsia="Arial" w:hAnsi="Arial" w:cs="Arial"/>
          <w:color w:val="000000" w:themeColor="text1"/>
        </w:rPr>
        <w:t xml:space="preserve"> on the</w:t>
      </w:r>
      <w:r w:rsidR="00005EFE">
        <w:rPr>
          <w:rFonts w:ascii="Arial" w:eastAsia="Arial" w:hAnsi="Arial" w:cs="Arial"/>
          <w:color w:val="000000" w:themeColor="text1"/>
        </w:rPr>
        <w:t>se</w:t>
      </w:r>
      <w:r w:rsidRPr="00F90A46">
        <w:rPr>
          <w:rFonts w:ascii="Arial" w:eastAsia="Arial" w:hAnsi="Arial" w:cs="Arial"/>
          <w:color w:val="000000" w:themeColor="text1"/>
        </w:rPr>
        <w:t xml:space="preserve"> matter</w:t>
      </w:r>
      <w:r w:rsidR="00005EFE">
        <w:rPr>
          <w:rFonts w:ascii="Arial" w:eastAsia="Arial" w:hAnsi="Arial" w:cs="Arial"/>
          <w:color w:val="000000" w:themeColor="text1"/>
        </w:rPr>
        <w:t>s</w:t>
      </w:r>
      <w:r w:rsidRPr="00F90A46">
        <w:rPr>
          <w:rFonts w:ascii="Arial" w:eastAsia="Arial" w:hAnsi="Arial" w:cs="Arial"/>
          <w:color w:val="000000" w:themeColor="text1"/>
        </w:rPr>
        <w:t xml:space="preserve">.  </w:t>
      </w:r>
    </w:p>
    <w:p w14:paraId="0DFFE5EC" w14:textId="7139ED0A" w:rsidR="00472C12" w:rsidRPr="00F90A46" w:rsidRDefault="31043AE7" w:rsidP="006E6818">
      <w:pPr>
        <w:spacing w:before="120" w:after="12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t xml:space="preserve">3.3.  </w:t>
      </w:r>
      <w:r w:rsidR="54260729">
        <w:tab/>
      </w:r>
      <w:r w:rsidRPr="006432B7">
        <w:rPr>
          <w:rFonts w:ascii="Arial" w:eastAsia="Arial" w:hAnsi="Arial" w:cs="Arial"/>
          <w:b/>
          <w:bCs/>
          <w:color w:val="000000" w:themeColor="text1"/>
        </w:rPr>
        <w:t xml:space="preserve">Component </w:t>
      </w:r>
      <w:r w:rsidR="00E94226">
        <w:rPr>
          <w:rFonts w:ascii="Arial" w:eastAsia="Arial" w:hAnsi="Arial" w:cs="Arial"/>
          <w:b/>
          <w:bCs/>
          <w:color w:val="000000" w:themeColor="text1"/>
        </w:rPr>
        <w:t>3.</w:t>
      </w:r>
      <w:r w:rsidR="00323F71">
        <w:rPr>
          <w:rFonts w:ascii="Arial" w:eastAsia="Arial" w:hAnsi="Arial" w:cs="Arial"/>
          <w:b/>
          <w:bCs/>
          <w:color w:val="000000" w:themeColor="text1"/>
        </w:rPr>
        <w:t xml:space="preserve"> </w:t>
      </w:r>
      <w:r w:rsidR="48D0E16D" w:rsidRPr="0088665A">
        <w:rPr>
          <w:rFonts w:ascii="Arial" w:eastAsia="Arial" w:hAnsi="Arial" w:cs="Arial"/>
          <w:b/>
          <w:color w:val="000000" w:themeColor="text1"/>
        </w:rPr>
        <w:t>Support the planning and implementation</w:t>
      </w:r>
      <w:r w:rsidRPr="6F2EBBBD">
        <w:rPr>
          <w:rFonts w:ascii="Arial" w:eastAsia="Arial" w:hAnsi="Arial" w:cs="Arial"/>
          <w:b/>
          <w:bCs/>
          <w:color w:val="000000" w:themeColor="text1"/>
        </w:rPr>
        <w:t xml:space="preserve"> of </w:t>
      </w:r>
      <w:r w:rsidRPr="006432B7">
        <w:rPr>
          <w:rFonts w:ascii="Arial" w:eastAsia="Arial" w:hAnsi="Arial" w:cs="Arial"/>
          <w:b/>
          <w:bCs/>
          <w:color w:val="000000" w:themeColor="text1"/>
        </w:rPr>
        <w:t>rail and river transport projects that reduce GHG emissions (US$200,000).</w:t>
      </w:r>
      <w:r w:rsidRPr="00F90A46">
        <w:rPr>
          <w:rFonts w:ascii="Arial" w:eastAsia="Arial" w:hAnsi="Arial" w:cs="Arial"/>
          <w:color w:val="000000" w:themeColor="text1"/>
        </w:rPr>
        <w:t xml:space="preserve"> This component will finance activities aiming at: (i) </w:t>
      </w:r>
      <w:r w:rsidR="006C6A7B">
        <w:rPr>
          <w:rFonts w:ascii="Arial" w:eastAsia="Arial" w:hAnsi="Arial" w:cs="Arial"/>
          <w:color w:val="000000" w:themeColor="text1"/>
        </w:rPr>
        <w:t>s</w:t>
      </w:r>
      <w:r w:rsidRPr="00F90A46">
        <w:rPr>
          <w:rFonts w:ascii="Arial" w:eastAsia="Arial" w:hAnsi="Arial" w:cs="Arial"/>
          <w:color w:val="000000" w:themeColor="text1"/>
        </w:rPr>
        <w:t xml:space="preserve">trengthening the strategic planning of rail and river transport projects with ANI’s portfolio, identifying best international practices and innovative technologies that could be integrated in Colombia; (ii) </w:t>
      </w:r>
      <w:r w:rsidR="007A0562">
        <w:rPr>
          <w:rFonts w:ascii="Arial" w:eastAsia="Arial" w:hAnsi="Arial" w:cs="Arial"/>
          <w:color w:val="000000" w:themeColor="text1"/>
        </w:rPr>
        <w:t>s</w:t>
      </w:r>
      <w:r w:rsidRPr="00F90A46">
        <w:rPr>
          <w:rFonts w:ascii="Arial" w:eastAsia="Arial" w:hAnsi="Arial" w:cs="Arial"/>
          <w:color w:val="000000" w:themeColor="text1"/>
        </w:rPr>
        <w:t>trengthening technical capacities of ANI to generate inputs and financial and legal concepts applied to rail and riverine infrastructure</w:t>
      </w:r>
      <w:r w:rsidR="007A0562">
        <w:rPr>
          <w:rFonts w:ascii="Arial" w:eastAsia="Arial" w:hAnsi="Arial" w:cs="Arial"/>
          <w:color w:val="000000" w:themeColor="text1"/>
        </w:rPr>
        <w:t xml:space="preserve"> and</w:t>
      </w:r>
      <w:r w:rsidRPr="00F90A46">
        <w:rPr>
          <w:rFonts w:ascii="Arial" w:eastAsia="Arial" w:hAnsi="Arial" w:cs="Arial"/>
          <w:color w:val="000000" w:themeColor="text1"/>
        </w:rPr>
        <w:t xml:space="preserve">; (iii) </w:t>
      </w:r>
      <w:r w:rsidR="007A0562">
        <w:rPr>
          <w:rFonts w:ascii="Arial" w:eastAsia="Arial" w:hAnsi="Arial" w:cs="Arial"/>
          <w:color w:val="000000" w:themeColor="text1"/>
        </w:rPr>
        <w:t>e</w:t>
      </w:r>
      <w:r w:rsidRPr="00F90A46">
        <w:rPr>
          <w:rFonts w:ascii="Arial" w:eastAsia="Arial" w:hAnsi="Arial" w:cs="Arial"/>
          <w:color w:val="000000" w:themeColor="text1"/>
        </w:rPr>
        <w:t xml:space="preserve">valuating the implementation of the rail and river mode strategy by the ANI in the short and medium term. </w:t>
      </w:r>
    </w:p>
    <w:p w14:paraId="0E2ABE2B" w14:textId="62476B10" w:rsidR="0031170A" w:rsidRDefault="31043AE7" w:rsidP="006E6818">
      <w:pPr>
        <w:spacing w:before="120" w:after="12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t xml:space="preserve">3.4. </w:t>
      </w:r>
      <w:r w:rsidRPr="00F90A46">
        <w:rPr>
          <w:rFonts w:ascii="Arial" w:eastAsia="Arial" w:hAnsi="Arial" w:cs="Arial"/>
          <w:b/>
          <w:bCs/>
          <w:color w:val="000000" w:themeColor="text1"/>
        </w:rPr>
        <w:t xml:space="preserve">Component </w:t>
      </w:r>
      <w:r w:rsidR="00CB12A1">
        <w:rPr>
          <w:rFonts w:ascii="Arial" w:eastAsia="Arial" w:hAnsi="Arial" w:cs="Arial"/>
          <w:b/>
          <w:bCs/>
          <w:color w:val="000000" w:themeColor="text1"/>
        </w:rPr>
        <w:t>4</w:t>
      </w:r>
      <w:r w:rsidR="003E68F6">
        <w:rPr>
          <w:rFonts w:ascii="Arial" w:eastAsia="Arial" w:hAnsi="Arial" w:cs="Arial"/>
          <w:b/>
          <w:bCs/>
          <w:color w:val="000000" w:themeColor="text1"/>
        </w:rPr>
        <w:t>.</w:t>
      </w:r>
      <w:r w:rsidRPr="00F90A46">
        <w:rPr>
          <w:rFonts w:ascii="Arial" w:eastAsia="Arial" w:hAnsi="Arial" w:cs="Arial"/>
          <w:b/>
          <w:bCs/>
          <w:color w:val="000000" w:themeColor="text1"/>
        </w:rPr>
        <w:t xml:space="preserve"> Governance for sustainable infrastructure (US$125,000): </w:t>
      </w:r>
      <w:r w:rsidRPr="00F90A46">
        <w:rPr>
          <w:rFonts w:ascii="Arial" w:eastAsia="Arial" w:hAnsi="Arial" w:cs="Arial"/>
          <w:color w:val="000000" w:themeColor="text1"/>
        </w:rPr>
        <w:t xml:space="preserve">This component will finance consultancies with the objectives of generating inputs, </w:t>
      </w:r>
      <w:r w:rsidR="00605EB0" w:rsidRPr="00F90A46">
        <w:rPr>
          <w:rFonts w:ascii="Arial" w:eastAsia="Arial" w:hAnsi="Arial" w:cs="Arial"/>
          <w:color w:val="000000" w:themeColor="text1"/>
        </w:rPr>
        <w:t>guidelines,</w:t>
      </w:r>
      <w:r w:rsidRPr="00F90A46">
        <w:rPr>
          <w:rFonts w:ascii="Arial" w:eastAsia="Arial" w:hAnsi="Arial" w:cs="Arial"/>
          <w:color w:val="000000" w:themeColor="text1"/>
        </w:rPr>
        <w:t xml:space="preserve"> and recommendations </w:t>
      </w:r>
      <w:r w:rsidR="7B2CCBF8" w:rsidRPr="6F2EBBBD">
        <w:rPr>
          <w:rFonts w:ascii="Arial" w:eastAsia="Arial" w:hAnsi="Arial" w:cs="Arial"/>
          <w:color w:val="000000" w:themeColor="text1"/>
        </w:rPr>
        <w:t>for the institutional reorganization of the ANI</w:t>
      </w:r>
      <w:r w:rsidR="60E5D4F5" w:rsidRPr="6F2EBBBD">
        <w:rPr>
          <w:rFonts w:ascii="Arial" w:eastAsia="Arial" w:hAnsi="Arial" w:cs="Arial"/>
          <w:color w:val="000000" w:themeColor="text1"/>
        </w:rPr>
        <w:t xml:space="preserve"> to reinforce the</w:t>
      </w:r>
      <w:r w:rsidR="7B2CCBF8" w:rsidRPr="6F2EBBBD">
        <w:rPr>
          <w:rFonts w:ascii="Arial" w:eastAsia="Arial" w:hAnsi="Arial" w:cs="Arial"/>
          <w:color w:val="000000" w:themeColor="text1"/>
        </w:rPr>
        <w:t xml:space="preserve"> </w:t>
      </w:r>
      <w:r w:rsidRPr="00F90A46">
        <w:rPr>
          <w:rFonts w:ascii="Arial" w:eastAsia="Arial" w:hAnsi="Arial" w:cs="Arial"/>
          <w:color w:val="000000" w:themeColor="text1"/>
        </w:rPr>
        <w:t xml:space="preserve">sustainability approach and </w:t>
      </w:r>
      <w:r w:rsidR="521E7E16" w:rsidRPr="6F2EBBBD">
        <w:rPr>
          <w:rFonts w:ascii="Arial" w:eastAsia="Arial" w:hAnsi="Arial" w:cs="Arial"/>
          <w:color w:val="000000" w:themeColor="text1"/>
        </w:rPr>
        <w:t xml:space="preserve">strengthen its capacity for social and </w:t>
      </w:r>
      <w:r w:rsidR="00A5651E" w:rsidRPr="6F2EBBBD">
        <w:rPr>
          <w:rFonts w:ascii="Arial" w:eastAsia="Arial" w:hAnsi="Arial" w:cs="Arial"/>
          <w:color w:val="000000" w:themeColor="text1"/>
        </w:rPr>
        <w:t>environmental</w:t>
      </w:r>
      <w:r w:rsidR="521E7E16" w:rsidRPr="6F2EBBBD">
        <w:rPr>
          <w:rFonts w:ascii="Arial" w:eastAsia="Arial" w:hAnsi="Arial" w:cs="Arial"/>
          <w:color w:val="000000" w:themeColor="text1"/>
        </w:rPr>
        <w:t xml:space="preserve"> management</w:t>
      </w:r>
      <w:r w:rsidR="000B01D8" w:rsidRPr="4B5EA932">
        <w:rPr>
          <w:rFonts w:ascii="Arial" w:eastAsia="Arial" w:hAnsi="Arial" w:cs="Arial"/>
          <w:color w:val="000000" w:themeColor="text1"/>
        </w:rPr>
        <w:t>.</w:t>
      </w:r>
      <w:r w:rsidR="00394DFE">
        <w:rPr>
          <w:rFonts w:ascii="Arial" w:eastAsia="Arial" w:hAnsi="Arial" w:cs="Arial"/>
          <w:color w:val="000000" w:themeColor="text1"/>
        </w:rPr>
        <w:t xml:space="preserve"> This may include</w:t>
      </w:r>
      <w:r w:rsidR="007B5297">
        <w:rPr>
          <w:rFonts w:ascii="Arial" w:eastAsia="Arial" w:hAnsi="Arial" w:cs="Arial"/>
          <w:color w:val="000000" w:themeColor="text1"/>
        </w:rPr>
        <w:t xml:space="preserve">, </w:t>
      </w:r>
      <w:r w:rsidR="52614AF0" w:rsidRPr="6F2EBBBD">
        <w:rPr>
          <w:rFonts w:ascii="Arial" w:eastAsia="Arial" w:hAnsi="Arial" w:cs="Arial"/>
          <w:color w:val="000000" w:themeColor="text1"/>
        </w:rPr>
        <w:t>strengthen</w:t>
      </w:r>
      <w:r w:rsidR="46763801" w:rsidRPr="6F2EBBBD">
        <w:rPr>
          <w:rFonts w:ascii="Arial" w:eastAsia="Arial" w:hAnsi="Arial" w:cs="Arial"/>
          <w:color w:val="000000" w:themeColor="text1"/>
        </w:rPr>
        <w:t>ing</w:t>
      </w:r>
      <w:r w:rsidR="007B5297" w:rsidRPr="007B5297">
        <w:rPr>
          <w:rFonts w:ascii="Arial" w:eastAsia="Arial" w:hAnsi="Arial" w:cs="Arial"/>
          <w:color w:val="000000" w:themeColor="text1"/>
        </w:rPr>
        <w:t xml:space="preserve"> the Environmental Management Office</w:t>
      </w:r>
      <w:r w:rsidR="007B5297">
        <w:rPr>
          <w:rFonts w:ascii="Arial" w:eastAsia="Arial" w:hAnsi="Arial" w:cs="Arial"/>
          <w:color w:val="000000" w:themeColor="text1"/>
        </w:rPr>
        <w:t xml:space="preserve">, </w:t>
      </w:r>
      <w:r w:rsidR="00605EB0" w:rsidRPr="4B5EA932">
        <w:rPr>
          <w:rFonts w:ascii="Arial" w:eastAsia="Arial" w:hAnsi="Arial" w:cs="Arial"/>
          <w:color w:val="000000" w:themeColor="text1"/>
        </w:rPr>
        <w:t>creating,</w:t>
      </w:r>
      <w:r w:rsidR="52614AF0" w:rsidRPr="4B5EA932">
        <w:rPr>
          <w:rFonts w:ascii="Arial" w:eastAsia="Arial" w:hAnsi="Arial" w:cs="Arial"/>
          <w:color w:val="000000" w:themeColor="text1"/>
        </w:rPr>
        <w:t xml:space="preserve"> and restructur</w:t>
      </w:r>
      <w:r w:rsidR="3899759A" w:rsidRPr="4B5EA932">
        <w:rPr>
          <w:rFonts w:ascii="Arial" w:eastAsia="Arial" w:hAnsi="Arial" w:cs="Arial"/>
          <w:color w:val="000000" w:themeColor="text1"/>
        </w:rPr>
        <w:t>ing</w:t>
      </w:r>
      <w:r w:rsidR="007B5297" w:rsidRPr="007B5297">
        <w:rPr>
          <w:rFonts w:ascii="Arial" w:eastAsia="Arial" w:hAnsi="Arial" w:cs="Arial"/>
          <w:color w:val="000000" w:themeColor="text1"/>
        </w:rPr>
        <w:t xml:space="preserve"> the Planning Advisory Office</w:t>
      </w:r>
      <w:r w:rsidR="007B5297">
        <w:rPr>
          <w:rFonts w:ascii="Arial" w:eastAsia="Arial" w:hAnsi="Arial" w:cs="Arial"/>
          <w:color w:val="000000" w:themeColor="text1"/>
        </w:rPr>
        <w:t xml:space="preserve"> and </w:t>
      </w:r>
      <w:r w:rsidR="56082ECB" w:rsidRPr="4B5EA932">
        <w:rPr>
          <w:rFonts w:ascii="Arial" w:eastAsia="Arial" w:hAnsi="Arial" w:cs="Arial"/>
          <w:color w:val="000000" w:themeColor="text1"/>
        </w:rPr>
        <w:t>strengthening</w:t>
      </w:r>
      <w:r w:rsidR="007B5297" w:rsidRPr="007B5297">
        <w:rPr>
          <w:rFonts w:ascii="Arial" w:eastAsia="Arial" w:hAnsi="Arial" w:cs="Arial"/>
          <w:color w:val="000000" w:themeColor="text1"/>
        </w:rPr>
        <w:t xml:space="preserve"> the Office of Management and Social Attention to Citizens</w:t>
      </w:r>
      <w:r w:rsidR="007B5297">
        <w:rPr>
          <w:rFonts w:ascii="Arial" w:eastAsia="Arial" w:hAnsi="Arial" w:cs="Arial"/>
          <w:color w:val="000000" w:themeColor="text1"/>
        </w:rPr>
        <w:t>, among other</w:t>
      </w:r>
      <w:r w:rsidR="00C21C6E">
        <w:rPr>
          <w:rFonts w:ascii="Arial" w:eastAsia="Arial" w:hAnsi="Arial" w:cs="Arial"/>
          <w:color w:val="000000" w:themeColor="text1"/>
        </w:rPr>
        <w:t xml:space="preserve"> recommendations </w:t>
      </w:r>
      <w:r w:rsidR="00ED7E30">
        <w:rPr>
          <w:rFonts w:ascii="Arial" w:eastAsia="Arial" w:hAnsi="Arial" w:cs="Arial"/>
          <w:color w:val="000000" w:themeColor="text1"/>
        </w:rPr>
        <w:t>resulting from the consultancy.</w:t>
      </w:r>
    </w:p>
    <w:p w14:paraId="696B25B0" w14:textId="0F657625" w:rsidR="00ED7E30" w:rsidRDefault="00CC6EA1" w:rsidP="006E6818">
      <w:pPr>
        <w:spacing w:before="120" w:after="120" w:line="240" w:lineRule="auto"/>
        <w:ind w:left="579" w:hanging="579"/>
        <w:jc w:val="both"/>
        <w:rPr>
          <w:rFonts w:ascii="Arial" w:hAnsi="Arial" w:cs="Arial"/>
          <w:bCs/>
        </w:rPr>
      </w:pPr>
      <w:r>
        <w:rPr>
          <w:rFonts w:ascii="Arial" w:eastAsia="Arial" w:hAnsi="Arial" w:cs="Arial"/>
          <w:color w:val="000000" w:themeColor="text1"/>
        </w:rPr>
        <w:t xml:space="preserve">3.5.  </w:t>
      </w:r>
      <w:r w:rsidR="0031170A" w:rsidRPr="0031170A">
        <w:rPr>
          <w:rFonts w:ascii="Arial" w:hAnsi="Arial" w:cs="Arial"/>
          <w:bCs/>
        </w:rPr>
        <w:t>The total cost of this TC will be US$</w:t>
      </w:r>
      <w:r>
        <w:rPr>
          <w:rFonts w:ascii="Arial" w:hAnsi="Arial" w:cs="Arial"/>
          <w:bCs/>
        </w:rPr>
        <w:t>600</w:t>
      </w:r>
      <w:r w:rsidR="0031170A" w:rsidRPr="0031170A">
        <w:rPr>
          <w:rFonts w:ascii="Arial" w:hAnsi="Arial" w:cs="Arial"/>
          <w:bCs/>
        </w:rPr>
        <w:t>,000 financed by the</w:t>
      </w:r>
      <w:r w:rsidR="009B0461">
        <w:rPr>
          <w:rFonts w:ascii="Arial" w:hAnsi="Arial" w:cs="Arial"/>
          <w:bCs/>
        </w:rPr>
        <w:t xml:space="preserve"> UK</w:t>
      </w:r>
      <w:r w:rsidR="0031170A" w:rsidRPr="0031170A">
        <w:rPr>
          <w:rFonts w:ascii="Arial" w:hAnsi="Arial" w:cs="Arial"/>
          <w:bCs/>
        </w:rPr>
        <w:t xml:space="preserve"> Sustainable Infrastructure Program (SIP).</w:t>
      </w:r>
      <w:r w:rsidR="0077273D">
        <w:rPr>
          <w:rFonts w:ascii="Arial" w:hAnsi="Arial" w:cs="Arial"/>
          <w:bCs/>
        </w:rPr>
        <w:t xml:space="preserve"> </w:t>
      </w:r>
      <w:r w:rsidR="00324DD6" w:rsidRPr="00324DD6">
        <w:rPr>
          <w:rFonts w:ascii="Arial" w:hAnsi="Arial" w:cs="Arial"/>
          <w:bCs/>
        </w:rPr>
        <w:t>There will be no counterpart for the project.</w:t>
      </w:r>
    </w:p>
    <w:p w14:paraId="42721068" w14:textId="77777777" w:rsidR="006E6818" w:rsidRPr="00F90A46" w:rsidRDefault="006E6818" w:rsidP="006E6818">
      <w:pPr>
        <w:spacing w:before="120" w:after="120" w:line="240" w:lineRule="auto"/>
        <w:ind w:left="579" w:hanging="579"/>
        <w:jc w:val="both"/>
        <w:rPr>
          <w:rFonts w:ascii="Arial" w:eastAsia="Arial" w:hAnsi="Arial" w:cs="Arial"/>
          <w:color w:val="000000" w:themeColor="text1"/>
        </w:rPr>
      </w:pPr>
    </w:p>
    <w:p w14:paraId="756A14DA" w14:textId="1A504D91" w:rsidR="00472C12" w:rsidRPr="00323F71" w:rsidRDefault="31043AE7" w:rsidP="006E6818">
      <w:pPr>
        <w:spacing w:before="120" w:after="120" w:line="240" w:lineRule="auto"/>
        <w:ind w:left="360"/>
        <w:jc w:val="center"/>
        <w:rPr>
          <w:rFonts w:ascii="Arial" w:eastAsia="Arial" w:hAnsi="Arial" w:cs="Arial"/>
          <w:color w:val="000000" w:themeColor="text1"/>
          <w:sz w:val="18"/>
          <w:szCs w:val="18"/>
        </w:rPr>
      </w:pPr>
      <w:r w:rsidRPr="00323F71">
        <w:rPr>
          <w:rFonts w:ascii="Arial" w:eastAsia="Arial" w:hAnsi="Arial" w:cs="Arial"/>
          <w:b/>
          <w:bCs/>
          <w:color w:val="000000" w:themeColor="text1"/>
          <w:sz w:val="18"/>
          <w:szCs w:val="18"/>
        </w:rPr>
        <w:t>Indicative Budget (US$)</w:t>
      </w:r>
    </w:p>
    <w:tbl>
      <w:tblPr>
        <w:tblStyle w:val="TableGrid"/>
        <w:tblW w:w="8010" w:type="dxa"/>
        <w:tblInd w:w="535" w:type="dxa"/>
        <w:tblLayout w:type="fixed"/>
        <w:tblLook w:val="04A0" w:firstRow="1" w:lastRow="0" w:firstColumn="1" w:lastColumn="0" w:noHBand="0" w:noVBand="1"/>
      </w:tblPr>
      <w:tblGrid>
        <w:gridCol w:w="1620"/>
        <w:gridCol w:w="4040"/>
        <w:gridCol w:w="1450"/>
        <w:gridCol w:w="900"/>
      </w:tblGrid>
      <w:tr w:rsidR="78D6DB4F" w:rsidRPr="008275A3" w14:paraId="3F88ECBB" w14:textId="77777777" w:rsidTr="00323F71">
        <w:trPr>
          <w:trHeight w:val="349"/>
        </w:trPr>
        <w:tc>
          <w:tcPr>
            <w:tcW w:w="1620" w:type="dxa"/>
            <w:shd w:val="clear" w:color="auto" w:fill="EEECE1" w:themeFill="background2"/>
            <w:vAlign w:val="center"/>
          </w:tcPr>
          <w:p w14:paraId="47A0A94B" w14:textId="11E4A988"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Component</w:t>
            </w:r>
          </w:p>
        </w:tc>
        <w:tc>
          <w:tcPr>
            <w:tcW w:w="4040" w:type="dxa"/>
            <w:shd w:val="clear" w:color="auto" w:fill="EEECE1" w:themeFill="background2"/>
            <w:vAlign w:val="center"/>
          </w:tcPr>
          <w:p w14:paraId="15DE742E" w14:textId="65FC7C59"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Description</w:t>
            </w:r>
          </w:p>
        </w:tc>
        <w:tc>
          <w:tcPr>
            <w:tcW w:w="1450" w:type="dxa"/>
            <w:shd w:val="clear" w:color="auto" w:fill="EEECE1" w:themeFill="background2"/>
            <w:vAlign w:val="center"/>
          </w:tcPr>
          <w:p w14:paraId="6EB35618" w14:textId="4C934C24"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IDB/ SIP Fund Funding</w:t>
            </w:r>
          </w:p>
        </w:tc>
        <w:tc>
          <w:tcPr>
            <w:tcW w:w="900" w:type="dxa"/>
            <w:shd w:val="clear" w:color="auto" w:fill="EEECE1" w:themeFill="background2"/>
            <w:vAlign w:val="center"/>
          </w:tcPr>
          <w:p w14:paraId="1D69B7BB" w14:textId="714A9E68"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 xml:space="preserve">Total </w:t>
            </w:r>
          </w:p>
        </w:tc>
      </w:tr>
      <w:tr w:rsidR="78D6DB4F" w:rsidRPr="008275A3" w14:paraId="01867A49" w14:textId="77777777" w:rsidTr="00323F71">
        <w:trPr>
          <w:trHeight w:val="647"/>
        </w:trPr>
        <w:tc>
          <w:tcPr>
            <w:tcW w:w="1620" w:type="dxa"/>
            <w:vAlign w:val="center"/>
          </w:tcPr>
          <w:p w14:paraId="15C573E9" w14:textId="025FFBFF"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Component 1</w:t>
            </w:r>
          </w:p>
        </w:tc>
        <w:tc>
          <w:tcPr>
            <w:tcW w:w="4040" w:type="dxa"/>
          </w:tcPr>
          <w:p w14:paraId="6469B257" w14:textId="401A574C" w:rsidR="78D6DB4F" w:rsidRPr="0047337F" w:rsidRDefault="0061058A" w:rsidP="00323F71">
            <w:pPr>
              <w:rPr>
                <w:rFonts w:ascii="Arial" w:eastAsia="Arial" w:hAnsi="Arial" w:cs="Arial"/>
                <w:sz w:val="18"/>
                <w:szCs w:val="18"/>
              </w:rPr>
            </w:pPr>
            <w:r w:rsidRPr="0061058A">
              <w:rPr>
                <w:rFonts w:ascii="Arial" w:eastAsia="Arial" w:hAnsi="Arial" w:cs="Arial"/>
                <w:sz w:val="18"/>
                <w:szCs w:val="18"/>
              </w:rPr>
              <w:t>Green Financing for Sustainable Infrastructure Projects</w:t>
            </w:r>
          </w:p>
        </w:tc>
        <w:tc>
          <w:tcPr>
            <w:tcW w:w="1450" w:type="dxa"/>
            <w:vAlign w:val="center"/>
          </w:tcPr>
          <w:p w14:paraId="3A539F12" w14:textId="4B01B90A"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150,000</w:t>
            </w:r>
          </w:p>
        </w:tc>
        <w:tc>
          <w:tcPr>
            <w:tcW w:w="900" w:type="dxa"/>
            <w:vAlign w:val="center"/>
          </w:tcPr>
          <w:p w14:paraId="0C638F14" w14:textId="33F71F4F"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150,000</w:t>
            </w:r>
          </w:p>
        </w:tc>
      </w:tr>
      <w:tr w:rsidR="78D6DB4F" w:rsidRPr="008275A3" w14:paraId="1BEF494C" w14:textId="77777777" w:rsidTr="00323F71">
        <w:trPr>
          <w:trHeight w:val="249"/>
        </w:trPr>
        <w:tc>
          <w:tcPr>
            <w:tcW w:w="1620" w:type="dxa"/>
            <w:vAlign w:val="center"/>
          </w:tcPr>
          <w:p w14:paraId="4253B263" w14:textId="0B906334"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Component 2</w:t>
            </w:r>
          </w:p>
        </w:tc>
        <w:tc>
          <w:tcPr>
            <w:tcW w:w="4040" w:type="dxa"/>
          </w:tcPr>
          <w:p w14:paraId="076FA1D9" w14:textId="1BC4055B" w:rsidR="78D6DB4F" w:rsidRPr="0047337F" w:rsidRDefault="0061058A" w:rsidP="00323F71">
            <w:pPr>
              <w:rPr>
                <w:rFonts w:ascii="Arial" w:eastAsia="Arial" w:hAnsi="Arial" w:cs="Arial"/>
                <w:sz w:val="18"/>
                <w:szCs w:val="18"/>
              </w:rPr>
            </w:pPr>
            <w:r w:rsidRPr="0061058A">
              <w:rPr>
                <w:rFonts w:ascii="Arial" w:eastAsia="Arial" w:hAnsi="Arial" w:cs="Arial"/>
                <w:sz w:val="18"/>
                <w:szCs w:val="18"/>
              </w:rPr>
              <w:t>Green Infrastructure Guidelines</w:t>
            </w:r>
          </w:p>
        </w:tc>
        <w:tc>
          <w:tcPr>
            <w:tcW w:w="1450" w:type="dxa"/>
            <w:vAlign w:val="center"/>
          </w:tcPr>
          <w:p w14:paraId="112513B6" w14:textId="1A33812F"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125,000</w:t>
            </w:r>
          </w:p>
        </w:tc>
        <w:tc>
          <w:tcPr>
            <w:tcW w:w="900" w:type="dxa"/>
            <w:vAlign w:val="center"/>
          </w:tcPr>
          <w:p w14:paraId="142B392A" w14:textId="7979915F"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125,000</w:t>
            </w:r>
          </w:p>
        </w:tc>
      </w:tr>
      <w:tr w:rsidR="78D6DB4F" w:rsidRPr="008275A3" w14:paraId="2AEF7261" w14:textId="77777777" w:rsidTr="00323F71">
        <w:trPr>
          <w:trHeight w:val="710"/>
        </w:trPr>
        <w:tc>
          <w:tcPr>
            <w:tcW w:w="1620" w:type="dxa"/>
            <w:vAlign w:val="center"/>
          </w:tcPr>
          <w:p w14:paraId="3471B6A0" w14:textId="02AE950C"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Component 3</w:t>
            </w:r>
          </w:p>
        </w:tc>
        <w:tc>
          <w:tcPr>
            <w:tcW w:w="4040" w:type="dxa"/>
          </w:tcPr>
          <w:p w14:paraId="0257934E" w14:textId="41B8CDE5" w:rsidR="78D6DB4F" w:rsidRPr="0047337F" w:rsidRDefault="0061058A" w:rsidP="00323F71">
            <w:pPr>
              <w:rPr>
                <w:rFonts w:ascii="Arial" w:eastAsia="Arial" w:hAnsi="Arial" w:cs="Arial"/>
                <w:sz w:val="18"/>
                <w:szCs w:val="18"/>
              </w:rPr>
            </w:pPr>
            <w:r w:rsidRPr="0061058A">
              <w:rPr>
                <w:rFonts w:ascii="Arial" w:eastAsia="Arial" w:hAnsi="Arial" w:cs="Arial"/>
                <w:sz w:val="18"/>
                <w:szCs w:val="18"/>
              </w:rPr>
              <w:t>Support the planning and implementation of rail and river transport projects that reduce GHG emissions</w:t>
            </w:r>
          </w:p>
        </w:tc>
        <w:tc>
          <w:tcPr>
            <w:tcW w:w="1450" w:type="dxa"/>
            <w:vAlign w:val="center"/>
          </w:tcPr>
          <w:p w14:paraId="2507F862" w14:textId="11C92DB1"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200,000</w:t>
            </w:r>
          </w:p>
        </w:tc>
        <w:tc>
          <w:tcPr>
            <w:tcW w:w="900" w:type="dxa"/>
            <w:vAlign w:val="center"/>
          </w:tcPr>
          <w:p w14:paraId="522F81C3" w14:textId="234877C0"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200,000</w:t>
            </w:r>
          </w:p>
        </w:tc>
      </w:tr>
      <w:tr w:rsidR="78D6DB4F" w:rsidRPr="008275A3" w14:paraId="3CD8C91C" w14:textId="77777777" w:rsidTr="00323F71">
        <w:trPr>
          <w:trHeight w:val="249"/>
        </w:trPr>
        <w:tc>
          <w:tcPr>
            <w:tcW w:w="1620" w:type="dxa"/>
            <w:vAlign w:val="center"/>
          </w:tcPr>
          <w:p w14:paraId="294A3393" w14:textId="6F034F15"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Component 4</w:t>
            </w:r>
          </w:p>
        </w:tc>
        <w:tc>
          <w:tcPr>
            <w:tcW w:w="4040" w:type="dxa"/>
          </w:tcPr>
          <w:p w14:paraId="0ED12446" w14:textId="7D64AD1B" w:rsidR="78D6DB4F" w:rsidRPr="0047337F" w:rsidRDefault="0061058A" w:rsidP="00323F71">
            <w:pPr>
              <w:rPr>
                <w:rFonts w:ascii="Arial" w:eastAsia="Arial" w:hAnsi="Arial" w:cs="Arial"/>
                <w:sz w:val="18"/>
                <w:szCs w:val="18"/>
              </w:rPr>
            </w:pPr>
            <w:r w:rsidRPr="0061058A">
              <w:rPr>
                <w:rFonts w:ascii="Arial" w:eastAsia="Arial" w:hAnsi="Arial" w:cs="Arial"/>
                <w:sz w:val="18"/>
                <w:szCs w:val="18"/>
              </w:rPr>
              <w:t>Governance for sustainable infrastructure</w:t>
            </w:r>
          </w:p>
        </w:tc>
        <w:tc>
          <w:tcPr>
            <w:tcW w:w="1450" w:type="dxa"/>
            <w:vAlign w:val="center"/>
          </w:tcPr>
          <w:p w14:paraId="4C2FDCE3" w14:textId="5FD64EC0"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125,000</w:t>
            </w:r>
          </w:p>
        </w:tc>
        <w:tc>
          <w:tcPr>
            <w:tcW w:w="900" w:type="dxa"/>
            <w:vAlign w:val="center"/>
          </w:tcPr>
          <w:p w14:paraId="5D7487A1" w14:textId="5017BD6D" w:rsidR="78D6DB4F" w:rsidRPr="0047337F" w:rsidRDefault="78D6DB4F" w:rsidP="00323F71">
            <w:pPr>
              <w:jc w:val="center"/>
              <w:rPr>
                <w:rFonts w:ascii="Arial" w:eastAsia="Arial" w:hAnsi="Arial" w:cs="Arial"/>
                <w:sz w:val="18"/>
                <w:szCs w:val="18"/>
              </w:rPr>
            </w:pPr>
            <w:r w:rsidRPr="0047337F">
              <w:rPr>
                <w:rFonts w:ascii="Arial" w:eastAsia="Arial" w:hAnsi="Arial" w:cs="Arial"/>
                <w:sz w:val="18"/>
                <w:szCs w:val="18"/>
              </w:rPr>
              <w:t>125,000</w:t>
            </w:r>
          </w:p>
        </w:tc>
      </w:tr>
      <w:tr w:rsidR="78D6DB4F" w:rsidRPr="008275A3" w14:paraId="0F2D5433" w14:textId="77777777" w:rsidTr="00323F71">
        <w:trPr>
          <w:trHeight w:val="249"/>
        </w:trPr>
        <w:tc>
          <w:tcPr>
            <w:tcW w:w="5660" w:type="dxa"/>
            <w:gridSpan w:val="2"/>
            <w:shd w:val="clear" w:color="auto" w:fill="EEECE1" w:themeFill="background2"/>
          </w:tcPr>
          <w:p w14:paraId="76608167" w14:textId="39022F77" w:rsidR="78D6DB4F" w:rsidRPr="0047337F" w:rsidRDefault="78D6DB4F" w:rsidP="00323F71">
            <w:pPr>
              <w:jc w:val="right"/>
              <w:rPr>
                <w:rFonts w:ascii="Arial" w:eastAsia="Arial" w:hAnsi="Arial" w:cs="Arial"/>
                <w:sz w:val="18"/>
                <w:szCs w:val="18"/>
              </w:rPr>
            </w:pPr>
            <w:r w:rsidRPr="0047337F">
              <w:rPr>
                <w:rFonts w:ascii="Arial" w:eastAsia="Arial" w:hAnsi="Arial" w:cs="Arial"/>
                <w:b/>
                <w:bCs/>
                <w:sz w:val="18"/>
                <w:szCs w:val="18"/>
              </w:rPr>
              <w:t>TOTAL</w:t>
            </w:r>
          </w:p>
        </w:tc>
        <w:tc>
          <w:tcPr>
            <w:tcW w:w="1450" w:type="dxa"/>
            <w:shd w:val="clear" w:color="auto" w:fill="EEECE1" w:themeFill="background2"/>
            <w:vAlign w:val="center"/>
          </w:tcPr>
          <w:p w14:paraId="4CC791AF" w14:textId="680A58C1"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600.000</w:t>
            </w:r>
          </w:p>
        </w:tc>
        <w:tc>
          <w:tcPr>
            <w:tcW w:w="900" w:type="dxa"/>
            <w:shd w:val="clear" w:color="auto" w:fill="EEECE1" w:themeFill="background2"/>
            <w:vAlign w:val="center"/>
          </w:tcPr>
          <w:p w14:paraId="42590840" w14:textId="1448BC55" w:rsidR="78D6DB4F" w:rsidRPr="0047337F" w:rsidRDefault="78D6DB4F" w:rsidP="00323F71">
            <w:pPr>
              <w:jc w:val="center"/>
              <w:rPr>
                <w:rFonts w:ascii="Arial" w:eastAsia="Arial" w:hAnsi="Arial" w:cs="Arial"/>
                <w:sz w:val="18"/>
                <w:szCs w:val="18"/>
              </w:rPr>
            </w:pPr>
            <w:r w:rsidRPr="0047337F">
              <w:rPr>
                <w:rFonts w:ascii="Arial" w:eastAsia="Arial" w:hAnsi="Arial" w:cs="Arial"/>
                <w:b/>
                <w:bCs/>
                <w:sz w:val="18"/>
                <w:szCs w:val="18"/>
              </w:rPr>
              <w:t>600.000</w:t>
            </w:r>
          </w:p>
        </w:tc>
      </w:tr>
    </w:tbl>
    <w:p w14:paraId="6B9AE7E7" w14:textId="643A4E23" w:rsidR="00472C12" w:rsidRPr="00F90A46" w:rsidRDefault="31043AE7" w:rsidP="00516D72">
      <w:pPr>
        <w:spacing w:before="240" w:after="120" w:line="240" w:lineRule="auto"/>
        <w:ind w:left="540" w:hanging="540"/>
        <w:rPr>
          <w:rFonts w:ascii="Arial" w:eastAsia="Arial" w:hAnsi="Arial" w:cs="Arial"/>
          <w:color w:val="000000" w:themeColor="text1"/>
        </w:rPr>
      </w:pPr>
      <w:r w:rsidRPr="00F90A46">
        <w:rPr>
          <w:rFonts w:ascii="Arial" w:eastAsia="Arial" w:hAnsi="Arial" w:cs="Arial"/>
          <w:b/>
          <w:bCs/>
          <w:color w:val="000000" w:themeColor="text1"/>
        </w:rPr>
        <w:t>IV.</w:t>
      </w:r>
      <w:r w:rsidR="00516D72">
        <w:rPr>
          <w:rFonts w:ascii="Arial" w:hAnsi="Arial" w:cs="Arial"/>
        </w:rPr>
        <w:tab/>
      </w:r>
      <w:r w:rsidRPr="00F90A46">
        <w:rPr>
          <w:rFonts w:ascii="Arial" w:eastAsia="Arial" w:hAnsi="Arial" w:cs="Arial"/>
          <w:b/>
          <w:bCs/>
          <w:color w:val="000000" w:themeColor="text1"/>
        </w:rPr>
        <w:t>Executing Agency and Execution Structure</w:t>
      </w:r>
    </w:p>
    <w:p w14:paraId="182A27E6" w14:textId="4F2DBF5A" w:rsidR="00472C12" w:rsidRPr="00F90A46" w:rsidRDefault="31043AE7" w:rsidP="00516D72">
      <w:pPr>
        <w:spacing w:before="200" w:line="240" w:lineRule="auto"/>
        <w:ind w:left="540" w:hanging="540"/>
        <w:jc w:val="both"/>
        <w:rPr>
          <w:rFonts w:ascii="Arial" w:eastAsia="Arial" w:hAnsi="Arial" w:cs="Arial"/>
          <w:color w:val="000000" w:themeColor="text1"/>
        </w:rPr>
      </w:pPr>
      <w:r w:rsidRPr="00F90A46">
        <w:rPr>
          <w:rFonts w:ascii="Arial" w:eastAsia="Arial" w:hAnsi="Arial" w:cs="Arial"/>
          <w:color w:val="000000" w:themeColor="text1"/>
        </w:rPr>
        <w:t xml:space="preserve">4.1.  </w:t>
      </w:r>
      <w:r w:rsidR="00516D72">
        <w:rPr>
          <w:rFonts w:ascii="Arial" w:eastAsia="Arial" w:hAnsi="Arial" w:cs="Arial"/>
          <w:color w:val="000000" w:themeColor="text1"/>
        </w:rPr>
        <w:tab/>
      </w:r>
      <w:r w:rsidRPr="00F90A46">
        <w:rPr>
          <w:rFonts w:ascii="Arial" w:eastAsia="Arial" w:hAnsi="Arial" w:cs="Arial"/>
          <w:color w:val="000000" w:themeColor="text1"/>
        </w:rPr>
        <w:t xml:space="preserve">The IDB will act as the Executing Agency, given the request of the government. The IDB Country Office will be responsible for the supervision and implementation of the resources. The execution of the TC will be led by the Climate Change and Sustainability Division (CSD/CCS) in close coordination with the relevant divisions of the Bank such as Transport (INE/TSP) and the public-private partnership group (VPC/PPP). </w:t>
      </w:r>
    </w:p>
    <w:p w14:paraId="77801839" w14:textId="0BC29778" w:rsidR="00472C12" w:rsidRPr="00F90A46" w:rsidRDefault="31043AE7" w:rsidP="006E6818">
      <w:pPr>
        <w:spacing w:before="20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t xml:space="preserve">4.2.   The IDB will execute the operation given its ability to leverage its extensive network of internal and external subject-matter experts and well-established relationships with involved stakeholders, as well as its expertise in the transport, climate change and PPP areas. The project will leverage synergies and complementary with other IDB operations, </w:t>
      </w:r>
      <w:r w:rsidR="0015059D">
        <w:rPr>
          <w:rFonts w:ascii="Arial" w:eastAsia="Arial" w:hAnsi="Arial" w:cs="Arial"/>
          <w:color w:val="000000" w:themeColor="text1"/>
        </w:rPr>
        <w:t xml:space="preserve">particularly, </w:t>
      </w:r>
      <w:r w:rsidR="0015059D" w:rsidRPr="00F90A46">
        <w:rPr>
          <w:rFonts w:ascii="Arial" w:eastAsia="Arial" w:hAnsi="Arial" w:cs="Arial"/>
          <w:color w:val="000000" w:themeColor="text1"/>
        </w:rPr>
        <w:t>from</w:t>
      </w:r>
      <w:r w:rsidRPr="00F90A46">
        <w:rPr>
          <w:rFonts w:ascii="Arial" w:eastAsia="Arial" w:hAnsi="Arial" w:cs="Arial"/>
          <w:color w:val="000000" w:themeColor="text1"/>
        </w:rPr>
        <w:t xml:space="preserve"> the UKSIP, as well as other projects from the UK Embassy in Colombia. </w:t>
      </w:r>
    </w:p>
    <w:p w14:paraId="546A5E5D" w14:textId="17B0EA99" w:rsidR="31043AE7" w:rsidRDefault="31043AE7" w:rsidP="1C415C4B">
      <w:pPr>
        <w:spacing w:before="200" w:line="240" w:lineRule="auto"/>
        <w:ind w:left="579" w:hanging="579"/>
        <w:jc w:val="both"/>
        <w:rPr>
          <w:rFonts w:ascii="Arial" w:eastAsia="Arial" w:hAnsi="Arial" w:cs="Arial"/>
        </w:rPr>
      </w:pPr>
      <w:r w:rsidRPr="1C415C4B">
        <w:rPr>
          <w:rFonts w:ascii="Arial" w:eastAsia="Arial" w:hAnsi="Arial" w:cs="Arial"/>
          <w:color w:val="000000" w:themeColor="text1"/>
        </w:rPr>
        <w:t xml:space="preserve">4.3.  </w:t>
      </w:r>
      <w:r>
        <w:tab/>
      </w:r>
      <w:r w:rsidR="00A61C13" w:rsidRPr="1C415C4B">
        <w:rPr>
          <w:rFonts w:ascii="Arial" w:eastAsia="Arial" w:hAnsi="Arial" w:cs="Arial"/>
          <w:color w:val="000000" w:themeColor="text1"/>
        </w:rPr>
        <w:t>The Bank will follow its procurement policies and guidelines related to contracting processes: (i) individual consultants will be hired according to the guidelines established in policy AM-650; (ii) consulting firms of an intellectual nature will be hired according to the “Policy for the selection and contracting of consulting firms for operational work carried out by the Bank” (GN-2765-4) and its Operational Guides (OP</w:t>
      </w:r>
      <w:r w:rsidR="00516D72">
        <w:rPr>
          <w:rFonts w:ascii="Arial" w:eastAsia="Arial" w:hAnsi="Arial" w:cs="Arial"/>
          <w:color w:val="000000" w:themeColor="text1"/>
        </w:rPr>
        <w:t>-</w:t>
      </w:r>
      <w:r w:rsidR="00A61C13" w:rsidRPr="1C415C4B">
        <w:rPr>
          <w:rFonts w:ascii="Arial" w:eastAsia="Arial" w:hAnsi="Arial" w:cs="Arial"/>
          <w:color w:val="000000" w:themeColor="text1"/>
        </w:rPr>
        <w:t>1155</w:t>
      </w:r>
      <w:r w:rsidR="00516D72">
        <w:rPr>
          <w:rFonts w:ascii="Arial" w:eastAsia="Arial" w:hAnsi="Arial" w:cs="Arial"/>
          <w:color w:val="000000" w:themeColor="text1"/>
        </w:rPr>
        <w:t>-</w:t>
      </w:r>
      <w:r w:rsidR="00A61C13" w:rsidRPr="1C415C4B">
        <w:rPr>
          <w:rFonts w:ascii="Arial" w:eastAsia="Arial" w:hAnsi="Arial" w:cs="Arial"/>
          <w:color w:val="000000" w:themeColor="text1"/>
        </w:rPr>
        <w:t>4); and (iii) other non-consulting services in accordance with the “IDB Institutional Procurement Policy” (GN-2303-28).</w:t>
      </w:r>
    </w:p>
    <w:p w14:paraId="17FC0F68" w14:textId="6D3ACC32" w:rsidR="74195142" w:rsidRDefault="74195142" w:rsidP="1C415C4B">
      <w:pPr>
        <w:spacing w:before="200" w:line="240" w:lineRule="auto"/>
        <w:ind w:left="579" w:hanging="579"/>
        <w:jc w:val="both"/>
        <w:rPr>
          <w:rFonts w:ascii="Arial" w:eastAsia="Arial" w:hAnsi="Arial" w:cs="Arial"/>
        </w:rPr>
      </w:pPr>
      <w:r w:rsidRPr="1C415C4B">
        <w:rPr>
          <w:rFonts w:ascii="Arial" w:eastAsia="Arial" w:hAnsi="Arial" w:cs="Arial"/>
          <w:color w:val="000000" w:themeColor="text1"/>
        </w:rPr>
        <w:t xml:space="preserve">4.4.  </w:t>
      </w:r>
      <w:r w:rsidR="00B216E7">
        <w:rPr>
          <w:rFonts w:ascii="Arial" w:eastAsia="Arial" w:hAnsi="Arial" w:cs="Arial"/>
          <w:color w:val="000000" w:themeColor="text1"/>
        </w:rPr>
        <w:tab/>
      </w:r>
      <w:r w:rsidR="00B216E7" w:rsidRPr="00B216E7">
        <w:rPr>
          <w:rFonts w:ascii="Arial" w:eastAsia="Arial" w:hAnsi="Arial" w:cs="Arial"/>
          <w:color w:val="000000" w:themeColor="text1"/>
        </w:rPr>
        <w:t>The project will not be declared eligible until a non-objection letter is obtained from the country’s official liaison entity.</w:t>
      </w:r>
    </w:p>
    <w:p w14:paraId="00F0EE0B" w14:textId="1ED8ECCC" w:rsidR="00472C12" w:rsidRPr="00F90A46" w:rsidRDefault="31043AE7" w:rsidP="006E6818">
      <w:pPr>
        <w:spacing w:before="200" w:after="120" w:line="240" w:lineRule="auto"/>
        <w:ind w:left="579" w:hanging="579"/>
        <w:jc w:val="both"/>
        <w:rPr>
          <w:rFonts w:ascii="Arial" w:eastAsia="Arial" w:hAnsi="Arial" w:cs="Arial"/>
          <w:color w:val="000000" w:themeColor="text1"/>
        </w:rPr>
      </w:pPr>
      <w:r w:rsidRPr="00F90A46">
        <w:rPr>
          <w:rFonts w:ascii="Arial" w:eastAsia="Arial" w:hAnsi="Arial" w:cs="Arial"/>
          <w:b/>
          <w:bCs/>
          <w:color w:val="000000" w:themeColor="text1"/>
        </w:rPr>
        <w:t>V.</w:t>
      </w:r>
      <w:r w:rsidR="54260729">
        <w:tab/>
      </w:r>
      <w:r w:rsidR="00A15F22">
        <w:rPr>
          <w:rFonts w:ascii="Arial" w:eastAsia="Arial" w:hAnsi="Arial" w:cs="Arial"/>
          <w:b/>
          <w:bCs/>
          <w:color w:val="000000" w:themeColor="text1"/>
        </w:rPr>
        <w:t>Major</w:t>
      </w:r>
      <w:r w:rsidRPr="00F90A46">
        <w:rPr>
          <w:rFonts w:ascii="Arial" w:eastAsia="Arial" w:hAnsi="Arial" w:cs="Arial"/>
          <w:b/>
          <w:bCs/>
          <w:color w:val="000000" w:themeColor="text1"/>
        </w:rPr>
        <w:t xml:space="preserve"> Issues</w:t>
      </w:r>
    </w:p>
    <w:p w14:paraId="04FA33FD" w14:textId="549C4383" w:rsidR="00472C12" w:rsidRPr="00F90A46" w:rsidRDefault="31043AE7" w:rsidP="006E6818">
      <w:pPr>
        <w:spacing w:before="200" w:after="120" w:line="240" w:lineRule="auto"/>
        <w:ind w:left="576" w:hanging="576"/>
        <w:jc w:val="both"/>
        <w:rPr>
          <w:rFonts w:ascii="Arial" w:eastAsia="Arial" w:hAnsi="Arial" w:cs="Arial"/>
          <w:color w:val="000000" w:themeColor="text1"/>
        </w:rPr>
      </w:pPr>
      <w:r w:rsidRPr="00F90A46">
        <w:rPr>
          <w:rFonts w:ascii="Arial" w:eastAsia="Arial" w:hAnsi="Arial" w:cs="Arial"/>
          <w:color w:val="000000" w:themeColor="text1"/>
        </w:rPr>
        <w:t xml:space="preserve">5.1. </w:t>
      </w:r>
      <w:r w:rsidR="54260729" w:rsidRPr="00F90A46">
        <w:rPr>
          <w:rFonts w:ascii="Arial" w:hAnsi="Arial" w:cs="Arial"/>
        </w:rPr>
        <w:tab/>
      </w:r>
      <w:r w:rsidRPr="00F90A46">
        <w:rPr>
          <w:rFonts w:ascii="Arial" w:eastAsia="Arial" w:hAnsi="Arial" w:cs="Arial"/>
          <w:color w:val="000000" w:themeColor="text1"/>
        </w:rPr>
        <w:t xml:space="preserve">Challenges in the availability and capacity of government counterparts to provide feedback during the development of the different outputs, and thus ensure ownership and relevance to the context and needs of the country. To mitigate this risk, a work plan will be agreed upon with government stakeholders specifying timeframes and roles from all parties involved. The scope of the TC has been adjusted by to meet the priorities of the new elected government as reflected in the TC document. </w:t>
      </w:r>
    </w:p>
    <w:p w14:paraId="51A17C6B" w14:textId="3C416A27" w:rsidR="00472C12" w:rsidRPr="00F90A46" w:rsidRDefault="31043AE7" w:rsidP="006E6818">
      <w:pPr>
        <w:spacing w:before="20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lastRenderedPageBreak/>
        <w:t>5.2    Delays in the development of the studies due to potential difficulties in coordinating the different counterparts involved within the transport</w:t>
      </w:r>
      <w:r w:rsidR="00C0243E">
        <w:rPr>
          <w:rFonts w:ascii="Arial" w:eastAsia="Arial" w:hAnsi="Arial" w:cs="Arial"/>
          <w:color w:val="000000" w:themeColor="text1"/>
        </w:rPr>
        <w:t>ation</w:t>
      </w:r>
      <w:r w:rsidRPr="00F90A46">
        <w:rPr>
          <w:rFonts w:ascii="Arial" w:eastAsia="Arial" w:hAnsi="Arial" w:cs="Arial"/>
          <w:color w:val="000000" w:themeColor="text1"/>
        </w:rPr>
        <w:t xml:space="preserve"> sector and/or difficulties from displacement for field work associated to climatological events. These risks will be mitigated by involving the counterparts from the beginning of the planning and execution of the TC and planning for in-person a virtual meeting within the consultancies work plans.   </w:t>
      </w:r>
    </w:p>
    <w:p w14:paraId="6FCA2788" w14:textId="7924A5FA" w:rsidR="00472C12" w:rsidRPr="00F90A46" w:rsidRDefault="31043AE7" w:rsidP="00516D72">
      <w:pPr>
        <w:spacing w:before="120" w:after="120" w:line="240" w:lineRule="auto"/>
        <w:ind w:left="540" w:hanging="540"/>
        <w:rPr>
          <w:rFonts w:ascii="Arial" w:eastAsia="Arial" w:hAnsi="Arial" w:cs="Arial"/>
          <w:color w:val="000000" w:themeColor="text1"/>
        </w:rPr>
      </w:pPr>
      <w:r w:rsidRPr="00F90A46">
        <w:rPr>
          <w:rFonts w:ascii="Arial" w:eastAsia="Arial" w:hAnsi="Arial" w:cs="Arial"/>
          <w:b/>
          <w:bCs/>
          <w:color w:val="000000" w:themeColor="text1"/>
        </w:rPr>
        <w:t xml:space="preserve">VI. </w:t>
      </w:r>
      <w:r w:rsidR="00516D72">
        <w:rPr>
          <w:rFonts w:ascii="Arial" w:eastAsia="Arial" w:hAnsi="Arial" w:cs="Arial"/>
          <w:b/>
          <w:bCs/>
          <w:color w:val="000000" w:themeColor="text1"/>
        </w:rPr>
        <w:tab/>
      </w:r>
      <w:r w:rsidRPr="00F90A46">
        <w:rPr>
          <w:rFonts w:ascii="Arial" w:eastAsia="Arial" w:hAnsi="Arial" w:cs="Arial"/>
          <w:b/>
          <w:bCs/>
          <w:color w:val="000000" w:themeColor="text1"/>
        </w:rPr>
        <w:t>Exceptions to Bank Policy:</w:t>
      </w:r>
    </w:p>
    <w:p w14:paraId="15E19F8D" w14:textId="0608AC6F" w:rsidR="00472C12" w:rsidRPr="00F90A46" w:rsidRDefault="31043AE7" w:rsidP="006E6818">
      <w:pPr>
        <w:spacing w:before="200" w:line="240" w:lineRule="auto"/>
        <w:ind w:left="579" w:hanging="579"/>
        <w:jc w:val="both"/>
        <w:rPr>
          <w:rFonts w:ascii="Arial" w:eastAsia="Arial" w:hAnsi="Arial" w:cs="Arial"/>
          <w:color w:val="000000" w:themeColor="text1"/>
        </w:rPr>
      </w:pPr>
      <w:r w:rsidRPr="00F90A46">
        <w:rPr>
          <w:rFonts w:ascii="Arial" w:eastAsia="Arial" w:hAnsi="Arial" w:cs="Arial"/>
          <w:color w:val="000000" w:themeColor="text1"/>
        </w:rPr>
        <w:t>6.1.   No exceptions to Bank policies have been identified.</w:t>
      </w:r>
    </w:p>
    <w:p w14:paraId="70279E98" w14:textId="34922E77" w:rsidR="00472C12" w:rsidRPr="00F90A46" w:rsidRDefault="31043AE7" w:rsidP="006E6818">
      <w:pPr>
        <w:spacing w:before="120" w:after="120" w:line="240" w:lineRule="auto"/>
        <w:ind w:left="579" w:hanging="579"/>
        <w:rPr>
          <w:rFonts w:ascii="Arial" w:eastAsia="Arial" w:hAnsi="Arial" w:cs="Arial"/>
          <w:color w:val="000000" w:themeColor="text1"/>
        </w:rPr>
      </w:pPr>
      <w:r w:rsidRPr="00F90A46">
        <w:rPr>
          <w:rFonts w:ascii="Arial" w:eastAsia="Arial" w:hAnsi="Arial" w:cs="Arial"/>
          <w:b/>
          <w:bCs/>
          <w:color w:val="000000" w:themeColor="text1"/>
        </w:rPr>
        <w:t>VII.</w:t>
      </w:r>
      <w:r w:rsidR="54260729" w:rsidRPr="00F90A46">
        <w:rPr>
          <w:rFonts w:ascii="Arial" w:hAnsi="Arial" w:cs="Arial"/>
        </w:rPr>
        <w:tab/>
      </w:r>
      <w:r w:rsidRPr="00F90A46">
        <w:rPr>
          <w:rFonts w:ascii="Arial" w:eastAsia="Arial" w:hAnsi="Arial" w:cs="Arial"/>
          <w:b/>
          <w:bCs/>
          <w:color w:val="000000" w:themeColor="text1"/>
        </w:rPr>
        <w:t xml:space="preserve">Environmental and Social </w:t>
      </w:r>
      <w:r w:rsidR="0099341F">
        <w:rPr>
          <w:rFonts w:ascii="Arial" w:eastAsia="Arial" w:hAnsi="Arial" w:cs="Arial"/>
          <w:b/>
          <w:bCs/>
          <w:color w:val="000000" w:themeColor="text1"/>
        </w:rPr>
        <w:t>Strategy</w:t>
      </w:r>
      <w:r w:rsidRPr="00F90A46">
        <w:rPr>
          <w:rFonts w:ascii="Arial" w:eastAsia="Arial" w:hAnsi="Arial" w:cs="Arial"/>
          <w:b/>
          <w:bCs/>
          <w:color w:val="000000" w:themeColor="text1"/>
        </w:rPr>
        <w:t>:</w:t>
      </w:r>
    </w:p>
    <w:p w14:paraId="3AD38600" w14:textId="32D09692" w:rsidR="006432B7" w:rsidRPr="008321FA" w:rsidRDefault="31043AE7" w:rsidP="006E6818">
      <w:pPr>
        <w:spacing w:before="200" w:line="240" w:lineRule="auto"/>
        <w:ind w:left="579" w:hanging="579"/>
        <w:jc w:val="both"/>
        <w:rPr>
          <w:rFonts w:ascii="Arial" w:eastAsia="Arial" w:hAnsi="Arial" w:cs="Arial"/>
          <w:b/>
          <w:bCs/>
          <w:color w:val="000000" w:themeColor="text1"/>
        </w:rPr>
      </w:pPr>
      <w:r w:rsidRPr="008321FA">
        <w:rPr>
          <w:rFonts w:ascii="Arial" w:eastAsia="Arial" w:hAnsi="Arial" w:cs="Arial"/>
          <w:color w:val="000000" w:themeColor="text1"/>
        </w:rPr>
        <w:t>7.1</w:t>
      </w:r>
      <w:r w:rsidR="54260729" w:rsidRPr="008321FA">
        <w:rPr>
          <w:rFonts w:ascii="Arial" w:hAnsi="Arial" w:cs="Arial"/>
        </w:rPr>
        <w:tab/>
      </w:r>
      <w:r w:rsidR="008321FA" w:rsidRPr="008321FA">
        <w:rPr>
          <w:rFonts w:ascii="Arial" w:hAnsi="Arial" w:cs="Arial"/>
        </w:rPr>
        <w:t>This technical cooperation is not intended to finance pre-feasibility or feasibility studies of specific investment projects or environmental and social studies associated with them; therefore, this TC does not have applicable requirements of the Bank's Environmental and Social Policy Framework (ESPF).</w:t>
      </w:r>
    </w:p>
    <w:p w14:paraId="1B2665EA" w14:textId="522ACA20" w:rsidR="00472C12" w:rsidRPr="00F90A46" w:rsidRDefault="31043AE7" w:rsidP="00516D72">
      <w:pPr>
        <w:spacing w:before="240" w:after="120"/>
        <w:ind w:left="810" w:hanging="274"/>
        <w:jc w:val="both"/>
        <w:rPr>
          <w:rFonts w:ascii="Arial" w:eastAsia="Arial" w:hAnsi="Arial" w:cs="Arial"/>
          <w:color w:val="000000" w:themeColor="text1"/>
        </w:rPr>
      </w:pPr>
      <w:r w:rsidRPr="00F90A46">
        <w:rPr>
          <w:rFonts w:ascii="Arial" w:eastAsia="Arial" w:hAnsi="Arial" w:cs="Arial"/>
          <w:b/>
          <w:bCs/>
          <w:color w:val="000000" w:themeColor="text1"/>
        </w:rPr>
        <w:t>Required Annexes</w:t>
      </w:r>
    </w:p>
    <w:p w14:paraId="6CA50837" w14:textId="1A43C58B" w:rsidR="006432B7" w:rsidRPr="00F90A46" w:rsidRDefault="0014421E" w:rsidP="00516D72">
      <w:pPr>
        <w:pStyle w:val="ListParagraph"/>
        <w:numPr>
          <w:ilvl w:val="0"/>
          <w:numId w:val="2"/>
        </w:numPr>
        <w:spacing w:before="120" w:after="120" w:line="240" w:lineRule="auto"/>
        <w:ind w:left="907"/>
        <w:contextualSpacing w:val="0"/>
        <w:jc w:val="both"/>
        <w:rPr>
          <w:rFonts w:ascii="Arial" w:eastAsia="Calibri" w:hAnsi="Arial" w:cs="Arial"/>
          <w:color w:val="000000" w:themeColor="text1"/>
        </w:rPr>
      </w:pPr>
      <w:hyperlink r:id="rId21">
        <w:r w:rsidR="006432B7" w:rsidRPr="15C1A6CC">
          <w:rPr>
            <w:rStyle w:val="Hyperlink"/>
            <w:rFonts w:ascii="Arial" w:eastAsia="Arial" w:hAnsi="Arial" w:cs="Arial"/>
          </w:rPr>
          <w:t>Request from the client</w:t>
        </w:r>
      </w:hyperlink>
    </w:p>
    <w:p w14:paraId="12390FC8" w14:textId="2C5B0B6F" w:rsidR="006432B7" w:rsidRPr="00F90A46" w:rsidRDefault="0014421E" w:rsidP="00516D72">
      <w:pPr>
        <w:pStyle w:val="ListParagraph"/>
        <w:numPr>
          <w:ilvl w:val="0"/>
          <w:numId w:val="2"/>
        </w:numPr>
        <w:spacing w:before="120" w:after="120" w:line="240" w:lineRule="auto"/>
        <w:ind w:left="907"/>
        <w:contextualSpacing w:val="0"/>
        <w:jc w:val="both"/>
        <w:rPr>
          <w:rFonts w:ascii="Arial" w:eastAsia="Calibri" w:hAnsi="Arial" w:cs="Arial"/>
          <w:color w:val="000000" w:themeColor="text1"/>
        </w:rPr>
      </w:pPr>
      <w:hyperlink r:id="rId22">
        <w:r w:rsidR="006432B7" w:rsidRPr="3068573A">
          <w:rPr>
            <w:rStyle w:val="Hyperlink"/>
            <w:rFonts w:ascii="Arial" w:eastAsia="Arial" w:hAnsi="Arial" w:cs="Arial"/>
          </w:rPr>
          <w:t>Results Matrix</w:t>
        </w:r>
      </w:hyperlink>
    </w:p>
    <w:p w14:paraId="321F316A" w14:textId="08CD186C" w:rsidR="006432B7" w:rsidRPr="00F90A46" w:rsidRDefault="0014421E" w:rsidP="00516D72">
      <w:pPr>
        <w:pStyle w:val="ListParagraph"/>
        <w:numPr>
          <w:ilvl w:val="0"/>
          <w:numId w:val="2"/>
        </w:numPr>
        <w:spacing w:before="120" w:after="120" w:line="240" w:lineRule="auto"/>
        <w:ind w:left="907"/>
        <w:contextualSpacing w:val="0"/>
        <w:jc w:val="both"/>
        <w:rPr>
          <w:rFonts w:ascii="Arial" w:eastAsia="Calibri" w:hAnsi="Arial" w:cs="Arial"/>
          <w:color w:val="000000" w:themeColor="text1"/>
        </w:rPr>
      </w:pPr>
      <w:hyperlink r:id="rId23">
        <w:r w:rsidR="006432B7" w:rsidRPr="3068573A">
          <w:rPr>
            <w:rStyle w:val="Hyperlink"/>
            <w:rFonts w:ascii="Arial" w:eastAsia="Arial" w:hAnsi="Arial" w:cs="Arial"/>
          </w:rPr>
          <w:t>Terms of Reference</w:t>
        </w:r>
      </w:hyperlink>
    </w:p>
    <w:p w14:paraId="71B78D77" w14:textId="63A06AE8" w:rsidR="006432B7" w:rsidRPr="00F90A46" w:rsidRDefault="0014421E" w:rsidP="00516D72">
      <w:pPr>
        <w:pStyle w:val="ListParagraph"/>
        <w:numPr>
          <w:ilvl w:val="0"/>
          <w:numId w:val="2"/>
        </w:numPr>
        <w:spacing w:before="120" w:after="120" w:line="240" w:lineRule="auto"/>
        <w:ind w:left="907"/>
        <w:contextualSpacing w:val="0"/>
        <w:jc w:val="both"/>
        <w:rPr>
          <w:rFonts w:ascii="Arial" w:eastAsia="Calibri" w:hAnsi="Arial" w:cs="Arial"/>
          <w:color w:val="000000" w:themeColor="text1"/>
        </w:rPr>
      </w:pPr>
      <w:hyperlink r:id="rId24">
        <w:r w:rsidR="006432B7" w:rsidRPr="3068573A">
          <w:rPr>
            <w:rStyle w:val="Hyperlink"/>
            <w:rFonts w:ascii="Arial" w:eastAsia="Arial" w:hAnsi="Arial" w:cs="Arial"/>
          </w:rPr>
          <w:t>Procurement Plan</w:t>
        </w:r>
      </w:hyperlink>
    </w:p>
    <w:p w14:paraId="4D8E3988" w14:textId="423999F8" w:rsidR="0B914E30" w:rsidRDefault="0014421E" w:rsidP="00516D72">
      <w:pPr>
        <w:pStyle w:val="ListParagraph"/>
        <w:numPr>
          <w:ilvl w:val="0"/>
          <w:numId w:val="2"/>
        </w:numPr>
        <w:spacing w:before="120" w:after="120" w:line="240" w:lineRule="auto"/>
        <w:ind w:left="907"/>
        <w:contextualSpacing w:val="0"/>
        <w:jc w:val="both"/>
        <w:rPr>
          <w:rFonts w:ascii="Arial" w:eastAsia="Calibri" w:hAnsi="Arial" w:cs="Arial"/>
          <w:color w:val="000000" w:themeColor="text1"/>
        </w:rPr>
      </w:pPr>
      <w:hyperlink r:id="rId25">
        <w:r w:rsidR="0B914E30" w:rsidRPr="3068573A">
          <w:rPr>
            <w:rStyle w:val="Hyperlink"/>
            <w:rFonts w:ascii="Arial" w:eastAsia="Calibri" w:hAnsi="Arial" w:cs="Arial"/>
          </w:rPr>
          <w:t>Gender and Diversity</w:t>
        </w:r>
        <w:r w:rsidR="720590F8" w:rsidRPr="3068573A">
          <w:rPr>
            <w:rStyle w:val="Hyperlink"/>
            <w:rFonts w:ascii="Arial" w:eastAsia="Calibri" w:hAnsi="Arial" w:cs="Arial"/>
          </w:rPr>
          <w:t xml:space="preserve"> Checklist</w:t>
        </w:r>
      </w:hyperlink>
    </w:p>
    <w:sdt>
      <w:sdtPr>
        <w:alias w:val="ANNEXES"/>
        <w:tag w:val="ANNEXES"/>
        <w:id w:val="1223638992"/>
        <w:placeholder>
          <w:docPart w:val="531BF81596444BD796C4BF8AD35E84CA"/>
        </w:placeholder>
        <w:showingPlcHdr/>
      </w:sdtPr>
      <w:sdtEndPr/>
      <w:sdtContent>
        <w:p w14:paraId="5874C08C" w14:textId="24BB7138" w:rsidR="00323F71" w:rsidRPr="00CB6E4A" w:rsidRDefault="00CB6E4A" w:rsidP="00CB6E4A">
          <w:pPr>
            <w:rPr>
              <w:lang w:val="es-CO"/>
            </w:rPr>
          </w:pPr>
          <w:r w:rsidRPr="00CB6E4A">
            <w:rPr>
              <w:rStyle w:val="PlaceholderText"/>
              <w:lang w:val="es-CO"/>
            </w:rPr>
            <w:t>Haga clic aquí para escribir texto.</w:t>
          </w:r>
        </w:p>
      </w:sdtContent>
    </w:sdt>
    <w:p w14:paraId="3BBAB237" w14:textId="5052A996" w:rsidR="00472C12" w:rsidRPr="00CB6E4A" w:rsidRDefault="00CB6E4A" w:rsidP="00416BF1">
      <w:pPr>
        <w:spacing w:before="120" w:after="120"/>
        <w:jc w:val="both"/>
        <w:rPr>
          <w:rFonts w:ascii="Arial" w:eastAsia="Arial" w:hAnsi="Arial" w:cs="Arial"/>
          <w:lang w:val="es-CO"/>
        </w:rPr>
      </w:pPr>
      <w:r>
        <w:rPr>
          <w:rFonts w:ascii="Arial" w:eastAsia="Arial" w:hAnsi="Arial" w:cs="Arial"/>
          <w:lang w:val="es-CO"/>
        </w:rPr>
        <w:t xml:space="preserve"> </w:t>
      </w:r>
      <w:r>
        <w:rPr>
          <w:rFonts w:ascii="Arial" w:eastAsia="Arial" w:hAnsi="Arial" w:cs="Arial"/>
          <w:lang w:val="es-CO"/>
        </w:rPr>
        <w:tab/>
      </w:r>
    </w:p>
    <w:sectPr w:rsidR="00472C12" w:rsidRPr="00CB6E4A" w:rsidSect="00855325">
      <w:headerReference w:type="default" r:id="rId26"/>
      <w:footerReference w:type="default" r:id="rId27"/>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B7589" w14:textId="77777777" w:rsidR="00DE18B8" w:rsidRDefault="00DE18B8" w:rsidP="0095711B">
      <w:pPr>
        <w:spacing w:after="0" w:line="240" w:lineRule="auto"/>
      </w:pPr>
      <w:r>
        <w:separator/>
      </w:r>
    </w:p>
  </w:endnote>
  <w:endnote w:type="continuationSeparator" w:id="0">
    <w:p w14:paraId="7DFB4519" w14:textId="77777777" w:rsidR="00DE18B8" w:rsidRDefault="00DE18B8" w:rsidP="0095711B">
      <w:pPr>
        <w:spacing w:after="0" w:line="240" w:lineRule="auto"/>
      </w:pPr>
      <w:r>
        <w:continuationSeparator/>
      </w:r>
    </w:p>
  </w:endnote>
  <w:endnote w:type="continuationNotice" w:id="1">
    <w:p w14:paraId="53991413" w14:textId="77777777" w:rsidR="00DE18B8" w:rsidRDefault="00DE18B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B23E" w14:textId="77777777" w:rsidR="009F3CA2" w:rsidRDefault="009F3CA2">
    <w:pPr>
      <w:pStyle w:val="Footer"/>
      <w:jc w:val="center"/>
    </w:pPr>
  </w:p>
  <w:p w14:paraId="3BBAB23F"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FFB759" w14:textId="77777777" w:rsidR="00DE18B8" w:rsidRDefault="00DE18B8" w:rsidP="0095711B">
      <w:pPr>
        <w:spacing w:after="0" w:line="240" w:lineRule="auto"/>
      </w:pPr>
      <w:r>
        <w:separator/>
      </w:r>
    </w:p>
  </w:footnote>
  <w:footnote w:type="continuationSeparator" w:id="0">
    <w:p w14:paraId="4623B305" w14:textId="77777777" w:rsidR="00DE18B8" w:rsidRDefault="00DE18B8" w:rsidP="0095711B">
      <w:pPr>
        <w:spacing w:after="0" w:line="240" w:lineRule="auto"/>
      </w:pPr>
      <w:r>
        <w:continuationSeparator/>
      </w:r>
    </w:p>
  </w:footnote>
  <w:footnote w:type="continuationNotice" w:id="1">
    <w:p w14:paraId="6C93CEDE" w14:textId="77777777" w:rsidR="00DE18B8" w:rsidRDefault="00DE18B8">
      <w:pPr>
        <w:spacing w:after="0" w:line="240" w:lineRule="auto"/>
      </w:pPr>
    </w:p>
  </w:footnote>
  <w:footnote w:id="2">
    <w:p w14:paraId="559161A7" w14:textId="5DA96C3E" w:rsidR="008F6078" w:rsidRPr="00625C5E" w:rsidRDefault="008F6078" w:rsidP="00323F71">
      <w:pPr>
        <w:pStyle w:val="FootnoteText"/>
        <w:ind w:hanging="180"/>
        <w:jc w:val="both"/>
        <w:rPr>
          <w:rFonts w:ascii="Arial" w:hAnsi="Arial" w:cs="Arial"/>
          <w:highlight w:val="yellow"/>
        </w:rPr>
      </w:pPr>
      <w:r w:rsidRPr="00DA00DA">
        <w:rPr>
          <w:rStyle w:val="FootnoteReference"/>
          <w:rFonts w:ascii="Arial" w:hAnsi="Arial" w:cs="Arial"/>
          <w:sz w:val="18"/>
          <w:szCs w:val="18"/>
        </w:rPr>
        <w:footnoteRef/>
      </w:r>
      <w:r w:rsidRPr="00DA00DA">
        <w:rPr>
          <w:rFonts w:ascii="Arial" w:hAnsi="Arial" w:cs="Arial"/>
          <w:sz w:val="18"/>
          <w:szCs w:val="18"/>
        </w:rPr>
        <w:t xml:space="preserve"> </w:t>
      </w:r>
      <w:r w:rsidR="00323F71">
        <w:rPr>
          <w:rFonts w:ascii="Arial" w:hAnsi="Arial" w:cs="Arial"/>
          <w:sz w:val="18"/>
          <w:szCs w:val="18"/>
        </w:rPr>
        <w:tab/>
      </w:r>
      <w:r w:rsidRPr="00DA00DA">
        <w:rPr>
          <w:rFonts w:ascii="Arial" w:hAnsi="Arial" w:cs="Arial"/>
          <w:b/>
          <w:sz w:val="18"/>
          <w:szCs w:val="18"/>
        </w:rPr>
        <w:t xml:space="preserve">CONPES 4060/2021, Line 17: </w:t>
      </w:r>
      <w:r w:rsidRPr="00DA00DA">
        <w:rPr>
          <w:rFonts w:ascii="Arial" w:hAnsi="Arial" w:cs="Arial"/>
          <w:sz w:val="18"/>
          <w:szCs w:val="18"/>
        </w:rPr>
        <w:t>Seeks to promote the inclusion of innovative proposals to develop sustainable infrastructure alternatives in the bidding and execution of PPP projects.</w:t>
      </w:r>
    </w:p>
  </w:footnote>
  <w:footnote w:id="3">
    <w:p w14:paraId="3F67545C" w14:textId="47AA74AB" w:rsidR="00DA00DA" w:rsidRPr="00247941" w:rsidRDefault="00DA00DA" w:rsidP="00323F71">
      <w:pPr>
        <w:pStyle w:val="FootnoteText"/>
        <w:ind w:hanging="180"/>
        <w:jc w:val="both"/>
      </w:pPr>
      <w:r w:rsidRPr="00DA00DA">
        <w:rPr>
          <w:rStyle w:val="FootnoteReference"/>
          <w:rFonts w:ascii="Arial" w:hAnsi="Arial" w:cs="Arial"/>
          <w:b/>
          <w:sz w:val="18"/>
          <w:szCs w:val="18"/>
        </w:rPr>
        <w:footnoteRef/>
      </w:r>
      <w:r w:rsidRPr="00DA00DA">
        <w:rPr>
          <w:rFonts w:ascii="Arial" w:hAnsi="Arial" w:cs="Arial"/>
          <w:b/>
          <w:sz w:val="18"/>
          <w:szCs w:val="18"/>
        </w:rPr>
        <w:t xml:space="preserve"> </w:t>
      </w:r>
      <w:r w:rsidR="00323F71">
        <w:rPr>
          <w:rFonts w:ascii="Arial" w:hAnsi="Arial" w:cs="Arial"/>
          <w:b/>
          <w:sz w:val="18"/>
          <w:szCs w:val="18"/>
        </w:rPr>
        <w:tab/>
      </w:r>
      <w:r w:rsidRPr="00DA00DA">
        <w:rPr>
          <w:rFonts w:ascii="Arial" w:hAnsi="Arial" w:cs="Arial"/>
          <w:b/>
          <w:sz w:val="18"/>
          <w:szCs w:val="18"/>
        </w:rPr>
        <w:t>CONPES 4060/2021 Line 18:</w:t>
      </w:r>
      <w:r w:rsidRPr="00DA00DA">
        <w:rPr>
          <w:rFonts w:ascii="Arial" w:hAnsi="Arial" w:cs="Arial"/>
          <w:sz w:val="18"/>
          <w:szCs w:val="18"/>
        </w:rPr>
        <w:t xml:space="preserve">  seeks to advance in the quantification of marketable goods to facilitate the development of environmental compensation for ecosystem impacts caused by projects.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B23C" w14:textId="2AD61C99" w:rsidR="0059194E" w:rsidRPr="00AC07CF" w:rsidRDefault="0059194E">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14:paraId="3BBAB23D" w14:textId="77777777" w:rsidR="0059194E" w:rsidRPr="00AC07CF" w:rsidRDefault="0059194E" w:rsidP="0059194E">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65631"/>
    <w:multiLevelType w:val="hybridMultilevel"/>
    <w:tmpl w:val="F83489CA"/>
    <w:lvl w:ilvl="0" w:tplc="757A2E4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BB158D"/>
    <w:multiLevelType w:val="hybridMultilevel"/>
    <w:tmpl w:val="BB402FF6"/>
    <w:lvl w:ilvl="0" w:tplc="D6F291DA">
      <w:start w:val="1"/>
      <w:numFmt w:val="lowerRoman"/>
      <w:lvlText w:val="%1)"/>
      <w:lvlJc w:val="left"/>
      <w:pPr>
        <w:ind w:left="1350" w:hanging="720"/>
      </w:pPr>
      <w:rPr>
        <w:rFonts w:hint="default"/>
      </w:rPr>
    </w:lvl>
    <w:lvl w:ilvl="1" w:tplc="240A0019" w:tentative="1">
      <w:start w:val="1"/>
      <w:numFmt w:val="lowerLetter"/>
      <w:lvlText w:val="%2."/>
      <w:lvlJc w:val="left"/>
      <w:pPr>
        <w:ind w:left="1710" w:hanging="360"/>
      </w:pPr>
    </w:lvl>
    <w:lvl w:ilvl="2" w:tplc="240A001B" w:tentative="1">
      <w:start w:val="1"/>
      <w:numFmt w:val="lowerRoman"/>
      <w:lvlText w:val="%3."/>
      <w:lvlJc w:val="right"/>
      <w:pPr>
        <w:ind w:left="2430" w:hanging="180"/>
      </w:pPr>
    </w:lvl>
    <w:lvl w:ilvl="3" w:tplc="240A000F" w:tentative="1">
      <w:start w:val="1"/>
      <w:numFmt w:val="decimal"/>
      <w:lvlText w:val="%4."/>
      <w:lvlJc w:val="left"/>
      <w:pPr>
        <w:ind w:left="3150" w:hanging="360"/>
      </w:pPr>
    </w:lvl>
    <w:lvl w:ilvl="4" w:tplc="240A0019" w:tentative="1">
      <w:start w:val="1"/>
      <w:numFmt w:val="lowerLetter"/>
      <w:lvlText w:val="%5."/>
      <w:lvlJc w:val="left"/>
      <w:pPr>
        <w:ind w:left="3870" w:hanging="360"/>
      </w:pPr>
    </w:lvl>
    <w:lvl w:ilvl="5" w:tplc="240A001B" w:tentative="1">
      <w:start w:val="1"/>
      <w:numFmt w:val="lowerRoman"/>
      <w:lvlText w:val="%6."/>
      <w:lvlJc w:val="right"/>
      <w:pPr>
        <w:ind w:left="4590" w:hanging="180"/>
      </w:pPr>
    </w:lvl>
    <w:lvl w:ilvl="6" w:tplc="240A000F" w:tentative="1">
      <w:start w:val="1"/>
      <w:numFmt w:val="decimal"/>
      <w:lvlText w:val="%7."/>
      <w:lvlJc w:val="left"/>
      <w:pPr>
        <w:ind w:left="5310" w:hanging="360"/>
      </w:pPr>
    </w:lvl>
    <w:lvl w:ilvl="7" w:tplc="240A0019" w:tentative="1">
      <w:start w:val="1"/>
      <w:numFmt w:val="lowerLetter"/>
      <w:lvlText w:val="%8."/>
      <w:lvlJc w:val="left"/>
      <w:pPr>
        <w:ind w:left="6030" w:hanging="360"/>
      </w:pPr>
    </w:lvl>
    <w:lvl w:ilvl="8" w:tplc="240A001B" w:tentative="1">
      <w:start w:val="1"/>
      <w:numFmt w:val="lowerRoman"/>
      <w:lvlText w:val="%9."/>
      <w:lvlJc w:val="right"/>
      <w:pPr>
        <w:ind w:left="6750" w:hanging="180"/>
      </w:pPr>
    </w:lvl>
  </w:abstractNum>
  <w:abstractNum w:abstractNumId="2" w15:restartNumberingAfterBreak="0">
    <w:nsid w:val="25F6037D"/>
    <w:multiLevelType w:val="hybridMultilevel"/>
    <w:tmpl w:val="AA4EFDCC"/>
    <w:lvl w:ilvl="0" w:tplc="06B4A780">
      <w:start w:val="1"/>
      <w:numFmt w:val="bullet"/>
      <w:lvlText w:val=""/>
      <w:lvlJc w:val="left"/>
      <w:pPr>
        <w:ind w:left="720" w:hanging="360"/>
      </w:pPr>
      <w:rPr>
        <w:rFonts w:ascii="Symbol" w:hAnsi="Symbol" w:hint="default"/>
        <w:sz w:val="16"/>
        <w:szCs w:val="16"/>
      </w:rPr>
    </w:lvl>
    <w:lvl w:ilvl="1" w:tplc="75EC8300">
      <w:start w:val="1"/>
      <w:numFmt w:val="bullet"/>
      <w:lvlText w:val="o"/>
      <w:lvlJc w:val="left"/>
      <w:pPr>
        <w:ind w:left="1440" w:hanging="360"/>
      </w:pPr>
      <w:rPr>
        <w:rFonts w:ascii="Courier New" w:hAnsi="Courier New" w:hint="default"/>
      </w:rPr>
    </w:lvl>
    <w:lvl w:ilvl="2" w:tplc="0EB8189E">
      <w:start w:val="1"/>
      <w:numFmt w:val="bullet"/>
      <w:lvlText w:val=""/>
      <w:lvlJc w:val="left"/>
      <w:pPr>
        <w:ind w:left="2160" w:hanging="360"/>
      </w:pPr>
      <w:rPr>
        <w:rFonts w:ascii="Wingdings" w:hAnsi="Wingdings" w:hint="default"/>
      </w:rPr>
    </w:lvl>
    <w:lvl w:ilvl="3" w:tplc="CFB88366">
      <w:start w:val="1"/>
      <w:numFmt w:val="bullet"/>
      <w:lvlText w:val=""/>
      <w:lvlJc w:val="left"/>
      <w:pPr>
        <w:ind w:left="2880" w:hanging="360"/>
      </w:pPr>
      <w:rPr>
        <w:rFonts w:ascii="Symbol" w:hAnsi="Symbol" w:hint="default"/>
      </w:rPr>
    </w:lvl>
    <w:lvl w:ilvl="4" w:tplc="50B20EB4">
      <w:start w:val="1"/>
      <w:numFmt w:val="bullet"/>
      <w:lvlText w:val="o"/>
      <w:lvlJc w:val="left"/>
      <w:pPr>
        <w:ind w:left="3600" w:hanging="360"/>
      </w:pPr>
      <w:rPr>
        <w:rFonts w:ascii="Courier New" w:hAnsi="Courier New" w:hint="default"/>
      </w:rPr>
    </w:lvl>
    <w:lvl w:ilvl="5" w:tplc="73A26D6C">
      <w:start w:val="1"/>
      <w:numFmt w:val="bullet"/>
      <w:lvlText w:val=""/>
      <w:lvlJc w:val="left"/>
      <w:pPr>
        <w:ind w:left="4320" w:hanging="360"/>
      </w:pPr>
      <w:rPr>
        <w:rFonts w:ascii="Wingdings" w:hAnsi="Wingdings" w:hint="default"/>
      </w:rPr>
    </w:lvl>
    <w:lvl w:ilvl="6" w:tplc="5A84EFCE">
      <w:start w:val="1"/>
      <w:numFmt w:val="bullet"/>
      <w:lvlText w:val=""/>
      <w:lvlJc w:val="left"/>
      <w:pPr>
        <w:ind w:left="5040" w:hanging="360"/>
      </w:pPr>
      <w:rPr>
        <w:rFonts w:ascii="Symbol" w:hAnsi="Symbol" w:hint="default"/>
      </w:rPr>
    </w:lvl>
    <w:lvl w:ilvl="7" w:tplc="40EC2952">
      <w:start w:val="1"/>
      <w:numFmt w:val="bullet"/>
      <w:lvlText w:val="o"/>
      <w:lvlJc w:val="left"/>
      <w:pPr>
        <w:ind w:left="5760" w:hanging="360"/>
      </w:pPr>
      <w:rPr>
        <w:rFonts w:ascii="Courier New" w:hAnsi="Courier New" w:hint="default"/>
      </w:rPr>
    </w:lvl>
    <w:lvl w:ilvl="8" w:tplc="80002270">
      <w:start w:val="1"/>
      <w:numFmt w:val="bullet"/>
      <w:lvlText w:val=""/>
      <w:lvlJc w:val="left"/>
      <w:pPr>
        <w:ind w:left="6480" w:hanging="360"/>
      </w:pPr>
      <w:rPr>
        <w:rFonts w:ascii="Wingdings" w:hAnsi="Wingdings" w:hint="default"/>
      </w:rPr>
    </w:lvl>
  </w:abstractNum>
  <w:abstractNum w:abstractNumId="3"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4" w15:restartNumberingAfterBreak="0">
    <w:nsid w:val="28311683"/>
    <w:multiLevelType w:val="hybridMultilevel"/>
    <w:tmpl w:val="9C7A60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6" w15:restartNumberingAfterBreak="0">
    <w:nsid w:val="2C2F5421"/>
    <w:multiLevelType w:val="hybridMultilevel"/>
    <w:tmpl w:val="0B1458B4"/>
    <w:lvl w:ilvl="0" w:tplc="FFFFFFFF">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C2C21"/>
    <w:multiLevelType w:val="hybridMultilevel"/>
    <w:tmpl w:val="1EEE172E"/>
    <w:lvl w:ilvl="0" w:tplc="3E0A983E">
      <w:start w:val="2"/>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C164DAD"/>
    <w:multiLevelType w:val="hybridMultilevel"/>
    <w:tmpl w:val="3E4E82BA"/>
    <w:lvl w:ilvl="0" w:tplc="240A001B">
      <w:start w:val="1"/>
      <w:numFmt w:val="low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587FA4"/>
    <w:multiLevelType w:val="multilevel"/>
    <w:tmpl w:val="1CD430A0"/>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E96518F"/>
    <w:multiLevelType w:val="hybridMultilevel"/>
    <w:tmpl w:val="51580E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39F744C"/>
    <w:multiLevelType w:val="hybridMultilevel"/>
    <w:tmpl w:val="EB8E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17B5D"/>
    <w:multiLevelType w:val="hybridMultilevel"/>
    <w:tmpl w:val="E90C1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140642"/>
    <w:multiLevelType w:val="hybridMultilevel"/>
    <w:tmpl w:val="999A5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24BF07"/>
    <w:multiLevelType w:val="hybridMultilevel"/>
    <w:tmpl w:val="94AC151C"/>
    <w:lvl w:ilvl="0" w:tplc="4A62F618">
      <w:start w:val="1"/>
      <w:numFmt w:val="lowerLetter"/>
      <w:lvlText w:val="%1."/>
      <w:lvlJc w:val="left"/>
      <w:pPr>
        <w:ind w:left="720" w:hanging="360"/>
      </w:pPr>
    </w:lvl>
    <w:lvl w:ilvl="1" w:tplc="B302F3FE">
      <w:start w:val="1"/>
      <w:numFmt w:val="lowerLetter"/>
      <w:lvlText w:val="%2."/>
      <w:lvlJc w:val="left"/>
      <w:pPr>
        <w:ind w:left="1440" w:hanging="360"/>
      </w:pPr>
    </w:lvl>
    <w:lvl w:ilvl="2" w:tplc="1F72A3BA">
      <w:start w:val="1"/>
      <w:numFmt w:val="lowerRoman"/>
      <w:lvlText w:val="%3."/>
      <w:lvlJc w:val="right"/>
      <w:pPr>
        <w:ind w:left="2160" w:hanging="180"/>
      </w:pPr>
    </w:lvl>
    <w:lvl w:ilvl="3" w:tplc="B274A1D2">
      <w:start w:val="1"/>
      <w:numFmt w:val="decimal"/>
      <w:lvlText w:val="%4."/>
      <w:lvlJc w:val="left"/>
      <w:pPr>
        <w:ind w:left="2880" w:hanging="360"/>
      </w:pPr>
    </w:lvl>
    <w:lvl w:ilvl="4" w:tplc="6A5A8AB2">
      <w:start w:val="1"/>
      <w:numFmt w:val="lowerLetter"/>
      <w:lvlText w:val="%5."/>
      <w:lvlJc w:val="left"/>
      <w:pPr>
        <w:ind w:left="3600" w:hanging="360"/>
      </w:pPr>
    </w:lvl>
    <w:lvl w:ilvl="5" w:tplc="655E2CE8">
      <w:start w:val="1"/>
      <w:numFmt w:val="lowerRoman"/>
      <w:lvlText w:val="%6."/>
      <w:lvlJc w:val="right"/>
      <w:pPr>
        <w:ind w:left="4320" w:hanging="180"/>
      </w:pPr>
    </w:lvl>
    <w:lvl w:ilvl="6" w:tplc="2EAAB482">
      <w:start w:val="1"/>
      <w:numFmt w:val="decimal"/>
      <w:lvlText w:val="%7."/>
      <w:lvlJc w:val="left"/>
      <w:pPr>
        <w:ind w:left="5040" w:hanging="360"/>
      </w:pPr>
    </w:lvl>
    <w:lvl w:ilvl="7" w:tplc="93C6A30E">
      <w:start w:val="1"/>
      <w:numFmt w:val="lowerLetter"/>
      <w:lvlText w:val="%8."/>
      <w:lvlJc w:val="left"/>
      <w:pPr>
        <w:ind w:left="5760" w:hanging="360"/>
      </w:pPr>
    </w:lvl>
    <w:lvl w:ilvl="8" w:tplc="D1400962">
      <w:start w:val="1"/>
      <w:numFmt w:val="lowerRoman"/>
      <w:lvlText w:val="%9."/>
      <w:lvlJc w:val="right"/>
      <w:pPr>
        <w:ind w:left="6480" w:hanging="180"/>
      </w:pPr>
    </w:lvl>
  </w:abstractNum>
  <w:abstractNum w:abstractNumId="20"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BA4309B"/>
    <w:multiLevelType w:val="multilevel"/>
    <w:tmpl w:val="8454F5D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2" w15:restartNumberingAfterBreak="0">
    <w:nsid w:val="71B73F46"/>
    <w:multiLevelType w:val="hybridMultilevel"/>
    <w:tmpl w:val="5532F7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DA472B"/>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4"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8327107">
    <w:abstractNumId w:val="19"/>
  </w:num>
  <w:num w:numId="2" w16cid:durableId="1029379250">
    <w:abstractNumId w:val="2"/>
  </w:num>
  <w:num w:numId="3" w16cid:durableId="991985079">
    <w:abstractNumId w:val="21"/>
  </w:num>
  <w:num w:numId="4" w16cid:durableId="20403493">
    <w:abstractNumId w:val="15"/>
  </w:num>
  <w:num w:numId="5" w16cid:durableId="1312101145">
    <w:abstractNumId w:val="10"/>
  </w:num>
  <w:num w:numId="6" w16cid:durableId="70322547">
    <w:abstractNumId w:val="16"/>
  </w:num>
  <w:num w:numId="7" w16cid:durableId="204753040">
    <w:abstractNumId w:val="24"/>
  </w:num>
  <w:num w:numId="8" w16cid:durableId="1214804622">
    <w:abstractNumId w:val="23"/>
  </w:num>
  <w:num w:numId="9" w16cid:durableId="1661688519">
    <w:abstractNumId w:val="3"/>
  </w:num>
  <w:num w:numId="10" w16cid:durableId="1371765956">
    <w:abstractNumId w:val="5"/>
  </w:num>
  <w:num w:numId="11" w16cid:durableId="1641689544">
    <w:abstractNumId w:val="7"/>
  </w:num>
  <w:num w:numId="12" w16cid:durableId="2110730892">
    <w:abstractNumId w:val="18"/>
  </w:num>
  <w:num w:numId="13" w16cid:durableId="1520654301">
    <w:abstractNumId w:val="20"/>
  </w:num>
  <w:num w:numId="14" w16cid:durableId="268507520">
    <w:abstractNumId w:val="0"/>
  </w:num>
  <w:num w:numId="15" w16cid:durableId="1933472241">
    <w:abstractNumId w:val="6"/>
  </w:num>
  <w:num w:numId="16" w16cid:durableId="1181315037">
    <w:abstractNumId w:val="12"/>
  </w:num>
  <w:num w:numId="17" w16cid:durableId="2110849419">
    <w:abstractNumId w:val="4"/>
  </w:num>
  <w:num w:numId="18" w16cid:durableId="1567373705">
    <w:abstractNumId w:val="14"/>
  </w:num>
  <w:num w:numId="19" w16cid:durableId="1657759559">
    <w:abstractNumId w:val="22"/>
  </w:num>
  <w:num w:numId="20" w16cid:durableId="318384662">
    <w:abstractNumId w:val="17"/>
  </w:num>
  <w:num w:numId="21" w16cid:durableId="1691488342">
    <w:abstractNumId w:val="13"/>
  </w:num>
  <w:num w:numId="22" w16cid:durableId="1194079674">
    <w:abstractNumId w:val="11"/>
  </w:num>
  <w:num w:numId="23" w16cid:durableId="808473132">
    <w:abstractNumId w:val="9"/>
  </w:num>
  <w:num w:numId="24" w16cid:durableId="826749063">
    <w:abstractNumId w:val="1"/>
  </w:num>
  <w:num w:numId="25" w16cid:durableId="3390482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2C76"/>
    <w:rsid w:val="00005EFE"/>
    <w:rsid w:val="00007B77"/>
    <w:rsid w:val="000138B0"/>
    <w:rsid w:val="000147E3"/>
    <w:rsid w:val="000176EB"/>
    <w:rsid w:val="00017B41"/>
    <w:rsid w:val="0002104E"/>
    <w:rsid w:val="000230A8"/>
    <w:rsid w:val="00025D87"/>
    <w:rsid w:val="000269F9"/>
    <w:rsid w:val="00031891"/>
    <w:rsid w:val="00031FEE"/>
    <w:rsid w:val="00033CFE"/>
    <w:rsid w:val="0003652A"/>
    <w:rsid w:val="00036954"/>
    <w:rsid w:val="00037F15"/>
    <w:rsid w:val="00041E0C"/>
    <w:rsid w:val="0004502C"/>
    <w:rsid w:val="000464D7"/>
    <w:rsid w:val="00053C71"/>
    <w:rsid w:val="00056544"/>
    <w:rsid w:val="000577AD"/>
    <w:rsid w:val="00060E40"/>
    <w:rsid w:val="0006163A"/>
    <w:rsid w:val="00064B19"/>
    <w:rsid w:val="00065D4D"/>
    <w:rsid w:val="0006695D"/>
    <w:rsid w:val="00080114"/>
    <w:rsid w:val="00080EF6"/>
    <w:rsid w:val="00083A46"/>
    <w:rsid w:val="00083FF0"/>
    <w:rsid w:val="00084849"/>
    <w:rsid w:val="0008525D"/>
    <w:rsid w:val="00086CFF"/>
    <w:rsid w:val="00090720"/>
    <w:rsid w:val="000934C5"/>
    <w:rsid w:val="000A4CF8"/>
    <w:rsid w:val="000A5A39"/>
    <w:rsid w:val="000AB8DF"/>
    <w:rsid w:val="000B01D8"/>
    <w:rsid w:val="000B6644"/>
    <w:rsid w:val="000C579D"/>
    <w:rsid w:val="000D0828"/>
    <w:rsid w:val="000D087A"/>
    <w:rsid w:val="000D2CB4"/>
    <w:rsid w:val="000D2D1B"/>
    <w:rsid w:val="000E512D"/>
    <w:rsid w:val="000E708D"/>
    <w:rsid w:val="000E7D5D"/>
    <w:rsid w:val="000F39D2"/>
    <w:rsid w:val="000F6C58"/>
    <w:rsid w:val="000F6D52"/>
    <w:rsid w:val="000F744C"/>
    <w:rsid w:val="000F760A"/>
    <w:rsid w:val="00102DAE"/>
    <w:rsid w:val="0010532B"/>
    <w:rsid w:val="00111A8C"/>
    <w:rsid w:val="001127C3"/>
    <w:rsid w:val="001129A4"/>
    <w:rsid w:val="00113132"/>
    <w:rsid w:val="00113B90"/>
    <w:rsid w:val="00120967"/>
    <w:rsid w:val="00121189"/>
    <w:rsid w:val="00124040"/>
    <w:rsid w:val="00131356"/>
    <w:rsid w:val="001316E2"/>
    <w:rsid w:val="00133BF0"/>
    <w:rsid w:val="00134EAA"/>
    <w:rsid w:val="0014421E"/>
    <w:rsid w:val="00147C9F"/>
    <w:rsid w:val="0015059D"/>
    <w:rsid w:val="001508F1"/>
    <w:rsid w:val="00154F07"/>
    <w:rsid w:val="00157029"/>
    <w:rsid w:val="00157483"/>
    <w:rsid w:val="001661F6"/>
    <w:rsid w:val="0017216B"/>
    <w:rsid w:val="00173576"/>
    <w:rsid w:val="001740FE"/>
    <w:rsid w:val="0018048D"/>
    <w:rsid w:val="00182705"/>
    <w:rsid w:val="00183B50"/>
    <w:rsid w:val="00184810"/>
    <w:rsid w:val="00186026"/>
    <w:rsid w:val="001904E9"/>
    <w:rsid w:val="00190527"/>
    <w:rsid w:val="001906C1"/>
    <w:rsid w:val="00194F6C"/>
    <w:rsid w:val="001A1105"/>
    <w:rsid w:val="001A2064"/>
    <w:rsid w:val="001A6ADD"/>
    <w:rsid w:val="001A7FA5"/>
    <w:rsid w:val="001B2618"/>
    <w:rsid w:val="001B35EC"/>
    <w:rsid w:val="001C10E9"/>
    <w:rsid w:val="001C18FD"/>
    <w:rsid w:val="001D3ECA"/>
    <w:rsid w:val="001D554C"/>
    <w:rsid w:val="001D5988"/>
    <w:rsid w:val="001D5B20"/>
    <w:rsid w:val="001D6346"/>
    <w:rsid w:val="001D6357"/>
    <w:rsid w:val="001D6E06"/>
    <w:rsid w:val="001D749C"/>
    <w:rsid w:val="001D78CE"/>
    <w:rsid w:val="001E0904"/>
    <w:rsid w:val="001E2599"/>
    <w:rsid w:val="001E39AE"/>
    <w:rsid w:val="001E44CC"/>
    <w:rsid w:val="001E5A59"/>
    <w:rsid w:val="001F0928"/>
    <w:rsid w:val="001F1ECA"/>
    <w:rsid w:val="001F41E2"/>
    <w:rsid w:val="001F4445"/>
    <w:rsid w:val="001F4A44"/>
    <w:rsid w:val="001F4B67"/>
    <w:rsid w:val="001F69B8"/>
    <w:rsid w:val="001F6B10"/>
    <w:rsid w:val="001F7559"/>
    <w:rsid w:val="002000C7"/>
    <w:rsid w:val="00202960"/>
    <w:rsid w:val="00204091"/>
    <w:rsid w:val="00205652"/>
    <w:rsid w:val="00210317"/>
    <w:rsid w:val="002107CC"/>
    <w:rsid w:val="00212FE4"/>
    <w:rsid w:val="00214DA3"/>
    <w:rsid w:val="00217527"/>
    <w:rsid w:val="00217D5A"/>
    <w:rsid w:val="002230FE"/>
    <w:rsid w:val="002248E7"/>
    <w:rsid w:val="00225B5A"/>
    <w:rsid w:val="00226465"/>
    <w:rsid w:val="002266C5"/>
    <w:rsid w:val="00231773"/>
    <w:rsid w:val="0023302F"/>
    <w:rsid w:val="00233AF3"/>
    <w:rsid w:val="00236249"/>
    <w:rsid w:val="00236321"/>
    <w:rsid w:val="00240337"/>
    <w:rsid w:val="00242BC2"/>
    <w:rsid w:val="00244170"/>
    <w:rsid w:val="00244A9D"/>
    <w:rsid w:val="002468F0"/>
    <w:rsid w:val="00247941"/>
    <w:rsid w:val="00251171"/>
    <w:rsid w:val="002525C6"/>
    <w:rsid w:val="00253BB0"/>
    <w:rsid w:val="00257BDD"/>
    <w:rsid w:val="00262A68"/>
    <w:rsid w:val="00263B5D"/>
    <w:rsid w:val="002641AC"/>
    <w:rsid w:val="00265E3F"/>
    <w:rsid w:val="00266B33"/>
    <w:rsid w:val="00270E14"/>
    <w:rsid w:val="00270E92"/>
    <w:rsid w:val="0027219A"/>
    <w:rsid w:val="00272303"/>
    <w:rsid w:val="00272600"/>
    <w:rsid w:val="0027273A"/>
    <w:rsid w:val="00272FA2"/>
    <w:rsid w:val="00274055"/>
    <w:rsid w:val="002757A0"/>
    <w:rsid w:val="0027764B"/>
    <w:rsid w:val="00277B32"/>
    <w:rsid w:val="00277E9E"/>
    <w:rsid w:val="00280165"/>
    <w:rsid w:val="0028127C"/>
    <w:rsid w:val="0028247E"/>
    <w:rsid w:val="00283316"/>
    <w:rsid w:val="002838D4"/>
    <w:rsid w:val="00285D69"/>
    <w:rsid w:val="00287BCB"/>
    <w:rsid w:val="00293A42"/>
    <w:rsid w:val="002959D8"/>
    <w:rsid w:val="00297E55"/>
    <w:rsid w:val="002A0FB3"/>
    <w:rsid w:val="002A4AAF"/>
    <w:rsid w:val="002A5124"/>
    <w:rsid w:val="002A7ECC"/>
    <w:rsid w:val="002B0D49"/>
    <w:rsid w:val="002B50D2"/>
    <w:rsid w:val="002B6721"/>
    <w:rsid w:val="002C0F2D"/>
    <w:rsid w:val="002C1D04"/>
    <w:rsid w:val="002C37CE"/>
    <w:rsid w:val="002C4253"/>
    <w:rsid w:val="002D387E"/>
    <w:rsid w:val="002D4B50"/>
    <w:rsid w:val="002D5E61"/>
    <w:rsid w:val="002D7FB5"/>
    <w:rsid w:val="002E5F5C"/>
    <w:rsid w:val="002E65F5"/>
    <w:rsid w:val="002F1085"/>
    <w:rsid w:val="002F15C9"/>
    <w:rsid w:val="002F35E5"/>
    <w:rsid w:val="002F7D45"/>
    <w:rsid w:val="0030078C"/>
    <w:rsid w:val="00302426"/>
    <w:rsid w:val="003073C3"/>
    <w:rsid w:val="00311204"/>
    <w:rsid w:val="0031170A"/>
    <w:rsid w:val="0031455D"/>
    <w:rsid w:val="0032130E"/>
    <w:rsid w:val="00323BFD"/>
    <w:rsid w:val="00323F71"/>
    <w:rsid w:val="00324DD6"/>
    <w:rsid w:val="003301F8"/>
    <w:rsid w:val="00333B59"/>
    <w:rsid w:val="00334783"/>
    <w:rsid w:val="00335B4C"/>
    <w:rsid w:val="00336348"/>
    <w:rsid w:val="00340BC1"/>
    <w:rsid w:val="00341A76"/>
    <w:rsid w:val="00342B80"/>
    <w:rsid w:val="00343BAF"/>
    <w:rsid w:val="003455A0"/>
    <w:rsid w:val="00346E79"/>
    <w:rsid w:val="003473BD"/>
    <w:rsid w:val="003473D0"/>
    <w:rsid w:val="003510FE"/>
    <w:rsid w:val="00353069"/>
    <w:rsid w:val="0035409C"/>
    <w:rsid w:val="0035436A"/>
    <w:rsid w:val="003547EB"/>
    <w:rsid w:val="00360198"/>
    <w:rsid w:val="00361189"/>
    <w:rsid w:val="003622D9"/>
    <w:rsid w:val="00364A0B"/>
    <w:rsid w:val="00365F6D"/>
    <w:rsid w:val="00366948"/>
    <w:rsid w:val="00366A01"/>
    <w:rsid w:val="00367E4F"/>
    <w:rsid w:val="003713FA"/>
    <w:rsid w:val="00377B7C"/>
    <w:rsid w:val="003806DA"/>
    <w:rsid w:val="00381CBD"/>
    <w:rsid w:val="003836F5"/>
    <w:rsid w:val="003842FC"/>
    <w:rsid w:val="00385AAD"/>
    <w:rsid w:val="003903CC"/>
    <w:rsid w:val="003923A4"/>
    <w:rsid w:val="00394DFE"/>
    <w:rsid w:val="00395A99"/>
    <w:rsid w:val="003A083A"/>
    <w:rsid w:val="003A0CF6"/>
    <w:rsid w:val="003A2D4A"/>
    <w:rsid w:val="003A624A"/>
    <w:rsid w:val="003A63D7"/>
    <w:rsid w:val="003A6DB4"/>
    <w:rsid w:val="003B7F64"/>
    <w:rsid w:val="003C2106"/>
    <w:rsid w:val="003C284C"/>
    <w:rsid w:val="003C3BB0"/>
    <w:rsid w:val="003C3DB3"/>
    <w:rsid w:val="003C3E00"/>
    <w:rsid w:val="003C4171"/>
    <w:rsid w:val="003C545B"/>
    <w:rsid w:val="003C5695"/>
    <w:rsid w:val="003D2892"/>
    <w:rsid w:val="003D41AB"/>
    <w:rsid w:val="003D4CE8"/>
    <w:rsid w:val="003D4F1D"/>
    <w:rsid w:val="003D609D"/>
    <w:rsid w:val="003D76EB"/>
    <w:rsid w:val="003E1318"/>
    <w:rsid w:val="003E262E"/>
    <w:rsid w:val="003E68F6"/>
    <w:rsid w:val="003F0571"/>
    <w:rsid w:val="003F41A9"/>
    <w:rsid w:val="003F7452"/>
    <w:rsid w:val="004020DB"/>
    <w:rsid w:val="00403D49"/>
    <w:rsid w:val="0041032D"/>
    <w:rsid w:val="004124B1"/>
    <w:rsid w:val="004137C4"/>
    <w:rsid w:val="00414348"/>
    <w:rsid w:val="004155AE"/>
    <w:rsid w:val="00416432"/>
    <w:rsid w:val="00416BF1"/>
    <w:rsid w:val="00417FB9"/>
    <w:rsid w:val="00421C24"/>
    <w:rsid w:val="00422DD6"/>
    <w:rsid w:val="00423F56"/>
    <w:rsid w:val="00424183"/>
    <w:rsid w:val="00425430"/>
    <w:rsid w:val="00426219"/>
    <w:rsid w:val="004311D4"/>
    <w:rsid w:val="00431EE3"/>
    <w:rsid w:val="00432C3D"/>
    <w:rsid w:val="00433246"/>
    <w:rsid w:val="0043330C"/>
    <w:rsid w:val="0043780A"/>
    <w:rsid w:val="004415DC"/>
    <w:rsid w:val="0044641F"/>
    <w:rsid w:val="00451C1B"/>
    <w:rsid w:val="004537D4"/>
    <w:rsid w:val="00453E1D"/>
    <w:rsid w:val="00454218"/>
    <w:rsid w:val="0045667E"/>
    <w:rsid w:val="00457EE9"/>
    <w:rsid w:val="0046029B"/>
    <w:rsid w:val="0046157C"/>
    <w:rsid w:val="004619D3"/>
    <w:rsid w:val="004622DB"/>
    <w:rsid w:val="004628AA"/>
    <w:rsid w:val="00462C7D"/>
    <w:rsid w:val="00466C7E"/>
    <w:rsid w:val="004671F9"/>
    <w:rsid w:val="004723C3"/>
    <w:rsid w:val="00472C12"/>
    <w:rsid w:val="0047337F"/>
    <w:rsid w:val="00477F64"/>
    <w:rsid w:val="00480A67"/>
    <w:rsid w:val="00482240"/>
    <w:rsid w:val="00482676"/>
    <w:rsid w:val="004847D1"/>
    <w:rsid w:val="004877D6"/>
    <w:rsid w:val="00494731"/>
    <w:rsid w:val="00497DB4"/>
    <w:rsid w:val="004A0A91"/>
    <w:rsid w:val="004A2ACF"/>
    <w:rsid w:val="004A3424"/>
    <w:rsid w:val="004A4DAE"/>
    <w:rsid w:val="004A5012"/>
    <w:rsid w:val="004B18EE"/>
    <w:rsid w:val="004B657E"/>
    <w:rsid w:val="004B6D00"/>
    <w:rsid w:val="004C4591"/>
    <w:rsid w:val="004C6890"/>
    <w:rsid w:val="004C7D3E"/>
    <w:rsid w:val="004D1025"/>
    <w:rsid w:val="004D3127"/>
    <w:rsid w:val="004D3346"/>
    <w:rsid w:val="004D54F5"/>
    <w:rsid w:val="004D5823"/>
    <w:rsid w:val="004D62E2"/>
    <w:rsid w:val="004D7049"/>
    <w:rsid w:val="004E220C"/>
    <w:rsid w:val="004E4D18"/>
    <w:rsid w:val="004E622C"/>
    <w:rsid w:val="004F28BF"/>
    <w:rsid w:val="004F386F"/>
    <w:rsid w:val="004F6C35"/>
    <w:rsid w:val="004F7E01"/>
    <w:rsid w:val="005002CB"/>
    <w:rsid w:val="0050104A"/>
    <w:rsid w:val="00501751"/>
    <w:rsid w:val="00503285"/>
    <w:rsid w:val="005059D3"/>
    <w:rsid w:val="005068D6"/>
    <w:rsid w:val="00510DB8"/>
    <w:rsid w:val="00512024"/>
    <w:rsid w:val="00512C41"/>
    <w:rsid w:val="00513166"/>
    <w:rsid w:val="00516D72"/>
    <w:rsid w:val="00520F58"/>
    <w:rsid w:val="00530BE8"/>
    <w:rsid w:val="00531E51"/>
    <w:rsid w:val="00532DD0"/>
    <w:rsid w:val="00534ED1"/>
    <w:rsid w:val="005364CE"/>
    <w:rsid w:val="00543BA9"/>
    <w:rsid w:val="00544613"/>
    <w:rsid w:val="005503F6"/>
    <w:rsid w:val="005555F2"/>
    <w:rsid w:val="00560879"/>
    <w:rsid w:val="00561BFE"/>
    <w:rsid w:val="00567431"/>
    <w:rsid w:val="00567CC8"/>
    <w:rsid w:val="00570658"/>
    <w:rsid w:val="00574358"/>
    <w:rsid w:val="005778E7"/>
    <w:rsid w:val="0058137A"/>
    <w:rsid w:val="00582F9F"/>
    <w:rsid w:val="005833C9"/>
    <w:rsid w:val="00585C77"/>
    <w:rsid w:val="0059194E"/>
    <w:rsid w:val="00593069"/>
    <w:rsid w:val="005948B4"/>
    <w:rsid w:val="005A1056"/>
    <w:rsid w:val="005A2DF9"/>
    <w:rsid w:val="005B3D95"/>
    <w:rsid w:val="005B3F22"/>
    <w:rsid w:val="005B42A8"/>
    <w:rsid w:val="005B7894"/>
    <w:rsid w:val="005B7CE8"/>
    <w:rsid w:val="005C090D"/>
    <w:rsid w:val="005C4432"/>
    <w:rsid w:val="005C62D8"/>
    <w:rsid w:val="005C7A55"/>
    <w:rsid w:val="005D330B"/>
    <w:rsid w:val="005D6B61"/>
    <w:rsid w:val="005E0F19"/>
    <w:rsid w:val="005E1C7B"/>
    <w:rsid w:val="005E25B3"/>
    <w:rsid w:val="005E7D77"/>
    <w:rsid w:val="005F01C8"/>
    <w:rsid w:val="005F1662"/>
    <w:rsid w:val="0060089A"/>
    <w:rsid w:val="00604C57"/>
    <w:rsid w:val="00605EB0"/>
    <w:rsid w:val="0060607B"/>
    <w:rsid w:val="0060607F"/>
    <w:rsid w:val="006060EC"/>
    <w:rsid w:val="0061058A"/>
    <w:rsid w:val="00610D93"/>
    <w:rsid w:val="006113E5"/>
    <w:rsid w:val="006114D7"/>
    <w:rsid w:val="006122A6"/>
    <w:rsid w:val="00612B24"/>
    <w:rsid w:val="006134D1"/>
    <w:rsid w:val="00613F58"/>
    <w:rsid w:val="006144CF"/>
    <w:rsid w:val="006147CB"/>
    <w:rsid w:val="0061682D"/>
    <w:rsid w:val="006172BF"/>
    <w:rsid w:val="00617A96"/>
    <w:rsid w:val="0062031A"/>
    <w:rsid w:val="00620E48"/>
    <w:rsid w:val="00621AF9"/>
    <w:rsid w:val="00624FF7"/>
    <w:rsid w:val="00625C5E"/>
    <w:rsid w:val="0062725A"/>
    <w:rsid w:val="006339EC"/>
    <w:rsid w:val="00635CD8"/>
    <w:rsid w:val="00641ED4"/>
    <w:rsid w:val="00642467"/>
    <w:rsid w:val="006432B7"/>
    <w:rsid w:val="00646B82"/>
    <w:rsid w:val="00650BF3"/>
    <w:rsid w:val="00653EB8"/>
    <w:rsid w:val="00654AB3"/>
    <w:rsid w:val="00664574"/>
    <w:rsid w:val="00670648"/>
    <w:rsid w:val="0067242D"/>
    <w:rsid w:val="00672520"/>
    <w:rsid w:val="00673BF3"/>
    <w:rsid w:val="006749B2"/>
    <w:rsid w:val="00675E7A"/>
    <w:rsid w:val="00682309"/>
    <w:rsid w:val="006824BB"/>
    <w:rsid w:val="00684161"/>
    <w:rsid w:val="006903DC"/>
    <w:rsid w:val="00690EEA"/>
    <w:rsid w:val="0069294B"/>
    <w:rsid w:val="006A03B0"/>
    <w:rsid w:val="006A1798"/>
    <w:rsid w:val="006A27C0"/>
    <w:rsid w:val="006A7685"/>
    <w:rsid w:val="006B68B4"/>
    <w:rsid w:val="006B7064"/>
    <w:rsid w:val="006B7ACC"/>
    <w:rsid w:val="006C2A14"/>
    <w:rsid w:val="006C2B0A"/>
    <w:rsid w:val="006C3151"/>
    <w:rsid w:val="006C52AC"/>
    <w:rsid w:val="006C6A7B"/>
    <w:rsid w:val="006D4DC6"/>
    <w:rsid w:val="006D563E"/>
    <w:rsid w:val="006D5F1B"/>
    <w:rsid w:val="006D66BC"/>
    <w:rsid w:val="006D7064"/>
    <w:rsid w:val="006E2158"/>
    <w:rsid w:val="006E6818"/>
    <w:rsid w:val="006E6E0F"/>
    <w:rsid w:val="006F1CFB"/>
    <w:rsid w:val="006F29F6"/>
    <w:rsid w:val="006F39E8"/>
    <w:rsid w:val="006F59DF"/>
    <w:rsid w:val="006F761D"/>
    <w:rsid w:val="006F78B4"/>
    <w:rsid w:val="007000B4"/>
    <w:rsid w:val="00702A56"/>
    <w:rsid w:val="00706D93"/>
    <w:rsid w:val="00720587"/>
    <w:rsid w:val="00721922"/>
    <w:rsid w:val="00722858"/>
    <w:rsid w:val="00725899"/>
    <w:rsid w:val="00725EB1"/>
    <w:rsid w:val="007262F2"/>
    <w:rsid w:val="00730937"/>
    <w:rsid w:val="00730C3A"/>
    <w:rsid w:val="00733642"/>
    <w:rsid w:val="007363A8"/>
    <w:rsid w:val="00740CBB"/>
    <w:rsid w:val="00746260"/>
    <w:rsid w:val="00746F63"/>
    <w:rsid w:val="007516A6"/>
    <w:rsid w:val="007530CD"/>
    <w:rsid w:val="00753B53"/>
    <w:rsid w:val="00761DC0"/>
    <w:rsid w:val="00762D98"/>
    <w:rsid w:val="00770CCC"/>
    <w:rsid w:val="00770FCE"/>
    <w:rsid w:val="007721C1"/>
    <w:rsid w:val="0077273D"/>
    <w:rsid w:val="00782150"/>
    <w:rsid w:val="007869F4"/>
    <w:rsid w:val="00791A94"/>
    <w:rsid w:val="007929F9"/>
    <w:rsid w:val="007A02FA"/>
    <w:rsid w:val="007A0562"/>
    <w:rsid w:val="007A4BC6"/>
    <w:rsid w:val="007B0410"/>
    <w:rsid w:val="007B0420"/>
    <w:rsid w:val="007B1AF1"/>
    <w:rsid w:val="007B47EE"/>
    <w:rsid w:val="007B500B"/>
    <w:rsid w:val="007B5297"/>
    <w:rsid w:val="007B6B61"/>
    <w:rsid w:val="007B6BAE"/>
    <w:rsid w:val="007C28E3"/>
    <w:rsid w:val="007C3374"/>
    <w:rsid w:val="007C6632"/>
    <w:rsid w:val="007C6AE6"/>
    <w:rsid w:val="007D0891"/>
    <w:rsid w:val="007D5CB8"/>
    <w:rsid w:val="007E0781"/>
    <w:rsid w:val="007F4A06"/>
    <w:rsid w:val="008006C6"/>
    <w:rsid w:val="00801004"/>
    <w:rsid w:val="00801D9C"/>
    <w:rsid w:val="008052A0"/>
    <w:rsid w:val="00807C07"/>
    <w:rsid w:val="00810075"/>
    <w:rsid w:val="00810181"/>
    <w:rsid w:val="00814661"/>
    <w:rsid w:val="008150AA"/>
    <w:rsid w:val="0081596D"/>
    <w:rsid w:val="00816205"/>
    <w:rsid w:val="008163E8"/>
    <w:rsid w:val="00820A11"/>
    <w:rsid w:val="008225AE"/>
    <w:rsid w:val="00825F8B"/>
    <w:rsid w:val="00826D69"/>
    <w:rsid w:val="008275A3"/>
    <w:rsid w:val="00831F90"/>
    <w:rsid w:val="00831FB5"/>
    <w:rsid w:val="008321FA"/>
    <w:rsid w:val="00833AF4"/>
    <w:rsid w:val="008372C2"/>
    <w:rsid w:val="008377FF"/>
    <w:rsid w:val="00841608"/>
    <w:rsid w:val="008430B6"/>
    <w:rsid w:val="00844C94"/>
    <w:rsid w:val="00850BEA"/>
    <w:rsid w:val="008526CE"/>
    <w:rsid w:val="00852B38"/>
    <w:rsid w:val="0085336E"/>
    <w:rsid w:val="0085412F"/>
    <w:rsid w:val="00855325"/>
    <w:rsid w:val="008564AD"/>
    <w:rsid w:val="00857882"/>
    <w:rsid w:val="008607BD"/>
    <w:rsid w:val="00860EEC"/>
    <w:rsid w:val="00865A6F"/>
    <w:rsid w:val="008664D5"/>
    <w:rsid w:val="00867C6F"/>
    <w:rsid w:val="0087190C"/>
    <w:rsid w:val="008739E3"/>
    <w:rsid w:val="008742D8"/>
    <w:rsid w:val="008813B9"/>
    <w:rsid w:val="00881431"/>
    <w:rsid w:val="00884E4A"/>
    <w:rsid w:val="00885ED3"/>
    <w:rsid w:val="0088665A"/>
    <w:rsid w:val="008902BA"/>
    <w:rsid w:val="008916FA"/>
    <w:rsid w:val="00891730"/>
    <w:rsid w:val="00894C63"/>
    <w:rsid w:val="00895AF2"/>
    <w:rsid w:val="008A4AA9"/>
    <w:rsid w:val="008A6A28"/>
    <w:rsid w:val="008B3488"/>
    <w:rsid w:val="008C0012"/>
    <w:rsid w:val="008C038B"/>
    <w:rsid w:val="008C2371"/>
    <w:rsid w:val="008C320E"/>
    <w:rsid w:val="008C4945"/>
    <w:rsid w:val="008C646D"/>
    <w:rsid w:val="008D24AB"/>
    <w:rsid w:val="008D2CC3"/>
    <w:rsid w:val="008D39E1"/>
    <w:rsid w:val="008D525D"/>
    <w:rsid w:val="008E1C7A"/>
    <w:rsid w:val="008E21CA"/>
    <w:rsid w:val="008E235C"/>
    <w:rsid w:val="008E7369"/>
    <w:rsid w:val="008F6078"/>
    <w:rsid w:val="00901F8B"/>
    <w:rsid w:val="00902680"/>
    <w:rsid w:val="009127FD"/>
    <w:rsid w:val="00912BFF"/>
    <w:rsid w:val="00913BF4"/>
    <w:rsid w:val="00915206"/>
    <w:rsid w:val="009160CB"/>
    <w:rsid w:val="0091715B"/>
    <w:rsid w:val="009245B3"/>
    <w:rsid w:val="0092554B"/>
    <w:rsid w:val="00925C27"/>
    <w:rsid w:val="00925C4B"/>
    <w:rsid w:val="00930265"/>
    <w:rsid w:val="00930A8F"/>
    <w:rsid w:val="00930FF2"/>
    <w:rsid w:val="009332E2"/>
    <w:rsid w:val="00933A84"/>
    <w:rsid w:val="0093554E"/>
    <w:rsid w:val="009364FD"/>
    <w:rsid w:val="009367D0"/>
    <w:rsid w:val="00936B1A"/>
    <w:rsid w:val="00941143"/>
    <w:rsid w:val="0094163C"/>
    <w:rsid w:val="00943C1A"/>
    <w:rsid w:val="0094586F"/>
    <w:rsid w:val="0095122E"/>
    <w:rsid w:val="00953879"/>
    <w:rsid w:val="00955553"/>
    <w:rsid w:val="0095711B"/>
    <w:rsid w:val="0095799C"/>
    <w:rsid w:val="00961CA5"/>
    <w:rsid w:val="00962F43"/>
    <w:rsid w:val="00963984"/>
    <w:rsid w:val="00965B60"/>
    <w:rsid w:val="00966578"/>
    <w:rsid w:val="00970799"/>
    <w:rsid w:val="00971FE3"/>
    <w:rsid w:val="009772DE"/>
    <w:rsid w:val="00981A7F"/>
    <w:rsid w:val="00991EA9"/>
    <w:rsid w:val="0099341F"/>
    <w:rsid w:val="00994B24"/>
    <w:rsid w:val="009A07ED"/>
    <w:rsid w:val="009A209D"/>
    <w:rsid w:val="009A2D1B"/>
    <w:rsid w:val="009A7114"/>
    <w:rsid w:val="009B0461"/>
    <w:rsid w:val="009B24FB"/>
    <w:rsid w:val="009B2F93"/>
    <w:rsid w:val="009C0286"/>
    <w:rsid w:val="009C1DE2"/>
    <w:rsid w:val="009C5C06"/>
    <w:rsid w:val="009C6195"/>
    <w:rsid w:val="009D73A8"/>
    <w:rsid w:val="009E06B2"/>
    <w:rsid w:val="009E1945"/>
    <w:rsid w:val="009E4519"/>
    <w:rsid w:val="009E4539"/>
    <w:rsid w:val="009E5806"/>
    <w:rsid w:val="009F0028"/>
    <w:rsid w:val="009F1441"/>
    <w:rsid w:val="009F33FF"/>
    <w:rsid w:val="009F3CA2"/>
    <w:rsid w:val="009F4A7A"/>
    <w:rsid w:val="009F680B"/>
    <w:rsid w:val="009F705D"/>
    <w:rsid w:val="00A01F56"/>
    <w:rsid w:val="00A0625F"/>
    <w:rsid w:val="00A067E6"/>
    <w:rsid w:val="00A07BE2"/>
    <w:rsid w:val="00A104C4"/>
    <w:rsid w:val="00A10CD5"/>
    <w:rsid w:val="00A12504"/>
    <w:rsid w:val="00A12C27"/>
    <w:rsid w:val="00A13EE1"/>
    <w:rsid w:val="00A1470A"/>
    <w:rsid w:val="00A15F22"/>
    <w:rsid w:val="00A20379"/>
    <w:rsid w:val="00A21A57"/>
    <w:rsid w:val="00A21B84"/>
    <w:rsid w:val="00A2474F"/>
    <w:rsid w:val="00A25973"/>
    <w:rsid w:val="00A27CFE"/>
    <w:rsid w:val="00A3058E"/>
    <w:rsid w:val="00A330B3"/>
    <w:rsid w:val="00A357F7"/>
    <w:rsid w:val="00A3601B"/>
    <w:rsid w:val="00A3678C"/>
    <w:rsid w:val="00A37C9C"/>
    <w:rsid w:val="00A40627"/>
    <w:rsid w:val="00A412BD"/>
    <w:rsid w:val="00A530F6"/>
    <w:rsid w:val="00A54370"/>
    <w:rsid w:val="00A560A3"/>
    <w:rsid w:val="00A56408"/>
    <w:rsid w:val="00A5651E"/>
    <w:rsid w:val="00A569C1"/>
    <w:rsid w:val="00A56C69"/>
    <w:rsid w:val="00A57185"/>
    <w:rsid w:val="00A61C13"/>
    <w:rsid w:val="00A6212A"/>
    <w:rsid w:val="00A64D95"/>
    <w:rsid w:val="00A726A6"/>
    <w:rsid w:val="00A74590"/>
    <w:rsid w:val="00A756CA"/>
    <w:rsid w:val="00A75FD3"/>
    <w:rsid w:val="00A7727A"/>
    <w:rsid w:val="00A773DA"/>
    <w:rsid w:val="00A773E8"/>
    <w:rsid w:val="00A8462C"/>
    <w:rsid w:val="00A876E7"/>
    <w:rsid w:val="00A913E0"/>
    <w:rsid w:val="00A9223B"/>
    <w:rsid w:val="00A944F8"/>
    <w:rsid w:val="00A96B58"/>
    <w:rsid w:val="00AA5C54"/>
    <w:rsid w:val="00AB3B16"/>
    <w:rsid w:val="00AC0221"/>
    <w:rsid w:val="00AC07CF"/>
    <w:rsid w:val="00AC081B"/>
    <w:rsid w:val="00AC5774"/>
    <w:rsid w:val="00AC7C95"/>
    <w:rsid w:val="00AC7F89"/>
    <w:rsid w:val="00AD3653"/>
    <w:rsid w:val="00AD3845"/>
    <w:rsid w:val="00AD6FE2"/>
    <w:rsid w:val="00AE6DE4"/>
    <w:rsid w:val="00AF2F55"/>
    <w:rsid w:val="00AF41F3"/>
    <w:rsid w:val="00AF5C75"/>
    <w:rsid w:val="00AF7B06"/>
    <w:rsid w:val="00AF7BEC"/>
    <w:rsid w:val="00B00FD6"/>
    <w:rsid w:val="00B01FC2"/>
    <w:rsid w:val="00B023A3"/>
    <w:rsid w:val="00B02570"/>
    <w:rsid w:val="00B03E1E"/>
    <w:rsid w:val="00B04142"/>
    <w:rsid w:val="00B042C3"/>
    <w:rsid w:val="00B04C7B"/>
    <w:rsid w:val="00B07D92"/>
    <w:rsid w:val="00B10930"/>
    <w:rsid w:val="00B1113D"/>
    <w:rsid w:val="00B119DB"/>
    <w:rsid w:val="00B13125"/>
    <w:rsid w:val="00B13BD2"/>
    <w:rsid w:val="00B15326"/>
    <w:rsid w:val="00B17A24"/>
    <w:rsid w:val="00B200B1"/>
    <w:rsid w:val="00B20F83"/>
    <w:rsid w:val="00B216E7"/>
    <w:rsid w:val="00B23C83"/>
    <w:rsid w:val="00B24731"/>
    <w:rsid w:val="00B26438"/>
    <w:rsid w:val="00B26F30"/>
    <w:rsid w:val="00B307EC"/>
    <w:rsid w:val="00B32AB0"/>
    <w:rsid w:val="00B342B1"/>
    <w:rsid w:val="00B347ED"/>
    <w:rsid w:val="00B35B25"/>
    <w:rsid w:val="00B35BFB"/>
    <w:rsid w:val="00B363DB"/>
    <w:rsid w:val="00B4049B"/>
    <w:rsid w:val="00B41CC5"/>
    <w:rsid w:val="00B43929"/>
    <w:rsid w:val="00B4622D"/>
    <w:rsid w:val="00B4762F"/>
    <w:rsid w:val="00B531D0"/>
    <w:rsid w:val="00B5566A"/>
    <w:rsid w:val="00B60279"/>
    <w:rsid w:val="00B602C5"/>
    <w:rsid w:val="00B60C91"/>
    <w:rsid w:val="00B62493"/>
    <w:rsid w:val="00B65297"/>
    <w:rsid w:val="00B65DBF"/>
    <w:rsid w:val="00B65E3E"/>
    <w:rsid w:val="00B66375"/>
    <w:rsid w:val="00B66816"/>
    <w:rsid w:val="00B66F3D"/>
    <w:rsid w:val="00B6710E"/>
    <w:rsid w:val="00B731D8"/>
    <w:rsid w:val="00B743C3"/>
    <w:rsid w:val="00B811D8"/>
    <w:rsid w:val="00B81941"/>
    <w:rsid w:val="00B83CCE"/>
    <w:rsid w:val="00B84429"/>
    <w:rsid w:val="00BA4DE6"/>
    <w:rsid w:val="00BB2778"/>
    <w:rsid w:val="00BB5BAB"/>
    <w:rsid w:val="00BB612A"/>
    <w:rsid w:val="00BC0548"/>
    <w:rsid w:val="00BC09E4"/>
    <w:rsid w:val="00BC1A64"/>
    <w:rsid w:val="00BC43E2"/>
    <w:rsid w:val="00BC7A0E"/>
    <w:rsid w:val="00BC7FCB"/>
    <w:rsid w:val="00BD154F"/>
    <w:rsid w:val="00BD2D0B"/>
    <w:rsid w:val="00BD4317"/>
    <w:rsid w:val="00BE2958"/>
    <w:rsid w:val="00BE56A4"/>
    <w:rsid w:val="00BE7549"/>
    <w:rsid w:val="00BF20F5"/>
    <w:rsid w:val="00BF55E8"/>
    <w:rsid w:val="00BF62F5"/>
    <w:rsid w:val="00C00C5E"/>
    <w:rsid w:val="00C0243E"/>
    <w:rsid w:val="00C058A1"/>
    <w:rsid w:val="00C05C64"/>
    <w:rsid w:val="00C05C94"/>
    <w:rsid w:val="00C06F02"/>
    <w:rsid w:val="00C121D9"/>
    <w:rsid w:val="00C137A6"/>
    <w:rsid w:val="00C149F3"/>
    <w:rsid w:val="00C1501F"/>
    <w:rsid w:val="00C17FF7"/>
    <w:rsid w:val="00C20EA5"/>
    <w:rsid w:val="00C20F60"/>
    <w:rsid w:val="00C2129A"/>
    <w:rsid w:val="00C21C6E"/>
    <w:rsid w:val="00C31ACD"/>
    <w:rsid w:val="00C32893"/>
    <w:rsid w:val="00C32D4B"/>
    <w:rsid w:val="00C3492D"/>
    <w:rsid w:val="00C4070C"/>
    <w:rsid w:val="00C43E24"/>
    <w:rsid w:val="00C44C30"/>
    <w:rsid w:val="00C45FE6"/>
    <w:rsid w:val="00C51AE8"/>
    <w:rsid w:val="00C528C6"/>
    <w:rsid w:val="00C571D0"/>
    <w:rsid w:val="00C5730B"/>
    <w:rsid w:val="00C59B8B"/>
    <w:rsid w:val="00C702D3"/>
    <w:rsid w:val="00C70C8B"/>
    <w:rsid w:val="00C72450"/>
    <w:rsid w:val="00C745F8"/>
    <w:rsid w:val="00C74904"/>
    <w:rsid w:val="00C779FA"/>
    <w:rsid w:val="00C81EC3"/>
    <w:rsid w:val="00C82797"/>
    <w:rsid w:val="00C85AE8"/>
    <w:rsid w:val="00C901DC"/>
    <w:rsid w:val="00C91583"/>
    <w:rsid w:val="00CA1A90"/>
    <w:rsid w:val="00CA7FCA"/>
    <w:rsid w:val="00CB0CF3"/>
    <w:rsid w:val="00CB12A1"/>
    <w:rsid w:val="00CB32B1"/>
    <w:rsid w:val="00CB429C"/>
    <w:rsid w:val="00CB6E4A"/>
    <w:rsid w:val="00CC4CF8"/>
    <w:rsid w:val="00CC610D"/>
    <w:rsid w:val="00CC6EA1"/>
    <w:rsid w:val="00CD106C"/>
    <w:rsid w:val="00CD109E"/>
    <w:rsid w:val="00CD1285"/>
    <w:rsid w:val="00CD2698"/>
    <w:rsid w:val="00CD2D92"/>
    <w:rsid w:val="00CD3915"/>
    <w:rsid w:val="00CE3E03"/>
    <w:rsid w:val="00CE66D6"/>
    <w:rsid w:val="00CE7162"/>
    <w:rsid w:val="00CE7C16"/>
    <w:rsid w:val="00CF0CDD"/>
    <w:rsid w:val="00CF2016"/>
    <w:rsid w:val="00CF558A"/>
    <w:rsid w:val="00D01324"/>
    <w:rsid w:val="00D01E32"/>
    <w:rsid w:val="00D025F8"/>
    <w:rsid w:val="00D04616"/>
    <w:rsid w:val="00D07EB4"/>
    <w:rsid w:val="00D17974"/>
    <w:rsid w:val="00D200F9"/>
    <w:rsid w:val="00D214BA"/>
    <w:rsid w:val="00D21814"/>
    <w:rsid w:val="00D21CEB"/>
    <w:rsid w:val="00D24282"/>
    <w:rsid w:val="00D2491C"/>
    <w:rsid w:val="00D34BC3"/>
    <w:rsid w:val="00D41F7C"/>
    <w:rsid w:val="00D46764"/>
    <w:rsid w:val="00D512EB"/>
    <w:rsid w:val="00D516AE"/>
    <w:rsid w:val="00D51BB1"/>
    <w:rsid w:val="00D55EA9"/>
    <w:rsid w:val="00D57E2E"/>
    <w:rsid w:val="00D61448"/>
    <w:rsid w:val="00D6468B"/>
    <w:rsid w:val="00D669BD"/>
    <w:rsid w:val="00D66DD8"/>
    <w:rsid w:val="00D70AA0"/>
    <w:rsid w:val="00D71462"/>
    <w:rsid w:val="00D84B54"/>
    <w:rsid w:val="00D911F7"/>
    <w:rsid w:val="00D91370"/>
    <w:rsid w:val="00D92FCD"/>
    <w:rsid w:val="00D9523E"/>
    <w:rsid w:val="00D95606"/>
    <w:rsid w:val="00D969AF"/>
    <w:rsid w:val="00DA00DA"/>
    <w:rsid w:val="00DB21CC"/>
    <w:rsid w:val="00DB2E74"/>
    <w:rsid w:val="00DC1E68"/>
    <w:rsid w:val="00DC1F44"/>
    <w:rsid w:val="00DC5688"/>
    <w:rsid w:val="00DD00DB"/>
    <w:rsid w:val="00DD2020"/>
    <w:rsid w:val="00DD2118"/>
    <w:rsid w:val="00DD3115"/>
    <w:rsid w:val="00DD3E01"/>
    <w:rsid w:val="00DD7EEC"/>
    <w:rsid w:val="00DE18B8"/>
    <w:rsid w:val="00DE2731"/>
    <w:rsid w:val="00DE3272"/>
    <w:rsid w:val="00DE72B8"/>
    <w:rsid w:val="00DE746B"/>
    <w:rsid w:val="00DF1261"/>
    <w:rsid w:val="00DF475D"/>
    <w:rsid w:val="00DF650E"/>
    <w:rsid w:val="00DF76E8"/>
    <w:rsid w:val="00E023F4"/>
    <w:rsid w:val="00E0432E"/>
    <w:rsid w:val="00E07D01"/>
    <w:rsid w:val="00E12FAA"/>
    <w:rsid w:val="00E15456"/>
    <w:rsid w:val="00E165B8"/>
    <w:rsid w:val="00E1738F"/>
    <w:rsid w:val="00E20EBD"/>
    <w:rsid w:val="00E30020"/>
    <w:rsid w:val="00E31AEC"/>
    <w:rsid w:val="00E373B2"/>
    <w:rsid w:val="00E400CE"/>
    <w:rsid w:val="00E40AE6"/>
    <w:rsid w:val="00E422F9"/>
    <w:rsid w:val="00E42F75"/>
    <w:rsid w:val="00E44118"/>
    <w:rsid w:val="00E44673"/>
    <w:rsid w:val="00E457A7"/>
    <w:rsid w:val="00E5076E"/>
    <w:rsid w:val="00E52241"/>
    <w:rsid w:val="00E52408"/>
    <w:rsid w:val="00E5259A"/>
    <w:rsid w:val="00E543E0"/>
    <w:rsid w:val="00E65098"/>
    <w:rsid w:val="00E6675A"/>
    <w:rsid w:val="00E66FDB"/>
    <w:rsid w:val="00E67016"/>
    <w:rsid w:val="00E702E9"/>
    <w:rsid w:val="00E748C3"/>
    <w:rsid w:val="00E74D1B"/>
    <w:rsid w:val="00E75CB3"/>
    <w:rsid w:val="00E75D75"/>
    <w:rsid w:val="00E804C7"/>
    <w:rsid w:val="00E82ADA"/>
    <w:rsid w:val="00E82DBB"/>
    <w:rsid w:val="00E8560F"/>
    <w:rsid w:val="00E85797"/>
    <w:rsid w:val="00E909E2"/>
    <w:rsid w:val="00E93186"/>
    <w:rsid w:val="00E940F0"/>
    <w:rsid w:val="00E94226"/>
    <w:rsid w:val="00E97D63"/>
    <w:rsid w:val="00EA3919"/>
    <w:rsid w:val="00EA7281"/>
    <w:rsid w:val="00EB1436"/>
    <w:rsid w:val="00EB3760"/>
    <w:rsid w:val="00EB435F"/>
    <w:rsid w:val="00EB5DC4"/>
    <w:rsid w:val="00EC01C8"/>
    <w:rsid w:val="00EC4075"/>
    <w:rsid w:val="00EC449E"/>
    <w:rsid w:val="00EC44A7"/>
    <w:rsid w:val="00EC6CAF"/>
    <w:rsid w:val="00ED361D"/>
    <w:rsid w:val="00ED3650"/>
    <w:rsid w:val="00ED4732"/>
    <w:rsid w:val="00ED5837"/>
    <w:rsid w:val="00ED659B"/>
    <w:rsid w:val="00ED70D1"/>
    <w:rsid w:val="00ED7502"/>
    <w:rsid w:val="00ED7892"/>
    <w:rsid w:val="00ED7E30"/>
    <w:rsid w:val="00EE0122"/>
    <w:rsid w:val="00EE0BAD"/>
    <w:rsid w:val="00EE3919"/>
    <w:rsid w:val="00EE49D5"/>
    <w:rsid w:val="00EE7001"/>
    <w:rsid w:val="00EF3397"/>
    <w:rsid w:val="00EF3436"/>
    <w:rsid w:val="00EF41CE"/>
    <w:rsid w:val="00EF5138"/>
    <w:rsid w:val="00F001DF"/>
    <w:rsid w:val="00F0303B"/>
    <w:rsid w:val="00F070B0"/>
    <w:rsid w:val="00F155CF"/>
    <w:rsid w:val="00F163D4"/>
    <w:rsid w:val="00F16677"/>
    <w:rsid w:val="00F259BD"/>
    <w:rsid w:val="00F25AC2"/>
    <w:rsid w:val="00F3341C"/>
    <w:rsid w:val="00F3581A"/>
    <w:rsid w:val="00F360E7"/>
    <w:rsid w:val="00F42525"/>
    <w:rsid w:val="00F455F8"/>
    <w:rsid w:val="00F45D2D"/>
    <w:rsid w:val="00F45E82"/>
    <w:rsid w:val="00F47505"/>
    <w:rsid w:val="00F52B2B"/>
    <w:rsid w:val="00F54CA1"/>
    <w:rsid w:val="00F569BD"/>
    <w:rsid w:val="00F6044A"/>
    <w:rsid w:val="00F6363D"/>
    <w:rsid w:val="00F63B7E"/>
    <w:rsid w:val="00F64335"/>
    <w:rsid w:val="00F66A8F"/>
    <w:rsid w:val="00F70187"/>
    <w:rsid w:val="00F72899"/>
    <w:rsid w:val="00F72B4C"/>
    <w:rsid w:val="00F7391D"/>
    <w:rsid w:val="00F77E8D"/>
    <w:rsid w:val="00F7DE4B"/>
    <w:rsid w:val="00F90A46"/>
    <w:rsid w:val="00F92558"/>
    <w:rsid w:val="00F9402F"/>
    <w:rsid w:val="00F96343"/>
    <w:rsid w:val="00F97DFE"/>
    <w:rsid w:val="00FA3D6C"/>
    <w:rsid w:val="00FA40C9"/>
    <w:rsid w:val="00FB171A"/>
    <w:rsid w:val="00FB1F95"/>
    <w:rsid w:val="00FB261C"/>
    <w:rsid w:val="00FB4319"/>
    <w:rsid w:val="00FC21DD"/>
    <w:rsid w:val="00FC4F64"/>
    <w:rsid w:val="00FD4495"/>
    <w:rsid w:val="00FD44D0"/>
    <w:rsid w:val="00FD7CF6"/>
    <w:rsid w:val="00FE1499"/>
    <w:rsid w:val="00FE2CE6"/>
    <w:rsid w:val="00FE39ED"/>
    <w:rsid w:val="00FE43B0"/>
    <w:rsid w:val="00FE43C7"/>
    <w:rsid w:val="00FE56C0"/>
    <w:rsid w:val="00FE6607"/>
    <w:rsid w:val="00FF0E64"/>
    <w:rsid w:val="00FF1250"/>
    <w:rsid w:val="00FF1F30"/>
    <w:rsid w:val="00FF3968"/>
    <w:rsid w:val="00FF3C51"/>
    <w:rsid w:val="00FF5A10"/>
    <w:rsid w:val="015F522C"/>
    <w:rsid w:val="01C1E8EC"/>
    <w:rsid w:val="022E45A7"/>
    <w:rsid w:val="023EA4D6"/>
    <w:rsid w:val="02857B00"/>
    <w:rsid w:val="02FEEFCB"/>
    <w:rsid w:val="03A89AA1"/>
    <w:rsid w:val="03E1BBF4"/>
    <w:rsid w:val="046F7ED1"/>
    <w:rsid w:val="0479341F"/>
    <w:rsid w:val="0494295A"/>
    <w:rsid w:val="04B00931"/>
    <w:rsid w:val="06278302"/>
    <w:rsid w:val="06A8E78D"/>
    <w:rsid w:val="07AB98D2"/>
    <w:rsid w:val="080BE7A3"/>
    <w:rsid w:val="0B914E30"/>
    <w:rsid w:val="0D7AEC44"/>
    <w:rsid w:val="0E165AF1"/>
    <w:rsid w:val="0E502A05"/>
    <w:rsid w:val="0F0A240A"/>
    <w:rsid w:val="0FBA85EA"/>
    <w:rsid w:val="10370AA0"/>
    <w:rsid w:val="11AE0F00"/>
    <w:rsid w:val="11DA0950"/>
    <w:rsid w:val="1407D637"/>
    <w:rsid w:val="152CE647"/>
    <w:rsid w:val="15C1A6CC"/>
    <w:rsid w:val="18A19341"/>
    <w:rsid w:val="19EC6788"/>
    <w:rsid w:val="1A75DD8E"/>
    <w:rsid w:val="1BED4C2F"/>
    <w:rsid w:val="1C415C4B"/>
    <w:rsid w:val="1D171D3C"/>
    <w:rsid w:val="1DFFA755"/>
    <w:rsid w:val="1E77ADD9"/>
    <w:rsid w:val="1F370CC9"/>
    <w:rsid w:val="1F3F9AA0"/>
    <w:rsid w:val="1F4DD09C"/>
    <w:rsid w:val="20221416"/>
    <w:rsid w:val="206987F3"/>
    <w:rsid w:val="2298E280"/>
    <w:rsid w:val="22E15C97"/>
    <w:rsid w:val="231BAC4F"/>
    <w:rsid w:val="237DA369"/>
    <w:rsid w:val="239379EE"/>
    <w:rsid w:val="24F72561"/>
    <w:rsid w:val="26AF21A8"/>
    <w:rsid w:val="26B9D784"/>
    <w:rsid w:val="2735E0DB"/>
    <w:rsid w:val="27DF31B5"/>
    <w:rsid w:val="2802EC6D"/>
    <w:rsid w:val="2810867A"/>
    <w:rsid w:val="28D2E33D"/>
    <w:rsid w:val="29B0F0F4"/>
    <w:rsid w:val="2A93A035"/>
    <w:rsid w:val="2AB36EBB"/>
    <w:rsid w:val="2B9001BB"/>
    <w:rsid w:val="2BF9CEAE"/>
    <w:rsid w:val="2CE3F79D"/>
    <w:rsid w:val="2E7FC7FE"/>
    <w:rsid w:val="2F96CF0A"/>
    <w:rsid w:val="3050F969"/>
    <w:rsid w:val="3068573A"/>
    <w:rsid w:val="30C10128"/>
    <w:rsid w:val="30CAB676"/>
    <w:rsid w:val="30EED5EB"/>
    <w:rsid w:val="31043AE7"/>
    <w:rsid w:val="32476C1E"/>
    <w:rsid w:val="32AB2BB3"/>
    <w:rsid w:val="32B71158"/>
    <w:rsid w:val="33932832"/>
    <w:rsid w:val="343C69E9"/>
    <w:rsid w:val="34B9637F"/>
    <w:rsid w:val="352F95EA"/>
    <w:rsid w:val="35465AFB"/>
    <w:rsid w:val="3612EC3B"/>
    <w:rsid w:val="38118190"/>
    <w:rsid w:val="385A20F7"/>
    <w:rsid w:val="3899759A"/>
    <w:rsid w:val="38BC7FA5"/>
    <w:rsid w:val="38E4C618"/>
    <w:rsid w:val="39325705"/>
    <w:rsid w:val="3A8FC36E"/>
    <w:rsid w:val="3A90CC7F"/>
    <w:rsid w:val="3AA66931"/>
    <w:rsid w:val="3BA1C8A7"/>
    <w:rsid w:val="3D19C7F9"/>
    <w:rsid w:val="405E616F"/>
    <w:rsid w:val="4104D54C"/>
    <w:rsid w:val="41076CC3"/>
    <w:rsid w:val="410B79E2"/>
    <w:rsid w:val="41A2E027"/>
    <w:rsid w:val="4252552F"/>
    <w:rsid w:val="42629D19"/>
    <w:rsid w:val="42A82720"/>
    <w:rsid w:val="430D3849"/>
    <w:rsid w:val="442E4044"/>
    <w:rsid w:val="44F31598"/>
    <w:rsid w:val="45ECCA7D"/>
    <w:rsid w:val="46763801"/>
    <w:rsid w:val="48596D9B"/>
    <w:rsid w:val="48B079D4"/>
    <w:rsid w:val="48D0E16D"/>
    <w:rsid w:val="4A5486A1"/>
    <w:rsid w:val="4B5EA932"/>
    <w:rsid w:val="4BF05702"/>
    <w:rsid w:val="4C579D3A"/>
    <w:rsid w:val="4CFE277D"/>
    <w:rsid w:val="4D098085"/>
    <w:rsid w:val="4D9CDE9D"/>
    <w:rsid w:val="4D9E391B"/>
    <w:rsid w:val="4E164938"/>
    <w:rsid w:val="4E76541F"/>
    <w:rsid w:val="5036451E"/>
    <w:rsid w:val="50C85AE6"/>
    <w:rsid w:val="521E7E16"/>
    <w:rsid w:val="52614AF0"/>
    <w:rsid w:val="52926B74"/>
    <w:rsid w:val="52C2ED10"/>
    <w:rsid w:val="530D60E7"/>
    <w:rsid w:val="5352B34B"/>
    <w:rsid w:val="54260729"/>
    <w:rsid w:val="5500B3AE"/>
    <w:rsid w:val="56082ECB"/>
    <w:rsid w:val="562C1D8F"/>
    <w:rsid w:val="57A395D1"/>
    <w:rsid w:val="5948BBC1"/>
    <w:rsid w:val="5A2E1444"/>
    <w:rsid w:val="5A5CF42F"/>
    <w:rsid w:val="5AF69E83"/>
    <w:rsid w:val="5D228C1E"/>
    <w:rsid w:val="5D35742E"/>
    <w:rsid w:val="5E0A2C35"/>
    <w:rsid w:val="5E462751"/>
    <w:rsid w:val="60E5D4F5"/>
    <w:rsid w:val="63E6AAD4"/>
    <w:rsid w:val="640A53B1"/>
    <w:rsid w:val="645982CA"/>
    <w:rsid w:val="654A1C9E"/>
    <w:rsid w:val="65575D02"/>
    <w:rsid w:val="6560AC69"/>
    <w:rsid w:val="669B8CFA"/>
    <w:rsid w:val="67216F5D"/>
    <w:rsid w:val="689B5F68"/>
    <w:rsid w:val="68FA3CB2"/>
    <w:rsid w:val="69926857"/>
    <w:rsid w:val="69A861D7"/>
    <w:rsid w:val="6C7E7462"/>
    <w:rsid w:val="6CDE1A6B"/>
    <w:rsid w:val="6D4F5DE2"/>
    <w:rsid w:val="6D7446FC"/>
    <w:rsid w:val="6DE50DB1"/>
    <w:rsid w:val="6F2EBBBD"/>
    <w:rsid w:val="6F7F6333"/>
    <w:rsid w:val="6F9589FE"/>
    <w:rsid w:val="6FA3CE2A"/>
    <w:rsid w:val="6FA8C78E"/>
    <w:rsid w:val="6FB88959"/>
    <w:rsid w:val="7052E88E"/>
    <w:rsid w:val="70D39467"/>
    <w:rsid w:val="712584EA"/>
    <w:rsid w:val="714497EF"/>
    <w:rsid w:val="720590F8"/>
    <w:rsid w:val="724A92B0"/>
    <w:rsid w:val="72BE2C5E"/>
    <w:rsid w:val="73D5AFF6"/>
    <w:rsid w:val="74195142"/>
    <w:rsid w:val="745C2F56"/>
    <w:rsid w:val="764B72D7"/>
    <w:rsid w:val="766C9536"/>
    <w:rsid w:val="76B2472B"/>
    <w:rsid w:val="77BA7550"/>
    <w:rsid w:val="78512338"/>
    <w:rsid w:val="78876360"/>
    <w:rsid w:val="78A08BBD"/>
    <w:rsid w:val="78D6DB4F"/>
    <w:rsid w:val="7A701926"/>
    <w:rsid w:val="7B1758E7"/>
    <w:rsid w:val="7B2CCBF8"/>
    <w:rsid w:val="7BCF1194"/>
    <w:rsid w:val="7CEB446B"/>
    <w:rsid w:val="7D27E644"/>
    <w:rsid w:val="7D516EE1"/>
    <w:rsid w:val="7DF160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AB1B4"/>
  <w15:docId w15:val="{C7802ADC-4DEB-4370-9376-578431CD8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E7C16"/>
    <w:rPr>
      <w:color w:val="808080"/>
    </w:rPr>
  </w:style>
  <w:style w:type="character" w:customStyle="1" w:styleId="ListParagraphChar">
    <w:name w:val="List Paragraph Char"/>
    <w:basedOn w:val="DefaultParagraphFont"/>
    <w:link w:val="ListParagraph"/>
    <w:uiPriority w:val="34"/>
    <w:locked/>
    <w:rsid w:val="00682309"/>
  </w:style>
  <w:style w:type="character" w:styleId="Hyperlink">
    <w:name w:val="Hyperlink"/>
    <w:basedOn w:val="DefaultParagraphFont"/>
    <w:uiPriority w:val="99"/>
    <w:unhideWhenUsed/>
    <w:rPr>
      <w:color w:val="0000FF" w:themeColor="hyperlink"/>
      <w:u w:val="single"/>
    </w:rPr>
  </w:style>
  <w:style w:type="character" w:styleId="UnresolvedMention">
    <w:name w:val="Unresolved Mention"/>
    <w:basedOn w:val="DefaultParagraphFont"/>
    <w:uiPriority w:val="99"/>
    <w:semiHidden/>
    <w:unhideWhenUsed/>
    <w:rsid w:val="00D34BC3"/>
    <w:rPr>
      <w:color w:val="605E5C"/>
      <w:shd w:val="clear" w:color="auto" w:fill="E1DFDD"/>
    </w:rPr>
  </w:style>
  <w:style w:type="character" w:customStyle="1" w:styleId="normaltextrun">
    <w:name w:val="normaltextrun"/>
    <w:basedOn w:val="DefaultParagraphFont"/>
    <w:rsid w:val="004D62E2"/>
  </w:style>
  <w:style w:type="paragraph" w:styleId="FootnoteText">
    <w:name w:val="footnote text"/>
    <w:basedOn w:val="Normal"/>
    <w:link w:val="FootnoteTextChar"/>
    <w:uiPriority w:val="99"/>
    <w:semiHidden/>
    <w:unhideWhenUsed/>
    <w:rsid w:val="0089173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91730"/>
    <w:rPr>
      <w:sz w:val="20"/>
      <w:szCs w:val="20"/>
    </w:rPr>
  </w:style>
  <w:style w:type="character" w:styleId="FootnoteReference">
    <w:name w:val="footnote reference"/>
    <w:basedOn w:val="DefaultParagraphFont"/>
    <w:uiPriority w:val="99"/>
    <w:semiHidden/>
    <w:unhideWhenUsed/>
    <w:rsid w:val="008917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ations.iadb.org/es/publicacion/15459/impactos-economicos-del-cambio-climatico-en-colombia-sector-transporte" TargetMode="External"/><Relationship Id="rId18" Type="http://schemas.openxmlformats.org/officeDocument/2006/relationships/hyperlink" Target="https://colaboracion.dnp.gov.co/CDT/Conpes/Econ%C3%B3micos/4060.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idbdocs.iadb.org/wsdocs/getDocument.aspx?DOCNUM=EZSHARE-1497782438-5"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mintransporte.gov.co/publicaciones/10381/intermodalidad-transicion-energetica-y-movilidad-sostenible-las-tres-grandes-acciones-del-sector-transporte-en-cop26/" TargetMode="External"/><Relationship Id="rId25" Type="http://schemas.openxmlformats.org/officeDocument/2006/relationships/hyperlink" Target="http://idbdocs.iadb.org/wsdocs/getDocument.aspx?DOCNUM=EZSHARE-1497782438-9" TargetMode="External"/><Relationship Id="rId2" Type="http://schemas.openxmlformats.org/officeDocument/2006/relationships/customXml" Target="../customXml/item2.xml"/><Relationship Id="rId16" Type="http://schemas.openxmlformats.org/officeDocument/2006/relationships/hyperlink" Target="https://colaboracion.dnp.gov.co/CDT/Conpes/Econ%C3%B3micos/4060.pdf" TargetMode="External"/><Relationship Id="rId20" Type="http://schemas.openxmlformats.org/officeDocument/2006/relationships/hyperlink" Target="https://publications.iadb.org/en/climate-resilient-public-private-partnerships-a-toolkit-for-decision-makers"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idbdocs.iadb.org/wsdocs/getDocument.aspx?DOCNUM=EZSHARE-1497782438-6" TargetMode="External"/><Relationship Id="rId5" Type="http://schemas.openxmlformats.org/officeDocument/2006/relationships/customXml" Target="../customXml/item5.xml"/><Relationship Id="rId15" Type="http://schemas.openxmlformats.org/officeDocument/2006/relationships/hyperlink" Target="https://publications.iadb.org/es/publicacion/13867/impactos-economicos-del-cambio-climatico-en-colombia" TargetMode="External"/><Relationship Id="rId23" Type="http://schemas.openxmlformats.org/officeDocument/2006/relationships/hyperlink" Target="http://idbdocs.iadb.org/wsdocs/getDocument.aspx?DOCNUM=EZSHARE-1497782438-8" TargetMode="Externa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repositorio.cepal.org/handle/11362/37958"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unfccc.int/sites/default/files/resource/COL_LTS_Nov2021.pdf" TargetMode="External"/><Relationship Id="rId22" Type="http://schemas.openxmlformats.org/officeDocument/2006/relationships/hyperlink" Target="http://idbdocs.iadb.org/wsdocs/getDocument.aspx?DOCNUM=EZSHARE-1497782438-7" TargetMode="External"/><Relationship Id="rId27" Type="http://schemas.openxmlformats.org/officeDocument/2006/relationships/footer" Target="foot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RDefault="0081596D" w:rsidP="0081596D">
          <w:pPr>
            <w:pStyle w:val="DefaultPlaceholder1082065158"/>
          </w:pPr>
          <w:r>
            <w:rPr>
              <w:rFonts w:ascii="Arial" w:hAnsi="Arial" w:cs="Arial"/>
              <w:sz w:val="18"/>
              <w:szCs w:val="18"/>
            </w:rPr>
            <w:t>COLOMBIA</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RDefault="0081596D" w:rsidP="0081596D">
          <w:pPr>
            <w:pStyle w:val="44C358C58149445BA2755ADBB9F4F8AF"/>
          </w:pPr>
          <w:r>
            <w:rPr>
              <w:rFonts w:ascii="Arial" w:hAnsi="Arial" w:cs="Arial"/>
              <w:sz w:val="18"/>
              <w:szCs w:val="18"/>
            </w:rPr>
            <w:t>Sustainable infrastructure standards and green finance for transport PPPs in Colombia</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RDefault="00B1113D" w:rsidP="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RDefault="0081596D" w:rsidP="0081596D">
          <w:pPr>
            <w:pStyle w:val="F21B320DC5CC4CA29D18953BBE653F77"/>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RDefault="0081596D" w:rsidP="0081596D">
          <w:pPr>
            <w:pStyle w:val="19F5288FE7CC4C80A1FC8C20A439351A"/>
          </w:pPr>
          <w:r>
            <w:rPr>
              <w:rFonts w:ascii="Arial" w:hAnsi="Arial" w:cs="Arial"/>
              <w:sz w:val="18"/>
              <w:szCs w:val="18"/>
            </w:rPr>
            <w:t>06 Jul 2022</w:t>
          </w:r>
        </w:p>
      </w:docPartBody>
    </w:docPart>
    <w:docPart>
      <w:docPartPr>
        <w:name w:val="0003491FDAF3450DA841F91B1428BBB7"/>
        <w:category>
          <w:name w:val="General"/>
          <w:gallery w:val="placeholder"/>
        </w:category>
        <w:types>
          <w:type w:val="bbPlcHdr"/>
        </w:types>
        <w:behaviors>
          <w:behavior w:val="content"/>
        </w:behaviors>
        <w:guid w:val="{B15B9EC1-B2EF-4082-BDCA-91715C655913}"/>
      </w:docPartPr>
      <w:docPartBody>
        <w:p w:rsidR="00B1113D" w:rsidRDefault="0081596D" w:rsidP="0081596D">
          <w:pPr>
            <w:pStyle w:val="0003491FDAF3450DA841F91B1428BBB7"/>
          </w:pPr>
          <w:r>
            <w:rPr>
              <w:rFonts w:ascii="Arial" w:hAnsi="Arial" w:cs="Arial"/>
              <w:sz w:val="18"/>
              <w:szCs w:val="18"/>
            </w:rPr>
            <w:t xml:space="preserve"> Environmental sustainability; Institutional capacity and rule of law</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RDefault="0081596D" w:rsidP="0081596D">
          <w:pPr>
            <w:pStyle w:val="D43C05E765C742E5A882436BE6D57E8E"/>
          </w:pPr>
          <w:r>
            <w:rPr>
              <w:rFonts w:ascii="Arial"/>
              <w:sz w:val="18"/>
            </w:rPr>
            <w:t>US$600,000.00</w:t>
          </w:r>
          <w:r>
            <w:rPr>
              <w:rFonts w:ascii="Arial"/>
              <w:sz w:val="18"/>
            </w:rPr>
            <w:br/>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RDefault="0081596D" w:rsidP="0081596D">
          <w:pPr>
            <w:pStyle w:val="9A70A810BF2C48C0A541AB223DAB3587"/>
          </w:pPr>
          <w:r>
            <w:rPr>
              <w:rFonts w:ascii="Arial" w:hAnsi="Arial" w:cs="Arial"/>
              <w:sz w:val="18"/>
              <w:szCs w:val="18"/>
            </w:rPr>
            <w:t>CSD/CCS-Climate Change</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RDefault="0081596D" w:rsidP="0081596D">
          <w:pPr>
            <w:pStyle w:val="D40DDF1DE070443EBC57BF857042D2F1"/>
          </w:pPr>
          <w:r>
            <w:rPr>
              <w:rFonts w:ascii="Arial" w:hAnsi="Arial" w:cs="Arial"/>
              <w:sz w:val="18"/>
              <w:szCs w:val="18"/>
            </w:rPr>
            <w:t>CAN/CCO-Country Office Colombia</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RDefault="0081596D" w:rsidP="0081596D">
          <w:pPr>
            <w:pStyle w:val="6055CACF63754C38AEFAE0ADE58AB52F"/>
          </w:pPr>
          <w:r>
            <w:rPr>
              <w:rFonts w:ascii="Arial" w:hAnsi="Arial" w:cs="Arial"/>
              <w:sz w:val="18"/>
              <w:szCs w:val="18"/>
            </w:rPr>
            <w:t xml:space="preserve"> United Kingdom Sustainable Infrastructure Program(SIP)</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RDefault="0081596D" w:rsidP="0081596D">
          <w:pPr>
            <w:pStyle w:val="F1F45581D58E40429AD189DD80ED4007"/>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RDefault="00534ED1" w:rsidP="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RDefault="00534ED1" w:rsidP="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RDefault="0081596D" w:rsidP="0081596D">
          <w:pPr>
            <w:pStyle w:val="CF15AFC5698F4E5498FB27BD95CD782F"/>
          </w:pPr>
          <w:r>
            <w:rPr>
              <w:rFonts w:ascii="Arial" w:hAnsi="Arial" w:cs="Arial"/>
              <w:sz w:val="18"/>
              <w:szCs w:val="18"/>
            </w:rPr>
            <w:t>Client Support</w:t>
          </w:r>
        </w:p>
      </w:docPartBody>
    </w:docPart>
    <w:docPart>
      <w:docPartPr>
        <w:name w:val="531BF81596444BD796C4BF8AD35E84CA"/>
        <w:category>
          <w:name w:val="General"/>
          <w:gallery w:val="placeholder"/>
        </w:category>
        <w:types>
          <w:type w:val="bbPlcHdr"/>
        </w:types>
        <w:behaviors>
          <w:behavior w:val="content"/>
        </w:behaviors>
        <w:guid w:val="{EEA1D223-0563-45BA-96E5-88E47F5329F4}"/>
      </w:docPartPr>
      <w:docPartBody>
        <w:p w:rsidR="0058322E" w:rsidRDefault="00894D22" w:rsidP="00894D22">
          <w:pPr>
            <w:pStyle w:val="531BF81596444BD796C4BF8AD35E84CA"/>
          </w:pPr>
          <w:r w:rsidRPr="00A2367E">
            <w:rPr>
              <w:rStyle w:val="PlaceholderText"/>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7568B"/>
    <w:rsid w:val="000D175C"/>
    <w:rsid w:val="00142182"/>
    <w:rsid w:val="001850C8"/>
    <w:rsid w:val="00185B34"/>
    <w:rsid w:val="001864F2"/>
    <w:rsid w:val="001B45EE"/>
    <w:rsid w:val="001B661B"/>
    <w:rsid w:val="001D373F"/>
    <w:rsid w:val="0022103E"/>
    <w:rsid w:val="002452C2"/>
    <w:rsid w:val="00254F74"/>
    <w:rsid w:val="002D632A"/>
    <w:rsid w:val="00315B57"/>
    <w:rsid w:val="00320348"/>
    <w:rsid w:val="003F15C7"/>
    <w:rsid w:val="003F3B06"/>
    <w:rsid w:val="00412BB1"/>
    <w:rsid w:val="004633CA"/>
    <w:rsid w:val="004843B9"/>
    <w:rsid w:val="004B1639"/>
    <w:rsid w:val="004F3C3C"/>
    <w:rsid w:val="00534ED1"/>
    <w:rsid w:val="0056121F"/>
    <w:rsid w:val="00561BFE"/>
    <w:rsid w:val="0057065C"/>
    <w:rsid w:val="0058322E"/>
    <w:rsid w:val="00587CDD"/>
    <w:rsid w:val="005B3BA8"/>
    <w:rsid w:val="00614ADB"/>
    <w:rsid w:val="006602A4"/>
    <w:rsid w:val="006804EF"/>
    <w:rsid w:val="006A5A9B"/>
    <w:rsid w:val="006B16B6"/>
    <w:rsid w:val="007315FF"/>
    <w:rsid w:val="0079000E"/>
    <w:rsid w:val="007C4340"/>
    <w:rsid w:val="007E1F65"/>
    <w:rsid w:val="00801941"/>
    <w:rsid w:val="0081596D"/>
    <w:rsid w:val="00822346"/>
    <w:rsid w:val="00832CE1"/>
    <w:rsid w:val="00833325"/>
    <w:rsid w:val="00860CBB"/>
    <w:rsid w:val="0086276C"/>
    <w:rsid w:val="00880451"/>
    <w:rsid w:val="00894D22"/>
    <w:rsid w:val="008D1E08"/>
    <w:rsid w:val="008D3E48"/>
    <w:rsid w:val="00902C26"/>
    <w:rsid w:val="00906F30"/>
    <w:rsid w:val="00907F97"/>
    <w:rsid w:val="0094446A"/>
    <w:rsid w:val="00963A2D"/>
    <w:rsid w:val="009728D2"/>
    <w:rsid w:val="0098510C"/>
    <w:rsid w:val="009A3780"/>
    <w:rsid w:val="00A12E80"/>
    <w:rsid w:val="00A15DA7"/>
    <w:rsid w:val="00A20006"/>
    <w:rsid w:val="00A233A9"/>
    <w:rsid w:val="00A33D69"/>
    <w:rsid w:val="00A5613E"/>
    <w:rsid w:val="00A76337"/>
    <w:rsid w:val="00AC6B54"/>
    <w:rsid w:val="00AD306F"/>
    <w:rsid w:val="00B1113D"/>
    <w:rsid w:val="00BB6B78"/>
    <w:rsid w:val="00C00479"/>
    <w:rsid w:val="00C023D8"/>
    <w:rsid w:val="00C07D3D"/>
    <w:rsid w:val="00C47B93"/>
    <w:rsid w:val="00C51ABA"/>
    <w:rsid w:val="00C566CF"/>
    <w:rsid w:val="00C5691A"/>
    <w:rsid w:val="00C57A44"/>
    <w:rsid w:val="00C60618"/>
    <w:rsid w:val="00C8492A"/>
    <w:rsid w:val="00C84E28"/>
    <w:rsid w:val="00C96F15"/>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5604"/>
    <w:rsid w:val="00EC5915"/>
    <w:rsid w:val="00ED6A68"/>
    <w:rsid w:val="00ED7489"/>
    <w:rsid w:val="00F24AFF"/>
    <w:rsid w:val="00F34310"/>
    <w:rsid w:val="00FD5B20"/>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94D22"/>
    <w:rPr>
      <w:color w:val="808080"/>
    </w:rPr>
  </w:style>
  <w:style w:type="paragraph" w:customStyle="1" w:styleId="1826176F614340649BFAC28C3B63B78317">
    <w:name w:val="1826176F614340649BFAC28C3B63B78317"/>
    <w:rsid w:val="00B1113D"/>
    <w:rPr>
      <w:lang w:val="en-US" w:eastAsia="en-US"/>
    </w:rPr>
  </w:style>
  <w:style w:type="paragraph" w:customStyle="1" w:styleId="467533B11B3842A885C4CE0AFBB936CB">
    <w:name w:val="467533B11B3842A885C4CE0AFBB936CB"/>
    <w:rsid w:val="00534ED1"/>
    <w:pPr>
      <w:spacing w:after="160" w:line="259" w:lineRule="auto"/>
    </w:pPr>
    <w:rPr>
      <w:lang w:val="es-CL" w:eastAsia="es-CL"/>
    </w:rPr>
  </w:style>
  <w:style w:type="paragraph" w:customStyle="1" w:styleId="340553074E0848D2AE8D6AF27714379D">
    <w:name w:val="340553074E0848D2AE8D6AF27714379D"/>
    <w:rsid w:val="00534ED1"/>
    <w:pPr>
      <w:spacing w:after="160" w:line="259" w:lineRule="auto"/>
    </w:pPr>
    <w:rPr>
      <w:lang w:val="es-CL" w:eastAsia="es-CL"/>
    </w:rPr>
  </w:style>
  <w:style w:type="paragraph" w:customStyle="1" w:styleId="DefaultPlaceholder1082065158">
    <w:name w:val="DefaultPlaceholder_1082065158"/>
    <w:rsid w:val="0081596D"/>
    <w:rPr>
      <w:lang w:val="en-US" w:eastAsia="en-US"/>
    </w:rPr>
  </w:style>
  <w:style w:type="paragraph" w:customStyle="1" w:styleId="44C358C58149445BA2755ADBB9F4F8AF">
    <w:name w:val="44C358C58149445BA2755ADBB9F4F8AF"/>
    <w:rsid w:val="0081596D"/>
    <w:rPr>
      <w:lang w:val="en-US" w:eastAsia="en-US"/>
    </w:rPr>
  </w:style>
  <w:style w:type="paragraph" w:customStyle="1" w:styleId="CF15AFC5698F4E5498FB27BD95CD782F">
    <w:name w:val="CF15AFC5698F4E5498FB27BD95CD782F"/>
    <w:rsid w:val="0081596D"/>
    <w:rPr>
      <w:lang w:val="en-US" w:eastAsia="en-US"/>
    </w:rPr>
  </w:style>
  <w:style w:type="paragraph" w:customStyle="1" w:styleId="F21B320DC5CC4CA29D18953BBE653F77">
    <w:name w:val="F21B320DC5CC4CA29D18953BBE653F77"/>
    <w:rsid w:val="0081596D"/>
    <w:rPr>
      <w:lang w:val="en-US" w:eastAsia="en-US"/>
    </w:rPr>
  </w:style>
  <w:style w:type="paragraph" w:customStyle="1" w:styleId="19F5288FE7CC4C80A1FC8C20A439351A">
    <w:name w:val="19F5288FE7CC4C80A1FC8C20A439351A"/>
    <w:rsid w:val="0081596D"/>
    <w:rPr>
      <w:lang w:val="en-US" w:eastAsia="en-US"/>
    </w:rPr>
  </w:style>
  <w:style w:type="paragraph" w:customStyle="1" w:styleId="6055CACF63754C38AEFAE0ADE58AB52F">
    <w:name w:val="6055CACF63754C38AEFAE0ADE58AB52F"/>
    <w:rsid w:val="0081596D"/>
    <w:rPr>
      <w:lang w:val="en-US" w:eastAsia="en-US"/>
    </w:rPr>
  </w:style>
  <w:style w:type="paragraph" w:customStyle="1" w:styleId="D43C05E765C742E5A882436BE6D57E8E">
    <w:name w:val="D43C05E765C742E5A882436BE6D57E8E"/>
    <w:rsid w:val="0081596D"/>
    <w:rPr>
      <w:lang w:val="en-US" w:eastAsia="en-US"/>
    </w:rPr>
  </w:style>
  <w:style w:type="paragraph" w:customStyle="1" w:styleId="F1F45581D58E40429AD189DD80ED4007">
    <w:name w:val="F1F45581D58E40429AD189DD80ED4007"/>
    <w:rsid w:val="0081596D"/>
    <w:rPr>
      <w:lang w:val="en-US" w:eastAsia="en-US"/>
    </w:rPr>
  </w:style>
  <w:style w:type="paragraph" w:customStyle="1" w:styleId="9A70A810BF2C48C0A541AB223DAB3587">
    <w:name w:val="9A70A810BF2C48C0A541AB223DAB3587"/>
    <w:rsid w:val="0081596D"/>
    <w:rPr>
      <w:lang w:val="en-US" w:eastAsia="en-US"/>
    </w:rPr>
  </w:style>
  <w:style w:type="paragraph" w:customStyle="1" w:styleId="D40DDF1DE070443EBC57BF857042D2F1">
    <w:name w:val="D40DDF1DE070443EBC57BF857042D2F1"/>
    <w:rsid w:val="0081596D"/>
    <w:rPr>
      <w:lang w:val="en-US" w:eastAsia="en-US"/>
    </w:rPr>
  </w:style>
  <w:style w:type="paragraph" w:customStyle="1" w:styleId="0003491FDAF3450DA841F91B1428BBB7">
    <w:name w:val="0003491FDAF3450DA841F91B1428BBB7"/>
    <w:rsid w:val="0081596D"/>
    <w:rPr>
      <w:lang w:val="en-US" w:eastAsia="en-US"/>
    </w:rPr>
  </w:style>
  <w:style w:type="paragraph" w:customStyle="1" w:styleId="531BF81596444BD796C4BF8AD35E84CA">
    <w:name w:val="531BF81596444BD796C4BF8AD35E84CA"/>
    <w:rsid w:val="00894D22"/>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E4575577EF40A40A3025D6D25284EB8" ma:contentTypeVersion="0" ma:contentTypeDescription="A content type to manage public (operations) IDB documents" ma:contentTypeScope="" ma:versionID="de5621dbb3e21257ed73ffbfec1e03b7">
  <xsd:schema xmlns:xsd="http://www.w3.org/2001/XMLSchema" xmlns:xs="http://www.w3.org/2001/XMLSchema" xmlns:p="http://schemas.microsoft.com/office/2006/metadata/properties" xmlns:ns2="cdc7663a-08f0-4737-9e8c-148ce897a09c" targetNamespace="http://schemas.microsoft.com/office/2006/metadata/properties" ma:root="true" ma:fieldsID="6e9c99d6efd84ae3a59f0c62c01494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CSD/CCS</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Gomez Juan Carlos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CLIMATE CHANGE MITIGATION POLICY</TermName>
          <TermId xmlns="http://schemas.microsoft.com/office/infopath/2007/PartnerControls">820d46ff-e714-481c-bcb9-214575ce5746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83</Value>
      <Value>46</Value>
      <Value>37</Value>
      <Value>1</Value>
      <Value>32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CO-T1681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ENVIRONMENT AND NATURAL DISASTERS</TermName>
          <TermId xmlns="http://schemas.microsoft.com/office/infopath/2007/PartnerControls">261e2b33-090b-4ab0-8e06-3aa3e7f32d57</TermId>
        </TermInfo>
      </Terms>
    </nddeef1749674d76abdbe4b239a70bc6>
    <Record_x0020_Number xmlns="cdc7663a-08f0-4737-9e8c-148ce897a09c" xsi:nil="true"/>
    <Extracted_x0020_Keywords xmlns="cdc7663a-08f0-4737-9e8c-148ce897a09c" xsi:nil="true"/>
    <_dlc_DocId xmlns="cdc7663a-08f0-4737-9e8c-148ce897a09c">EZSHARE-1497782438-18</_dlc_DocId>
    <_dlc_DocIdUrl xmlns="cdc7663a-08f0-4737-9e8c-148ce897a09c">
      <Url>https://idbg.sharepoint.com/teams/EZ-CO-TCP/CO-T1681/_layouts/15/DocIdRedir.aspx?ID=EZSHARE-1497782438-18</Url>
      <Description>EZSHARE-1497782438-18</Description>
    </_dlc_DocIdUrl>
    <Disclosed xmlns="cdc7663a-08f0-4737-9e8c-148ce897a09c">false</Disclosed>
    <Disclosure_x0020_Activity xmlns="cdc7663a-08f0-4737-9e8c-148ce897a09c">TC Document</Disclosure_x0020_Activity>
    <Issue_x0020_Date xmlns="cdc7663a-08f0-4737-9e8c-148ce897a09c" xsi:nil="true"/>
    <KP_x0020_Topics xmlns="cdc7663a-08f0-4737-9e8c-148ce897a09c" xsi:nil="true"/>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Props1.xml><?xml version="1.0" encoding="utf-8"?>
<ds:datastoreItem xmlns:ds="http://schemas.openxmlformats.org/officeDocument/2006/customXml" ds:itemID="{3EEAA800-A3CF-4F85-872E-55F4A247C11B}">
  <ds:schemaRefs>
    <ds:schemaRef ds:uri="http://schemas.microsoft.com/sharepoint/events"/>
  </ds:schemaRefs>
</ds:datastoreItem>
</file>

<file path=customXml/itemProps2.xml><?xml version="1.0" encoding="utf-8"?>
<ds:datastoreItem xmlns:ds="http://schemas.openxmlformats.org/officeDocument/2006/customXml" ds:itemID="{2F3B7871-9391-4D30-9124-21D5D1F96275}">
  <ds:schemaRefs>
    <ds:schemaRef ds:uri="http://schemas.microsoft.com/sharepoint/v3/contenttype/forms"/>
  </ds:schemaRefs>
</ds:datastoreItem>
</file>

<file path=customXml/itemProps3.xml><?xml version="1.0" encoding="utf-8"?>
<ds:datastoreItem xmlns:ds="http://schemas.openxmlformats.org/officeDocument/2006/customXml" ds:itemID="{5DECC4E8-58FC-4FA6-95D2-DD444F66DCE7}"/>
</file>

<file path=customXml/itemProps4.xml><?xml version="1.0" encoding="utf-8"?>
<ds:datastoreItem xmlns:ds="http://schemas.openxmlformats.org/officeDocument/2006/customXml" ds:itemID="{0E5FB2EC-451A-4CC3-99CE-75C7EDCB2844}"/>
</file>

<file path=customXml/itemProps5.xml><?xml version="1.0" encoding="utf-8"?>
<ds:datastoreItem xmlns:ds="http://schemas.openxmlformats.org/officeDocument/2006/customXml" ds:itemID="{E6CB3891-11FA-48AF-93A5-365DF7337E9D}">
  <ds:schemaRefs>
    <ds:schemaRef ds:uri="http://purl.org/dc/elements/1.1/"/>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http://purl.org/dc/terms/"/>
    <ds:schemaRef ds:uri="cdc7663a-08f0-4737-9e8c-148ce897a09c"/>
    <ds:schemaRef ds:uri="http://purl.org/dc/dcmitype/"/>
  </ds:schemaRefs>
</ds:datastoreItem>
</file>

<file path=customXml/itemProps6.xml><?xml version="1.0" encoding="utf-8"?>
<ds:datastoreItem xmlns:ds="http://schemas.openxmlformats.org/officeDocument/2006/customXml" ds:itemID="{055FE46F-FEF9-49A4-BAC8-342CBF5C8DC9}"/>
</file>

<file path=docProps/app.xml><?xml version="1.0" encoding="utf-8"?>
<Properties xmlns="http://schemas.openxmlformats.org/officeDocument/2006/extended-properties" xmlns:vt="http://schemas.openxmlformats.org/officeDocument/2006/docPropsVTypes">
  <Template>Normal.dotm</Template>
  <TotalTime>6</TotalTime>
  <Pages>7</Pages>
  <Words>3214</Words>
  <Characters>18321</Characters>
  <Application>Microsoft Office Word</Application>
  <DocSecurity>0</DocSecurity>
  <Lines>152</Lines>
  <Paragraphs>42</Paragraphs>
  <ScaleCrop>false</ScaleCrop>
  <Company>Inter-American Development Bank</Company>
  <LinksUpToDate>false</LinksUpToDate>
  <CharactersWithSpaces>21493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Gomez, Juan Carlos</cp:lastModifiedBy>
  <cp:revision>369</cp:revision>
  <cp:lastPrinted>2011-03-28T14:34:00Z</cp:lastPrinted>
  <dcterms:created xsi:type="dcterms:W3CDTF">2022-11-18T16:52:00Z</dcterms:created>
  <dcterms:modified xsi:type="dcterms:W3CDTF">2023-01-13T21:55:00Z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TaxKeywordTaxHTField">
    <vt:lpwstr/>
  </property>
  <property fmtid="{D5CDD505-2E9C-101B-9397-08002B2CF9AE}" pid="5" name="Country">
    <vt:lpwstr>32;#Colombia|c7d386d6-75f3-4fc0-bde8-e021ccd68f5c</vt:lpwstr>
  </property>
  <property fmtid="{D5CDD505-2E9C-101B-9397-08002B2CF9AE}" pid="6" name="Fund_x0020_IDB">
    <vt:lpwstr/>
  </property>
  <property fmtid="{D5CDD505-2E9C-101B-9397-08002B2CF9AE}" pid="7" name="Series_x0020_Operations_x0020_IDB">
    <vt:lpwstr/>
  </property>
  <property fmtid="{D5CDD505-2E9C-101B-9397-08002B2CF9AE}" pid="8" name="Function Operations IDB">
    <vt:lpwstr>1;#Project Preparation Planning and Design|29ca0c72-1fc4-435f-a09c-28585cb5eac9</vt:lpwstr>
  </property>
  <property fmtid="{D5CDD505-2E9C-101B-9397-08002B2CF9AE}" pid="9" name="Sector_x0020_IDB">
    <vt:lpwstr/>
  </property>
  <property fmtid="{D5CDD505-2E9C-101B-9397-08002B2CF9AE}" pid="10" name="Sub-Sector">
    <vt:lpwstr>83;#CLIMATE CHANGE MITIGATION POLICY|820d46ff-e714-481c-bcb9-214575ce5746</vt:lpwstr>
  </property>
  <property fmtid="{D5CDD505-2E9C-101B-9397-08002B2CF9AE}" pid="11" name="Fund IDB">
    <vt:lpwstr>37;#TBD|d62f6e05-3e80-4abd-9bb4-5f10b4906ff6</vt:lpwstr>
  </property>
  <property fmtid="{D5CDD505-2E9C-101B-9397-08002B2CF9AE}" pid="12" name="Sector IDB">
    <vt:lpwstr>46;#ENVIRONMENT AND NATURAL DISASTERS|261e2b33-090b-4ab0-8e06-3aa3e7f32d57</vt:lpwstr>
  </property>
  <property fmtid="{D5CDD505-2E9C-101B-9397-08002B2CF9AE}" pid="13" name="_dlc_DocIdItemGuid">
    <vt:lpwstr>5b59f3cd-54d2-4462-b319-d3f7641a0b19</vt:lpwstr>
  </property>
  <property fmtid="{D5CDD505-2E9C-101B-9397-08002B2CF9AE}" pid="15" name="ContentTypeId">
    <vt:lpwstr>0x0101001A458A224826124E8B45B1D613300CFC00BE4575577EF40A40A3025D6D25284EB8</vt:lpwstr>
  </property>
  <property fmtid="{D5CDD505-2E9C-101B-9397-08002B2CF9AE}" pid="16" name="Disclosed">
    <vt:bool>false</vt:bool>
  </property>
  <property fmtid="{D5CDD505-2E9C-101B-9397-08002B2CF9AE}" pid="20" name="Series Operations IDB">
    <vt:lpwstr/>
  </property>
</Properties>
</file>