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233D1" w:rsidRPr="003D629E" w:rsidRDefault="009233D1" w:rsidP="003D629E">
      <w:pPr>
        <w:pStyle w:val="Heading2"/>
        <w:spacing w:line="276" w:lineRule="auto"/>
        <w:jc w:val="center"/>
        <w:rPr>
          <w:rFonts w:ascii="Arial" w:hAnsi="Arial" w:cs="Arial"/>
          <w:sz w:val="22"/>
          <w:szCs w:val="22"/>
          <w:lang w:val="es-AR"/>
        </w:rPr>
      </w:pPr>
      <w:r w:rsidRPr="003D629E">
        <w:rPr>
          <w:rFonts w:ascii="Arial" w:hAnsi="Arial" w:cs="Arial"/>
          <w:sz w:val="22"/>
          <w:szCs w:val="22"/>
          <w:lang w:val="es-AR"/>
        </w:rPr>
        <w:t>RESUMEN EJECUTIVO</w:t>
      </w:r>
    </w:p>
    <w:p w:rsidR="00174DC9" w:rsidRPr="003D629E" w:rsidRDefault="00174DC9" w:rsidP="00AA3706">
      <w:pPr>
        <w:spacing w:line="276" w:lineRule="auto"/>
        <w:ind w:firstLine="0"/>
        <w:rPr>
          <w:rFonts w:ascii="Arial" w:hAnsi="Arial" w:cs="Arial"/>
          <w:lang w:val="es-AR"/>
        </w:rPr>
      </w:pPr>
    </w:p>
    <w:p w:rsidR="00E1365E" w:rsidRPr="003D629E" w:rsidRDefault="00E1365E" w:rsidP="00AA3706">
      <w:pPr>
        <w:spacing w:line="276" w:lineRule="auto"/>
        <w:ind w:firstLine="0"/>
        <w:rPr>
          <w:rFonts w:ascii="Arial" w:hAnsi="Arial" w:cs="Arial"/>
          <w:lang w:val="es-AR"/>
        </w:rPr>
      </w:pPr>
      <w:r w:rsidRPr="003D629E">
        <w:rPr>
          <w:rFonts w:ascii="Arial" w:hAnsi="Arial" w:cs="Arial"/>
          <w:lang w:val="es-AR"/>
        </w:rPr>
        <w:t>El presente documento aborda el análisis de la sostenibilidad fiscal y financiera del Bono Vida Mejor (BVM) y del Programa de Gestores Descentralizados de Salud (PGDS)</w:t>
      </w:r>
      <w:r w:rsidR="00A26C49" w:rsidRPr="003D629E">
        <w:rPr>
          <w:rFonts w:ascii="Arial" w:hAnsi="Arial" w:cs="Arial"/>
          <w:lang w:val="es-AR"/>
        </w:rPr>
        <w:t xml:space="preserve"> tanto como un problema</w:t>
      </w:r>
      <w:r w:rsidRPr="003D629E">
        <w:rPr>
          <w:rFonts w:ascii="Arial" w:hAnsi="Arial" w:cs="Arial"/>
          <w:lang w:val="es-AR"/>
        </w:rPr>
        <w:t xml:space="preserve"> de sostenibilidad fiscal a nivel macro</w:t>
      </w:r>
      <w:r w:rsidR="00A26C49" w:rsidRPr="003D629E">
        <w:rPr>
          <w:rFonts w:ascii="Arial" w:hAnsi="Arial" w:cs="Arial"/>
          <w:lang w:val="es-AR"/>
        </w:rPr>
        <w:t xml:space="preserve"> como en términos de</w:t>
      </w:r>
      <w:r w:rsidRPr="003D629E">
        <w:rPr>
          <w:rFonts w:ascii="Arial" w:hAnsi="Arial" w:cs="Arial"/>
          <w:lang w:val="es-AR"/>
        </w:rPr>
        <w:t xml:space="preserve"> la factibilidad de que el Gobierno de Honduras tome las decisiones de asignación del gasto necesarias para priorizar el BVM y el PGDS asegurar así su sostenibilidad financiera.</w:t>
      </w:r>
    </w:p>
    <w:p w:rsidR="00E1365E" w:rsidRPr="003D629E" w:rsidRDefault="00E1365E" w:rsidP="00AA3706">
      <w:pPr>
        <w:spacing w:line="276" w:lineRule="auto"/>
        <w:ind w:firstLine="0"/>
        <w:rPr>
          <w:rFonts w:ascii="Arial" w:hAnsi="Arial" w:cs="Arial"/>
          <w:lang w:val="es-AR"/>
        </w:rPr>
      </w:pPr>
    </w:p>
    <w:p w:rsidR="00BB3D59" w:rsidRPr="003D629E" w:rsidRDefault="00E1365E" w:rsidP="00AA3706">
      <w:pPr>
        <w:spacing w:line="276" w:lineRule="auto"/>
        <w:ind w:firstLine="0"/>
        <w:rPr>
          <w:rFonts w:ascii="Arial" w:hAnsi="Arial" w:cs="Arial"/>
          <w:lang w:val="es-AR"/>
        </w:rPr>
      </w:pPr>
      <w:r w:rsidRPr="003D629E">
        <w:rPr>
          <w:rFonts w:ascii="Arial" w:hAnsi="Arial" w:cs="Arial"/>
          <w:lang w:val="es-AR"/>
        </w:rPr>
        <w:t xml:space="preserve">La evolución del producto bruto de la economía hondureña permite alcanzar una mejor comprensión del comportamiento de </w:t>
      </w:r>
      <w:r w:rsidR="0072431A" w:rsidRPr="003D629E">
        <w:rPr>
          <w:rFonts w:ascii="Arial" w:hAnsi="Arial" w:cs="Arial"/>
          <w:lang w:val="es-AR"/>
        </w:rPr>
        <w:t>las cuentas fiscales</w:t>
      </w:r>
      <w:r w:rsidRPr="003D629E">
        <w:rPr>
          <w:rFonts w:ascii="Arial" w:hAnsi="Arial" w:cs="Arial"/>
          <w:lang w:val="es-AR"/>
        </w:rPr>
        <w:t>.</w:t>
      </w:r>
      <w:r w:rsidR="0072431A" w:rsidRPr="003D629E">
        <w:rPr>
          <w:rFonts w:ascii="Arial" w:hAnsi="Arial" w:cs="Arial"/>
          <w:lang w:val="es-AR"/>
        </w:rPr>
        <w:t xml:space="preserve"> Los gastos corrientes en términos del PBI presentan una trayectoria claramente creciente durante el período </w:t>
      </w:r>
      <w:r w:rsidR="00A26C49" w:rsidRPr="003D629E">
        <w:rPr>
          <w:rFonts w:ascii="Arial" w:hAnsi="Arial" w:cs="Arial"/>
          <w:lang w:val="es-AR"/>
        </w:rPr>
        <w:t>anterior a la crisis financiera de 2008</w:t>
      </w:r>
      <w:r w:rsidR="0072431A" w:rsidRPr="003D629E">
        <w:rPr>
          <w:rFonts w:ascii="Arial" w:hAnsi="Arial" w:cs="Arial"/>
          <w:lang w:val="es-AR"/>
        </w:rPr>
        <w:t>. Desde  2009 y hasta 2011 los gastos corrientes disminuyen su participación pasando a representar el 16% del PBI en 2011</w:t>
      </w:r>
      <w:r w:rsidR="00A26C49" w:rsidRPr="003D629E">
        <w:rPr>
          <w:rFonts w:ascii="Arial" w:hAnsi="Arial" w:cs="Arial"/>
          <w:lang w:val="es-AR"/>
        </w:rPr>
        <w:t>, para luego retomar una</w:t>
      </w:r>
      <w:r w:rsidR="0072431A" w:rsidRPr="003D629E">
        <w:rPr>
          <w:rFonts w:ascii="Arial" w:hAnsi="Arial" w:cs="Arial"/>
          <w:lang w:val="es-AR"/>
        </w:rPr>
        <w:t xml:space="preserve"> senda fuertemente creciente en los dos años siguientes</w:t>
      </w:r>
      <w:r w:rsidR="00A26C49" w:rsidRPr="003D629E">
        <w:rPr>
          <w:rFonts w:ascii="Arial" w:hAnsi="Arial" w:cs="Arial"/>
          <w:lang w:val="es-AR"/>
        </w:rPr>
        <w:t>. E</w:t>
      </w:r>
      <w:r w:rsidR="0072431A" w:rsidRPr="003D629E">
        <w:rPr>
          <w:rFonts w:ascii="Arial" w:hAnsi="Arial" w:cs="Arial"/>
          <w:lang w:val="es-AR"/>
        </w:rPr>
        <w:t xml:space="preserve">n 2013 </w:t>
      </w:r>
      <w:r w:rsidR="0091615D" w:rsidRPr="003D629E">
        <w:rPr>
          <w:rFonts w:ascii="Arial" w:hAnsi="Arial" w:cs="Arial"/>
          <w:lang w:val="es-AR"/>
        </w:rPr>
        <w:t>llegan a superar</w:t>
      </w:r>
      <w:r w:rsidR="0072431A" w:rsidRPr="003D629E">
        <w:rPr>
          <w:rFonts w:ascii="Arial" w:hAnsi="Arial" w:cs="Arial"/>
          <w:lang w:val="es-AR"/>
        </w:rPr>
        <w:t xml:space="preserve"> considerablemente los valores p</w:t>
      </w:r>
      <w:r w:rsidR="00A26C49" w:rsidRPr="003D629E">
        <w:rPr>
          <w:rFonts w:ascii="Arial" w:hAnsi="Arial" w:cs="Arial"/>
          <w:lang w:val="es-AR"/>
        </w:rPr>
        <w:t>re</w:t>
      </w:r>
      <w:r w:rsidR="0072431A" w:rsidRPr="003D629E">
        <w:rPr>
          <w:rFonts w:ascii="Arial" w:hAnsi="Arial" w:cs="Arial"/>
          <w:lang w:val="es-AR"/>
        </w:rPr>
        <w:t>-crisis, cuando alcanzan casi el 20% del PBI</w:t>
      </w:r>
      <w:r w:rsidR="0091615D" w:rsidRPr="003D629E">
        <w:rPr>
          <w:rFonts w:ascii="Arial" w:hAnsi="Arial" w:cs="Arial"/>
          <w:lang w:val="es-AR"/>
        </w:rPr>
        <w:t>. La imposibilidad de sostener esta dinámica lleva a</w:t>
      </w:r>
      <w:r w:rsidR="0072431A" w:rsidRPr="003D629E">
        <w:rPr>
          <w:rFonts w:ascii="Arial" w:hAnsi="Arial" w:cs="Arial"/>
          <w:lang w:val="es-AR"/>
        </w:rPr>
        <w:t xml:space="preserve"> la reforma fiscal del año 2013 que impone la necesid</w:t>
      </w:r>
      <w:r w:rsidR="0091615D" w:rsidRPr="003D629E">
        <w:rPr>
          <w:rFonts w:ascii="Arial" w:hAnsi="Arial" w:cs="Arial"/>
          <w:lang w:val="es-AR"/>
        </w:rPr>
        <w:t>ad de reducir el déficit fiscal</w:t>
      </w:r>
      <w:r w:rsidR="003752D9" w:rsidRPr="003D629E">
        <w:rPr>
          <w:rFonts w:ascii="Arial" w:hAnsi="Arial" w:cs="Arial"/>
          <w:lang w:val="es-AR"/>
        </w:rPr>
        <w:t xml:space="preserve"> con medidas que se orientaron principalmente a incrementar la recaudación tributaria</w:t>
      </w:r>
      <w:r w:rsidR="0091615D" w:rsidRPr="003D629E">
        <w:rPr>
          <w:rFonts w:ascii="Arial" w:hAnsi="Arial" w:cs="Arial"/>
          <w:lang w:val="es-AR"/>
        </w:rPr>
        <w:t>. La relación</w:t>
      </w:r>
      <w:r w:rsidR="0072431A" w:rsidRPr="003D629E">
        <w:rPr>
          <w:rFonts w:ascii="Arial" w:hAnsi="Arial" w:cs="Arial"/>
          <w:lang w:val="es-AR"/>
        </w:rPr>
        <w:t xml:space="preserve"> del gasto en términos del producto se modifica en los últimos dos años del período analizado y el gasto corriente como porcentaje del producto logra reducirse en 1,7 pp hasta alcanzar los 18,1 pp del PBI en el año 2015. </w:t>
      </w:r>
    </w:p>
    <w:p w:rsidR="0091615D" w:rsidRPr="003D629E" w:rsidRDefault="0091615D" w:rsidP="00AA3706">
      <w:pPr>
        <w:spacing w:line="276" w:lineRule="auto"/>
        <w:ind w:firstLine="0"/>
        <w:rPr>
          <w:rFonts w:ascii="Arial" w:hAnsi="Arial" w:cs="Arial"/>
          <w:lang w:val="es-AR"/>
        </w:rPr>
      </w:pPr>
    </w:p>
    <w:p w:rsidR="00D67792" w:rsidRPr="003D629E" w:rsidRDefault="0035168E" w:rsidP="00AA3706">
      <w:pPr>
        <w:spacing w:line="276" w:lineRule="auto"/>
        <w:ind w:firstLine="0"/>
        <w:rPr>
          <w:rFonts w:ascii="Arial" w:hAnsi="Arial" w:cs="Arial"/>
          <w:lang w:val="es-AR"/>
        </w:rPr>
      </w:pPr>
      <w:r w:rsidRPr="003D629E">
        <w:rPr>
          <w:rFonts w:ascii="Arial" w:hAnsi="Arial" w:cs="Arial"/>
          <w:lang w:val="es-AR"/>
        </w:rPr>
        <w:t>El incremento del gasto a lo largo de casi todo el período, sumado a ingresos tributarios decrecientes en términos del PBI</w:t>
      </w:r>
      <w:r w:rsidR="00041A4C" w:rsidRPr="003D629E">
        <w:rPr>
          <w:rFonts w:ascii="Arial" w:hAnsi="Arial" w:cs="Arial"/>
          <w:lang w:val="es-AR"/>
        </w:rPr>
        <w:t>,</w:t>
      </w:r>
      <w:r w:rsidRPr="003D629E">
        <w:rPr>
          <w:rFonts w:ascii="Arial" w:hAnsi="Arial" w:cs="Arial"/>
          <w:lang w:val="es-AR"/>
        </w:rPr>
        <w:t xml:space="preserve"> </w:t>
      </w:r>
      <w:r w:rsidR="00041A4C" w:rsidRPr="003D629E">
        <w:rPr>
          <w:rFonts w:ascii="Arial" w:hAnsi="Arial" w:cs="Arial"/>
          <w:lang w:val="es-AR"/>
        </w:rPr>
        <w:t>condujeron a</w:t>
      </w:r>
      <w:r w:rsidR="009863F7" w:rsidRPr="003D629E">
        <w:rPr>
          <w:rFonts w:ascii="Arial" w:hAnsi="Arial" w:cs="Arial"/>
          <w:lang w:val="es-AR"/>
        </w:rPr>
        <w:t xml:space="preserve"> un fuerte incremento del déficit fiscal y de la deuda como porcentaje del producto.</w:t>
      </w:r>
      <w:r w:rsidR="0080544C" w:rsidRPr="003D629E">
        <w:rPr>
          <w:rFonts w:ascii="Arial" w:hAnsi="Arial" w:cs="Arial"/>
          <w:lang w:val="es-AR"/>
        </w:rPr>
        <w:t xml:space="preserve"> </w:t>
      </w:r>
      <w:r w:rsidRPr="003D629E">
        <w:rPr>
          <w:rFonts w:ascii="Arial" w:hAnsi="Arial" w:cs="Arial"/>
          <w:lang w:val="es-AR"/>
        </w:rPr>
        <w:t>S</w:t>
      </w:r>
      <w:r w:rsidR="00D67792" w:rsidRPr="003D629E">
        <w:rPr>
          <w:rFonts w:ascii="Arial" w:hAnsi="Arial" w:cs="Arial"/>
          <w:lang w:val="es-AR"/>
        </w:rPr>
        <w:t>i bien</w:t>
      </w:r>
      <w:r w:rsidR="003752D9" w:rsidRPr="003D629E">
        <w:rPr>
          <w:rFonts w:ascii="Arial" w:hAnsi="Arial" w:cs="Arial"/>
          <w:lang w:val="es-AR"/>
        </w:rPr>
        <w:t>, como resultado de la reforma fiscal,</w:t>
      </w:r>
      <w:r w:rsidR="00D67792" w:rsidRPr="003D629E">
        <w:rPr>
          <w:rFonts w:ascii="Arial" w:hAnsi="Arial" w:cs="Arial"/>
          <w:lang w:val="es-AR"/>
        </w:rPr>
        <w:t xml:space="preserve"> la dinámica explosiva de los años post crisis logra controlarse a partir de 2014, el cociente Deuda/PBI se estabiliza en torno a valores que resultan ser solo levemente inferiores a los presentados al inicio del período en cuestión. </w:t>
      </w:r>
      <w:r w:rsidR="00174DC9" w:rsidRPr="003D629E">
        <w:rPr>
          <w:rFonts w:ascii="Arial" w:hAnsi="Arial" w:cs="Arial"/>
          <w:lang w:val="es-AR"/>
        </w:rPr>
        <w:t>De cualquier manera, debe destacarse el hecho de que</w:t>
      </w:r>
      <w:r w:rsidR="00D67792" w:rsidRPr="003D629E">
        <w:rPr>
          <w:rFonts w:ascii="Arial" w:hAnsi="Arial" w:cs="Arial"/>
          <w:lang w:val="es-AR"/>
        </w:rPr>
        <w:t xml:space="preserve">, si bien las cuentas fiscales han sufrido un deterioro considerable durante el período en cuestión, la reforma fiscal en Honduras parece haber tenido éxito en contrarrestar la situación.  </w:t>
      </w:r>
    </w:p>
    <w:p w:rsidR="00B916CA" w:rsidRPr="003D629E" w:rsidRDefault="00B916CA" w:rsidP="00AA3706">
      <w:pPr>
        <w:spacing w:line="276" w:lineRule="auto"/>
        <w:ind w:firstLine="0"/>
        <w:rPr>
          <w:rFonts w:ascii="Arial" w:hAnsi="Arial" w:cs="Arial"/>
          <w:lang w:val="es-AR"/>
        </w:rPr>
      </w:pPr>
    </w:p>
    <w:p w:rsidR="00E37393" w:rsidRPr="003D629E" w:rsidRDefault="00F906B8" w:rsidP="00AA3706">
      <w:pPr>
        <w:spacing w:before="120" w:after="120" w:line="276" w:lineRule="auto"/>
        <w:ind w:firstLine="0"/>
        <w:rPr>
          <w:rFonts w:ascii="Arial" w:hAnsi="Arial" w:cs="Arial"/>
          <w:bCs/>
          <w:lang w:val="es-AR"/>
        </w:rPr>
      </w:pPr>
      <w:r w:rsidRPr="003D629E">
        <w:rPr>
          <w:rFonts w:ascii="Arial" w:hAnsi="Arial" w:cs="Arial"/>
          <w:bCs/>
          <w:lang w:val="es-AR"/>
        </w:rPr>
        <w:t xml:space="preserve">El Bono Vida Mejor </w:t>
      </w:r>
      <w:r w:rsidR="00EE4360" w:rsidRPr="003D629E">
        <w:rPr>
          <w:rFonts w:ascii="Arial" w:hAnsi="Arial" w:cs="Arial"/>
          <w:bCs/>
          <w:lang w:val="es-AR"/>
        </w:rPr>
        <w:t>presenta algunas diferencias respecto de su antecesor el</w:t>
      </w:r>
      <w:r w:rsidRPr="003D629E">
        <w:rPr>
          <w:rFonts w:ascii="Arial" w:hAnsi="Arial" w:cs="Arial"/>
          <w:bCs/>
          <w:lang w:val="es-AR"/>
        </w:rPr>
        <w:t xml:space="preserve"> Bono 10mil</w:t>
      </w:r>
      <w:r w:rsidR="00EE4360" w:rsidRPr="003D629E">
        <w:rPr>
          <w:rFonts w:ascii="Arial" w:hAnsi="Arial" w:cs="Arial"/>
          <w:bCs/>
          <w:lang w:val="es-AR"/>
        </w:rPr>
        <w:t xml:space="preserve">. Se redujo la transferencia máxima y se rigidizaron las condicionalidades. La perspectiva a futuro es unificar esta iniciativa con un programa similar que orienta las transferencias a familias urbanas en situación de pobreza. Si bien el objetivo es alcanzar los 400.000 hogares beneficiarios </w:t>
      </w:r>
      <w:r w:rsidR="00E37393" w:rsidRPr="003D629E">
        <w:rPr>
          <w:rFonts w:ascii="Arial" w:hAnsi="Arial" w:cs="Arial"/>
          <w:bCs/>
          <w:lang w:val="es-AR"/>
        </w:rPr>
        <w:t>– y es con esa meta que se realiza el ejercicio – los vaivenes que atravesó el programa en términos de beneficiarios y montos transferidos indican que alcanzarlo no es una certeza.</w:t>
      </w:r>
    </w:p>
    <w:p w:rsidR="00AA3706" w:rsidRPr="003D629E" w:rsidRDefault="00AA3706" w:rsidP="00AA3706">
      <w:pPr>
        <w:spacing w:before="120" w:after="120" w:line="276" w:lineRule="auto"/>
        <w:ind w:firstLine="0"/>
        <w:rPr>
          <w:rFonts w:ascii="Arial" w:hAnsi="Arial" w:cs="Arial"/>
          <w:bCs/>
          <w:lang w:val="es-AR"/>
        </w:rPr>
      </w:pPr>
    </w:p>
    <w:p w:rsidR="00594626" w:rsidRPr="003D629E" w:rsidRDefault="00E37393" w:rsidP="00AA3706">
      <w:pPr>
        <w:spacing w:before="120" w:after="120" w:line="276" w:lineRule="auto"/>
        <w:ind w:firstLine="0"/>
        <w:rPr>
          <w:rFonts w:ascii="Arial" w:hAnsi="Arial" w:cs="Arial"/>
          <w:color w:val="000000"/>
          <w:lang w:val="es-AR"/>
        </w:rPr>
      </w:pPr>
      <w:r w:rsidRPr="003D629E">
        <w:rPr>
          <w:rFonts w:ascii="Arial" w:hAnsi="Arial" w:cs="Arial"/>
          <w:bCs/>
          <w:lang w:val="es-AR"/>
        </w:rPr>
        <w:t>Por el contrario, el Programa de Gestores Descentralizados de Salud ha exhibido un crecimiento más grad</w:t>
      </w:r>
      <w:r w:rsidR="00C107B0" w:rsidRPr="003D629E">
        <w:rPr>
          <w:rFonts w:ascii="Arial" w:hAnsi="Arial" w:cs="Arial"/>
          <w:bCs/>
          <w:lang w:val="es-AR"/>
        </w:rPr>
        <w:t>ual</w:t>
      </w:r>
      <w:r w:rsidRPr="003D629E">
        <w:rPr>
          <w:rFonts w:ascii="Arial" w:hAnsi="Arial" w:cs="Arial"/>
          <w:bCs/>
          <w:lang w:val="es-AR"/>
        </w:rPr>
        <w:t>.</w:t>
      </w:r>
      <w:r w:rsidR="00594626" w:rsidRPr="003D629E">
        <w:rPr>
          <w:rFonts w:ascii="Arial" w:hAnsi="Arial" w:cs="Arial"/>
          <w:color w:val="000000"/>
          <w:lang w:val="es-AR"/>
        </w:rPr>
        <w:t xml:space="preserve"> En este sentido, las metas propuestas</w:t>
      </w:r>
      <w:r w:rsidRPr="003D629E">
        <w:rPr>
          <w:rFonts w:ascii="Arial" w:hAnsi="Arial" w:cs="Arial"/>
          <w:color w:val="000000"/>
          <w:lang w:val="es-AR"/>
        </w:rPr>
        <w:t xml:space="preserve"> – 104 municipios </w:t>
      </w:r>
      <w:r w:rsidRPr="003D629E">
        <w:rPr>
          <w:rFonts w:ascii="Arial" w:hAnsi="Arial" w:cs="Arial"/>
          <w:color w:val="000000"/>
          <w:lang w:val="es-AR"/>
        </w:rPr>
        <w:lastRenderedPageBreak/>
        <w:t>cubiertos-</w:t>
      </w:r>
      <w:r w:rsidR="00594626" w:rsidRPr="003D629E">
        <w:rPr>
          <w:rFonts w:ascii="Arial" w:hAnsi="Arial" w:cs="Arial"/>
          <w:color w:val="000000"/>
          <w:lang w:val="es-AR"/>
        </w:rPr>
        <w:t xml:space="preserve"> se adecuan a la expansión previa que ha experimentado la intervención de política pública.</w:t>
      </w:r>
    </w:p>
    <w:p w:rsidR="00561DD1" w:rsidRPr="003D629E" w:rsidRDefault="00561DD1" w:rsidP="00AA3706">
      <w:pPr>
        <w:pStyle w:val="Prrafodelista1"/>
        <w:spacing w:line="276" w:lineRule="auto"/>
        <w:ind w:left="0"/>
        <w:rPr>
          <w:rFonts w:ascii="Arial" w:hAnsi="Arial" w:cs="Arial"/>
          <w:color w:val="000000"/>
          <w:lang w:val="es-AR"/>
        </w:rPr>
      </w:pPr>
      <w:r w:rsidRPr="003D629E">
        <w:rPr>
          <w:rFonts w:ascii="Arial" w:hAnsi="Arial" w:cs="Arial"/>
          <w:color w:val="000000"/>
          <w:lang w:val="es-AR"/>
        </w:rPr>
        <w:t>El escenario base del análisis está configurado por una serie de restricciones impuestas tanto por el acuerdo con el FMI como por la futura implementación de una Ley de Responsabilidad Fiscal que establecen límites al nivel de déficit y al gasto corriente. Bajo estos supuestos, para todos los escenarios de cobertura, el sendero de evolución del gasto, déficit y deuda es sostenible. El balance global tiende a un valor de – 2,7% del PBI, meta impuesta por el FMI. Esto conlleva a que aun cuando los Ingresos tributarios crezcan en 0,3pp durante el período analizado, el gasto corriente, que se convierte en la variable de ajuste, caiga casi en 2 pp. del PBI. Por lo tanto, si bien el escenario es sostenible, la dificultad estriba en ajustar el gasto corriente neto de los programas analizados. La deuda externa, variable clave a la hora de analizar la sostenibilidad, se mantiene constantemente por debajo del umbral del 40%.</w:t>
      </w:r>
    </w:p>
    <w:p w:rsidR="00AA3706" w:rsidRPr="003D629E" w:rsidRDefault="00AA3706" w:rsidP="00AA3706">
      <w:pPr>
        <w:pStyle w:val="Prrafodelista1"/>
        <w:spacing w:line="276" w:lineRule="auto"/>
        <w:ind w:left="0"/>
        <w:rPr>
          <w:rFonts w:ascii="Arial" w:hAnsi="Arial" w:cs="Arial"/>
          <w:color w:val="000000"/>
          <w:lang w:val="es-AR"/>
        </w:rPr>
      </w:pPr>
    </w:p>
    <w:p w:rsidR="00C36792" w:rsidRPr="003D629E" w:rsidRDefault="00561DD1" w:rsidP="00AA3706">
      <w:pPr>
        <w:pStyle w:val="Prrafodelista1"/>
        <w:spacing w:line="276" w:lineRule="auto"/>
        <w:ind w:left="0"/>
        <w:rPr>
          <w:rFonts w:ascii="Arial" w:hAnsi="Arial" w:cs="Arial"/>
          <w:lang w:val="es-AR"/>
        </w:rPr>
      </w:pPr>
      <w:r w:rsidRPr="003D629E">
        <w:rPr>
          <w:rFonts w:ascii="Arial" w:hAnsi="Arial" w:cs="Arial"/>
          <w:color w:val="000000"/>
          <w:lang w:val="es-AR"/>
        </w:rPr>
        <w:t xml:space="preserve">En el segundo escenario </w:t>
      </w:r>
      <w:r w:rsidR="005557AF" w:rsidRPr="003D629E">
        <w:rPr>
          <w:rFonts w:ascii="Arial" w:hAnsi="Arial" w:cs="Arial"/>
          <w:color w:val="000000"/>
          <w:lang w:val="es-AR"/>
        </w:rPr>
        <w:t>lo</w:t>
      </w:r>
      <w:r w:rsidRPr="003D629E">
        <w:rPr>
          <w:rFonts w:ascii="Arial" w:hAnsi="Arial" w:cs="Arial"/>
          <w:color w:val="000000"/>
          <w:lang w:val="es-AR"/>
        </w:rPr>
        <w:t xml:space="preserve"> que está determinado exógenamente es el nivel de gasto total neto de los programas analizados</w:t>
      </w:r>
      <w:r w:rsidR="005557AF" w:rsidRPr="003D629E">
        <w:rPr>
          <w:rFonts w:ascii="Arial" w:hAnsi="Arial" w:cs="Arial"/>
          <w:color w:val="000000"/>
          <w:lang w:val="es-AR"/>
        </w:rPr>
        <w:t xml:space="preserve"> que</w:t>
      </w:r>
      <w:r w:rsidRPr="003D629E">
        <w:rPr>
          <w:rFonts w:ascii="Arial" w:hAnsi="Arial" w:cs="Arial"/>
          <w:color w:val="000000"/>
          <w:lang w:val="es-AR"/>
        </w:rPr>
        <w:t xml:space="preserve"> crece a la misma tasa que el PBI. </w:t>
      </w:r>
      <w:r w:rsidR="00DB6690" w:rsidRPr="003D629E">
        <w:rPr>
          <w:rFonts w:ascii="Arial" w:hAnsi="Arial" w:cs="Arial"/>
          <w:color w:val="000000"/>
          <w:lang w:val="es-AR"/>
        </w:rPr>
        <w:t>El sendero que sigue el stock de deuda</w:t>
      </w:r>
      <w:r w:rsidR="005939F5" w:rsidRPr="003D629E">
        <w:rPr>
          <w:rFonts w:ascii="Arial" w:hAnsi="Arial" w:cs="Arial"/>
          <w:color w:val="000000"/>
          <w:lang w:val="es-AR"/>
        </w:rPr>
        <w:t xml:space="preserve"> externa</w:t>
      </w:r>
      <w:r w:rsidR="00DB6690" w:rsidRPr="003D629E">
        <w:rPr>
          <w:rFonts w:ascii="Arial" w:hAnsi="Arial" w:cs="Arial"/>
          <w:color w:val="000000"/>
          <w:lang w:val="es-AR"/>
        </w:rPr>
        <w:t xml:space="preserve"> como consecuencia de esta configuración</w:t>
      </w:r>
      <w:r w:rsidR="005232D2" w:rsidRPr="003D629E">
        <w:rPr>
          <w:rFonts w:ascii="Arial" w:hAnsi="Arial" w:cs="Arial"/>
          <w:color w:val="000000"/>
          <w:lang w:val="es-AR"/>
        </w:rPr>
        <w:t xml:space="preserve"> – con una proyección de </w:t>
      </w:r>
      <w:r w:rsidR="005939F5" w:rsidRPr="003D629E">
        <w:rPr>
          <w:rFonts w:ascii="Arial" w:hAnsi="Arial" w:cs="Arial"/>
          <w:color w:val="000000"/>
          <w:lang w:val="es-AR"/>
        </w:rPr>
        <w:t>41 pp del PBI</w:t>
      </w:r>
      <w:r w:rsidR="005232D2" w:rsidRPr="003D629E">
        <w:rPr>
          <w:rFonts w:ascii="Arial" w:hAnsi="Arial" w:cs="Arial"/>
          <w:color w:val="000000"/>
          <w:lang w:val="es-AR"/>
        </w:rPr>
        <w:t xml:space="preserve"> en 2025 -</w:t>
      </w:r>
      <w:r w:rsidR="00DB6690" w:rsidRPr="003D629E">
        <w:rPr>
          <w:rFonts w:ascii="Arial" w:hAnsi="Arial" w:cs="Arial"/>
          <w:color w:val="000000"/>
          <w:lang w:val="es-AR"/>
        </w:rPr>
        <w:t xml:space="preserve">, no es sostenible en el largo plazo. </w:t>
      </w:r>
      <w:r w:rsidR="00A02A93" w:rsidRPr="003D629E">
        <w:rPr>
          <w:rFonts w:ascii="Arial" w:hAnsi="Arial" w:cs="Arial"/>
          <w:color w:val="000000"/>
          <w:lang w:val="es-AR"/>
        </w:rPr>
        <w:t>Est</w:t>
      </w:r>
      <w:r w:rsidR="005939F5" w:rsidRPr="003D629E">
        <w:rPr>
          <w:rFonts w:ascii="Arial" w:hAnsi="Arial" w:cs="Arial"/>
          <w:color w:val="000000"/>
          <w:lang w:val="es-AR"/>
        </w:rPr>
        <w:t>e</w:t>
      </w:r>
      <w:r w:rsidR="00A02A93" w:rsidRPr="003D629E">
        <w:rPr>
          <w:rFonts w:ascii="Arial" w:hAnsi="Arial" w:cs="Arial"/>
          <w:color w:val="000000"/>
          <w:lang w:val="es-AR"/>
        </w:rPr>
        <w:t xml:space="preserve"> </w:t>
      </w:r>
      <w:r w:rsidR="005939F5" w:rsidRPr="003D629E">
        <w:rPr>
          <w:rFonts w:ascii="Arial" w:hAnsi="Arial" w:cs="Arial"/>
          <w:color w:val="000000"/>
          <w:lang w:val="es-AR"/>
        </w:rPr>
        <w:t>incremento</w:t>
      </w:r>
      <w:r w:rsidR="00A02A93" w:rsidRPr="003D629E">
        <w:rPr>
          <w:rFonts w:ascii="Arial" w:hAnsi="Arial" w:cs="Arial"/>
          <w:color w:val="000000"/>
          <w:lang w:val="es-AR"/>
        </w:rPr>
        <w:t xml:space="preserve"> es obviamente mayor bajo el supuesto de un crecimiento anual del PBI de 2%. </w:t>
      </w:r>
      <w:r w:rsidR="00C36792" w:rsidRPr="003D629E">
        <w:rPr>
          <w:rFonts w:ascii="Arial" w:hAnsi="Arial" w:cs="Arial"/>
          <w:lang w:val="es-AR"/>
        </w:rPr>
        <w:t>Más allá de ello</w:t>
      </w:r>
      <w:r w:rsidR="00AB2AF0" w:rsidRPr="003D629E">
        <w:rPr>
          <w:rFonts w:ascii="Arial" w:hAnsi="Arial" w:cs="Arial"/>
          <w:lang w:val="es-AR"/>
        </w:rPr>
        <w:t xml:space="preserve">, </w:t>
      </w:r>
      <w:r w:rsidR="00C36792" w:rsidRPr="003D629E">
        <w:rPr>
          <w:rFonts w:ascii="Arial" w:hAnsi="Arial" w:cs="Arial"/>
          <w:lang w:val="es-AR"/>
        </w:rPr>
        <w:t xml:space="preserve">debe considerarse </w:t>
      </w:r>
      <w:r w:rsidR="00AB2AF0" w:rsidRPr="003D629E">
        <w:rPr>
          <w:rFonts w:ascii="Arial" w:hAnsi="Arial" w:cs="Arial"/>
          <w:lang w:val="es-AR"/>
        </w:rPr>
        <w:t xml:space="preserve">que el peso de las políticas estudiadas a la hora de explicar el déficit es, si bien relevante, menor. </w:t>
      </w:r>
    </w:p>
    <w:p w:rsidR="00C36792" w:rsidRPr="003D629E" w:rsidRDefault="00C36792" w:rsidP="00AA3706">
      <w:pPr>
        <w:pStyle w:val="Prrafodelista1"/>
        <w:spacing w:line="276" w:lineRule="auto"/>
        <w:ind w:left="0"/>
        <w:rPr>
          <w:rFonts w:ascii="Arial" w:hAnsi="Arial" w:cs="Arial"/>
          <w:lang w:val="es-AR"/>
        </w:rPr>
      </w:pPr>
    </w:p>
    <w:p w:rsidR="00CB35EA" w:rsidRPr="003D629E" w:rsidRDefault="00C36792" w:rsidP="00AA3706">
      <w:pPr>
        <w:pStyle w:val="Prrafodelista1"/>
        <w:spacing w:line="276" w:lineRule="auto"/>
        <w:ind w:left="0"/>
        <w:rPr>
          <w:rFonts w:ascii="Arial" w:hAnsi="Arial" w:cs="Arial"/>
          <w:lang w:val="es-AR"/>
        </w:rPr>
      </w:pPr>
      <w:r w:rsidRPr="003D629E">
        <w:rPr>
          <w:rFonts w:ascii="Arial" w:hAnsi="Arial" w:cs="Arial"/>
          <w:lang w:val="es-AR"/>
        </w:rPr>
        <w:t xml:space="preserve">Dado </w:t>
      </w:r>
      <w:r w:rsidR="00AB2AF0" w:rsidRPr="003D629E">
        <w:rPr>
          <w:rFonts w:ascii="Arial" w:hAnsi="Arial" w:cs="Arial"/>
          <w:lang w:val="es-AR"/>
        </w:rPr>
        <w:t>que la ampliación de la cobertura de ambos programas que pretende impulsar el GoH tendrá lugar en un contexto d</w:t>
      </w:r>
      <w:r w:rsidR="005C5E4F" w:rsidRPr="003D629E">
        <w:rPr>
          <w:rFonts w:ascii="Arial" w:hAnsi="Arial" w:cs="Arial"/>
          <w:lang w:val="es-AR"/>
        </w:rPr>
        <w:t>e reducción del gasto corriente</w:t>
      </w:r>
      <w:r w:rsidR="00CB35EA" w:rsidRPr="003D629E">
        <w:rPr>
          <w:rFonts w:ascii="Arial" w:hAnsi="Arial" w:cs="Arial"/>
          <w:lang w:val="es-AR"/>
        </w:rPr>
        <w:t xml:space="preserve"> debe</w:t>
      </w:r>
      <w:r w:rsidR="005C5E4F" w:rsidRPr="003D629E">
        <w:rPr>
          <w:rFonts w:ascii="Arial" w:hAnsi="Arial" w:cs="Arial"/>
          <w:lang w:val="es-AR"/>
        </w:rPr>
        <w:t>rá</w:t>
      </w:r>
      <w:r w:rsidR="00CB35EA" w:rsidRPr="003D629E">
        <w:rPr>
          <w:rFonts w:ascii="Arial" w:hAnsi="Arial" w:cs="Arial"/>
          <w:lang w:val="es-AR"/>
        </w:rPr>
        <w:t xml:space="preserve"> existir un cambio en el destino del gasto para poder financiar la expansión del BVM y el PGDS. La decisión del </w:t>
      </w:r>
      <w:r w:rsidR="00BF52A0" w:rsidRPr="003D629E">
        <w:rPr>
          <w:rFonts w:ascii="Arial" w:hAnsi="Arial" w:cs="Arial"/>
          <w:lang w:val="es-AR"/>
        </w:rPr>
        <w:t>redirigir</w:t>
      </w:r>
      <w:r w:rsidR="00CB35EA" w:rsidRPr="003D629E">
        <w:rPr>
          <w:rFonts w:ascii="Arial" w:hAnsi="Arial" w:cs="Arial"/>
          <w:lang w:val="es-AR"/>
        </w:rPr>
        <w:t xml:space="preserve"> de gasto es una decisión política</w:t>
      </w:r>
      <w:r w:rsidR="005C5E4F" w:rsidRPr="003D629E">
        <w:rPr>
          <w:rFonts w:ascii="Arial" w:hAnsi="Arial" w:cs="Arial"/>
          <w:lang w:val="es-AR"/>
        </w:rPr>
        <w:t xml:space="preserve"> pero su factibilidad está afectada por una serie de condicionantes institucionales del gasto</w:t>
      </w:r>
      <w:r w:rsidR="00CB35EA" w:rsidRPr="003D629E">
        <w:rPr>
          <w:rFonts w:ascii="Arial" w:hAnsi="Arial" w:cs="Arial"/>
          <w:lang w:val="es-AR"/>
        </w:rPr>
        <w:t xml:space="preserve">. </w:t>
      </w:r>
    </w:p>
    <w:p w:rsidR="00AA3706" w:rsidRPr="003D629E" w:rsidRDefault="00AA3706" w:rsidP="00AA3706">
      <w:pPr>
        <w:spacing w:line="276" w:lineRule="auto"/>
        <w:ind w:firstLine="0"/>
        <w:rPr>
          <w:rFonts w:ascii="Arial" w:hAnsi="Arial" w:cs="Arial"/>
          <w:color w:val="000000"/>
          <w:lang w:val="es-AR"/>
        </w:rPr>
      </w:pPr>
    </w:p>
    <w:p w:rsidR="00347E84" w:rsidRPr="003D629E" w:rsidRDefault="00407694" w:rsidP="00AA3706">
      <w:pPr>
        <w:spacing w:line="276" w:lineRule="auto"/>
        <w:ind w:firstLine="0"/>
        <w:rPr>
          <w:rFonts w:ascii="Arial" w:hAnsi="Arial" w:cs="Arial"/>
          <w:lang w:val="es-AR"/>
        </w:rPr>
      </w:pPr>
      <w:r w:rsidRPr="003D629E">
        <w:rPr>
          <w:rFonts w:ascii="Arial" w:hAnsi="Arial" w:cs="Arial"/>
          <w:color w:val="000000"/>
          <w:lang w:val="es-AR"/>
        </w:rPr>
        <w:t>En el caso del PGDS, d</w:t>
      </w:r>
      <w:r w:rsidR="00347E84" w:rsidRPr="003D629E">
        <w:rPr>
          <w:rFonts w:ascii="Arial" w:hAnsi="Arial" w:cs="Arial"/>
          <w:lang w:val="es-AR"/>
        </w:rPr>
        <w:t>e acuerdo a la información provista por la Secretaría de Salud, está previsto asignar</w:t>
      </w:r>
      <w:r w:rsidRPr="003D629E">
        <w:rPr>
          <w:rFonts w:ascii="Arial" w:hAnsi="Arial" w:cs="Arial"/>
          <w:lang w:val="es-AR"/>
        </w:rPr>
        <w:t>le</w:t>
      </w:r>
      <w:r w:rsidR="00347E84" w:rsidRPr="003D629E">
        <w:rPr>
          <w:rFonts w:ascii="Arial" w:hAnsi="Arial" w:cs="Arial"/>
          <w:lang w:val="es-AR"/>
        </w:rPr>
        <w:t xml:space="preserve"> presupuestos crecientes. Si bien la disponibilidad de recursos propios del GoH no puede darse por sentada, de contar con estos fondos en el año 2016 sería clave que pudieran </w:t>
      </w:r>
      <w:r w:rsidR="0057782F" w:rsidRPr="003D629E">
        <w:rPr>
          <w:rFonts w:ascii="Arial" w:hAnsi="Arial" w:cs="Arial"/>
          <w:lang w:val="es-AR"/>
        </w:rPr>
        <w:t xml:space="preserve">ser </w:t>
      </w:r>
      <w:r w:rsidR="00347E84" w:rsidRPr="003D629E">
        <w:rPr>
          <w:rFonts w:ascii="Arial" w:hAnsi="Arial" w:cs="Arial"/>
          <w:lang w:val="es-AR"/>
        </w:rPr>
        <w:t>ejecuta</w:t>
      </w:r>
      <w:r w:rsidR="0057782F" w:rsidRPr="003D629E">
        <w:rPr>
          <w:rFonts w:ascii="Arial" w:hAnsi="Arial" w:cs="Arial"/>
          <w:lang w:val="es-AR"/>
        </w:rPr>
        <w:t>d</w:t>
      </w:r>
      <w:r w:rsidR="00347E84" w:rsidRPr="003D629E">
        <w:rPr>
          <w:rFonts w:ascii="Arial" w:hAnsi="Arial" w:cs="Arial"/>
          <w:lang w:val="es-AR"/>
        </w:rPr>
        <w:t xml:space="preserve">os para poder </w:t>
      </w:r>
      <w:r w:rsidR="00BF52A0" w:rsidRPr="003D629E">
        <w:rPr>
          <w:rFonts w:ascii="Arial" w:hAnsi="Arial" w:cs="Arial"/>
          <w:lang w:val="es-AR"/>
        </w:rPr>
        <w:t>redirigir</w:t>
      </w:r>
      <w:r w:rsidR="00347E84" w:rsidRPr="003D629E">
        <w:rPr>
          <w:rFonts w:ascii="Arial" w:hAnsi="Arial" w:cs="Arial"/>
          <w:lang w:val="es-AR"/>
        </w:rPr>
        <w:t xml:space="preserve"> financiamiento externo a los años posteriores. Cabe destacar que en los años en los que la brecha sería mayor, se ubica en torno al 25% del monto total a financiar. Aun cuando la planificación existente define un escenario en el cual la posibilidad de conseguir los fondos necesarios aparece como factible, no hay que dejar de considerar que el presupuesto de la Secretaría de Salud es considerablemente rígido. Esto se debe principalmente al peso que tiene el gasto en recursos humanos. </w:t>
      </w:r>
      <w:r w:rsidR="0057782F" w:rsidRPr="003D629E">
        <w:rPr>
          <w:rFonts w:ascii="Arial" w:hAnsi="Arial" w:cs="Arial"/>
          <w:lang w:val="es-AR"/>
        </w:rPr>
        <w:t>Es dable mencionar que</w:t>
      </w:r>
      <w:r w:rsidR="00347E84" w:rsidRPr="003D629E">
        <w:rPr>
          <w:rFonts w:ascii="Arial" w:hAnsi="Arial" w:cs="Arial"/>
          <w:lang w:val="es-AR"/>
        </w:rPr>
        <w:t xml:space="preserve"> el presupuesto necesario representa un porcentaje menor del presupuesto total de la institución. Más aún, el incremento es gradual y solamente en 2019 sería mayor a un punto porcentual. </w:t>
      </w:r>
    </w:p>
    <w:p w:rsidR="00AB2AF0" w:rsidRPr="003D629E" w:rsidRDefault="00AB2AF0" w:rsidP="00AA3706">
      <w:pPr>
        <w:pStyle w:val="Prrafodelista1"/>
        <w:spacing w:line="276" w:lineRule="auto"/>
        <w:ind w:left="0"/>
        <w:rPr>
          <w:rFonts w:ascii="Arial" w:hAnsi="Arial" w:cs="Arial"/>
          <w:color w:val="000000"/>
          <w:lang w:val="es-AR"/>
        </w:rPr>
      </w:pPr>
    </w:p>
    <w:p w:rsidR="00361FEE" w:rsidRPr="003D629E" w:rsidRDefault="00361FEE" w:rsidP="00AA3706">
      <w:pPr>
        <w:spacing w:line="276" w:lineRule="auto"/>
        <w:ind w:firstLine="0"/>
        <w:rPr>
          <w:rFonts w:ascii="Arial" w:hAnsi="Arial" w:cs="Arial"/>
          <w:lang w:val="es-AR"/>
        </w:rPr>
      </w:pPr>
      <w:r w:rsidRPr="003D629E">
        <w:rPr>
          <w:rFonts w:ascii="Arial" w:hAnsi="Arial" w:cs="Arial"/>
          <w:lang w:val="es-AR"/>
        </w:rPr>
        <w:t>La situación del BVM respecto de la factibilidad de su financiamiento futuro es, de acuerdo a la información disponible, menos clara que la del PGDS.</w:t>
      </w:r>
      <w:r w:rsidR="00982869" w:rsidRPr="003D629E">
        <w:rPr>
          <w:rFonts w:ascii="Arial" w:hAnsi="Arial" w:cs="Arial"/>
          <w:lang w:val="es-AR"/>
        </w:rPr>
        <w:t xml:space="preserve"> Debido a que es altamente improbable que la SDIS cuente con los fondos para permitir una ampliación del programa </w:t>
      </w:r>
      <w:r w:rsidR="00982869" w:rsidRPr="003D629E">
        <w:rPr>
          <w:rFonts w:ascii="Arial" w:hAnsi="Arial" w:cs="Arial"/>
          <w:lang w:val="es-AR"/>
        </w:rPr>
        <w:lastRenderedPageBreak/>
        <w:t>a 400.000 hogares, la disponibilidad de recursos dependerá del Fondo de Solidaridad y Protección Social. De mantenerse la proporción actual que la SDIS recibe del Fondo de Solidaridad, debería destinar la mayor parte a las transferencias condicionadas para alcanzar la meta propuesta. Esto implicaría reducir el financiamiento de alguna de las otras iniciativas que se están financiando.</w:t>
      </w:r>
    </w:p>
    <w:p w:rsidR="000F2924" w:rsidRPr="003D629E" w:rsidRDefault="005119AF" w:rsidP="000F2924">
      <w:pPr>
        <w:pStyle w:val="NormalWeb"/>
        <w:spacing w:line="276" w:lineRule="auto"/>
        <w:jc w:val="both"/>
        <w:rPr>
          <w:rFonts w:ascii="Arial" w:hAnsi="Arial" w:cs="Arial"/>
          <w:sz w:val="22"/>
          <w:szCs w:val="22"/>
        </w:rPr>
      </w:pPr>
      <w:r w:rsidRPr="003D629E">
        <w:rPr>
          <w:rFonts w:ascii="Arial" w:hAnsi="Arial" w:cs="Arial"/>
          <w:sz w:val="22"/>
          <w:szCs w:val="22"/>
        </w:rPr>
        <w:t xml:space="preserve">El análisis de sensibilidad muestra que </w:t>
      </w:r>
      <w:r w:rsidR="000F2924" w:rsidRPr="003D629E">
        <w:rPr>
          <w:rFonts w:ascii="Arial" w:hAnsi="Arial" w:cs="Arial"/>
          <w:sz w:val="22"/>
          <w:szCs w:val="22"/>
        </w:rPr>
        <w:t>las diferencias entre escenarios de diversa cobertura se mantienen, para una determinada tasa de crecimiento, lo que sugiere que para explicar los niveles de déficit y de deuda posee más importancia considerar las distintas tasas de crecimiento que las discrepancias consideradas en los niveles de cobertura del BVM y del gasto en Salud.</w:t>
      </w:r>
      <w:r w:rsidRPr="003D629E">
        <w:rPr>
          <w:rFonts w:ascii="Arial" w:hAnsi="Arial" w:cs="Arial"/>
          <w:sz w:val="22"/>
          <w:szCs w:val="22"/>
        </w:rPr>
        <w:t xml:space="preserve"> Adicionalmente</w:t>
      </w:r>
      <w:r w:rsidR="000F2924" w:rsidRPr="003D629E">
        <w:rPr>
          <w:rFonts w:ascii="Arial" w:hAnsi="Arial" w:cs="Arial"/>
          <w:sz w:val="22"/>
          <w:szCs w:val="22"/>
        </w:rPr>
        <w:t>, el análisis muestra que bajo un escenario de crecimiento del 4%, el impacto del incremento de cobertura es poco relevante.</w:t>
      </w:r>
    </w:p>
    <w:p w:rsidR="000F2924" w:rsidRPr="003D629E" w:rsidRDefault="000F2924" w:rsidP="00AA3706">
      <w:pPr>
        <w:spacing w:line="276" w:lineRule="auto"/>
        <w:ind w:firstLine="0"/>
        <w:rPr>
          <w:rFonts w:ascii="Arial" w:hAnsi="Arial" w:cs="Arial"/>
          <w:lang w:val="es-AR"/>
        </w:rPr>
      </w:pPr>
    </w:p>
    <w:p w:rsidR="00E37393" w:rsidRPr="00D20348" w:rsidRDefault="00E37393" w:rsidP="00AA3706">
      <w:pPr>
        <w:spacing w:before="120" w:after="120" w:line="276" w:lineRule="auto"/>
        <w:ind w:firstLine="0"/>
        <w:rPr>
          <w:rFonts w:cs="Arial"/>
          <w:color w:val="000000"/>
          <w:lang w:val="es-AR"/>
        </w:rPr>
      </w:pPr>
    </w:p>
    <w:p w:rsidR="00594626" w:rsidRDefault="00594626" w:rsidP="00AA3706">
      <w:pPr>
        <w:spacing w:before="120" w:after="120" w:line="276" w:lineRule="auto"/>
        <w:ind w:firstLine="0"/>
        <w:rPr>
          <w:rFonts w:cs="Arial"/>
          <w:color w:val="000000"/>
          <w:lang w:val="es-AR"/>
        </w:rPr>
      </w:pPr>
    </w:p>
    <w:p w:rsidR="00594626" w:rsidRDefault="00594626" w:rsidP="00AA3706">
      <w:pPr>
        <w:spacing w:before="120" w:after="120" w:line="276" w:lineRule="auto"/>
        <w:ind w:firstLine="0"/>
        <w:rPr>
          <w:rFonts w:cs="Arial"/>
          <w:color w:val="000000"/>
          <w:lang w:val="es-AR"/>
        </w:rPr>
      </w:pPr>
    </w:p>
    <w:p w:rsidR="00594626" w:rsidRDefault="00594626" w:rsidP="00AA3706">
      <w:pPr>
        <w:spacing w:before="120" w:after="120" w:line="276" w:lineRule="auto"/>
        <w:ind w:firstLine="0"/>
        <w:rPr>
          <w:rFonts w:cs="Arial"/>
          <w:color w:val="000000"/>
          <w:lang w:val="es-AR"/>
        </w:rPr>
      </w:pPr>
    </w:p>
    <w:p w:rsidR="00594626" w:rsidRDefault="00594626" w:rsidP="00AA3706">
      <w:pPr>
        <w:spacing w:before="120" w:after="120" w:line="276" w:lineRule="auto"/>
        <w:ind w:firstLine="0"/>
        <w:rPr>
          <w:rFonts w:cs="Arial"/>
          <w:color w:val="000000"/>
          <w:lang w:val="es-AR"/>
        </w:rPr>
      </w:pPr>
    </w:p>
    <w:p w:rsidR="00594626" w:rsidRDefault="00594626" w:rsidP="00AA3706">
      <w:pPr>
        <w:spacing w:before="120" w:after="120" w:line="276" w:lineRule="auto"/>
        <w:ind w:firstLine="0"/>
        <w:rPr>
          <w:rFonts w:cs="Arial"/>
          <w:color w:val="000000"/>
          <w:lang w:val="es-AR"/>
        </w:rPr>
      </w:pPr>
    </w:p>
    <w:p w:rsidR="000C6BDD" w:rsidRPr="003D629E" w:rsidRDefault="00594626" w:rsidP="003D629E">
      <w:pPr>
        <w:pStyle w:val="Heading2"/>
        <w:spacing w:line="276" w:lineRule="auto"/>
        <w:jc w:val="center"/>
        <w:rPr>
          <w:rFonts w:ascii="Arial" w:hAnsi="Arial" w:cs="Arial"/>
          <w:sz w:val="22"/>
          <w:szCs w:val="22"/>
          <w:lang w:val="es-AR"/>
        </w:rPr>
      </w:pPr>
      <w:r>
        <w:rPr>
          <w:rFonts w:cs="Arial"/>
          <w:color w:val="000000"/>
          <w:lang w:val="es-AR"/>
        </w:rPr>
        <w:br w:type="page"/>
      </w:r>
      <w:r w:rsidR="000C6BDD" w:rsidRPr="003D629E">
        <w:rPr>
          <w:rFonts w:ascii="Arial" w:hAnsi="Arial" w:cs="Arial"/>
          <w:sz w:val="22"/>
          <w:szCs w:val="22"/>
          <w:lang w:val="es-AR"/>
        </w:rPr>
        <w:lastRenderedPageBreak/>
        <w:t>Introducción</w:t>
      </w:r>
    </w:p>
    <w:p w:rsidR="000C6BDD" w:rsidRPr="003D629E" w:rsidRDefault="000C6BDD" w:rsidP="00AA3706">
      <w:pPr>
        <w:spacing w:line="276" w:lineRule="auto"/>
        <w:rPr>
          <w:rFonts w:ascii="Arial" w:hAnsi="Arial" w:cs="Arial"/>
          <w:lang w:val="es-AR"/>
        </w:rPr>
      </w:pPr>
    </w:p>
    <w:p w:rsidR="000C6BDD" w:rsidRPr="003D629E" w:rsidRDefault="000C6BDD" w:rsidP="00AA3706">
      <w:pPr>
        <w:spacing w:line="276" w:lineRule="auto"/>
        <w:ind w:firstLine="0"/>
        <w:rPr>
          <w:rFonts w:ascii="Arial" w:hAnsi="Arial" w:cs="Arial"/>
          <w:lang w:val="es-AR"/>
        </w:rPr>
      </w:pPr>
      <w:r w:rsidRPr="003D629E">
        <w:rPr>
          <w:rFonts w:ascii="Arial" w:hAnsi="Arial" w:cs="Arial"/>
          <w:lang w:val="es-AR"/>
        </w:rPr>
        <w:t>El presente documento aborda el análisis de la sostenibilidad fiscal y financiera del Bono Vida Mejor (BVM) y del Programa de Gestores Descentralizados de Salud (PGDS). Este problema es abordado desde dos dimensiones distintas. En primer lugar la problemática de la sostenibilidad fiscal a un nivel macro. Es decir, el efecto sobre la evolución del déficit y de la deuda del gasto adicional que requiere mantener la intervención de política pública. En segundo lugar, se analiza la factibilidad de que el Gobierno de Honduras tome las decisiones de asignación del gasto necesarias para priorizar el BVM y el PGDS asegurar así su sostenibilidad financiera.</w:t>
      </w:r>
    </w:p>
    <w:p w:rsidR="000C6BDD" w:rsidRPr="003D629E" w:rsidRDefault="005B15AA" w:rsidP="00AA3706">
      <w:pPr>
        <w:spacing w:line="276" w:lineRule="auto"/>
        <w:ind w:firstLine="0"/>
        <w:rPr>
          <w:rFonts w:ascii="Arial" w:hAnsi="Arial" w:cs="Arial"/>
          <w:lang w:val="es-AR"/>
        </w:rPr>
      </w:pPr>
      <w:r w:rsidRPr="003D629E">
        <w:rPr>
          <w:rFonts w:ascii="Arial" w:hAnsi="Arial" w:cs="Arial"/>
          <w:lang w:val="es-AR"/>
        </w:rPr>
        <w:br/>
      </w:r>
      <w:r w:rsidR="000C6BDD" w:rsidRPr="003D629E">
        <w:rPr>
          <w:rFonts w:ascii="Arial" w:hAnsi="Arial" w:cs="Arial"/>
          <w:lang w:val="es-AR"/>
        </w:rPr>
        <w:t xml:space="preserve">Por lo tanto, la cuestión de la sostenibilidad financiera de </w:t>
      </w:r>
      <w:r w:rsidR="00912EB1" w:rsidRPr="003D629E">
        <w:rPr>
          <w:rFonts w:ascii="Arial" w:hAnsi="Arial" w:cs="Arial"/>
          <w:lang w:val="es-AR"/>
        </w:rPr>
        <w:t>estos</w:t>
      </w:r>
      <w:r w:rsidR="000C6BDD" w:rsidRPr="003D629E">
        <w:rPr>
          <w:rFonts w:ascii="Arial" w:hAnsi="Arial" w:cs="Arial"/>
          <w:lang w:val="es-AR"/>
        </w:rPr>
        <w:t xml:space="preserve"> programa</w:t>
      </w:r>
      <w:r w:rsidR="00912EB1" w:rsidRPr="003D629E">
        <w:rPr>
          <w:rFonts w:ascii="Arial" w:hAnsi="Arial" w:cs="Arial"/>
          <w:lang w:val="es-AR"/>
        </w:rPr>
        <w:t>s</w:t>
      </w:r>
      <w:r w:rsidR="000C6BDD" w:rsidRPr="003D629E">
        <w:rPr>
          <w:rFonts w:ascii="Arial" w:hAnsi="Arial" w:cs="Arial"/>
          <w:lang w:val="es-AR"/>
        </w:rPr>
        <w:t xml:space="preserve"> en particular se analiza principalmente como un problema de decisión política. En este sentido, </w:t>
      </w:r>
      <w:r w:rsidR="00912EB1" w:rsidRPr="003D629E">
        <w:rPr>
          <w:rFonts w:ascii="Arial" w:hAnsi="Arial" w:cs="Arial"/>
          <w:lang w:val="es-AR"/>
        </w:rPr>
        <w:t>su continuidad</w:t>
      </w:r>
      <w:r w:rsidR="000C6BDD" w:rsidRPr="003D629E">
        <w:rPr>
          <w:rFonts w:ascii="Arial" w:hAnsi="Arial" w:cs="Arial"/>
          <w:lang w:val="es-AR"/>
        </w:rPr>
        <w:t xml:space="preserve"> depende de decisiones y compromisos sobre asignación de fondos públicos a nivel micro. Sin embargo, esa decisión es tomada en un contexto de efectos sobre la sostenibilidad fiscal del gobierno como un todo, que hacen más o menos factible el compromiso político de financiar </w:t>
      </w:r>
      <w:r w:rsidR="00912EB1" w:rsidRPr="003D629E">
        <w:rPr>
          <w:rFonts w:ascii="Arial" w:hAnsi="Arial" w:cs="Arial"/>
          <w:lang w:val="es-AR"/>
        </w:rPr>
        <w:t>estas iniciativas</w:t>
      </w:r>
      <w:r w:rsidR="000C6BDD" w:rsidRPr="003D629E">
        <w:rPr>
          <w:rFonts w:ascii="Arial" w:hAnsi="Arial" w:cs="Arial"/>
          <w:lang w:val="es-AR"/>
        </w:rPr>
        <w:t>.</w:t>
      </w:r>
    </w:p>
    <w:p w:rsidR="005B15AA" w:rsidRPr="003D629E" w:rsidRDefault="005B15AA" w:rsidP="00AA3706">
      <w:pPr>
        <w:spacing w:line="276" w:lineRule="auto"/>
        <w:ind w:firstLine="0"/>
        <w:rPr>
          <w:rFonts w:ascii="Arial" w:hAnsi="Arial" w:cs="Arial"/>
          <w:lang w:val="es-AR"/>
        </w:rPr>
      </w:pPr>
    </w:p>
    <w:p w:rsidR="000C6BDD" w:rsidRPr="003D629E" w:rsidRDefault="000C6BDD" w:rsidP="00AA3706">
      <w:pPr>
        <w:spacing w:line="276" w:lineRule="auto"/>
        <w:ind w:firstLine="0"/>
        <w:rPr>
          <w:rFonts w:ascii="Arial" w:hAnsi="Arial" w:cs="Arial"/>
          <w:lang w:val="es-AR"/>
        </w:rPr>
      </w:pPr>
      <w:r w:rsidRPr="003D629E">
        <w:rPr>
          <w:rFonts w:ascii="Arial" w:hAnsi="Arial" w:cs="Arial"/>
          <w:lang w:val="es-AR"/>
        </w:rPr>
        <w:t>El documento se estructura de la siguiente forma. En primer término, se realiza una descripción de la situación macrofiscal de Honduras. En segundo término, se realiza el análisis de sostenibilidad fiscal y financiera en la que luego de cuantificar el espacio fiscal necesario para afrontar la implementación de las dos intervenciones de política pública, se proyecta el impacto de mantener ese espacio a futuro. Cabe aclarar que el cálculo del financiamiento necesario para ambos proyectos, se hace bajo el supuesto de que su cobertura se expande de acuerdo a parámetros establecidos por las autoridades del GoH. Por último, se presenta el estudio de las perspectivas de la ejecución del BVM y del PGDS en relación a otros programas de gasto social.</w:t>
      </w:r>
    </w:p>
    <w:p w:rsidR="000C6BDD" w:rsidRPr="003D629E" w:rsidRDefault="000C6BDD" w:rsidP="00AA3706">
      <w:pPr>
        <w:pStyle w:val="Heading2"/>
        <w:pageBreakBefore/>
        <w:spacing w:line="276" w:lineRule="auto"/>
        <w:rPr>
          <w:rFonts w:ascii="Arial" w:hAnsi="Arial" w:cs="Arial"/>
          <w:sz w:val="22"/>
          <w:szCs w:val="22"/>
          <w:lang w:val="es-AR"/>
        </w:rPr>
      </w:pPr>
      <w:r w:rsidRPr="003D629E">
        <w:rPr>
          <w:rFonts w:ascii="Arial" w:hAnsi="Arial" w:cs="Arial"/>
          <w:sz w:val="22"/>
          <w:szCs w:val="22"/>
          <w:lang w:val="es-AR"/>
        </w:rPr>
        <w:lastRenderedPageBreak/>
        <w:t>I. DESCRIPCIÓN DE LA SITUACIÓN FISCAL DE HONDURAS 2005-2015</w:t>
      </w:r>
    </w:p>
    <w:p w:rsidR="00AA3706" w:rsidRPr="003D629E" w:rsidRDefault="00AA3706" w:rsidP="00AA3706">
      <w:pPr>
        <w:spacing w:line="276" w:lineRule="auto"/>
        <w:ind w:firstLine="0"/>
        <w:rPr>
          <w:rFonts w:ascii="Arial" w:hAnsi="Arial" w:cs="Arial"/>
          <w:lang w:val="es-AR"/>
        </w:rPr>
      </w:pPr>
    </w:p>
    <w:p w:rsidR="000C6BDD" w:rsidRPr="003D629E" w:rsidRDefault="000C6BDD" w:rsidP="00AA3706">
      <w:pPr>
        <w:spacing w:line="276" w:lineRule="auto"/>
        <w:ind w:firstLine="0"/>
        <w:rPr>
          <w:rFonts w:ascii="Arial" w:hAnsi="Arial" w:cs="Arial"/>
          <w:b/>
          <w:lang w:val="es-AR"/>
        </w:rPr>
      </w:pPr>
      <w:r w:rsidRPr="003D629E">
        <w:rPr>
          <w:rFonts w:ascii="Arial" w:hAnsi="Arial" w:cs="Arial"/>
          <w:lang w:val="es-AR"/>
        </w:rPr>
        <w:t xml:space="preserve">Esta sección examina las principales características en la dinámica de las cuentas de la Administración Central en Honduras para el período 2005-2015: gastos, ingresos, déficits primario y global y, finalmente, la evolución de la deuda pública y los pagos de intereses. </w:t>
      </w:r>
    </w:p>
    <w:p w:rsidR="000C6BDD" w:rsidRPr="003D629E" w:rsidRDefault="000C6BDD" w:rsidP="00AA3706">
      <w:pPr>
        <w:spacing w:line="276" w:lineRule="auto"/>
        <w:ind w:firstLine="0"/>
        <w:rPr>
          <w:rFonts w:ascii="Arial" w:hAnsi="Arial" w:cs="Arial"/>
          <w:b/>
          <w:lang w:val="es-AR"/>
        </w:rPr>
      </w:pPr>
    </w:p>
    <w:p w:rsidR="000C6BDD" w:rsidRPr="003D629E" w:rsidRDefault="000C6BDD" w:rsidP="003F52E2">
      <w:pPr>
        <w:pStyle w:val="Subtitle"/>
        <w:ind w:firstLine="0"/>
        <w:jc w:val="both"/>
        <w:rPr>
          <w:rFonts w:ascii="Arial" w:hAnsi="Arial" w:cs="Arial"/>
          <w:b/>
          <w:sz w:val="22"/>
          <w:szCs w:val="22"/>
          <w:lang w:val="es-AR"/>
        </w:rPr>
      </w:pPr>
      <w:r w:rsidRPr="003D629E">
        <w:rPr>
          <w:rFonts w:ascii="Arial" w:hAnsi="Arial" w:cs="Arial"/>
          <w:b/>
          <w:sz w:val="22"/>
          <w:szCs w:val="22"/>
          <w:lang w:val="es-AR"/>
        </w:rPr>
        <w:t>I.1. Evolución del Producto bruto interno.</w:t>
      </w:r>
    </w:p>
    <w:p w:rsidR="00AA3706" w:rsidRPr="003D629E" w:rsidRDefault="00AA3706" w:rsidP="00AA3706">
      <w:pPr>
        <w:spacing w:line="276" w:lineRule="auto"/>
        <w:ind w:firstLine="0"/>
        <w:rPr>
          <w:rFonts w:ascii="Arial" w:hAnsi="Arial" w:cs="Arial"/>
          <w:lang w:val="es-AR"/>
        </w:rPr>
      </w:pPr>
    </w:p>
    <w:p w:rsidR="000C6BDD" w:rsidRPr="003D629E" w:rsidRDefault="000C6BDD" w:rsidP="00AA3706">
      <w:pPr>
        <w:spacing w:line="276" w:lineRule="auto"/>
        <w:ind w:firstLine="0"/>
        <w:rPr>
          <w:rFonts w:ascii="Arial" w:hAnsi="Arial" w:cs="Arial"/>
          <w:lang w:val="es-AR"/>
        </w:rPr>
      </w:pPr>
      <w:r w:rsidRPr="003D629E">
        <w:rPr>
          <w:rFonts w:ascii="Arial" w:hAnsi="Arial" w:cs="Arial"/>
          <w:lang w:val="es-AR"/>
        </w:rPr>
        <w:t>Como paso previo al análisis de las cuentas fiscales en Honduras, es conveniente examinar brevemente las principales características en la dinámica del producto para el período en cuestión. Durante el decenio 2005-2015, Honduras presentó un crecimiento del PBI de 3,8 pp en promedio.  Con la excepción de 2009, año en el que, producto de la crisis que afecta a la economía global, la economía de Honduras reduce su nivel de producto en 2,4 pp., en todos los años restantes el producto crece a tasas superiores al 2,8% (2013), llegando a presentar incluso un crecimiento de 6,6 pp. en el año 2006</w:t>
      </w:r>
      <w:r w:rsidR="003D629E">
        <w:rPr>
          <w:rFonts w:ascii="Arial" w:hAnsi="Arial" w:cs="Arial"/>
          <w:lang w:val="es-AR"/>
        </w:rPr>
        <w:t>.</w:t>
      </w:r>
    </w:p>
    <w:p w:rsidR="000C6BDD" w:rsidRDefault="000C6BDD" w:rsidP="00AA3706">
      <w:pPr>
        <w:spacing w:line="276" w:lineRule="auto"/>
        <w:ind w:firstLine="0"/>
        <w:jc w:val="center"/>
        <w:rPr>
          <w:lang w:val="es-AR"/>
        </w:rPr>
      </w:pPr>
    </w:p>
    <w:p w:rsidR="00B83D56" w:rsidRPr="00C44A82" w:rsidRDefault="00B83D56" w:rsidP="00AA3706">
      <w:pPr>
        <w:pStyle w:val="Caption"/>
        <w:keepNext/>
        <w:spacing w:line="276" w:lineRule="auto"/>
        <w:rPr>
          <w:lang w:val="es-AR"/>
        </w:rPr>
      </w:pPr>
      <w:bookmarkStart w:id="0" w:name="_Ref447009988"/>
      <w:r w:rsidRPr="00C44A82">
        <w:rPr>
          <w:lang w:val="es-AR"/>
        </w:rPr>
        <w:t xml:space="preserve">Gráfico </w:t>
      </w:r>
      <w:r w:rsidRPr="00C44A82">
        <w:fldChar w:fldCharType="begin"/>
      </w:r>
      <w:r w:rsidRPr="00C44A82">
        <w:rPr>
          <w:lang w:val="es-AR"/>
        </w:rPr>
        <w:instrText xml:space="preserve"> SEQ Gráfico \* ARABIC </w:instrText>
      </w:r>
      <w:r w:rsidRPr="00C44A82">
        <w:fldChar w:fldCharType="separate"/>
      </w:r>
      <w:r w:rsidR="00F97D55">
        <w:rPr>
          <w:noProof/>
          <w:lang w:val="es-AR"/>
        </w:rPr>
        <w:t>1</w:t>
      </w:r>
      <w:r w:rsidRPr="00C44A82">
        <w:fldChar w:fldCharType="end"/>
      </w:r>
      <w:bookmarkEnd w:id="0"/>
      <w:r w:rsidRPr="00C44A82">
        <w:rPr>
          <w:lang w:val="es-AR"/>
        </w:rPr>
        <w:t>: Crecimiento del Producto Bruto interno (precios constantes 2000=100)</w:t>
      </w:r>
    </w:p>
    <w:p w:rsidR="000C6BDD" w:rsidRDefault="00FD4DBE" w:rsidP="00AA3706">
      <w:pPr>
        <w:pStyle w:val="Heading2"/>
        <w:spacing w:line="276" w:lineRule="auto"/>
        <w:rPr>
          <w:lang w:val="es-AR"/>
        </w:rPr>
      </w:pPr>
      <w:r>
        <w:rPr>
          <w:noProof/>
          <w:lang w:val="en-US" w:eastAsia="en-US"/>
        </w:rPr>
        <w:drawing>
          <wp:inline distT="0" distB="0" distL="0" distR="0">
            <wp:extent cx="5600700" cy="30670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00700" cy="3067050"/>
                    </a:xfrm>
                    <a:prstGeom prst="rect">
                      <a:avLst/>
                    </a:prstGeom>
                    <a:noFill/>
                    <a:ln>
                      <a:noFill/>
                    </a:ln>
                  </pic:spPr>
                </pic:pic>
              </a:graphicData>
            </a:graphic>
          </wp:inline>
        </w:drawing>
      </w:r>
    </w:p>
    <w:p w:rsidR="000C6BDD" w:rsidRPr="00225D32" w:rsidRDefault="000C6BDD" w:rsidP="00AA3706">
      <w:pPr>
        <w:spacing w:line="276" w:lineRule="auto"/>
        <w:ind w:firstLine="0"/>
        <w:rPr>
          <w:rFonts w:ascii="Arial" w:hAnsi="Arial" w:cs="Arial"/>
          <w:sz w:val="18"/>
          <w:lang w:val="es-AR"/>
        </w:rPr>
      </w:pPr>
      <w:r w:rsidRPr="00225D32">
        <w:rPr>
          <w:rFonts w:ascii="Arial" w:hAnsi="Arial" w:cs="Arial"/>
          <w:sz w:val="18"/>
          <w:lang w:val="es-AR"/>
        </w:rPr>
        <w:t>Fuente: Elaboración propia en base a datos de la SEFIN.</w:t>
      </w:r>
    </w:p>
    <w:p w:rsidR="000C6BDD" w:rsidRDefault="000C6BDD" w:rsidP="00AA3706">
      <w:pPr>
        <w:spacing w:line="276" w:lineRule="auto"/>
        <w:ind w:firstLine="0"/>
        <w:rPr>
          <w:lang w:val="es-AR"/>
        </w:rPr>
      </w:pPr>
    </w:p>
    <w:p w:rsidR="00AA3706" w:rsidRDefault="00AA3706" w:rsidP="00AA3706">
      <w:pPr>
        <w:spacing w:line="276" w:lineRule="auto"/>
        <w:ind w:firstLine="0"/>
        <w:rPr>
          <w:lang w:val="es-AR"/>
        </w:rPr>
      </w:pPr>
    </w:p>
    <w:p w:rsidR="000C6BDD" w:rsidRPr="00225D32" w:rsidRDefault="000C6BDD" w:rsidP="00AA3706">
      <w:pPr>
        <w:spacing w:line="276" w:lineRule="auto"/>
        <w:ind w:firstLine="0"/>
        <w:rPr>
          <w:rFonts w:ascii="Arial" w:hAnsi="Arial" w:cs="Arial"/>
          <w:lang w:val="es-AR"/>
        </w:rPr>
      </w:pPr>
      <w:r w:rsidRPr="00225D32">
        <w:rPr>
          <w:rFonts w:ascii="Arial" w:hAnsi="Arial" w:cs="Arial"/>
          <w:lang w:val="es-AR"/>
        </w:rPr>
        <w:t xml:space="preserve">De todos modos, al interior del período analizado, es conveniente distinguir a su vez entre dos etapas marcadamente diferentes: una primera etapa que se extiende durante el trienio 2005-2008, por un lado, y el período postcrisis de 2009, por el otro. En efecto, se observa en el </w:t>
      </w:r>
      <w:r w:rsidR="00C44A82" w:rsidRPr="00225D32">
        <w:rPr>
          <w:rFonts w:ascii="Arial" w:hAnsi="Arial" w:cs="Arial"/>
          <w:lang w:val="es-AR"/>
        </w:rPr>
        <w:fldChar w:fldCharType="begin"/>
      </w:r>
      <w:r w:rsidR="00C44A82" w:rsidRPr="00225D32">
        <w:rPr>
          <w:rFonts w:ascii="Arial" w:hAnsi="Arial" w:cs="Arial"/>
          <w:lang w:val="es-AR"/>
        </w:rPr>
        <w:instrText xml:space="preserve"> REF _Ref447009988 \h </w:instrText>
      </w:r>
      <w:r w:rsidR="00AA3706" w:rsidRPr="00225D32">
        <w:rPr>
          <w:rFonts w:ascii="Arial" w:hAnsi="Arial" w:cs="Arial"/>
          <w:lang w:val="es-AR"/>
        </w:rPr>
        <w:instrText xml:space="preserve"> \* MERGEFORMAT </w:instrText>
      </w:r>
      <w:r w:rsidR="00C44A82" w:rsidRPr="00225D32">
        <w:rPr>
          <w:rFonts w:ascii="Arial" w:hAnsi="Arial" w:cs="Arial"/>
          <w:lang w:val="es-AR"/>
        </w:rPr>
      </w:r>
      <w:r w:rsidR="00C44A82" w:rsidRPr="00225D32">
        <w:rPr>
          <w:rFonts w:ascii="Arial" w:hAnsi="Arial" w:cs="Arial"/>
          <w:lang w:val="es-AR"/>
        </w:rPr>
        <w:fldChar w:fldCharType="separate"/>
      </w:r>
      <w:r w:rsidR="00C44A82" w:rsidRPr="00225D32">
        <w:rPr>
          <w:rFonts w:ascii="Arial" w:hAnsi="Arial" w:cs="Arial"/>
          <w:lang w:val="es-AR"/>
        </w:rPr>
        <w:t xml:space="preserve">Gráfico </w:t>
      </w:r>
      <w:r w:rsidR="00C44A82" w:rsidRPr="00225D32">
        <w:rPr>
          <w:rFonts w:ascii="Arial" w:hAnsi="Arial" w:cs="Arial"/>
          <w:noProof/>
          <w:lang w:val="es-AR"/>
        </w:rPr>
        <w:t>1</w:t>
      </w:r>
      <w:r w:rsidR="00C44A82" w:rsidRPr="00225D32">
        <w:rPr>
          <w:rFonts w:ascii="Arial" w:hAnsi="Arial" w:cs="Arial"/>
          <w:lang w:val="es-AR"/>
        </w:rPr>
        <w:fldChar w:fldCharType="end"/>
      </w:r>
      <w:r w:rsidR="00C44A82" w:rsidRPr="00225D32">
        <w:rPr>
          <w:rFonts w:ascii="Arial" w:hAnsi="Arial" w:cs="Arial"/>
          <w:lang w:val="es-AR"/>
        </w:rPr>
        <w:t xml:space="preserve"> </w:t>
      </w:r>
      <w:r w:rsidRPr="00225D32">
        <w:rPr>
          <w:rFonts w:ascii="Arial" w:hAnsi="Arial" w:cs="Arial"/>
          <w:lang w:val="es-AR"/>
        </w:rPr>
        <w:t xml:space="preserve">que durante la primera etapa la economía hondureña crece a una tasa promedio del 5,8%, considerablemente superior a aquella que se verifica luego de la </w:t>
      </w:r>
      <w:r w:rsidRPr="00225D32">
        <w:rPr>
          <w:rFonts w:ascii="Arial" w:hAnsi="Arial" w:cs="Arial"/>
          <w:lang w:val="es-AR"/>
        </w:rPr>
        <w:lastRenderedPageBreak/>
        <w:t xml:space="preserve">crisis, que oscila alrededor del 3,5%.  Lo anterior sugiere que la crisis, si bien ha sido superada, ha dejado secuelas que no deben despreciarse.  </w:t>
      </w:r>
    </w:p>
    <w:p w:rsidR="00AA3706" w:rsidRPr="00225D32" w:rsidRDefault="00AA3706" w:rsidP="00AA3706">
      <w:pPr>
        <w:spacing w:line="276" w:lineRule="auto"/>
        <w:ind w:firstLine="0"/>
        <w:rPr>
          <w:rFonts w:ascii="Arial" w:hAnsi="Arial" w:cs="Arial"/>
          <w:lang w:val="es-AR"/>
        </w:rPr>
      </w:pPr>
    </w:p>
    <w:p w:rsidR="000C6BDD" w:rsidRPr="00225D32" w:rsidRDefault="000C6BDD" w:rsidP="00AA3706">
      <w:pPr>
        <w:spacing w:line="276" w:lineRule="auto"/>
        <w:ind w:firstLine="0"/>
        <w:rPr>
          <w:rFonts w:ascii="Arial" w:hAnsi="Arial" w:cs="Arial"/>
          <w:lang w:val="es-AR"/>
        </w:rPr>
      </w:pPr>
      <w:r w:rsidRPr="00225D32">
        <w:rPr>
          <w:rFonts w:ascii="Arial" w:hAnsi="Arial" w:cs="Arial"/>
          <w:lang w:val="es-AR"/>
        </w:rPr>
        <w:t xml:space="preserve">Si examinamos ahora la contribución al crecimiento, es posible apreciar del </w:t>
      </w:r>
      <w:r w:rsidR="00D3562D" w:rsidRPr="00225D32">
        <w:rPr>
          <w:rFonts w:ascii="Arial" w:hAnsi="Arial" w:cs="Arial"/>
          <w:lang w:val="es-AR"/>
        </w:rPr>
        <w:fldChar w:fldCharType="begin"/>
      </w:r>
      <w:r w:rsidR="00D3562D" w:rsidRPr="00225D32">
        <w:rPr>
          <w:rFonts w:ascii="Arial" w:hAnsi="Arial" w:cs="Arial"/>
          <w:lang w:val="es-AR"/>
        </w:rPr>
        <w:instrText xml:space="preserve"> REF _Ref447010078 \h </w:instrText>
      </w:r>
      <w:r w:rsidR="00AA3706" w:rsidRPr="00225D32">
        <w:rPr>
          <w:rFonts w:ascii="Arial" w:hAnsi="Arial" w:cs="Arial"/>
          <w:lang w:val="es-AR"/>
        </w:rPr>
        <w:instrText xml:space="preserve"> \* MERGEFORMAT </w:instrText>
      </w:r>
      <w:r w:rsidR="00D3562D" w:rsidRPr="00225D32">
        <w:rPr>
          <w:rFonts w:ascii="Arial" w:hAnsi="Arial" w:cs="Arial"/>
          <w:lang w:val="es-AR"/>
        </w:rPr>
      </w:r>
      <w:r w:rsidR="00D3562D" w:rsidRPr="00225D32">
        <w:rPr>
          <w:rFonts w:ascii="Arial" w:hAnsi="Arial" w:cs="Arial"/>
          <w:lang w:val="es-AR"/>
        </w:rPr>
        <w:fldChar w:fldCharType="separate"/>
      </w:r>
      <w:r w:rsidR="00D3562D" w:rsidRPr="00225D32">
        <w:rPr>
          <w:rFonts w:ascii="Arial" w:hAnsi="Arial" w:cs="Arial"/>
          <w:lang w:val="es-AR"/>
        </w:rPr>
        <w:t xml:space="preserve">Gráfico </w:t>
      </w:r>
      <w:r w:rsidR="00D3562D" w:rsidRPr="00225D32">
        <w:rPr>
          <w:rFonts w:ascii="Arial" w:hAnsi="Arial" w:cs="Arial"/>
          <w:noProof/>
          <w:lang w:val="es-AR"/>
        </w:rPr>
        <w:t>2</w:t>
      </w:r>
      <w:r w:rsidR="00D3562D" w:rsidRPr="00225D32">
        <w:rPr>
          <w:rFonts w:ascii="Arial" w:hAnsi="Arial" w:cs="Arial"/>
          <w:lang w:val="es-AR"/>
        </w:rPr>
        <w:fldChar w:fldCharType="end"/>
      </w:r>
      <w:r w:rsidR="00D3562D" w:rsidRPr="00225D32">
        <w:rPr>
          <w:rFonts w:ascii="Arial" w:hAnsi="Arial" w:cs="Arial"/>
          <w:lang w:val="es-AR"/>
        </w:rPr>
        <w:t xml:space="preserve"> </w:t>
      </w:r>
      <w:r w:rsidRPr="00225D32">
        <w:rPr>
          <w:rFonts w:ascii="Arial" w:hAnsi="Arial" w:cs="Arial"/>
          <w:lang w:val="es-AR"/>
        </w:rPr>
        <w:t xml:space="preserve">que la inversión ha sido </w:t>
      </w:r>
      <w:r w:rsidR="00E1365E" w:rsidRPr="00225D32">
        <w:rPr>
          <w:rFonts w:ascii="Arial" w:hAnsi="Arial" w:cs="Arial"/>
          <w:lang w:val="es-AR"/>
        </w:rPr>
        <w:t>el</w:t>
      </w:r>
      <w:r w:rsidRPr="00225D32">
        <w:rPr>
          <w:rFonts w:ascii="Arial" w:hAnsi="Arial" w:cs="Arial"/>
          <w:lang w:val="es-AR"/>
        </w:rPr>
        <w:t xml:space="preserve"> componente más dinámic</w:t>
      </w:r>
      <w:r w:rsidR="00E1365E" w:rsidRPr="00225D32">
        <w:rPr>
          <w:rFonts w:ascii="Arial" w:hAnsi="Arial" w:cs="Arial"/>
          <w:lang w:val="es-AR"/>
        </w:rPr>
        <w:t>o</w:t>
      </w:r>
      <w:r w:rsidRPr="00225D32">
        <w:rPr>
          <w:rFonts w:ascii="Arial" w:hAnsi="Arial" w:cs="Arial"/>
          <w:lang w:val="es-AR"/>
        </w:rPr>
        <w:t xml:space="preserve"> durante el período en cuestión, llegando a crecer a tasas superiores al 19% del PBI en el año 2007, y alcanzando los 17pp. del producto en 2011. Debe destacarse sin embargo que ésta ha sido también la componente que ha experimentado la mayor tasa de variación. De hecho, en el año de la crisis la inversión se desploma un 34,9%. Por su parte, el consumo, si bien ha perdido el dinamismo de los años de pre-crisis, periodo en el cual se incrementa a una tasa promedio de 7,8pp,  ha crecido a una tasa baja pero sostenida, presentando un promedio del 3%. </w:t>
      </w:r>
    </w:p>
    <w:p w:rsidR="000C6BDD" w:rsidRDefault="000C6BDD" w:rsidP="00AA3706">
      <w:pPr>
        <w:spacing w:line="276" w:lineRule="auto"/>
        <w:ind w:firstLine="0"/>
        <w:rPr>
          <w:lang w:val="es-AR"/>
        </w:rPr>
      </w:pPr>
    </w:p>
    <w:p w:rsidR="00602638" w:rsidRPr="00225D32" w:rsidRDefault="00602638" w:rsidP="003D629E">
      <w:pPr>
        <w:pStyle w:val="Caption"/>
        <w:keepNext/>
        <w:spacing w:line="276" w:lineRule="auto"/>
        <w:ind w:firstLine="0"/>
        <w:jc w:val="center"/>
        <w:rPr>
          <w:rFonts w:ascii="Arial" w:hAnsi="Arial" w:cs="Arial"/>
          <w:sz w:val="18"/>
          <w:szCs w:val="18"/>
          <w:lang w:val="es-AR"/>
        </w:rPr>
      </w:pPr>
      <w:bookmarkStart w:id="1" w:name="_Ref447010078"/>
      <w:r w:rsidRPr="00225D32">
        <w:rPr>
          <w:rFonts w:ascii="Arial" w:hAnsi="Arial" w:cs="Arial"/>
          <w:sz w:val="18"/>
          <w:szCs w:val="18"/>
          <w:lang w:val="es-AR"/>
        </w:rPr>
        <w:t xml:space="preserve">Gráfico </w:t>
      </w:r>
      <w:r w:rsidRPr="00225D32">
        <w:rPr>
          <w:rFonts w:ascii="Arial" w:hAnsi="Arial" w:cs="Arial"/>
          <w:sz w:val="18"/>
          <w:szCs w:val="18"/>
        </w:rPr>
        <w:fldChar w:fldCharType="begin"/>
      </w:r>
      <w:r w:rsidRPr="00225D32">
        <w:rPr>
          <w:rFonts w:ascii="Arial" w:hAnsi="Arial" w:cs="Arial"/>
          <w:sz w:val="18"/>
          <w:szCs w:val="18"/>
          <w:lang w:val="es-AR"/>
        </w:rPr>
        <w:instrText xml:space="preserve"> SEQ Gráfico \* ARABIC </w:instrText>
      </w:r>
      <w:r w:rsidRPr="00225D32">
        <w:rPr>
          <w:rFonts w:ascii="Arial" w:hAnsi="Arial" w:cs="Arial"/>
          <w:sz w:val="18"/>
          <w:szCs w:val="18"/>
        </w:rPr>
        <w:fldChar w:fldCharType="separate"/>
      </w:r>
      <w:r w:rsidR="00F97D55" w:rsidRPr="00225D32">
        <w:rPr>
          <w:rFonts w:ascii="Arial" w:hAnsi="Arial" w:cs="Arial"/>
          <w:noProof/>
          <w:sz w:val="18"/>
          <w:szCs w:val="18"/>
          <w:lang w:val="es-AR"/>
        </w:rPr>
        <w:t>2</w:t>
      </w:r>
      <w:r w:rsidRPr="00225D32">
        <w:rPr>
          <w:rFonts w:ascii="Arial" w:hAnsi="Arial" w:cs="Arial"/>
          <w:sz w:val="18"/>
          <w:szCs w:val="18"/>
        </w:rPr>
        <w:fldChar w:fldCharType="end"/>
      </w:r>
      <w:bookmarkEnd w:id="1"/>
      <w:r w:rsidRPr="00225D32">
        <w:rPr>
          <w:rFonts w:ascii="Arial" w:hAnsi="Arial" w:cs="Arial"/>
          <w:sz w:val="18"/>
          <w:szCs w:val="18"/>
          <w:lang w:val="es-AR"/>
        </w:rPr>
        <w:t>: Contribución al crecimiento. Tasa de variación (en %)</w:t>
      </w:r>
    </w:p>
    <w:p w:rsidR="000C6BDD" w:rsidRDefault="00FD4DBE" w:rsidP="00AA3706">
      <w:pPr>
        <w:spacing w:line="276" w:lineRule="auto"/>
        <w:ind w:firstLine="0"/>
        <w:jc w:val="center"/>
        <w:rPr>
          <w:lang w:val="es-AR"/>
        </w:rPr>
      </w:pPr>
      <w:r>
        <w:rPr>
          <w:noProof/>
          <w:lang w:val="en-US" w:eastAsia="en-US"/>
        </w:rPr>
        <w:drawing>
          <wp:inline distT="0" distB="0" distL="0" distR="0">
            <wp:extent cx="4676775" cy="2447925"/>
            <wp:effectExtent l="0" t="0" r="9525"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76775" cy="2447925"/>
                    </a:xfrm>
                    <a:prstGeom prst="rect">
                      <a:avLst/>
                    </a:prstGeom>
                    <a:solidFill>
                      <a:srgbClr val="FFFFFF"/>
                    </a:solidFill>
                    <a:ln>
                      <a:noFill/>
                    </a:ln>
                  </pic:spPr>
                </pic:pic>
              </a:graphicData>
            </a:graphic>
          </wp:inline>
        </w:drawing>
      </w:r>
    </w:p>
    <w:p w:rsidR="000C6BDD" w:rsidRPr="00225D32" w:rsidRDefault="000C6BDD" w:rsidP="003D629E">
      <w:pPr>
        <w:spacing w:line="276" w:lineRule="auto"/>
        <w:ind w:left="708" w:firstLine="708"/>
        <w:rPr>
          <w:rFonts w:ascii="Arial" w:hAnsi="Arial" w:cs="Arial"/>
          <w:sz w:val="18"/>
          <w:lang w:val="es-AR"/>
        </w:rPr>
      </w:pPr>
      <w:r w:rsidRPr="00225D32">
        <w:rPr>
          <w:rFonts w:ascii="Arial" w:hAnsi="Arial" w:cs="Arial"/>
          <w:sz w:val="18"/>
          <w:lang w:val="es-AR"/>
        </w:rPr>
        <w:t>Fuente: Elaboración propia en base a datos de la SEFIN.</w:t>
      </w:r>
    </w:p>
    <w:p w:rsidR="000C6BDD" w:rsidRDefault="000C6BDD" w:rsidP="00AA3706">
      <w:pPr>
        <w:spacing w:line="276" w:lineRule="auto"/>
        <w:ind w:firstLine="0"/>
        <w:rPr>
          <w:lang w:val="es-AR"/>
        </w:rPr>
      </w:pPr>
    </w:p>
    <w:p w:rsidR="000C6BDD" w:rsidRPr="00225D32" w:rsidRDefault="000C6BDD" w:rsidP="00AA3706">
      <w:pPr>
        <w:spacing w:line="276" w:lineRule="auto"/>
        <w:ind w:firstLine="0"/>
        <w:rPr>
          <w:rFonts w:ascii="Arial" w:hAnsi="Arial" w:cs="Arial"/>
          <w:lang w:val="es-AR"/>
        </w:rPr>
      </w:pPr>
      <w:r w:rsidRPr="00225D32">
        <w:rPr>
          <w:rFonts w:ascii="Arial" w:hAnsi="Arial" w:cs="Arial"/>
          <w:lang w:val="es-AR"/>
        </w:rPr>
        <w:t xml:space="preserve">Como último punto para tener un panorama general del comportamiento de la economía de Honduras durante el período analizado es conveniente examinar el comportamiento del sector externo, resumido en el </w:t>
      </w:r>
      <w:r w:rsidR="00A22BDD" w:rsidRPr="00225D32">
        <w:rPr>
          <w:rFonts w:ascii="Arial" w:hAnsi="Arial" w:cs="Arial"/>
          <w:lang w:val="es-AR"/>
        </w:rPr>
        <w:fldChar w:fldCharType="begin"/>
      </w:r>
      <w:r w:rsidR="00A22BDD" w:rsidRPr="00225D32">
        <w:rPr>
          <w:rFonts w:ascii="Arial" w:hAnsi="Arial" w:cs="Arial"/>
          <w:lang w:val="es-AR"/>
        </w:rPr>
        <w:instrText xml:space="preserve"> REF _Ref447010160 \h </w:instrText>
      </w:r>
      <w:r w:rsidR="00AA3706" w:rsidRPr="00225D32">
        <w:rPr>
          <w:rFonts w:ascii="Arial" w:hAnsi="Arial" w:cs="Arial"/>
          <w:lang w:val="es-AR"/>
        </w:rPr>
        <w:instrText xml:space="preserve"> \* MERGEFORMAT </w:instrText>
      </w:r>
      <w:r w:rsidR="00A22BDD" w:rsidRPr="00225D32">
        <w:rPr>
          <w:rFonts w:ascii="Arial" w:hAnsi="Arial" w:cs="Arial"/>
          <w:lang w:val="es-AR"/>
        </w:rPr>
      </w:r>
      <w:r w:rsidR="00A22BDD" w:rsidRPr="00225D32">
        <w:rPr>
          <w:rFonts w:ascii="Arial" w:hAnsi="Arial" w:cs="Arial"/>
          <w:lang w:val="es-AR"/>
        </w:rPr>
        <w:fldChar w:fldCharType="separate"/>
      </w:r>
      <w:r w:rsidR="004B123C" w:rsidRPr="00225D32">
        <w:rPr>
          <w:rFonts w:ascii="Arial" w:hAnsi="Arial" w:cs="Arial"/>
          <w:lang w:val="es-AR"/>
        </w:rPr>
        <w:t xml:space="preserve">Cuadro </w:t>
      </w:r>
      <w:r w:rsidR="004B123C" w:rsidRPr="00225D32">
        <w:rPr>
          <w:rFonts w:ascii="Arial" w:hAnsi="Arial" w:cs="Arial"/>
          <w:noProof/>
          <w:lang w:val="es-AR"/>
        </w:rPr>
        <w:t>1</w:t>
      </w:r>
      <w:r w:rsidR="00A22BDD" w:rsidRPr="00225D32">
        <w:rPr>
          <w:rFonts w:ascii="Arial" w:hAnsi="Arial" w:cs="Arial"/>
          <w:lang w:val="es-AR"/>
        </w:rPr>
        <w:fldChar w:fldCharType="end"/>
      </w:r>
      <w:r w:rsidR="00A22BDD" w:rsidRPr="00225D32">
        <w:rPr>
          <w:rFonts w:ascii="Arial" w:hAnsi="Arial" w:cs="Arial"/>
          <w:lang w:val="es-AR"/>
        </w:rPr>
        <w:t xml:space="preserve"> </w:t>
      </w:r>
      <w:r w:rsidRPr="00225D32">
        <w:rPr>
          <w:rFonts w:ascii="Arial" w:hAnsi="Arial" w:cs="Arial"/>
          <w:lang w:val="es-AR"/>
        </w:rPr>
        <w:t xml:space="preserve">. Especial atención merece la dinámica del resultado corriente. Mientras las exportaciones muestran un comportamiento relativamente estable durante el período 2005-2008, y decrecen su participación en términos del producto durante toda esa etapa (del 51,47% del PBI en 2005 a 46,82% en 2008), las importaciones, por otro lado, y como resultado de la propia dinámica del producto, tienden a incrementarse pari passu, no solo en términos absolutos sino también como porcentaje del PBI, llegando así a representar el 76% del PBI en 2008; es decir casi 10 pp. más que en 2005. Todo ello explica el deterioro progresivo que sufre la cuenta corriente del balance de pagos durante la primera etapa del período analizado, que pasa de representar el 4% del PBI en 2005 al 13% en 2008. </w:t>
      </w:r>
    </w:p>
    <w:p w:rsidR="000C6BDD" w:rsidRDefault="000C6BDD" w:rsidP="00AA3706">
      <w:pPr>
        <w:spacing w:line="276" w:lineRule="auto"/>
        <w:ind w:firstLine="0"/>
        <w:rPr>
          <w:lang w:val="es-AR"/>
        </w:rPr>
      </w:pPr>
    </w:p>
    <w:p w:rsidR="00A22BDD" w:rsidRPr="00A22BDD" w:rsidRDefault="00A22BDD" w:rsidP="003D629E">
      <w:pPr>
        <w:pStyle w:val="Caption"/>
        <w:keepNext/>
        <w:spacing w:line="276" w:lineRule="auto"/>
        <w:ind w:firstLine="0"/>
        <w:jc w:val="center"/>
        <w:rPr>
          <w:sz w:val="22"/>
          <w:lang w:val="es-AR"/>
        </w:rPr>
      </w:pPr>
      <w:bookmarkStart w:id="2" w:name="_Ref447010160"/>
      <w:r w:rsidRPr="00225D32">
        <w:rPr>
          <w:rFonts w:ascii="Arial" w:hAnsi="Arial" w:cs="Arial"/>
          <w:sz w:val="22"/>
          <w:lang w:val="es-AR"/>
        </w:rPr>
        <w:lastRenderedPageBreak/>
        <w:t xml:space="preserve">Cuadro </w:t>
      </w:r>
      <w:r w:rsidRPr="00225D32">
        <w:rPr>
          <w:rFonts w:ascii="Arial" w:hAnsi="Arial" w:cs="Arial"/>
          <w:sz w:val="22"/>
        </w:rPr>
        <w:fldChar w:fldCharType="begin"/>
      </w:r>
      <w:r w:rsidRPr="00225D32">
        <w:rPr>
          <w:rFonts w:ascii="Arial" w:hAnsi="Arial" w:cs="Arial"/>
          <w:sz w:val="22"/>
          <w:lang w:val="es-AR"/>
        </w:rPr>
        <w:instrText xml:space="preserve"> SEQ Cuadro \* ARABIC </w:instrText>
      </w:r>
      <w:r w:rsidRPr="00225D32">
        <w:rPr>
          <w:rFonts w:ascii="Arial" w:hAnsi="Arial" w:cs="Arial"/>
          <w:sz w:val="22"/>
        </w:rPr>
        <w:fldChar w:fldCharType="separate"/>
      </w:r>
      <w:r w:rsidR="009C1E0D" w:rsidRPr="00225D32">
        <w:rPr>
          <w:rFonts w:ascii="Arial" w:hAnsi="Arial" w:cs="Arial"/>
          <w:noProof/>
          <w:sz w:val="22"/>
          <w:lang w:val="es-AR"/>
        </w:rPr>
        <w:t>1</w:t>
      </w:r>
      <w:r w:rsidRPr="00225D32">
        <w:rPr>
          <w:rFonts w:ascii="Arial" w:hAnsi="Arial" w:cs="Arial"/>
          <w:sz w:val="22"/>
        </w:rPr>
        <w:fldChar w:fldCharType="end"/>
      </w:r>
      <w:bookmarkEnd w:id="2"/>
      <w:r w:rsidRPr="00225D32">
        <w:rPr>
          <w:rFonts w:ascii="Arial" w:hAnsi="Arial" w:cs="Arial"/>
          <w:sz w:val="22"/>
          <w:lang w:val="es-AR"/>
        </w:rPr>
        <w:t>: Balanza de pagos en Honduras</w:t>
      </w:r>
      <w:r w:rsidRPr="00A22BDD">
        <w:rPr>
          <w:sz w:val="22"/>
          <w:lang w:val="es-AR"/>
        </w:rPr>
        <w:t>.</w:t>
      </w:r>
    </w:p>
    <w:p w:rsidR="000C6BDD" w:rsidRDefault="00FD4DBE" w:rsidP="00AA3706">
      <w:pPr>
        <w:spacing w:line="276" w:lineRule="auto"/>
        <w:ind w:firstLine="0"/>
      </w:pPr>
      <w:r>
        <w:rPr>
          <w:noProof/>
          <w:lang w:val="en-US" w:eastAsia="en-US"/>
        </w:rPr>
        <w:drawing>
          <wp:inline distT="0" distB="0" distL="0" distR="0">
            <wp:extent cx="5610225" cy="1819275"/>
            <wp:effectExtent l="0" t="0" r="9525"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0225" cy="1819275"/>
                    </a:xfrm>
                    <a:prstGeom prst="rect">
                      <a:avLst/>
                    </a:prstGeom>
                    <a:noFill/>
                    <a:ln>
                      <a:noFill/>
                    </a:ln>
                  </pic:spPr>
                </pic:pic>
              </a:graphicData>
            </a:graphic>
          </wp:inline>
        </w:drawing>
      </w:r>
    </w:p>
    <w:p w:rsidR="00A22BDD" w:rsidRPr="00225D32" w:rsidRDefault="00A22BDD" w:rsidP="00AA3706">
      <w:pPr>
        <w:spacing w:line="276" w:lineRule="auto"/>
        <w:ind w:firstLine="0"/>
        <w:rPr>
          <w:rFonts w:ascii="Arial" w:hAnsi="Arial" w:cs="Arial"/>
          <w:sz w:val="18"/>
          <w:lang w:val="es-AR"/>
        </w:rPr>
      </w:pPr>
      <w:r w:rsidRPr="00225D32">
        <w:rPr>
          <w:rFonts w:ascii="Arial" w:hAnsi="Arial" w:cs="Arial"/>
          <w:sz w:val="18"/>
          <w:lang w:val="es-AR"/>
        </w:rPr>
        <w:t>Fuente: Elaboración propia en base a datos de la SEFIN.</w:t>
      </w:r>
    </w:p>
    <w:p w:rsidR="00A22BDD" w:rsidRDefault="00A22BDD" w:rsidP="00AA3706">
      <w:pPr>
        <w:spacing w:line="276" w:lineRule="auto"/>
        <w:ind w:firstLine="0"/>
        <w:rPr>
          <w:lang w:val="es-AR"/>
        </w:rPr>
      </w:pPr>
    </w:p>
    <w:p w:rsidR="000C6BDD" w:rsidRPr="00225D32" w:rsidRDefault="000C6BDD" w:rsidP="00AA3706">
      <w:pPr>
        <w:spacing w:line="276" w:lineRule="auto"/>
        <w:ind w:firstLine="0"/>
        <w:rPr>
          <w:rFonts w:ascii="Arial" w:hAnsi="Arial" w:cs="Arial"/>
          <w:lang w:val="es-AR"/>
        </w:rPr>
      </w:pPr>
      <w:r w:rsidRPr="00225D32">
        <w:rPr>
          <w:rFonts w:ascii="Arial" w:hAnsi="Arial" w:cs="Arial"/>
          <w:lang w:val="es-AR"/>
        </w:rPr>
        <w:t>Lo contrario se observa durante la crisis global de 2009. Si bien la crisis global provoca una fuerte contracción de las exportaciones hondureñas como porcentaje del PBI, las cuales reducen su valor en más de 10 pp., hasta alcanzar el piso de 33% del PBI en 2009, las importaciones se desploman en más de 25 pp. en el mismo período; ello permite explicar la recuperación en el resultado corriente del balance de pagos, el cual pasa a repr</w:t>
      </w:r>
      <w:r w:rsidR="00E1365E" w:rsidRPr="00225D32">
        <w:rPr>
          <w:rFonts w:ascii="Arial" w:hAnsi="Arial" w:cs="Arial"/>
          <w:lang w:val="es-AR"/>
        </w:rPr>
        <w:t xml:space="preserve">esentar 4 pp. del PBI en 2009. </w:t>
      </w:r>
      <w:r w:rsidRPr="00225D32">
        <w:rPr>
          <w:rFonts w:ascii="Arial" w:hAnsi="Arial" w:cs="Arial"/>
          <w:lang w:val="es-AR"/>
        </w:rPr>
        <w:t xml:space="preserve">Finalmente, la etapa post-crisis 2009 recupera la tendencia al deterioro corriente evidenciado durante la primera etapa del período en cuestión, pero con una fuerza mucho menor, resultado que puede explicarse principalmente por el menor crecimiento del producto durante esta segundo etapa, ergo de las importaciones. </w:t>
      </w:r>
    </w:p>
    <w:p w:rsidR="000C6BDD" w:rsidRPr="00225D32" w:rsidRDefault="000C6BDD" w:rsidP="00AA3706">
      <w:pPr>
        <w:spacing w:line="276" w:lineRule="auto"/>
        <w:ind w:firstLine="0"/>
        <w:rPr>
          <w:rFonts w:ascii="Arial" w:hAnsi="Arial" w:cs="Arial"/>
          <w:lang w:val="es-AR"/>
        </w:rPr>
      </w:pPr>
    </w:p>
    <w:p w:rsidR="000C6BDD" w:rsidRPr="00225D32" w:rsidRDefault="000C6BDD" w:rsidP="003F52E2">
      <w:pPr>
        <w:pStyle w:val="Subtitle"/>
        <w:ind w:firstLine="0"/>
        <w:jc w:val="both"/>
        <w:rPr>
          <w:rFonts w:ascii="Arial" w:hAnsi="Arial" w:cs="Arial"/>
          <w:b/>
          <w:sz w:val="22"/>
          <w:szCs w:val="22"/>
          <w:lang w:val="es-AR"/>
        </w:rPr>
      </w:pPr>
      <w:r w:rsidRPr="00225D32">
        <w:rPr>
          <w:rFonts w:ascii="Arial" w:hAnsi="Arial" w:cs="Arial"/>
          <w:b/>
          <w:sz w:val="22"/>
          <w:szCs w:val="22"/>
          <w:lang w:val="es-AR"/>
        </w:rPr>
        <w:t xml:space="preserve">I.2. Evolución de las cuentas de la Administración Central. </w:t>
      </w:r>
    </w:p>
    <w:p w:rsidR="00E73CBC" w:rsidRPr="00225D32" w:rsidRDefault="00E73CBC" w:rsidP="00AA3706">
      <w:pPr>
        <w:spacing w:line="276" w:lineRule="auto"/>
        <w:ind w:firstLine="0"/>
        <w:rPr>
          <w:rFonts w:ascii="Arial" w:hAnsi="Arial" w:cs="Arial"/>
          <w:lang w:val="es-AR"/>
        </w:rPr>
      </w:pPr>
    </w:p>
    <w:p w:rsidR="000C6BDD" w:rsidRPr="00225D32" w:rsidRDefault="000C6BDD" w:rsidP="00AA3706">
      <w:pPr>
        <w:spacing w:line="276" w:lineRule="auto"/>
        <w:ind w:firstLine="0"/>
        <w:rPr>
          <w:rFonts w:ascii="Arial" w:hAnsi="Arial" w:cs="Arial"/>
          <w:lang w:val="es-AR"/>
        </w:rPr>
      </w:pPr>
      <w:r w:rsidRPr="00225D32">
        <w:rPr>
          <w:rFonts w:ascii="Arial" w:hAnsi="Arial" w:cs="Arial"/>
          <w:lang w:val="es-AR"/>
        </w:rPr>
        <w:t>La evolución del producto bruto de la economía hondureña permite alcanzar una mejor comprensión del comportamiento de las cuentas fiscales en ese país, en tanto, al igual que ocurre con la dinámica del producto, la crisis de 2008-2009 también sirve como línea divisoria de la situación fiscal global de Honduras durante el decenio 2005-20015. Dicha situación puede resumirse a partir del</w:t>
      </w:r>
      <w:r w:rsidR="000C641E" w:rsidRPr="00225D32">
        <w:rPr>
          <w:rFonts w:ascii="Arial" w:hAnsi="Arial" w:cs="Arial"/>
          <w:lang w:val="es-AR"/>
        </w:rPr>
        <w:t xml:space="preserve"> </w:t>
      </w:r>
      <w:r w:rsidR="000C641E" w:rsidRPr="00225D32">
        <w:rPr>
          <w:rFonts w:ascii="Arial" w:hAnsi="Arial" w:cs="Arial"/>
          <w:lang w:val="es-AR"/>
        </w:rPr>
        <w:fldChar w:fldCharType="begin"/>
      </w:r>
      <w:r w:rsidR="000C641E" w:rsidRPr="00225D32">
        <w:rPr>
          <w:rFonts w:ascii="Arial" w:hAnsi="Arial" w:cs="Arial"/>
          <w:lang w:val="es-AR"/>
        </w:rPr>
        <w:instrText xml:space="preserve"> REF _Ref447010305 \h </w:instrText>
      </w:r>
      <w:r w:rsidR="00AA3706" w:rsidRPr="00225D32">
        <w:rPr>
          <w:rFonts w:ascii="Arial" w:hAnsi="Arial" w:cs="Arial"/>
          <w:lang w:val="es-AR"/>
        </w:rPr>
        <w:instrText xml:space="preserve"> \* MERGEFORMAT </w:instrText>
      </w:r>
      <w:r w:rsidR="000C641E" w:rsidRPr="00225D32">
        <w:rPr>
          <w:rFonts w:ascii="Arial" w:hAnsi="Arial" w:cs="Arial"/>
          <w:lang w:val="es-AR"/>
        </w:rPr>
      </w:r>
      <w:r w:rsidR="000C641E" w:rsidRPr="00225D32">
        <w:rPr>
          <w:rFonts w:ascii="Arial" w:hAnsi="Arial" w:cs="Arial"/>
          <w:lang w:val="es-AR"/>
        </w:rPr>
        <w:fldChar w:fldCharType="separate"/>
      </w:r>
      <w:r w:rsidR="000C641E" w:rsidRPr="00225D32">
        <w:rPr>
          <w:rFonts w:ascii="Arial" w:hAnsi="Arial" w:cs="Arial"/>
          <w:lang w:val="es-AR"/>
        </w:rPr>
        <w:t xml:space="preserve">Cuadro </w:t>
      </w:r>
      <w:r w:rsidR="000C641E" w:rsidRPr="00225D32">
        <w:rPr>
          <w:rFonts w:ascii="Arial" w:hAnsi="Arial" w:cs="Arial"/>
          <w:noProof/>
          <w:lang w:val="es-AR"/>
        </w:rPr>
        <w:t>2</w:t>
      </w:r>
      <w:r w:rsidR="000C641E" w:rsidRPr="00225D32">
        <w:rPr>
          <w:rFonts w:ascii="Arial" w:hAnsi="Arial" w:cs="Arial"/>
          <w:lang w:val="es-AR"/>
        </w:rPr>
        <w:fldChar w:fldCharType="end"/>
      </w:r>
      <w:r w:rsidRPr="00225D32">
        <w:rPr>
          <w:rFonts w:ascii="Arial" w:hAnsi="Arial" w:cs="Arial"/>
          <w:lang w:val="es-AR"/>
        </w:rPr>
        <w:t>.</w:t>
      </w:r>
    </w:p>
    <w:p w:rsidR="000C6BDD" w:rsidRPr="00225D32" w:rsidRDefault="000C6BDD" w:rsidP="00AA3706">
      <w:pPr>
        <w:spacing w:line="276" w:lineRule="auto"/>
        <w:ind w:firstLine="0"/>
        <w:jc w:val="center"/>
        <w:rPr>
          <w:rFonts w:ascii="Arial" w:hAnsi="Arial" w:cs="Arial"/>
          <w:lang w:val="es-AR"/>
        </w:rPr>
      </w:pPr>
    </w:p>
    <w:p w:rsidR="000C641E" w:rsidRPr="00225D32" w:rsidRDefault="000C641E" w:rsidP="003D629E">
      <w:pPr>
        <w:pStyle w:val="Caption"/>
        <w:keepNext/>
        <w:spacing w:line="276" w:lineRule="auto"/>
        <w:ind w:firstLine="0"/>
        <w:jc w:val="center"/>
        <w:rPr>
          <w:rFonts w:ascii="Arial" w:hAnsi="Arial" w:cs="Arial"/>
          <w:sz w:val="22"/>
          <w:lang w:val="es-AR"/>
        </w:rPr>
      </w:pPr>
      <w:bookmarkStart w:id="3" w:name="_Ref447010305"/>
      <w:r w:rsidRPr="00225D32">
        <w:rPr>
          <w:rFonts w:ascii="Arial" w:hAnsi="Arial" w:cs="Arial"/>
          <w:sz w:val="22"/>
          <w:lang w:val="es-AR"/>
        </w:rPr>
        <w:lastRenderedPageBreak/>
        <w:t xml:space="preserve">Cuadro </w:t>
      </w:r>
      <w:r w:rsidRPr="00225D32">
        <w:rPr>
          <w:rFonts w:ascii="Arial" w:hAnsi="Arial" w:cs="Arial"/>
          <w:sz w:val="22"/>
        </w:rPr>
        <w:fldChar w:fldCharType="begin"/>
      </w:r>
      <w:r w:rsidRPr="00225D32">
        <w:rPr>
          <w:rFonts w:ascii="Arial" w:hAnsi="Arial" w:cs="Arial"/>
          <w:sz w:val="22"/>
          <w:lang w:val="es-AR"/>
        </w:rPr>
        <w:instrText xml:space="preserve"> SEQ Cuadro \* ARABIC </w:instrText>
      </w:r>
      <w:r w:rsidRPr="00225D32">
        <w:rPr>
          <w:rFonts w:ascii="Arial" w:hAnsi="Arial" w:cs="Arial"/>
          <w:sz w:val="22"/>
        </w:rPr>
        <w:fldChar w:fldCharType="separate"/>
      </w:r>
      <w:r w:rsidR="009C1E0D" w:rsidRPr="00225D32">
        <w:rPr>
          <w:rFonts w:ascii="Arial" w:hAnsi="Arial" w:cs="Arial"/>
          <w:noProof/>
          <w:sz w:val="22"/>
          <w:lang w:val="es-AR"/>
        </w:rPr>
        <w:t>2</w:t>
      </w:r>
      <w:r w:rsidRPr="00225D32">
        <w:rPr>
          <w:rFonts w:ascii="Arial" w:hAnsi="Arial" w:cs="Arial"/>
          <w:sz w:val="22"/>
        </w:rPr>
        <w:fldChar w:fldCharType="end"/>
      </w:r>
      <w:bookmarkEnd w:id="3"/>
      <w:r w:rsidRPr="00225D32">
        <w:rPr>
          <w:rFonts w:ascii="Arial" w:hAnsi="Arial" w:cs="Arial"/>
          <w:sz w:val="22"/>
          <w:lang w:val="es-AR"/>
        </w:rPr>
        <w:t>: Administración Central. Situación fiscal 2005-2015 (millones de dólares)</w:t>
      </w:r>
    </w:p>
    <w:p w:rsidR="000C6BDD" w:rsidRDefault="00FD4DBE" w:rsidP="00AA3706">
      <w:pPr>
        <w:spacing w:line="276" w:lineRule="auto"/>
        <w:ind w:firstLine="0"/>
        <w:jc w:val="center"/>
        <w:rPr>
          <w:lang w:val="es-AR"/>
        </w:rPr>
      </w:pPr>
      <w:r>
        <w:rPr>
          <w:noProof/>
          <w:lang w:val="en-US" w:eastAsia="en-US"/>
        </w:rPr>
        <w:drawing>
          <wp:inline distT="0" distB="0" distL="0" distR="0">
            <wp:extent cx="5610225" cy="2867025"/>
            <wp:effectExtent l="0" t="0" r="9525" b="952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10225" cy="2867025"/>
                    </a:xfrm>
                    <a:prstGeom prst="rect">
                      <a:avLst/>
                    </a:prstGeom>
                    <a:solidFill>
                      <a:srgbClr val="FFFFFF"/>
                    </a:solidFill>
                    <a:ln>
                      <a:noFill/>
                    </a:ln>
                  </pic:spPr>
                </pic:pic>
              </a:graphicData>
            </a:graphic>
          </wp:inline>
        </w:drawing>
      </w:r>
    </w:p>
    <w:p w:rsidR="000C6BDD" w:rsidRPr="00225D32" w:rsidRDefault="000C6BDD" w:rsidP="00AA3706">
      <w:pPr>
        <w:spacing w:line="276" w:lineRule="auto"/>
        <w:ind w:firstLine="0"/>
        <w:rPr>
          <w:rFonts w:ascii="Arial" w:hAnsi="Arial" w:cs="Arial"/>
          <w:sz w:val="18"/>
          <w:lang w:val="es-AR"/>
        </w:rPr>
      </w:pPr>
      <w:r w:rsidRPr="00225D32">
        <w:rPr>
          <w:rFonts w:ascii="Arial" w:hAnsi="Arial" w:cs="Arial"/>
          <w:sz w:val="18"/>
          <w:lang w:val="es-AR"/>
        </w:rPr>
        <w:t>Fuente: Elaboración propia en base a datos de la SEFIN</w:t>
      </w:r>
    </w:p>
    <w:p w:rsidR="000C6BDD" w:rsidRPr="00225D32" w:rsidRDefault="000C6BDD" w:rsidP="00AA3706">
      <w:pPr>
        <w:spacing w:line="276" w:lineRule="auto"/>
        <w:ind w:firstLine="0"/>
        <w:rPr>
          <w:rFonts w:ascii="Arial" w:hAnsi="Arial" w:cs="Arial"/>
          <w:lang w:val="es-AR"/>
        </w:rPr>
      </w:pPr>
    </w:p>
    <w:p w:rsidR="000C6BDD" w:rsidRPr="00225D32" w:rsidRDefault="000C6BDD" w:rsidP="00AA3706">
      <w:pPr>
        <w:spacing w:line="276" w:lineRule="auto"/>
        <w:ind w:firstLine="0"/>
        <w:rPr>
          <w:rFonts w:ascii="Arial" w:hAnsi="Arial" w:cs="Arial"/>
          <w:lang w:val="es-AR"/>
        </w:rPr>
      </w:pPr>
      <w:r w:rsidRPr="00225D32">
        <w:rPr>
          <w:rFonts w:ascii="Arial" w:hAnsi="Arial" w:cs="Arial"/>
          <w:lang w:val="es-AR"/>
        </w:rPr>
        <w:t xml:space="preserve">Si nos concentramos primero en el lado del gasto, se desprende del </w:t>
      </w:r>
      <w:r w:rsidR="000C641E" w:rsidRPr="00225D32">
        <w:rPr>
          <w:rFonts w:ascii="Arial" w:hAnsi="Arial" w:cs="Arial"/>
          <w:lang w:val="es-AR"/>
        </w:rPr>
        <w:fldChar w:fldCharType="begin"/>
      </w:r>
      <w:r w:rsidR="000C641E" w:rsidRPr="00225D32">
        <w:rPr>
          <w:rFonts w:ascii="Arial" w:hAnsi="Arial" w:cs="Arial"/>
          <w:lang w:val="es-AR"/>
        </w:rPr>
        <w:instrText xml:space="preserve"> REF _Ref447010160 \h </w:instrText>
      </w:r>
      <w:r w:rsidR="00AA3706" w:rsidRPr="00225D32">
        <w:rPr>
          <w:rFonts w:ascii="Arial" w:hAnsi="Arial" w:cs="Arial"/>
          <w:lang w:val="es-AR"/>
        </w:rPr>
        <w:instrText xml:space="preserve"> \* MERGEFORMAT </w:instrText>
      </w:r>
      <w:r w:rsidR="000C641E" w:rsidRPr="00225D32">
        <w:rPr>
          <w:rFonts w:ascii="Arial" w:hAnsi="Arial" w:cs="Arial"/>
          <w:lang w:val="es-AR"/>
        </w:rPr>
      </w:r>
      <w:r w:rsidR="000C641E" w:rsidRPr="00225D32">
        <w:rPr>
          <w:rFonts w:ascii="Arial" w:hAnsi="Arial" w:cs="Arial"/>
          <w:lang w:val="es-AR"/>
        </w:rPr>
        <w:fldChar w:fldCharType="separate"/>
      </w:r>
      <w:r w:rsidR="000C641E" w:rsidRPr="00225D32">
        <w:rPr>
          <w:rFonts w:ascii="Arial" w:hAnsi="Arial" w:cs="Arial"/>
          <w:lang w:val="es-AR"/>
        </w:rPr>
        <w:t xml:space="preserve">Cuadro </w:t>
      </w:r>
      <w:r w:rsidR="000C641E" w:rsidRPr="00225D32">
        <w:rPr>
          <w:rFonts w:ascii="Arial" w:hAnsi="Arial" w:cs="Arial"/>
          <w:noProof/>
          <w:lang w:val="es-AR"/>
        </w:rPr>
        <w:t>1</w:t>
      </w:r>
      <w:r w:rsidR="000C641E" w:rsidRPr="00225D32">
        <w:rPr>
          <w:rFonts w:ascii="Arial" w:hAnsi="Arial" w:cs="Arial"/>
          <w:lang w:val="es-AR"/>
        </w:rPr>
        <w:fldChar w:fldCharType="end"/>
      </w:r>
      <w:r w:rsidR="000C641E" w:rsidRPr="00225D32">
        <w:rPr>
          <w:rFonts w:ascii="Arial" w:hAnsi="Arial" w:cs="Arial"/>
          <w:lang w:val="es-AR"/>
        </w:rPr>
        <w:t xml:space="preserve"> </w:t>
      </w:r>
      <w:r w:rsidRPr="00225D32">
        <w:rPr>
          <w:rFonts w:ascii="Arial" w:hAnsi="Arial" w:cs="Arial"/>
          <w:lang w:val="es-AR"/>
        </w:rPr>
        <w:t xml:space="preserve">y del </w:t>
      </w:r>
      <w:r w:rsidR="0084680B" w:rsidRPr="00225D32">
        <w:rPr>
          <w:rFonts w:ascii="Arial" w:hAnsi="Arial" w:cs="Arial"/>
          <w:lang w:val="es-AR"/>
        </w:rPr>
        <w:fldChar w:fldCharType="begin"/>
      </w:r>
      <w:r w:rsidR="0084680B" w:rsidRPr="00225D32">
        <w:rPr>
          <w:rFonts w:ascii="Arial" w:hAnsi="Arial" w:cs="Arial"/>
          <w:lang w:val="es-AR"/>
        </w:rPr>
        <w:instrText xml:space="preserve"> REF _Ref447010689 \h </w:instrText>
      </w:r>
      <w:r w:rsidR="00AA3706" w:rsidRPr="00225D32">
        <w:rPr>
          <w:rFonts w:ascii="Arial" w:hAnsi="Arial" w:cs="Arial"/>
          <w:lang w:val="es-AR"/>
        </w:rPr>
        <w:instrText xml:space="preserve"> \* MERGEFORMAT </w:instrText>
      </w:r>
      <w:r w:rsidR="0084680B" w:rsidRPr="00225D32">
        <w:rPr>
          <w:rFonts w:ascii="Arial" w:hAnsi="Arial" w:cs="Arial"/>
          <w:lang w:val="es-AR"/>
        </w:rPr>
      </w:r>
      <w:r w:rsidR="0084680B" w:rsidRPr="00225D32">
        <w:rPr>
          <w:rFonts w:ascii="Arial" w:hAnsi="Arial" w:cs="Arial"/>
          <w:lang w:val="es-AR"/>
        </w:rPr>
        <w:fldChar w:fldCharType="separate"/>
      </w:r>
      <w:r w:rsidR="0084680B" w:rsidRPr="00225D32">
        <w:rPr>
          <w:rFonts w:ascii="Arial" w:hAnsi="Arial" w:cs="Arial"/>
          <w:lang w:val="es-AR"/>
        </w:rPr>
        <w:t xml:space="preserve">Gráfico </w:t>
      </w:r>
      <w:r w:rsidR="0084680B" w:rsidRPr="00225D32">
        <w:rPr>
          <w:rFonts w:ascii="Arial" w:hAnsi="Arial" w:cs="Arial"/>
          <w:noProof/>
          <w:lang w:val="es-AR"/>
        </w:rPr>
        <w:t>3</w:t>
      </w:r>
      <w:r w:rsidR="0084680B" w:rsidRPr="00225D32">
        <w:rPr>
          <w:rFonts w:ascii="Arial" w:hAnsi="Arial" w:cs="Arial"/>
          <w:lang w:val="es-AR"/>
        </w:rPr>
        <w:fldChar w:fldCharType="end"/>
      </w:r>
      <w:r w:rsidR="0084680B" w:rsidRPr="00225D32">
        <w:rPr>
          <w:rFonts w:ascii="Arial" w:hAnsi="Arial" w:cs="Arial"/>
          <w:lang w:val="es-AR"/>
        </w:rPr>
        <w:t xml:space="preserve"> </w:t>
      </w:r>
      <w:r w:rsidRPr="00225D32">
        <w:rPr>
          <w:rFonts w:ascii="Arial" w:hAnsi="Arial" w:cs="Arial"/>
          <w:lang w:val="es-AR"/>
        </w:rPr>
        <w:t xml:space="preserve">que los gastos corrientes en términos del PBI presentan una trayectoria claramente creciente durante el período pre-crisis, evolucionando más de 2 pp. a lo largo de ese sub-período, al pasar de una tasa del 15,3% del producto en 2005 hasta los 17,5 pp. en </w:t>
      </w:r>
      <w:r w:rsidR="00FD1F0E" w:rsidRPr="00225D32">
        <w:rPr>
          <w:rFonts w:ascii="Arial" w:hAnsi="Arial" w:cs="Arial"/>
          <w:lang w:val="es-AR"/>
        </w:rPr>
        <w:t xml:space="preserve">el </w:t>
      </w:r>
      <w:r w:rsidRPr="00225D32">
        <w:rPr>
          <w:rFonts w:ascii="Arial" w:hAnsi="Arial" w:cs="Arial"/>
          <w:lang w:val="es-AR"/>
        </w:rPr>
        <w:t xml:space="preserve">2008. Dicha trayectoria no cambia de signo durante el año de la crisis;  por el contrario el cociente entre Gasto Corriente y PBI se incrementa aún más, para representar un 18,5% del producto en 2009. Ello puede explicarse en particular por el gasto en salarios, que han pasado de representar un 7% del producto en el año 2008 a un 11% en 2009. Este comportamiento es a su vez el resultado de lo que se conoce como el establecimiento de los Estatutos Laborales en Honduras en los años </w:t>
      </w:r>
      <w:r w:rsidR="000C641E" w:rsidRPr="00225D32">
        <w:rPr>
          <w:rFonts w:ascii="Arial" w:hAnsi="Arial" w:cs="Arial"/>
          <w:lang w:val="es-AR"/>
        </w:rPr>
        <w:t>noventa</w:t>
      </w:r>
      <w:r w:rsidRPr="00225D32">
        <w:rPr>
          <w:rFonts w:ascii="Arial" w:hAnsi="Arial" w:cs="Arial"/>
          <w:lang w:val="es-AR"/>
        </w:rPr>
        <w:t>: regímenes de contratación y remuneraciones para diferentes gremios de la Administración Central (docentes, médicos etc.) que sustraen a los beneficiarios del Régimen del Servicio Civil y les otorgan una serie de beneficios económicos que han generado una presión considerable sobre los resultados fiscales</w:t>
      </w:r>
      <w:r w:rsidRPr="00225D32">
        <w:rPr>
          <w:rStyle w:val="FootnoteReference"/>
          <w:rFonts w:ascii="Arial" w:hAnsi="Arial" w:cs="Arial"/>
        </w:rPr>
        <w:footnoteReference w:id="1"/>
      </w:r>
      <w:r w:rsidRPr="00225D32">
        <w:rPr>
          <w:rFonts w:ascii="Arial" w:hAnsi="Arial" w:cs="Arial"/>
          <w:lang w:val="es-AR"/>
        </w:rPr>
        <w:t xml:space="preserve">. Desde  2009 y hasta 2011 los gastos corrientes sí disminuyen su participación en el producto en 1,7 pp., pasando a representar el 16% del PBI en 2011. De todos modos, retoman luego una senda fuertemente creciente en los dos años siguientes, superando en 2013 incluso considerablemente los valores </w:t>
      </w:r>
      <w:r w:rsidR="0091615D" w:rsidRPr="00225D32">
        <w:rPr>
          <w:rFonts w:ascii="Arial" w:hAnsi="Arial" w:cs="Arial"/>
          <w:lang w:val="es-AR"/>
        </w:rPr>
        <w:t>pre</w:t>
      </w:r>
      <w:r w:rsidRPr="00225D32">
        <w:rPr>
          <w:rFonts w:ascii="Arial" w:hAnsi="Arial" w:cs="Arial"/>
          <w:lang w:val="es-AR"/>
        </w:rPr>
        <w:t xml:space="preserve">-crisis, cuando alcanzan casi el 20% del PBI. </w:t>
      </w:r>
      <w:r w:rsidR="0072431A" w:rsidRPr="00225D32">
        <w:rPr>
          <w:rFonts w:ascii="Arial" w:hAnsi="Arial" w:cs="Arial"/>
          <w:lang w:val="es-AR"/>
        </w:rPr>
        <w:t>Las cifras de este año están probablemente asociadas a la existencia de un ciclo presupuestario electoral.</w:t>
      </w:r>
    </w:p>
    <w:p w:rsidR="007A4D06" w:rsidRPr="00225D32" w:rsidRDefault="007A4D06" w:rsidP="00AA3706">
      <w:pPr>
        <w:spacing w:line="276" w:lineRule="auto"/>
        <w:ind w:firstLine="0"/>
        <w:rPr>
          <w:rFonts w:ascii="Arial" w:hAnsi="Arial" w:cs="Arial"/>
          <w:lang w:val="es-AR"/>
        </w:rPr>
      </w:pPr>
    </w:p>
    <w:p w:rsidR="000C6BDD" w:rsidRPr="00225D32" w:rsidRDefault="000C6BDD" w:rsidP="00AA3706">
      <w:pPr>
        <w:spacing w:line="276" w:lineRule="auto"/>
        <w:ind w:firstLine="0"/>
        <w:rPr>
          <w:rFonts w:ascii="Arial" w:hAnsi="Arial" w:cs="Arial"/>
          <w:lang w:val="es-AR"/>
        </w:rPr>
      </w:pPr>
      <w:r w:rsidRPr="00225D32">
        <w:rPr>
          <w:rFonts w:ascii="Arial" w:hAnsi="Arial" w:cs="Arial"/>
          <w:lang w:val="es-AR"/>
        </w:rPr>
        <w:t xml:space="preserve">Finalmente, </w:t>
      </w:r>
      <w:r w:rsidR="007A4D06" w:rsidRPr="00225D32">
        <w:rPr>
          <w:rFonts w:ascii="Arial" w:hAnsi="Arial" w:cs="Arial"/>
          <w:lang w:val="es-AR"/>
        </w:rPr>
        <w:t>cab</w:t>
      </w:r>
      <w:r w:rsidRPr="00225D32">
        <w:rPr>
          <w:rFonts w:ascii="Arial" w:hAnsi="Arial" w:cs="Arial"/>
          <w:lang w:val="es-AR"/>
        </w:rPr>
        <w:t xml:space="preserve">e destacar que como resultado de la reforma fiscal del año 2013 que impone la necesidad de reducir el déficit fiscal (ver abajo), la dinámica del gasto en términos del producto se modifica en los últimos dos años del período analizado, y el </w:t>
      </w:r>
      <w:r w:rsidRPr="00225D32">
        <w:rPr>
          <w:rFonts w:ascii="Arial" w:hAnsi="Arial" w:cs="Arial"/>
          <w:lang w:val="es-AR"/>
        </w:rPr>
        <w:lastRenderedPageBreak/>
        <w:t>gasto corriente como porcentaje del producto logra reducirse en 1,7 pp. hasta alcanzar los 18,1 pp. del PBI en el año 2015. Aunque, de todos modos, desde el inicio al fin del período examinado el gasto presenta un incremento de 2,9 pp. en términos del producto.</w:t>
      </w:r>
    </w:p>
    <w:p w:rsidR="000C6BDD" w:rsidRDefault="000C6BDD" w:rsidP="00AA3706">
      <w:pPr>
        <w:spacing w:line="276" w:lineRule="auto"/>
        <w:ind w:firstLine="0"/>
        <w:jc w:val="center"/>
        <w:rPr>
          <w:lang w:val="es-AR"/>
        </w:rPr>
      </w:pPr>
    </w:p>
    <w:p w:rsidR="005F2028" w:rsidRPr="005F2028" w:rsidRDefault="005F2028" w:rsidP="003D629E">
      <w:pPr>
        <w:pStyle w:val="Caption"/>
        <w:keepNext/>
        <w:spacing w:line="276" w:lineRule="auto"/>
        <w:ind w:firstLine="0"/>
        <w:jc w:val="center"/>
        <w:rPr>
          <w:sz w:val="22"/>
          <w:lang w:val="es-AR"/>
        </w:rPr>
      </w:pPr>
      <w:bookmarkStart w:id="4" w:name="_Ref447010689"/>
      <w:r w:rsidRPr="005F2028">
        <w:rPr>
          <w:sz w:val="22"/>
          <w:lang w:val="es-AR"/>
        </w:rPr>
        <w:t xml:space="preserve">Gráfico </w:t>
      </w:r>
      <w:r w:rsidRPr="005F2028">
        <w:rPr>
          <w:sz w:val="22"/>
        </w:rPr>
        <w:fldChar w:fldCharType="begin"/>
      </w:r>
      <w:r w:rsidRPr="005F2028">
        <w:rPr>
          <w:sz w:val="22"/>
          <w:lang w:val="es-AR"/>
        </w:rPr>
        <w:instrText xml:space="preserve"> SEQ Gráfico \* ARABIC </w:instrText>
      </w:r>
      <w:r w:rsidRPr="005F2028">
        <w:rPr>
          <w:sz w:val="22"/>
        </w:rPr>
        <w:fldChar w:fldCharType="separate"/>
      </w:r>
      <w:r w:rsidR="00F97D55">
        <w:rPr>
          <w:noProof/>
          <w:sz w:val="22"/>
          <w:lang w:val="es-AR"/>
        </w:rPr>
        <w:t>3</w:t>
      </w:r>
      <w:r w:rsidRPr="005F2028">
        <w:rPr>
          <w:sz w:val="22"/>
        </w:rPr>
        <w:fldChar w:fldCharType="end"/>
      </w:r>
      <w:bookmarkEnd w:id="4"/>
      <w:r w:rsidRPr="005F2028">
        <w:rPr>
          <w:sz w:val="22"/>
          <w:lang w:val="es-AR"/>
        </w:rPr>
        <w:t>: Ingresos y Gastos corrientes (en % del PBI)</w:t>
      </w:r>
    </w:p>
    <w:p w:rsidR="000C6BDD" w:rsidRDefault="00FD4DBE" w:rsidP="003D629E">
      <w:pPr>
        <w:spacing w:line="276" w:lineRule="auto"/>
        <w:ind w:firstLine="0"/>
        <w:jc w:val="center"/>
        <w:rPr>
          <w:lang w:val="es-AR"/>
        </w:rPr>
      </w:pPr>
      <w:r>
        <w:rPr>
          <w:noProof/>
          <w:lang w:val="en-US" w:eastAsia="en-US"/>
        </w:rPr>
        <w:drawing>
          <wp:inline distT="0" distB="0" distL="0" distR="0">
            <wp:extent cx="5124450" cy="2657475"/>
            <wp:effectExtent l="0" t="0" r="0" b="952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124450" cy="2657475"/>
                    </a:xfrm>
                    <a:prstGeom prst="rect">
                      <a:avLst/>
                    </a:prstGeom>
                    <a:noFill/>
                    <a:ln>
                      <a:noFill/>
                    </a:ln>
                  </pic:spPr>
                </pic:pic>
              </a:graphicData>
            </a:graphic>
          </wp:inline>
        </w:drawing>
      </w:r>
    </w:p>
    <w:p w:rsidR="000C6BDD" w:rsidRPr="00225D32" w:rsidRDefault="000C6BDD" w:rsidP="00AA3706">
      <w:pPr>
        <w:spacing w:line="276" w:lineRule="auto"/>
        <w:ind w:firstLine="0"/>
        <w:rPr>
          <w:rFonts w:ascii="Arial" w:hAnsi="Arial" w:cs="Arial"/>
          <w:sz w:val="18"/>
          <w:lang w:val="es-AR"/>
        </w:rPr>
      </w:pPr>
      <w:r w:rsidRPr="00225D32">
        <w:rPr>
          <w:rFonts w:ascii="Arial" w:hAnsi="Arial" w:cs="Arial"/>
          <w:sz w:val="18"/>
          <w:lang w:val="es-AR"/>
        </w:rPr>
        <w:t>Fuente: Elaboración propia en base a datos de la SEFIN.</w:t>
      </w:r>
    </w:p>
    <w:p w:rsidR="000C6BDD" w:rsidRPr="00225D32" w:rsidRDefault="000C6BDD" w:rsidP="00AA3706">
      <w:pPr>
        <w:spacing w:line="276" w:lineRule="auto"/>
        <w:ind w:firstLine="0"/>
        <w:rPr>
          <w:rFonts w:ascii="Arial" w:hAnsi="Arial" w:cs="Arial"/>
          <w:lang w:val="es-AR"/>
        </w:rPr>
      </w:pPr>
    </w:p>
    <w:p w:rsidR="000C6BDD" w:rsidRPr="00225D32" w:rsidRDefault="000C6BDD" w:rsidP="00AA3706">
      <w:pPr>
        <w:spacing w:line="276" w:lineRule="auto"/>
        <w:ind w:firstLine="0"/>
        <w:rPr>
          <w:rFonts w:ascii="Arial" w:hAnsi="Arial" w:cs="Arial"/>
          <w:lang w:val="es-AR"/>
        </w:rPr>
      </w:pPr>
      <w:r w:rsidRPr="00225D32">
        <w:rPr>
          <w:rFonts w:ascii="Arial" w:hAnsi="Arial" w:cs="Arial"/>
          <w:lang w:val="es-AR"/>
        </w:rPr>
        <w:t>Puede también ser útil analizar la evolución del gasto examinando su comportamiento a lo largo del ciclo económico</w:t>
      </w:r>
      <w:r w:rsidR="003F52E2" w:rsidRPr="00225D32">
        <w:rPr>
          <w:rFonts w:ascii="Arial" w:hAnsi="Arial" w:cs="Arial"/>
          <w:lang w:val="es-AR"/>
        </w:rPr>
        <w:t xml:space="preserve">. El </w:t>
      </w:r>
      <w:r w:rsidR="003F52E2" w:rsidRPr="00225D32">
        <w:rPr>
          <w:rFonts w:ascii="Arial" w:hAnsi="Arial" w:cs="Arial"/>
          <w:lang w:val="es-AR"/>
        </w:rPr>
        <w:fldChar w:fldCharType="begin"/>
      </w:r>
      <w:r w:rsidR="003F52E2" w:rsidRPr="00225D32">
        <w:rPr>
          <w:rFonts w:ascii="Arial" w:hAnsi="Arial" w:cs="Arial"/>
          <w:lang w:val="es-AR"/>
        </w:rPr>
        <w:instrText xml:space="preserve"> REF _Ref447117705 \h  \* MERGEFORMAT </w:instrText>
      </w:r>
      <w:r w:rsidR="003F52E2" w:rsidRPr="00225D32">
        <w:rPr>
          <w:rFonts w:ascii="Arial" w:hAnsi="Arial" w:cs="Arial"/>
          <w:lang w:val="es-AR"/>
        </w:rPr>
      </w:r>
      <w:r w:rsidR="003F52E2" w:rsidRPr="00225D32">
        <w:rPr>
          <w:rFonts w:ascii="Arial" w:hAnsi="Arial" w:cs="Arial"/>
          <w:lang w:val="es-AR"/>
        </w:rPr>
        <w:fldChar w:fldCharType="separate"/>
      </w:r>
      <w:r w:rsidR="003F52E2" w:rsidRPr="00225D32">
        <w:rPr>
          <w:rFonts w:ascii="Arial" w:hAnsi="Arial" w:cs="Arial"/>
          <w:lang w:val="es-AR"/>
        </w:rPr>
        <w:t xml:space="preserve">Gráfico </w:t>
      </w:r>
      <w:r w:rsidR="003F52E2" w:rsidRPr="00225D32">
        <w:rPr>
          <w:rFonts w:ascii="Arial" w:hAnsi="Arial" w:cs="Arial"/>
          <w:noProof/>
          <w:lang w:val="es-AR"/>
        </w:rPr>
        <w:t>4</w:t>
      </w:r>
      <w:r w:rsidR="003F52E2" w:rsidRPr="00225D32">
        <w:rPr>
          <w:rFonts w:ascii="Arial" w:hAnsi="Arial" w:cs="Arial"/>
          <w:lang w:val="es-AR"/>
        </w:rPr>
        <w:fldChar w:fldCharType="end"/>
      </w:r>
      <w:r w:rsidR="003F52E2" w:rsidRPr="00225D32">
        <w:rPr>
          <w:rFonts w:ascii="Arial" w:hAnsi="Arial" w:cs="Arial"/>
          <w:lang w:val="es-AR"/>
        </w:rPr>
        <w:t xml:space="preserve"> </w:t>
      </w:r>
      <w:r w:rsidRPr="00225D32">
        <w:rPr>
          <w:rFonts w:ascii="Arial" w:hAnsi="Arial" w:cs="Arial"/>
          <w:lang w:val="es-AR"/>
        </w:rPr>
        <w:t>muestra la evol</w:t>
      </w:r>
      <w:r w:rsidR="00BB3D59" w:rsidRPr="00225D32">
        <w:rPr>
          <w:rFonts w:ascii="Arial" w:hAnsi="Arial" w:cs="Arial"/>
          <w:lang w:val="es-AR"/>
        </w:rPr>
        <w:t>ución del gasto corriente en US$</w:t>
      </w:r>
      <w:r w:rsidRPr="00225D32">
        <w:rPr>
          <w:rFonts w:ascii="Arial" w:hAnsi="Arial" w:cs="Arial"/>
          <w:lang w:val="es-AR"/>
        </w:rPr>
        <w:t xml:space="preserve"> corrientes vis a vis la evolución del PBI, también en términos corrientes, mientras que el gráfico 5 muestra la tasa de variación anual de ambas variables.</w:t>
      </w:r>
    </w:p>
    <w:p w:rsidR="000C6BDD" w:rsidRDefault="000C6BDD" w:rsidP="00AA3706">
      <w:pPr>
        <w:spacing w:line="276" w:lineRule="auto"/>
        <w:ind w:firstLine="0"/>
        <w:rPr>
          <w:lang w:val="es-AR"/>
        </w:rPr>
      </w:pPr>
    </w:p>
    <w:p w:rsidR="00225E74" w:rsidRPr="00225D32" w:rsidRDefault="00225E74" w:rsidP="003D629E">
      <w:pPr>
        <w:spacing w:line="276" w:lineRule="auto"/>
        <w:ind w:firstLine="0"/>
        <w:jc w:val="center"/>
        <w:rPr>
          <w:rFonts w:ascii="Arial" w:hAnsi="Arial" w:cs="Arial"/>
          <w:sz w:val="20"/>
          <w:szCs w:val="20"/>
          <w:lang w:val="es-AR"/>
        </w:rPr>
      </w:pPr>
      <w:bookmarkStart w:id="5" w:name="_Ref447117705"/>
      <w:r w:rsidRPr="00225D32">
        <w:rPr>
          <w:rFonts w:ascii="Arial" w:hAnsi="Arial" w:cs="Arial"/>
          <w:b/>
          <w:sz w:val="20"/>
          <w:szCs w:val="20"/>
          <w:lang w:val="es-AR"/>
        </w:rPr>
        <w:t xml:space="preserve">Gráfico </w:t>
      </w:r>
      <w:r w:rsidRPr="00225D32">
        <w:rPr>
          <w:rFonts w:ascii="Arial" w:hAnsi="Arial" w:cs="Arial"/>
          <w:b/>
          <w:sz w:val="20"/>
          <w:szCs w:val="20"/>
        </w:rPr>
        <w:fldChar w:fldCharType="begin"/>
      </w:r>
      <w:r w:rsidRPr="00225D32">
        <w:rPr>
          <w:rFonts w:ascii="Arial" w:hAnsi="Arial" w:cs="Arial"/>
          <w:b/>
          <w:sz w:val="20"/>
          <w:szCs w:val="20"/>
          <w:lang w:val="es-AR"/>
        </w:rPr>
        <w:instrText xml:space="preserve"> SEQ Gráfico \* ARABIC </w:instrText>
      </w:r>
      <w:r w:rsidRPr="00225D32">
        <w:rPr>
          <w:rFonts w:ascii="Arial" w:hAnsi="Arial" w:cs="Arial"/>
          <w:b/>
          <w:sz w:val="20"/>
          <w:szCs w:val="20"/>
        </w:rPr>
        <w:fldChar w:fldCharType="separate"/>
      </w:r>
      <w:r w:rsidR="00F97D55" w:rsidRPr="00225D32">
        <w:rPr>
          <w:rFonts w:ascii="Arial" w:hAnsi="Arial" w:cs="Arial"/>
          <w:b/>
          <w:noProof/>
          <w:sz w:val="20"/>
          <w:szCs w:val="20"/>
          <w:lang w:val="es-AR"/>
        </w:rPr>
        <w:t>4</w:t>
      </w:r>
      <w:r w:rsidRPr="00225D32">
        <w:rPr>
          <w:rFonts w:ascii="Arial" w:hAnsi="Arial" w:cs="Arial"/>
          <w:b/>
          <w:sz w:val="20"/>
          <w:szCs w:val="20"/>
        </w:rPr>
        <w:fldChar w:fldCharType="end"/>
      </w:r>
      <w:bookmarkEnd w:id="5"/>
      <w:r w:rsidRPr="00225D32">
        <w:rPr>
          <w:rFonts w:ascii="Arial" w:hAnsi="Arial" w:cs="Arial"/>
          <w:b/>
          <w:sz w:val="20"/>
          <w:szCs w:val="20"/>
          <w:lang w:val="es-AR"/>
        </w:rPr>
        <w:t>: Gasto corriente y PBI (en % de variación)</w:t>
      </w:r>
    </w:p>
    <w:p w:rsidR="000C6BDD" w:rsidRDefault="00FD4DBE" w:rsidP="003D629E">
      <w:pPr>
        <w:spacing w:line="276" w:lineRule="auto"/>
        <w:ind w:firstLine="0"/>
        <w:jc w:val="center"/>
        <w:rPr>
          <w:lang w:val="es-AR"/>
        </w:rPr>
      </w:pPr>
      <w:r>
        <w:rPr>
          <w:noProof/>
          <w:lang w:val="en-US" w:eastAsia="en-US"/>
        </w:rPr>
        <w:drawing>
          <wp:inline distT="0" distB="0" distL="0" distR="0">
            <wp:extent cx="4619625" cy="2686050"/>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619625" cy="2686050"/>
                    </a:xfrm>
                    <a:prstGeom prst="rect">
                      <a:avLst/>
                    </a:prstGeom>
                    <a:solidFill>
                      <a:srgbClr val="FFFFFF"/>
                    </a:solidFill>
                    <a:ln>
                      <a:noFill/>
                    </a:ln>
                  </pic:spPr>
                </pic:pic>
              </a:graphicData>
            </a:graphic>
          </wp:inline>
        </w:drawing>
      </w:r>
    </w:p>
    <w:p w:rsidR="000C6BDD" w:rsidRPr="00225D32" w:rsidRDefault="000C6BDD" w:rsidP="003D629E">
      <w:pPr>
        <w:spacing w:line="276" w:lineRule="auto"/>
        <w:ind w:firstLine="708"/>
        <w:rPr>
          <w:rFonts w:ascii="Arial" w:hAnsi="Arial" w:cs="Arial"/>
          <w:sz w:val="18"/>
          <w:lang w:val="es-AR"/>
        </w:rPr>
      </w:pPr>
      <w:r w:rsidRPr="00225D32">
        <w:rPr>
          <w:rFonts w:ascii="Arial" w:hAnsi="Arial" w:cs="Arial"/>
          <w:sz w:val="18"/>
          <w:lang w:val="es-AR"/>
        </w:rPr>
        <w:t>Fuente: Elaboración propia en base a datos de la SEFIN</w:t>
      </w:r>
    </w:p>
    <w:p w:rsidR="000C6BDD" w:rsidRPr="00225D32" w:rsidRDefault="000C6BDD" w:rsidP="00AA3706">
      <w:pPr>
        <w:spacing w:line="276" w:lineRule="auto"/>
        <w:ind w:firstLine="0"/>
        <w:rPr>
          <w:rFonts w:ascii="Arial" w:hAnsi="Arial" w:cs="Arial"/>
          <w:lang w:val="es-AR"/>
        </w:rPr>
      </w:pPr>
    </w:p>
    <w:p w:rsidR="000C6BDD" w:rsidRPr="00225D32" w:rsidRDefault="000C6BDD" w:rsidP="00AA3706">
      <w:pPr>
        <w:spacing w:line="276" w:lineRule="auto"/>
        <w:ind w:firstLine="0"/>
        <w:rPr>
          <w:rFonts w:ascii="Arial" w:hAnsi="Arial" w:cs="Arial"/>
          <w:lang w:val="es-AR"/>
        </w:rPr>
      </w:pPr>
      <w:r w:rsidRPr="00225D32">
        <w:rPr>
          <w:rFonts w:ascii="Arial" w:hAnsi="Arial" w:cs="Arial"/>
          <w:lang w:val="es-AR"/>
        </w:rPr>
        <w:lastRenderedPageBreak/>
        <w:t xml:space="preserve">Con la excepción de los primeros años del período bajo análisis, donde el gasto es ligeramente pro-cíclico, del gráfico </w:t>
      </w:r>
      <w:r w:rsidR="004B123C" w:rsidRPr="00225D32">
        <w:rPr>
          <w:rFonts w:ascii="Arial" w:hAnsi="Arial" w:cs="Arial"/>
          <w:lang w:val="es-AR"/>
        </w:rPr>
        <w:t>4</w:t>
      </w:r>
      <w:r w:rsidRPr="00225D32">
        <w:rPr>
          <w:rFonts w:ascii="Arial" w:hAnsi="Arial" w:cs="Arial"/>
          <w:lang w:val="es-AR"/>
        </w:rPr>
        <w:t xml:space="preserve"> se observa que el gasto ha tenido un comportamiento contra-cíclico. Esto es particularmente claro luego de la crisis de 2009. En efecto, desde ese año el gasto y el PBI se han movido en la misma dirección solo en 2015, cuando tanto la tasa de variación del PBI como del producto se incrementan, probablemente en el caso del gasto corriente como forma de compensar su fuerte contracción observada entre 2013 y 2014, año en el cual no solo la tasa de variación del gasto decrece respecto a años anteriores, sino que incluso disminuye en términos nominales.     </w:t>
      </w:r>
    </w:p>
    <w:p w:rsidR="0080544C" w:rsidRPr="00225D32" w:rsidRDefault="0080544C" w:rsidP="00AA3706">
      <w:pPr>
        <w:spacing w:line="276" w:lineRule="auto"/>
        <w:ind w:firstLine="0"/>
        <w:rPr>
          <w:rFonts w:ascii="Arial" w:hAnsi="Arial" w:cs="Arial"/>
          <w:lang w:val="es-AR"/>
        </w:rPr>
      </w:pPr>
    </w:p>
    <w:p w:rsidR="000C6BDD" w:rsidRPr="00225D32" w:rsidRDefault="000C6BDD" w:rsidP="00AA3706">
      <w:pPr>
        <w:spacing w:line="276" w:lineRule="auto"/>
        <w:ind w:firstLine="0"/>
        <w:rPr>
          <w:rFonts w:ascii="Arial" w:hAnsi="Arial" w:cs="Arial"/>
          <w:lang w:val="es-AR"/>
        </w:rPr>
      </w:pPr>
      <w:r w:rsidRPr="00225D32">
        <w:rPr>
          <w:rFonts w:ascii="Arial" w:hAnsi="Arial" w:cs="Arial"/>
          <w:lang w:val="es-AR"/>
        </w:rPr>
        <w:t xml:space="preserve">Pasemos ahora a examinar qué ha ocurrido con los ingresos fiscales. Se desprende del gráfico </w:t>
      </w:r>
      <w:r w:rsidR="004B123C" w:rsidRPr="00225D32">
        <w:rPr>
          <w:rFonts w:ascii="Arial" w:hAnsi="Arial" w:cs="Arial"/>
          <w:lang w:val="es-AR"/>
        </w:rPr>
        <w:t>5</w:t>
      </w:r>
      <w:r w:rsidRPr="00225D32">
        <w:rPr>
          <w:rFonts w:ascii="Arial" w:hAnsi="Arial" w:cs="Arial"/>
          <w:lang w:val="es-AR"/>
        </w:rPr>
        <w:t xml:space="preserve"> que a diferencia de los gastos, y liderados por la recaudación tributaria, los ingresos corrientes no solo presentan un comportamiento claramente pro-cíclico, sino que, además, su evolución ‘amplifica’ de alguna manera las oscilaciones que presenta el producto. Ello es particularmente claro en el año de la crisis, cuando no solo la variación del producto y de los ingresos ocurre en la misma dirección (negativa), sino que los ingresos disminuyen en términos nominales respecto al año anterior.  </w:t>
      </w:r>
    </w:p>
    <w:p w:rsidR="000C6BDD" w:rsidRDefault="000C6BDD" w:rsidP="00AA3706">
      <w:pPr>
        <w:spacing w:line="276" w:lineRule="auto"/>
        <w:ind w:firstLine="0"/>
        <w:rPr>
          <w:lang w:val="es-AR"/>
        </w:rPr>
      </w:pPr>
    </w:p>
    <w:p w:rsidR="00422F72" w:rsidRPr="00225D32" w:rsidRDefault="00422F72" w:rsidP="003D629E">
      <w:pPr>
        <w:pStyle w:val="Caption"/>
        <w:keepNext/>
        <w:spacing w:line="276" w:lineRule="auto"/>
        <w:ind w:firstLine="0"/>
        <w:jc w:val="center"/>
        <w:rPr>
          <w:rFonts w:ascii="Arial" w:hAnsi="Arial" w:cs="Arial"/>
          <w:lang w:val="es-AR"/>
        </w:rPr>
      </w:pPr>
      <w:r w:rsidRPr="00225D32">
        <w:rPr>
          <w:rFonts w:ascii="Arial" w:hAnsi="Arial" w:cs="Arial"/>
          <w:lang w:val="es-AR"/>
        </w:rPr>
        <w:t xml:space="preserve">Gráfico </w:t>
      </w:r>
      <w:r w:rsidRPr="00225D32">
        <w:rPr>
          <w:rFonts w:ascii="Arial" w:hAnsi="Arial" w:cs="Arial"/>
        </w:rPr>
        <w:fldChar w:fldCharType="begin"/>
      </w:r>
      <w:r w:rsidRPr="00225D32">
        <w:rPr>
          <w:rFonts w:ascii="Arial" w:hAnsi="Arial" w:cs="Arial"/>
          <w:lang w:val="es-AR"/>
        </w:rPr>
        <w:instrText xml:space="preserve"> SEQ Gráfico \* ARABIC </w:instrText>
      </w:r>
      <w:r w:rsidRPr="00225D32">
        <w:rPr>
          <w:rFonts w:ascii="Arial" w:hAnsi="Arial" w:cs="Arial"/>
        </w:rPr>
        <w:fldChar w:fldCharType="separate"/>
      </w:r>
      <w:r w:rsidR="00F97D55" w:rsidRPr="00225D32">
        <w:rPr>
          <w:rFonts w:ascii="Arial" w:hAnsi="Arial" w:cs="Arial"/>
          <w:noProof/>
          <w:lang w:val="es-AR"/>
        </w:rPr>
        <w:t>5</w:t>
      </w:r>
      <w:r w:rsidRPr="00225D32">
        <w:rPr>
          <w:rFonts w:ascii="Arial" w:hAnsi="Arial" w:cs="Arial"/>
        </w:rPr>
        <w:fldChar w:fldCharType="end"/>
      </w:r>
      <w:r w:rsidRPr="00225D32">
        <w:rPr>
          <w:rFonts w:ascii="Arial" w:hAnsi="Arial" w:cs="Arial"/>
          <w:lang w:val="es-AR"/>
        </w:rPr>
        <w:t>: Ingresos Corrientes y Tributarios (en tasas de variación)</w:t>
      </w:r>
    </w:p>
    <w:p w:rsidR="0080544C" w:rsidRDefault="00FD4DBE" w:rsidP="003D629E">
      <w:pPr>
        <w:spacing w:line="276" w:lineRule="auto"/>
        <w:ind w:firstLine="0"/>
        <w:jc w:val="center"/>
        <w:rPr>
          <w:lang w:val="es-AR"/>
        </w:rPr>
      </w:pPr>
      <w:r>
        <w:rPr>
          <w:noProof/>
          <w:lang w:val="en-US" w:eastAsia="en-US"/>
        </w:rPr>
        <w:drawing>
          <wp:inline distT="0" distB="0" distL="0" distR="0">
            <wp:extent cx="4267200" cy="2619375"/>
            <wp:effectExtent l="0" t="0" r="0" b="952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267200" cy="2619375"/>
                    </a:xfrm>
                    <a:prstGeom prst="rect">
                      <a:avLst/>
                    </a:prstGeom>
                    <a:noFill/>
                    <a:ln>
                      <a:noFill/>
                    </a:ln>
                  </pic:spPr>
                </pic:pic>
              </a:graphicData>
            </a:graphic>
          </wp:inline>
        </w:drawing>
      </w:r>
    </w:p>
    <w:p w:rsidR="00580B1F" w:rsidRPr="00225D32" w:rsidRDefault="00580B1F" w:rsidP="003D629E">
      <w:pPr>
        <w:spacing w:line="276" w:lineRule="auto"/>
        <w:ind w:left="708" w:firstLine="0"/>
        <w:rPr>
          <w:rFonts w:ascii="Arial" w:hAnsi="Arial" w:cs="Arial"/>
          <w:sz w:val="18"/>
          <w:lang w:val="es-AR"/>
        </w:rPr>
      </w:pPr>
      <w:r w:rsidRPr="00225D32">
        <w:rPr>
          <w:rFonts w:ascii="Arial" w:hAnsi="Arial" w:cs="Arial"/>
          <w:sz w:val="18"/>
          <w:lang w:val="es-AR"/>
        </w:rPr>
        <w:t>Fuente: Elaboración propia en base a datos de la SEFIN.</w:t>
      </w:r>
    </w:p>
    <w:p w:rsidR="00580B1F" w:rsidRDefault="00580B1F" w:rsidP="00AA3706">
      <w:pPr>
        <w:spacing w:line="276" w:lineRule="auto"/>
        <w:ind w:firstLine="0"/>
        <w:rPr>
          <w:lang w:val="es-AR"/>
        </w:rPr>
      </w:pPr>
    </w:p>
    <w:p w:rsidR="000C6BDD" w:rsidRPr="00225D32" w:rsidRDefault="000C6BDD" w:rsidP="00AA3706">
      <w:pPr>
        <w:spacing w:line="276" w:lineRule="auto"/>
        <w:ind w:firstLine="0"/>
        <w:rPr>
          <w:rFonts w:ascii="Arial" w:hAnsi="Arial" w:cs="Arial"/>
          <w:lang w:val="es-AR"/>
        </w:rPr>
      </w:pPr>
      <w:r w:rsidRPr="00225D32">
        <w:rPr>
          <w:rFonts w:ascii="Arial" w:hAnsi="Arial" w:cs="Arial"/>
          <w:lang w:val="es-AR"/>
        </w:rPr>
        <w:t xml:space="preserve">En términos del PBI, puede observarse a partir del  </w:t>
      </w:r>
      <w:r w:rsidR="00CA12A9" w:rsidRPr="00225D32">
        <w:rPr>
          <w:rFonts w:ascii="Arial" w:hAnsi="Arial" w:cs="Arial"/>
          <w:lang w:val="es-AR"/>
        </w:rPr>
        <w:fldChar w:fldCharType="begin"/>
      </w:r>
      <w:r w:rsidR="00CA12A9" w:rsidRPr="00225D32">
        <w:rPr>
          <w:rFonts w:ascii="Arial" w:hAnsi="Arial" w:cs="Arial"/>
          <w:lang w:val="es-AR"/>
        </w:rPr>
        <w:instrText xml:space="preserve"> REF _Ref447010689 \h </w:instrText>
      </w:r>
      <w:r w:rsidR="00AA3706" w:rsidRPr="00225D32">
        <w:rPr>
          <w:rFonts w:ascii="Arial" w:hAnsi="Arial" w:cs="Arial"/>
          <w:lang w:val="es-AR"/>
        </w:rPr>
        <w:instrText xml:space="preserve"> \* MERGEFORMAT </w:instrText>
      </w:r>
      <w:r w:rsidR="00CA12A9" w:rsidRPr="00225D32">
        <w:rPr>
          <w:rFonts w:ascii="Arial" w:hAnsi="Arial" w:cs="Arial"/>
          <w:lang w:val="es-AR"/>
        </w:rPr>
      </w:r>
      <w:r w:rsidR="00CA12A9" w:rsidRPr="00225D32">
        <w:rPr>
          <w:rFonts w:ascii="Arial" w:hAnsi="Arial" w:cs="Arial"/>
          <w:lang w:val="es-AR"/>
        </w:rPr>
        <w:fldChar w:fldCharType="separate"/>
      </w:r>
      <w:r w:rsidR="00CA12A9" w:rsidRPr="00225D32">
        <w:rPr>
          <w:rFonts w:ascii="Arial" w:hAnsi="Arial" w:cs="Arial"/>
          <w:lang w:val="es-AR"/>
        </w:rPr>
        <w:t xml:space="preserve">Gráfico </w:t>
      </w:r>
      <w:r w:rsidR="00CA12A9" w:rsidRPr="00225D32">
        <w:rPr>
          <w:rFonts w:ascii="Arial" w:hAnsi="Arial" w:cs="Arial"/>
          <w:noProof/>
          <w:lang w:val="es-AR"/>
        </w:rPr>
        <w:t>3</w:t>
      </w:r>
      <w:r w:rsidR="00CA12A9" w:rsidRPr="00225D32">
        <w:rPr>
          <w:rFonts w:ascii="Arial" w:hAnsi="Arial" w:cs="Arial"/>
          <w:lang w:val="es-AR"/>
        </w:rPr>
        <w:fldChar w:fldCharType="end"/>
      </w:r>
      <w:r w:rsidR="00CA12A9" w:rsidRPr="00225D32">
        <w:rPr>
          <w:rFonts w:ascii="Arial" w:hAnsi="Arial" w:cs="Arial"/>
          <w:lang w:val="es-AR"/>
        </w:rPr>
        <w:t xml:space="preserve"> </w:t>
      </w:r>
      <w:r w:rsidRPr="00225D32">
        <w:rPr>
          <w:rFonts w:ascii="Arial" w:hAnsi="Arial" w:cs="Arial"/>
          <w:lang w:val="es-AR"/>
        </w:rPr>
        <w:t xml:space="preserve">que durante los años pre-crisis (2005-2008) los ingresos tributarios no solo crecen sino que además incrementan su participación en el producto desde 14,9 pp. del PBI en 2005 hasta el 16,1% del producto en 2008,  representando en promedio el 15,6% durante toda esta etapa. Ese porcentaje disminuye considerablemente durante el año 2009, para pasar a 14, pp. del producto (es decir, los ingresos tributarios disminuyen su participación en el producto en 1,4 pp). Y si bien en los tres años posteriores a la crisis la recaudación presenta una trayectoria levemente creciente, el incremento no es suficiente para alcanzar los valores del período 2005-2008. En efecto, durante el sub-período 2010-2013, los ingresos tributarios </w:t>
      </w:r>
      <w:r w:rsidRPr="00225D32">
        <w:rPr>
          <w:rFonts w:ascii="Arial" w:hAnsi="Arial" w:cs="Arial"/>
          <w:lang w:val="es-AR"/>
        </w:rPr>
        <w:lastRenderedPageBreak/>
        <w:t xml:space="preserve">representan en promedio 14,7% del PBI, es decir 0,9 pp. menos que el promedio observado antes de la crisis global que tiene su epicentro en Honduras durante el año 2009. </w:t>
      </w:r>
    </w:p>
    <w:p w:rsidR="005B15AA" w:rsidRPr="00225D32" w:rsidRDefault="005B15AA" w:rsidP="00AA3706">
      <w:pPr>
        <w:spacing w:line="276" w:lineRule="auto"/>
        <w:ind w:firstLine="0"/>
        <w:rPr>
          <w:rFonts w:ascii="Arial" w:hAnsi="Arial" w:cs="Arial"/>
          <w:lang w:val="es-AR"/>
        </w:rPr>
      </w:pPr>
    </w:p>
    <w:p w:rsidR="000C6BDD" w:rsidRPr="00225D32" w:rsidRDefault="000C6BDD" w:rsidP="00AA3706">
      <w:pPr>
        <w:spacing w:line="276" w:lineRule="auto"/>
        <w:ind w:firstLine="0"/>
        <w:rPr>
          <w:rFonts w:ascii="Arial" w:hAnsi="Arial" w:cs="Arial"/>
          <w:lang w:val="es-AR"/>
        </w:rPr>
      </w:pPr>
      <w:r w:rsidRPr="00225D32">
        <w:rPr>
          <w:rFonts w:ascii="Arial" w:hAnsi="Arial" w:cs="Arial"/>
          <w:lang w:val="es-AR"/>
        </w:rPr>
        <w:t>Esta trayectoria decreciente en el comportamiento de los ingresos tributarios explica también la evolución tanto de los ingresos corrientes como los ingresos totales como porcentaje del producto y así el deterioro en las cuentas fiscales en Honduras a lo largo de casi todo el período analizado, lo cual se ha materializado en última instancia en un fuerte incremento del déficit fiscal y de la deuda como porcentaje del producto.</w:t>
      </w:r>
    </w:p>
    <w:p w:rsidR="000C6BDD" w:rsidRDefault="000C6BDD" w:rsidP="00AA3706">
      <w:pPr>
        <w:spacing w:line="276" w:lineRule="auto"/>
        <w:ind w:firstLine="0"/>
        <w:rPr>
          <w:b/>
          <w:shd w:val="clear" w:color="auto" w:fill="FFFF00"/>
          <w:lang w:val="es-AR"/>
        </w:rPr>
      </w:pPr>
      <w:r>
        <w:rPr>
          <w:lang w:val="es-AR"/>
        </w:rPr>
        <w:t xml:space="preserve"> </w:t>
      </w:r>
    </w:p>
    <w:p w:rsidR="00D92F73" w:rsidRPr="00225D32" w:rsidRDefault="00D92F73" w:rsidP="003D629E">
      <w:pPr>
        <w:pStyle w:val="Caption"/>
        <w:keepNext/>
        <w:spacing w:line="276" w:lineRule="auto"/>
        <w:ind w:firstLine="0"/>
        <w:jc w:val="center"/>
        <w:rPr>
          <w:rFonts w:ascii="Arial" w:hAnsi="Arial" w:cs="Arial"/>
          <w:lang w:val="es-AR"/>
        </w:rPr>
      </w:pPr>
      <w:r w:rsidRPr="00225D32">
        <w:rPr>
          <w:rFonts w:ascii="Arial" w:hAnsi="Arial" w:cs="Arial"/>
          <w:lang w:val="es-AR"/>
        </w:rPr>
        <w:t xml:space="preserve">Gráfico </w:t>
      </w:r>
      <w:r w:rsidRPr="00225D32">
        <w:rPr>
          <w:rFonts w:ascii="Arial" w:hAnsi="Arial" w:cs="Arial"/>
        </w:rPr>
        <w:fldChar w:fldCharType="begin"/>
      </w:r>
      <w:r w:rsidRPr="00225D32">
        <w:rPr>
          <w:rFonts w:ascii="Arial" w:hAnsi="Arial" w:cs="Arial"/>
          <w:lang w:val="es-AR"/>
        </w:rPr>
        <w:instrText xml:space="preserve"> SEQ Gráfico \* ARABIC </w:instrText>
      </w:r>
      <w:r w:rsidRPr="00225D32">
        <w:rPr>
          <w:rFonts w:ascii="Arial" w:hAnsi="Arial" w:cs="Arial"/>
        </w:rPr>
        <w:fldChar w:fldCharType="separate"/>
      </w:r>
      <w:r w:rsidR="00F97D55" w:rsidRPr="00225D32">
        <w:rPr>
          <w:rFonts w:ascii="Arial" w:hAnsi="Arial" w:cs="Arial"/>
          <w:noProof/>
          <w:lang w:val="es-AR"/>
        </w:rPr>
        <w:t>6</w:t>
      </w:r>
      <w:r w:rsidRPr="00225D32">
        <w:rPr>
          <w:rFonts w:ascii="Arial" w:hAnsi="Arial" w:cs="Arial"/>
        </w:rPr>
        <w:fldChar w:fldCharType="end"/>
      </w:r>
      <w:r w:rsidRPr="00225D32">
        <w:rPr>
          <w:rFonts w:ascii="Arial" w:hAnsi="Arial" w:cs="Arial"/>
          <w:lang w:val="es-AR"/>
        </w:rPr>
        <w:t>: Déficit fiscal (en % del PBI)</w:t>
      </w:r>
    </w:p>
    <w:p w:rsidR="000C6BDD" w:rsidRDefault="00FD4DBE" w:rsidP="00AA3706">
      <w:pPr>
        <w:spacing w:line="276" w:lineRule="auto"/>
        <w:ind w:firstLine="0"/>
        <w:jc w:val="center"/>
        <w:rPr>
          <w:lang w:val="es-AR"/>
        </w:rPr>
      </w:pPr>
      <w:r>
        <w:rPr>
          <w:noProof/>
          <w:lang w:val="en-US" w:eastAsia="en-US"/>
        </w:rPr>
        <w:drawing>
          <wp:inline distT="0" distB="0" distL="0" distR="0">
            <wp:extent cx="5610225" cy="3429000"/>
            <wp:effectExtent l="0" t="0" r="9525"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610225" cy="3429000"/>
                    </a:xfrm>
                    <a:prstGeom prst="rect">
                      <a:avLst/>
                    </a:prstGeom>
                    <a:noFill/>
                    <a:ln>
                      <a:noFill/>
                    </a:ln>
                  </pic:spPr>
                </pic:pic>
              </a:graphicData>
            </a:graphic>
          </wp:inline>
        </w:drawing>
      </w:r>
    </w:p>
    <w:p w:rsidR="000C6BDD" w:rsidRPr="00225D32" w:rsidRDefault="000C6BDD" w:rsidP="00AA3706">
      <w:pPr>
        <w:spacing w:line="276" w:lineRule="auto"/>
        <w:ind w:firstLine="0"/>
        <w:rPr>
          <w:rFonts w:ascii="Arial" w:hAnsi="Arial" w:cs="Arial"/>
          <w:sz w:val="18"/>
          <w:lang w:val="es-AR"/>
        </w:rPr>
      </w:pPr>
      <w:r w:rsidRPr="00225D32">
        <w:rPr>
          <w:rFonts w:ascii="Arial" w:hAnsi="Arial" w:cs="Arial"/>
          <w:sz w:val="18"/>
          <w:lang w:val="es-AR"/>
        </w:rPr>
        <w:t>Fuente: Elaboración propia en base a datos de la SEFIN.</w:t>
      </w:r>
    </w:p>
    <w:p w:rsidR="000C6BDD" w:rsidRDefault="000C6BDD" w:rsidP="00AA3706">
      <w:pPr>
        <w:spacing w:line="276" w:lineRule="auto"/>
        <w:ind w:firstLine="0"/>
        <w:rPr>
          <w:lang w:val="es-AR"/>
        </w:rPr>
      </w:pPr>
    </w:p>
    <w:p w:rsidR="000C6BDD" w:rsidRPr="00225D32" w:rsidRDefault="000C6BDD" w:rsidP="00AA3706">
      <w:pPr>
        <w:spacing w:line="276" w:lineRule="auto"/>
        <w:ind w:firstLine="0"/>
        <w:rPr>
          <w:rFonts w:ascii="Arial" w:hAnsi="Arial" w:cs="Arial"/>
          <w:lang w:val="es-AR"/>
        </w:rPr>
      </w:pPr>
      <w:r w:rsidRPr="00225D32">
        <w:rPr>
          <w:rFonts w:ascii="Arial" w:hAnsi="Arial" w:cs="Arial"/>
          <w:lang w:val="es-AR"/>
        </w:rPr>
        <w:t xml:space="preserve">En efecto, como puede apreciarse del </w:t>
      </w:r>
      <w:r w:rsidR="0070344E" w:rsidRPr="00225D32">
        <w:rPr>
          <w:rFonts w:ascii="Arial" w:hAnsi="Arial" w:cs="Arial"/>
          <w:lang w:val="es-AR"/>
        </w:rPr>
        <w:fldChar w:fldCharType="begin"/>
      </w:r>
      <w:r w:rsidR="0070344E" w:rsidRPr="00225D32">
        <w:rPr>
          <w:rFonts w:ascii="Arial" w:hAnsi="Arial" w:cs="Arial"/>
          <w:lang w:val="es-AR"/>
        </w:rPr>
        <w:instrText xml:space="preserve"> REF _Ref446595463 \h </w:instrText>
      </w:r>
      <w:r w:rsidR="005C2D15" w:rsidRPr="00225D32">
        <w:rPr>
          <w:rFonts w:ascii="Arial" w:hAnsi="Arial" w:cs="Arial"/>
          <w:lang w:val="es-AR"/>
        </w:rPr>
        <w:instrText xml:space="preserve"> \* MERGEFORMAT </w:instrText>
      </w:r>
      <w:r w:rsidR="0070344E" w:rsidRPr="00225D32">
        <w:rPr>
          <w:rFonts w:ascii="Arial" w:hAnsi="Arial" w:cs="Arial"/>
          <w:lang w:val="es-AR"/>
        </w:rPr>
      </w:r>
      <w:r w:rsidR="0070344E" w:rsidRPr="00225D32">
        <w:rPr>
          <w:rFonts w:ascii="Arial" w:hAnsi="Arial" w:cs="Arial"/>
          <w:lang w:val="es-AR"/>
        </w:rPr>
        <w:fldChar w:fldCharType="separate"/>
      </w:r>
      <w:r w:rsidR="004B123C" w:rsidRPr="00225D32">
        <w:rPr>
          <w:rFonts w:ascii="Arial" w:hAnsi="Arial" w:cs="Arial"/>
          <w:lang w:val="es-AR"/>
        </w:rPr>
        <w:t xml:space="preserve">Gráfico </w:t>
      </w:r>
      <w:r w:rsidR="005C2D15" w:rsidRPr="00225D32">
        <w:rPr>
          <w:rFonts w:ascii="Arial" w:hAnsi="Arial" w:cs="Arial"/>
          <w:noProof/>
          <w:lang w:val="es-AR"/>
        </w:rPr>
        <w:t>6</w:t>
      </w:r>
      <w:r w:rsidR="0070344E" w:rsidRPr="00225D32">
        <w:rPr>
          <w:rFonts w:ascii="Arial" w:hAnsi="Arial" w:cs="Arial"/>
          <w:lang w:val="es-AR"/>
        </w:rPr>
        <w:fldChar w:fldCharType="end"/>
      </w:r>
      <w:r w:rsidR="0070344E" w:rsidRPr="00225D32">
        <w:rPr>
          <w:rFonts w:ascii="Arial" w:hAnsi="Arial" w:cs="Arial"/>
          <w:lang w:val="es-AR"/>
        </w:rPr>
        <w:t xml:space="preserve"> </w:t>
      </w:r>
      <w:r w:rsidRPr="00225D32">
        <w:rPr>
          <w:rFonts w:ascii="Arial" w:hAnsi="Arial" w:cs="Arial"/>
          <w:lang w:val="es-AR"/>
        </w:rPr>
        <w:t>y del</w:t>
      </w:r>
      <w:r w:rsidR="000B15C9" w:rsidRPr="00225D32">
        <w:rPr>
          <w:rFonts w:ascii="Arial" w:hAnsi="Arial" w:cs="Arial"/>
          <w:lang w:val="es-AR"/>
        </w:rPr>
        <w:t xml:space="preserve"> </w:t>
      </w:r>
      <w:r w:rsidR="000B15C9" w:rsidRPr="00225D32">
        <w:rPr>
          <w:rFonts w:ascii="Arial" w:hAnsi="Arial" w:cs="Arial"/>
          <w:lang w:val="es-AR"/>
        </w:rPr>
        <w:fldChar w:fldCharType="begin"/>
      </w:r>
      <w:r w:rsidR="000B15C9" w:rsidRPr="00225D32">
        <w:rPr>
          <w:rFonts w:ascii="Arial" w:hAnsi="Arial" w:cs="Arial"/>
          <w:lang w:val="es-AR"/>
        </w:rPr>
        <w:instrText xml:space="preserve"> REF _Ref447011276 \h </w:instrText>
      </w:r>
      <w:r w:rsidR="00AA3706" w:rsidRPr="00225D32">
        <w:rPr>
          <w:rFonts w:ascii="Arial" w:hAnsi="Arial" w:cs="Arial"/>
          <w:lang w:val="es-AR"/>
        </w:rPr>
        <w:instrText xml:space="preserve"> \* MERGEFORMAT </w:instrText>
      </w:r>
      <w:r w:rsidR="000B15C9" w:rsidRPr="00225D32">
        <w:rPr>
          <w:rFonts w:ascii="Arial" w:hAnsi="Arial" w:cs="Arial"/>
          <w:lang w:val="es-AR"/>
        </w:rPr>
      </w:r>
      <w:r w:rsidR="000B15C9" w:rsidRPr="00225D32">
        <w:rPr>
          <w:rFonts w:ascii="Arial" w:hAnsi="Arial" w:cs="Arial"/>
          <w:lang w:val="es-AR"/>
        </w:rPr>
        <w:fldChar w:fldCharType="separate"/>
      </w:r>
      <w:r w:rsidR="000B15C9" w:rsidRPr="00225D32">
        <w:rPr>
          <w:rFonts w:ascii="Arial" w:hAnsi="Arial" w:cs="Arial"/>
          <w:lang w:val="es-AR"/>
        </w:rPr>
        <w:t xml:space="preserve">Cuadro </w:t>
      </w:r>
      <w:r w:rsidR="000B15C9" w:rsidRPr="00225D32">
        <w:rPr>
          <w:rFonts w:ascii="Arial" w:hAnsi="Arial" w:cs="Arial"/>
          <w:noProof/>
          <w:lang w:val="es-AR"/>
        </w:rPr>
        <w:t>3</w:t>
      </w:r>
      <w:r w:rsidR="000B15C9" w:rsidRPr="00225D32">
        <w:rPr>
          <w:rFonts w:ascii="Arial" w:hAnsi="Arial" w:cs="Arial"/>
          <w:lang w:val="es-AR"/>
        </w:rPr>
        <w:fldChar w:fldCharType="end"/>
      </w:r>
      <w:r w:rsidRPr="00225D32">
        <w:rPr>
          <w:rFonts w:ascii="Arial" w:hAnsi="Arial" w:cs="Arial"/>
          <w:lang w:val="es-AR"/>
        </w:rPr>
        <w:t xml:space="preserve">, los déficits primario y global aumentan fuertemente no solo durante el período pre-crisis, sino que, luego de una leve recuperación en el resultado fiscal durante el bienio 2010-2011, el mismo agudiza su deterioro para alcanzar un nivel de 7,9% del producto en 2013. De este modo, los déficits primario y global representan respectivamente 1,5 pp.  y 2,2 pp. del PBI en promedio entre 2005 y 2008. En el año de la crisis el resultado fiscal se deteriora considerablemente: los déficits primario y global alcanzan en aquel año 5,4 pp. y 6 pp., respectivamente. La leve disminución en los resultados primario y global durante el bienio 2010-2011 no impiden que durante los dos años subsiguientes esos valores alcancen valores promedio record de 5,1 pp. y 7pp del producto. </w:t>
      </w:r>
    </w:p>
    <w:p w:rsidR="000C6BDD" w:rsidRDefault="000C6BDD" w:rsidP="00AA3706">
      <w:pPr>
        <w:spacing w:line="276" w:lineRule="auto"/>
        <w:ind w:firstLine="0"/>
        <w:rPr>
          <w:lang w:val="es-AR"/>
        </w:rPr>
      </w:pPr>
    </w:p>
    <w:p w:rsidR="000B15C9" w:rsidRPr="00225D32" w:rsidRDefault="000B15C9" w:rsidP="003D629E">
      <w:pPr>
        <w:pStyle w:val="Caption"/>
        <w:keepNext/>
        <w:spacing w:line="276" w:lineRule="auto"/>
        <w:ind w:firstLine="0"/>
        <w:jc w:val="center"/>
        <w:rPr>
          <w:rFonts w:ascii="Arial" w:hAnsi="Arial" w:cs="Arial"/>
          <w:lang w:val="es-AR"/>
        </w:rPr>
      </w:pPr>
      <w:bookmarkStart w:id="6" w:name="_Ref447011276"/>
      <w:r w:rsidRPr="00225D32">
        <w:rPr>
          <w:rFonts w:ascii="Arial" w:hAnsi="Arial" w:cs="Arial"/>
          <w:lang w:val="es-AR"/>
        </w:rPr>
        <w:lastRenderedPageBreak/>
        <w:t xml:space="preserve">Cuadro </w:t>
      </w:r>
      <w:r w:rsidRPr="00225D32">
        <w:rPr>
          <w:rFonts w:ascii="Arial" w:hAnsi="Arial" w:cs="Arial"/>
        </w:rPr>
        <w:fldChar w:fldCharType="begin"/>
      </w:r>
      <w:r w:rsidRPr="00225D32">
        <w:rPr>
          <w:rFonts w:ascii="Arial" w:hAnsi="Arial" w:cs="Arial"/>
          <w:lang w:val="es-AR"/>
        </w:rPr>
        <w:instrText xml:space="preserve"> SEQ Cuadro \* ARABIC </w:instrText>
      </w:r>
      <w:r w:rsidRPr="00225D32">
        <w:rPr>
          <w:rFonts w:ascii="Arial" w:hAnsi="Arial" w:cs="Arial"/>
        </w:rPr>
        <w:fldChar w:fldCharType="separate"/>
      </w:r>
      <w:r w:rsidR="009C1E0D" w:rsidRPr="00225D32">
        <w:rPr>
          <w:rFonts w:ascii="Arial" w:hAnsi="Arial" w:cs="Arial"/>
          <w:noProof/>
          <w:lang w:val="es-AR"/>
        </w:rPr>
        <w:t>3</w:t>
      </w:r>
      <w:r w:rsidRPr="00225D32">
        <w:rPr>
          <w:rFonts w:ascii="Arial" w:hAnsi="Arial" w:cs="Arial"/>
        </w:rPr>
        <w:fldChar w:fldCharType="end"/>
      </w:r>
      <w:bookmarkEnd w:id="6"/>
      <w:r w:rsidRPr="00225D32">
        <w:rPr>
          <w:rFonts w:ascii="Arial" w:hAnsi="Arial" w:cs="Arial"/>
          <w:lang w:val="es-AR"/>
        </w:rPr>
        <w:t>: Déficit primario y global, por períodos (en % del producto)</w:t>
      </w:r>
    </w:p>
    <w:p w:rsidR="000C6BDD" w:rsidRDefault="00FD4DBE" w:rsidP="00AA3706">
      <w:pPr>
        <w:spacing w:line="276" w:lineRule="auto"/>
        <w:ind w:firstLine="0"/>
        <w:rPr>
          <w:lang w:val="es-AR"/>
        </w:rPr>
      </w:pPr>
      <w:r>
        <w:rPr>
          <w:noProof/>
          <w:lang w:val="en-US" w:eastAsia="en-US"/>
        </w:rPr>
        <w:drawing>
          <wp:inline distT="0" distB="0" distL="0" distR="0">
            <wp:extent cx="5610225" cy="561975"/>
            <wp:effectExtent l="0" t="0" r="9525" b="952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10225" cy="561975"/>
                    </a:xfrm>
                    <a:prstGeom prst="rect">
                      <a:avLst/>
                    </a:prstGeom>
                    <a:solidFill>
                      <a:srgbClr val="FFFFFF"/>
                    </a:solidFill>
                    <a:ln>
                      <a:noFill/>
                    </a:ln>
                  </pic:spPr>
                </pic:pic>
              </a:graphicData>
            </a:graphic>
          </wp:inline>
        </w:drawing>
      </w:r>
    </w:p>
    <w:p w:rsidR="000C6BDD" w:rsidRPr="00225D32" w:rsidRDefault="000C6BDD" w:rsidP="00AA3706">
      <w:pPr>
        <w:spacing w:line="276" w:lineRule="auto"/>
        <w:ind w:firstLine="0"/>
        <w:rPr>
          <w:rFonts w:ascii="Arial" w:hAnsi="Arial" w:cs="Arial"/>
          <w:sz w:val="18"/>
          <w:lang w:val="es-AR"/>
        </w:rPr>
      </w:pPr>
      <w:r w:rsidRPr="00225D32">
        <w:rPr>
          <w:rFonts w:ascii="Arial" w:hAnsi="Arial" w:cs="Arial"/>
          <w:sz w:val="18"/>
          <w:lang w:val="es-AR"/>
        </w:rPr>
        <w:t>Fuente: Elaboración propia en base a datos de la SEFIN</w:t>
      </w:r>
    </w:p>
    <w:p w:rsidR="000C6BDD" w:rsidRDefault="000C6BDD" w:rsidP="00AA3706">
      <w:pPr>
        <w:spacing w:line="276" w:lineRule="auto"/>
        <w:ind w:firstLine="0"/>
        <w:rPr>
          <w:lang w:val="es-AR"/>
        </w:rPr>
      </w:pPr>
    </w:p>
    <w:p w:rsidR="000C6BDD" w:rsidRPr="00225D32" w:rsidRDefault="000C6BDD" w:rsidP="00AA3706">
      <w:pPr>
        <w:spacing w:line="276" w:lineRule="auto"/>
        <w:ind w:firstLine="0"/>
        <w:rPr>
          <w:rFonts w:ascii="Arial" w:hAnsi="Arial" w:cs="Arial"/>
          <w:lang w:val="es-AR"/>
        </w:rPr>
      </w:pPr>
      <w:r w:rsidRPr="00225D32">
        <w:rPr>
          <w:rFonts w:ascii="Arial" w:hAnsi="Arial" w:cs="Arial"/>
          <w:lang w:val="es-AR"/>
        </w:rPr>
        <w:t xml:space="preserve">El magro desempeño fiscal ha obligado a las autoridades a tomar medidas que permitan su corrección. Pero primero es conveniente observar la última expresión de este pobre desempeño: la evolución de la deuda pública, cuya dinámica en términos del producto puede apreciarse en </w:t>
      </w:r>
      <w:r w:rsidR="003F52E2" w:rsidRPr="00225D32">
        <w:rPr>
          <w:rFonts w:ascii="Arial" w:hAnsi="Arial" w:cs="Arial"/>
          <w:lang w:val="es-AR"/>
        </w:rPr>
        <w:t xml:space="preserve">el </w:t>
      </w:r>
      <w:r w:rsidR="003F52E2" w:rsidRPr="00225D32">
        <w:rPr>
          <w:rFonts w:ascii="Arial" w:hAnsi="Arial" w:cs="Arial"/>
          <w:lang w:val="es-AR"/>
        </w:rPr>
        <w:fldChar w:fldCharType="begin"/>
      </w:r>
      <w:r w:rsidR="003F52E2" w:rsidRPr="00225D32">
        <w:rPr>
          <w:rFonts w:ascii="Arial" w:hAnsi="Arial" w:cs="Arial"/>
          <w:lang w:val="es-AR"/>
        </w:rPr>
        <w:instrText xml:space="preserve"> REF _Ref447117675 \h </w:instrText>
      </w:r>
      <w:r w:rsidR="003F52E2" w:rsidRPr="00225D32">
        <w:rPr>
          <w:rFonts w:ascii="Arial" w:hAnsi="Arial" w:cs="Arial"/>
          <w:lang w:val="es-AR"/>
        </w:rPr>
      </w:r>
      <w:r w:rsidR="00225D32">
        <w:rPr>
          <w:rFonts w:ascii="Arial" w:hAnsi="Arial" w:cs="Arial"/>
          <w:lang w:val="es-AR"/>
        </w:rPr>
        <w:instrText xml:space="preserve"> \* MERGEFORMAT </w:instrText>
      </w:r>
      <w:r w:rsidR="003F52E2" w:rsidRPr="00225D32">
        <w:rPr>
          <w:rFonts w:ascii="Arial" w:hAnsi="Arial" w:cs="Arial"/>
          <w:lang w:val="es-AR"/>
        </w:rPr>
        <w:fldChar w:fldCharType="separate"/>
      </w:r>
      <w:r w:rsidR="003F52E2" w:rsidRPr="00225D32">
        <w:rPr>
          <w:rFonts w:ascii="Arial" w:hAnsi="Arial" w:cs="Arial"/>
          <w:lang w:val="es-AR"/>
        </w:rPr>
        <w:t xml:space="preserve">Gráfico </w:t>
      </w:r>
      <w:r w:rsidR="003F52E2" w:rsidRPr="00225D32">
        <w:rPr>
          <w:rFonts w:ascii="Arial" w:hAnsi="Arial" w:cs="Arial"/>
          <w:noProof/>
          <w:lang w:val="es-AR"/>
        </w:rPr>
        <w:t>7</w:t>
      </w:r>
      <w:r w:rsidR="003F52E2" w:rsidRPr="00225D32">
        <w:rPr>
          <w:rFonts w:ascii="Arial" w:hAnsi="Arial" w:cs="Arial"/>
          <w:lang w:val="es-AR"/>
        </w:rPr>
        <w:fldChar w:fldCharType="end"/>
      </w:r>
      <w:r w:rsidR="003F52E2" w:rsidRPr="00225D32">
        <w:rPr>
          <w:rFonts w:ascii="Arial" w:hAnsi="Arial" w:cs="Arial"/>
          <w:lang w:val="es-AR"/>
        </w:rPr>
        <w:t>.</w:t>
      </w:r>
    </w:p>
    <w:p w:rsidR="000C6BDD" w:rsidRDefault="000C6BDD" w:rsidP="00AA3706">
      <w:pPr>
        <w:spacing w:line="276" w:lineRule="auto"/>
        <w:ind w:firstLine="0"/>
        <w:rPr>
          <w:lang w:val="es-AR"/>
        </w:rPr>
      </w:pPr>
    </w:p>
    <w:p w:rsidR="00D92F73" w:rsidRPr="00D92F73" w:rsidRDefault="00D92F73" w:rsidP="003D629E">
      <w:pPr>
        <w:pStyle w:val="Caption"/>
        <w:keepNext/>
        <w:spacing w:line="276" w:lineRule="auto"/>
        <w:ind w:firstLine="0"/>
        <w:jc w:val="center"/>
        <w:rPr>
          <w:sz w:val="22"/>
          <w:lang w:val="es-AR"/>
        </w:rPr>
      </w:pPr>
      <w:bookmarkStart w:id="7" w:name="_Ref447117675"/>
      <w:r w:rsidRPr="00225D32">
        <w:rPr>
          <w:rFonts w:ascii="Arial" w:hAnsi="Arial" w:cs="Arial"/>
          <w:lang w:val="es-AR"/>
        </w:rPr>
        <w:t xml:space="preserve">Gráfico </w:t>
      </w:r>
      <w:r w:rsidRPr="00225D32">
        <w:rPr>
          <w:rFonts w:ascii="Arial" w:hAnsi="Arial" w:cs="Arial"/>
        </w:rPr>
        <w:fldChar w:fldCharType="begin"/>
      </w:r>
      <w:r w:rsidRPr="00225D32">
        <w:rPr>
          <w:rFonts w:ascii="Arial" w:hAnsi="Arial" w:cs="Arial"/>
          <w:lang w:val="es-AR"/>
        </w:rPr>
        <w:instrText xml:space="preserve"> SEQ Gráfico \* ARABIC </w:instrText>
      </w:r>
      <w:r w:rsidRPr="00225D32">
        <w:rPr>
          <w:rFonts w:ascii="Arial" w:hAnsi="Arial" w:cs="Arial"/>
        </w:rPr>
        <w:fldChar w:fldCharType="separate"/>
      </w:r>
      <w:r w:rsidR="00F97D55" w:rsidRPr="00225D32">
        <w:rPr>
          <w:rFonts w:ascii="Arial" w:hAnsi="Arial" w:cs="Arial"/>
          <w:noProof/>
          <w:lang w:val="es-AR"/>
        </w:rPr>
        <w:t>7</w:t>
      </w:r>
      <w:r w:rsidRPr="00225D32">
        <w:rPr>
          <w:rFonts w:ascii="Arial" w:hAnsi="Arial" w:cs="Arial"/>
        </w:rPr>
        <w:fldChar w:fldCharType="end"/>
      </w:r>
      <w:bookmarkEnd w:id="7"/>
      <w:r w:rsidRPr="00225D32">
        <w:rPr>
          <w:rFonts w:ascii="Arial" w:hAnsi="Arial" w:cs="Arial"/>
          <w:lang w:val="es-AR"/>
        </w:rPr>
        <w:t>: Comportamiento de la deuda pública</w:t>
      </w:r>
      <w:r w:rsidRPr="00D92F73">
        <w:rPr>
          <w:sz w:val="22"/>
          <w:lang w:val="es-AR"/>
        </w:rPr>
        <w:t>.</w:t>
      </w:r>
    </w:p>
    <w:p w:rsidR="000C6BDD" w:rsidRDefault="00FD4DBE" w:rsidP="003D629E">
      <w:pPr>
        <w:spacing w:line="276" w:lineRule="auto"/>
        <w:ind w:firstLine="0"/>
        <w:jc w:val="center"/>
        <w:rPr>
          <w:lang w:val="es-AR"/>
        </w:rPr>
      </w:pPr>
      <w:r>
        <w:rPr>
          <w:noProof/>
          <w:lang w:val="en-US" w:eastAsia="en-US"/>
        </w:rPr>
        <w:drawing>
          <wp:inline distT="0" distB="0" distL="0" distR="0">
            <wp:extent cx="5610225" cy="3619500"/>
            <wp:effectExtent l="0" t="0" r="9525"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610225" cy="3619500"/>
                    </a:xfrm>
                    <a:prstGeom prst="rect">
                      <a:avLst/>
                    </a:prstGeom>
                    <a:noFill/>
                    <a:ln>
                      <a:noFill/>
                    </a:ln>
                  </pic:spPr>
                </pic:pic>
              </a:graphicData>
            </a:graphic>
          </wp:inline>
        </w:drawing>
      </w:r>
    </w:p>
    <w:p w:rsidR="000C6BDD" w:rsidRPr="00225D32" w:rsidRDefault="000C6BDD" w:rsidP="00AA3706">
      <w:pPr>
        <w:spacing w:line="276" w:lineRule="auto"/>
        <w:ind w:firstLine="0"/>
        <w:rPr>
          <w:rFonts w:ascii="Arial" w:hAnsi="Arial" w:cs="Arial"/>
          <w:sz w:val="18"/>
          <w:lang w:val="es-AR"/>
        </w:rPr>
      </w:pPr>
      <w:r w:rsidRPr="00225D32">
        <w:rPr>
          <w:rFonts w:ascii="Arial" w:hAnsi="Arial" w:cs="Arial"/>
          <w:sz w:val="18"/>
          <w:lang w:val="es-AR"/>
        </w:rPr>
        <w:t>Fuente: elaboración propia en base a datos de la SEFIN.</w:t>
      </w:r>
    </w:p>
    <w:p w:rsidR="000C6BDD" w:rsidRPr="00225D32" w:rsidRDefault="000C6BDD" w:rsidP="00AA3706">
      <w:pPr>
        <w:spacing w:line="276" w:lineRule="auto"/>
        <w:ind w:firstLine="0"/>
        <w:rPr>
          <w:rFonts w:ascii="Arial" w:hAnsi="Arial" w:cs="Arial"/>
          <w:lang w:val="es-AR"/>
        </w:rPr>
      </w:pPr>
    </w:p>
    <w:p w:rsidR="000C6BDD" w:rsidRPr="00225D32" w:rsidRDefault="000C6BDD" w:rsidP="00AA3706">
      <w:pPr>
        <w:spacing w:line="276" w:lineRule="auto"/>
        <w:ind w:firstLine="0"/>
        <w:rPr>
          <w:rFonts w:ascii="Arial" w:hAnsi="Arial" w:cs="Arial"/>
          <w:lang w:val="es-AR"/>
        </w:rPr>
      </w:pPr>
      <w:r w:rsidRPr="00225D32">
        <w:rPr>
          <w:rFonts w:ascii="Arial" w:hAnsi="Arial" w:cs="Arial"/>
          <w:lang w:val="es-AR"/>
        </w:rPr>
        <w:t xml:space="preserve">Como se desprende del gráfico, la deuda total como porcentaje del producto presenta una forma de campana invertida. Ello se explica porque durante el período que se extiende desde el año 2005 hasta el año 2008, etapa en la cual, como vimos, el producto crece a tasa promedio del 6% y el déficit fiscal oscila en torno a los 2 pp. del producto, la deuda pública total se reduce desde casi en 30 pp.: desciende desde un 50% del producto en 2005 hasta un 20% en 2008. Dicho comportamiento puede, a su vez, explicarse principalmente por la dinámica que presenta la deuda externa, que pasa de representar el 46% del producto en 2005 a solo el 15,9% en 2008. </w:t>
      </w:r>
    </w:p>
    <w:p w:rsidR="00A452AE" w:rsidRPr="00225D32" w:rsidRDefault="00A452AE" w:rsidP="00AA3706">
      <w:pPr>
        <w:spacing w:line="276" w:lineRule="auto"/>
        <w:ind w:firstLine="0"/>
        <w:rPr>
          <w:rFonts w:ascii="Arial" w:hAnsi="Arial" w:cs="Arial"/>
          <w:lang w:val="es-AR"/>
        </w:rPr>
      </w:pPr>
    </w:p>
    <w:p w:rsidR="000C6BDD" w:rsidRPr="00225D32" w:rsidRDefault="000C6BDD" w:rsidP="00AA3706">
      <w:pPr>
        <w:spacing w:line="276" w:lineRule="auto"/>
        <w:ind w:firstLine="0"/>
        <w:rPr>
          <w:rFonts w:ascii="Arial" w:hAnsi="Arial" w:cs="Arial"/>
          <w:lang w:val="es-AR"/>
        </w:rPr>
      </w:pPr>
      <w:r w:rsidRPr="00225D32">
        <w:rPr>
          <w:rFonts w:ascii="Arial" w:hAnsi="Arial" w:cs="Arial"/>
          <w:lang w:val="es-AR"/>
        </w:rPr>
        <w:t xml:space="preserve">La trayectoria en los niveles de deuda modifica su dirección en 2009, para crecer continuadamente hasta 2013, año en que sobrepasa nuevamente el 40% del PBI </w:t>
      </w:r>
      <w:r w:rsidRPr="00225D32">
        <w:rPr>
          <w:rFonts w:ascii="Arial" w:hAnsi="Arial" w:cs="Arial"/>
          <w:lang w:val="es-AR"/>
        </w:rPr>
        <w:lastRenderedPageBreak/>
        <w:t xml:space="preserve">hondureño. En los años subsiguientes, y como resultado de las medidas fiscales tomadas por el gobierno de Honduras, el ratio logra estabilizarse en valores que oscilan en torno al 45% del PBI. Es decir, si bien la dinámica explosiva de los años post crisis logra controlarse a partir de 2014, el cociente Deuda/PBI se estabiliza en torno a valores que resultan ser solo levemente inferiores a los presentados al inicio del período en cuestión. </w:t>
      </w:r>
    </w:p>
    <w:p w:rsidR="005B15AA" w:rsidRPr="00225D32" w:rsidRDefault="005B15AA" w:rsidP="00AA3706">
      <w:pPr>
        <w:spacing w:line="276" w:lineRule="auto"/>
        <w:ind w:firstLine="0"/>
        <w:rPr>
          <w:rFonts w:ascii="Arial" w:hAnsi="Arial" w:cs="Arial"/>
          <w:lang w:val="es-AR"/>
        </w:rPr>
      </w:pPr>
    </w:p>
    <w:p w:rsidR="000C6BDD" w:rsidRPr="00225D32" w:rsidRDefault="000C6BDD" w:rsidP="00AA3706">
      <w:pPr>
        <w:spacing w:line="276" w:lineRule="auto"/>
        <w:ind w:firstLine="0"/>
        <w:rPr>
          <w:rFonts w:ascii="Arial" w:hAnsi="Arial" w:cs="Arial"/>
          <w:lang w:val="es-AR"/>
        </w:rPr>
      </w:pPr>
      <w:r w:rsidRPr="00225D32">
        <w:rPr>
          <w:rFonts w:ascii="Arial" w:hAnsi="Arial" w:cs="Arial"/>
          <w:lang w:val="es-AR"/>
        </w:rPr>
        <w:t xml:space="preserve">La deuda externa presenta un comportamiento similar: luego de reducirse significativamente hasta 2008, comienza su trayectoria creciente en 2008, para estabilizarse en 2013 en torno al 28% del producto bruto interno de la economía. Como medida alternativa para examinar el comportamiento de la deuda externa, es conveniente observar su evolución en relación a las exportaciones, dinámica que puede apreciarse a partir del gráfico 9. El cociente Deuda/Exportaciones también presenta una forma de campana invertida: decrece fuertemente durante la etapa inicial, desde un 90% en 2005 a menos del 40% en 2009, para luego comenzar a crecer nuevamente hasta llegar a tomar valores del 60% en 20014, año en el cual dicho cociente parece alcanzar cierto nivel de estabilidad. </w:t>
      </w:r>
    </w:p>
    <w:p w:rsidR="000C6BDD" w:rsidRDefault="000C6BDD" w:rsidP="00AA3706">
      <w:pPr>
        <w:spacing w:line="276" w:lineRule="auto"/>
        <w:ind w:firstLine="0"/>
        <w:rPr>
          <w:lang w:val="es-AR"/>
        </w:rPr>
      </w:pPr>
    </w:p>
    <w:p w:rsidR="00F54A70" w:rsidRDefault="00F54A70" w:rsidP="00AA3706">
      <w:pPr>
        <w:spacing w:line="276" w:lineRule="auto"/>
        <w:ind w:firstLine="0"/>
        <w:jc w:val="center"/>
        <w:rPr>
          <w:b/>
          <w:lang w:val="es-AR"/>
        </w:rPr>
      </w:pPr>
    </w:p>
    <w:p w:rsidR="000C6BDD" w:rsidRPr="00225D32" w:rsidRDefault="000C6BDD" w:rsidP="003D629E">
      <w:pPr>
        <w:pStyle w:val="Caption"/>
        <w:keepNext/>
        <w:spacing w:line="276" w:lineRule="auto"/>
        <w:ind w:firstLine="0"/>
        <w:jc w:val="center"/>
        <w:rPr>
          <w:rFonts w:ascii="Arial" w:hAnsi="Arial" w:cs="Arial"/>
          <w:lang w:val="es-AR"/>
        </w:rPr>
      </w:pPr>
      <w:r w:rsidRPr="00225D32">
        <w:rPr>
          <w:rFonts w:ascii="Arial" w:hAnsi="Arial" w:cs="Arial"/>
          <w:lang w:val="es-AR"/>
        </w:rPr>
        <w:t>Gráfico 9: evolución del cociente Deuda Externa Pública/Exportaciones</w:t>
      </w:r>
      <w:r w:rsidR="005C2D15" w:rsidRPr="00225D32">
        <w:rPr>
          <w:rFonts w:ascii="Arial" w:hAnsi="Arial" w:cs="Arial"/>
          <w:lang w:val="es-AR"/>
        </w:rPr>
        <w:t xml:space="preserve"> (en %)</w:t>
      </w:r>
      <w:r w:rsidRPr="00225D32">
        <w:rPr>
          <w:rFonts w:ascii="Arial" w:hAnsi="Arial" w:cs="Arial"/>
          <w:lang w:val="es-AR"/>
        </w:rPr>
        <w:t>.</w:t>
      </w:r>
    </w:p>
    <w:p w:rsidR="000C6BDD" w:rsidRDefault="00FD4DBE" w:rsidP="003D629E">
      <w:pPr>
        <w:spacing w:line="276" w:lineRule="auto"/>
        <w:ind w:firstLine="0"/>
        <w:jc w:val="center"/>
        <w:rPr>
          <w:lang w:val="es-AR"/>
        </w:rPr>
      </w:pPr>
      <w:r>
        <w:rPr>
          <w:noProof/>
          <w:lang w:val="en-US" w:eastAsia="en-US"/>
        </w:rPr>
        <w:drawing>
          <wp:inline distT="0" distB="0" distL="0" distR="0">
            <wp:extent cx="5610225" cy="2952750"/>
            <wp:effectExtent l="0" t="0" r="9525"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610225" cy="2952750"/>
                    </a:xfrm>
                    <a:prstGeom prst="rect">
                      <a:avLst/>
                    </a:prstGeom>
                    <a:noFill/>
                    <a:ln>
                      <a:noFill/>
                    </a:ln>
                  </pic:spPr>
                </pic:pic>
              </a:graphicData>
            </a:graphic>
          </wp:inline>
        </w:drawing>
      </w:r>
    </w:p>
    <w:p w:rsidR="000C6BDD" w:rsidRPr="00225D32" w:rsidRDefault="000C6BDD" w:rsidP="00AA3706">
      <w:pPr>
        <w:spacing w:line="276" w:lineRule="auto"/>
        <w:ind w:firstLine="0"/>
        <w:rPr>
          <w:rFonts w:ascii="Arial" w:hAnsi="Arial" w:cs="Arial"/>
          <w:sz w:val="18"/>
          <w:szCs w:val="18"/>
          <w:lang w:val="es-AR"/>
        </w:rPr>
      </w:pPr>
      <w:r w:rsidRPr="00225D32">
        <w:rPr>
          <w:rFonts w:ascii="Arial" w:hAnsi="Arial" w:cs="Arial"/>
          <w:sz w:val="18"/>
          <w:szCs w:val="18"/>
          <w:lang w:val="es-AR"/>
        </w:rPr>
        <w:t>Fuente: elaboración propia en base a datos de la SEFIN.</w:t>
      </w:r>
    </w:p>
    <w:p w:rsidR="000C6BDD" w:rsidRDefault="000C6BDD" w:rsidP="00AA3706">
      <w:pPr>
        <w:spacing w:line="276" w:lineRule="auto"/>
        <w:ind w:firstLine="0"/>
        <w:rPr>
          <w:lang w:val="es-AR"/>
        </w:rPr>
      </w:pPr>
    </w:p>
    <w:p w:rsidR="000C6BDD" w:rsidRPr="00225D32" w:rsidRDefault="000C6BDD" w:rsidP="00AA3706">
      <w:pPr>
        <w:spacing w:line="276" w:lineRule="auto"/>
        <w:ind w:firstLine="0"/>
        <w:rPr>
          <w:rFonts w:ascii="Arial" w:hAnsi="Arial" w:cs="Arial"/>
          <w:lang w:val="es-AR"/>
        </w:rPr>
      </w:pPr>
      <w:r w:rsidRPr="00225D32">
        <w:rPr>
          <w:rFonts w:ascii="Arial" w:hAnsi="Arial" w:cs="Arial"/>
          <w:lang w:val="es-AR"/>
        </w:rPr>
        <w:t>Puede ser finalmente útil examinar la evolución del pago de intereses durante el período, ya que la obligación de cumplir con dicha erogación quita ‘espacio fiscal’ para otros fines. El peso de los intereses en términos del gasto corriente y del producto bruto hondureño puede apreciarse en el</w:t>
      </w:r>
      <w:r w:rsidR="008E3A69" w:rsidRPr="00225D32">
        <w:rPr>
          <w:rFonts w:ascii="Arial" w:hAnsi="Arial" w:cs="Arial"/>
          <w:lang w:val="es-AR"/>
        </w:rPr>
        <w:t xml:space="preserve"> </w:t>
      </w:r>
      <w:r w:rsidR="008E3A69" w:rsidRPr="00225D32">
        <w:rPr>
          <w:rFonts w:ascii="Arial" w:hAnsi="Arial" w:cs="Arial"/>
          <w:lang w:val="es-AR"/>
        </w:rPr>
        <w:fldChar w:fldCharType="begin"/>
      </w:r>
      <w:r w:rsidR="008E3A69" w:rsidRPr="00225D32">
        <w:rPr>
          <w:rFonts w:ascii="Arial" w:hAnsi="Arial" w:cs="Arial"/>
          <w:lang w:val="es-AR"/>
        </w:rPr>
        <w:instrText xml:space="preserve"> REF _Ref447012124 \h </w:instrText>
      </w:r>
      <w:r w:rsidR="00AA3706" w:rsidRPr="00225D32">
        <w:rPr>
          <w:rFonts w:ascii="Arial" w:hAnsi="Arial" w:cs="Arial"/>
          <w:lang w:val="es-AR"/>
        </w:rPr>
        <w:instrText xml:space="preserve"> \* MERGEFORMAT </w:instrText>
      </w:r>
      <w:r w:rsidR="008E3A69" w:rsidRPr="00225D32">
        <w:rPr>
          <w:rFonts w:ascii="Arial" w:hAnsi="Arial" w:cs="Arial"/>
          <w:lang w:val="es-AR"/>
        </w:rPr>
      </w:r>
      <w:r w:rsidR="008E3A69" w:rsidRPr="00225D32">
        <w:rPr>
          <w:rFonts w:ascii="Arial" w:hAnsi="Arial" w:cs="Arial"/>
          <w:lang w:val="es-AR"/>
        </w:rPr>
        <w:fldChar w:fldCharType="separate"/>
      </w:r>
      <w:r w:rsidR="008E3A69" w:rsidRPr="00225D32">
        <w:rPr>
          <w:rFonts w:ascii="Arial" w:hAnsi="Arial" w:cs="Arial"/>
          <w:lang w:val="es-AR"/>
        </w:rPr>
        <w:t xml:space="preserve">Cuadro </w:t>
      </w:r>
      <w:r w:rsidR="008E3A69" w:rsidRPr="00225D32">
        <w:rPr>
          <w:rFonts w:ascii="Arial" w:hAnsi="Arial" w:cs="Arial"/>
          <w:noProof/>
          <w:lang w:val="es-AR"/>
        </w:rPr>
        <w:t>4</w:t>
      </w:r>
      <w:r w:rsidR="008E3A69" w:rsidRPr="00225D32">
        <w:rPr>
          <w:rFonts w:ascii="Arial" w:hAnsi="Arial" w:cs="Arial"/>
          <w:lang w:val="es-AR"/>
        </w:rPr>
        <w:fldChar w:fldCharType="end"/>
      </w:r>
      <w:r w:rsidRPr="00225D32">
        <w:rPr>
          <w:rFonts w:ascii="Arial" w:hAnsi="Arial" w:cs="Arial"/>
          <w:lang w:val="es-AR"/>
        </w:rPr>
        <w:t xml:space="preserve">.  </w:t>
      </w:r>
    </w:p>
    <w:p w:rsidR="000C6BDD" w:rsidRDefault="000C6BDD" w:rsidP="00AA3706">
      <w:pPr>
        <w:spacing w:line="276" w:lineRule="auto"/>
        <w:ind w:firstLine="0"/>
        <w:rPr>
          <w:lang w:val="es-AR"/>
        </w:rPr>
      </w:pPr>
    </w:p>
    <w:p w:rsidR="008E3A69" w:rsidRPr="00225D32" w:rsidRDefault="008E3A69" w:rsidP="003D629E">
      <w:pPr>
        <w:pStyle w:val="Caption"/>
        <w:keepNext/>
        <w:spacing w:line="276" w:lineRule="auto"/>
        <w:ind w:firstLine="0"/>
        <w:jc w:val="center"/>
        <w:rPr>
          <w:rFonts w:ascii="Arial" w:hAnsi="Arial" w:cs="Arial"/>
          <w:lang w:val="es-AR"/>
        </w:rPr>
      </w:pPr>
      <w:bookmarkStart w:id="8" w:name="_Ref447012124"/>
      <w:r w:rsidRPr="00225D32">
        <w:rPr>
          <w:rFonts w:ascii="Arial" w:hAnsi="Arial" w:cs="Arial"/>
          <w:lang w:val="es-AR"/>
        </w:rPr>
        <w:lastRenderedPageBreak/>
        <w:t xml:space="preserve">Cuadro </w:t>
      </w:r>
      <w:r w:rsidRPr="00225D32">
        <w:rPr>
          <w:rFonts w:ascii="Arial" w:hAnsi="Arial" w:cs="Arial"/>
        </w:rPr>
        <w:fldChar w:fldCharType="begin"/>
      </w:r>
      <w:r w:rsidRPr="00225D32">
        <w:rPr>
          <w:rFonts w:ascii="Arial" w:hAnsi="Arial" w:cs="Arial"/>
          <w:lang w:val="es-AR"/>
        </w:rPr>
        <w:instrText xml:space="preserve"> SEQ Cuadro \* ARABIC </w:instrText>
      </w:r>
      <w:r w:rsidRPr="00225D32">
        <w:rPr>
          <w:rFonts w:ascii="Arial" w:hAnsi="Arial" w:cs="Arial"/>
        </w:rPr>
        <w:fldChar w:fldCharType="separate"/>
      </w:r>
      <w:r w:rsidR="009C1E0D" w:rsidRPr="00225D32">
        <w:rPr>
          <w:rFonts w:ascii="Arial" w:hAnsi="Arial" w:cs="Arial"/>
          <w:noProof/>
          <w:lang w:val="es-AR"/>
        </w:rPr>
        <w:t>4</w:t>
      </w:r>
      <w:r w:rsidRPr="00225D32">
        <w:rPr>
          <w:rFonts w:ascii="Arial" w:hAnsi="Arial" w:cs="Arial"/>
        </w:rPr>
        <w:fldChar w:fldCharType="end"/>
      </w:r>
      <w:bookmarkEnd w:id="8"/>
      <w:r w:rsidRPr="00225D32">
        <w:rPr>
          <w:rFonts w:ascii="Arial" w:hAnsi="Arial" w:cs="Arial"/>
          <w:lang w:val="es-AR"/>
        </w:rPr>
        <w:t>: Evolución del pago de intereses</w:t>
      </w:r>
    </w:p>
    <w:p w:rsidR="000C6BDD" w:rsidRDefault="00FD4DBE" w:rsidP="00AA3706">
      <w:pPr>
        <w:spacing w:line="276" w:lineRule="auto"/>
        <w:ind w:firstLine="0"/>
        <w:rPr>
          <w:lang w:val="es-AR"/>
        </w:rPr>
      </w:pPr>
      <w:r>
        <w:rPr>
          <w:noProof/>
          <w:lang w:val="en-US" w:eastAsia="en-US"/>
        </w:rPr>
        <w:drawing>
          <wp:inline distT="0" distB="0" distL="0" distR="0">
            <wp:extent cx="5610225" cy="1019175"/>
            <wp:effectExtent l="0" t="0" r="9525" b="9525"/>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10225" cy="1019175"/>
                    </a:xfrm>
                    <a:prstGeom prst="rect">
                      <a:avLst/>
                    </a:prstGeom>
                    <a:solidFill>
                      <a:srgbClr val="FFFFFF"/>
                    </a:solidFill>
                    <a:ln>
                      <a:noFill/>
                    </a:ln>
                  </pic:spPr>
                </pic:pic>
              </a:graphicData>
            </a:graphic>
          </wp:inline>
        </w:drawing>
      </w:r>
    </w:p>
    <w:p w:rsidR="000C6BDD" w:rsidRPr="00225D32" w:rsidRDefault="000C6BDD" w:rsidP="00AA3706">
      <w:pPr>
        <w:spacing w:line="276" w:lineRule="auto"/>
        <w:ind w:firstLine="0"/>
        <w:rPr>
          <w:rFonts w:ascii="Arial" w:hAnsi="Arial" w:cs="Arial"/>
          <w:sz w:val="18"/>
          <w:lang w:val="es-AR"/>
        </w:rPr>
      </w:pPr>
      <w:r w:rsidRPr="00225D32">
        <w:rPr>
          <w:rFonts w:ascii="Arial" w:hAnsi="Arial" w:cs="Arial"/>
          <w:sz w:val="18"/>
          <w:lang w:val="es-AR"/>
        </w:rPr>
        <w:t>Fuente: elaboración propia en base a datos de la SEFIN</w:t>
      </w:r>
    </w:p>
    <w:p w:rsidR="000C6BDD" w:rsidRDefault="000C6BDD" w:rsidP="00AA3706">
      <w:pPr>
        <w:spacing w:line="276" w:lineRule="auto"/>
        <w:ind w:firstLine="0"/>
        <w:rPr>
          <w:lang w:val="es-AR"/>
        </w:rPr>
      </w:pPr>
    </w:p>
    <w:p w:rsidR="000C6BDD" w:rsidRPr="00225D32" w:rsidRDefault="000C6BDD" w:rsidP="00AA3706">
      <w:pPr>
        <w:spacing w:line="276" w:lineRule="auto"/>
        <w:ind w:firstLine="0"/>
        <w:rPr>
          <w:rFonts w:ascii="Arial" w:hAnsi="Arial" w:cs="Arial"/>
          <w:lang w:val="es-AR"/>
        </w:rPr>
      </w:pPr>
      <w:r w:rsidRPr="00225D32">
        <w:rPr>
          <w:rFonts w:ascii="Arial" w:hAnsi="Arial" w:cs="Arial"/>
          <w:lang w:val="es-AR"/>
        </w:rPr>
        <w:t xml:space="preserve">Durante el período considerado, el pago de intereses representa en promedio un 0,57% del PBI y un 3,27% del gasto corriente, siendo de particular relevancia los intereses en moneda extranjero, los cuales representan un 0,31% y un 1,79% del producto y del gasto corriente, respectivamente. De todos modos, el peso de los intereses, tanto en términos del producto como en términos del gasto corriente presenta una trayectoria decreciente a lo largo de todo el período, pasando, respectivamente de representar un 5,75% y un 0,88% en el año 2005, a un 2% y un 0,37% respectivamente en 2015. </w:t>
      </w:r>
    </w:p>
    <w:p w:rsidR="000C6BDD" w:rsidRPr="00225D32" w:rsidRDefault="000C6BDD" w:rsidP="00AA3706">
      <w:pPr>
        <w:spacing w:line="276" w:lineRule="auto"/>
        <w:ind w:firstLine="0"/>
        <w:rPr>
          <w:rFonts w:ascii="Arial" w:hAnsi="Arial" w:cs="Arial"/>
          <w:lang w:val="es-AR"/>
        </w:rPr>
      </w:pPr>
    </w:p>
    <w:p w:rsidR="000C6BDD" w:rsidRPr="00225D32" w:rsidRDefault="000C6BDD" w:rsidP="003F52E2">
      <w:pPr>
        <w:pStyle w:val="Subtitle"/>
        <w:ind w:firstLine="0"/>
        <w:jc w:val="both"/>
        <w:rPr>
          <w:rFonts w:ascii="Arial" w:hAnsi="Arial" w:cs="Arial"/>
          <w:b/>
          <w:sz w:val="22"/>
          <w:szCs w:val="22"/>
          <w:lang w:val="es-AR"/>
        </w:rPr>
      </w:pPr>
      <w:r w:rsidRPr="00225D32">
        <w:rPr>
          <w:rFonts w:ascii="Arial" w:hAnsi="Arial" w:cs="Arial"/>
          <w:b/>
          <w:sz w:val="22"/>
          <w:szCs w:val="22"/>
          <w:lang w:val="es-AR"/>
        </w:rPr>
        <w:t>I.3. La recuperación fiscal durante el bienio 2014-2015: La ley de Ordenamiento Fiscal.</w:t>
      </w:r>
    </w:p>
    <w:p w:rsidR="000C6BDD" w:rsidRPr="00225D32" w:rsidRDefault="000C6BDD" w:rsidP="00AA3706">
      <w:pPr>
        <w:spacing w:line="276" w:lineRule="auto"/>
        <w:ind w:firstLine="0"/>
        <w:rPr>
          <w:rFonts w:ascii="Arial" w:hAnsi="Arial" w:cs="Arial"/>
          <w:lang w:val="es-AR"/>
        </w:rPr>
      </w:pPr>
      <w:r w:rsidRPr="00225D32">
        <w:rPr>
          <w:rFonts w:ascii="Arial" w:hAnsi="Arial" w:cs="Arial"/>
          <w:lang w:val="es-AR"/>
        </w:rPr>
        <w:t>Como adelantamos arriba, la merma considerable en los resultados primario y global, ha llevado en 2013 al gobierno de Honduras a plantear la necesidad de introducir una reforma fiscal capaz de corregir el rumbo en las cuentas fiscales. De este modo, en el marco de la Ley de Ordenamiento de las Finanzas públicas, se han adoptado medidas que tiendan a reducir el gasto fiscal y, especialmente a incrementar los ingresos tributarios. Entre las medidas tomadas vale la pena destacar: a) el incremento de 3 pp. en el Impuesto Sobre Ventas (de 12% a 15%); b) la disminución del subsidio a la energía (disminución del umbral de subsidio de 150 kWh/mes a 75 kWh/mes); c) el incremento de USD 0,25 al precio de la gasolina y del diésel (equivalente a un incremento promedio de 22% del precio de venta); d) la r</w:t>
      </w:r>
      <w:r w:rsidR="00CA0534" w:rsidRPr="00225D32">
        <w:rPr>
          <w:rFonts w:ascii="Arial" w:hAnsi="Arial" w:cs="Arial"/>
          <w:lang w:val="es-AR"/>
        </w:rPr>
        <w:t>educción de las transferencias.</w:t>
      </w:r>
    </w:p>
    <w:p w:rsidR="00CA0534" w:rsidRPr="00225D32" w:rsidRDefault="00CA0534" w:rsidP="00AA3706">
      <w:pPr>
        <w:spacing w:line="276" w:lineRule="auto"/>
        <w:ind w:firstLine="0"/>
        <w:rPr>
          <w:rFonts w:ascii="Arial" w:hAnsi="Arial" w:cs="Arial"/>
          <w:lang w:val="es-AR"/>
        </w:rPr>
      </w:pPr>
    </w:p>
    <w:p w:rsidR="000C6BDD" w:rsidRPr="00225D32" w:rsidRDefault="000C6BDD" w:rsidP="00AA3706">
      <w:pPr>
        <w:spacing w:line="276" w:lineRule="auto"/>
        <w:ind w:firstLine="0"/>
        <w:rPr>
          <w:rFonts w:ascii="Arial" w:hAnsi="Arial" w:cs="Arial"/>
          <w:lang w:val="es-AR"/>
        </w:rPr>
      </w:pPr>
      <w:r w:rsidRPr="00225D32">
        <w:rPr>
          <w:rFonts w:ascii="Arial" w:hAnsi="Arial" w:cs="Arial"/>
          <w:lang w:val="es-AR"/>
        </w:rPr>
        <w:t xml:space="preserve">Por un lado, la eliminación de gastos tributarios y el incremento de las alícuotas han representado en total 2,6 pp. del PBI, de la siguiente manera: 2,3 pp. corresponden a medidas tendientes a aumentar los ingresos tributarios a través de incrementos en las alícuotas y 0,3 pp. correspondientes a medidas que han tendido a disminuir los gastos tributarios. Por otro lado, las medidas tendientes a la reducción del gasto total han permitido que el mismo se redujera en más de 1,5 pp. del PBI. </w:t>
      </w:r>
    </w:p>
    <w:p w:rsidR="005B15AA" w:rsidRPr="00225D32" w:rsidRDefault="005B15AA" w:rsidP="00AA3706">
      <w:pPr>
        <w:spacing w:line="276" w:lineRule="auto"/>
        <w:ind w:firstLine="0"/>
        <w:rPr>
          <w:rFonts w:ascii="Arial" w:hAnsi="Arial" w:cs="Arial"/>
          <w:lang w:val="es-AR"/>
        </w:rPr>
      </w:pPr>
    </w:p>
    <w:p w:rsidR="000C6BDD" w:rsidRPr="00225D32" w:rsidRDefault="000C6BDD" w:rsidP="00AA3706">
      <w:pPr>
        <w:spacing w:line="276" w:lineRule="auto"/>
        <w:ind w:firstLine="0"/>
        <w:rPr>
          <w:rFonts w:ascii="Arial" w:hAnsi="Arial" w:cs="Arial"/>
          <w:lang w:val="es-AR"/>
        </w:rPr>
      </w:pPr>
      <w:r w:rsidRPr="00225D32">
        <w:rPr>
          <w:rFonts w:ascii="Arial" w:hAnsi="Arial" w:cs="Arial"/>
          <w:lang w:val="es-AR"/>
        </w:rPr>
        <w:t xml:space="preserve">Como consecuencia de este paquete de medidas, el déficit fiscal ha disminuido considerablemente,. El déficit primario se ha reducido en 5,4 pp. en solo dos años: ha pasado de representar el 5,8 % del PBI en 2013 a solo el 0,4% en 2015. Y algo similar ha ocurrido con la dinámica del déficit global, el cual ha disminuido en 5 pp. del producto en el mismo período: de representar el 7,9% del PBI de la economía de Honduras en 2013 ahora representa solo el 2,9%.  En resumen, si bien las cuentas fiscales han sufrido un deterioro considerable durante el período en cuestión, la reforma fiscal en Honduras </w:t>
      </w:r>
      <w:r w:rsidRPr="00225D32">
        <w:rPr>
          <w:rFonts w:ascii="Arial" w:hAnsi="Arial" w:cs="Arial"/>
          <w:lang w:val="es-AR"/>
        </w:rPr>
        <w:lastRenderedPageBreak/>
        <w:t xml:space="preserve">parece haber tenido éxito en contrarrestar la situación, lo cual permite tener optimismo sobre el desempeño fiscal de la economía Hondureña en el futuro.  </w:t>
      </w:r>
    </w:p>
    <w:p w:rsidR="00B168DB" w:rsidRPr="00225D32" w:rsidRDefault="00B168DB" w:rsidP="00AA3706">
      <w:pPr>
        <w:spacing w:line="276" w:lineRule="auto"/>
        <w:ind w:firstLine="0"/>
        <w:rPr>
          <w:rFonts w:ascii="Arial" w:hAnsi="Arial" w:cs="Arial"/>
          <w:lang w:val="es-AR"/>
        </w:rPr>
      </w:pPr>
    </w:p>
    <w:p w:rsidR="005C2D15" w:rsidRPr="00225D32" w:rsidRDefault="000C6BDD" w:rsidP="00AA3706">
      <w:pPr>
        <w:spacing w:line="276" w:lineRule="auto"/>
        <w:ind w:firstLine="0"/>
        <w:rPr>
          <w:rFonts w:ascii="Arial" w:hAnsi="Arial" w:cs="Arial"/>
          <w:lang w:val="es-AR"/>
        </w:rPr>
      </w:pPr>
      <w:r w:rsidRPr="00225D32">
        <w:rPr>
          <w:rFonts w:ascii="Arial" w:hAnsi="Arial" w:cs="Arial"/>
          <w:lang w:val="es-AR"/>
        </w:rPr>
        <w:t>Cabe destacar en su artículo 45, la Ley de Ordenamiento Fiscal establece que parte del incremento de los recursos fiscales deben destinarse a la constitución de un Fondo de Solidaridad y Protección social para la reducción de la pobreza. En particular, los recursos del fondo han sido utilizados para garantizar, entre otros, la continuidad y ampliación del Bono Vida Mejor.</w:t>
      </w:r>
      <w:r w:rsidR="005C2D15" w:rsidRPr="00225D32">
        <w:rPr>
          <w:rFonts w:ascii="Arial" w:hAnsi="Arial" w:cs="Arial"/>
          <w:lang w:val="es-AR"/>
        </w:rPr>
        <w:t xml:space="preserve"> En 2013 el Fondo fue constituido en un monto de 4.500 millones de lempiras, monto que representó el 1,</w:t>
      </w:r>
      <w:r w:rsidR="0034792F" w:rsidRPr="00225D32">
        <w:rPr>
          <w:rFonts w:ascii="Arial" w:hAnsi="Arial" w:cs="Arial"/>
          <w:lang w:val="es-AR"/>
        </w:rPr>
        <w:t>1</w:t>
      </w:r>
      <w:r w:rsidR="005C2D15" w:rsidRPr="00225D32">
        <w:rPr>
          <w:rFonts w:ascii="Arial" w:hAnsi="Arial" w:cs="Arial"/>
          <w:lang w:val="es-AR"/>
        </w:rPr>
        <w:t>% del producto de 2013</w:t>
      </w:r>
      <w:r w:rsidR="00BC08D1" w:rsidRPr="00225D32">
        <w:rPr>
          <w:rFonts w:ascii="Arial" w:hAnsi="Arial" w:cs="Arial"/>
          <w:lang w:val="es-AR"/>
        </w:rPr>
        <w:t>. En el año 2014 el Fondo fue capitalizado con 4.593 millones de lempiras y en el año 2015 con 4.361 millones.</w:t>
      </w:r>
    </w:p>
    <w:p w:rsidR="00DB49FF" w:rsidRPr="00225D32" w:rsidRDefault="00DB49FF" w:rsidP="00AA3706">
      <w:pPr>
        <w:spacing w:line="276" w:lineRule="auto"/>
        <w:ind w:firstLine="0"/>
        <w:rPr>
          <w:rFonts w:ascii="Arial" w:hAnsi="Arial" w:cs="Arial"/>
          <w:lang w:val="es-AR"/>
        </w:rPr>
      </w:pPr>
    </w:p>
    <w:p w:rsidR="00DB49FF" w:rsidRPr="00225D32" w:rsidRDefault="00DB49FF" w:rsidP="00AA3706">
      <w:pPr>
        <w:spacing w:line="276" w:lineRule="auto"/>
        <w:ind w:firstLine="0"/>
        <w:rPr>
          <w:rFonts w:ascii="Arial" w:hAnsi="Arial" w:cs="Arial"/>
          <w:lang w:val="es-AR"/>
        </w:rPr>
      </w:pPr>
    </w:p>
    <w:p w:rsidR="00FD12FF" w:rsidRPr="005C2D15" w:rsidRDefault="00FD12FF" w:rsidP="00AA3706">
      <w:pPr>
        <w:spacing w:line="276" w:lineRule="auto"/>
        <w:ind w:firstLine="0"/>
        <w:rPr>
          <w:lang w:val="es-AR"/>
        </w:rPr>
      </w:pPr>
    </w:p>
    <w:p w:rsidR="000C6BDD" w:rsidRPr="00225D32" w:rsidRDefault="000C6BDD" w:rsidP="00AA3706">
      <w:pPr>
        <w:pStyle w:val="Heading2"/>
        <w:pageBreakBefore/>
        <w:spacing w:line="276" w:lineRule="auto"/>
        <w:rPr>
          <w:rFonts w:ascii="Arial" w:hAnsi="Arial" w:cs="Arial"/>
          <w:sz w:val="22"/>
          <w:szCs w:val="22"/>
          <w:lang w:val="es-AR"/>
        </w:rPr>
      </w:pPr>
      <w:r w:rsidRPr="00225D32">
        <w:rPr>
          <w:rFonts w:ascii="Arial" w:hAnsi="Arial" w:cs="Arial"/>
          <w:sz w:val="22"/>
          <w:szCs w:val="22"/>
          <w:lang w:val="es-AR"/>
        </w:rPr>
        <w:lastRenderedPageBreak/>
        <w:t xml:space="preserve">II. CÁLCULO DEL ESPACIO FISCAL NECESARIO PARA FINANCIAR EL BVM Y EL PGDS </w:t>
      </w:r>
    </w:p>
    <w:p w:rsidR="000C6BDD" w:rsidRPr="00225D32" w:rsidRDefault="000C6BDD" w:rsidP="00AA3706">
      <w:pPr>
        <w:pStyle w:val="Heading2"/>
        <w:spacing w:line="276" w:lineRule="auto"/>
        <w:rPr>
          <w:rFonts w:ascii="Arial" w:hAnsi="Arial" w:cs="Arial"/>
          <w:sz w:val="22"/>
          <w:szCs w:val="22"/>
          <w:lang w:val="es-AR"/>
        </w:rPr>
      </w:pPr>
      <w:r w:rsidRPr="00225D32">
        <w:rPr>
          <w:rFonts w:ascii="Arial" w:hAnsi="Arial" w:cs="Arial"/>
          <w:sz w:val="22"/>
          <w:szCs w:val="22"/>
          <w:lang w:val="es-AR"/>
        </w:rPr>
        <w:t>II.1 Descripción de los Programas</w:t>
      </w:r>
    </w:p>
    <w:p w:rsidR="000C6BDD" w:rsidRPr="00225D32" w:rsidRDefault="000C6BDD" w:rsidP="00AA3706">
      <w:pPr>
        <w:spacing w:line="276" w:lineRule="auto"/>
        <w:rPr>
          <w:rFonts w:ascii="Arial" w:hAnsi="Arial" w:cs="Arial"/>
          <w:lang w:val="es-AR"/>
        </w:rPr>
      </w:pPr>
    </w:p>
    <w:p w:rsidR="000C6BDD" w:rsidRPr="00225D32" w:rsidRDefault="000C6BDD" w:rsidP="00131A45">
      <w:pPr>
        <w:spacing w:line="276" w:lineRule="auto"/>
        <w:ind w:firstLine="0"/>
        <w:rPr>
          <w:rFonts w:ascii="Arial" w:hAnsi="Arial" w:cs="Arial"/>
          <w:lang w:val="es-AR"/>
        </w:rPr>
      </w:pPr>
      <w:r w:rsidRPr="00225D32">
        <w:rPr>
          <w:rFonts w:ascii="Arial" w:hAnsi="Arial" w:cs="Arial"/>
          <w:lang w:val="es-AR"/>
        </w:rPr>
        <w:t xml:space="preserve">El Programa Bono Vida Mejor es un programa de transferencias condicionadas que tiene como objetivo romper con el ciclo inter-generacional de la pobreza a través de la acumulación de capital humano. A partir de 2014, sucedió a un programa anterior creado en mayo del año 2010, denominado “Bono 10.000”. La principal diferencia con su antecesor, es que actualmente el programa entrega una transferencia de hasta Lps. 7.500 (equivalente a unos US$340 anuales) por hogar beneficiario, lo cual representa aproximadamente el 6,5% y 19% del ingreso de los hogares en pobreza y pobreza extrema, respectivamente. Anteriormente, ese monto era superior. </w:t>
      </w:r>
      <w:r w:rsidRPr="00225D32">
        <w:rPr>
          <w:rFonts w:ascii="Arial" w:hAnsi="Arial" w:cs="Arial"/>
          <w:lang w:val="es-ES"/>
        </w:rPr>
        <w:t>El programa ha condicionado las transferencias monetarias al cumplimiento de compromisos en asistencia escolar y al uso de servicios preventivos de salud.</w:t>
      </w:r>
    </w:p>
    <w:p w:rsidR="00B168DB" w:rsidRPr="00225D32" w:rsidRDefault="00B168DB" w:rsidP="00AA3706">
      <w:pPr>
        <w:spacing w:line="276" w:lineRule="auto"/>
        <w:ind w:firstLine="0"/>
        <w:rPr>
          <w:rFonts w:ascii="Arial" w:hAnsi="Arial" w:cs="Arial"/>
          <w:lang w:val="es-AR"/>
        </w:rPr>
      </w:pPr>
    </w:p>
    <w:p w:rsidR="000C6BDD" w:rsidRPr="00225D32" w:rsidRDefault="000C6BDD" w:rsidP="00AA3706">
      <w:pPr>
        <w:spacing w:line="276" w:lineRule="auto"/>
        <w:ind w:firstLine="0"/>
        <w:rPr>
          <w:rFonts w:ascii="Arial" w:hAnsi="Arial" w:cs="Arial"/>
          <w:lang w:val="es-AR"/>
        </w:rPr>
      </w:pPr>
      <w:r w:rsidRPr="00225D32">
        <w:rPr>
          <w:rFonts w:ascii="Arial" w:hAnsi="Arial" w:cs="Arial"/>
          <w:lang w:val="es-AR"/>
        </w:rPr>
        <w:t>Las corresponsabilidades establecidas abarcan las áreas de salud y de educación. En el caso de niños de entre 7 y 18 años, deben ser incorporados al sistema escolar básico. Para considerar cumplida la condicionalidad, deben estén matriculados en centros escolares del sistema público nacional (modalidad formal o no formal) y alcanzar una asistencia del 80% durante el año lectivo. Dado que el beneficio alcanza hasta a dos niños por hogar, la condición de cumplimiento está dada para al menos dos menores. Debe mencionarse que, en aras de reducir la deserción escolar en el tercer ciclo, las transferencias son mayores para los niños en edad de cursarlo. En lo referido a salud, los hogares con niños menores de 6 años deben inscribirse al centro de salud y cumplir con el calendario de chequeos médicos y vacunas. Al igual que en el componente de educación, el beneficio alcanza a un máximo de dos niños por hogar.</w:t>
      </w:r>
    </w:p>
    <w:p w:rsidR="000C6BDD" w:rsidRPr="00225D32" w:rsidRDefault="000C6BDD" w:rsidP="00AA3706">
      <w:pPr>
        <w:spacing w:line="276" w:lineRule="auto"/>
        <w:rPr>
          <w:rFonts w:ascii="Arial" w:hAnsi="Arial" w:cs="Arial"/>
          <w:lang w:val="es-AR"/>
        </w:rPr>
      </w:pPr>
    </w:p>
    <w:p w:rsidR="000C6BDD" w:rsidRPr="00225D32" w:rsidRDefault="000C6BDD" w:rsidP="00AA3706">
      <w:pPr>
        <w:spacing w:line="276" w:lineRule="auto"/>
        <w:ind w:firstLine="0"/>
        <w:rPr>
          <w:rFonts w:ascii="Arial" w:hAnsi="Arial" w:cs="Arial"/>
          <w:lang w:val="es-AR"/>
        </w:rPr>
      </w:pPr>
      <w:r w:rsidRPr="00225D32">
        <w:rPr>
          <w:rFonts w:ascii="Arial" w:hAnsi="Arial" w:cs="Arial"/>
          <w:lang w:val="es-AR"/>
        </w:rPr>
        <w:t>Paralelamente a la implementación del Bono 10mil/BVM con financiamiento BID y BIRF, el GoH impulsó otro programa de transferencias monetarias condicionadas, el Bono Vida Mejor Urbano. Esta intervención estuvo financiada inicialmente por el BCIE y luego pasó a serlo con recursos propios. La principal diferencia, como se desprende de su nombre es que está focalizado en zonas urbanas. Consecuentemente, al existir en las ciudades mejor cobertura hospitalaria y de centros de atención primaria, la transferencia no cuenta con un componente asociado a corresponsabilidades de salud. Asimismo, los montos de las transferencias por corresponsabilidades de educación y el monto básico, son levemente distintos respecto del BVM.</w:t>
      </w:r>
    </w:p>
    <w:p w:rsidR="000C6BDD" w:rsidRPr="00225D32" w:rsidRDefault="000C6BDD" w:rsidP="00AA3706">
      <w:pPr>
        <w:spacing w:line="276" w:lineRule="auto"/>
        <w:rPr>
          <w:rFonts w:ascii="Arial" w:hAnsi="Arial" w:cs="Arial"/>
          <w:lang w:val="es-AR"/>
        </w:rPr>
      </w:pPr>
    </w:p>
    <w:p w:rsidR="00491C5F" w:rsidRPr="00225D32" w:rsidRDefault="000C6BDD" w:rsidP="00AA3706">
      <w:pPr>
        <w:spacing w:line="276" w:lineRule="auto"/>
        <w:ind w:firstLine="0"/>
        <w:rPr>
          <w:rFonts w:ascii="Arial" w:hAnsi="Arial" w:cs="Arial"/>
          <w:lang w:val="es-AR"/>
        </w:rPr>
      </w:pPr>
      <w:r w:rsidRPr="00225D32">
        <w:rPr>
          <w:rFonts w:ascii="Arial" w:hAnsi="Arial" w:cs="Arial"/>
          <w:lang w:val="es-AR"/>
        </w:rPr>
        <w:t>Cabe destacar que, como se observa en el siguiente</w:t>
      </w:r>
      <w:r w:rsidR="00491C5F" w:rsidRPr="00225D32">
        <w:rPr>
          <w:rFonts w:ascii="Arial" w:hAnsi="Arial" w:cs="Arial"/>
          <w:lang w:val="es-AR"/>
        </w:rPr>
        <w:t xml:space="preserve"> </w:t>
      </w:r>
      <w:r w:rsidR="00491C5F" w:rsidRPr="00225D32">
        <w:rPr>
          <w:rFonts w:ascii="Arial" w:hAnsi="Arial" w:cs="Arial"/>
          <w:lang w:val="es-AR"/>
        </w:rPr>
        <w:fldChar w:fldCharType="begin"/>
      </w:r>
      <w:r w:rsidR="00491C5F" w:rsidRPr="00225D32">
        <w:rPr>
          <w:rFonts w:ascii="Arial" w:hAnsi="Arial" w:cs="Arial"/>
          <w:lang w:val="es-AR"/>
        </w:rPr>
        <w:instrText xml:space="preserve"> REF _Ref447013315 \h </w:instrText>
      </w:r>
      <w:r w:rsidR="00AA3706" w:rsidRPr="00225D32">
        <w:rPr>
          <w:rFonts w:ascii="Arial" w:hAnsi="Arial" w:cs="Arial"/>
          <w:lang w:val="es-AR"/>
        </w:rPr>
        <w:instrText xml:space="preserve"> \* MERGEFORMAT </w:instrText>
      </w:r>
      <w:r w:rsidR="00491C5F" w:rsidRPr="00225D32">
        <w:rPr>
          <w:rFonts w:ascii="Arial" w:hAnsi="Arial" w:cs="Arial"/>
          <w:lang w:val="es-AR"/>
        </w:rPr>
      </w:r>
      <w:r w:rsidR="00491C5F" w:rsidRPr="00225D32">
        <w:rPr>
          <w:rFonts w:ascii="Arial" w:hAnsi="Arial" w:cs="Arial"/>
          <w:lang w:val="es-AR"/>
        </w:rPr>
        <w:fldChar w:fldCharType="separate"/>
      </w:r>
      <w:r w:rsidR="00491C5F" w:rsidRPr="00225D32">
        <w:rPr>
          <w:rFonts w:ascii="Arial" w:hAnsi="Arial" w:cs="Arial"/>
          <w:lang w:val="es-AR"/>
        </w:rPr>
        <w:t xml:space="preserve">Cuadro </w:t>
      </w:r>
      <w:r w:rsidR="00491C5F" w:rsidRPr="00225D32">
        <w:rPr>
          <w:rFonts w:ascii="Arial" w:hAnsi="Arial" w:cs="Arial"/>
          <w:noProof/>
          <w:lang w:val="es-AR"/>
        </w:rPr>
        <w:t>5</w:t>
      </w:r>
      <w:r w:rsidR="00491C5F" w:rsidRPr="00225D32">
        <w:rPr>
          <w:rFonts w:ascii="Arial" w:hAnsi="Arial" w:cs="Arial"/>
          <w:lang w:val="es-AR"/>
        </w:rPr>
        <w:fldChar w:fldCharType="end"/>
      </w:r>
      <w:r w:rsidRPr="00225D32">
        <w:rPr>
          <w:rFonts w:ascii="Arial" w:hAnsi="Arial" w:cs="Arial"/>
          <w:lang w:val="es-AR"/>
        </w:rPr>
        <w:t>, los pagos de ambos bonos han sido menores que el máximo</w:t>
      </w:r>
      <w:r w:rsidR="00491C5F" w:rsidRPr="00225D32">
        <w:rPr>
          <w:rFonts w:ascii="Arial" w:hAnsi="Arial" w:cs="Arial"/>
          <w:lang w:val="es-AR"/>
        </w:rPr>
        <w:t xml:space="preserve"> posible</w:t>
      </w:r>
      <w:r w:rsidRPr="00225D32">
        <w:rPr>
          <w:rFonts w:ascii="Arial" w:hAnsi="Arial" w:cs="Arial"/>
          <w:lang w:val="es-AR"/>
        </w:rPr>
        <w:t>.</w:t>
      </w:r>
      <w:r w:rsidR="00491C5F" w:rsidRPr="00225D32">
        <w:rPr>
          <w:rFonts w:ascii="Arial" w:hAnsi="Arial" w:cs="Arial"/>
          <w:lang w:val="es-AR"/>
        </w:rPr>
        <w:t xml:space="preserve"> Esta situación se acentúa notoriamente en el Bono Urbano para el cual los pagos anuales por hogar no han superado un promedio de 2.600 lempiras. Esto implica que, aun cuando la meta de beneficiarios para los próximos años sea menor que en el rural, el crecimiento del presupuesto destinado </w:t>
      </w:r>
      <w:r w:rsidR="00491C5F" w:rsidRPr="00225D32">
        <w:rPr>
          <w:rFonts w:ascii="Arial" w:hAnsi="Arial" w:cs="Arial"/>
          <w:lang w:val="es-AR"/>
        </w:rPr>
        <w:lastRenderedPageBreak/>
        <w:t>tendrá que ser proporcionalmente mayor para adecuarla a la normativa del Bono Vida Mejor.</w:t>
      </w:r>
    </w:p>
    <w:p w:rsidR="000C6BDD" w:rsidRPr="00833956" w:rsidRDefault="000C6BDD" w:rsidP="00AA3706">
      <w:pPr>
        <w:spacing w:line="276" w:lineRule="auto"/>
        <w:ind w:firstLine="0"/>
        <w:rPr>
          <w:rFonts w:cs="Calibri"/>
          <w:szCs w:val="24"/>
          <w:shd w:val="clear" w:color="auto" w:fill="FFFF00"/>
          <w:lang w:val="es-AR"/>
        </w:rPr>
      </w:pPr>
      <w:r w:rsidRPr="00833956">
        <w:rPr>
          <w:rFonts w:cs="Calibri"/>
          <w:szCs w:val="24"/>
          <w:lang w:val="es-AR"/>
        </w:rPr>
        <w:t xml:space="preserve"> </w:t>
      </w:r>
    </w:p>
    <w:p w:rsidR="00491C5F" w:rsidRPr="00225D32" w:rsidRDefault="00491C5F" w:rsidP="003D629E">
      <w:pPr>
        <w:pStyle w:val="Caption"/>
        <w:keepNext/>
        <w:spacing w:line="276" w:lineRule="auto"/>
        <w:ind w:firstLine="0"/>
        <w:jc w:val="center"/>
        <w:rPr>
          <w:rFonts w:ascii="Arial" w:hAnsi="Arial" w:cs="Arial"/>
          <w:lang w:val="es-AR"/>
        </w:rPr>
      </w:pPr>
      <w:bookmarkStart w:id="9" w:name="_Ref447013315"/>
      <w:r w:rsidRPr="00225D32">
        <w:rPr>
          <w:rFonts w:ascii="Arial" w:hAnsi="Arial" w:cs="Arial"/>
          <w:lang w:val="es-AR"/>
        </w:rPr>
        <w:t xml:space="preserve">Cuadro </w:t>
      </w:r>
      <w:r w:rsidRPr="00225D32">
        <w:rPr>
          <w:rFonts w:ascii="Arial" w:hAnsi="Arial" w:cs="Arial"/>
        </w:rPr>
        <w:fldChar w:fldCharType="begin"/>
      </w:r>
      <w:r w:rsidRPr="00225D32">
        <w:rPr>
          <w:rFonts w:ascii="Arial" w:hAnsi="Arial" w:cs="Arial"/>
          <w:lang w:val="es-AR"/>
        </w:rPr>
        <w:instrText xml:space="preserve"> SEQ Cuadro \* ARABIC </w:instrText>
      </w:r>
      <w:r w:rsidRPr="00225D32">
        <w:rPr>
          <w:rFonts w:ascii="Arial" w:hAnsi="Arial" w:cs="Arial"/>
        </w:rPr>
        <w:fldChar w:fldCharType="separate"/>
      </w:r>
      <w:r w:rsidR="009C1E0D" w:rsidRPr="00225D32">
        <w:rPr>
          <w:rFonts w:ascii="Arial" w:hAnsi="Arial" w:cs="Arial"/>
          <w:noProof/>
          <w:lang w:val="es-AR"/>
        </w:rPr>
        <w:t>5</w:t>
      </w:r>
      <w:r w:rsidRPr="00225D32">
        <w:rPr>
          <w:rFonts w:ascii="Arial" w:hAnsi="Arial" w:cs="Arial"/>
        </w:rPr>
        <w:fldChar w:fldCharType="end"/>
      </w:r>
      <w:bookmarkEnd w:id="9"/>
      <w:r w:rsidRPr="00225D32">
        <w:rPr>
          <w:rFonts w:ascii="Arial" w:hAnsi="Arial" w:cs="Arial"/>
          <w:lang w:val="es-AR"/>
        </w:rPr>
        <w:t>: Evolución de transferencias, hogares beneficiarios y transferencias promedio por hogar (2011 – 2015)</w:t>
      </w:r>
    </w:p>
    <w:p w:rsidR="000C6BDD" w:rsidRPr="00833956" w:rsidRDefault="00FD4DBE" w:rsidP="00AA3706">
      <w:pPr>
        <w:spacing w:line="276" w:lineRule="auto"/>
        <w:ind w:firstLine="0"/>
        <w:rPr>
          <w:rFonts w:cs="Calibri"/>
          <w:szCs w:val="24"/>
          <w:lang w:val="es-AR"/>
        </w:rPr>
      </w:pPr>
      <w:r>
        <w:rPr>
          <w:noProof/>
          <w:lang w:val="en-US" w:eastAsia="en-US"/>
        </w:rPr>
        <w:drawing>
          <wp:inline distT="0" distB="0" distL="0" distR="0">
            <wp:extent cx="5610225" cy="942975"/>
            <wp:effectExtent l="0" t="0" r="9525" b="9525"/>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10225" cy="942975"/>
                    </a:xfrm>
                    <a:prstGeom prst="rect">
                      <a:avLst/>
                    </a:prstGeom>
                    <a:noFill/>
                    <a:ln>
                      <a:noFill/>
                    </a:ln>
                  </pic:spPr>
                </pic:pic>
              </a:graphicData>
            </a:graphic>
          </wp:inline>
        </w:drawing>
      </w:r>
    </w:p>
    <w:p w:rsidR="00491C5F" w:rsidRPr="00225D32" w:rsidRDefault="00491C5F" w:rsidP="00AA3706">
      <w:pPr>
        <w:spacing w:line="276" w:lineRule="auto"/>
        <w:ind w:firstLine="0"/>
        <w:rPr>
          <w:rFonts w:ascii="Arial" w:hAnsi="Arial" w:cs="Arial"/>
          <w:sz w:val="18"/>
          <w:lang w:val="es-AR"/>
        </w:rPr>
      </w:pPr>
      <w:r w:rsidRPr="00225D32">
        <w:rPr>
          <w:rFonts w:ascii="Arial" w:hAnsi="Arial" w:cs="Arial"/>
          <w:sz w:val="18"/>
          <w:lang w:val="es-AR"/>
        </w:rPr>
        <w:t>Fuente: Elaboración propia en base a datos suministrados por la SDIS</w:t>
      </w:r>
    </w:p>
    <w:p w:rsidR="00491C5F" w:rsidRPr="00225D32" w:rsidRDefault="00491C5F" w:rsidP="00AA3706">
      <w:pPr>
        <w:spacing w:line="276" w:lineRule="auto"/>
        <w:ind w:firstLine="0"/>
        <w:rPr>
          <w:rFonts w:ascii="Arial" w:hAnsi="Arial" w:cs="Arial"/>
          <w:sz w:val="18"/>
          <w:lang w:val="es-AR"/>
        </w:rPr>
      </w:pPr>
    </w:p>
    <w:p w:rsidR="000C6BDD" w:rsidRPr="00225D32" w:rsidRDefault="000C6BDD" w:rsidP="00AA3706">
      <w:pPr>
        <w:spacing w:line="276" w:lineRule="auto"/>
        <w:ind w:firstLine="0"/>
        <w:rPr>
          <w:rFonts w:ascii="Arial" w:hAnsi="Arial" w:cs="Arial"/>
          <w:color w:val="000000"/>
          <w:lang w:val="es-AR"/>
        </w:rPr>
      </w:pPr>
      <w:r w:rsidRPr="00225D32">
        <w:rPr>
          <w:rFonts w:ascii="Arial" w:hAnsi="Arial" w:cs="Arial"/>
          <w:lang w:val="es-AR"/>
        </w:rPr>
        <w:t xml:space="preserve">El Programa de Gestores Descentralizados de Salud (PGDS) </w:t>
      </w:r>
      <w:r w:rsidR="00117360" w:rsidRPr="00225D32">
        <w:rPr>
          <w:rFonts w:ascii="Arial" w:hAnsi="Arial" w:cs="Arial"/>
          <w:lang w:val="es-AR"/>
        </w:rPr>
        <w:t>continúa</w:t>
      </w:r>
      <w:r w:rsidRPr="00225D32">
        <w:rPr>
          <w:rFonts w:ascii="Arial" w:hAnsi="Arial" w:cs="Arial"/>
          <w:lang w:val="es-AR"/>
        </w:rPr>
        <w:t xml:space="preserve"> una política de de</w:t>
      </w:r>
      <w:r w:rsidR="00117360" w:rsidRPr="00225D32">
        <w:rPr>
          <w:rFonts w:ascii="Arial" w:hAnsi="Arial" w:cs="Arial"/>
          <w:lang w:val="es-AR"/>
        </w:rPr>
        <w:t>s</w:t>
      </w:r>
      <w:r w:rsidRPr="00225D32">
        <w:rPr>
          <w:rFonts w:ascii="Arial" w:hAnsi="Arial" w:cs="Arial"/>
          <w:lang w:val="es-AR"/>
        </w:rPr>
        <w:t>centralización de servicios de salud iniciada en 2004. Este proceso combinó el traspaso de la provisión de servicios y manejo de establecimientos a grupos locales con la cesión de espacios de poder a los municipios en relación a la toma de decisiones. Los elementos que caracterizan a estas inic</w:t>
      </w:r>
      <w:r w:rsidRPr="00225D32">
        <w:rPr>
          <w:rFonts w:ascii="Arial" w:hAnsi="Arial" w:cs="Arial"/>
          <w:color w:val="000000"/>
          <w:lang w:val="es-AR"/>
        </w:rPr>
        <w:t xml:space="preserve">iativas son una Prestación Básica de Salud explícita, la contratación de gestores y el pago en función de una población cubierta, con el objetivo de incrementar la cobertura en el </w:t>
      </w:r>
      <w:r w:rsidR="003E0644" w:rsidRPr="00225D32">
        <w:rPr>
          <w:rFonts w:ascii="Arial" w:hAnsi="Arial" w:cs="Arial"/>
          <w:color w:val="000000"/>
          <w:lang w:val="es-AR"/>
        </w:rPr>
        <w:t>país</w:t>
      </w:r>
      <w:r w:rsidRPr="00225D32">
        <w:rPr>
          <w:rFonts w:ascii="Arial" w:hAnsi="Arial" w:cs="Arial"/>
          <w:color w:val="000000"/>
          <w:lang w:val="es-AR"/>
        </w:rPr>
        <w:t xml:space="preserve">. Como  resultado, se ha logrado poner bajo la órbita de esta política, ha sido el incremento de la cobertura de los servicios descentralizados alcanzando a diciembre de 2015 a 1.386.140 personas en 93 municipios de 15 departamentos con 37 gestores.   </w:t>
      </w:r>
    </w:p>
    <w:p w:rsidR="00B168DB" w:rsidRPr="00225D32" w:rsidRDefault="00B168DB" w:rsidP="00AA3706">
      <w:pPr>
        <w:spacing w:before="120" w:after="120" w:line="276" w:lineRule="auto"/>
        <w:ind w:firstLine="0"/>
        <w:rPr>
          <w:rFonts w:ascii="Arial" w:hAnsi="Arial" w:cs="Arial"/>
          <w:color w:val="000000"/>
          <w:lang w:val="es-AR"/>
        </w:rPr>
      </w:pPr>
    </w:p>
    <w:p w:rsidR="000C6BDD" w:rsidRPr="00225D32" w:rsidRDefault="000C6BDD" w:rsidP="00AA3706">
      <w:pPr>
        <w:spacing w:before="120" w:after="120" w:line="276" w:lineRule="auto"/>
        <w:ind w:firstLine="0"/>
        <w:rPr>
          <w:rFonts w:ascii="Arial" w:hAnsi="Arial" w:cs="Arial"/>
          <w:color w:val="000000"/>
          <w:lang w:val="es-AR"/>
        </w:rPr>
      </w:pPr>
      <w:r w:rsidRPr="00225D32">
        <w:rPr>
          <w:rFonts w:ascii="Arial" w:hAnsi="Arial" w:cs="Arial"/>
          <w:color w:val="000000"/>
          <w:lang w:val="es-AR"/>
        </w:rPr>
        <w:t>Para prestar el PBS se contratan entidades locales públicas y privadas sin fines de lucro (organizaciones de la sociedad civil o de las corporaciones municipales), a las que a través de un mecanismo de pago capitado, se les asignan recursos a cambio de que garantizaran la atención de la población adscrita (excepto los partos, que se pagan por evento). Estos gestores pueden ser de tres tipos distintos: Organizaciones de Base Comunitarias (OBC); Organizaciones No Gubernamentales (ONGs) y Municipios. La retribución a los gestores por los servicios ofertados a las comunidades de su responsabilidad, aparte del pago por capita y por parto mencionado, incluye incentivos a la producción bajo una programación de actividades. Parte de la capita es pagada en especies mediante la provisión de recursos humanos contratados a nivel central por la Secretaría de Salud. Adicionalmente, la Secretaría entrega otros insumos por fuera de las cápitas, entre los que se destaca la provisión de las vacunas.</w:t>
      </w:r>
    </w:p>
    <w:p w:rsidR="00491C5F" w:rsidRPr="00225D32" w:rsidRDefault="00491C5F" w:rsidP="00AA3706">
      <w:pPr>
        <w:spacing w:before="120" w:after="120" w:line="276" w:lineRule="auto"/>
        <w:ind w:firstLine="0"/>
        <w:rPr>
          <w:rFonts w:ascii="Arial" w:hAnsi="Arial" w:cs="Arial"/>
          <w:color w:val="000000"/>
          <w:lang w:val="es-AR"/>
        </w:rPr>
      </w:pPr>
    </w:p>
    <w:p w:rsidR="00117360" w:rsidRPr="00225D32" w:rsidRDefault="000C6BDD" w:rsidP="00AA3706">
      <w:pPr>
        <w:spacing w:before="120" w:after="120" w:line="276" w:lineRule="auto"/>
        <w:ind w:firstLine="0"/>
        <w:rPr>
          <w:rFonts w:ascii="Arial" w:hAnsi="Arial" w:cs="Arial"/>
          <w:color w:val="000000"/>
          <w:lang w:val="es-AR"/>
        </w:rPr>
      </w:pPr>
      <w:r w:rsidRPr="00225D32">
        <w:rPr>
          <w:rFonts w:ascii="Arial" w:hAnsi="Arial" w:cs="Arial"/>
          <w:color w:val="000000"/>
          <w:lang w:val="es-AR"/>
        </w:rPr>
        <w:t xml:space="preserve">La provisión de los servicios se brinda a través de distintas unidades de salud: CESAMO -centros de salud con médico y odontólogo-, CESAR -con auxiliar de enfermería-, y CMI -clínicas materno-infantiles. En algunos sitios las agencias contratadas utilizan los locales facilitados por la Secretaría de Salud que no estaban utilizados, en otros casos se encargan de contratar locales que son habilitados para la provisión de servicios, así como de su mantenimiento. Cada Unidad de Salud tiene un responsable que se encarga del </w:t>
      </w:r>
      <w:r w:rsidRPr="00225D32">
        <w:rPr>
          <w:rFonts w:ascii="Arial" w:hAnsi="Arial" w:cs="Arial"/>
          <w:color w:val="000000"/>
          <w:lang w:val="es-AR"/>
        </w:rPr>
        <w:lastRenderedPageBreak/>
        <w:t>envío de la información. Las diferentes unidades de salud, tienen una cartera específica de prestación, varia por la complejidad de cada una de ellas</w:t>
      </w:r>
      <w:r w:rsidR="00117360" w:rsidRPr="00225D32">
        <w:rPr>
          <w:rFonts w:ascii="Arial" w:hAnsi="Arial" w:cs="Arial"/>
          <w:color w:val="000000"/>
          <w:lang w:val="es-AR"/>
        </w:rPr>
        <w:t>.</w:t>
      </w:r>
    </w:p>
    <w:p w:rsidR="00C847C2" w:rsidRDefault="00C847C2" w:rsidP="00AA3706">
      <w:pPr>
        <w:spacing w:before="120" w:after="120" w:line="276" w:lineRule="auto"/>
        <w:ind w:firstLine="0"/>
        <w:rPr>
          <w:rFonts w:cs="Arial"/>
          <w:color w:val="000000"/>
          <w:lang w:val="es-AR"/>
        </w:rPr>
      </w:pPr>
      <w:r>
        <w:rPr>
          <w:rFonts w:cs="Arial"/>
          <w:color w:val="000000"/>
          <w:lang w:val="es-AR"/>
        </w:rPr>
        <w:t xml:space="preserve">En el </w:t>
      </w:r>
      <w:r>
        <w:rPr>
          <w:rFonts w:cs="Arial"/>
          <w:color w:val="000000"/>
          <w:lang w:val="es-AR"/>
        </w:rPr>
        <w:fldChar w:fldCharType="begin"/>
      </w:r>
      <w:r>
        <w:rPr>
          <w:rFonts w:cs="Arial"/>
          <w:color w:val="000000"/>
          <w:lang w:val="es-AR"/>
        </w:rPr>
        <w:instrText xml:space="preserve"> REF _Ref447015737 \h </w:instrText>
      </w:r>
      <w:r w:rsidR="00AA3706">
        <w:rPr>
          <w:rFonts w:cs="Arial"/>
          <w:color w:val="000000"/>
          <w:lang w:val="es-AR"/>
        </w:rPr>
        <w:instrText xml:space="preserve"> \* MERGEFORMAT </w:instrText>
      </w:r>
      <w:r>
        <w:rPr>
          <w:rFonts w:cs="Arial"/>
          <w:color w:val="000000"/>
          <w:lang w:val="es-AR"/>
        </w:rPr>
      </w:r>
      <w:r>
        <w:rPr>
          <w:rFonts w:cs="Arial"/>
          <w:color w:val="000000"/>
          <w:lang w:val="es-AR"/>
        </w:rPr>
        <w:fldChar w:fldCharType="separate"/>
      </w:r>
      <w:r w:rsidRPr="00E3336C">
        <w:rPr>
          <w:lang w:val="es-AR"/>
        </w:rPr>
        <w:t xml:space="preserve">Cuadro </w:t>
      </w:r>
      <w:r w:rsidRPr="00E3336C">
        <w:rPr>
          <w:noProof/>
          <w:lang w:val="es-AR"/>
        </w:rPr>
        <w:t>6</w:t>
      </w:r>
      <w:r>
        <w:rPr>
          <w:rFonts w:cs="Arial"/>
          <w:color w:val="000000"/>
          <w:lang w:val="es-AR"/>
        </w:rPr>
        <w:fldChar w:fldCharType="end"/>
      </w:r>
      <w:r>
        <w:rPr>
          <w:rFonts w:cs="Arial"/>
          <w:color w:val="000000"/>
          <w:lang w:val="es-AR"/>
        </w:rPr>
        <w:t xml:space="preserve"> se puede observar que la evolución del programa, tanto en términos de montos, gestores, beneficiarios como municipios, ha sido constante y gradual desde el año 2011. En este sentido, las metas propuestas se adecuan a la expansión previa que ha experimentado la intervención de política pública.</w:t>
      </w:r>
    </w:p>
    <w:p w:rsidR="00E3336C" w:rsidRDefault="00E3336C" w:rsidP="00AA3706">
      <w:pPr>
        <w:pStyle w:val="Caption"/>
        <w:keepNext/>
        <w:spacing w:line="276" w:lineRule="auto"/>
        <w:ind w:firstLine="0"/>
        <w:rPr>
          <w:lang w:val="es-AR"/>
        </w:rPr>
      </w:pPr>
    </w:p>
    <w:p w:rsidR="00E3336C" w:rsidRPr="00225D32" w:rsidRDefault="00E3336C" w:rsidP="003D629E">
      <w:pPr>
        <w:pStyle w:val="Caption"/>
        <w:keepNext/>
        <w:spacing w:line="276" w:lineRule="auto"/>
        <w:ind w:firstLine="0"/>
        <w:jc w:val="center"/>
        <w:rPr>
          <w:rFonts w:ascii="Arial" w:hAnsi="Arial" w:cs="Arial"/>
          <w:lang w:val="es-AR"/>
        </w:rPr>
      </w:pPr>
      <w:bookmarkStart w:id="10" w:name="_Ref447015737"/>
      <w:r w:rsidRPr="00225D32">
        <w:rPr>
          <w:rFonts w:ascii="Arial" w:hAnsi="Arial" w:cs="Arial"/>
          <w:lang w:val="es-AR"/>
        </w:rPr>
        <w:t xml:space="preserve">Cuadro </w:t>
      </w:r>
      <w:r w:rsidRPr="00225D32">
        <w:rPr>
          <w:rFonts w:ascii="Arial" w:hAnsi="Arial" w:cs="Arial"/>
        </w:rPr>
        <w:fldChar w:fldCharType="begin"/>
      </w:r>
      <w:r w:rsidRPr="00225D32">
        <w:rPr>
          <w:rFonts w:ascii="Arial" w:hAnsi="Arial" w:cs="Arial"/>
          <w:lang w:val="es-AR"/>
        </w:rPr>
        <w:instrText xml:space="preserve"> SEQ Cuadro \* ARABIC </w:instrText>
      </w:r>
      <w:r w:rsidRPr="00225D32">
        <w:rPr>
          <w:rFonts w:ascii="Arial" w:hAnsi="Arial" w:cs="Arial"/>
        </w:rPr>
        <w:fldChar w:fldCharType="separate"/>
      </w:r>
      <w:r w:rsidR="009C1E0D" w:rsidRPr="00225D32">
        <w:rPr>
          <w:rFonts w:ascii="Arial" w:hAnsi="Arial" w:cs="Arial"/>
          <w:noProof/>
          <w:lang w:val="es-AR"/>
        </w:rPr>
        <w:t>6</w:t>
      </w:r>
      <w:r w:rsidRPr="00225D32">
        <w:rPr>
          <w:rFonts w:ascii="Arial" w:hAnsi="Arial" w:cs="Arial"/>
        </w:rPr>
        <w:fldChar w:fldCharType="end"/>
      </w:r>
      <w:bookmarkEnd w:id="10"/>
      <w:r w:rsidRPr="00225D32">
        <w:rPr>
          <w:rFonts w:ascii="Arial" w:hAnsi="Arial" w:cs="Arial"/>
          <w:lang w:val="es-AR"/>
        </w:rPr>
        <w:t>: Evolución de cobertura y financiamiento de la prestación descentralizada de servicios de salud de primer nivel (2011-2015)</w:t>
      </w:r>
    </w:p>
    <w:p w:rsidR="000C6BDD" w:rsidRPr="00833956" w:rsidRDefault="00FD4DBE" w:rsidP="00AA3706">
      <w:pPr>
        <w:spacing w:before="120" w:after="120" w:line="276" w:lineRule="auto"/>
        <w:ind w:firstLine="0"/>
        <w:rPr>
          <w:rFonts w:ascii="Cambria" w:hAnsi="Cambria" w:cs="Cambria"/>
          <w:b/>
          <w:bCs/>
          <w:color w:val="4F81BD"/>
          <w:sz w:val="26"/>
          <w:szCs w:val="26"/>
          <w:lang w:val="es-AR"/>
        </w:rPr>
      </w:pPr>
      <w:r>
        <w:rPr>
          <w:noProof/>
          <w:lang w:val="en-US" w:eastAsia="en-US"/>
        </w:rPr>
        <w:drawing>
          <wp:inline distT="0" distB="0" distL="0" distR="0">
            <wp:extent cx="5600700" cy="1228725"/>
            <wp:effectExtent l="0" t="0" r="0" b="9525"/>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600700" cy="1228725"/>
                    </a:xfrm>
                    <a:prstGeom prst="rect">
                      <a:avLst/>
                    </a:prstGeom>
                    <a:noFill/>
                    <a:ln>
                      <a:noFill/>
                    </a:ln>
                  </pic:spPr>
                </pic:pic>
              </a:graphicData>
            </a:graphic>
          </wp:inline>
        </w:drawing>
      </w:r>
    </w:p>
    <w:p w:rsidR="00E3336C" w:rsidRPr="00225D32" w:rsidRDefault="00E3336C" w:rsidP="00AA3706">
      <w:pPr>
        <w:spacing w:line="276" w:lineRule="auto"/>
        <w:ind w:firstLine="0"/>
        <w:rPr>
          <w:rFonts w:ascii="Arial" w:hAnsi="Arial" w:cs="Arial"/>
          <w:sz w:val="18"/>
          <w:lang w:val="es-AR"/>
        </w:rPr>
      </w:pPr>
      <w:r w:rsidRPr="00225D32">
        <w:rPr>
          <w:rFonts w:ascii="Arial" w:hAnsi="Arial" w:cs="Arial"/>
          <w:sz w:val="18"/>
          <w:lang w:val="es-AR"/>
        </w:rPr>
        <w:t>Fuente: Elaboración propia en base a datos suministrados por la UGD</w:t>
      </w:r>
    </w:p>
    <w:p w:rsidR="000C6BDD" w:rsidRPr="00833956" w:rsidRDefault="000C6BDD" w:rsidP="00AA3706">
      <w:pPr>
        <w:spacing w:before="120" w:after="120" w:line="276" w:lineRule="auto"/>
        <w:ind w:firstLine="0"/>
        <w:rPr>
          <w:rFonts w:ascii="Cambria" w:hAnsi="Cambria" w:cs="Cambria"/>
          <w:b/>
          <w:bCs/>
          <w:color w:val="4F81BD"/>
          <w:sz w:val="26"/>
          <w:szCs w:val="26"/>
          <w:lang w:val="es-AR"/>
        </w:rPr>
      </w:pPr>
    </w:p>
    <w:p w:rsidR="000C6BDD" w:rsidRPr="00225D32" w:rsidRDefault="000C6BDD" w:rsidP="003F52E2">
      <w:pPr>
        <w:pStyle w:val="Heading2"/>
        <w:spacing w:line="276" w:lineRule="auto"/>
        <w:rPr>
          <w:rFonts w:ascii="Arial" w:hAnsi="Arial" w:cs="Arial"/>
          <w:sz w:val="22"/>
          <w:szCs w:val="22"/>
          <w:lang w:val="es-AR"/>
        </w:rPr>
      </w:pPr>
      <w:r w:rsidRPr="00225D32">
        <w:rPr>
          <w:rFonts w:ascii="Arial" w:hAnsi="Arial" w:cs="Arial"/>
          <w:sz w:val="22"/>
          <w:szCs w:val="22"/>
          <w:lang w:val="es-AR"/>
        </w:rPr>
        <w:t>II.2 ANÁLISIS DE SOSTENIBILIDAD FINANCIERA DE LOS PROGRAMAS.</w:t>
      </w:r>
    </w:p>
    <w:p w:rsidR="000C6BDD" w:rsidRPr="00225D32" w:rsidRDefault="000C6BDD" w:rsidP="00AA3706">
      <w:pPr>
        <w:pStyle w:val="Heading2"/>
        <w:spacing w:line="276" w:lineRule="auto"/>
        <w:rPr>
          <w:rFonts w:ascii="Arial" w:hAnsi="Arial" w:cs="Arial"/>
          <w:sz w:val="22"/>
          <w:szCs w:val="22"/>
          <w:lang w:val="es-AR"/>
        </w:rPr>
      </w:pPr>
    </w:p>
    <w:p w:rsidR="000C6BDD" w:rsidRPr="00225D32" w:rsidRDefault="000C6BDD" w:rsidP="00AA3706">
      <w:pPr>
        <w:spacing w:line="276" w:lineRule="auto"/>
        <w:ind w:firstLine="0"/>
        <w:rPr>
          <w:rFonts w:ascii="Arial" w:hAnsi="Arial" w:cs="Arial"/>
          <w:lang w:val="es-AR"/>
        </w:rPr>
      </w:pPr>
      <w:r w:rsidRPr="00225D32">
        <w:rPr>
          <w:rFonts w:ascii="Arial" w:hAnsi="Arial" w:cs="Arial"/>
          <w:lang w:val="es-AR"/>
        </w:rPr>
        <w:t>Antes de comenzar con el cálculo del espacio fiscal en Hondu</w:t>
      </w:r>
      <w:r w:rsidR="00CD7BBB" w:rsidRPr="00225D32">
        <w:rPr>
          <w:rFonts w:ascii="Arial" w:hAnsi="Arial" w:cs="Arial"/>
          <w:lang w:val="es-AR"/>
        </w:rPr>
        <w:t xml:space="preserve">ras, es decir la posibilidad del </w:t>
      </w:r>
      <w:r w:rsidRPr="00225D32">
        <w:rPr>
          <w:rFonts w:ascii="Arial" w:hAnsi="Arial" w:cs="Arial"/>
          <w:lang w:val="es-AR"/>
        </w:rPr>
        <w:t>país de financiar una expansión del gasto público sin entrar en una dinámica insostenible de la deuda pública como consecuencia de la expansión de cobertura de ambos programas, se describen los principales supuestos bajo los que se realizará el análisis</w:t>
      </w:r>
      <w:r w:rsidR="00AF0061" w:rsidRPr="00225D32">
        <w:rPr>
          <w:rFonts w:ascii="Arial" w:hAnsi="Arial" w:cs="Arial"/>
          <w:lang w:val="es-AR"/>
        </w:rPr>
        <w:t xml:space="preserve"> y los condicionantes en términos de acuerdos y normas que explican esos supuestos</w:t>
      </w:r>
      <w:r w:rsidRPr="00225D32">
        <w:rPr>
          <w:rFonts w:ascii="Arial" w:hAnsi="Arial" w:cs="Arial"/>
          <w:lang w:val="es-AR"/>
        </w:rPr>
        <w:t>.</w:t>
      </w:r>
    </w:p>
    <w:p w:rsidR="00AF0061" w:rsidRPr="00225D32" w:rsidRDefault="00AF0061" w:rsidP="00AA3706">
      <w:pPr>
        <w:spacing w:line="276" w:lineRule="auto"/>
        <w:ind w:firstLine="0"/>
        <w:rPr>
          <w:rFonts w:ascii="Arial" w:hAnsi="Arial" w:cs="Arial"/>
          <w:lang w:val="es-AR"/>
        </w:rPr>
      </w:pPr>
    </w:p>
    <w:p w:rsidR="00B168DB" w:rsidRPr="00225D32" w:rsidRDefault="00AF0061" w:rsidP="00AA3706">
      <w:pPr>
        <w:spacing w:line="276" w:lineRule="auto"/>
        <w:ind w:firstLine="0"/>
        <w:rPr>
          <w:rFonts w:ascii="Arial" w:hAnsi="Arial" w:cs="Arial"/>
          <w:lang w:val="es-AR"/>
        </w:rPr>
      </w:pPr>
      <w:r w:rsidRPr="00225D32">
        <w:rPr>
          <w:rFonts w:ascii="Arial" w:hAnsi="Arial" w:cs="Arial"/>
          <w:lang w:val="es-AR"/>
        </w:rPr>
        <w:t>El primero de estos condicionantes es el acuerdo con el FMI en torno al Article IV del organismo para Honduras. En este acuerdo se determinan una serie de metas para el comportamiento fiscal del país en base a ciertos supuestos sobre la evolución de las variables macroeconómicas. Nuestro ejercicio, en su escenario base, considerará que estas metas son alcanzadas bajo un marco establecido por el comportamiento de las variables asumido en el documento del FMI. La implicancia más importante de esta</w:t>
      </w:r>
      <w:r w:rsidR="00B168DB" w:rsidRPr="00225D32">
        <w:rPr>
          <w:rFonts w:ascii="Arial" w:hAnsi="Arial" w:cs="Arial"/>
          <w:lang w:val="es-AR"/>
        </w:rPr>
        <w:t xml:space="preserve"> metodología, es que el nivel de déficit a alcanzar, en torno al 2,7% del PBI, condiciona el nivel de gasto total en general y el de gasto corriente en particular.</w:t>
      </w:r>
    </w:p>
    <w:p w:rsidR="00B168DB" w:rsidRPr="00225D32" w:rsidRDefault="00B168DB" w:rsidP="00AA3706">
      <w:pPr>
        <w:spacing w:line="276" w:lineRule="auto"/>
        <w:ind w:firstLine="0"/>
        <w:rPr>
          <w:rFonts w:ascii="Arial" w:hAnsi="Arial" w:cs="Arial"/>
          <w:lang w:val="es-AR"/>
        </w:rPr>
      </w:pPr>
    </w:p>
    <w:p w:rsidR="00AF0061" w:rsidRPr="00225D32" w:rsidRDefault="00B168DB" w:rsidP="00AA3706">
      <w:pPr>
        <w:spacing w:line="276" w:lineRule="auto"/>
        <w:ind w:firstLine="0"/>
        <w:rPr>
          <w:rFonts w:ascii="Arial" w:hAnsi="Arial" w:cs="Arial"/>
          <w:lang w:val="es-AR"/>
        </w:rPr>
      </w:pPr>
      <w:r w:rsidRPr="00225D32">
        <w:rPr>
          <w:rFonts w:ascii="Arial" w:hAnsi="Arial" w:cs="Arial"/>
          <w:lang w:val="es-AR"/>
        </w:rPr>
        <w:t xml:space="preserve">Adicionalmente, existe otro condicionante del nivel de gasto corriente. Actualmente, se encuentra bajo estudio del Congreso, un Proyecto de Ley de Responsabilidad Fiscal que el GoH pretende promulgar. </w:t>
      </w:r>
      <w:r w:rsidR="004E5434" w:rsidRPr="00225D32">
        <w:rPr>
          <w:rFonts w:ascii="Arial" w:hAnsi="Arial" w:cs="Arial"/>
          <w:lang w:val="es-AR"/>
        </w:rPr>
        <w:t xml:space="preserve">De aprobarse esta ley, existiría un límite al crecimiento corriente de forma tal que no pueda ser superior al promedio de los últimos diez años. De </w:t>
      </w:r>
      <w:r w:rsidR="004E5434" w:rsidRPr="00225D32">
        <w:rPr>
          <w:rFonts w:ascii="Arial" w:hAnsi="Arial" w:cs="Arial"/>
          <w:lang w:val="es-AR"/>
        </w:rPr>
        <w:lastRenderedPageBreak/>
        <w:t>esta manera se atenúa cierto carácter pro-cíclico que tiene el establecer una meta fija de déficit.</w:t>
      </w:r>
      <w:r w:rsidRPr="00225D32">
        <w:rPr>
          <w:rFonts w:ascii="Arial" w:hAnsi="Arial" w:cs="Arial"/>
          <w:lang w:val="es-AR"/>
        </w:rPr>
        <w:t xml:space="preserve"> </w:t>
      </w:r>
      <w:r w:rsidR="00AF0061" w:rsidRPr="00225D32">
        <w:rPr>
          <w:rFonts w:ascii="Arial" w:hAnsi="Arial" w:cs="Arial"/>
          <w:lang w:val="es-AR"/>
        </w:rPr>
        <w:t xml:space="preserve">  </w:t>
      </w:r>
    </w:p>
    <w:p w:rsidR="005B15AA" w:rsidRPr="00225D32" w:rsidRDefault="005B15AA" w:rsidP="00AA3706">
      <w:pPr>
        <w:spacing w:line="276" w:lineRule="auto"/>
        <w:ind w:firstLine="0"/>
        <w:rPr>
          <w:rFonts w:ascii="Arial" w:hAnsi="Arial" w:cs="Arial"/>
          <w:lang w:val="es-AR"/>
        </w:rPr>
      </w:pPr>
    </w:p>
    <w:p w:rsidR="004E5434" w:rsidRPr="00225D32" w:rsidRDefault="004E5434" w:rsidP="00AA3706">
      <w:pPr>
        <w:spacing w:line="276" w:lineRule="auto"/>
        <w:ind w:firstLine="0"/>
        <w:rPr>
          <w:rFonts w:ascii="Arial" w:hAnsi="Arial" w:cs="Arial"/>
          <w:lang w:val="es-AR"/>
        </w:rPr>
      </w:pPr>
    </w:p>
    <w:p w:rsidR="00CD44E5" w:rsidRPr="00225D32" w:rsidRDefault="00CD44E5" w:rsidP="003F52E2">
      <w:pPr>
        <w:pStyle w:val="Subtitle"/>
        <w:ind w:firstLine="0"/>
        <w:jc w:val="both"/>
        <w:rPr>
          <w:rFonts w:ascii="Arial" w:hAnsi="Arial" w:cs="Arial"/>
          <w:b/>
          <w:sz w:val="22"/>
          <w:szCs w:val="22"/>
          <w:lang w:val="es-AR"/>
        </w:rPr>
      </w:pPr>
      <w:r w:rsidRPr="00225D32">
        <w:rPr>
          <w:rFonts w:ascii="Arial" w:hAnsi="Arial" w:cs="Arial"/>
          <w:b/>
          <w:sz w:val="22"/>
          <w:szCs w:val="22"/>
          <w:lang w:val="es-AR"/>
        </w:rPr>
        <w:t>II.2.a</w:t>
      </w:r>
      <w:r w:rsidR="003F52E2" w:rsidRPr="00225D32">
        <w:rPr>
          <w:rFonts w:ascii="Arial" w:hAnsi="Arial" w:cs="Arial"/>
          <w:b/>
          <w:sz w:val="22"/>
          <w:szCs w:val="22"/>
          <w:lang w:val="es-AR"/>
        </w:rPr>
        <w:t xml:space="preserve">  Supuestos</w:t>
      </w:r>
    </w:p>
    <w:p w:rsidR="000C6BDD" w:rsidRPr="00225D32" w:rsidRDefault="000C6BDD" w:rsidP="00AA3706">
      <w:pPr>
        <w:spacing w:line="276" w:lineRule="auto"/>
        <w:ind w:firstLine="0"/>
        <w:rPr>
          <w:rFonts w:ascii="Arial" w:hAnsi="Arial" w:cs="Arial"/>
          <w:lang w:val="es-AR"/>
        </w:rPr>
      </w:pPr>
      <w:r w:rsidRPr="00225D32">
        <w:rPr>
          <w:rFonts w:ascii="Arial" w:hAnsi="Arial" w:cs="Arial"/>
          <w:lang w:val="es-AR"/>
        </w:rPr>
        <w:t>Es importante remarcar que los cálculos refieren exclusivamente a los ingresos y gastos del Gobierno Central. De este modo, se excluye del cálculo el balance de otros organismos del sector público como el de las empresas públicas y el Banco Central.</w:t>
      </w:r>
    </w:p>
    <w:p w:rsidR="005B15AA" w:rsidRPr="00225D32" w:rsidRDefault="005B15AA" w:rsidP="00AA3706">
      <w:pPr>
        <w:spacing w:line="276" w:lineRule="auto"/>
        <w:ind w:firstLine="0"/>
        <w:rPr>
          <w:rFonts w:ascii="Arial" w:hAnsi="Arial" w:cs="Arial"/>
          <w:lang w:val="es-AR"/>
        </w:rPr>
      </w:pPr>
    </w:p>
    <w:p w:rsidR="000C6BDD" w:rsidRPr="00225D32" w:rsidRDefault="000C6BDD" w:rsidP="00AA3706">
      <w:pPr>
        <w:spacing w:line="276" w:lineRule="auto"/>
        <w:ind w:firstLine="0"/>
        <w:rPr>
          <w:rFonts w:ascii="Arial" w:hAnsi="Arial" w:cs="Arial"/>
          <w:b/>
          <w:shd w:val="clear" w:color="auto" w:fill="FFFF00"/>
          <w:lang w:val="es-AR"/>
        </w:rPr>
      </w:pPr>
      <w:r w:rsidRPr="00225D32">
        <w:rPr>
          <w:rFonts w:ascii="Arial" w:hAnsi="Arial" w:cs="Arial"/>
          <w:lang w:val="es-AR"/>
        </w:rPr>
        <w:t>Siguiendo a Blanchard (1990) se utilizará</w:t>
      </w:r>
      <w:r w:rsidR="00833956" w:rsidRPr="00225D32">
        <w:rPr>
          <w:rFonts w:ascii="Arial" w:hAnsi="Arial" w:cs="Arial"/>
          <w:lang w:val="es-AR"/>
        </w:rPr>
        <w:t xml:space="preserve"> un</w:t>
      </w:r>
      <w:r w:rsidRPr="00225D32">
        <w:rPr>
          <w:rFonts w:ascii="Arial" w:hAnsi="Arial" w:cs="Arial"/>
          <w:lang w:val="es-AR"/>
        </w:rPr>
        <w:t xml:space="preserve"> indicador como medida del espacio fiscal</w:t>
      </w:r>
      <w:r w:rsidR="00833956" w:rsidRPr="00225D32">
        <w:rPr>
          <w:rFonts w:ascii="Arial" w:hAnsi="Arial" w:cs="Arial"/>
          <w:lang w:val="es-AR"/>
        </w:rPr>
        <w:t xml:space="preserve"> sostenible</w:t>
      </w:r>
      <w:r w:rsidRPr="00225D32">
        <w:rPr>
          <w:rFonts w:ascii="Arial" w:hAnsi="Arial" w:cs="Arial"/>
          <w:lang w:val="es-AR"/>
        </w:rPr>
        <w:t xml:space="preserve"> en Honduras: </w:t>
      </w:r>
    </w:p>
    <w:p w:rsidR="000C6BDD" w:rsidRPr="00225D32" w:rsidRDefault="000C6BDD" w:rsidP="00AA3706">
      <w:pPr>
        <w:pStyle w:val="Prrafodelista1"/>
        <w:numPr>
          <w:ilvl w:val="0"/>
          <w:numId w:val="3"/>
        </w:numPr>
        <w:spacing w:line="276" w:lineRule="auto"/>
        <w:rPr>
          <w:rFonts w:ascii="Arial" w:hAnsi="Arial" w:cs="Arial"/>
          <w:lang w:val="es-AR"/>
        </w:rPr>
      </w:pPr>
      <w:r w:rsidRPr="00225D32">
        <w:rPr>
          <w:rFonts w:ascii="Arial" w:hAnsi="Arial" w:cs="Arial"/>
          <w:b/>
          <w:lang w:val="es-AR"/>
        </w:rPr>
        <w:t>Deuda Externa como porcentaje del PIB: 40%</w:t>
      </w:r>
    </w:p>
    <w:p w:rsidR="000C6BDD" w:rsidRPr="00225D32" w:rsidRDefault="000C6BDD" w:rsidP="00AA3706">
      <w:pPr>
        <w:spacing w:line="276" w:lineRule="auto"/>
        <w:rPr>
          <w:rFonts w:ascii="Arial" w:hAnsi="Arial" w:cs="Arial"/>
          <w:lang w:val="es-AR"/>
        </w:rPr>
      </w:pPr>
    </w:p>
    <w:p w:rsidR="000C6BDD" w:rsidRPr="00225D32" w:rsidRDefault="000C6BDD" w:rsidP="00AA3706">
      <w:pPr>
        <w:spacing w:line="276" w:lineRule="auto"/>
        <w:ind w:firstLine="0"/>
        <w:rPr>
          <w:rFonts w:ascii="Arial" w:hAnsi="Arial" w:cs="Arial"/>
          <w:lang w:val="es-AR"/>
        </w:rPr>
      </w:pPr>
      <w:r w:rsidRPr="00225D32">
        <w:rPr>
          <w:rFonts w:ascii="Arial" w:hAnsi="Arial" w:cs="Arial"/>
          <w:lang w:val="es-AR"/>
        </w:rPr>
        <w:t>Los supuestos macroeconómicos – del escenario base - sobre los que se basa el análisis son los siguientes:</w:t>
      </w:r>
    </w:p>
    <w:p w:rsidR="000C6BDD" w:rsidRPr="00225D32" w:rsidRDefault="000C6BDD" w:rsidP="00AA3706">
      <w:pPr>
        <w:spacing w:line="276" w:lineRule="auto"/>
        <w:rPr>
          <w:rFonts w:ascii="Arial" w:hAnsi="Arial" w:cs="Arial"/>
          <w:lang w:val="es-AR"/>
        </w:rPr>
      </w:pPr>
    </w:p>
    <w:tbl>
      <w:tblPr>
        <w:tblW w:w="0" w:type="auto"/>
        <w:tblInd w:w="-10" w:type="dxa"/>
        <w:tblLayout w:type="fixed"/>
        <w:tblLook w:val="0000" w:firstRow="0" w:lastRow="0" w:firstColumn="0" w:lastColumn="0" w:noHBand="0" w:noVBand="0"/>
      </w:tblPr>
      <w:tblGrid>
        <w:gridCol w:w="5464"/>
        <w:gridCol w:w="3533"/>
      </w:tblGrid>
      <w:tr w:rsidR="000C6BDD" w:rsidRPr="00225D32">
        <w:tc>
          <w:tcPr>
            <w:tcW w:w="5464" w:type="dxa"/>
            <w:tcBorders>
              <w:top w:val="single" w:sz="4" w:space="0" w:color="000000"/>
              <w:left w:val="single" w:sz="4" w:space="0" w:color="000000"/>
              <w:bottom w:val="single" w:sz="4" w:space="0" w:color="000000"/>
            </w:tcBorders>
            <w:shd w:val="clear" w:color="auto" w:fill="auto"/>
          </w:tcPr>
          <w:p w:rsidR="000C6BDD" w:rsidRPr="00225D32" w:rsidRDefault="000C6BDD" w:rsidP="00AA3706">
            <w:pPr>
              <w:spacing w:line="276" w:lineRule="auto"/>
              <w:ind w:left="219" w:right="219" w:firstLine="10"/>
              <w:rPr>
                <w:rFonts w:ascii="Arial" w:hAnsi="Arial" w:cs="Arial"/>
                <w:b/>
                <w:sz w:val="20"/>
                <w:szCs w:val="20"/>
              </w:rPr>
            </w:pPr>
            <w:r w:rsidRPr="00225D32">
              <w:rPr>
                <w:rFonts w:ascii="Arial" w:hAnsi="Arial" w:cs="Arial"/>
                <w:b/>
                <w:sz w:val="20"/>
                <w:szCs w:val="20"/>
              </w:rPr>
              <w:t>Variable</w:t>
            </w:r>
          </w:p>
        </w:tc>
        <w:tc>
          <w:tcPr>
            <w:tcW w:w="3533" w:type="dxa"/>
            <w:tcBorders>
              <w:top w:val="single" w:sz="4" w:space="0" w:color="000000"/>
              <w:left w:val="single" w:sz="4" w:space="0" w:color="000000"/>
              <w:bottom w:val="single" w:sz="4" w:space="0" w:color="000000"/>
              <w:right w:val="single" w:sz="4" w:space="0" w:color="000000"/>
            </w:tcBorders>
            <w:shd w:val="clear" w:color="auto" w:fill="auto"/>
          </w:tcPr>
          <w:p w:rsidR="000C6BDD" w:rsidRPr="00225D32" w:rsidRDefault="000C6BDD" w:rsidP="00AA3706">
            <w:pPr>
              <w:spacing w:line="276" w:lineRule="auto"/>
              <w:rPr>
                <w:rFonts w:ascii="Arial" w:hAnsi="Arial" w:cs="Arial"/>
                <w:sz w:val="20"/>
                <w:szCs w:val="20"/>
              </w:rPr>
            </w:pPr>
            <w:r w:rsidRPr="00225D32">
              <w:rPr>
                <w:rFonts w:ascii="Arial" w:hAnsi="Arial" w:cs="Arial"/>
                <w:b/>
                <w:sz w:val="20"/>
                <w:szCs w:val="20"/>
              </w:rPr>
              <w:t>Magnitud</w:t>
            </w:r>
          </w:p>
        </w:tc>
      </w:tr>
      <w:tr w:rsidR="000C6BDD" w:rsidRPr="00225D32">
        <w:tc>
          <w:tcPr>
            <w:tcW w:w="5464" w:type="dxa"/>
            <w:tcBorders>
              <w:top w:val="single" w:sz="4" w:space="0" w:color="000000"/>
              <w:left w:val="single" w:sz="4" w:space="0" w:color="000000"/>
              <w:bottom w:val="single" w:sz="4" w:space="0" w:color="000000"/>
            </w:tcBorders>
            <w:shd w:val="clear" w:color="auto" w:fill="auto"/>
          </w:tcPr>
          <w:p w:rsidR="000C6BDD" w:rsidRPr="00225D32" w:rsidRDefault="005E7BFA" w:rsidP="00AA3706">
            <w:pPr>
              <w:spacing w:line="276" w:lineRule="auto"/>
              <w:ind w:left="219" w:right="219" w:firstLine="10"/>
              <w:rPr>
                <w:rFonts w:ascii="Arial" w:hAnsi="Arial" w:cs="Arial"/>
                <w:b/>
                <w:sz w:val="20"/>
                <w:szCs w:val="20"/>
                <w:lang w:val="es-AR"/>
              </w:rPr>
            </w:pPr>
            <w:r w:rsidRPr="00225D32">
              <w:rPr>
                <w:rFonts w:ascii="Arial" w:hAnsi="Arial" w:cs="Arial"/>
                <w:b/>
                <w:sz w:val="20"/>
                <w:szCs w:val="20"/>
              </w:rPr>
              <w:t>P</w:t>
            </w:r>
            <w:r w:rsidR="000C6BDD" w:rsidRPr="00225D32">
              <w:rPr>
                <w:rFonts w:ascii="Arial" w:hAnsi="Arial" w:cs="Arial"/>
                <w:b/>
                <w:sz w:val="20"/>
                <w:szCs w:val="20"/>
              </w:rPr>
              <w:t>B</w:t>
            </w:r>
            <w:r w:rsidRPr="00225D32">
              <w:rPr>
                <w:rFonts w:ascii="Arial" w:hAnsi="Arial" w:cs="Arial"/>
                <w:b/>
                <w:sz w:val="20"/>
                <w:szCs w:val="20"/>
              </w:rPr>
              <w:t>I</w:t>
            </w:r>
            <w:r w:rsidR="000C6BDD" w:rsidRPr="00225D32">
              <w:rPr>
                <w:rFonts w:ascii="Arial" w:hAnsi="Arial" w:cs="Arial"/>
                <w:b/>
                <w:sz w:val="20"/>
                <w:szCs w:val="20"/>
              </w:rPr>
              <w:t xml:space="preserve"> real, variación annual</w:t>
            </w:r>
          </w:p>
        </w:tc>
        <w:tc>
          <w:tcPr>
            <w:tcW w:w="3533" w:type="dxa"/>
            <w:tcBorders>
              <w:top w:val="single" w:sz="4" w:space="0" w:color="000000"/>
              <w:left w:val="single" w:sz="4" w:space="0" w:color="000000"/>
              <w:bottom w:val="single" w:sz="4" w:space="0" w:color="000000"/>
              <w:right w:val="single" w:sz="4" w:space="0" w:color="000000"/>
            </w:tcBorders>
            <w:shd w:val="clear" w:color="auto" w:fill="auto"/>
          </w:tcPr>
          <w:p w:rsidR="000C6BDD" w:rsidRPr="00225D32" w:rsidRDefault="000C6BDD" w:rsidP="00AA3706">
            <w:pPr>
              <w:spacing w:line="276" w:lineRule="auto"/>
              <w:ind w:firstLine="0"/>
              <w:rPr>
                <w:rFonts w:ascii="Arial" w:hAnsi="Arial" w:cs="Arial"/>
                <w:sz w:val="20"/>
                <w:szCs w:val="20"/>
              </w:rPr>
            </w:pPr>
            <w:r w:rsidRPr="00225D32">
              <w:rPr>
                <w:rFonts w:ascii="Arial" w:hAnsi="Arial" w:cs="Arial"/>
                <w:b/>
                <w:sz w:val="20"/>
                <w:szCs w:val="20"/>
                <w:lang w:val="es-AR"/>
              </w:rPr>
              <w:t>4%</w:t>
            </w:r>
          </w:p>
        </w:tc>
      </w:tr>
      <w:tr w:rsidR="000C6BDD" w:rsidRPr="00225D32">
        <w:tc>
          <w:tcPr>
            <w:tcW w:w="5464" w:type="dxa"/>
            <w:tcBorders>
              <w:top w:val="single" w:sz="4" w:space="0" w:color="000000"/>
              <w:left w:val="single" w:sz="4" w:space="0" w:color="000000"/>
              <w:bottom w:val="single" w:sz="4" w:space="0" w:color="000000"/>
            </w:tcBorders>
            <w:shd w:val="clear" w:color="auto" w:fill="auto"/>
          </w:tcPr>
          <w:p w:rsidR="000C6BDD" w:rsidRPr="00225D32" w:rsidRDefault="000C6BDD" w:rsidP="00AA3706">
            <w:pPr>
              <w:spacing w:line="276" w:lineRule="auto"/>
              <w:ind w:left="219" w:right="219" w:firstLine="10"/>
              <w:rPr>
                <w:rFonts w:ascii="Arial" w:hAnsi="Arial" w:cs="Arial"/>
                <w:b/>
                <w:sz w:val="20"/>
                <w:szCs w:val="20"/>
                <w:lang w:val="es-AR"/>
              </w:rPr>
            </w:pPr>
            <w:r w:rsidRPr="00225D32">
              <w:rPr>
                <w:rFonts w:ascii="Arial" w:hAnsi="Arial" w:cs="Arial"/>
                <w:b/>
                <w:sz w:val="20"/>
                <w:szCs w:val="20"/>
                <w:lang w:val="es-AR"/>
              </w:rPr>
              <w:t>IPC, variación anual</w:t>
            </w:r>
          </w:p>
        </w:tc>
        <w:tc>
          <w:tcPr>
            <w:tcW w:w="3533" w:type="dxa"/>
            <w:tcBorders>
              <w:top w:val="single" w:sz="4" w:space="0" w:color="000000"/>
              <w:left w:val="single" w:sz="4" w:space="0" w:color="000000"/>
              <w:bottom w:val="single" w:sz="4" w:space="0" w:color="000000"/>
              <w:right w:val="single" w:sz="4" w:space="0" w:color="000000"/>
            </w:tcBorders>
            <w:shd w:val="clear" w:color="auto" w:fill="auto"/>
          </w:tcPr>
          <w:p w:rsidR="000C6BDD" w:rsidRPr="00225D32" w:rsidRDefault="000C6BDD" w:rsidP="00AA3706">
            <w:pPr>
              <w:spacing w:line="276" w:lineRule="auto"/>
              <w:ind w:firstLine="0"/>
              <w:rPr>
                <w:rFonts w:ascii="Arial" w:hAnsi="Arial" w:cs="Arial"/>
                <w:sz w:val="20"/>
                <w:szCs w:val="20"/>
              </w:rPr>
            </w:pPr>
            <w:r w:rsidRPr="00225D32">
              <w:rPr>
                <w:rFonts w:ascii="Arial" w:hAnsi="Arial" w:cs="Arial"/>
                <w:b/>
                <w:sz w:val="20"/>
                <w:szCs w:val="20"/>
                <w:lang w:val="es-AR"/>
              </w:rPr>
              <w:t>5,40%</w:t>
            </w:r>
          </w:p>
        </w:tc>
      </w:tr>
      <w:tr w:rsidR="000C6BDD" w:rsidRPr="00225D32">
        <w:tc>
          <w:tcPr>
            <w:tcW w:w="5464" w:type="dxa"/>
            <w:tcBorders>
              <w:top w:val="single" w:sz="4" w:space="0" w:color="000000"/>
              <w:left w:val="single" w:sz="4" w:space="0" w:color="000000"/>
              <w:bottom w:val="single" w:sz="4" w:space="0" w:color="000000"/>
            </w:tcBorders>
            <w:shd w:val="clear" w:color="auto" w:fill="auto"/>
          </w:tcPr>
          <w:p w:rsidR="000C6BDD" w:rsidRPr="00225D32" w:rsidRDefault="000C6BDD" w:rsidP="00AA3706">
            <w:pPr>
              <w:spacing w:line="276" w:lineRule="auto"/>
              <w:ind w:left="219" w:right="219" w:firstLine="10"/>
              <w:rPr>
                <w:rFonts w:ascii="Arial" w:hAnsi="Arial" w:cs="Arial"/>
                <w:b/>
                <w:sz w:val="20"/>
                <w:szCs w:val="20"/>
                <w:lang w:val="es-AR"/>
              </w:rPr>
            </w:pPr>
            <w:r w:rsidRPr="00225D32">
              <w:rPr>
                <w:rFonts w:ascii="Arial" w:hAnsi="Arial" w:cs="Arial"/>
                <w:b/>
                <w:sz w:val="20"/>
                <w:szCs w:val="20"/>
                <w:lang w:val="es-AR"/>
              </w:rPr>
              <w:t>Tipo de cambio, variación anual</w:t>
            </w:r>
          </w:p>
        </w:tc>
        <w:tc>
          <w:tcPr>
            <w:tcW w:w="3533" w:type="dxa"/>
            <w:tcBorders>
              <w:top w:val="single" w:sz="4" w:space="0" w:color="000000"/>
              <w:left w:val="single" w:sz="4" w:space="0" w:color="000000"/>
              <w:bottom w:val="single" w:sz="4" w:space="0" w:color="000000"/>
              <w:right w:val="single" w:sz="4" w:space="0" w:color="000000"/>
            </w:tcBorders>
            <w:shd w:val="clear" w:color="auto" w:fill="auto"/>
          </w:tcPr>
          <w:p w:rsidR="000C6BDD" w:rsidRPr="00225D32" w:rsidRDefault="000C6BDD" w:rsidP="00AA3706">
            <w:pPr>
              <w:spacing w:line="276" w:lineRule="auto"/>
              <w:ind w:firstLine="0"/>
              <w:rPr>
                <w:rFonts w:ascii="Arial" w:hAnsi="Arial" w:cs="Arial"/>
                <w:sz w:val="20"/>
                <w:szCs w:val="20"/>
              </w:rPr>
            </w:pPr>
            <w:r w:rsidRPr="00225D32">
              <w:rPr>
                <w:rFonts w:ascii="Arial" w:hAnsi="Arial" w:cs="Arial"/>
                <w:b/>
                <w:sz w:val="20"/>
                <w:szCs w:val="20"/>
                <w:lang w:val="es-AR"/>
              </w:rPr>
              <w:t>5%</w:t>
            </w:r>
          </w:p>
        </w:tc>
      </w:tr>
      <w:tr w:rsidR="000C6BDD" w:rsidRPr="00225D32">
        <w:tc>
          <w:tcPr>
            <w:tcW w:w="5464" w:type="dxa"/>
            <w:tcBorders>
              <w:top w:val="single" w:sz="4" w:space="0" w:color="000000"/>
              <w:left w:val="single" w:sz="4" w:space="0" w:color="000000"/>
              <w:bottom w:val="single" w:sz="4" w:space="0" w:color="000000"/>
            </w:tcBorders>
            <w:shd w:val="clear" w:color="auto" w:fill="auto"/>
          </w:tcPr>
          <w:p w:rsidR="000C6BDD" w:rsidRPr="00225D32" w:rsidRDefault="000C6BDD" w:rsidP="00AA3706">
            <w:pPr>
              <w:spacing w:line="276" w:lineRule="auto"/>
              <w:ind w:left="219" w:right="219" w:firstLine="10"/>
              <w:rPr>
                <w:rFonts w:ascii="Arial" w:hAnsi="Arial" w:cs="Arial"/>
                <w:b/>
                <w:sz w:val="20"/>
                <w:szCs w:val="20"/>
              </w:rPr>
            </w:pPr>
            <w:r w:rsidRPr="00225D32">
              <w:rPr>
                <w:rFonts w:ascii="Arial" w:hAnsi="Arial" w:cs="Arial"/>
                <w:b/>
                <w:sz w:val="20"/>
                <w:szCs w:val="20"/>
                <w:lang w:val="es-AR"/>
              </w:rPr>
              <w:t xml:space="preserve">Tasa de interés doméstica </w:t>
            </w:r>
          </w:p>
        </w:tc>
        <w:tc>
          <w:tcPr>
            <w:tcW w:w="3533" w:type="dxa"/>
            <w:tcBorders>
              <w:top w:val="single" w:sz="4" w:space="0" w:color="000000"/>
              <w:left w:val="single" w:sz="4" w:space="0" w:color="000000"/>
              <w:bottom w:val="single" w:sz="4" w:space="0" w:color="000000"/>
              <w:right w:val="single" w:sz="4" w:space="0" w:color="000000"/>
            </w:tcBorders>
            <w:shd w:val="clear" w:color="auto" w:fill="auto"/>
          </w:tcPr>
          <w:p w:rsidR="000C6BDD" w:rsidRPr="00225D32" w:rsidRDefault="000C6BDD" w:rsidP="00AA3706">
            <w:pPr>
              <w:spacing w:line="276" w:lineRule="auto"/>
              <w:ind w:firstLine="0"/>
              <w:rPr>
                <w:rFonts w:ascii="Arial" w:hAnsi="Arial" w:cs="Arial"/>
                <w:sz w:val="20"/>
                <w:szCs w:val="20"/>
              </w:rPr>
            </w:pPr>
            <w:r w:rsidRPr="00225D32">
              <w:rPr>
                <w:rFonts w:ascii="Arial" w:hAnsi="Arial" w:cs="Arial"/>
                <w:b/>
                <w:sz w:val="20"/>
                <w:szCs w:val="20"/>
              </w:rPr>
              <w:t>10%</w:t>
            </w:r>
          </w:p>
        </w:tc>
      </w:tr>
      <w:tr w:rsidR="000C6BDD" w:rsidRPr="00225D32">
        <w:tc>
          <w:tcPr>
            <w:tcW w:w="5464" w:type="dxa"/>
            <w:tcBorders>
              <w:top w:val="single" w:sz="4" w:space="0" w:color="000000"/>
              <w:left w:val="single" w:sz="4" w:space="0" w:color="000000"/>
              <w:bottom w:val="single" w:sz="4" w:space="0" w:color="000000"/>
            </w:tcBorders>
            <w:shd w:val="clear" w:color="auto" w:fill="auto"/>
          </w:tcPr>
          <w:p w:rsidR="000C6BDD" w:rsidRPr="00225D32" w:rsidRDefault="000C6BDD" w:rsidP="00AA3706">
            <w:pPr>
              <w:spacing w:line="276" w:lineRule="auto"/>
              <w:ind w:right="219" w:firstLine="0"/>
              <w:rPr>
                <w:rFonts w:ascii="Arial" w:hAnsi="Arial" w:cs="Arial"/>
                <w:b/>
                <w:sz w:val="20"/>
                <w:szCs w:val="20"/>
                <w:lang w:val="es-AR"/>
              </w:rPr>
            </w:pPr>
            <w:r w:rsidRPr="00225D32">
              <w:rPr>
                <w:rFonts w:ascii="Arial" w:hAnsi="Arial" w:cs="Arial"/>
                <w:b/>
                <w:sz w:val="20"/>
                <w:szCs w:val="20"/>
                <w:lang w:val="es-AR"/>
              </w:rPr>
              <w:t xml:space="preserve">     Tasa de interés externa IFIs</w:t>
            </w:r>
          </w:p>
        </w:tc>
        <w:tc>
          <w:tcPr>
            <w:tcW w:w="3533" w:type="dxa"/>
            <w:tcBorders>
              <w:top w:val="single" w:sz="4" w:space="0" w:color="000000"/>
              <w:left w:val="single" w:sz="4" w:space="0" w:color="000000"/>
              <w:bottom w:val="single" w:sz="4" w:space="0" w:color="000000"/>
              <w:right w:val="single" w:sz="4" w:space="0" w:color="000000"/>
            </w:tcBorders>
            <w:shd w:val="clear" w:color="auto" w:fill="auto"/>
          </w:tcPr>
          <w:p w:rsidR="000C6BDD" w:rsidRPr="00225D32" w:rsidRDefault="000C6BDD" w:rsidP="00AA3706">
            <w:pPr>
              <w:spacing w:line="276" w:lineRule="auto"/>
              <w:ind w:firstLine="0"/>
              <w:rPr>
                <w:rFonts w:ascii="Arial" w:hAnsi="Arial" w:cs="Arial"/>
                <w:sz w:val="20"/>
                <w:szCs w:val="20"/>
              </w:rPr>
            </w:pPr>
            <w:r w:rsidRPr="00225D32">
              <w:rPr>
                <w:rFonts w:ascii="Arial" w:hAnsi="Arial" w:cs="Arial"/>
                <w:b/>
                <w:sz w:val="20"/>
                <w:szCs w:val="20"/>
                <w:lang w:val="es-AR"/>
              </w:rPr>
              <w:t>3,65%</w:t>
            </w:r>
          </w:p>
        </w:tc>
      </w:tr>
      <w:tr w:rsidR="000C6BDD" w:rsidRPr="00225D32">
        <w:tc>
          <w:tcPr>
            <w:tcW w:w="5464" w:type="dxa"/>
            <w:tcBorders>
              <w:top w:val="single" w:sz="4" w:space="0" w:color="000000"/>
              <w:left w:val="single" w:sz="4" w:space="0" w:color="000000"/>
              <w:bottom w:val="single" w:sz="4" w:space="0" w:color="000000"/>
            </w:tcBorders>
            <w:shd w:val="clear" w:color="auto" w:fill="auto"/>
          </w:tcPr>
          <w:p w:rsidR="000C6BDD" w:rsidRPr="00225D32" w:rsidRDefault="000C6BDD" w:rsidP="00AA3706">
            <w:pPr>
              <w:spacing w:line="276" w:lineRule="auto"/>
              <w:ind w:left="219" w:right="219" w:firstLine="10"/>
              <w:rPr>
                <w:rFonts w:ascii="Arial" w:hAnsi="Arial" w:cs="Arial"/>
                <w:b/>
                <w:sz w:val="20"/>
                <w:szCs w:val="20"/>
                <w:lang w:val="es-AR"/>
              </w:rPr>
            </w:pPr>
            <w:r w:rsidRPr="00225D32">
              <w:rPr>
                <w:rFonts w:ascii="Arial" w:hAnsi="Arial" w:cs="Arial"/>
                <w:b/>
                <w:sz w:val="20"/>
                <w:szCs w:val="20"/>
                <w:lang w:val="es-AR"/>
              </w:rPr>
              <w:t>Tasa de interés externa mercados de capitales</w:t>
            </w:r>
          </w:p>
        </w:tc>
        <w:tc>
          <w:tcPr>
            <w:tcW w:w="3533" w:type="dxa"/>
            <w:tcBorders>
              <w:top w:val="single" w:sz="4" w:space="0" w:color="000000"/>
              <w:left w:val="single" w:sz="4" w:space="0" w:color="000000"/>
              <w:bottom w:val="single" w:sz="4" w:space="0" w:color="000000"/>
              <w:right w:val="single" w:sz="4" w:space="0" w:color="000000"/>
            </w:tcBorders>
            <w:shd w:val="clear" w:color="auto" w:fill="auto"/>
          </w:tcPr>
          <w:p w:rsidR="000C6BDD" w:rsidRPr="00225D32" w:rsidRDefault="000C6BDD" w:rsidP="00AA3706">
            <w:pPr>
              <w:spacing w:line="276" w:lineRule="auto"/>
              <w:ind w:firstLine="0"/>
              <w:rPr>
                <w:rFonts w:ascii="Arial" w:hAnsi="Arial" w:cs="Arial"/>
                <w:sz w:val="20"/>
                <w:szCs w:val="20"/>
              </w:rPr>
            </w:pPr>
            <w:r w:rsidRPr="00225D32">
              <w:rPr>
                <w:rFonts w:ascii="Arial" w:hAnsi="Arial" w:cs="Arial"/>
                <w:b/>
                <w:sz w:val="20"/>
                <w:szCs w:val="20"/>
              </w:rPr>
              <w:t>8,75%</w:t>
            </w:r>
          </w:p>
        </w:tc>
      </w:tr>
      <w:tr w:rsidR="000C6BDD" w:rsidRPr="00225D32">
        <w:tc>
          <w:tcPr>
            <w:tcW w:w="5464" w:type="dxa"/>
            <w:tcBorders>
              <w:top w:val="single" w:sz="4" w:space="0" w:color="000000"/>
              <w:left w:val="single" w:sz="4" w:space="0" w:color="000000"/>
              <w:bottom w:val="single" w:sz="4" w:space="0" w:color="000000"/>
            </w:tcBorders>
            <w:shd w:val="clear" w:color="auto" w:fill="auto"/>
          </w:tcPr>
          <w:p w:rsidR="000C6BDD" w:rsidRPr="00225D32" w:rsidRDefault="000C6BDD" w:rsidP="00AA3706">
            <w:pPr>
              <w:spacing w:line="276" w:lineRule="auto"/>
              <w:ind w:left="219" w:right="219" w:firstLine="10"/>
              <w:rPr>
                <w:rFonts w:ascii="Arial" w:hAnsi="Arial" w:cs="Arial"/>
                <w:b/>
                <w:sz w:val="20"/>
                <w:szCs w:val="20"/>
              </w:rPr>
            </w:pPr>
            <w:r w:rsidRPr="00225D32">
              <w:rPr>
                <w:rFonts w:ascii="Arial" w:hAnsi="Arial" w:cs="Arial"/>
                <w:b/>
                <w:sz w:val="20"/>
                <w:szCs w:val="20"/>
                <w:lang w:val="es-AR"/>
              </w:rPr>
              <w:t xml:space="preserve">Presión Tributaria </w:t>
            </w:r>
          </w:p>
        </w:tc>
        <w:tc>
          <w:tcPr>
            <w:tcW w:w="3533" w:type="dxa"/>
            <w:tcBorders>
              <w:top w:val="single" w:sz="4" w:space="0" w:color="000000"/>
              <w:left w:val="single" w:sz="4" w:space="0" w:color="000000"/>
              <w:bottom w:val="single" w:sz="4" w:space="0" w:color="000000"/>
              <w:right w:val="single" w:sz="4" w:space="0" w:color="000000"/>
            </w:tcBorders>
            <w:shd w:val="clear" w:color="auto" w:fill="auto"/>
          </w:tcPr>
          <w:p w:rsidR="000C6BDD" w:rsidRPr="00225D32" w:rsidRDefault="000C6BDD" w:rsidP="00AA3706">
            <w:pPr>
              <w:spacing w:line="276" w:lineRule="auto"/>
              <w:ind w:firstLine="0"/>
              <w:rPr>
                <w:rFonts w:ascii="Arial" w:hAnsi="Arial" w:cs="Arial"/>
                <w:sz w:val="20"/>
                <w:szCs w:val="20"/>
              </w:rPr>
            </w:pPr>
            <w:r w:rsidRPr="00225D32">
              <w:rPr>
                <w:rFonts w:ascii="Arial" w:hAnsi="Arial" w:cs="Arial"/>
                <w:b/>
                <w:sz w:val="20"/>
                <w:szCs w:val="20"/>
              </w:rPr>
              <w:t>18%</w:t>
            </w:r>
          </w:p>
        </w:tc>
      </w:tr>
    </w:tbl>
    <w:p w:rsidR="000C6BDD" w:rsidRPr="00225D32" w:rsidRDefault="000C6BDD" w:rsidP="00AA3706">
      <w:pPr>
        <w:spacing w:line="276" w:lineRule="auto"/>
        <w:rPr>
          <w:rFonts w:ascii="Arial" w:hAnsi="Arial" w:cs="Arial"/>
          <w:color w:val="000000"/>
          <w:lang w:val="es-AR"/>
        </w:rPr>
      </w:pPr>
    </w:p>
    <w:p w:rsidR="000C6BDD" w:rsidRPr="00225D32" w:rsidRDefault="000C6BDD" w:rsidP="00AA3706">
      <w:pPr>
        <w:spacing w:line="276" w:lineRule="auto"/>
        <w:ind w:firstLine="0"/>
        <w:rPr>
          <w:rFonts w:ascii="Arial" w:hAnsi="Arial" w:cs="Arial"/>
          <w:color w:val="000000"/>
          <w:lang w:val="es-AR"/>
        </w:rPr>
      </w:pPr>
      <w:r w:rsidRPr="00225D32">
        <w:rPr>
          <w:rFonts w:ascii="Arial" w:hAnsi="Arial" w:cs="Arial"/>
          <w:color w:val="000000"/>
          <w:lang w:val="es-AR"/>
        </w:rPr>
        <w:t>Los valores proyectados de inflación, de tipo de cambio y presión tributaria se corresponden con los valores que se derivan del reporte WEO-IMF para el período 2016-2020, y se asume que los valores alcanzados al final del período para estas variables se estabilizan durante el quinquenio 2021-2025  tasa de crecimiento del 4% se mantiene para el período 2021-2025. En cuanto a la tasa de interés se asume que la tasa doméstica proyectada equivale al rendimiento de la deuda estandarizada pagada por el  gobierno de Honduras el IV trimestre de 2015. Por su parte, se consideran dos niveles de tasas de interés para la deuda externa. La deuda tomada con los organismos multilaterales paga una tasa promedio de 3,65%, mientras que para la deuda financiada a través del mercado de capitales se considera una tasa del 8,75%, que se corresponde con el rendimiento de la segunda colocación del Bono Soberano (2013).</w:t>
      </w:r>
    </w:p>
    <w:p w:rsidR="005B15AA" w:rsidRPr="00225D32" w:rsidRDefault="005B15AA" w:rsidP="00AA3706">
      <w:pPr>
        <w:spacing w:line="276" w:lineRule="auto"/>
        <w:ind w:firstLine="0"/>
        <w:rPr>
          <w:rFonts w:ascii="Arial" w:hAnsi="Arial" w:cs="Arial"/>
          <w:color w:val="000000"/>
          <w:lang w:val="es-AR"/>
        </w:rPr>
      </w:pPr>
    </w:p>
    <w:p w:rsidR="000C6BDD" w:rsidRPr="00225D32" w:rsidRDefault="000C6BDD" w:rsidP="00AA3706">
      <w:pPr>
        <w:spacing w:line="276" w:lineRule="auto"/>
        <w:ind w:firstLine="0"/>
        <w:rPr>
          <w:rFonts w:ascii="Arial" w:hAnsi="Arial" w:cs="Arial"/>
          <w:color w:val="000000"/>
          <w:lang w:val="es-AR"/>
        </w:rPr>
      </w:pPr>
      <w:r w:rsidRPr="00225D32">
        <w:rPr>
          <w:rFonts w:ascii="Arial" w:hAnsi="Arial" w:cs="Arial"/>
          <w:color w:val="000000"/>
          <w:lang w:val="es-AR"/>
        </w:rPr>
        <w:t xml:space="preserve">Notemos que el análisis realizado supone que el crecimiento y la tasa de interés son exógenamente dadas a la política fiscal. De este modo, el análisis deja de lado las posibles interacciones que generalmente existen entre, e.g. el nivel de gasto público y o la presión tributaria y el nivel de actividad económica. También se excluye la posibilidad de cambios en la tasa de financiamiento de la deuda externa a medida que el ratio Deuda-Producto se acerca al máximo sostenible definido arriba. </w:t>
      </w:r>
    </w:p>
    <w:p w:rsidR="000C6BDD" w:rsidRPr="00225D32" w:rsidRDefault="000C6BDD" w:rsidP="00AA3706">
      <w:pPr>
        <w:spacing w:line="276" w:lineRule="auto"/>
        <w:ind w:firstLine="0"/>
        <w:rPr>
          <w:rFonts w:ascii="Arial" w:hAnsi="Arial" w:cs="Arial"/>
          <w:color w:val="000000"/>
          <w:lang w:val="es-AR"/>
        </w:rPr>
      </w:pPr>
    </w:p>
    <w:p w:rsidR="000C6BDD" w:rsidRPr="00225D32" w:rsidRDefault="000C6BDD" w:rsidP="00AA3706">
      <w:pPr>
        <w:spacing w:line="276" w:lineRule="auto"/>
        <w:ind w:firstLine="0"/>
        <w:rPr>
          <w:rFonts w:ascii="Arial" w:hAnsi="Arial" w:cs="Arial"/>
          <w:color w:val="000000"/>
          <w:lang w:val="es-AR"/>
        </w:rPr>
      </w:pPr>
      <w:r w:rsidRPr="00225D32">
        <w:rPr>
          <w:rFonts w:ascii="Arial" w:hAnsi="Arial" w:cs="Arial"/>
          <w:color w:val="000000"/>
          <w:lang w:val="es-AR"/>
        </w:rPr>
        <w:lastRenderedPageBreak/>
        <w:t xml:space="preserve">Evolución de los ingresos.  </w:t>
      </w:r>
    </w:p>
    <w:p w:rsidR="000C6BDD" w:rsidRPr="00225D32" w:rsidRDefault="000C6BDD" w:rsidP="00AA3706">
      <w:pPr>
        <w:spacing w:line="276" w:lineRule="auto"/>
        <w:ind w:firstLine="0"/>
        <w:rPr>
          <w:rFonts w:ascii="Arial" w:hAnsi="Arial" w:cs="Arial"/>
          <w:color w:val="000000"/>
          <w:lang w:val="es-AR"/>
        </w:rPr>
      </w:pPr>
      <w:r w:rsidRPr="00225D32">
        <w:rPr>
          <w:rFonts w:ascii="Arial" w:hAnsi="Arial" w:cs="Arial"/>
          <w:color w:val="000000"/>
          <w:lang w:val="es-AR"/>
        </w:rPr>
        <w:t>Sobre el resto de los ingresos fiscales, se asume lo siguiente:</w:t>
      </w:r>
    </w:p>
    <w:p w:rsidR="000C6BDD" w:rsidRPr="00225D32" w:rsidRDefault="000C6BDD" w:rsidP="00AA3706">
      <w:pPr>
        <w:spacing w:line="276" w:lineRule="auto"/>
        <w:ind w:left="720" w:firstLine="0"/>
        <w:rPr>
          <w:rFonts w:ascii="Arial" w:hAnsi="Arial" w:cs="Arial"/>
          <w:color w:val="000000"/>
          <w:lang w:val="es-AR"/>
        </w:rPr>
      </w:pPr>
      <w:r w:rsidRPr="00225D32">
        <w:rPr>
          <w:rFonts w:ascii="Arial" w:hAnsi="Arial" w:cs="Arial"/>
          <w:color w:val="000000"/>
          <w:lang w:val="es-AR"/>
        </w:rPr>
        <w:t xml:space="preserve">Ingresos no tributarios: se proyectan en base a su promedio histórico de los últimos 5 años equivalente a Ls. </w:t>
      </w:r>
      <w:r w:rsidRPr="00225D32">
        <w:rPr>
          <w:rFonts w:ascii="Arial" w:eastAsia="Times New Roman" w:hAnsi="Arial" w:cs="Arial"/>
          <w:color w:val="000000"/>
          <w:lang w:val="es-AR"/>
        </w:rPr>
        <w:t>4.166,82 millones</w:t>
      </w:r>
    </w:p>
    <w:p w:rsidR="000C6BDD" w:rsidRPr="00225D32" w:rsidRDefault="000C6BDD" w:rsidP="00AA3706">
      <w:pPr>
        <w:spacing w:line="276" w:lineRule="auto"/>
        <w:ind w:left="720" w:firstLine="0"/>
        <w:rPr>
          <w:rFonts w:ascii="Arial" w:hAnsi="Arial" w:cs="Arial"/>
          <w:color w:val="000000"/>
          <w:lang w:val="es-AR"/>
        </w:rPr>
      </w:pPr>
      <w:r w:rsidRPr="00225D32">
        <w:rPr>
          <w:rFonts w:ascii="Arial" w:hAnsi="Arial" w:cs="Arial"/>
          <w:color w:val="000000"/>
          <w:lang w:val="es-AR"/>
        </w:rPr>
        <w:t xml:space="preserve">Donaciones: se proyectan en base a su promedio histórico de los últimos 5 años equivalente  Ls. </w:t>
      </w:r>
      <w:r w:rsidRPr="00225D32">
        <w:rPr>
          <w:rFonts w:ascii="Arial" w:eastAsia="Times New Roman" w:hAnsi="Arial" w:cs="Arial"/>
          <w:color w:val="000000"/>
          <w:lang w:val="es-AR"/>
        </w:rPr>
        <w:t xml:space="preserve">3606,13 </w:t>
      </w:r>
      <w:r w:rsidRPr="00225D32">
        <w:rPr>
          <w:rFonts w:ascii="Arial" w:hAnsi="Arial" w:cs="Arial"/>
          <w:color w:val="000000"/>
          <w:lang w:val="es-AR"/>
        </w:rPr>
        <w:t xml:space="preserve"> millones.</w:t>
      </w:r>
    </w:p>
    <w:p w:rsidR="000C6BDD" w:rsidRPr="00225D32" w:rsidRDefault="000C6BDD" w:rsidP="00AA3706">
      <w:pPr>
        <w:spacing w:line="276" w:lineRule="auto"/>
        <w:ind w:left="720" w:firstLine="0"/>
        <w:rPr>
          <w:rFonts w:ascii="Arial" w:hAnsi="Arial" w:cs="Arial"/>
          <w:color w:val="000000"/>
          <w:lang w:val="es-AR"/>
        </w:rPr>
      </w:pPr>
      <w:r w:rsidRPr="00225D32">
        <w:rPr>
          <w:rFonts w:ascii="Arial" w:hAnsi="Arial" w:cs="Arial"/>
          <w:color w:val="000000"/>
          <w:lang w:val="es-AR"/>
        </w:rPr>
        <w:t xml:space="preserve">Tasa de seguridad: se proyecta en base a su promedio </w:t>
      </w:r>
      <w:r w:rsidR="00C847C2" w:rsidRPr="00225D32">
        <w:rPr>
          <w:rFonts w:ascii="Arial" w:hAnsi="Arial" w:cs="Arial"/>
          <w:color w:val="000000"/>
          <w:lang w:val="es-AR"/>
        </w:rPr>
        <w:t xml:space="preserve">histórico de los últimos 5 años </w:t>
      </w:r>
      <w:r w:rsidRPr="00225D32">
        <w:rPr>
          <w:rFonts w:ascii="Arial" w:hAnsi="Arial" w:cs="Arial"/>
          <w:color w:val="000000"/>
          <w:lang w:val="es-AR"/>
        </w:rPr>
        <w:t xml:space="preserve">equivalente a </w:t>
      </w:r>
      <w:r w:rsidRPr="00225D32">
        <w:rPr>
          <w:rFonts w:ascii="Arial" w:eastAsia="Times New Roman" w:hAnsi="Arial" w:cs="Arial"/>
          <w:color w:val="000000"/>
          <w:lang w:val="es-AR"/>
        </w:rPr>
        <w:t>1195,13.</w:t>
      </w:r>
    </w:p>
    <w:p w:rsidR="000C6BDD" w:rsidRPr="00225D32" w:rsidRDefault="000C6BDD" w:rsidP="00AA3706">
      <w:pPr>
        <w:spacing w:line="276" w:lineRule="auto"/>
        <w:ind w:left="720" w:firstLine="0"/>
        <w:rPr>
          <w:rFonts w:ascii="Arial" w:eastAsia="Times New Roman" w:hAnsi="Arial" w:cs="Arial"/>
          <w:color w:val="000000"/>
          <w:lang w:val="es-AR"/>
        </w:rPr>
      </w:pPr>
      <w:r w:rsidRPr="00225D32">
        <w:rPr>
          <w:rFonts w:ascii="Arial" w:hAnsi="Arial" w:cs="Arial"/>
          <w:color w:val="000000"/>
          <w:lang w:val="es-AR"/>
        </w:rPr>
        <w:t xml:space="preserve">Ingresos Varios: se proyectan en base a su promedio </w:t>
      </w:r>
      <w:r w:rsidR="00C847C2" w:rsidRPr="00225D32">
        <w:rPr>
          <w:rFonts w:ascii="Arial" w:hAnsi="Arial" w:cs="Arial"/>
          <w:color w:val="000000"/>
          <w:lang w:val="es-AR"/>
        </w:rPr>
        <w:t xml:space="preserve">histórico de los últimos 5 años </w:t>
      </w:r>
      <w:r w:rsidRPr="00225D32">
        <w:rPr>
          <w:rFonts w:ascii="Arial" w:hAnsi="Arial" w:cs="Arial"/>
          <w:color w:val="000000"/>
          <w:lang w:val="es-AR"/>
        </w:rPr>
        <w:t xml:space="preserve">equivalente a Ls. </w:t>
      </w:r>
      <w:r w:rsidRPr="00225D32">
        <w:rPr>
          <w:rFonts w:ascii="Arial" w:eastAsia="Times New Roman" w:hAnsi="Arial" w:cs="Arial"/>
          <w:color w:val="000000"/>
          <w:lang w:val="es-AR"/>
        </w:rPr>
        <w:t>8,18 millones</w:t>
      </w:r>
    </w:p>
    <w:p w:rsidR="000C6BDD" w:rsidRPr="00225D32" w:rsidRDefault="000C6BDD" w:rsidP="00AA3706">
      <w:pPr>
        <w:spacing w:line="276" w:lineRule="auto"/>
        <w:ind w:left="360" w:firstLine="0"/>
        <w:rPr>
          <w:rFonts w:ascii="Arial" w:hAnsi="Arial" w:cs="Arial"/>
          <w:color w:val="000000"/>
          <w:lang w:val="es-AR"/>
        </w:rPr>
      </w:pPr>
      <w:r w:rsidRPr="00225D32">
        <w:rPr>
          <w:rFonts w:ascii="Arial" w:eastAsia="Times New Roman" w:hAnsi="Arial" w:cs="Arial"/>
          <w:color w:val="000000"/>
          <w:lang w:val="es-AR"/>
        </w:rPr>
        <w:t xml:space="preserve"> </w:t>
      </w:r>
    </w:p>
    <w:p w:rsidR="000C6BDD" w:rsidRPr="00225D32" w:rsidRDefault="000C6BDD" w:rsidP="00AA3706">
      <w:pPr>
        <w:spacing w:line="276" w:lineRule="auto"/>
        <w:ind w:firstLine="0"/>
        <w:rPr>
          <w:rFonts w:ascii="Arial" w:hAnsi="Arial" w:cs="Arial"/>
          <w:color w:val="000000"/>
          <w:lang w:val="es-AR"/>
        </w:rPr>
      </w:pPr>
      <w:r w:rsidRPr="00225D32">
        <w:rPr>
          <w:rFonts w:ascii="Arial" w:hAnsi="Arial" w:cs="Arial"/>
          <w:color w:val="000000"/>
          <w:lang w:val="es-AR"/>
        </w:rPr>
        <w:t>Evolución del lado del gasto:</w:t>
      </w:r>
    </w:p>
    <w:p w:rsidR="000C6BDD" w:rsidRPr="00225D32" w:rsidRDefault="000C6BDD" w:rsidP="00AA3706">
      <w:pPr>
        <w:spacing w:line="276" w:lineRule="auto"/>
        <w:ind w:firstLine="0"/>
        <w:rPr>
          <w:rFonts w:ascii="Arial" w:hAnsi="Arial" w:cs="Arial"/>
          <w:color w:val="000000"/>
          <w:lang w:val="es-AR"/>
        </w:rPr>
      </w:pPr>
      <w:r w:rsidRPr="00225D32">
        <w:rPr>
          <w:rFonts w:ascii="Arial" w:hAnsi="Arial" w:cs="Arial"/>
          <w:color w:val="000000"/>
          <w:lang w:val="es-AR"/>
        </w:rPr>
        <w:t>Sobre la evolución de los gastos, se recurrió a los siguientes supuestos</w:t>
      </w:r>
      <w:r w:rsidR="009F4744" w:rsidRPr="00225D32">
        <w:rPr>
          <w:rFonts w:ascii="Arial" w:hAnsi="Arial" w:cs="Arial"/>
          <w:color w:val="000000"/>
          <w:lang w:val="es-AR"/>
        </w:rPr>
        <w:t xml:space="preserve"> generales</w:t>
      </w:r>
      <w:r w:rsidRPr="00225D32">
        <w:rPr>
          <w:rFonts w:ascii="Arial" w:hAnsi="Arial" w:cs="Arial"/>
          <w:color w:val="000000"/>
          <w:lang w:val="es-AR"/>
        </w:rPr>
        <w:t xml:space="preserve">: </w:t>
      </w:r>
    </w:p>
    <w:p w:rsidR="000C6BDD" w:rsidRPr="00225D32" w:rsidRDefault="000C6BDD" w:rsidP="00AA3706">
      <w:pPr>
        <w:spacing w:line="276" w:lineRule="auto"/>
        <w:ind w:left="840" w:firstLine="0"/>
        <w:rPr>
          <w:rFonts w:ascii="Arial" w:hAnsi="Arial" w:cs="Arial"/>
          <w:color w:val="000000"/>
          <w:lang w:val="es-AR"/>
        </w:rPr>
      </w:pPr>
      <w:r w:rsidRPr="00225D32">
        <w:rPr>
          <w:rFonts w:ascii="Arial" w:hAnsi="Arial" w:cs="Arial"/>
          <w:color w:val="000000"/>
          <w:lang w:val="es-AR"/>
        </w:rPr>
        <w:t>Transferencias</w:t>
      </w:r>
      <w:r w:rsidR="009F4744" w:rsidRPr="00225D32">
        <w:rPr>
          <w:rFonts w:ascii="Arial" w:hAnsi="Arial" w:cs="Arial"/>
          <w:color w:val="000000"/>
          <w:lang w:val="es-AR"/>
        </w:rPr>
        <w:t xml:space="preserve"> corrientes</w:t>
      </w:r>
      <w:r w:rsidRPr="00225D32">
        <w:rPr>
          <w:rFonts w:ascii="Arial" w:hAnsi="Arial" w:cs="Arial"/>
          <w:color w:val="000000"/>
          <w:lang w:val="es-AR"/>
        </w:rPr>
        <w:t>: se proyectaron en base a los criterios de di</w:t>
      </w:r>
      <w:r w:rsidR="00C847C2" w:rsidRPr="00225D32">
        <w:rPr>
          <w:rFonts w:ascii="Arial" w:hAnsi="Arial" w:cs="Arial"/>
          <w:color w:val="000000"/>
          <w:lang w:val="es-AR"/>
        </w:rPr>
        <w:t xml:space="preserve">stribución establecidos por los </w:t>
      </w:r>
      <w:r w:rsidRPr="00225D32">
        <w:rPr>
          <w:rFonts w:ascii="Arial" w:hAnsi="Arial" w:cs="Arial"/>
          <w:color w:val="000000"/>
          <w:lang w:val="es-AR"/>
        </w:rPr>
        <w:t xml:space="preserve">decretos de Ley vigentes. Se empleó la distribución entre gasto corriente del año 2010, el último con información disponible, para estimar los valores de los próximos años. </w:t>
      </w:r>
    </w:p>
    <w:p w:rsidR="00434CEF" w:rsidRPr="00225D32" w:rsidRDefault="00434CEF" w:rsidP="00AA3706">
      <w:pPr>
        <w:spacing w:line="276" w:lineRule="auto"/>
        <w:ind w:left="840" w:firstLine="0"/>
        <w:rPr>
          <w:rFonts w:ascii="Arial" w:hAnsi="Arial" w:cs="Arial"/>
          <w:color w:val="000000"/>
          <w:lang w:val="es-AR"/>
        </w:rPr>
      </w:pPr>
    </w:p>
    <w:p w:rsidR="000C6BDD" w:rsidRPr="00225D32" w:rsidRDefault="000C6BDD" w:rsidP="00AA3706">
      <w:pPr>
        <w:pStyle w:val="ListParagraph"/>
        <w:ind w:left="840"/>
        <w:jc w:val="both"/>
        <w:rPr>
          <w:rFonts w:ascii="Arial" w:hAnsi="Arial" w:cs="Arial"/>
          <w:color w:val="000000"/>
        </w:rPr>
      </w:pPr>
      <w:r w:rsidRPr="00225D32">
        <w:rPr>
          <w:rFonts w:ascii="Arial" w:hAnsi="Arial" w:cs="Arial"/>
          <w:color w:val="000000"/>
        </w:rPr>
        <w:t>Gasto de consumo neto del BVM y del gasto en S</w:t>
      </w:r>
      <w:r w:rsidR="00C847C2" w:rsidRPr="00225D32">
        <w:rPr>
          <w:rFonts w:ascii="Arial" w:hAnsi="Arial" w:cs="Arial"/>
          <w:color w:val="000000"/>
        </w:rPr>
        <w:t xml:space="preserve">alud: se proyectan en base a su </w:t>
      </w:r>
      <w:r w:rsidRPr="00225D32">
        <w:rPr>
          <w:rFonts w:ascii="Arial" w:hAnsi="Arial" w:cs="Arial"/>
          <w:color w:val="000000"/>
        </w:rPr>
        <w:t xml:space="preserve">promedio histórico de los últimos 5 años equivalente a 12% del PBI. </w:t>
      </w:r>
    </w:p>
    <w:p w:rsidR="000C6BDD" w:rsidRPr="00225D32" w:rsidRDefault="000C6BDD" w:rsidP="00AA3706">
      <w:pPr>
        <w:pStyle w:val="ListParagraph"/>
        <w:spacing w:after="0"/>
        <w:ind w:left="840"/>
        <w:jc w:val="both"/>
        <w:rPr>
          <w:rFonts w:ascii="Arial" w:hAnsi="Arial" w:cs="Arial"/>
          <w:color w:val="000000"/>
        </w:rPr>
      </w:pPr>
      <w:r w:rsidRPr="00225D32">
        <w:rPr>
          <w:rFonts w:ascii="Arial" w:hAnsi="Arial" w:cs="Arial"/>
          <w:color w:val="000000"/>
        </w:rPr>
        <w:t>Amortización de deuda: se asume que la deuda externa tiene una vida promedio de 10 años a cinco años y que la deuda se renegocia al vencim</w:t>
      </w:r>
      <w:r w:rsidR="00C847C2" w:rsidRPr="00225D32">
        <w:rPr>
          <w:rFonts w:ascii="Arial" w:hAnsi="Arial" w:cs="Arial"/>
          <w:color w:val="000000"/>
        </w:rPr>
        <w:t xml:space="preserve">iento (cada año se renueva 1/10 </w:t>
      </w:r>
      <w:r w:rsidRPr="00225D32">
        <w:rPr>
          <w:rFonts w:ascii="Arial" w:hAnsi="Arial" w:cs="Arial"/>
          <w:color w:val="000000"/>
        </w:rPr>
        <w:t>de la misma). Se asume que la composición de la deuda entre tasa variable y tasa fija es la misma que la que prevalece al IV trimestre de 2015, es decir: 76% a tasa fija y 24% a tasa variable.</w:t>
      </w:r>
      <w:r w:rsidR="00434CEF" w:rsidRPr="00225D32">
        <w:rPr>
          <w:rFonts w:ascii="Arial" w:hAnsi="Arial" w:cs="Arial"/>
          <w:color w:val="000000"/>
        </w:rPr>
        <w:t xml:space="preserve"> </w:t>
      </w:r>
    </w:p>
    <w:p w:rsidR="00B168DB" w:rsidRPr="00225D32" w:rsidRDefault="00B168DB" w:rsidP="00AA3706">
      <w:pPr>
        <w:pStyle w:val="ListParagraph"/>
        <w:spacing w:after="0"/>
        <w:ind w:left="840"/>
        <w:jc w:val="both"/>
        <w:rPr>
          <w:rFonts w:ascii="Arial" w:hAnsi="Arial" w:cs="Arial"/>
          <w:color w:val="000000"/>
        </w:rPr>
      </w:pPr>
    </w:p>
    <w:p w:rsidR="000C6BDD" w:rsidRPr="00225D32" w:rsidRDefault="000C6BDD" w:rsidP="00AA3706">
      <w:pPr>
        <w:pStyle w:val="ListParagraph"/>
        <w:spacing w:after="0"/>
        <w:ind w:left="840"/>
        <w:jc w:val="both"/>
        <w:rPr>
          <w:rFonts w:ascii="Arial" w:hAnsi="Arial" w:cs="Arial"/>
          <w:color w:val="000000"/>
        </w:rPr>
      </w:pPr>
      <w:r w:rsidRPr="00225D32">
        <w:rPr>
          <w:rFonts w:ascii="Arial" w:hAnsi="Arial" w:cs="Arial"/>
          <w:color w:val="000000"/>
        </w:rPr>
        <w:t>Nuevos préstamos: el aumento continuo de la tasa de interés promedio en los últimos 5 años parece indicar cierta saturación en la posibilid</w:t>
      </w:r>
      <w:r w:rsidR="00C847C2" w:rsidRPr="00225D32">
        <w:rPr>
          <w:rFonts w:ascii="Arial" w:hAnsi="Arial" w:cs="Arial"/>
          <w:color w:val="000000"/>
        </w:rPr>
        <w:t xml:space="preserve">ad de colocar deuda interna. Se </w:t>
      </w:r>
      <w:r w:rsidRPr="00225D32">
        <w:rPr>
          <w:rFonts w:ascii="Arial" w:hAnsi="Arial" w:cs="Arial"/>
          <w:color w:val="000000"/>
        </w:rPr>
        <w:t xml:space="preserve">asume de este modo que la totalidad de la deuda pública toma la forma de préstamos externos ya sea en el mercado de capitales (a una tasa del 8,75%), o mediante los organismos multilaterales de crédito (a una tasa promedio del 3,65%). </w:t>
      </w:r>
      <w:r w:rsidR="00434CEF" w:rsidRPr="00225D32">
        <w:rPr>
          <w:rFonts w:ascii="Arial" w:hAnsi="Arial" w:cs="Arial"/>
          <w:color w:val="000000"/>
        </w:rPr>
        <w:t>Se asume a su vez que el BID mantendrá su plan de financiamiento para el período 2016-2018. Es decir: 155 mil</w:t>
      </w:r>
      <w:r w:rsidR="00FD12FF" w:rsidRPr="00225D32">
        <w:rPr>
          <w:rFonts w:ascii="Arial" w:hAnsi="Arial" w:cs="Arial"/>
          <w:color w:val="000000"/>
        </w:rPr>
        <w:t>l</w:t>
      </w:r>
      <w:r w:rsidR="00434CEF" w:rsidRPr="00225D32">
        <w:rPr>
          <w:rFonts w:ascii="Arial" w:hAnsi="Arial" w:cs="Arial"/>
          <w:color w:val="000000"/>
        </w:rPr>
        <w:t>ones de dólares para 2016, y 201 millones de dólares para 2017 y  2018.</w:t>
      </w:r>
      <w:r w:rsidR="0003652E" w:rsidRPr="00225D32">
        <w:rPr>
          <w:rFonts w:ascii="Arial" w:hAnsi="Arial" w:cs="Arial"/>
          <w:color w:val="000000"/>
        </w:rPr>
        <w:t xml:space="preserve"> Estos montos serán financiados a la tasa de 3,65%.</w:t>
      </w:r>
      <w:r w:rsidRPr="00225D32">
        <w:rPr>
          <w:rFonts w:ascii="Arial" w:hAnsi="Arial" w:cs="Arial"/>
          <w:color w:val="000000"/>
        </w:rPr>
        <w:t xml:space="preserve">  </w:t>
      </w:r>
      <w:r w:rsidR="00432CDD" w:rsidRPr="00225D32">
        <w:rPr>
          <w:rFonts w:ascii="Arial" w:hAnsi="Arial" w:cs="Arial"/>
          <w:color w:val="000000"/>
        </w:rPr>
        <w:t xml:space="preserve">A partir de 2018 la totalidad de la nueva deuda y la deuda refinanciada a tasa variable se contrae a una tasa del 8,75%. </w:t>
      </w:r>
      <w:r w:rsidRPr="00225D32">
        <w:rPr>
          <w:rFonts w:ascii="Arial" w:hAnsi="Arial" w:cs="Arial"/>
          <w:color w:val="000000"/>
        </w:rPr>
        <w:t xml:space="preserve">     </w:t>
      </w:r>
    </w:p>
    <w:p w:rsidR="000C6BDD" w:rsidRPr="00225D32" w:rsidRDefault="000C6BDD" w:rsidP="00AA3706">
      <w:pPr>
        <w:spacing w:line="276" w:lineRule="auto"/>
        <w:ind w:firstLine="0"/>
        <w:rPr>
          <w:rFonts w:ascii="Arial" w:hAnsi="Arial" w:cs="Arial"/>
          <w:color w:val="000000"/>
          <w:lang w:val="es-AR"/>
        </w:rPr>
      </w:pPr>
    </w:p>
    <w:p w:rsidR="009F4744" w:rsidRPr="00225D32" w:rsidRDefault="009F4744" w:rsidP="003F52E2">
      <w:pPr>
        <w:spacing w:line="276" w:lineRule="auto"/>
        <w:ind w:left="708" w:firstLine="0"/>
        <w:rPr>
          <w:rFonts w:ascii="Arial" w:hAnsi="Arial" w:cs="Arial"/>
          <w:lang w:val="es-AR"/>
        </w:rPr>
      </w:pPr>
      <w:r w:rsidRPr="00225D32">
        <w:rPr>
          <w:rFonts w:ascii="Arial" w:hAnsi="Arial" w:cs="Arial"/>
          <w:color w:val="000000"/>
          <w:lang w:val="es-AR"/>
        </w:rPr>
        <w:t xml:space="preserve">A su vez, se hicieron hipótesis específicas sobre las transferencias de capital y gastos de inversión de acuerdo a los escenarios considerados (ver sección II.2.b). En el caso de evolución exógena del déficit fiscal se asumió que las transferencias de capital y los gastos de inversión evolucionaron de acuerdo a las proyecciones </w:t>
      </w:r>
      <w:r w:rsidRPr="00225D32">
        <w:rPr>
          <w:rFonts w:ascii="Arial" w:hAnsi="Arial" w:cs="Arial"/>
          <w:lang w:val="es-AR"/>
        </w:rPr>
        <w:t xml:space="preserve">acuerdo con el FMI en torno al Article IV del organismo para Honduras. </w:t>
      </w:r>
    </w:p>
    <w:p w:rsidR="003F52E2" w:rsidRPr="00225D32" w:rsidRDefault="003F52E2" w:rsidP="003F52E2">
      <w:pPr>
        <w:spacing w:line="276" w:lineRule="auto"/>
        <w:ind w:left="708" w:firstLine="0"/>
        <w:rPr>
          <w:rFonts w:ascii="Arial" w:hAnsi="Arial" w:cs="Arial"/>
          <w:lang w:val="es-AR"/>
        </w:rPr>
      </w:pPr>
    </w:p>
    <w:p w:rsidR="009F4744" w:rsidRPr="00225D32" w:rsidRDefault="009F4744" w:rsidP="003F52E2">
      <w:pPr>
        <w:spacing w:line="276" w:lineRule="auto"/>
        <w:ind w:firstLine="0"/>
        <w:rPr>
          <w:rFonts w:ascii="Arial" w:hAnsi="Arial" w:cs="Arial"/>
          <w:lang w:val="es-AR"/>
        </w:rPr>
      </w:pPr>
      <w:r w:rsidRPr="00225D32">
        <w:rPr>
          <w:rFonts w:ascii="Arial" w:hAnsi="Arial" w:cs="Arial"/>
          <w:lang w:val="es-AR"/>
        </w:rPr>
        <w:lastRenderedPageBreak/>
        <w:t>En el escenario de déficit endógenamente determinado a partir del crecimiento del gasto corriente, se asumió lo siguiente:</w:t>
      </w:r>
    </w:p>
    <w:p w:rsidR="009F4744" w:rsidRPr="00225D32" w:rsidRDefault="009F4744" w:rsidP="00AA3706">
      <w:pPr>
        <w:spacing w:line="276" w:lineRule="auto"/>
        <w:ind w:firstLine="0"/>
        <w:rPr>
          <w:rFonts w:ascii="Arial" w:hAnsi="Arial" w:cs="Arial"/>
          <w:lang w:val="es-AR"/>
        </w:rPr>
      </w:pPr>
    </w:p>
    <w:p w:rsidR="009F4744" w:rsidRPr="00225D32" w:rsidRDefault="009F4744" w:rsidP="00AA3706">
      <w:pPr>
        <w:spacing w:line="276" w:lineRule="auto"/>
        <w:ind w:left="840" w:firstLine="0"/>
        <w:rPr>
          <w:rFonts w:ascii="Arial" w:hAnsi="Arial" w:cs="Arial"/>
          <w:color w:val="000000"/>
          <w:lang w:val="es-AR"/>
        </w:rPr>
      </w:pPr>
      <w:r w:rsidRPr="00225D32">
        <w:rPr>
          <w:rFonts w:ascii="Arial" w:hAnsi="Arial" w:cs="Arial"/>
          <w:lang w:val="es-AR"/>
        </w:rPr>
        <w:t xml:space="preserve">Transferencias de capital: </w:t>
      </w:r>
      <w:r w:rsidRPr="00225D32">
        <w:rPr>
          <w:rFonts w:ascii="Arial" w:hAnsi="Arial" w:cs="Arial"/>
          <w:color w:val="000000"/>
          <w:lang w:val="es-AR"/>
        </w:rPr>
        <w:t xml:space="preserve">se proyectaron en base a los criterios de distribución establecidos por los decretos de Ley vigentes. Se empleó la distribución entre gasto corriente del año 2010, el último con información disponible, para estimar los valores de los próximos años. </w:t>
      </w:r>
    </w:p>
    <w:p w:rsidR="009F4744" w:rsidRPr="00225D32" w:rsidRDefault="009F4744" w:rsidP="00AA3706">
      <w:pPr>
        <w:spacing w:line="276" w:lineRule="auto"/>
        <w:ind w:firstLine="0"/>
        <w:rPr>
          <w:rFonts w:ascii="Arial" w:hAnsi="Arial" w:cs="Arial"/>
          <w:color w:val="000000"/>
          <w:lang w:val="es-AR"/>
        </w:rPr>
      </w:pPr>
      <w:r w:rsidRPr="00225D32">
        <w:rPr>
          <w:rFonts w:ascii="Arial" w:hAnsi="Arial" w:cs="Arial"/>
          <w:lang w:val="es-AR"/>
        </w:rPr>
        <w:t xml:space="preserve"> </w:t>
      </w:r>
    </w:p>
    <w:p w:rsidR="009F4744" w:rsidRPr="00225D32" w:rsidRDefault="009F4744" w:rsidP="00AA3706">
      <w:pPr>
        <w:pStyle w:val="ListParagraph"/>
        <w:spacing w:after="0"/>
        <w:ind w:left="840"/>
        <w:jc w:val="both"/>
        <w:rPr>
          <w:rFonts w:ascii="Arial" w:hAnsi="Arial" w:cs="Arial"/>
          <w:color w:val="000000"/>
        </w:rPr>
      </w:pPr>
      <w:r w:rsidRPr="00225D32">
        <w:rPr>
          <w:rFonts w:ascii="Arial" w:hAnsi="Arial" w:cs="Arial"/>
          <w:color w:val="000000"/>
        </w:rPr>
        <w:t>Gasto de inversión: se asume su constancia respecto al producto en base a su promedio histórico durante el período 2011-2015, es decir, en torno al 2% del PIB.</w:t>
      </w:r>
    </w:p>
    <w:p w:rsidR="009F4744" w:rsidRPr="00225D32" w:rsidRDefault="009F4744" w:rsidP="00AA3706">
      <w:pPr>
        <w:spacing w:line="276" w:lineRule="auto"/>
        <w:ind w:firstLine="0"/>
        <w:rPr>
          <w:rFonts w:ascii="Arial" w:hAnsi="Arial" w:cs="Arial"/>
          <w:color w:val="000000"/>
          <w:lang w:val="es-AR"/>
        </w:rPr>
      </w:pPr>
      <w:r w:rsidRPr="00225D32">
        <w:rPr>
          <w:rFonts w:ascii="Arial" w:hAnsi="Arial" w:cs="Arial"/>
          <w:color w:val="000000"/>
          <w:lang w:val="es-AR"/>
        </w:rPr>
        <w:t xml:space="preserve"> </w:t>
      </w:r>
    </w:p>
    <w:p w:rsidR="000C6BDD" w:rsidRPr="00225D32" w:rsidRDefault="00793845" w:rsidP="003F52E2">
      <w:pPr>
        <w:pStyle w:val="Subtitle"/>
        <w:ind w:firstLine="0"/>
        <w:jc w:val="both"/>
        <w:rPr>
          <w:rFonts w:ascii="Arial" w:hAnsi="Arial" w:cs="Arial"/>
          <w:b/>
          <w:sz w:val="22"/>
          <w:szCs w:val="22"/>
          <w:lang w:val="es-AR"/>
        </w:rPr>
      </w:pPr>
      <w:r w:rsidRPr="00225D32">
        <w:rPr>
          <w:rFonts w:ascii="Arial" w:hAnsi="Arial" w:cs="Arial"/>
          <w:b/>
          <w:sz w:val="22"/>
          <w:szCs w:val="22"/>
          <w:lang w:val="es-AR"/>
        </w:rPr>
        <w:t xml:space="preserve">II.2.b Escenarios </w:t>
      </w:r>
    </w:p>
    <w:p w:rsidR="00B168DB" w:rsidRPr="00225D32" w:rsidRDefault="000C6BDD" w:rsidP="00AA3706">
      <w:pPr>
        <w:pStyle w:val="Prrafodelista1"/>
        <w:spacing w:line="276" w:lineRule="auto"/>
        <w:ind w:left="0"/>
        <w:rPr>
          <w:rFonts w:ascii="Arial" w:hAnsi="Arial" w:cs="Arial"/>
          <w:color w:val="000000"/>
          <w:lang w:val="es-AR"/>
        </w:rPr>
      </w:pPr>
      <w:r w:rsidRPr="00225D32">
        <w:rPr>
          <w:rFonts w:ascii="Arial" w:hAnsi="Arial" w:cs="Arial"/>
          <w:color w:val="000000"/>
          <w:lang w:val="es-AR"/>
        </w:rPr>
        <w:t xml:space="preserve">Escenarios de análisis para la sostenibilidad financiera del BVM y el Programa de Gestores de Salud. Se consideran </w:t>
      </w:r>
      <w:r w:rsidR="00D91F36" w:rsidRPr="00225D32">
        <w:rPr>
          <w:rFonts w:ascii="Arial" w:hAnsi="Arial" w:cs="Arial"/>
          <w:color w:val="000000"/>
          <w:lang w:val="es-AR"/>
        </w:rPr>
        <w:t>dos</w:t>
      </w:r>
      <w:r w:rsidRPr="00225D32">
        <w:rPr>
          <w:rFonts w:ascii="Arial" w:hAnsi="Arial" w:cs="Arial"/>
          <w:color w:val="000000"/>
          <w:lang w:val="es-AR"/>
        </w:rPr>
        <w:t xml:space="preserve"> escenarios alternativos</w:t>
      </w:r>
      <w:r w:rsidR="00D91F36" w:rsidRPr="00225D32">
        <w:rPr>
          <w:rFonts w:ascii="Arial" w:hAnsi="Arial" w:cs="Arial"/>
          <w:color w:val="000000"/>
          <w:lang w:val="es-AR"/>
        </w:rPr>
        <w:t>:</w:t>
      </w:r>
      <w:r w:rsidR="00865498" w:rsidRPr="00225D32">
        <w:rPr>
          <w:rFonts w:ascii="Arial" w:hAnsi="Arial" w:cs="Arial"/>
          <w:color w:val="000000"/>
          <w:lang w:val="es-AR"/>
        </w:rPr>
        <w:t xml:space="preserve"> en el primero el déficit está determinado en forma exógena de manera tal de cumplir con los acuerdos con el FMI. El nivel de gast</w:t>
      </w:r>
      <w:r w:rsidR="00752082" w:rsidRPr="00225D32">
        <w:rPr>
          <w:rFonts w:ascii="Arial" w:hAnsi="Arial" w:cs="Arial"/>
          <w:color w:val="000000"/>
          <w:lang w:val="es-AR"/>
        </w:rPr>
        <w:t>o corriente depende entonces de las metas acordadas para el resultado fiscal y del cumplimiento de la Ley de Responsabilidad Fiscal</w:t>
      </w:r>
      <w:r w:rsidR="00865498" w:rsidRPr="00225D32">
        <w:rPr>
          <w:rFonts w:ascii="Arial" w:hAnsi="Arial" w:cs="Arial"/>
          <w:color w:val="000000"/>
          <w:lang w:val="es-AR"/>
        </w:rPr>
        <w:t>. En el segundo, el déficit es resultado de niveles de gasto e ingresos que siguen una dinámica asociada a la evolución del PBI.</w:t>
      </w:r>
      <w:r w:rsidR="007F499B" w:rsidRPr="00225D32">
        <w:rPr>
          <w:rFonts w:ascii="Arial" w:hAnsi="Arial" w:cs="Arial"/>
          <w:color w:val="000000"/>
          <w:lang w:val="es-AR"/>
        </w:rPr>
        <w:t xml:space="preserve"> </w:t>
      </w:r>
      <w:r w:rsidR="00D91F36" w:rsidRPr="00225D32">
        <w:rPr>
          <w:rFonts w:ascii="Arial" w:hAnsi="Arial" w:cs="Arial"/>
          <w:color w:val="000000"/>
          <w:lang w:val="es-AR"/>
        </w:rPr>
        <w:t xml:space="preserve">Adicionalmente, el análisis de sensibilidad contempla variaciones </w:t>
      </w:r>
      <w:r w:rsidR="007F499B" w:rsidRPr="00225D32">
        <w:rPr>
          <w:rFonts w:ascii="Arial" w:hAnsi="Arial" w:cs="Arial"/>
          <w:color w:val="000000"/>
          <w:lang w:val="es-AR"/>
        </w:rPr>
        <w:t xml:space="preserve">en el nivel de cobertura de los programas y en la tasa de crecimiento del PBI. </w:t>
      </w:r>
    </w:p>
    <w:p w:rsidR="00B168DB" w:rsidRPr="00225D32" w:rsidRDefault="00B168DB" w:rsidP="00AA3706">
      <w:pPr>
        <w:pStyle w:val="Prrafodelista1"/>
        <w:spacing w:line="276" w:lineRule="auto"/>
        <w:ind w:left="0"/>
        <w:rPr>
          <w:rFonts w:ascii="Arial" w:hAnsi="Arial" w:cs="Arial"/>
          <w:color w:val="000000"/>
          <w:highlight w:val="yellow"/>
          <w:lang w:val="es-AR"/>
        </w:rPr>
      </w:pPr>
    </w:p>
    <w:p w:rsidR="000C6BDD" w:rsidRPr="00225D32" w:rsidRDefault="007F499B" w:rsidP="00AA3706">
      <w:pPr>
        <w:pStyle w:val="Prrafodelista1"/>
        <w:spacing w:line="276" w:lineRule="auto"/>
        <w:ind w:left="0"/>
        <w:rPr>
          <w:rFonts w:ascii="Arial" w:hAnsi="Arial" w:cs="Arial"/>
          <w:color w:val="000000"/>
          <w:lang w:val="es-AR"/>
        </w:rPr>
      </w:pPr>
      <w:r w:rsidRPr="00225D32">
        <w:rPr>
          <w:rFonts w:ascii="Arial" w:hAnsi="Arial" w:cs="Arial"/>
          <w:color w:val="000000"/>
          <w:lang w:val="es-AR"/>
        </w:rPr>
        <w:t xml:space="preserve">El </w:t>
      </w:r>
      <w:r w:rsidR="00762690" w:rsidRPr="00225D32">
        <w:rPr>
          <w:rFonts w:ascii="Arial" w:hAnsi="Arial" w:cs="Arial"/>
          <w:color w:val="000000"/>
          <w:lang w:val="es-AR"/>
        </w:rPr>
        <w:t>siguiente cuadro</w:t>
      </w:r>
      <w:r w:rsidRPr="00225D32">
        <w:rPr>
          <w:rFonts w:ascii="Arial" w:hAnsi="Arial" w:cs="Arial"/>
          <w:color w:val="000000"/>
          <w:lang w:val="es-AR"/>
        </w:rPr>
        <w:t xml:space="preserve"> presenta un esquema de las distintas configuraciones de las variables, indicando en </w:t>
      </w:r>
      <w:r w:rsidR="005A1826" w:rsidRPr="00225D32">
        <w:rPr>
          <w:rFonts w:ascii="Arial" w:hAnsi="Arial" w:cs="Arial"/>
          <w:color w:val="000000"/>
          <w:lang w:val="es-AR"/>
        </w:rPr>
        <w:t xml:space="preserve">negritas las que se presentan en esta sección y en </w:t>
      </w:r>
      <w:r w:rsidRPr="00225D32">
        <w:rPr>
          <w:rFonts w:ascii="Arial" w:hAnsi="Arial" w:cs="Arial"/>
          <w:color w:val="000000"/>
          <w:lang w:val="es-AR"/>
        </w:rPr>
        <w:t>itálicas aquellas que son desarrolladas en el apartado que analiza la sensibilidad.</w:t>
      </w:r>
    </w:p>
    <w:p w:rsidR="00B168DB" w:rsidRPr="00225D32" w:rsidRDefault="00B168DB" w:rsidP="00AA3706">
      <w:pPr>
        <w:pStyle w:val="Prrafodelista1"/>
        <w:spacing w:line="276" w:lineRule="auto"/>
        <w:ind w:left="0"/>
        <w:rPr>
          <w:rFonts w:ascii="Arial" w:hAnsi="Arial" w:cs="Arial"/>
          <w:color w:val="000000"/>
          <w:lang w:val="es-AR"/>
        </w:rPr>
      </w:pPr>
    </w:p>
    <w:p w:rsidR="00B168DB" w:rsidRDefault="00B168DB" w:rsidP="00AA3706">
      <w:pPr>
        <w:pStyle w:val="Prrafodelista1"/>
        <w:spacing w:line="276" w:lineRule="auto"/>
        <w:ind w:left="0"/>
        <w:rPr>
          <w:rFonts w:cs="Calibri"/>
          <w:color w:val="000000"/>
          <w:lang w:val="es-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5"/>
        <w:gridCol w:w="1857"/>
        <w:gridCol w:w="2126"/>
        <w:gridCol w:w="2977"/>
      </w:tblGrid>
      <w:tr w:rsidR="00DC17C4" w:rsidRPr="00225D32" w:rsidTr="00EC0BA4">
        <w:tc>
          <w:tcPr>
            <w:tcW w:w="1795" w:type="dxa"/>
            <w:vMerge w:val="restart"/>
            <w:shd w:val="clear" w:color="auto" w:fill="auto"/>
          </w:tcPr>
          <w:p w:rsidR="00DC17C4" w:rsidRPr="00225D32" w:rsidRDefault="00DC17C4" w:rsidP="00AA3706">
            <w:pPr>
              <w:pStyle w:val="Prrafodelista1"/>
              <w:spacing w:line="276" w:lineRule="auto"/>
              <w:ind w:left="0"/>
              <w:rPr>
                <w:rFonts w:ascii="Arial" w:hAnsi="Arial" w:cs="Arial"/>
                <w:b/>
                <w:color w:val="000000"/>
                <w:sz w:val="20"/>
                <w:szCs w:val="20"/>
                <w:lang w:val="es-AR"/>
              </w:rPr>
            </w:pPr>
            <w:r w:rsidRPr="00225D32">
              <w:rPr>
                <w:rFonts w:ascii="Arial" w:hAnsi="Arial" w:cs="Arial"/>
                <w:b/>
                <w:color w:val="000000"/>
                <w:sz w:val="20"/>
                <w:szCs w:val="20"/>
                <w:lang w:val="es-AR"/>
              </w:rPr>
              <w:t>Déficit exógeno</w:t>
            </w:r>
          </w:p>
        </w:tc>
        <w:tc>
          <w:tcPr>
            <w:tcW w:w="1857" w:type="dxa"/>
            <w:vMerge w:val="restart"/>
            <w:shd w:val="clear" w:color="auto" w:fill="auto"/>
          </w:tcPr>
          <w:p w:rsidR="00DC17C4" w:rsidRPr="00225D32" w:rsidRDefault="00DC17C4" w:rsidP="00AA3706">
            <w:pPr>
              <w:pStyle w:val="Prrafodelista1"/>
              <w:spacing w:line="276" w:lineRule="auto"/>
              <w:ind w:left="0"/>
              <w:rPr>
                <w:rFonts w:ascii="Arial" w:hAnsi="Arial" w:cs="Arial"/>
                <w:b/>
                <w:color w:val="000000"/>
                <w:sz w:val="20"/>
                <w:szCs w:val="20"/>
                <w:lang w:val="es-AR"/>
              </w:rPr>
            </w:pPr>
            <w:r w:rsidRPr="00225D32">
              <w:rPr>
                <w:rFonts w:ascii="Arial" w:hAnsi="Arial" w:cs="Arial"/>
                <w:b/>
                <w:color w:val="000000"/>
                <w:sz w:val="20"/>
                <w:szCs w:val="20"/>
                <w:lang w:val="es-AR"/>
              </w:rPr>
              <w:t>Crecimiento PBI: 4% anual</w:t>
            </w:r>
          </w:p>
        </w:tc>
        <w:tc>
          <w:tcPr>
            <w:tcW w:w="2126" w:type="dxa"/>
            <w:vMerge w:val="restart"/>
            <w:shd w:val="clear" w:color="auto" w:fill="auto"/>
          </w:tcPr>
          <w:p w:rsidR="00DC17C4" w:rsidRPr="00225D32" w:rsidRDefault="00DC17C4" w:rsidP="00AA3706">
            <w:pPr>
              <w:pStyle w:val="Prrafodelista1"/>
              <w:spacing w:line="276" w:lineRule="auto"/>
              <w:ind w:left="0"/>
              <w:rPr>
                <w:rFonts w:ascii="Arial" w:hAnsi="Arial" w:cs="Arial"/>
                <w:b/>
                <w:color w:val="000000"/>
                <w:sz w:val="20"/>
                <w:szCs w:val="20"/>
                <w:lang w:val="es-AR"/>
              </w:rPr>
            </w:pPr>
            <w:r w:rsidRPr="00225D32">
              <w:rPr>
                <w:rFonts w:ascii="Arial" w:hAnsi="Arial" w:cs="Arial"/>
                <w:b/>
                <w:color w:val="000000"/>
                <w:sz w:val="20"/>
                <w:szCs w:val="20"/>
                <w:lang w:val="es-AR"/>
              </w:rPr>
              <w:t>Cobertura BVM: 400.000 hogares</w:t>
            </w:r>
          </w:p>
        </w:tc>
        <w:tc>
          <w:tcPr>
            <w:tcW w:w="2977" w:type="dxa"/>
            <w:shd w:val="clear" w:color="auto" w:fill="auto"/>
          </w:tcPr>
          <w:p w:rsidR="00DC17C4" w:rsidRPr="00225D32" w:rsidRDefault="00DC17C4" w:rsidP="00AA3706">
            <w:pPr>
              <w:pStyle w:val="Prrafodelista1"/>
              <w:spacing w:line="276" w:lineRule="auto"/>
              <w:ind w:left="0"/>
              <w:rPr>
                <w:rFonts w:ascii="Arial" w:hAnsi="Arial" w:cs="Arial"/>
                <w:b/>
                <w:color w:val="000000"/>
                <w:sz w:val="20"/>
                <w:szCs w:val="20"/>
                <w:lang w:val="es-AR"/>
              </w:rPr>
            </w:pPr>
            <w:r w:rsidRPr="00225D32">
              <w:rPr>
                <w:rFonts w:ascii="Arial" w:hAnsi="Arial" w:cs="Arial"/>
                <w:b/>
                <w:color w:val="000000"/>
                <w:sz w:val="20"/>
                <w:szCs w:val="20"/>
                <w:lang w:val="es-AR"/>
              </w:rPr>
              <w:t>Cobertura PGDS: 104 municipios</w:t>
            </w:r>
          </w:p>
        </w:tc>
      </w:tr>
      <w:tr w:rsidR="00DC17C4" w:rsidRPr="00225D32" w:rsidTr="00EC0BA4">
        <w:tc>
          <w:tcPr>
            <w:tcW w:w="1795" w:type="dxa"/>
            <w:vMerge/>
            <w:shd w:val="clear" w:color="auto" w:fill="auto"/>
          </w:tcPr>
          <w:p w:rsidR="00DC17C4" w:rsidRPr="00225D32" w:rsidRDefault="00DC17C4" w:rsidP="00AA3706">
            <w:pPr>
              <w:pStyle w:val="Prrafodelista1"/>
              <w:spacing w:line="276" w:lineRule="auto"/>
              <w:ind w:left="0"/>
              <w:rPr>
                <w:rFonts w:ascii="Arial" w:hAnsi="Arial" w:cs="Arial"/>
                <w:color w:val="000000"/>
                <w:sz w:val="20"/>
                <w:szCs w:val="20"/>
                <w:lang w:val="es-AR"/>
              </w:rPr>
            </w:pPr>
          </w:p>
        </w:tc>
        <w:tc>
          <w:tcPr>
            <w:tcW w:w="1857" w:type="dxa"/>
            <w:vMerge/>
            <w:shd w:val="clear" w:color="auto" w:fill="auto"/>
          </w:tcPr>
          <w:p w:rsidR="00DC17C4" w:rsidRPr="00225D32" w:rsidRDefault="00DC17C4" w:rsidP="00AA3706">
            <w:pPr>
              <w:pStyle w:val="Prrafodelista1"/>
              <w:spacing w:line="276" w:lineRule="auto"/>
              <w:ind w:left="0"/>
              <w:rPr>
                <w:rFonts w:ascii="Arial" w:hAnsi="Arial" w:cs="Arial"/>
                <w:i/>
                <w:color w:val="000000"/>
                <w:sz w:val="20"/>
                <w:szCs w:val="20"/>
                <w:lang w:val="es-AR"/>
              </w:rPr>
            </w:pPr>
          </w:p>
        </w:tc>
        <w:tc>
          <w:tcPr>
            <w:tcW w:w="2126" w:type="dxa"/>
            <w:vMerge/>
            <w:shd w:val="clear" w:color="auto" w:fill="auto"/>
          </w:tcPr>
          <w:p w:rsidR="00DC17C4" w:rsidRPr="00225D32" w:rsidRDefault="00DC17C4" w:rsidP="00AA3706">
            <w:pPr>
              <w:pStyle w:val="Prrafodelista1"/>
              <w:spacing w:line="276" w:lineRule="auto"/>
              <w:ind w:left="0"/>
              <w:rPr>
                <w:rFonts w:ascii="Arial" w:hAnsi="Arial" w:cs="Arial"/>
                <w:i/>
                <w:color w:val="000000"/>
                <w:sz w:val="20"/>
                <w:szCs w:val="20"/>
                <w:lang w:val="es-AR"/>
              </w:rPr>
            </w:pPr>
          </w:p>
        </w:tc>
        <w:tc>
          <w:tcPr>
            <w:tcW w:w="2977" w:type="dxa"/>
            <w:shd w:val="clear" w:color="auto" w:fill="auto"/>
          </w:tcPr>
          <w:p w:rsidR="00DC17C4" w:rsidRPr="00225D32" w:rsidRDefault="00DC17C4" w:rsidP="00AA3706">
            <w:pPr>
              <w:pStyle w:val="Prrafodelista1"/>
              <w:spacing w:line="276" w:lineRule="auto"/>
              <w:ind w:left="0"/>
              <w:rPr>
                <w:rFonts w:ascii="Arial" w:hAnsi="Arial" w:cs="Arial"/>
                <w:i/>
                <w:color w:val="000000"/>
                <w:sz w:val="20"/>
                <w:szCs w:val="20"/>
                <w:lang w:val="es-AR"/>
              </w:rPr>
            </w:pPr>
            <w:r w:rsidRPr="00225D32">
              <w:rPr>
                <w:rFonts w:ascii="Arial" w:hAnsi="Arial" w:cs="Arial"/>
                <w:i/>
                <w:color w:val="000000"/>
                <w:sz w:val="20"/>
                <w:szCs w:val="20"/>
                <w:lang w:val="es-AR"/>
              </w:rPr>
              <w:t>Cobertura PGDS: 100 municipios</w:t>
            </w:r>
          </w:p>
        </w:tc>
      </w:tr>
      <w:tr w:rsidR="00DC17C4" w:rsidRPr="00225D32" w:rsidTr="00EC0BA4">
        <w:tc>
          <w:tcPr>
            <w:tcW w:w="1795" w:type="dxa"/>
            <w:vMerge/>
            <w:shd w:val="clear" w:color="auto" w:fill="auto"/>
          </w:tcPr>
          <w:p w:rsidR="00DC17C4" w:rsidRPr="00225D32" w:rsidRDefault="00DC17C4" w:rsidP="00AA3706">
            <w:pPr>
              <w:pStyle w:val="Prrafodelista1"/>
              <w:spacing w:line="276" w:lineRule="auto"/>
              <w:ind w:left="0"/>
              <w:rPr>
                <w:rFonts w:ascii="Arial" w:hAnsi="Arial" w:cs="Arial"/>
                <w:color w:val="000000"/>
                <w:sz w:val="20"/>
                <w:szCs w:val="20"/>
                <w:lang w:val="es-AR"/>
              </w:rPr>
            </w:pPr>
          </w:p>
        </w:tc>
        <w:tc>
          <w:tcPr>
            <w:tcW w:w="1857" w:type="dxa"/>
            <w:vMerge/>
            <w:shd w:val="clear" w:color="auto" w:fill="auto"/>
          </w:tcPr>
          <w:p w:rsidR="00DC17C4" w:rsidRPr="00225D32" w:rsidRDefault="00DC17C4" w:rsidP="00AA3706">
            <w:pPr>
              <w:pStyle w:val="Prrafodelista1"/>
              <w:spacing w:line="276" w:lineRule="auto"/>
              <w:ind w:left="0"/>
              <w:rPr>
                <w:rFonts w:ascii="Arial" w:hAnsi="Arial" w:cs="Arial"/>
                <w:i/>
                <w:color w:val="000000"/>
                <w:sz w:val="20"/>
                <w:szCs w:val="20"/>
                <w:lang w:val="es-AR"/>
              </w:rPr>
            </w:pPr>
          </w:p>
        </w:tc>
        <w:tc>
          <w:tcPr>
            <w:tcW w:w="2126" w:type="dxa"/>
            <w:vMerge/>
            <w:shd w:val="clear" w:color="auto" w:fill="auto"/>
          </w:tcPr>
          <w:p w:rsidR="00DC17C4" w:rsidRPr="00225D32" w:rsidRDefault="00DC17C4" w:rsidP="00AA3706">
            <w:pPr>
              <w:pStyle w:val="Prrafodelista1"/>
              <w:spacing w:line="276" w:lineRule="auto"/>
              <w:ind w:left="0"/>
              <w:rPr>
                <w:rFonts w:ascii="Arial" w:hAnsi="Arial" w:cs="Arial"/>
                <w:i/>
                <w:color w:val="000000"/>
                <w:sz w:val="20"/>
                <w:szCs w:val="20"/>
                <w:lang w:val="es-AR"/>
              </w:rPr>
            </w:pPr>
          </w:p>
        </w:tc>
        <w:tc>
          <w:tcPr>
            <w:tcW w:w="2977" w:type="dxa"/>
            <w:shd w:val="clear" w:color="auto" w:fill="auto"/>
          </w:tcPr>
          <w:p w:rsidR="00DC17C4" w:rsidRPr="00225D32" w:rsidRDefault="00DC17C4" w:rsidP="00AA3706">
            <w:pPr>
              <w:pStyle w:val="Prrafodelista1"/>
              <w:spacing w:line="276" w:lineRule="auto"/>
              <w:ind w:left="0"/>
              <w:rPr>
                <w:rFonts w:ascii="Arial" w:hAnsi="Arial" w:cs="Arial"/>
                <w:i/>
                <w:color w:val="000000"/>
                <w:sz w:val="20"/>
                <w:szCs w:val="20"/>
                <w:lang w:val="es-AR"/>
              </w:rPr>
            </w:pPr>
            <w:r w:rsidRPr="00225D32">
              <w:rPr>
                <w:rFonts w:ascii="Arial" w:hAnsi="Arial" w:cs="Arial"/>
                <w:i/>
                <w:color w:val="000000"/>
                <w:sz w:val="20"/>
                <w:szCs w:val="20"/>
                <w:lang w:val="es-AR"/>
              </w:rPr>
              <w:t>Cobertura PGDS: 93 municipios</w:t>
            </w:r>
          </w:p>
        </w:tc>
      </w:tr>
      <w:tr w:rsidR="00DC17C4" w:rsidRPr="00225D32" w:rsidTr="00EC0BA4">
        <w:tc>
          <w:tcPr>
            <w:tcW w:w="1795" w:type="dxa"/>
            <w:vMerge/>
            <w:shd w:val="clear" w:color="auto" w:fill="auto"/>
          </w:tcPr>
          <w:p w:rsidR="00DC17C4" w:rsidRPr="00225D32" w:rsidRDefault="00DC17C4" w:rsidP="00AA3706">
            <w:pPr>
              <w:pStyle w:val="Prrafodelista1"/>
              <w:spacing w:line="276" w:lineRule="auto"/>
              <w:ind w:left="0"/>
              <w:rPr>
                <w:rFonts w:ascii="Arial" w:hAnsi="Arial" w:cs="Arial"/>
                <w:color w:val="000000"/>
                <w:sz w:val="20"/>
                <w:szCs w:val="20"/>
                <w:lang w:val="es-AR"/>
              </w:rPr>
            </w:pPr>
          </w:p>
        </w:tc>
        <w:tc>
          <w:tcPr>
            <w:tcW w:w="1857" w:type="dxa"/>
            <w:vMerge/>
            <w:shd w:val="clear" w:color="auto" w:fill="auto"/>
          </w:tcPr>
          <w:p w:rsidR="00DC17C4" w:rsidRPr="00225D32" w:rsidRDefault="00DC17C4" w:rsidP="00AA3706">
            <w:pPr>
              <w:pStyle w:val="Prrafodelista1"/>
              <w:spacing w:line="276" w:lineRule="auto"/>
              <w:ind w:left="0"/>
              <w:rPr>
                <w:rFonts w:ascii="Arial" w:hAnsi="Arial" w:cs="Arial"/>
                <w:i/>
                <w:color w:val="000000"/>
                <w:sz w:val="20"/>
                <w:szCs w:val="20"/>
                <w:lang w:val="es-AR"/>
              </w:rPr>
            </w:pPr>
          </w:p>
        </w:tc>
        <w:tc>
          <w:tcPr>
            <w:tcW w:w="2126" w:type="dxa"/>
            <w:vMerge w:val="restart"/>
            <w:shd w:val="clear" w:color="auto" w:fill="auto"/>
          </w:tcPr>
          <w:p w:rsidR="00DC17C4" w:rsidRPr="00225D32" w:rsidRDefault="00DC17C4" w:rsidP="00AA3706">
            <w:pPr>
              <w:pStyle w:val="Prrafodelista1"/>
              <w:spacing w:line="276" w:lineRule="auto"/>
              <w:ind w:left="0"/>
              <w:rPr>
                <w:rFonts w:ascii="Arial" w:hAnsi="Arial" w:cs="Arial"/>
                <w:i/>
                <w:color w:val="000000"/>
                <w:sz w:val="20"/>
                <w:szCs w:val="20"/>
                <w:lang w:val="es-AR"/>
              </w:rPr>
            </w:pPr>
            <w:r w:rsidRPr="00225D32">
              <w:rPr>
                <w:rFonts w:ascii="Arial" w:hAnsi="Arial" w:cs="Arial"/>
                <w:i/>
                <w:color w:val="000000"/>
                <w:sz w:val="20"/>
                <w:szCs w:val="20"/>
                <w:lang w:val="es-AR"/>
              </w:rPr>
              <w:t>Cobertura BVM: 300.000 hogares</w:t>
            </w:r>
          </w:p>
        </w:tc>
        <w:tc>
          <w:tcPr>
            <w:tcW w:w="2977" w:type="dxa"/>
            <w:shd w:val="clear" w:color="auto" w:fill="auto"/>
          </w:tcPr>
          <w:p w:rsidR="00DC17C4" w:rsidRPr="00225D32" w:rsidRDefault="00DC17C4" w:rsidP="00AA3706">
            <w:pPr>
              <w:pStyle w:val="Prrafodelista1"/>
              <w:spacing w:line="276" w:lineRule="auto"/>
              <w:ind w:left="0"/>
              <w:rPr>
                <w:rFonts w:ascii="Arial" w:hAnsi="Arial" w:cs="Arial"/>
                <w:i/>
                <w:color w:val="000000"/>
                <w:sz w:val="20"/>
                <w:szCs w:val="20"/>
                <w:lang w:val="es-AR"/>
              </w:rPr>
            </w:pPr>
            <w:r w:rsidRPr="00225D32">
              <w:rPr>
                <w:rFonts w:ascii="Arial" w:hAnsi="Arial" w:cs="Arial"/>
                <w:i/>
                <w:color w:val="000000"/>
                <w:sz w:val="20"/>
                <w:szCs w:val="20"/>
                <w:lang w:val="es-AR"/>
              </w:rPr>
              <w:t>Cobertura PGDS: 104 municipios</w:t>
            </w:r>
          </w:p>
        </w:tc>
      </w:tr>
      <w:tr w:rsidR="00DC17C4" w:rsidRPr="00225D32" w:rsidTr="00EC0BA4">
        <w:tc>
          <w:tcPr>
            <w:tcW w:w="1795" w:type="dxa"/>
            <w:vMerge/>
            <w:shd w:val="clear" w:color="auto" w:fill="auto"/>
          </w:tcPr>
          <w:p w:rsidR="00DC17C4" w:rsidRPr="00225D32" w:rsidRDefault="00DC17C4" w:rsidP="00AA3706">
            <w:pPr>
              <w:pStyle w:val="Prrafodelista1"/>
              <w:spacing w:line="276" w:lineRule="auto"/>
              <w:ind w:left="0"/>
              <w:rPr>
                <w:rFonts w:ascii="Arial" w:hAnsi="Arial" w:cs="Arial"/>
                <w:color w:val="000000"/>
                <w:sz w:val="20"/>
                <w:szCs w:val="20"/>
                <w:lang w:val="es-AR"/>
              </w:rPr>
            </w:pPr>
          </w:p>
        </w:tc>
        <w:tc>
          <w:tcPr>
            <w:tcW w:w="1857" w:type="dxa"/>
            <w:vMerge/>
            <w:shd w:val="clear" w:color="auto" w:fill="auto"/>
          </w:tcPr>
          <w:p w:rsidR="00DC17C4" w:rsidRPr="00225D32" w:rsidRDefault="00DC17C4" w:rsidP="00AA3706">
            <w:pPr>
              <w:pStyle w:val="Prrafodelista1"/>
              <w:spacing w:line="276" w:lineRule="auto"/>
              <w:ind w:left="0"/>
              <w:rPr>
                <w:rFonts w:ascii="Arial" w:hAnsi="Arial" w:cs="Arial"/>
                <w:i/>
                <w:color w:val="000000"/>
                <w:sz w:val="20"/>
                <w:szCs w:val="20"/>
                <w:lang w:val="es-AR"/>
              </w:rPr>
            </w:pPr>
          </w:p>
        </w:tc>
        <w:tc>
          <w:tcPr>
            <w:tcW w:w="2126" w:type="dxa"/>
            <w:vMerge/>
            <w:shd w:val="clear" w:color="auto" w:fill="auto"/>
          </w:tcPr>
          <w:p w:rsidR="00DC17C4" w:rsidRPr="00225D32" w:rsidRDefault="00DC17C4" w:rsidP="00AA3706">
            <w:pPr>
              <w:pStyle w:val="Prrafodelista1"/>
              <w:spacing w:line="276" w:lineRule="auto"/>
              <w:ind w:left="0"/>
              <w:rPr>
                <w:rFonts w:ascii="Arial" w:hAnsi="Arial" w:cs="Arial"/>
                <w:color w:val="000000"/>
                <w:sz w:val="20"/>
                <w:szCs w:val="20"/>
                <w:lang w:val="es-AR"/>
              </w:rPr>
            </w:pPr>
          </w:p>
        </w:tc>
        <w:tc>
          <w:tcPr>
            <w:tcW w:w="2977" w:type="dxa"/>
            <w:shd w:val="clear" w:color="auto" w:fill="auto"/>
          </w:tcPr>
          <w:p w:rsidR="00DC17C4" w:rsidRPr="00225D32" w:rsidRDefault="00DC17C4" w:rsidP="00AA3706">
            <w:pPr>
              <w:pStyle w:val="Prrafodelista1"/>
              <w:spacing w:line="276" w:lineRule="auto"/>
              <w:ind w:left="0"/>
              <w:rPr>
                <w:rFonts w:ascii="Arial" w:hAnsi="Arial" w:cs="Arial"/>
                <w:i/>
                <w:color w:val="000000"/>
                <w:sz w:val="20"/>
                <w:szCs w:val="20"/>
                <w:lang w:val="es-AR"/>
              </w:rPr>
            </w:pPr>
            <w:r w:rsidRPr="00225D32">
              <w:rPr>
                <w:rFonts w:ascii="Arial" w:hAnsi="Arial" w:cs="Arial"/>
                <w:i/>
                <w:color w:val="000000"/>
                <w:sz w:val="20"/>
                <w:szCs w:val="20"/>
                <w:lang w:val="es-AR"/>
              </w:rPr>
              <w:t>Cobertura PGDS: 100 municipios</w:t>
            </w:r>
          </w:p>
        </w:tc>
      </w:tr>
      <w:tr w:rsidR="00DC17C4" w:rsidRPr="00225D32" w:rsidTr="00EC0BA4">
        <w:tc>
          <w:tcPr>
            <w:tcW w:w="1795" w:type="dxa"/>
            <w:vMerge/>
            <w:shd w:val="clear" w:color="auto" w:fill="auto"/>
          </w:tcPr>
          <w:p w:rsidR="00DC17C4" w:rsidRPr="00225D32" w:rsidRDefault="00DC17C4" w:rsidP="00AA3706">
            <w:pPr>
              <w:pStyle w:val="Prrafodelista1"/>
              <w:spacing w:line="276" w:lineRule="auto"/>
              <w:ind w:left="0"/>
              <w:rPr>
                <w:rFonts w:ascii="Arial" w:hAnsi="Arial" w:cs="Arial"/>
                <w:color w:val="000000"/>
                <w:sz w:val="20"/>
                <w:szCs w:val="20"/>
                <w:lang w:val="es-AR"/>
              </w:rPr>
            </w:pPr>
          </w:p>
        </w:tc>
        <w:tc>
          <w:tcPr>
            <w:tcW w:w="1857" w:type="dxa"/>
            <w:vMerge/>
            <w:shd w:val="clear" w:color="auto" w:fill="auto"/>
          </w:tcPr>
          <w:p w:rsidR="00DC17C4" w:rsidRPr="00225D32" w:rsidRDefault="00DC17C4" w:rsidP="00AA3706">
            <w:pPr>
              <w:pStyle w:val="Prrafodelista1"/>
              <w:spacing w:line="276" w:lineRule="auto"/>
              <w:ind w:left="0"/>
              <w:rPr>
                <w:rFonts w:ascii="Arial" w:hAnsi="Arial" w:cs="Arial"/>
                <w:i/>
                <w:color w:val="000000"/>
                <w:sz w:val="20"/>
                <w:szCs w:val="20"/>
                <w:lang w:val="es-AR"/>
              </w:rPr>
            </w:pPr>
          </w:p>
        </w:tc>
        <w:tc>
          <w:tcPr>
            <w:tcW w:w="2126" w:type="dxa"/>
            <w:vMerge/>
            <w:shd w:val="clear" w:color="auto" w:fill="auto"/>
          </w:tcPr>
          <w:p w:rsidR="00DC17C4" w:rsidRPr="00225D32" w:rsidRDefault="00DC17C4" w:rsidP="00AA3706">
            <w:pPr>
              <w:pStyle w:val="Prrafodelista1"/>
              <w:spacing w:line="276" w:lineRule="auto"/>
              <w:ind w:left="0"/>
              <w:rPr>
                <w:rFonts w:ascii="Arial" w:hAnsi="Arial" w:cs="Arial"/>
                <w:color w:val="000000"/>
                <w:sz w:val="20"/>
                <w:szCs w:val="20"/>
                <w:lang w:val="es-AR"/>
              </w:rPr>
            </w:pPr>
          </w:p>
        </w:tc>
        <w:tc>
          <w:tcPr>
            <w:tcW w:w="2977" w:type="dxa"/>
            <w:shd w:val="clear" w:color="auto" w:fill="auto"/>
          </w:tcPr>
          <w:p w:rsidR="00DC17C4" w:rsidRPr="00225D32" w:rsidRDefault="00DC17C4" w:rsidP="00AA3706">
            <w:pPr>
              <w:pStyle w:val="Prrafodelista1"/>
              <w:spacing w:line="276" w:lineRule="auto"/>
              <w:ind w:left="0"/>
              <w:rPr>
                <w:rFonts w:ascii="Arial" w:hAnsi="Arial" w:cs="Arial"/>
                <w:i/>
                <w:color w:val="000000"/>
                <w:sz w:val="20"/>
                <w:szCs w:val="20"/>
                <w:lang w:val="es-AR"/>
              </w:rPr>
            </w:pPr>
            <w:r w:rsidRPr="00225D32">
              <w:rPr>
                <w:rFonts w:ascii="Arial" w:hAnsi="Arial" w:cs="Arial"/>
                <w:i/>
                <w:color w:val="000000"/>
                <w:sz w:val="20"/>
                <w:szCs w:val="20"/>
                <w:lang w:val="es-AR"/>
              </w:rPr>
              <w:t>Cobertura PGDS: 93 municipios</w:t>
            </w:r>
          </w:p>
        </w:tc>
      </w:tr>
      <w:tr w:rsidR="00DC17C4" w:rsidRPr="00225D32" w:rsidTr="00EC0BA4">
        <w:tc>
          <w:tcPr>
            <w:tcW w:w="1795" w:type="dxa"/>
            <w:vMerge/>
            <w:shd w:val="clear" w:color="auto" w:fill="auto"/>
          </w:tcPr>
          <w:p w:rsidR="00DC17C4" w:rsidRPr="00225D32" w:rsidRDefault="00DC17C4" w:rsidP="00AA3706">
            <w:pPr>
              <w:pStyle w:val="Prrafodelista1"/>
              <w:spacing w:line="276" w:lineRule="auto"/>
              <w:ind w:left="0"/>
              <w:rPr>
                <w:rFonts w:ascii="Arial" w:hAnsi="Arial" w:cs="Arial"/>
                <w:color w:val="000000"/>
                <w:sz w:val="20"/>
                <w:szCs w:val="20"/>
                <w:lang w:val="es-AR"/>
              </w:rPr>
            </w:pPr>
          </w:p>
        </w:tc>
        <w:tc>
          <w:tcPr>
            <w:tcW w:w="1857" w:type="dxa"/>
            <w:vMerge/>
            <w:shd w:val="clear" w:color="auto" w:fill="auto"/>
          </w:tcPr>
          <w:p w:rsidR="00DC17C4" w:rsidRPr="00225D32" w:rsidRDefault="00DC17C4" w:rsidP="00AA3706">
            <w:pPr>
              <w:pStyle w:val="Prrafodelista1"/>
              <w:spacing w:line="276" w:lineRule="auto"/>
              <w:ind w:left="0"/>
              <w:rPr>
                <w:rFonts w:ascii="Arial" w:hAnsi="Arial" w:cs="Arial"/>
                <w:i/>
                <w:color w:val="000000"/>
                <w:sz w:val="20"/>
                <w:szCs w:val="20"/>
                <w:lang w:val="es-AR"/>
              </w:rPr>
            </w:pPr>
          </w:p>
        </w:tc>
        <w:tc>
          <w:tcPr>
            <w:tcW w:w="2126" w:type="dxa"/>
            <w:vMerge w:val="restart"/>
            <w:shd w:val="clear" w:color="auto" w:fill="auto"/>
          </w:tcPr>
          <w:p w:rsidR="00DC17C4" w:rsidRPr="00225D32" w:rsidRDefault="00DC17C4" w:rsidP="00AA3706">
            <w:pPr>
              <w:pStyle w:val="Prrafodelista1"/>
              <w:spacing w:line="276" w:lineRule="auto"/>
              <w:ind w:left="0"/>
              <w:rPr>
                <w:rFonts w:ascii="Arial" w:hAnsi="Arial" w:cs="Arial"/>
                <w:i/>
                <w:color w:val="000000"/>
                <w:sz w:val="20"/>
                <w:szCs w:val="20"/>
                <w:lang w:val="es-AR"/>
              </w:rPr>
            </w:pPr>
            <w:r w:rsidRPr="00225D32">
              <w:rPr>
                <w:rFonts w:ascii="Arial" w:hAnsi="Arial" w:cs="Arial"/>
                <w:i/>
                <w:color w:val="000000"/>
                <w:sz w:val="20"/>
                <w:szCs w:val="20"/>
                <w:lang w:val="es-AR"/>
              </w:rPr>
              <w:t>Cobertura BVM: 300.000 hogares</w:t>
            </w:r>
          </w:p>
        </w:tc>
        <w:tc>
          <w:tcPr>
            <w:tcW w:w="2977" w:type="dxa"/>
            <w:shd w:val="clear" w:color="auto" w:fill="auto"/>
          </w:tcPr>
          <w:p w:rsidR="00DC17C4" w:rsidRPr="00225D32" w:rsidRDefault="00DC17C4" w:rsidP="00AA3706">
            <w:pPr>
              <w:pStyle w:val="Prrafodelista1"/>
              <w:spacing w:line="276" w:lineRule="auto"/>
              <w:ind w:left="0"/>
              <w:rPr>
                <w:rFonts w:ascii="Arial" w:hAnsi="Arial" w:cs="Arial"/>
                <w:i/>
                <w:color w:val="000000"/>
                <w:sz w:val="20"/>
                <w:szCs w:val="20"/>
                <w:lang w:val="es-AR"/>
              </w:rPr>
            </w:pPr>
            <w:r w:rsidRPr="00225D32">
              <w:rPr>
                <w:rFonts w:ascii="Arial" w:hAnsi="Arial" w:cs="Arial"/>
                <w:i/>
                <w:color w:val="000000"/>
                <w:sz w:val="20"/>
                <w:szCs w:val="20"/>
                <w:lang w:val="es-AR"/>
              </w:rPr>
              <w:t>Cobertura PGDS: 104 municipios</w:t>
            </w:r>
          </w:p>
        </w:tc>
      </w:tr>
      <w:tr w:rsidR="00DC17C4" w:rsidRPr="00225D32" w:rsidTr="00EC0BA4">
        <w:tc>
          <w:tcPr>
            <w:tcW w:w="1795" w:type="dxa"/>
            <w:vMerge/>
            <w:shd w:val="clear" w:color="auto" w:fill="auto"/>
          </w:tcPr>
          <w:p w:rsidR="00DC17C4" w:rsidRPr="00225D32" w:rsidRDefault="00DC17C4" w:rsidP="00AA3706">
            <w:pPr>
              <w:pStyle w:val="Prrafodelista1"/>
              <w:spacing w:line="276" w:lineRule="auto"/>
              <w:ind w:left="0"/>
              <w:rPr>
                <w:rFonts w:ascii="Arial" w:hAnsi="Arial" w:cs="Arial"/>
                <w:color w:val="000000"/>
                <w:sz w:val="20"/>
                <w:szCs w:val="20"/>
                <w:lang w:val="es-AR"/>
              </w:rPr>
            </w:pPr>
          </w:p>
        </w:tc>
        <w:tc>
          <w:tcPr>
            <w:tcW w:w="1857" w:type="dxa"/>
            <w:vMerge/>
            <w:shd w:val="clear" w:color="auto" w:fill="auto"/>
          </w:tcPr>
          <w:p w:rsidR="00DC17C4" w:rsidRPr="00225D32" w:rsidRDefault="00DC17C4" w:rsidP="00AA3706">
            <w:pPr>
              <w:pStyle w:val="Prrafodelista1"/>
              <w:spacing w:line="276" w:lineRule="auto"/>
              <w:ind w:left="0"/>
              <w:rPr>
                <w:rFonts w:ascii="Arial" w:hAnsi="Arial" w:cs="Arial"/>
                <w:i/>
                <w:color w:val="000000"/>
                <w:sz w:val="20"/>
                <w:szCs w:val="20"/>
                <w:lang w:val="es-AR"/>
              </w:rPr>
            </w:pPr>
          </w:p>
        </w:tc>
        <w:tc>
          <w:tcPr>
            <w:tcW w:w="2126" w:type="dxa"/>
            <w:vMerge/>
            <w:shd w:val="clear" w:color="auto" w:fill="auto"/>
          </w:tcPr>
          <w:p w:rsidR="00DC17C4" w:rsidRPr="00225D32" w:rsidRDefault="00DC17C4" w:rsidP="00AA3706">
            <w:pPr>
              <w:pStyle w:val="Prrafodelista1"/>
              <w:spacing w:line="276" w:lineRule="auto"/>
              <w:ind w:left="0"/>
              <w:rPr>
                <w:rFonts w:ascii="Arial" w:hAnsi="Arial" w:cs="Arial"/>
                <w:color w:val="000000"/>
                <w:sz w:val="20"/>
                <w:szCs w:val="20"/>
                <w:lang w:val="es-AR"/>
              </w:rPr>
            </w:pPr>
          </w:p>
        </w:tc>
        <w:tc>
          <w:tcPr>
            <w:tcW w:w="2977" w:type="dxa"/>
            <w:shd w:val="clear" w:color="auto" w:fill="auto"/>
          </w:tcPr>
          <w:p w:rsidR="00DC17C4" w:rsidRPr="00225D32" w:rsidRDefault="00DC17C4" w:rsidP="00AA3706">
            <w:pPr>
              <w:pStyle w:val="Prrafodelista1"/>
              <w:spacing w:line="276" w:lineRule="auto"/>
              <w:ind w:left="0"/>
              <w:rPr>
                <w:rFonts w:ascii="Arial" w:hAnsi="Arial" w:cs="Arial"/>
                <w:i/>
                <w:color w:val="000000"/>
                <w:sz w:val="20"/>
                <w:szCs w:val="20"/>
                <w:lang w:val="es-AR"/>
              </w:rPr>
            </w:pPr>
            <w:r w:rsidRPr="00225D32">
              <w:rPr>
                <w:rFonts w:ascii="Arial" w:hAnsi="Arial" w:cs="Arial"/>
                <w:i/>
                <w:color w:val="000000"/>
                <w:sz w:val="20"/>
                <w:szCs w:val="20"/>
                <w:lang w:val="es-AR"/>
              </w:rPr>
              <w:t>Cobertura PGDS: 100 municipios</w:t>
            </w:r>
          </w:p>
        </w:tc>
      </w:tr>
      <w:tr w:rsidR="00DC17C4" w:rsidRPr="00225D32" w:rsidTr="00EC0BA4">
        <w:tc>
          <w:tcPr>
            <w:tcW w:w="1795" w:type="dxa"/>
            <w:vMerge/>
            <w:shd w:val="clear" w:color="auto" w:fill="auto"/>
          </w:tcPr>
          <w:p w:rsidR="00DC17C4" w:rsidRPr="00225D32" w:rsidRDefault="00DC17C4" w:rsidP="00AA3706">
            <w:pPr>
              <w:pStyle w:val="Prrafodelista1"/>
              <w:spacing w:line="276" w:lineRule="auto"/>
              <w:ind w:left="0"/>
              <w:rPr>
                <w:rFonts w:ascii="Arial" w:hAnsi="Arial" w:cs="Arial"/>
                <w:color w:val="000000"/>
                <w:sz w:val="20"/>
                <w:szCs w:val="20"/>
                <w:lang w:val="es-AR"/>
              </w:rPr>
            </w:pPr>
          </w:p>
        </w:tc>
        <w:tc>
          <w:tcPr>
            <w:tcW w:w="1857" w:type="dxa"/>
            <w:vMerge/>
            <w:shd w:val="clear" w:color="auto" w:fill="auto"/>
          </w:tcPr>
          <w:p w:rsidR="00DC17C4" w:rsidRPr="00225D32" w:rsidRDefault="00DC17C4" w:rsidP="00AA3706">
            <w:pPr>
              <w:pStyle w:val="Prrafodelista1"/>
              <w:spacing w:line="276" w:lineRule="auto"/>
              <w:ind w:left="0"/>
              <w:rPr>
                <w:rFonts w:ascii="Arial" w:hAnsi="Arial" w:cs="Arial"/>
                <w:i/>
                <w:color w:val="000000"/>
                <w:sz w:val="20"/>
                <w:szCs w:val="20"/>
                <w:lang w:val="es-AR"/>
              </w:rPr>
            </w:pPr>
          </w:p>
        </w:tc>
        <w:tc>
          <w:tcPr>
            <w:tcW w:w="2126" w:type="dxa"/>
            <w:vMerge/>
            <w:shd w:val="clear" w:color="auto" w:fill="auto"/>
          </w:tcPr>
          <w:p w:rsidR="00DC17C4" w:rsidRPr="00225D32" w:rsidRDefault="00DC17C4" w:rsidP="00AA3706">
            <w:pPr>
              <w:pStyle w:val="Prrafodelista1"/>
              <w:spacing w:line="276" w:lineRule="auto"/>
              <w:ind w:left="0"/>
              <w:rPr>
                <w:rFonts w:ascii="Arial" w:hAnsi="Arial" w:cs="Arial"/>
                <w:color w:val="000000"/>
                <w:sz w:val="20"/>
                <w:szCs w:val="20"/>
                <w:lang w:val="es-AR"/>
              </w:rPr>
            </w:pPr>
          </w:p>
        </w:tc>
        <w:tc>
          <w:tcPr>
            <w:tcW w:w="2977" w:type="dxa"/>
            <w:shd w:val="clear" w:color="auto" w:fill="auto"/>
          </w:tcPr>
          <w:p w:rsidR="00DC17C4" w:rsidRPr="00225D32" w:rsidRDefault="00DC17C4" w:rsidP="00AA3706">
            <w:pPr>
              <w:pStyle w:val="Prrafodelista1"/>
              <w:spacing w:line="276" w:lineRule="auto"/>
              <w:ind w:left="0"/>
              <w:rPr>
                <w:rFonts w:ascii="Arial" w:hAnsi="Arial" w:cs="Arial"/>
                <w:i/>
                <w:color w:val="000000"/>
                <w:sz w:val="20"/>
                <w:szCs w:val="20"/>
                <w:lang w:val="es-AR"/>
              </w:rPr>
            </w:pPr>
            <w:r w:rsidRPr="00225D32">
              <w:rPr>
                <w:rFonts w:ascii="Arial" w:hAnsi="Arial" w:cs="Arial"/>
                <w:i/>
                <w:color w:val="000000"/>
                <w:sz w:val="20"/>
                <w:szCs w:val="20"/>
                <w:lang w:val="es-AR"/>
              </w:rPr>
              <w:t>Cobertura PGDS: 93 municipios</w:t>
            </w:r>
          </w:p>
        </w:tc>
      </w:tr>
      <w:tr w:rsidR="007674E0" w:rsidRPr="00225D32" w:rsidTr="00EC0BA4">
        <w:tc>
          <w:tcPr>
            <w:tcW w:w="1795" w:type="dxa"/>
            <w:vMerge/>
            <w:shd w:val="clear" w:color="auto" w:fill="auto"/>
          </w:tcPr>
          <w:p w:rsidR="007674E0" w:rsidRPr="00225D32" w:rsidRDefault="007674E0" w:rsidP="00AA3706">
            <w:pPr>
              <w:pStyle w:val="Prrafodelista1"/>
              <w:spacing w:line="276" w:lineRule="auto"/>
              <w:ind w:left="0"/>
              <w:rPr>
                <w:rFonts w:ascii="Arial" w:hAnsi="Arial" w:cs="Arial"/>
                <w:color w:val="000000"/>
                <w:sz w:val="20"/>
                <w:szCs w:val="20"/>
                <w:lang w:val="es-AR"/>
              </w:rPr>
            </w:pPr>
          </w:p>
        </w:tc>
        <w:tc>
          <w:tcPr>
            <w:tcW w:w="1857" w:type="dxa"/>
            <w:vMerge w:val="restart"/>
            <w:shd w:val="clear" w:color="auto" w:fill="auto"/>
          </w:tcPr>
          <w:p w:rsidR="007674E0" w:rsidRPr="00225D32" w:rsidRDefault="007674E0" w:rsidP="00AA3706">
            <w:pPr>
              <w:pStyle w:val="Prrafodelista1"/>
              <w:spacing w:line="276" w:lineRule="auto"/>
              <w:ind w:left="0"/>
              <w:rPr>
                <w:rFonts w:ascii="Arial" w:hAnsi="Arial" w:cs="Arial"/>
                <w:i/>
                <w:color w:val="000000"/>
                <w:sz w:val="20"/>
                <w:szCs w:val="20"/>
                <w:lang w:val="es-AR"/>
              </w:rPr>
            </w:pPr>
            <w:r w:rsidRPr="00225D32">
              <w:rPr>
                <w:rFonts w:ascii="Arial" w:hAnsi="Arial" w:cs="Arial"/>
                <w:i/>
                <w:color w:val="000000"/>
                <w:sz w:val="20"/>
                <w:szCs w:val="20"/>
                <w:lang w:val="es-AR"/>
              </w:rPr>
              <w:t>Crecimiento PBI: 2% anual</w:t>
            </w:r>
          </w:p>
        </w:tc>
        <w:tc>
          <w:tcPr>
            <w:tcW w:w="2126" w:type="dxa"/>
            <w:vMerge w:val="restart"/>
            <w:shd w:val="clear" w:color="auto" w:fill="auto"/>
          </w:tcPr>
          <w:p w:rsidR="007674E0" w:rsidRPr="00225D32" w:rsidRDefault="007674E0" w:rsidP="00AA3706">
            <w:pPr>
              <w:pStyle w:val="Prrafodelista1"/>
              <w:spacing w:line="276" w:lineRule="auto"/>
              <w:ind w:left="0"/>
              <w:rPr>
                <w:rFonts w:ascii="Arial" w:hAnsi="Arial" w:cs="Arial"/>
                <w:i/>
                <w:color w:val="000000"/>
                <w:sz w:val="20"/>
                <w:szCs w:val="20"/>
                <w:lang w:val="es-AR"/>
              </w:rPr>
            </w:pPr>
            <w:r w:rsidRPr="00225D32">
              <w:rPr>
                <w:rFonts w:ascii="Arial" w:hAnsi="Arial" w:cs="Arial"/>
                <w:i/>
                <w:color w:val="000000"/>
                <w:sz w:val="20"/>
                <w:szCs w:val="20"/>
                <w:lang w:val="es-AR"/>
              </w:rPr>
              <w:t>Cobertura BVM: 400.000 hogares</w:t>
            </w:r>
          </w:p>
        </w:tc>
        <w:tc>
          <w:tcPr>
            <w:tcW w:w="2977" w:type="dxa"/>
            <w:shd w:val="clear" w:color="auto" w:fill="auto"/>
          </w:tcPr>
          <w:p w:rsidR="007674E0" w:rsidRPr="00225D32" w:rsidRDefault="007674E0" w:rsidP="00AA3706">
            <w:pPr>
              <w:pStyle w:val="Prrafodelista1"/>
              <w:spacing w:line="276" w:lineRule="auto"/>
              <w:ind w:left="0"/>
              <w:rPr>
                <w:rFonts w:ascii="Arial" w:hAnsi="Arial" w:cs="Arial"/>
                <w:i/>
                <w:color w:val="000000"/>
                <w:sz w:val="20"/>
                <w:szCs w:val="20"/>
                <w:lang w:val="es-AR"/>
              </w:rPr>
            </w:pPr>
            <w:r w:rsidRPr="00225D32">
              <w:rPr>
                <w:rFonts w:ascii="Arial" w:hAnsi="Arial" w:cs="Arial"/>
                <w:i/>
                <w:color w:val="000000"/>
                <w:sz w:val="20"/>
                <w:szCs w:val="20"/>
                <w:lang w:val="es-AR"/>
              </w:rPr>
              <w:t>Cobertura PGDS: 104 municipios</w:t>
            </w:r>
          </w:p>
        </w:tc>
      </w:tr>
      <w:tr w:rsidR="007674E0" w:rsidRPr="00225D32" w:rsidTr="00EC0BA4">
        <w:tc>
          <w:tcPr>
            <w:tcW w:w="1795" w:type="dxa"/>
            <w:vMerge/>
            <w:shd w:val="clear" w:color="auto" w:fill="auto"/>
          </w:tcPr>
          <w:p w:rsidR="007674E0" w:rsidRPr="00225D32" w:rsidRDefault="007674E0" w:rsidP="00AA3706">
            <w:pPr>
              <w:pStyle w:val="Prrafodelista1"/>
              <w:spacing w:line="276" w:lineRule="auto"/>
              <w:ind w:left="0"/>
              <w:rPr>
                <w:rFonts w:ascii="Arial" w:hAnsi="Arial" w:cs="Arial"/>
                <w:color w:val="000000"/>
                <w:sz w:val="20"/>
                <w:szCs w:val="20"/>
                <w:lang w:val="es-AR"/>
              </w:rPr>
            </w:pPr>
          </w:p>
        </w:tc>
        <w:tc>
          <w:tcPr>
            <w:tcW w:w="1857" w:type="dxa"/>
            <w:vMerge/>
            <w:shd w:val="clear" w:color="auto" w:fill="auto"/>
          </w:tcPr>
          <w:p w:rsidR="007674E0" w:rsidRPr="00225D32" w:rsidRDefault="007674E0" w:rsidP="00AA3706">
            <w:pPr>
              <w:pStyle w:val="Prrafodelista1"/>
              <w:spacing w:line="276" w:lineRule="auto"/>
              <w:ind w:left="0"/>
              <w:rPr>
                <w:rFonts w:ascii="Arial" w:hAnsi="Arial" w:cs="Arial"/>
                <w:i/>
                <w:color w:val="000000"/>
                <w:sz w:val="20"/>
                <w:szCs w:val="20"/>
                <w:lang w:val="es-AR"/>
              </w:rPr>
            </w:pPr>
          </w:p>
        </w:tc>
        <w:tc>
          <w:tcPr>
            <w:tcW w:w="2126" w:type="dxa"/>
            <w:vMerge/>
            <w:shd w:val="clear" w:color="auto" w:fill="auto"/>
          </w:tcPr>
          <w:p w:rsidR="007674E0" w:rsidRPr="00225D32" w:rsidRDefault="007674E0" w:rsidP="00AA3706">
            <w:pPr>
              <w:pStyle w:val="Prrafodelista1"/>
              <w:spacing w:line="276" w:lineRule="auto"/>
              <w:ind w:left="0"/>
              <w:rPr>
                <w:rFonts w:ascii="Arial" w:hAnsi="Arial" w:cs="Arial"/>
                <w:color w:val="000000"/>
                <w:sz w:val="20"/>
                <w:szCs w:val="20"/>
                <w:lang w:val="es-AR"/>
              </w:rPr>
            </w:pPr>
          </w:p>
        </w:tc>
        <w:tc>
          <w:tcPr>
            <w:tcW w:w="2977" w:type="dxa"/>
            <w:shd w:val="clear" w:color="auto" w:fill="auto"/>
          </w:tcPr>
          <w:p w:rsidR="007674E0" w:rsidRPr="00225D32" w:rsidRDefault="007674E0" w:rsidP="00AA3706">
            <w:pPr>
              <w:pStyle w:val="Prrafodelista1"/>
              <w:spacing w:line="276" w:lineRule="auto"/>
              <w:ind w:left="0"/>
              <w:rPr>
                <w:rFonts w:ascii="Arial" w:hAnsi="Arial" w:cs="Arial"/>
                <w:i/>
                <w:color w:val="000000"/>
                <w:sz w:val="20"/>
                <w:szCs w:val="20"/>
                <w:lang w:val="es-AR"/>
              </w:rPr>
            </w:pPr>
            <w:r w:rsidRPr="00225D32">
              <w:rPr>
                <w:rFonts w:ascii="Arial" w:hAnsi="Arial" w:cs="Arial"/>
                <w:i/>
                <w:color w:val="000000"/>
                <w:sz w:val="20"/>
                <w:szCs w:val="20"/>
                <w:lang w:val="es-AR"/>
              </w:rPr>
              <w:t>Cobertura PGDS: 100 municipios</w:t>
            </w:r>
          </w:p>
        </w:tc>
      </w:tr>
      <w:tr w:rsidR="007674E0" w:rsidRPr="00225D32" w:rsidTr="00EC0BA4">
        <w:tc>
          <w:tcPr>
            <w:tcW w:w="1795" w:type="dxa"/>
            <w:vMerge/>
            <w:shd w:val="clear" w:color="auto" w:fill="auto"/>
          </w:tcPr>
          <w:p w:rsidR="007674E0" w:rsidRPr="00225D32" w:rsidRDefault="007674E0" w:rsidP="00AA3706">
            <w:pPr>
              <w:pStyle w:val="Prrafodelista1"/>
              <w:spacing w:line="276" w:lineRule="auto"/>
              <w:ind w:left="0"/>
              <w:rPr>
                <w:rFonts w:ascii="Arial" w:hAnsi="Arial" w:cs="Arial"/>
                <w:color w:val="000000"/>
                <w:sz w:val="20"/>
                <w:szCs w:val="20"/>
                <w:lang w:val="es-AR"/>
              </w:rPr>
            </w:pPr>
          </w:p>
        </w:tc>
        <w:tc>
          <w:tcPr>
            <w:tcW w:w="1857" w:type="dxa"/>
            <w:vMerge/>
            <w:shd w:val="clear" w:color="auto" w:fill="auto"/>
          </w:tcPr>
          <w:p w:rsidR="007674E0" w:rsidRPr="00225D32" w:rsidRDefault="007674E0" w:rsidP="00AA3706">
            <w:pPr>
              <w:pStyle w:val="Prrafodelista1"/>
              <w:spacing w:line="276" w:lineRule="auto"/>
              <w:ind w:left="0"/>
              <w:rPr>
                <w:rFonts w:ascii="Arial" w:hAnsi="Arial" w:cs="Arial"/>
                <w:i/>
                <w:color w:val="000000"/>
                <w:sz w:val="20"/>
                <w:szCs w:val="20"/>
                <w:lang w:val="es-AR"/>
              </w:rPr>
            </w:pPr>
          </w:p>
        </w:tc>
        <w:tc>
          <w:tcPr>
            <w:tcW w:w="2126" w:type="dxa"/>
            <w:vMerge/>
            <w:shd w:val="clear" w:color="auto" w:fill="auto"/>
          </w:tcPr>
          <w:p w:rsidR="007674E0" w:rsidRPr="00225D32" w:rsidRDefault="007674E0" w:rsidP="00AA3706">
            <w:pPr>
              <w:pStyle w:val="Prrafodelista1"/>
              <w:spacing w:line="276" w:lineRule="auto"/>
              <w:ind w:left="0"/>
              <w:rPr>
                <w:rFonts w:ascii="Arial" w:hAnsi="Arial" w:cs="Arial"/>
                <w:color w:val="000000"/>
                <w:sz w:val="20"/>
                <w:szCs w:val="20"/>
                <w:lang w:val="es-AR"/>
              </w:rPr>
            </w:pPr>
          </w:p>
        </w:tc>
        <w:tc>
          <w:tcPr>
            <w:tcW w:w="2977" w:type="dxa"/>
            <w:shd w:val="clear" w:color="auto" w:fill="auto"/>
          </w:tcPr>
          <w:p w:rsidR="007674E0" w:rsidRPr="00225D32" w:rsidRDefault="007674E0" w:rsidP="00AA3706">
            <w:pPr>
              <w:pStyle w:val="Prrafodelista1"/>
              <w:spacing w:line="276" w:lineRule="auto"/>
              <w:ind w:left="0"/>
              <w:rPr>
                <w:rFonts w:ascii="Arial" w:hAnsi="Arial" w:cs="Arial"/>
                <w:i/>
                <w:color w:val="000000"/>
                <w:sz w:val="20"/>
                <w:szCs w:val="20"/>
                <w:lang w:val="es-AR"/>
              </w:rPr>
            </w:pPr>
            <w:r w:rsidRPr="00225D32">
              <w:rPr>
                <w:rFonts w:ascii="Arial" w:hAnsi="Arial" w:cs="Arial"/>
                <w:i/>
                <w:color w:val="000000"/>
                <w:sz w:val="20"/>
                <w:szCs w:val="20"/>
                <w:lang w:val="es-AR"/>
              </w:rPr>
              <w:t>Cobertura PGDS: 93 municipios</w:t>
            </w:r>
          </w:p>
        </w:tc>
      </w:tr>
      <w:tr w:rsidR="007674E0" w:rsidRPr="00225D32" w:rsidTr="00EC0BA4">
        <w:tc>
          <w:tcPr>
            <w:tcW w:w="1795" w:type="dxa"/>
            <w:vMerge/>
            <w:shd w:val="clear" w:color="auto" w:fill="auto"/>
          </w:tcPr>
          <w:p w:rsidR="007674E0" w:rsidRPr="00225D32" w:rsidRDefault="007674E0" w:rsidP="00AA3706">
            <w:pPr>
              <w:pStyle w:val="Prrafodelista1"/>
              <w:spacing w:line="276" w:lineRule="auto"/>
              <w:ind w:left="0"/>
              <w:rPr>
                <w:rFonts w:ascii="Arial" w:hAnsi="Arial" w:cs="Arial"/>
                <w:color w:val="000000"/>
                <w:sz w:val="20"/>
                <w:szCs w:val="20"/>
                <w:lang w:val="es-AR"/>
              </w:rPr>
            </w:pPr>
          </w:p>
        </w:tc>
        <w:tc>
          <w:tcPr>
            <w:tcW w:w="1857" w:type="dxa"/>
            <w:vMerge/>
            <w:shd w:val="clear" w:color="auto" w:fill="auto"/>
          </w:tcPr>
          <w:p w:rsidR="007674E0" w:rsidRPr="00225D32" w:rsidRDefault="007674E0" w:rsidP="00AA3706">
            <w:pPr>
              <w:pStyle w:val="Prrafodelista1"/>
              <w:spacing w:line="276" w:lineRule="auto"/>
              <w:ind w:left="0"/>
              <w:rPr>
                <w:rFonts w:ascii="Arial" w:hAnsi="Arial" w:cs="Arial"/>
                <w:i/>
                <w:color w:val="000000"/>
                <w:sz w:val="20"/>
                <w:szCs w:val="20"/>
                <w:lang w:val="es-AR"/>
              </w:rPr>
            </w:pPr>
          </w:p>
        </w:tc>
        <w:tc>
          <w:tcPr>
            <w:tcW w:w="2126" w:type="dxa"/>
            <w:vMerge w:val="restart"/>
            <w:shd w:val="clear" w:color="auto" w:fill="auto"/>
          </w:tcPr>
          <w:p w:rsidR="007674E0" w:rsidRPr="00225D32" w:rsidRDefault="007674E0" w:rsidP="00AA3706">
            <w:pPr>
              <w:pStyle w:val="Prrafodelista1"/>
              <w:spacing w:line="276" w:lineRule="auto"/>
              <w:ind w:left="0"/>
              <w:rPr>
                <w:rFonts w:ascii="Arial" w:hAnsi="Arial" w:cs="Arial"/>
                <w:i/>
                <w:color w:val="000000"/>
                <w:sz w:val="20"/>
                <w:szCs w:val="20"/>
                <w:lang w:val="es-AR"/>
              </w:rPr>
            </w:pPr>
            <w:r w:rsidRPr="00225D32">
              <w:rPr>
                <w:rFonts w:ascii="Arial" w:hAnsi="Arial" w:cs="Arial"/>
                <w:i/>
                <w:color w:val="000000"/>
                <w:sz w:val="20"/>
                <w:szCs w:val="20"/>
                <w:lang w:val="es-AR"/>
              </w:rPr>
              <w:t>Cobertura BVM: 300.000 hogares</w:t>
            </w:r>
          </w:p>
        </w:tc>
        <w:tc>
          <w:tcPr>
            <w:tcW w:w="2977" w:type="dxa"/>
            <w:shd w:val="clear" w:color="auto" w:fill="auto"/>
          </w:tcPr>
          <w:p w:rsidR="007674E0" w:rsidRPr="00225D32" w:rsidRDefault="007674E0" w:rsidP="00AA3706">
            <w:pPr>
              <w:pStyle w:val="Prrafodelista1"/>
              <w:spacing w:line="276" w:lineRule="auto"/>
              <w:ind w:left="0"/>
              <w:rPr>
                <w:rFonts w:ascii="Arial" w:hAnsi="Arial" w:cs="Arial"/>
                <w:i/>
                <w:color w:val="000000"/>
                <w:sz w:val="20"/>
                <w:szCs w:val="20"/>
                <w:lang w:val="es-AR"/>
              </w:rPr>
            </w:pPr>
            <w:r w:rsidRPr="00225D32">
              <w:rPr>
                <w:rFonts w:ascii="Arial" w:hAnsi="Arial" w:cs="Arial"/>
                <w:i/>
                <w:color w:val="000000"/>
                <w:sz w:val="20"/>
                <w:szCs w:val="20"/>
                <w:lang w:val="es-AR"/>
              </w:rPr>
              <w:t>Cobertura PGDS: 104 municipios</w:t>
            </w:r>
          </w:p>
        </w:tc>
      </w:tr>
      <w:tr w:rsidR="007674E0" w:rsidRPr="00225D32" w:rsidTr="00EC0BA4">
        <w:tc>
          <w:tcPr>
            <w:tcW w:w="1795" w:type="dxa"/>
            <w:vMerge/>
            <w:shd w:val="clear" w:color="auto" w:fill="auto"/>
          </w:tcPr>
          <w:p w:rsidR="007674E0" w:rsidRPr="00225D32" w:rsidRDefault="007674E0" w:rsidP="00AA3706">
            <w:pPr>
              <w:pStyle w:val="Prrafodelista1"/>
              <w:spacing w:line="276" w:lineRule="auto"/>
              <w:ind w:left="0"/>
              <w:rPr>
                <w:rFonts w:ascii="Arial" w:hAnsi="Arial" w:cs="Arial"/>
                <w:color w:val="000000"/>
                <w:sz w:val="20"/>
                <w:szCs w:val="20"/>
                <w:lang w:val="es-AR"/>
              </w:rPr>
            </w:pPr>
          </w:p>
        </w:tc>
        <w:tc>
          <w:tcPr>
            <w:tcW w:w="1857" w:type="dxa"/>
            <w:vMerge/>
            <w:shd w:val="clear" w:color="auto" w:fill="auto"/>
          </w:tcPr>
          <w:p w:rsidR="007674E0" w:rsidRPr="00225D32" w:rsidRDefault="007674E0" w:rsidP="00AA3706">
            <w:pPr>
              <w:pStyle w:val="Prrafodelista1"/>
              <w:spacing w:line="276" w:lineRule="auto"/>
              <w:ind w:left="0"/>
              <w:rPr>
                <w:rFonts w:ascii="Arial" w:hAnsi="Arial" w:cs="Arial"/>
                <w:i/>
                <w:color w:val="000000"/>
                <w:sz w:val="20"/>
                <w:szCs w:val="20"/>
                <w:lang w:val="es-AR"/>
              </w:rPr>
            </w:pPr>
          </w:p>
        </w:tc>
        <w:tc>
          <w:tcPr>
            <w:tcW w:w="2126" w:type="dxa"/>
            <w:vMerge/>
            <w:shd w:val="clear" w:color="auto" w:fill="auto"/>
          </w:tcPr>
          <w:p w:rsidR="007674E0" w:rsidRPr="00225D32" w:rsidRDefault="007674E0" w:rsidP="00AA3706">
            <w:pPr>
              <w:pStyle w:val="Prrafodelista1"/>
              <w:spacing w:line="276" w:lineRule="auto"/>
              <w:ind w:left="0"/>
              <w:rPr>
                <w:rFonts w:ascii="Arial" w:hAnsi="Arial" w:cs="Arial"/>
                <w:color w:val="000000"/>
                <w:sz w:val="20"/>
                <w:szCs w:val="20"/>
                <w:lang w:val="es-AR"/>
              </w:rPr>
            </w:pPr>
          </w:p>
        </w:tc>
        <w:tc>
          <w:tcPr>
            <w:tcW w:w="2977" w:type="dxa"/>
            <w:shd w:val="clear" w:color="auto" w:fill="auto"/>
          </w:tcPr>
          <w:p w:rsidR="007674E0" w:rsidRPr="00225D32" w:rsidRDefault="007674E0" w:rsidP="00AA3706">
            <w:pPr>
              <w:pStyle w:val="Prrafodelista1"/>
              <w:spacing w:line="276" w:lineRule="auto"/>
              <w:ind w:left="0"/>
              <w:rPr>
                <w:rFonts w:ascii="Arial" w:hAnsi="Arial" w:cs="Arial"/>
                <w:i/>
                <w:color w:val="000000"/>
                <w:sz w:val="20"/>
                <w:szCs w:val="20"/>
                <w:lang w:val="es-AR"/>
              </w:rPr>
            </w:pPr>
            <w:r w:rsidRPr="00225D32">
              <w:rPr>
                <w:rFonts w:ascii="Arial" w:hAnsi="Arial" w:cs="Arial"/>
                <w:i/>
                <w:color w:val="000000"/>
                <w:sz w:val="20"/>
                <w:szCs w:val="20"/>
                <w:lang w:val="es-AR"/>
              </w:rPr>
              <w:t>Cobertura PGDS: 100 municipios</w:t>
            </w:r>
          </w:p>
        </w:tc>
      </w:tr>
      <w:tr w:rsidR="007674E0" w:rsidRPr="00225D32" w:rsidTr="00EC0BA4">
        <w:tc>
          <w:tcPr>
            <w:tcW w:w="1795" w:type="dxa"/>
            <w:vMerge/>
            <w:shd w:val="clear" w:color="auto" w:fill="auto"/>
          </w:tcPr>
          <w:p w:rsidR="007674E0" w:rsidRPr="00225D32" w:rsidRDefault="007674E0" w:rsidP="00AA3706">
            <w:pPr>
              <w:pStyle w:val="Prrafodelista1"/>
              <w:spacing w:line="276" w:lineRule="auto"/>
              <w:ind w:left="0"/>
              <w:rPr>
                <w:rFonts w:ascii="Arial" w:hAnsi="Arial" w:cs="Arial"/>
                <w:color w:val="000000"/>
                <w:sz w:val="20"/>
                <w:szCs w:val="20"/>
                <w:lang w:val="es-AR"/>
              </w:rPr>
            </w:pPr>
          </w:p>
        </w:tc>
        <w:tc>
          <w:tcPr>
            <w:tcW w:w="1857" w:type="dxa"/>
            <w:vMerge/>
            <w:shd w:val="clear" w:color="auto" w:fill="auto"/>
          </w:tcPr>
          <w:p w:rsidR="007674E0" w:rsidRPr="00225D32" w:rsidRDefault="007674E0" w:rsidP="00AA3706">
            <w:pPr>
              <w:pStyle w:val="Prrafodelista1"/>
              <w:spacing w:line="276" w:lineRule="auto"/>
              <w:ind w:left="0"/>
              <w:rPr>
                <w:rFonts w:ascii="Arial" w:hAnsi="Arial" w:cs="Arial"/>
                <w:i/>
                <w:color w:val="000000"/>
                <w:sz w:val="20"/>
                <w:szCs w:val="20"/>
                <w:lang w:val="es-AR"/>
              </w:rPr>
            </w:pPr>
          </w:p>
        </w:tc>
        <w:tc>
          <w:tcPr>
            <w:tcW w:w="2126" w:type="dxa"/>
            <w:vMerge/>
            <w:shd w:val="clear" w:color="auto" w:fill="auto"/>
          </w:tcPr>
          <w:p w:rsidR="007674E0" w:rsidRPr="00225D32" w:rsidRDefault="007674E0" w:rsidP="00AA3706">
            <w:pPr>
              <w:pStyle w:val="Prrafodelista1"/>
              <w:spacing w:line="276" w:lineRule="auto"/>
              <w:ind w:left="0"/>
              <w:rPr>
                <w:rFonts w:ascii="Arial" w:hAnsi="Arial" w:cs="Arial"/>
                <w:color w:val="000000"/>
                <w:sz w:val="20"/>
                <w:szCs w:val="20"/>
                <w:lang w:val="es-AR"/>
              </w:rPr>
            </w:pPr>
          </w:p>
        </w:tc>
        <w:tc>
          <w:tcPr>
            <w:tcW w:w="2977" w:type="dxa"/>
            <w:shd w:val="clear" w:color="auto" w:fill="auto"/>
          </w:tcPr>
          <w:p w:rsidR="007674E0" w:rsidRPr="00225D32" w:rsidRDefault="007674E0" w:rsidP="00AA3706">
            <w:pPr>
              <w:pStyle w:val="Prrafodelista1"/>
              <w:spacing w:line="276" w:lineRule="auto"/>
              <w:ind w:left="0"/>
              <w:rPr>
                <w:rFonts w:ascii="Arial" w:hAnsi="Arial" w:cs="Arial"/>
                <w:i/>
                <w:color w:val="000000"/>
                <w:sz w:val="20"/>
                <w:szCs w:val="20"/>
                <w:lang w:val="es-AR"/>
              </w:rPr>
            </w:pPr>
            <w:r w:rsidRPr="00225D32">
              <w:rPr>
                <w:rFonts w:ascii="Arial" w:hAnsi="Arial" w:cs="Arial"/>
                <w:i/>
                <w:color w:val="000000"/>
                <w:sz w:val="20"/>
                <w:szCs w:val="20"/>
                <w:lang w:val="es-AR"/>
              </w:rPr>
              <w:t>Cobertura PGDS: 93 municipios</w:t>
            </w:r>
          </w:p>
        </w:tc>
      </w:tr>
      <w:tr w:rsidR="007674E0" w:rsidRPr="00225D32" w:rsidTr="00EC0BA4">
        <w:tc>
          <w:tcPr>
            <w:tcW w:w="1795" w:type="dxa"/>
            <w:vMerge/>
            <w:shd w:val="clear" w:color="auto" w:fill="auto"/>
          </w:tcPr>
          <w:p w:rsidR="007674E0" w:rsidRPr="00225D32" w:rsidRDefault="007674E0" w:rsidP="00AA3706">
            <w:pPr>
              <w:pStyle w:val="Prrafodelista1"/>
              <w:spacing w:line="276" w:lineRule="auto"/>
              <w:ind w:left="0"/>
              <w:rPr>
                <w:rFonts w:ascii="Arial" w:hAnsi="Arial" w:cs="Arial"/>
                <w:color w:val="000000"/>
                <w:sz w:val="20"/>
                <w:szCs w:val="20"/>
                <w:lang w:val="es-AR"/>
              </w:rPr>
            </w:pPr>
          </w:p>
        </w:tc>
        <w:tc>
          <w:tcPr>
            <w:tcW w:w="1857" w:type="dxa"/>
            <w:vMerge/>
            <w:shd w:val="clear" w:color="auto" w:fill="auto"/>
          </w:tcPr>
          <w:p w:rsidR="007674E0" w:rsidRPr="00225D32" w:rsidRDefault="007674E0" w:rsidP="00AA3706">
            <w:pPr>
              <w:pStyle w:val="Prrafodelista1"/>
              <w:spacing w:line="276" w:lineRule="auto"/>
              <w:ind w:left="0"/>
              <w:rPr>
                <w:rFonts w:ascii="Arial" w:hAnsi="Arial" w:cs="Arial"/>
                <w:i/>
                <w:color w:val="000000"/>
                <w:sz w:val="20"/>
                <w:szCs w:val="20"/>
                <w:lang w:val="es-AR"/>
              </w:rPr>
            </w:pPr>
          </w:p>
        </w:tc>
        <w:tc>
          <w:tcPr>
            <w:tcW w:w="2126" w:type="dxa"/>
            <w:vMerge w:val="restart"/>
            <w:shd w:val="clear" w:color="auto" w:fill="auto"/>
          </w:tcPr>
          <w:p w:rsidR="007674E0" w:rsidRPr="00225D32" w:rsidRDefault="007674E0" w:rsidP="00AA3706">
            <w:pPr>
              <w:pStyle w:val="Prrafodelista1"/>
              <w:spacing w:line="276" w:lineRule="auto"/>
              <w:ind w:left="0"/>
              <w:rPr>
                <w:rFonts w:ascii="Arial" w:hAnsi="Arial" w:cs="Arial"/>
                <w:i/>
                <w:color w:val="000000"/>
                <w:sz w:val="20"/>
                <w:szCs w:val="20"/>
                <w:lang w:val="es-AR"/>
              </w:rPr>
            </w:pPr>
            <w:r w:rsidRPr="00225D32">
              <w:rPr>
                <w:rFonts w:ascii="Arial" w:hAnsi="Arial" w:cs="Arial"/>
                <w:i/>
                <w:color w:val="000000"/>
                <w:sz w:val="20"/>
                <w:szCs w:val="20"/>
                <w:lang w:val="es-AR"/>
              </w:rPr>
              <w:t>Cobertura BVM: 300.000 hogares</w:t>
            </w:r>
          </w:p>
        </w:tc>
        <w:tc>
          <w:tcPr>
            <w:tcW w:w="2977" w:type="dxa"/>
            <w:shd w:val="clear" w:color="auto" w:fill="auto"/>
          </w:tcPr>
          <w:p w:rsidR="007674E0" w:rsidRPr="00225D32" w:rsidRDefault="007674E0" w:rsidP="00AA3706">
            <w:pPr>
              <w:pStyle w:val="Prrafodelista1"/>
              <w:spacing w:line="276" w:lineRule="auto"/>
              <w:ind w:left="0"/>
              <w:rPr>
                <w:rFonts w:ascii="Arial" w:hAnsi="Arial" w:cs="Arial"/>
                <w:i/>
                <w:color w:val="000000"/>
                <w:sz w:val="20"/>
                <w:szCs w:val="20"/>
                <w:lang w:val="es-AR"/>
              </w:rPr>
            </w:pPr>
            <w:r w:rsidRPr="00225D32">
              <w:rPr>
                <w:rFonts w:ascii="Arial" w:hAnsi="Arial" w:cs="Arial"/>
                <w:i/>
                <w:color w:val="000000"/>
                <w:sz w:val="20"/>
                <w:szCs w:val="20"/>
                <w:lang w:val="es-AR"/>
              </w:rPr>
              <w:t>Cobertura PGDS: 104 municipios</w:t>
            </w:r>
          </w:p>
        </w:tc>
      </w:tr>
      <w:tr w:rsidR="007674E0" w:rsidRPr="00225D32" w:rsidTr="00EC0BA4">
        <w:tc>
          <w:tcPr>
            <w:tcW w:w="1795" w:type="dxa"/>
            <w:vMerge/>
            <w:shd w:val="clear" w:color="auto" w:fill="auto"/>
          </w:tcPr>
          <w:p w:rsidR="007674E0" w:rsidRPr="00225D32" w:rsidRDefault="007674E0" w:rsidP="00AA3706">
            <w:pPr>
              <w:pStyle w:val="Prrafodelista1"/>
              <w:spacing w:line="276" w:lineRule="auto"/>
              <w:ind w:left="0"/>
              <w:rPr>
                <w:rFonts w:ascii="Arial" w:hAnsi="Arial" w:cs="Arial"/>
                <w:color w:val="000000"/>
                <w:sz w:val="20"/>
                <w:szCs w:val="20"/>
                <w:lang w:val="es-AR"/>
              </w:rPr>
            </w:pPr>
          </w:p>
        </w:tc>
        <w:tc>
          <w:tcPr>
            <w:tcW w:w="1857" w:type="dxa"/>
            <w:vMerge/>
            <w:shd w:val="clear" w:color="auto" w:fill="auto"/>
          </w:tcPr>
          <w:p w:rsidR="007674E0" w:rsidRPr="00225D32" w:rsidRDefault="007674E0" w:rsidP="00AA3706">
            <w:pPr>
              <w:pStyle w:val="Prrafodelista1"/>
              <w:spacing w:line="276" w:lineRule="auto"/>
              <w:ind w:left="0"/>
              <w:rPr>
                <w:rFonts w:ascii="Arial" w:hAnsi="Arial" w:cs="Arial"/>
                <w:i/>
                <w:color w:val="000000"/>
                <w:sz w:val="20"/>
                <w:szCs w:val="20"/>
                <w:lang w:val="es-AR"/>
              </w:rPr>
            </w:pPr>
          </w:p>
        </w:tc>
        <w:tc>
          <w:tcPr>
            <w:tcW w:w="2126" w:type="dxa"/>
            <w:vMerge/>
            <w:shd w:val="clear" w:color="auto" w:fill="auto"/>
          </w:tcPr>
          <w:p w:rsidR="007674E0" w:rsidRPr="00225D32" w:rsidRDefault="007674E0" w:rsidP="00AA3706">
            <w:pPr>
              <w:pStyle w:val="Prrafodelista1"/>
              <w:spacing w:line="276" w:lineRule="auto"/>
              <w:ind w:left="0"/>
              <w:rPr>
                <w:rFonts w:ascii="Arial" w:hAnsi="Arial" w:cs="Arial"/>
                <w:color w:val="000000"/>
                <w:sz w:val="20"/>
                <w:szCs w:val="20"/>
                <w:lang w:val="es-AR"/>
              </w:rPr>
            </w:pPr>
          </w:p>
        </w:tc>
        <w:tc>
          <w:tcPr>
            <w:tcW w:w="2977" w:type="dxa"/>
            <w:shd w:val="clear" w:color="auto" w:fill="auto"/>
          </w:tcPr>
          <w:p w:rsidR="007674E0" w:rsidRPr="00225D32" w:rsidRDefault="007674E0" w:rsidP="00AA3706">
            <w:pPr>
              <w:pStyle w:val="Prrafodelista1"/>
              <w:spacing w:line="276" w:lineRule="auto"/>
              <w:ind w:left="0"/>
              <w:rPr>
                <w:rFonts w:ascii="Arial" w:hAnsi="Arial" w:cs="Arial"/>
                <w:i/>
                <w:color w:val="000000"/>
                <w:sz w:val="20"/>
                <w:szCs w:val="20"/>
                <w:lang w:val="es-AR"/>
              </w:rPr>
            </w:pPr>
            <w:r w:rsidRPr="00225D32">
              <w:rPr>
                <w:rFonts w:ascii="Arial" w:hAnsi="Arial" w:cs="Arial"/>
                <w:i/>
                <w:color w:val="000000"/>
                <w:sz w:val="20"/>
                <w:szCs w:val="20"/>
                <w:lang w:val="es-AR"/>
              </w:rPr>
              <w:t>Cobertura PGDS: 100 municipios</w:t>
            </w:r>
          </w:p>
        </w:tc>
      </w:tr>
      <w:tr w:rsidR="007674E0" w:rsidRPr="00225D32" w:rsidTr="00EC0BA4">
        <w:tc>
          <w:tcPr>
            <w:tcW w:w="1795" w:type="dxa"/>
            <w:vMerge/>
            <w:shd w:val="clear" w:color="auto" w:fill="auto"/>
          </w:tcPr>
          <w:p w:rsidR="007674E0" w:rsidRPr="00225D32" w:rsidRDefault="007674E0" w:rsidP="00AA3706">
            <w:pPr>
              <w:pStyle w:val="Prrafodelista1"/>
              <w:spacing w:line="276" w:lineRule="auto"/>
              <w:ind w:left="0"/>
              <w:rPr>
                <w:rFonts w:ascii="Arial" w:hAnsi="Arial" w:cs="Arial"/>
                <w:color w:val="000000"/>
                <w:sz w:val="20"/>
                <w:szCs w:val="20"/>
                <w:lang w:val="es-AR"/>
              </w:rPr>
            </w:pPr>
          </w:p>
        </w:tc>
        <w:tc>
          <w:tcPr>
            <w:tcW w:w="1857" w:type="dxa"/>
            <w:vMerge/>
            <w:shd w:val="clear" w:color="auto" w:fill="auto"/>
          </w:tcPr>
          <w:p w:rsidR="007674E0" w:rsidRPr="00225D32" w:rsidRDefault="007674E0" w:rsidP="00AA3706">
            <w:pPr>
              <w:pStyle w:val="Prrafodelista1"/>
              <w:spacing w:line="276" w:lineRule="auto"/>
              <w:ind w:left="0"/>
              <w:rPr>
                <w:rFonts w:ascii="Arial" w:hAnsi="Arial" w:cs="Arial"/>
                <w:i/>
                <w:color w:val="000000"/>
                <w:sz w:val="20"/>
                <w:szCs w:val="20"/>
                <w:lang w:val="es-AR"/>
              </w:rPr>
            </w:pPr>
          </w:p>
        </w:tc>
        <w:tc>
          <w:tcPr>
            <w:tcW w:w="2126" w:type="dxa"/>
            <w:vMerge/>
            <w:shd w:val="clear" w:color="auto" w:fill="auto"/>
          </w:tcPr>
          <w:p w:rsidR="007674E0" w:rsidRPr="00225D32" w:rsidRDefault="007674E0" w:rsidP="00AA3706">
            <w:pPr>
              <w:pStyle w:val="Prrafodelista1"/>
              <w:spacing w:line="276" w:lineRule="auto"/>
              <w:ind w:left="0"/>
              <w:rPr>
                <w:rFonts w:ascii="Arial" w:hAnsi="Arial" w:cs="Arial"/>
                <w:color w:val="000000"/>
                <w:sz w:val="20"/>
                <w:szCs w:val="20"/>
                <w:lang w:val="es-AR"/>
              </w:rPr>
            </w:pPr>
          </w:p>
        </w:tc>
        <w:tc>
          <w:tcPr>
            <w:tcW w:w="2977" w:type="dxa"/>
            <w:shd w:val="clear" w:color="auto" w:fill="auto"/>
          </w:tcPr>
          <w:p w:rsidR="007674E0" w:rsidRPr="00225D32" w:rsidRDefault="007674E0" w:rsidP="00AA3706">
            <w:pPr>
              <w:pStyle w:val="Prrafodelista1"/>
              <w:spacing w:line="276" w:lineRule="auto"/>
              <w:ind w:left="0"/>
              <w:rPr>
                <w:rFonts w:ascii="Arial" w:hAnsi="Arial" w:cs="Arial"/>
                <w:i/>
                <w:color w:val="000000"/>
                <w:sz w:val="20"/>
                <w:szCs w:val="20"/>
                <w:lang w:val="es-AR"/>
              </w:rPr>
            </w:pPr>
            <w:r w:rsidRPr="00225D32">
              <w:rPr>
                <w:rFonts w:ascii="Arial" w:hAnsi="Arial" w:cs="Arial"/>
                <w:i/>
                <w:color w:val="000000"/>
                <w:sz w:val="20"/>
                <w:szCs w:val="20"/>
                <w:lang w:val="es-AR"/>
              </w:rPr>
              <w:t>Cobertura PGDS: 93 municipios</w:t>
            </w:r>
          </w:p>
        </w:tc>
      </w:tr>
      <w:tr w:rsidR="004C723D" w:rsidRPr="00225D32" w:rsidTr="00EC0BA4">
        <w:tc>
          <w:tcPr>
            <w:tcW w:w="1795" w:type="dxa"/>
            <w:vMerge w:val="restart"/>
            <w:shd w:val="clear" w:color="auto" w:fill="auto"/>
          </w:tcPr>
          <w:p w:rsidR="004C723D" w:rsidRPr="00225D32" w:rsidRDefault="004C723D" w:rsidP="00AA3706">
            <w:pPr>
              <w:pStyle w:val="Prrafodelista1"/>
              <w:spacing w:line="276" w:lineRule="auto"/>
              <w:ind w:left="0"/>
              <w:rPr>
                <w:rFonts w:ascii="Arial" w:hAnsi="Arial" w:cs="Arial"/>
                <w:b/>
                <w:color w:val="000000"/>
                <w:sz w:val="20"/>
                <w:szCs w:val="20"/>
                <w:lang w:val="es-AR"/>
              </w:rPr>
            </w:pPr>
            <w:r w:rsidRPr="00225D32">
              <w:rPr>
                <w:rFonts w:ascii="Arial" w:hAnsi="Arial" w:cs="Arial"/>
                <w:b/>
                <w:color w:val="000000"/>
                <w:sz w:val="20"/>
                <w:szCs w:val="20"/>
                <w:lang w:val="es-AR"/>
              </w:rPr>
              <w:t>Déficit endógeno</w:t>
            </w:r>
          </w:p>
        </w:tc>
        <w:tc>
          <w:tcPr>
            <w:tcW w:w="1857" w:type="dxa"/>
            <w:vMerge w:val="restart"/>
            <w:shd w:val="clear" w:color="auto" w:fill="auto"/>
          </w:tcPr>
          <w:p w:rsidR="004C723D" w:rsidRPr="00225D32" w:rsidRDefault="004C723D" w:rsidP="00AA3706">
            <w:pPr>
              <w:pStyle w:val="Prrafodelista1"/>
              <w:spacing w:line="276" w:lineRule="auto"/>
              <w:ind w:left="0"/>
              <w:rPr>
                <w:rFonts w:ascii="Arial" w:hAnsi="Arial" w:cs="Arial"/>
                <w:b/>
                <w:color w:val="000000"/>
                <w:sz w:val="20"/>
                <w:szCs w:val="20"/>
                <w:lang w:val="es-AR"/>
              </w:rPr>
            </w:pPr>
            <w:r w:rsidRPr="00225D32">
              <w:rPr>
                <w:rFonts w:ascii="Arial" w:hAnsi="Arial" w:cs="Arial"/>
                <w:b/>
                <w:color w:val="000000"/>
                <w:sz w:val="20"/>
                <w:szCs w:val="20"/>
                <w:lang w:val="es-AR"/>
              </w:rPr>
              <w:t>Crecimiento PBI: 4% anual</w:t>
            </w:r>
          </w:p>
        </w:tc>
        <w:tc>
          <w:tcPr>
            <w:tcW w:w="2126" w:type="dxa"/>
            <w:vMerge w:val="restart"/>
            <w:shd w:val="clear" w:color="auto" w:fill="auto"/>
          </w:tcPr>
          <w:p w:rsidR="004C723D" w:rsidRPr="00225D32" w:rsidRDefault="004C723D" w:rsidP="00AA3706">
            <w:pPr>
              <w:pStyle w:val="Prrafodelista1"/>
              <w:spacing w:line="276" w:lineRule="auto"/>
              <w:ind w:left="0"/>
              <w:rPr>
                <w:rFonts w:ascii="Arial" w:hAnsi="Arial" w:cs="Arial"/>
                <w:b/>
                <w:color w:val="000000"/>
                <w:sz w:val="20"/>
                <w:szCs w:val="20"/>
                <w:lang w:val="es-AR"/>
              </w:rPr>
            </w:pPr>
            <w:r w:rsidRPr="00225D32">
              <w:rPr>
                <w:rFonts w:ascii="Arial" w:hAnsi="Arial" w:cs="Arial"/>
                <w:b/>
                <w:color w:val="000000"/>
                <w:sz w:val="20"/>
                <w:szCs w:val="20"/>
                <w:lang w:val="es-AR"/>
              </w:rPr>
              <w:t>Cobertura BVM: 400.000 hogares</w:t>
            </w:r>
          </w:p>
        </w:tc>
        <w:tc>
          <w:tcPr>
            <w:tcW w:w="2977" w:type="dxa"/>
            <w:shd w:val="clear" w:color="auto" w:fill="auto"/>
          </w:tcPr>
          <w:p w:rsidR="004C723D" w:rsidRPr="00225D32" w:rsidRDefault="004C723D" w:rsidP="00AA3706">
            <w:pPr>
              <w:pStyle w:val="Prrafodelista1"/>
              <w:spacing w:line="276" w:lineRule="auto"/>
              <w:ind w:left="0"/>
              <w:rPr>
                <w:rFonts w:ascii="Arial" w:hAnsi="Arial" w:cs="Arial"/>
                <w:b/>
                <w:color w:val="000000"/>
                <w:sz w:val="20"/>
                <w:szCs w:val="20"/>
                <w:lang w:val="es-AR"/>
              </w:rPr>
            </w:pPr>
            <w:r w:rsidRPr="00225D32">
              <w:rPr>
                <w:rFonts w:ascii="Arial" w:hAnsi="Arial" w:cs="Arial"/>
                <w:b/>
                <w:color w:val="000000"/>
                <w:sz w:val="20"/>
                <w:szCs w:val="20"/>
                <w:lang w:val="es-AR"/>
              </w:rPr>
              <w:t>Cobertura PGDS: 104 municipios</w:t>
            </w:r>
          </w:p>
        </w:tc>
      </w:tr>
      <w:tr w:rsidR="004C723D" w:rsidRPr="00225D32" w:rsidTr="00EC0BA4">
        <w:tc>
          <w:tcPr>
            <w:tcW w:w="1795" w:type="dxa"/>
            <w:vMerge/>
            <w:shd w:val="clear" w:color="auto" w:fill="auto"/>
          </w:tcPr>
          <w:p w:rsidR="004C723D" w:rsidRPr="00225D32" w:rsidRDefault="004C723D" w:rsidP="00AA3706">
            <w:pPr>
              <w:pStyle w:val="Prrafodelista1"/>
              <w:spacing w:line="276" w:lineRule="auto"/>
              <w:ind w:left="0"/>
              <w:rPr>
                <w:rFonts w:ascii="Arial" w:hAnsi="Arial" w:cs="Arial"/>
                <w:color w:val="000000"/>
                <w:sz w:val="20"/>
                <w:szCs w:val="20"/>
                <w:lang w:val="es-AR"/>
              </w:rPr>
            </w:pPr>
          </w:p>
        </w:tc>
        <w:tc>
          <w:tcPr>
            <w:tcW w:w="1857" w:type="dxa"/>
            <w:vMerge/>
            <w:shd w:val="clear" w:color="auto" w:fill="auto"/>
          </w:tcPr>
          <w:p w:rsidR="004C723D" w:rsidRPr="00225D32" w:rsidRDefault="004C723D" w:rsidP="00AA3706">
            <w:pPr>
              <w:pStyle w:val="Prrafodelista1"/>
              <w:spacing w:line="276" w:lineRule="auto"/>
              <w:ind w:left="0"/>
              <w:rPr>
                <w:rFonts w:ascii="Arial" w:hAnsi="Arial" w:cs="Arial"/>
                <w:i/>
                <w:color w:val="000000"/>
                <w:sz w:val="20"/>
                <w:szCs w:val="20"/>
                <w:lang w:val="es-AR"/>
              </w:rPr>
            </w:pPr>
          </w:p>
        </w:tc>
        <w:tc>
          <w:tcPr>
            <w:tcW w:w="2126" w:type="dxa"/>
            <w:vMerge/>
            <w:shd w:val="clear" w:color="auto" w:fill="auto"/>
          </w:tcPr>
          <w:p w:rsidR="004C723D" w:rsidRPr="00225D32" w:rsidRDefault="004C723D" w:rsidP="00AA3706">
            <w:pPr>
              <w:pStyle w:val="Prrafodelista1"/>
              <w:spacing w:line="276" w:lineRule="auto"/>
              <w:ind w:left="0"/>
              <w:rPr>
                <w:rFonts w:ascii="Arial" w:hAnsi="Arial" w:cs="Arial"/>
                <w:color w:val="000000"/>
                <w:sz w:val="20"/>
                <w:szCs w:val="20"/>
                <w:lang w:val="es-AR"/>
              </w:rPr>
            </w:pPr>
          </w:p>
        </w:tc>
        <w:tc>
          <w:tcPr>
            <w:tcW w:w="2977" w:type="dxa"/>
            <w:shd w:val="clear" w:color="auto" w:fill="auto"/>
          </w:tcPr>
          <w:p w:rsidR="004C723D" w:rsidRPr="00225D32" w:rsidRDefault="004C723D" w:rsidP="00AA3706">
            <w:pPr>
              <w:pStyle w:val="Prrafodelista1"/>
              <w:spacing w:line="276" w:lineRule="auto"/>
              <w:ind w:left="0"/>
              <w:rPr>
                <w:rFonts w:ascii="Arial" w:hAnsi="Arial" w:cs="Arial"/>
                <w:color w:val="000000"/>
                <w:sz w:val="20"/>
                <w:szCs w:val="20"/>
                <w:lang w:val="es-AR"/>
              </w:rPr>
            </w:pPr>
            <w:r w:rsidRPr="00225D32">
              <w:rPr>
                <w:rFonts w:ascii="Arial" w:hAnsi="Arial" w:cs="Arial"/>
                <w:i/>
                <w:color w:val="000000"/>
                <w:sz w:val="20"/>
                <w:szCs w:val="20"/>
                <w:lang w:val="es-AR"/>
              </w:rPr>
              <w:t>Cobertura PGDS: 100 municipios</w:t>
            </w:r>
          </w:p>
        </w:tc>
      </w:tr>
      <w:tr w:rsidR="004C723D" w:rsidRPr="00225D32" w:rsidTr="00EC0BA4">
        <w:tc>
          <w:tcPr>
            <w:tcW w:w="1795" w:type="dxa"/>
            <w:vMerge/>
            <w:shd w:val="clear" w:color="auto" w:fill="auto"/>
          </w:tcPr>
          <w:p w:rsidR="004C723D" w:rsidRPr="00225D32" w:rsidRDefault="004C723D" w:rsidP="00AA3706">
            <w:pPr>
              <w:pStyle w:val="Prrafodelista1"/>
              <w:spacing w:line="276" w:lineRule="auto"/>
              <w:ind w:left="0"/>
              <w:rPr>
                <w:rFonts w:ascii="Arial" w:hAnsi="Arial" w:cs="Arial"/>
                <w:b/>
                <w:color w:val="000000"/>
                <w:sz w:val="20"/>
                <w:szCs w:val="20"/>
                <w:lang w:val="es-AR"/>
              </w:rPr>
            </w:pPr>
          </w:p>
        </w:tc>
        <w:tc>
          <w:tcPr>
            <w:tcW w:w="1857" w:type="dxa"/>
            <w:vMerge/>
            <w:shd w:val="clear" w:color="auto" w:fill="auto"/>
          </w:tcPr>
          <w:p w:rsidR="004C723D" w:rsidRPr="00225D32" w:rsidRDefault="004C723D" w:rsidP="00AA3706">
            <w:pPr>
              <w:pStyle w:val="Prrafodelista1"/>
              <w:spacing w:line="276" w:lineRule="auto"/>
              <w:ind w:left="0"/>
              <w:rPr>
                <w:rFonts w:ascii="Arial" w:hAnsi="Arial" w:cs="Arial"/>
                <w:i/>
                <w:color w:val="000000"/>
                <w:sz w:val="20"/>
                <w:szCs w:val="20"/>
                <w:lang w:val="es-AR"/>
              </w:rPr>
            </w:pPr>
          </w:p>
        </w:tc>
        <w:tc>
          <w:tcPr>
            <w:tcW w:w="2126" w:type="dxa"/>
            <w:vMerge/>
            <w:shd w:val="clear" w:color="auto" w:fill="auto"/>
          </w:tcPr>
          <w:p w:rsidR="004C723D" w:rsidRPr="00225D32" w:rsidRDefault="004C723D" w:rsidP="00AA3706">
            <w:pPr>
              <w:pStyle w:val="Prrafodelista1"/>
              <w:spacing w:line="276" w:lineRule="auto"/>
              <w:ind w:left="0"/>
              <w:rPr>
                <w:rFonts w:ascii="Arial" w:hAnsi="Arial" w:cs="Arial"/>
                <w:i/>
                <w:color w:val="000000"/>
                <w:sz w:val="20"/>
                <w:szCs w:val="20"/>
                <w:lang w:val="es-AR"/>
              </w:rPr>
            </w:pPr>
          </w:p>
        </w:tc>
        <w:tc>
          <w:tcPr>
            <w:tcW w:w="2977" w:type="dxa"/>
            <w:shd w:val="clear" w:color="auto" w:fill="auto"/>
          </w:tcPr>
          <w:p w:rsidR="004C723D" w:rsidRPr="00225D32" w:rsidRDefault="004C723D" w:rsidP="00AA3706">
            <w:pPr>
              <w:pStyle w:val="Prrafodelista1"/>
              <w:spacing w:line="276" w:lineRule="auto"/>
              <w:ind w:left="0"/>
              <w:rPr>
                <w:rFonts w:ascii="Arial" w:hAnsi="Arial" w:cs="Arial"/>
                <w:i/>
                <w:color w:val="000000"/>
                <w:sz w:val="20"/>
                <w:szCs w:val="20"/>
                <w:lang w:val="es-AR"/>
              </w:rPr>
            </w:pPr>
            <w:r w:rsidRPr="00225D32">
              <w:rPr>
                <w:rFonts w:ascii="Arial" w:hAnsi="Arial" w:cs="Arial"/>
                <w:i/>
                <w:color w:val="000000"/>
                <w:sz w:val="20"/>
                <w:szCs w:val="20"/>
                <w:lang w:val="es-AR"/>
              </w:rPr>
              <w:t>Cobertura PGDS: 93 municipios</w:t>
            </w:r>
          </w:p>
        </w:tc>
      </w:tr>
      <w:tr w:rsidR="004C723D" w:rsidRPr="00225D32" w:rsidTr="00EC0BA4">
        <w:tc>
          <w:tcPr>
            <w:tcW w:w="1795" w:type="dxa"/>
            <w:vMerge/>
            <w:shd w:val="clear" w:color="auto" w:fill="auto"/>
          </w:tcPr>
          <w:p w:rsidR="004C723D" w:rsidRPr="00225D32" w:rsidRDefault="004C723D" w:rsidP="00AA3706">
            <w:pPr>
              <w:pStyle w:val="Prrafodelista1"/>
              <w:spacing w:line="276" w:lineRule="auto"/>
              <w:ind w:left="0"/>
              <w:rPr>
                <w:rFonts w:ascii="Arial" w:hAnsi="Arial" w:cs="Arial"/>
                <w:color w:val="000000"/>
                <w:sz w:val="20"/>
                <w:szCs w:val="20"/>
                <w:lang w:val="es-AR"/>
              </w:rPr>
            </w:pPr>
          </w:p>
        </w:tc>
        <w:tc>
          <w:tcPr>
            <w:tcW w:w="1857" w:type="dxa"/>
            <w:vMerge/>
            <w:shd w:val="clear" w:color="auto" w:fill="auto"/>
          </w:tcPr>
          <w:p w:rsidR="004C723D" w:rsidRPr="00225D32" w:rsidRDefault="004C723D" w:rsidP="00AA3706">
            <w:pPr>
              <w:pStyle w:val="Prrafodelista1"/>
              <w:spacing w:line="276" w:lineRule="auto"/>
              <w:ind w:left="0"/>
              <w:rPr>
                <w:rFonts w:ascii="Arial" w:hAnsi="Arial" w:cs="Arial"/>
                <w:i/>
                <w:color w:val="000000"/>
                <w:sz w:val="20"/>
                <w:szCs w:val="20"/>
                <w:lang w:val="es-AR"/>
              </w:rPr>
            </w:pPr>
          </w:p>
        </w:tc>
        <w:tc>
          <w:tcPr>
            <w:tcW w:w="2126" w:type="dxa"/>
            <w:vMerge w:val="restart"/>
            <w:shd w:val="clear" w:color="auto" w:fill="auto"/>
          </w:tcPr>
          <w:p w:rsidR="004C723D" w:rsidRPr="00225D32" w:rsidRDefault="004C723D" w:rsidP="00AA3706">
            <w:pPr>
              <w:pStyle w:val="Prrafodelista1"/>
              <w:spacing w:line="276" w:lineRule="auto"/>
              <w:ind w:left="0"/>
              <w:rPr>
                <w:rFonts w:ascii="Arial" w:hAnsi="Arial" w:cs="Arial"/>
                <w:i/>
                <w:color w:val="000000"/>
                <w:sz w:val="20"/>
                <w:szCs w:val="20"/>
                <w:lang w:val="es-AR"/>
              </w:rPr>
            </w:pPr>
            <w:r w:rsidRPr="00225D32">
              <w:rPr>
                <w:rFonts w:ascii="Arial" w:hAnsi="Arial" w:cs="Arial"/>
                <w:i/>
                <w:color w:val="000000"/>
                <w:sz w:val="20"/>
                <w:szCs w:val="20"/>
                <w:lang w:val="es-AR"/>
              </w:rPr>
              <w:t>Cobertura BVM: 300.000 hogares</w:t>
            </w:r>
          </w:p>
        </w:tc>
        <w:tc>
          <w:tcPr>
            <w:tcW w:w="2977" w:type="dxa"/>
            <w:shd w:val="clear" w:color="auto" w:fill="auto"/>
          </w:tcPr>
          <w:p w:rsidR="004C723D" w:rsidRPr="00225D32" w:rsidRDefault="004C723D" w:rsidP="00AA3706">
            <w:pPr>
              <w:pStyle w:val="Prrafodelista1"/>
              <w:spacing w:line="276" w:lineRule="auto"/>
              <w:ind w:left="0"/>
              <w:rPr>
                <w:rFonts w:ascii="Arial" w:hAnsi="Arial" w:cs="Arial"/>
                <w:i/>
                <w:color w:val="000000"/>
                <w:sz w:val="20"/>
                <w:szCs w:val="20"/>
                <w:lang w:val="es-AR"/>
              </w:rPr>
            </w:pPr>
            <w:r w:rsidRPr="00225D32">
              <w:rPr>
                <w:rFonts w:ascii="Arial" w:hAnsi="Arial" w:cs="Arial"/>
                <w:i/>
                <w:color w:val="000000"/>
                <w:sz w:val="20"/>
                <w:szCs w:val="20"/>
                <w:lang w:val="es-AR"/>
              </w:rPr>
              <w:t>Cobertura PGDS: 104 municipios</w:t>
            </w:r>
          </w:p>
        </w:tc>
      </w:tr>
      <w:tr w:rsidR="004C723D" w:rsidRPr="00225D32" w:rsidTr="00EC0BA4">
        <w:tc>
          <w:tcPr>
            <w:tcW w:w="1795" w:type="dxa"/>
            <w:vMerge/>
            <w:shd w:val="clear" w:color="auto" w:fill="auto"/>
          </w:tcPr>
          <w:p w:rsidR="004C723D" w:rsidRPr="00225D32" w:rsidRDefault="004C723D" w:rsidP="00AA3706">
            <w:pPr>
              <w:pStyle w:val="Prrafodelista1"/>
              <w:spacing w:line="276" w:lineRule="auto"/>
              <w:ind w:left="0"/>
              <w:rPr>
                <w:rFonts w:ascii="Arial" w:hAnsi="Arial" w:cs="Arial"/>
                <w:color w:val="000000"/>
                <w:sz w:val="20"/>
                <w:szCs w:val="20"/>
                <w:lang w:val="es-AR"/>
              </w:rPr>
            </w:pPr>
          </w:p>
        </w:tc>
        <w:tc>
          <w:tcPr>
            <w:tcW w:w="1857" w:type="dxa"/>
            <w:vMerge/>
            <w:shd w:val="clear" w:color="auto" w:fill="auto"/>
          </w:tcPr>
          <w:p w:rsidR="004C723D" w:rsidRPr="00225D32" w:rsidRDefault="004C723D" w:rsidP="00AA3706">
            <w:pPr>
              <w:pStyle w:val="Prrafodelista1"/>
              <w:spacing w:line="276" w:lineRule="auto"/>
              <w:ind w:left="0"/>
              <w:rPr>
                <w:rFonts w:ascii="Arial" w:hAnsi="Arial" w:cs="Arial"/>
                <w:i/>
                <w:color w:val="000000"/>
                <w:sz w:val="20"/>
                <w:szCs w:val="20"/>
                <w:lang w:val="es-AR"/>
              </w:rPr>
            </w:pPr>
          </w:p>
        </w:tc>
        <w:tc>
          <w:tcPr>
            <w:tcW w:w="2126" w:type="dxa"/>
            <w:vMerge/>
            <w:shd w:val="clear" w:color="auto" w:fill="auto"/>
          </w:tcPr>
          <w:p w:rsidR="004C723D" w:rsidRPr="00225D32" w:rsidRDefault="004C723D" w:rsidP="00AA3706">
            <w:pPr>
              <w:pStyle w:val="Prrafodelista1"/>
              <w:spacing w:line="276" w:lineRule="auto"/>
              <w:ind w:left="0"/>
              <w:rPr>
                <w:rFonts w:ascii="Arial" w:hAnsi="Arial" w:cs="Arial"/>
                <w:color w:val="000000"/>
                <w:sz w:val="20"/>
                <w:szCs w:val="20"/>
                <w:lang w:val="es-AR"/>
              </w:rPr>
            </w:pPr>
          </w:p>
        </w:tc>
        <w:tc>
          <w:tcPr>
            <w:tcW w:w="2977" w:type="dxa"/>
            <w:shd w:val="clear" w:color="auto" w:fill="auto"/>
          </w:tcPr>
          <w:p w:rsidR="004C723D" w:rsidRPr="00225D32" w:rsidRDefault="004C723D" w:rsidP="00AA3706">
            <w:pPr>
              <w:pStyle w:val="Prrafodelista1"/>
              <w:spacing w:line="276" w:lineRule="auto"/>
              <w:ind w:left="0"/>
              <w:rPr>
                <w:rFonts w:ascii="Arial" w:hAnsi="Arial" w:cs="Arial"/>
                <w:i/>
                <w:color w:val="000000"/>
                <w:sz w:val="20"/>
                <w:szCs w:val="20"/>
                <w:lang w:val="es-AR"/>
              </w:rPr>
            </w:pPr>
            <w:r w:rsidRPr="00225D32">
              <w:rPr>
                <w:rFonts w:ascii="Arial" w:hAnsi="Arial" w:cs="Arial"/>
                <w:i/>
                <w:color w:val="000000"/>
                <w:sz w:val="20"/>
                <w:szCs w:val="20"/>
                <w:lang w:val="es-AR"/>
              </w:rPr>
              <w:t>Cobertura PGDS: 100 municipios</w:t>
            </w:r>
          </w:p>
        </w:tc>
      </w:tr>
      <w:tr w:rsidR="004C723D" w:rsidRPr="00225D32" w:rsidTr="00EC0BA4">
        <w:tc>
          <w:tcPr>
            <w:tcW w:w="1795" w:type="dxa"/>
            <w:vMerge/>
            <w:shd w:val="clear" w:color="auto" w:fill="auto"/>
          </w:tcPr>
          <w:p w:rsidR="004C723D" w:rsidRPr="00225D32" w:rsidRDefault="004C723D" w:rsidP="00AA3706">
            <w:pPr>
              <w:pStyle w:val="Prrafodelista1"/>
              <w:spacing w:line="276" w:lineRule="auto"/>
              <w:ind w:left="0"/>
              <w:rPr>
                <w:rFonts w:ascii="Arial" w:hAnsi="Arial" w:cs="Arial"/>
                <w:color w:val="000000"/>
                <w:sz w:val="20"/>
                <w:szCs w:val="20"/>
                <w:lang w:val="es-AR"/>
              </w:rPr>
            </w:pPr>
          </w:p>
        </w:tc>
        <w:tc>
          <w:tcPr>
            <w:tcW w:w="1857" w:type="dxa"/>
            <w:vMerge/>
            <w:shd w:val="clear" w:color="auto" w:fill="auto"/>
          </w:tcPr>
          <w:p w:rsidR="004C723D" w:rsidRPr="00225D32" w:rsidRDefault="004C723D" w:rsidP="00AA3706">
            <w:pPr>
              <w:pStyle w:val="Prrafodelista1"/>
              <w:spacing w:line="276" w:lineRule="auto"/>
              <w:ind w:left="0"/>
              <w:rPr>
                <w:rFonts w:ascii="Arial" w:hAnsi="Arial" w:cs="Arial"/>
                <w:i/>
                <w:color w:val="000000"/>
                <w:sz w:val="20"/>
                <w:szCs w:val="20"/>
                <w:lang w:val="es-AR"/>
              </w:rPr>
            </w:pPr>
          </w:p>
        </w:tc>
        <w:tc>
          <w:tcPr>
            <w:tcW w:w="2126" w:type="dxa"/>
            <w:vMerge/>
            <w:shd w:val="clear" w:color="auto" w:fill="auto"/>
          </w:tcPr>
          <w:p w:rsidR="004C723D" w:rsidRPr="00225D32" w:rsidRDefault="004C723D" w:rsidP="00AA3706">
            <w:pPr>
              <w:pStyle w:val="Prrafodelista1"/>
              <w:spacing w:line="276" w:lineRule="auto"/>
              <w:ind w:left="0"/>
              <w:rPr>
                <w:rFonts w:ascii="Arial" w:hAnsi="Arial" w:cs="Arial"/>
                <w:color w:val="000000"/>
                <w:sz w:val="20"/>
                <w:szCs w:val="20"/>
                <w:lang w:val="es-AR"/>
              </w:rPr>
            </w:pPr>
          </w:p>
        </w:tc>
        <w:tc>
          <w:tcPr>
            <w:tcW w:w="2977" w:type="dxa"/>
            <w:shd w:val="clear" w:color="auto" w:fill="auto"/>
          </w:tcPr>
          <w:p w:rsidR="004C723D" w:rsidRPr="00225D32" w:rsidRDefault="004C723D" w:rsidP="00AA3706">
            <w:pPr>
              <w:pStyle w:val="Prrafodelista1"/>
              <w:spacing w:line="276" w:lineRule="auto"/>
              <w:ind w:left="0"/>
              <w:rPr>
                <w:rFonts w:ascii="Arial" w:hAnsi="Arial" w:cs="Arial"/>
                <w:i/>
                <w:color w:val="000000"/>
                <w:sz w:val="20"/>
                <w:szCs w:val="20"/>
                <w:lang w:val="es-AR"/>
              </w:rPr>
            </w:pPr>
            <w:r w:rsidRPr="00225D32">
              <w:rPr>
                <w:rFonts w:ascii="Arial" w:hAnsi="Arial" w:cs="Arial"/>
                <w:i/>
                <w:color w:val="000000"/>
                <w:sz w:val="20"/>
                <w:szCs w:val="20"/>
                <w:lang w:val="es-AR"/>
              </w:rPr>
              <w:t>Cobertura PGDS: 93 municipios</w:t>
            </w:r>
          </w:p>
        </w:tc>
      </w:tr>
      <w:tr w:rsidR="004C723D" w:rsidRPr="00225D32" w:rsidTr="00EC0BA4">
        <w:tc>
          <w:tcPr>
            <w:tcW w:w="1795" w:type="dxa"/>
            <w:vMerge/>
            <w:shd w:val="clear" w:color="auto" w:fill="auto"/>
          </w:tcPr>
          <w:p w:rsidR="004C723D" w:rsidRPr="00225D32" w:rsidRDefault="004C723D" w:rsidP="00AA3706">
            <w:pPr>
              <w:pStyle w:val="Prrafodelista1"/>
              <w:spacing w:line="276" w:lineRule="auto"/>
              <w:ind w:left="0"/>
              <w:rPr>
                <w:rFonts w:ascii="Arial" w:hAnsi="Arial" w:cs="Arial"/>
                <w:color w:val="000000"/>
                <w:sz w:val="20"/>
                <w:szCs w:val="20"/>
                <w:lang w:val="es-AR"/>
              </w:rPr>
            </w:pPr>
          </w:p>
        </w:tc>
        <w:tc>
          <w:tcPr>
            <w:tcW w:w="1857" w:type="dxa"/>
            <w:vMerge/>
            <w:shd w:val="clear" w:color="auto" w:fill="auto"/>
          </w:tcPr>
          <w:p w:rsidR="004C723D" w:rsidRPr="00225D32" w:rsidRDefault="004C723D" w:rsidP="00AA3706">
            <w:pPr>
              <w:pStyle w:val="Prrafodelista1"/>
              <w:spacing w:line="276" w:lineRule="auto"/>
              <w:ind w:left="0"/>
              <w:rPr>
                <w:rFonts w:ascii="Arial" w:hAnsi="Arial" w:cs="Arial"/>
                <w:i/>
                <w:color w:val="000000"/>
                <w:sz w:val="20"/>
                <w:szCs w:val="20"/>
                <w:lang w:val="es-AR"/>
              </w:rPr>
            </w:pPr>
          </w:p>
        </w:tc>
        <w:tc>
          <w:tcPr>
            <w:tcW w:w="2126" w:type="dxa"/>
            <w:vMerge w:val="restart"/>
            <w:shd w:val="clear" w:color="auto" w:fill="auto"/>
          </w:tcPr>
          <w:p w:rsidR="004C723D" w:rsidRPr="00225D32" w:rsidRDefault="004C723D" w:rsidP="00AA3706">
            <w:pPr>
              <w:pStyle w:val="Prrafodelista1"/>
              <w:spacing w:line="276" w:lineRule="auto"/>
              <w:ind w:left="0"/>
              <w:rPr>
                <w:rFonts w:ascii="Arial" w:hAnsi="Arial" w:cs="Arial"/>
                <w:i/>
                <w:color w:val="000000"/>
                <w:sz w:val="20"/>
                <w:szCs w:val="20"/>
                <w:lang w:val="es-AR"/>
              </w:rPr>
            </w:pPr>
            <w:r w:rsidRPr="00225D32">
              <w:rPr>
                <w:rFonts w:ascii="Arial" w:hAnsi="Arial" w:cs="Arial"/>
                <w:i/>
                <w:color w:val="000000"/>
                <w:sz w:val="20"/>
                <w:szCs w:val="20"/>
                <w:lang w:val="es-AR"/>
              </w:rPr>
              <w:t>Cobertura BVM: 300.000 hogares</w:t>
            </w:r>
          </w:p>
        </w:tc>
        <w:tc>
          <w:tcPr>
            <w:tcW w:w="2977" w:type="dxa"/>
            <w:shd w:val="clear" w:color="auto" w:fill="auto"/>
          </w:tcPr>
          <w:p w:rsidR="004C723D" w:rsidRPr="00225D32" w:rsidRDefault="004C723D" w:rsidP="00AA3706">
            <w:pPr>
              <w:pStyle w:val="Prrafodelista1"/>
              <w:spacing w:line="276" w:lineRule="auto"/>
              <w:ind w:left="0"/>
              <w:rPr>
                <w:rFonts w:ascii="Arial" w:hAnsi="Arial" w:cs="Arial"/>
                <w:i/>
                <w:color w:val="000000"/>
                <w:sz w:val="20"/>
                <w:szCs w:val="20"/>
                <w:lang w:val="es-AR"/>
              </w:rPr>
            </w:pPr>
            <w:r w:rsidRPr="00225D32">
              <w:rPr>
                <w:rFonts w:ascii="Arial" w:hAnsi="Arial" w:cs="Arial"/>
                <w:i/>
                <w:color w:val="000000"/>
                <w:sz w:val="20"/>
                <w:szCs w:val="20"/>
                <w:lang w:val="es-AR"/>
              </w:rPr>
              <w:t>Cobertura PGDS: 104 municipios</w:t>
            </w:r>
          </w:p>
        </w:tc>
      </w:tr>
      <w:tr w:rsidR="004C723D" w:rsidRPr="00225D32" w:rsidTr="00EC0BA4">
        <w:tc>
          <w:tcPr>
            <w:tcW w:w="1795" w:type="dxa"/>
            <w:vMerge/>
            <w:shd w:val="clear" w:color="auto" w:fill="auto"/>
          </w:tcPr>
          <w:p w:rsidR="004C723D" w:rsidRPr="00225D32" w:rsidRDefault="004C723D" w:rsidP="00AA3706">
            <w:pPr>
              <w:pStyle w:val="Prrafodelista1"/>
              <w:spacing w:line="276" w:lineRule="auto"/>
              <w:ind w:left="0"/>
              <w:rPr>
                <w:rFonts w:ascii="Arial" w:hAnsi="Arial" w:cs="Arial"/>
                <w:color w:val="000000"/>
                <w:sz w:val="20"/>
                <w:szCs w:val="20"/>
                <w:lang w:val="es-AR"/>
              </w:rPr>
            </w:pPr>
          </w:p>
        </w:tc>
        <w:tc>
          <w:tcPr>
            <w:tcW w:w="1857" w:type="dxa"/>
            <w:vMerge/>
            <w:shd w:val="clear" w:color="auto" w:fill="auto"/>
          </w:tcPr>
          <w:p w:rsidR="004C723D" w:rsidRPr="00225D32" w:rsidRDefault="004C723D" w:rsidP="00AA3706">
            <w:pPr>
              <w:pStyle w:val="Prrafodelista1"/>
              <w:spacing w:line="276" w:lineRule="auto"/>
              <w:ind w:left="0"/>
              <w:rPr>
                <w:rFonts w:ascii="Arial" w:hAnsi="Arial" w:cs="Arial"/>
                <w:i/>
                <w:color w:val="000000"/>
                <w:sz w:val="20"/>
                <w:szCs w:val="20"/>
                <w:lang w:val="es-AR"/>
              </w:rPr>
            </w:pPr>
          </w:p>
        </w:tc>
        <w:tc>
          <w:tcPr>
            <w:tcW w:w="2126" w:type="dxa"/>
            <w:vMerge/>
            <w:shd w:val="clear" w:color="auto" w:fill="auto"/>
          </w:tcPr>
          <w:p w:rsidR="004C723D" w:rsidRPr="00225D32" w:rsidRDefault="004C723D" w:rsidP="00AA3706">
            <w:pPr>
              <w:pStyle w:val="Prrafodelista1"/>
              <w:spacing w:line="276" w:lineRule="auto"/>
              <w:ind w:left="0"/>
              <w:rPr>
                <w:rFonts w:ascii="Arial" w:hAnsi="Arial" w:cs="Arial"/>
                <w:color w:val="000000"/>
                <w:sz w:val="20"/>
                <w:szCs w:val="20"/>
                <w:lang w:val="es-AR"/>
              </w:rPr>
            </w:pPr>
          </w:p>
        </w:tc>
        <w:tc>
          <w:tcPr>
            <w:tcW w:w="2977" w:type="dxa"/>
            <w:shd w:val="clear" w:color="auto" w:fill="auto"/>
          </w:tcPr>
          <w:p w:rsidR="004C723D" w:rsidRPr="00225D32" w:rsidRDefault="004C723D" w:rsidP="00AA3706">
            <w:pPr>
              <w:pStyle w:val="Prrafodelista1"/>
              <w:spacing w:line="276" w:lineRule="auto"/>
              <w:ind w:left="0"/>
              <w:rPr>
                <w:rFonts w:ascii="Arial" w:hAnsi="Arial" w:cs="Arial"/>
                <w:i/>
                <w:color w:val="000000"/>
                <w:sz w:val="20"/>
                <w:szCs w:val="20"/>
                <w:lang w:val="es-AR"/>
              </w:rPr>
            </w:pPr>
            <w:r w:rsidRPr="00225D32">
              <w:rPr>
                <w:rFonts w:ascii="Arial" w:hAnsi="Arial" w:cs="Arial"/>
                <w:i/>
                <w:color w:val="000000"/>
                <w:sz w:val="20"/>
                <w:szCs w:val="20"/>
                <w:lang w:val="es-AR"/>
              </w:rPr>
              <w:t>Cobertura PGDS: 100 municipios</w:t>
            </w:r>
          </w:p>
        </w:tc>
      </w:tr>
      <w:tr w:rsidR="004C723D" w:rsidRPr="00225D32" w:rsidTr="00EC0BA4">
        <w:tc>
          <w:tcPr>
            <w:tcW w:w="1795" w:type="dxa"/>
            <w:vMerge/>
            <w:shd w:val="clear" w:color="auto" w:fill="auto"/>
          </w:tcPr>
          <w:p w:rsidR="004C723D" w:rsidRPr="00225D32" w:rsidRDefault="004C723D" w:rsidP="00AA3706">
            <w:pPr>
              <w:pStyle w:val="Prrafodelista1"/>
              <w:spacing w:line="276" w:lineRule="auto"/>
              <w:ind w:left="0"/>
              <w:rPr>
                <w:rFonts w:ascii="Arial" w:hAnsi="Arial" w:cs="Arial"/>
                <w:color w:val="000000"/>
                <w:sz w:val="20"/>
                <w:szCs w:val="20"/>
                <w:lang w:val="es-AR"/>
              </w:rPr>
            </w:pPr>
          </w:p>
        </w:tc>
        <w:tc>
          <w:tcPr>
            <w:tcW w:w="1857" w:type="dxa"/>
            <w:vMerge w:val="restart"/>
            <w:shd w:val="clear" w:color="auto" w:fill="auto"/>
          </w:tcPr>
          <w:p w:rsidR="004C723D" w:rsidRPr="00225D32" w:rsidRDefault="004C723D" w:rsidP="00AA3706">
            <w:pPr>
              <w:pStyle w:val="Prrafodelista1"/>
              <w:spacing w:line="276" w:lineRule="auto"/>
              <w:ind w:left="0"/>
              <w:rPr>
                <w:rFonts w:ascii="Arial" w:hAnsi="Arial" w:cs="Arial"/>
                <w:i/>
                <w:color w:val="000000"/>
                <w:sz w:val="20"/>
                <w:szCs w:val="20"/>
                <w:lang w:val="es-AR"/>
              </w:rPr>
            </w:pPr>
            <w:r w:rsidRPr="00225D32">
              <w:rPr>
                <w:rFonts w:ascii="Arial" w:hAnsi="Arial" w:cs="Arial"/>
                <w:i/>
                <w:color w:val="000000"/>
                <w:sz w:val="20"/>
                <w:szCs w:val="20"/>
                <w:lang w:val="es-AR"/>
              </w:rPr>
              <w:t>Crecimiento PBI: 2% anual</w:t>
            </w:r>
          </w:p>
        </w:tc>
        <w:tc>
          <w:tcPr>
            <w:tcW w:w="2126" w:type="dxa"/>
            <w:vMerge w:val="restart"/>
            <w:shd w:val="clear" w:color="auto" w:fill="auto"/>
          </w:tcPr>
          <w:p w:rsidR="004C723D" w:rsidRPr="00225D32" w:rsidRDefault="004C723D" w:rsidP="00AA3706">
            <w:pPr>
              <w:pStyle w:val="Prrafodelista1"/>
              <w:spacing w:line="276" w:lineRule="auto"/>
              <w:ind w:left="0"/>
              <w:rPr>
                <w:rFonts w:ascii="Arial" w:hAnsi="Arial" w:cs="Arial"/>
                <w:i/>
                <w:color w:val="000000"/>
                <w:sz w:val="20"/>
                <w:szCs w:val="20"/>
                <w:lang w:val="es-AR"/>
              </w:rPr>
            </w:pPr>
            <w:r w:rsidRPr="00225D32">
              <w:rPr>
                <w:rFonts w:ascii="Arial" w:hAnsi="Arial" w:cs="Arial"/>
                <w:i/>
                <w:color w:val="000000"/>
                <w:sz w:val="20"/>
                <w:szCs w:val="20"/>
                <w:lang w:val="es-AR"/>
              </w:rPr>
              <w:t>Cobertura BVM: 400.000 hogares</w:t>
            </w:r>
          </w:p>
        </w:tc>
        <w:tc>
          <w:tcPr>
            <w:tcW w:w="2977" w:type="dxa"/>
            <w:shd w:val="clear" w:color="auto" w:fill="auto"/>
          </w:tcPr>
          <w:p w:rsidR="004C723D" w:rsidRPr="00225D32" w:rsidRDefault="004C723D" w:rsidP="00AA3706">
            <w:pPr>
              <w:pStyle w:val="Prrafodelista1"/>
              <w:spacing w:line="276" w:lineRule="auto"/>
              <w:ind w:left="0"/>
              <w:rPr>
                <w:rFonts w:ascii="Arial" w:hAnsi="Arial" w:cs="Arial"/>
                <w:i/>
                <w:color w:val="000000"/>
                <w:sz w:val="20"/>
                <w:szCs w:val="20"/>
                <w:lang w:val="es-AR"/>
              </w:rPr>
            </w:pPr>
            <w:r w:rsidRPr="00225D32">
              <w:rPr>
                <w:rFonts w:ascii="Arial" w:hAnsi="Arial" w:cs="Arial"/>
                <w:i/>
                <w:color w:val="000000"/>
                <w:sz w:val="20"/>
                <w:szCs w:val="20"/>
                <w:lang w:val="es-AR"/>
              </w:rPr>
              <w:t>Cobertura PGDS: 104 municipios</w:t>
            </w:r>
          </w:p>
        </w:tc>
      </w:tr>
      <w:tr w:rsidR="004C723D" w:rsidRPr="00225D32" w:rsidTr="00EC0BA4">
        <w:tc>
          <w:tcPr>
            <w:tcW w:w="1795" w:type="dxa"/>
            <w:vMerge/>
            <w:shd w:val="clear" w:color="auto" w:fill="auto"/>
          </w:tcPr>
          <w:p w:rsidR="004C723D" w:rsidRPr="00225D32" w:rsidRDefault="004C723D" w:rsidP="00AA3706">
            <w:pPr>
              <w:pStyle w:val="Prrafodelista1"/>
              <w:spacing w:line="276" w:lineRule="auto"/>
              <w:ind w:left="0"/>
              <w:rPr>
                <w:rFonts w:ascii="Arial" w:hAnsi="Arial" w:cs="Arial"/>
                <w:color w:val="000000"/>
                <w:sz w:val="20"/>
                <w:szCs w:val="20"/>
                <w:lang w:val="es-AR"/>
              </w:rPr>
            </w:pPr>
          </w:p>
        </w:tc>
        <w:tc>
          <w:tcPr>
            <w:tcW w:w="1857" w:type="dxa"/>
            <w:vMerge/>
            <w:shd w:val="clear" w:color="auto" w:fill="auto"/>
          </w:tcPr>
          <w:p w:rsidR="004C723D" w:rsidRPr="00225D32" w:rsidRDefault="004C723D" w:rsidP="00AA3706">
            <w:pPr>
              <w:pStyle w:val="Prrafodelista1"/>
              <w:spacing w:line="276" w:lineRule="auto"/>
              <w:ind w:left="0"/>
              <w:rPr>
                <w:rFonts w:ascii="Arial" w:hAnsi="Arial" w:cs="Arial"/>
                <w:i/>
                <w:color w:val="000000"/>
                <w:sz w:val="20"/>
                <w:szCs w:val="20"/>
                <w:lang w:val="es-AR"/>
              </w:rPr>
            </w:pPr>
          </w:p>
        </w:tc>
        <w:tc>
          <w:tcPr>
            <w:tcW w:w="2126" w:type="dxa"/>
            <w:vMerge/>
            <w:shd w:val="clear" w:color="auto" w:fill="auto"/>
          </w:tcPr>
          <w:p w:rsidR="004C723D" w:rsidRPr="00225D32" w:rsidRDefault="004C723D" w:rsidP="00AA3706">
            <w:pPr>
              <w:pStyle w:val="Prrafodelista1"/>
              <w:spacing w:line="276" w:lineRule="auto"/>
              <w:ind w:left="0"/>
              <w:rPr>
                <w:rFonts w:ascii="Arial" w:hAnsi="Arial" w:cs="Arial"/>
                <w:color w:val="000000"/>
                <w:sz w:val="20"/>
                <w:szCs w:val="20"/>
                <w:lang w:val="es-AR"/>
              </w:rPr>
            </w:pPr>
          </w:p>
        </w:tc>
        <w:tc>
          <w:tcPr>
            <w:tcW w:w="2977" w:type="dxa"/>
            <w:shd w:val="clear" w:color="auto" w:fill="auto"/>
          </w:tcPr>
          <w:p w:rsidR="004C723D" w:rsidRPr="00225D32" w:rsidRDefault="004C723D" w:rsidP="00AA3706">
            <w:pPr>
              <w:pStyle w:val="Prrafodelista1"/>
              <w:spacing w:line="276" w:lineRule="auto"/>
              <w:ind w:left="0"/>
              <w:rPr>
                <w:rFonts w:ascii="Arial" w:hAnsi="Arial" w:cs="Arial"/>
                <w:i/>
                <w:color w:val="000000"/>
                <w:sz w:val="20"/>
                <w:szCs w:val="20"/>
                <w:lang w:val="es-AR"/>
              </w:rPr>
            </w:pPr>
            <w:r w:rsidRPr="00225D32">
              <w:rPr>
                <w:rFonts w:ascii="Arial" w:hAnsi="Arial" w:cs="Arial"/>
                <w:i/>
                <w:color w:val="000000"/>
                <w:sz w:val="20"/>
                <w:szCs w:val="20"/>
                <w:lang w:val="es-AR"/>
              </w:rPr>
              <w:t>Cobertura PGDS: 100 municipios</w:t>
            </w:r>
          </w:p>
        </w:tc>
      </w:tr>
      <w:tr w:rsidR="004C723D" w:rsidRPr="00225D32" w:rsidTr="00EC0BA4">
        <w:tc>
          <w:tcPr>
            <w:tcW w:w="1795" w:type="dxa"/>
            <w:vMerge/>
            <w:shd w:val="clear" w:color="auto" w:fill="auto"/>
          </w:tcPr>
          <w:p w:rsidR="004C723D" w:rsidRPr="00225D32" w:rsidRDefault="004C723D" w:rsidP="00AA3706">
            <w:pPr>
              <w:pStyle w:val="Prrafodelista1"/>
              <w:spacing w:line="276" w:lineRule="auto"/>
              <w:ind w:left="0"/>
              <w:rPr>
                <w:rFonts w:ascii="Arial" w:hAnsi="Arial" w:cs="Arial"/>
                <w:color w:val="000000"/>
                <w:sz w:val="20"/>
                <w:szCs w:val="20"/>
                <w:lang w:val="es-AR"/>
              </w:rPr>
            </w:pPr>
          </w:p>
        </w:tc>
        <w:tc>
          <w:tcPr>
            <w:tcW w:w="1857" w:type="dxa"/>
            <w:vMerge/>
            <w:shd w:val="clear" w:color="auto" w:fill="auto"/>
          </w:tcPr>
          <w:p w:rsidR="004C723D" w:rsidRPr="00225D32" w:rsidRDefault="004C723D" w:rsidP="00AA3706">
            <w:pPr>
              <w:pStyle w:val="Prrafodelista1"/>
              <w:spacing w:line="276" w:lineRule="auto"/>
              <w:ind w:left="0"/>
              <w:rPr>
                <w:rFonts w:ascii="Arial" w:hAnsi="Arial" w:cs="Arial"/>
                <w:i/>
                <w:color w:val="000000"/>
                <w:sz w:val="20"/>
                <w:szCs w:val="20"/>
                <w:lang w:val="es-AR"/>
              </w:rPr>
            </w:pPr>
          </w:p>
        </w:tc>
        <w:tc>
          <w:tcPr>
            <w:tcW w:w="2126" w:type="dxa"/>
            <w:vMerge/>
            <w:shd w:val="clear" w:color="auto" w:fill="auto"/>
          </w:tcPr>
          <w:p w:rsidR="004C723D" w:rsidRPr="00225D32" w:rsidRDefault="004C723D" w:rsidP="00AA3706">
            <w:pPr>
              <w:pStyle w:val="Prrafodelista1"/>
              <w:spacing w:line="276" w:lineRule="auto"/>
              <w:ind w:left="0"/>
              <w:rPr>
                <w:rFonts w:ascii="Arial" w:hAnsi="Arial" w:cs="Arial"/>
                <w:color w:val="000000"/>
                <w:sz w:val="20"/>
                <w:szCs w:val="20"/>
                <w:lang w:val="es-AR"/>
              </w:rPr>
            </w:pPr>
          </w:p>
        </w:tc>
        <w:tc>
          <w:tcPr>
            <w:tcW w:w="2977" w:type="dxa"/>
            <w:shd w:val="clear" w:color="auto" w:fill="auto"/>
          </w:tcPr>
          <w:p w:rsidR="004C723D" w:rsidRPr="00225D32" w:rsidRDefault="004C723D" w:rsidP="00AA3706">
            <w:pPr>
              <w:pStyle w:val="Prrafodelista1"/>
              <w:spacing w:line="276" w:lineRule="auto"/>
              <w:ind w:left="0"/>
              <w:rPr>
                <w:rFonts w:ascii="Arial" w:hAnsi="Arial" w:cs="Arial"/>
                <w:i/>
                <w:color w:val="000000"/>
                <w:sz w:val="20"/>
                <w:szCs w:val="20"/>
                <w:lang w:val="es-AR"/>
              </w:rPr>
            </w:pPr>
            <w:r w:rsidRPr="00225D32">
              <w:rPr>
                <w:rFonts w:ascii="Arial" w:hAnsi="Arial" w:cs="Arial"/>
                <w:i/>
                <w:color w:val="000000"/>
                <w:sz w:val="20"/>
                <w:szCs w:val="20"/>
                <w:lang w:val="es-AR"/>
              </w:rPr>
              <w:t>Cobertura PGDS: 93 municipios</w:t>
            </w:r>
          </w:p>
        </w:tc>
      </w:tr>
      <w:tr w:rsidR="004C723D" w:rsidRPr="00225D32" w:rsidTr="00EC0BA4">
        <w:tc>
          <w:tcPr>
            <w:tcW w:w="1795" w:type="dxa"/>
            <w:vMerge/>
            <w:shd w:val="clear" w:color="auto" w:fill="auto"/>
          </w:tcPr>
          <w:p w:rsidR="004C723D" w:rsidRPr="00225D32" w:rsidRDefault="004C723D" w:rsidP="00AA3706">
            <w:pPr>
              <w:pStyle w:val="Prrafodelista1"/>
              <w:spacing w:line="276" w:lineRule="auto"/>
              <w:ind w:left="0"/>
              <w:rPr>
                <w:rFonts w:ascii="Arial" w:hAnsi="Arial" w:cs="Arial"/>
                <w:color w:val="000000"/>
                <w:sz w:val="20"/>
                <w:szCs w:val="20"/>
                <w:lang w:val="es-AR"/>
              </w:rPr>
            </w:pPr>
          </w:p>
        </w:tc>
        <w:tc>
          <w:tcPr>
            <w:tcW w:w="1857" w:type="dxa"/>
            <w:vMerge/>
            <w:shd w:val="clear" w:color="auto" w:fill="auto"/>
          </w:tcPr>
          <w:p w:rsidR="004C723D" w:rsidRPr="00225D32" w:rsidRDefault="004C723D" w:rsidP="00AA3706">
            <w:pPr>
              <w:pStyle w:val="Prrafodelista1"/>
              <w:spacing w:line="276" w:lineRule="auto"/>
              <w:ind w:left="0"/>
              <w:rPr>
                <w:rFonts w:ascii="Arial" w:hAnsi="Arial" w:cs="Arial"/>
                <w:i/>
                <w:color w:val="000000"/>
                <w:sz w:val="20"/>
                <w:szCs w:val="20"/>
                <w:lang w:val="es-AR"/>
              </w:rPr>
            </w:pPr>
          </w:p>
        </w:tc>
        <w:tc>
          <w:tcPr>
            <w:tcW w:w="2126" w:type="dxa"/>
            <w:vMerge w:val="restart"/>
            <w:shd w:val="clear" w:color="auto" w:fill="auto"/>
          </w:tcPr>
          <w:p w:rsidR="004C723D" w:rsidRPr="00225D32" w:rsidRDefault="004C723D" w:rsidP="00AA3706">
            <w:pPr>
              <w:pStyle w:val="Prrafodelista1"/>
              <w:spacing w:line="276" w:lineRule="auto"/>
              <w:ind w:left="0"/>
              <w:rPr>
                <w:rFonts w:ascii="Arial" w:hAnsi="Arial" w:cs="Arial"/>
                <w:i/>
                <w:color w:val="000000"/>
                <w:sz w:val="20"/>
                <w:szCs w:val="20"/>
                <w:lang w:val="es-AR"/>
              </w:rPr>
            </w:pPr>
            <w:r w:rsidRPr="00225D32">
              <w:rPr>
                <w:rFonts w:ascii="Arial" w:hAnsi="Arial" w:cs="Arial"/>
                <w:i/>
                <w:color w:val="000000"/>
                <w:sz w:val="20"/>
                <w:szCs w:val="20"/>
                <w:lang w:val="es-AR"/>
              </w:rPr>
              <w:t>Cobertura BVM: 300.000 hogares</w:t>
            </w:r>
          </w:p>
        </w:tc>
        <w:tc>
          <w:tcPr>
            <w:tcW w:w="2977" w:type="dxa"/>
            <w:shd w:val="clear" w:color="auto" w:fill="auto"/>
          </w:tcPr>
          <w:p w:rsidR="004C723D" w:rsidRPr="00225D32" w:rsidRDefault="004C723D" w:rsidP="00AA3706">
            <w:pPr>
              <w:pStyle w:val="Prrafodelista1"/>
              <w:spacing w:line="276" w:lineRule="auto"/>
              <w:ind w:left="0"/>
              <w:rPr>
                <w:rFonts w:ascii="Arial" w:hAnsi="Arial" w:cs="Arial"/>
                <w:i/>
                <w:color w:val="000000"/>
                <w:sz w:val="20"/>
                <w:szCs w:val="20"/>
                <w:lang w:val="es-AR"/>
              </w:rPr>
            </w:pPr>
            <w:r w:rsidRPr="00225D32">
              <w:rPr>
                <w:rFonts w:ascii="Arial" w:hAnsi="Arial" w:cs="Arial"/>
                <w:i/>
                <w:color w:val="000000"/>
                <w:sz w:val="20"/>
                <w:szCs w:val="20"/>
                <w:lang w:val="es-AR"/>
              </w:rPr>
              <w:t>Cobertura PGDS: 104 municipios</w:t>
            </w:r>
          </w:p>
        </w:tc>
      </w:tr>
      <w:tr w:rsidR="004C723D" w:rsidRPr="00225D32" w:rsidTr="00EC0BA4">
        <w:tc>
          <w:tcPr>
            <w:tcW w:w="1795" w:type="dxa"/>
            <w:vMerge/>
            <w:shd w:val="clear" w:color="auto" w:fill="auto"/>
          </w:tcPr>
          <w:p w:rsidR="004C723D" w:rsidRPr="00225D32" w:rsidRDefault="004C723D" w:rsidP="00AA3706">
            <w:pPr>
              <w:pStyle w:val="Prrafodelista1"/>
              <w:spacing w:line="276" w:lineRule="auto"/>
              <w:ind w:left="0"/>
              <w:rPr>
                <w:rFonts w:ascii="Arial" w:hAnsi="Arial" w:cs="Arial"/>
                <w:color w:val="000000"/>
                <w:sz w:val="20"/>
                <w:szCs w:val="20"/>
                <w:lang w:val="es-AR"/>
              </w:rPr>
            </w:pPr>
          </w:p>
        </w:tc>
        <w:tc>
          <w:tcPr>
            <w:tcW w:w="1857" w:type="dxa"/>
            <w:vMerge/>
            <w:shd w:val="clear" w:color="auto" w:fill="auto"/>
          </w:tcPr>
          <w:p w:rsidR="004C723D" w:rsidRPr="00225D32" w:rsidRDefault="004C723D" w:rsidP="00AA3706">
            <w:pPr>
              <w:pStyle w:val="Prrafodelista1"/>
              <w:spacing w:line="276" w:lineRule="auto"/>
              <w:ind w:left="0"/>
              <w:rPr>
                <w:rFonts w:ascii="Arial" w:hAnsi="Arial" w:cs="Arial"/>
                <w:i/>
                <w:color w:val="000000"/>
                <w:sz w:val="20"/>
                <w:szCs w:val="20"/>
                <w:lang w:val="es-AR"/>
              </w:rPr>
            </w:pPr>
          </w:p>
        </w:tc>
        <w:tc>
          <w:tcPr>
            <w:tcW w:w="2126" w:type="dxa"/>
            <w:vMerge/>
            <w:shd w:val="clear" w:color="auto" w:fill="auto"/>
          </w:tcPr>
          <w:p w:rsidR="004C723D" w:rsidRPr="00225D32" w:rsidRDefault="004C723D" w:rsidP="00AA3706">
            <w:pPr>
              <w:pStyle w:val="Prrafodelista1"/>
              <w:spacing w:line="276" w:lineRule="auto"/>
              <w:ind w:left="0"/>
              <w:rPr>
                <w:rFonts w:ascii="Arial" w:hAnsi="Arial" w:cs="Arial"/>
                <w:color w:val="000000"/>
                <w:sz w:val="20"/>
                <w:szCs w:val="20"/>
                <w:lang w:val="es-AR"/>
              </w:rPr>
            </w:pPr>
          </w:p>
        </w:tc>
        <w:tc>
          <w:tcPr>
            <w:tcW w:w="2977" w:type="dxa"/>
            <w:shd w:val="clear" w:color="auto" w:fill="auto"/>
          </w:tcPr>
          <w:p w:rsidR="004C723D" w:rsidRPr="00225D32" w:rsidRDefault="004C723D" w:rsidP="00AA3706">
            <w:pPr>
              <w:pStyle w:val="Prrafodelista1"/>
              <w:spacing w:line="276" w:lineRule="auto"/>
              <w:ind w:left="0"/>
              <w:rPr>
                <w:rFonts w:ascii="Arial" w:hAnsi="Arial" w:cs="Arial"/>
                <w:i/>
                <w:color w:val="000000"/>
                <w:sz w:val="20"/>
                <w:szCs w:val="20"/>
                <w:lang w:val="es-AR"/>
              </w:rPr>
            </w:pPr>
            <w:r w:rsidRPr="00225D32">
              <w:rPr>
                <w:rFonts w:ascii="Arial" w:hAnsi="Arial" w:cs="Arial"/>
                <w:i/>
                <w:color w:val="000000"/>
                <w:sz w:val="20"/>
                <w:szCs w:val="20"/>
                <w:lang w:val="es-AR"/>
              </w:rPr>
              <w:t>Cobertura PGDS: 100 municipios</w:t>
            </w:r>
          </w:p>
        </w:tc>
      </w:tr>
      <w:tr w:rsidR="004C723D" w:rsidRPr="00225D32" w:rsidTr="00EC0BA4">
        <w:tc>
          <w:tcPr>
            <w:tcW w:w="1795" w:type="dxa"/>
            <w:vMerge/>
            <w:shd w:val="clear" w:color="auto" w:fill="auto"/>
          </w:tcPr>
          <w:p w:rsidR="004C723D" w:rsidRPr="00225D32" w:rsidRDefault="004C723D" w:rsidP="00AA3706">
            <w:pPr>
              <w:pStyle w:val="Prrafodelista1"/>
              <w:spacing w:line="276" w:lineRule="auto"/>
              <w:ind w:left="0"/>
              <w:rPr>
                <w:rFonts w:ascii="Arial" w:hAnsi="Arial" w:cs="Arial"/>
                <w:color w:val="000000"/>
                <w:sz w:val="20"/>
                <w:szCs w:val="20"/>
                <w:lang w:val="es-AR"/>
              </w:rPr>
            </w:pPr>
          </w:p>
        </w:tc>
        <w:tc>
          <w:tcPr>
            <w:tcW w:w="1857" w:type="dxa"/>
            <w:vMerge/>
            <w:shd w:val="clear" w:color="auto" w:fill="auto"/>
          </w:tcPr>
          <w:p w:rsidR="004C723D" w:rsidRPr="00225D32" w:rsidRDefault="004C723D" w:rsidP="00AA3706">
            <w:pPr>
              <w:pStyle w:val="Prrafodelista1"/>
              <w:spacing w:line="276" w:lineRule="auto"/>
              <w:ind w:left="0"/>
              <w:rPr>
                <w:rFonts w:ascii="Arial" w:hAnsi="Arial" w:cs="Arial"/>
                <w:i/>
                <w:color w:val="000000"/>
                <w:sz w:val="20"/>
                <w:szCs w:val="20"/>
                <w:lang w:val="es-AR"/>
              </w:rPr>
            </w:pPr>
          </w:p>
        </w:tc>
        <w:tc>
          <w:tcPr>
            <w:tcW w:w="2126" w:type="dxa"/>
            <w:vMerge/>
            <w:shd w:val="clear" w:color="auto" w:fill="auto"/>
          </w:tcPr>
          <w:p w:rsidR="004C723D" w:rsidRPr="00225D32" w:rsidRDefault="004C723D" w:rsidP="00AA3706">
            <w:pPr>
              <w:pStyle w:val="Prrafodelista1"/>
              <w:spacing w:line="276" w:lineRule="auto"/>
              <w:ind w:left="0"/>
              <w:rPr>
                <w:rFonts w:ascii="Arial" w:hAnsi="Arial" w:cs="Arial"/>
                <w:color w:val="000000"/>
                <w:sz w:val="20"/>
                <w:szCs w:val="20"/>
                <w:lang w:val="es-AR"/>
              </w:rPr>
            </w:pPr>
          </w:p>
        </w:tc>
        <w:tc>
          <w:tcPr>
            <w:tcW w:w="2977" w:type="dxa"/>
            <w:shd w:val="clear" w:color="auto" w:fill="auto"/>
          </w:tcPr>
          <w:p w:rsidR="004C723D" w:rsidRPr="00225D32" w:rsidRDefault="004C723D" w:rsidP="00AA3706">
            <w:pPr>
              <w:pStyle w:val="Prrafodelista1"/>
              <w:spacing w:line="276" w:lineRule="auto"/>
              <w:ind w:left="0"/>
              <w:rPr>
                <w:rFonts w:ascii="Arial" w:hAnsi="Arial" w:cs="Arial"/>
                <w:i/>
                <w:color w:val="000000"/>
                <w:sz w:val="20"/>
                <w:szCs w:val="20"/>
                <w:lang w:val="es-AR"/>
              </w:rPr>
            </w:pPr>
            <w:r w:rsidRPr="00225D32">
              <w:rPr>
                <w:rFonts w:ascii="Arial" w:hAnsi="Arial" w:cs="Arial"/>
                <w:i/>
                <w:color w:val="000000"/>
                <w:sz w:val="20"/>
                <w:szCs w:val="20"/>
                <w:lang w:val="es-AR"/>
              </w:rPr>
              <w:t>Cobertura PGDS: 93 municipios</w:t>
            </w:r>
          </w:p>
        </w:tc>
      </w:tr>
      <w:tr w:rsidR="004C723D" w:rsidRPr="00225D32" w:rsidTr="00EC0BA4">
        <w:tc>
          <w:tcPr>
            <w:tcW w:w="1795" w:type="dxa"/>
            <w:vMerge/>
            <w:shd w:val="clear" w:color="auto" w:fill="auto"/>
          </w:tcPr>
          <w:p w:rsidR="004C723D" w:rsidRPr="00225D32" w:rsidRDefault="004C723D" w:rsidP="00AA3706">
            <w:pPr>
              <w:pStyle w:val="Prrafodelista1"/>
              <w:spacing w:line="276" w:lineRule="auto"/>
              <w:ind w:left="0"/>
              <w:rPr>
                <w:rFonts w:ascii="Arial" w:hAnsi="Arial" w:cs="Arial"/>
                <w:color w:val="000000"/>
                <w:sz w:val="20"/>
                <w:szCs w:val="20"/>
                <w:lang w:val="es-AR"/>
              </w:rPr>
            </w:pPr>
          </w:p>
        </w:tc>
        <w:tc>
          <w:tcPr>
            <w:tcW w:w="1857" w:type="dxa"/>
            <w:vMerge/>
            <w:shd w:val="clear" w:color="auto" w:fill="auto"/>
          </w:tcPr>
          <w:p w:rsidR="004C723D" w:rsidRPr="00225D32" w:rsidRDefault="004C723D" w:rsidP="00AA3706">
            <w:pPr>
              <w:pStyle w:val="Prrafodelista1"/>
              <w:spacing w:line="276" w:lineRule="auto"/>
              <w:ind w:left="0"/>
              <w:rPr>
                <w:rFonts w:ascii="Arial" w:hAnsi="Arial" w:cs="Arial"/>
                <w:i/>
                <w:color w:val="000000"/>
                <w:sz w:val="20"/>
                <w:szCs w:val="20"/>
                <w:lang w:val="es-AR"/>
              </w:rPr>
            </w:pPr>
          </w:p>
        </w:tc>
        <w:tc>
          <w:tcPr>
            <w:tcW w:w="2126" w:type="dxa"/>
            <w:vMerge w:val="restart"/>
            <w:shd w:val="clear" w:color="auto" w:fill="auto"/>
          </w:tcPr>
          <w:p w:rsidR="004C723D" w:rsidRPr="00225D32" w:rsidRDefault="004C723D" w:rsidP="00AA3706">
            <w:pPr>
              <w:pStyle w:val="Prrafodelista1"/>
              <w:spacing w:line="276" w:lineRule="auto"/>
              <w:ind w:left="0"/>
              <w:rPr>
                <w:rFonts w:ascii="Arial" w:hAnsi="Arial" w:cs="Arial"/>
                <w:i/>
                <w:color w:val="000000"/>
                <w:sz w:val="20"/>
                <w:szCs w:val="20"/>
                <w:lang w:val="es-AR"/>
              </w:rPr>
            </w:pPr>
            <w:r w:rsidRPr="00225D32">
              <w:rPr>
                <w:rFonts w:ascii="Arial" w:hAnsi="Arial" w:cs="Arial"/>
                <w:i/>
                <w:color w:val="000000"/>
                <w:sz w:val="20"/>
                <w:szCs w:val="20"/>
                <w:lang w:val="es-AR"/>
              </w:rPr>
              <w:t>Cobertura BVM: 300.000 hogares</w:t>
            </w:r>
          </w:p>
        </w:tc>
        <w:tc>
          <w:tcPr>
            <w:tcW w:w="2977" w:type="dxa"/>
            <w:shd w:val="clear" w:color="auto" w:fill="auto"/>
          </w:tcPr>
          <w:p w:rsidR="004C723D" w:rsidRPr="00225D32" w:rsidRDefault="004C723D" w:rsidP="00AA3706">
            <w:pPr>
              <w:pStyle w:val="Prrafodelista1"/>
              <w:spacing w:line="276" w:lineRule="auto"/>
              <w:ind w:left="0"/>
              <w:rPr>
                <w:rFonts w:ascii="Arial" w:hAnsi="Arial" w:cs="Arial"/>
                <w:i/>
                <w:color w:val="000000"/>
                <w:sz w:val="20"/>
                <w:szCs w:val="20"/>
                <w:lang w:val="es-AR"/>
              </w:rPr>
            </w:pPr>
            <w:r w:rsidRPr="00225D32">
              <w:rPr>
                <w:rFonts w:ascii="Arial" w:hAnsi="Arial" w:cs="Arial"/>
                <w:i/>
                <w:color w:val="000000"/>
                <w:sz w:val="20"/>
                <w:szCs w:val="20"/>
                <w:lang w:val="es-AR"/>
              </w:rPr>
              <w:t>Cobertura PGDS: 104 municipios</w:t>
            </w:r>
          </w:p>
        </w:tc>
      </w:tr>
      <w:tr w:rsidR="004C723D" w:rsidRPr="00225D32" w:rsidTr="00EC0BA4">
        <w:tc>
          <w:tcPr>
            <w:tcW w:w="1795" w:type="dxa"/>
            <w:vMerge/>
            <w:shd w:val="clear" w:color="auto" w:fill="auto"/>
          </w:tcPr>
          <w:p w:rsidR="004C723D" w:rsidRPr="00225D32" w:rsidRDefault="004C723D" w:rsidP="00AA3706">
            <w:pPr>
              <w:pStyle w:val="Prrafodelista1"/>
              <w:spacing w:line="276" w:lineRule="auto"/>
              <w:ind w:left="0"/>
              <w:rPr>
                <w:rFonts w:ascii="Arial" w:hAnsi="Arial" w:cs="Arial"/>
                <w:color w:val="000000"/>
                <w:sz w:val="20"/>
                <w:szCs w:val="20"/>
                <w:lang w:val="es-AR"/>
              </w:rPr>
            </w:pPr>
          </w:p>
        </w:tc>
        <w:tc>
          <w:tcPr>
            <w:tcW w:w="1857" w:type="dxa"/>
            <w:vMerge/>
            <w:shd w:val="clear" w:color="auto" w:fill="auto"/>
          </w:tcPr>
          <w:p w:rsidR="004C723D" w:rsidRPr="00225D32" w:rsidRDefault="004C723D" w:rsidP="00AA3706">
            <w:pPr>
              <w:pStyle w:val="Prrafodelista1"/>
              <w:spacing w:line="276" w:lineRule="auto"/>
              <w:ind w:left="0"/>
              <w:rPr>
                <w:rFonts w:ascii="Arial" w:hAnsi="Arial" w:cs="Arial"/>
                <w:i/>
                <w:color w:val="000000"/>
                <w:sz w:val="20"/>
                <w:szCs w:val="20"/>
                <w:lang w:val="es-AR"/>
              </w:rPr>
            </w:pPr>
          </w:p>
        </w:tc>
        <w:tc>
          <w:tcPr>
            <w:tcW w:w="2126" w:type="dxa"/>
            <w:vMerge/>
            <w:shd w:val="clear" w:color="auto" w:fill="auto"/>
          </w:tcPr>
          <w:p w:rsidR="004C723D" w:rsidRPr="00225D32" w:rsidRDefault="004C723D" w:rsidP="00AA3706">
            <w:pPr>
              <w:pStyle w:val="Prrafodelista1"/>
              <w:spacing w:line="276" w:lineRule="auto"/>
              <w:ind w:left="0"/>
              <w:rPr>
                <w:rFonts w:ascii="Arial" w:hAnsi="Arial" w:cs="Arial"/>
                <w:color w:val="000000"/>
                <w:sz w:val="20"/>
                <w:szCs w:val="20"/>
                <w:lang w:val="es-AR"/>
              </w:rPr>
            </w:pPr>
          </w:p>
        </w:tc>
        <w:tc>
          <w:tcPr>
            <w:tcW w:w="2977" w:type="dxa"/>
            <w:shd w:val="clear" w:color="auto" w:fill="auto"/>
          </w:tcPr>
          <w:p w:rsidR="004C723D" w:rsidRPr="00225D32" w:rsidRDefault="004C723D" w:rsidP="00AA3706">
            <w:pPr>
              <w:pStyle w:val="Prrafodelista1"/>
              <w:spacing w:line="276" w:lineRule="auto"/>
              <w:ind w:left="0"/>
              <w:rPr>
                <w:rFonts w:ascii="Arial" w:hAnsi="Arial" w:cs="Arial"/>
                <w:i/>
                <w:color w:val="000000"/>
                <w:sz w:val="20"/>
                <w:szCs w:val="20"/>
                <w:lang w:val="es-AR"/>
              </w:rPr>
            </w:pPr>
            <w:r w:rsidRPr="00225D32">
              <w:rPr>
                <w:rFonts w:ascii="Arial" w:hAnsi="Arial" w:cs="Arial"/>
                <w:i/>
                <w:color w:val="000000"/>
                <w:sz w:val="20"/>
                <w:szCs w:val="20"/>
                <w:lang w:val="es-AR"/>
              </w:rPr>
              <w:t>Cobertura PGDS: 100 municipios</w:t>
            </w:r>
          </w:p>
        </w:tc>
      </w:tr>
      <w:tr w:rsidR="004C723D" w:rsidRPr="00225D32" w:rsidTr="00EC0BA4">
        <w:tc>
          <w:tcPr>
            <w:tcW w:w="1795" w:type="dxa"/>
            <w:vMerge/>
            <w:shd w:val="clear" w:color="auto" w:fill="auto"/>
          </w:tcPr>
          <w:p w:rsidR="004C723D" w:rsidRPr="00225D32" w:rsidRDefault="004C723D" w:rsidP="00AA3706">
            <w:pPr>
              <w:pStyle w:val="Prrafodelista1"/>
              <w:spacing w:line="276" w:lineRule="auto"/>
              <w:ind w:left="0"/>
              <w:rPr>
                <w:rFonts w:ascii="Arial" w:hAnsi="Arial" w:cs="Arial"/>
                <w:color w:val="000000"/>
                <w:sz w:val="20"/>
                <w:szCs w:val="20"/>
                <w:lang w:val="es-AR"/>
              </w:rPr>
            </w:pPr>
          </w:p>
        </w:tc>
        <w:tc>
          <w:tcPr>
            <w:tcW w:w="1857" w:type="dxa"/>
            <w:vMerge/>
            <w:shd w:val="clear" w:color="auto" w:fill="auto"/>
          </w:tcPr>
          <w:p w:rsidR="004C723D" w:rsidRPr="00225D32" w:rsidRDefault="004C723D" w:rsidP="00AA3706">
            <w:pPr>
              <w:pStyle w:val="Prrafodelista1"/>
              <w:spacing w:line="276" w:lineRule="auto"/>
              <w:ind w:left="0"/>
              <w:rPr>
                <w:rFonts w:ascii="Arial" w:hAnsi="Arial" w:cs="Arial"/>
                <w:i/>
                <w:color w:val="000000"/>
                <w:sz w:val="20"/>
                <w:szCs w:val="20"/>
                <w:lang w:val="es-AR"/>
              </w:rPr>
            </w:pPr>
          </w:p>
        </w:tc>
        <w:tc>
          <w:tcPr>
            <w:tcW w:w="2126" w:type="dxa"/>
            <w:vMerge/>
            <w:shd w:val="clear" w:color="auto" w:fill="auto"/>
          </w:tcPr>
          <w:p w:rsidR="004C723D" w:rsidRPr="00225D32" w:rsidRDefault="004C723D" w:rsidP="00AA3706">
            <w:pPr>
              <w:pStyle w:val="Prrafodelista1"/>
              <w:spacing w:line="276" w:lineRule="auto"/>
              <w:ind w:left="0"/>
              <w:rPr>
                <w:rFonts w:ascii="Arial" w:hAnsi="Arial" w:cs="Arial"/>
                <w:color w:val="000000"/>
                <w:sz w:val="20"/>
                <w:szCs w:val="20"/>
                <w:lang w:val="es-AR"/>
              </w:rPr>
            </w:pPr>
          </w:p>
        </w:tc>
        <w:tc>
          <w:tcPr>
            <w:tcW w:w="2977" w:type="dxa"/>
            <w:shd w:val="clear" w:color="auto" w:fill="auto"/>
          </w:tcPr>
          <w:p w:rsidR="004C723D" w:rsidRPr="00225D32" w:rsidRDefault="004C723D" w:rsidP="00AA3706">
            <w:pPr>
              <w:pStyle w:val="Prrafodelista1"/>
              <w:spacing w:line="276" w:lineRule="auto"/>
              <w:ind w:left="0"/>
              <w:rPr>
                <w:rFonts w:ascii="Arial" w:hAnsi="Arial" w:cs="Arial"/>
                <w:i/>
                <w:color w:val="000000"/>
                <w:sz w:val="20"/>
                <w:szCs w:val="20"/>
                <w:lang w:val="es-AR"/>
              </w:rPr>
            </w:pPr>
            <w:r w:rsidRPr="00225D32">
              <w:rPr>
                <w:rFonts w:ascii="Arial" w:hAnsi="Arial" w:cs="Arial"/>
                <w:i/>
                <w:color w:val="000000"/>
                <w:sz w:val="20"/>
                <w:szCs w:val="20"/>
                <w:lang w:val="es-AR"/>
              </w:rPr>
              <w:t>Cobertura PGDS: 93 municipios</w:t>
            </w:r>
          </w:p>
        </w:tc>
      </w:tr>
    </w:tbl>
    <w:p w:rsidR="007F499B" w:rsidRDefault="007F499B" w:rsidP="00AA3706">
      <w:pPr>
        <w:pStyle w:val="Prrafodelista1"/>
        <w:spacing w:line="276" w:lineRule="auto"/>
        <w:ind w:left="0"/>
        <w:rPr>
          <w:rFonts w:cs="Calibri"/>
          <w:color w:val="000000"/>
          <w:lang w:val="es-AR"/>
        </w:rPr>
      </w:pPr>
    </w:p>
    <w:p w:rsidR="000C6BDD" w:rsidRPr="00225D32" w:rsidRDefault="000C6BDD" w:rsidP="00AA3706">
      <w:pPr>
        <w:pStyle w:val="Prrafodelista1"/>
        <w:spacing w:line="276" w:lineRule="auto"/>
        <w:ind w:left="0"/>
        <w:rPr>
          <w:rFonts w:ascii="Arial" w:hAnsi="Arial" w:cs="Arial"/>
          <w:color w:val="4F81BD"/>
          <w:shd w:val="clear" w:color="auto" w:fill="FFFF00"/>
          <w:lang w:val="es-AR"/>
        </w:rPr>
      </w:pPr>
      <w:r w:rsidRPr="00225D32">
        <w:rPr>
          <w:rFonts w:ascii="Arial" w:hAnsi="Arial" w:cs="Arial"/>
          <w:color w:val="000000"/>
          <w:lang w:val="es-AR"/>
        </w:rPr>
        <w:t>En lo referido al BVM/BVMU, en el escenario base se considera una cobertura de 400.000 hogares beneficiarios. Este número se compone de 250.000 hogares beneficiarios con la configuración de Bono Rural y 150.000 con la configuración de Bono Urbano</w:t>
      </w:r>
      <w:r w:rsidRPr="00225D32">
        <w:rPr>
          <w:rStyle w:val="FootnoteReference"/>
          <w:rFonts w:ascii="Arial" w:hAnsi="Arial" w:cs="Arial"/>
          <w:color w:val="000000"/>
          <w:lang w:val="es-AR"/>
        </w:rPr>
        <w:footnoteReference w:id="2"/>
      </w:r>
      <w:r w:rsidRPr="00225D32">
        <w:rPr>
          <w:rFonts w:ascii="Arial" w:hAnsi="Arial" w:cs="Arial"/>
          <w:color w:val="000000"/>
          <w:lang w:val="es-AR"/>
        </w:rPr>
        <w:t xml:space="preserve">. Notemos adicionalmente que en cada caso se establece el siguiente esquema de pagos a los hogares: se realiza  un pago de Ls. 3.480 (BVMU) y Ls. 4.020 (BVM) como base anual a cada familia beneficiaria, Ls. 1.320 por un niño a los niños del hogar entre 0 y 6 años, Ls. 1500 por dos niños en hogares rurales y 0 lempiras en urbanos, en el caso de que cumplan las condicionalidades asociadas a responsabilidades de salud. Por niños de entre 7 y 11 años en el caso de que cumplan las condicionalidades asociadas a responsabilidades de educación: Ls. 1.320 por un niño en hogares rurales y 2.520 en hogares urbanos; Ls. 1.500 por dos niños en hogares rurales y 3.000 en hogares urbanos. Por niños de entre 12 y 18 años en el caso de que cumplan las condicionalidades asociadas a responsabilidades </w:t>
      </w:r>
      <w:r w:rsidR="0092543E" w:rsidRPr="00225D32">
        <w:rPr>
          <w:rFonts w:ascii="Arial" w:hAnsi="Arial" w:cs="Arial"/>
          <w:color w:val="000000"/>
          <w:lang w:val="es-AR"/>
        </w:rPr>
        <w:t xml:space="preserve"> </w:t>
      </w:r>
      <w:r w:rsidRPr="00225D32">
        <w:rPr>
          <w:rFonts w:ascii="Arial" w:hAnsi="Arial" w:cs="Arial"/>
          <w:color w:val="000000"/>
          <w:lang w:val="es-AR"/>
        </w:rPr>
        <w:t>de educación: Ls. 2.520 por un niño en hogares rurales y 3.000 en hogares urbanos; Ls. 3.480 por dos niños. Para el cálculo se supone un cumplimiento de las corresponsabilidades por parte de los hogares beneficiarios conducente al pago total de las transferencias. Cabe finalmente destacar que el cálculo del costo total del programa requiere adicionar a su costo directo, el costo de las comisiones (3,15% del monto de las transferencias</w:t>
      </w:r>
      <w:r w:rsidRPr="00225D32">
        <w:rPr>
          <w:rStyle w:val="FootnoteReference"/>
          <w:rFonts w:ascii="Arial" w:hAnsi="Arial" w:cs="Arial"/>
          <w:color w:val="000000"/>
          <w:lang w:val="es-AR"/>
        </w:rPr>
        <w:footnoteReference w:id="3"/>
      </w:r>
      <w:r w:rsidRPr="00225D32">
        <w:rPr>
          <w:rFonts w:ascii="Arial" w:hAnsi="Arial" w:cs="Arial"/>
          <w:color w:val="000000"/>
          <w:lang w:val="es-AR"/>
        </w:rPr>
        <w:t>),los costos administrativos (6,7%</w:t>
      </w:r>
      <w:r w:rsidRPr="00225D32">
        <w:rPr>
          <w:rStyle w:val="FootnoteReference"/>
          <w:rFonts w:ascii="Arial" w:hAnsi="Arial" w:cs="Arial"/>
          <w:color w:val="000000"/>
          <w:lang w:val="es-AR"/>
        </w:rPr>
        <w:footnoteReference w:id="4"/>
      </w:r>
      <w:r w:rsidRPr="00225D32">
        <w:rPr>
          <w:rFonts w:ascii="Arial" w:hAnsi="Arial" w:cs="Arial"/>
          <w:color w:val="000000"/>
          <w:lang w:val="es-AR"/>
        </w:rPr>
        <w:t xml:space="preserve">), el gasto asociado a la verificación del programa, el costo de recertificación y los gastos necesarios para expandir la oferta de los servicios de salud y educación. </w:t>
      </w:r>
      <w:r w:rsidR="0092543E" w:rsidRPr="00225D32">
        <w:rPr>
          <w:rFonts w:ascii="Arial" w:hAnsi="Arial" w:cs="Arial"/>
          <w:color w:val="000000"/>
          <w:lang w:val="es-AR"/>
        </w:rPr>
        <w:t>Debe</w:t>
      </w:r>
      <w:r w:rsidRPr="00225D32">
        <w:rPr>
          <w:rFonts w:ascii="Arial" w:hAnsi="Arial" w:cs="Arial"/>
          <w:color w:val="000000"/>
          <w:lang w:val="es-AR"/>
        </w:rPr>
        <w:t xml:space="preserve"> aclarar</w:t>
      </w:r>
      <w:r w:rsidR="0092543E" w:rsidRPr="00225D32">
        <w:rPr>
          <w:rFonts w:ascii="Arial" w:hAnsi="Arial" w:cs="Arial"/>
          <w:color w:val="000000"/>
          <w:lang w:val="es-AR"/>
        </w:rPr>
        <w:t>se</w:t>
      </w:r>
      <w:r w:rsidRPr="00225D32">
        <w:rPr>
          <w:rFonts w:ascii="Arial" w:hAnsi="Arial" w:cs="Arial"/>
          <w:color w:val="000000"/>
          <w:lang w:val="es-AR"/>
        </w:rPr>
        <w:t xml:space="preserve"> que en los años 2016 y 2018 se consideran actualizaciones nominales de las transferencias para compensar los efectos de la inflación. En el Anexo </w:t>
      </w:r>
      <w:r w:rsidR="00A72E10" w:rsidRPr="00225D32">
        <w:rPr>
          <w:rFonts w:ascii="Arial" w:hAnsi="Arial" w:cs="Arial"/>
          <w:color w:val="000000"/>
          <w:lang w:val="es-AR"/>
        </w:rPr>
        <w:t>I</w:t>
      </w:r>
      <w:r w:rsidRPr="00225D32">
        <w:rPr>
          <w:rFonts w:ascii="Arial" w:hAnsi="Arial" w:cs="Arial"/>
          <w:color w:val="000000"/>
          <w:lang w:val="es-AR"/>
        </w:rPr>
        <w:t xml:space="preserve"> se detalla la proyección de los gastos.</w:t>
      </w:r>
    </w:p>
    <w:p w:rsidR="000C6BDD" w:rsidRPr="00225D32" w:rsidRDefault="000C6BDD" w:rsidP="00AA3706">
      <w:pPr>
        <w:pStyle w:val="Prrafodelista1"/>
        <w:spacing w:line="276" w:lineRule="auto"/>
        <w:ind w:left="0"/>
        <w:rPr>
          <w:rFonts w:ascii="Arial" w:hAnsi="Arial" w:cs="Arial"/>
          <w:color w:val="4F81BD"/>
          <w:shd w:val="clear" w:color="auto" w:fill="FFFF00"/>
          <w:lang w:val="es-AR"/>
        </w:rPr>
      </w:pPr>
    </w:p>
    <w:p w:rsidR="000C6BDD" w:rsidRPr="00225D32" w:rsidRDefault="000C6BDD" w:rsidP="00AA3706">
      <w:pPr>
        <w:pStyle w:val="Prrafodelista1"/>
        <w:spacing w:line="276" w:lineRule="auto"/>
        <w:ind w:left="0"/>
        <w:rPr>
          <w:rFonts w:ascii="Arial" w:hAnsi="Arial" w:cs="Arial"/>
          <w:color w:val="4F81BD"/>
          <w:shd w:val="clear" w:color="auto" w:fill="FFFF00"/>
          <w:lang w:val="es-AR"/>
        </w:rPr>
      </w:pPr>
      <w:r w:rsidRPr="00225D32">
        <w:rPr>
          <w:rFonts w:ascii="Arial" w:hAnsi="Arial" w:cs="Arial"/>
          <w:color w:val="000000"/>
          <w:lang w:val="es-AR"/>
        </w:rPr>
        <w:t>Escenarios de análisis para el Programa de Gestores Descentralizados de Salud: En el caso de los Gestores, el escenario base contempla la cobertura de servicios de atención primaria para 104 municipios. Esto implica la incorporación de once municipios a los 93 que funcionaban bajo este esquema a fin de 2015. Dado que se evalúa la sostenibilidad financiera de la intervención de política pública, el monto a financiar considera a la totalidad de estos municipios, tanto aquellos que estaban siendo financiados por el BID como aquellos cubiertos con recursos propios por el GoH.</w:t>
      </w:r>
    </w:p>
    <w:p w:rsidR="000C6BDD" w:rsidRDefault="000C6BDD" w:rsidP="00AA3706">
      <w:pPr>
        <w:pStyle w:val="Prrafodelista1"/>
        <w:spacing w:line="276" w:lineRule="auto"/>
        <w:ind w:left="0"/>
        <w:rPr>
          <w:rFonts w:cs="Calibri"/>
          <w:color w:val="4F81BD"/>
          <w:shd w:val="clear" w:color="auto" w:fill="FFFF00"/>
          <w:lang w:val="es-AR"/>
        </w:rPr>
      </w:pPr>
    </w:p>
    <w:p w:rsidR="000C6BDD" w:rsidRPr="00E15DF7" w:rsidRDefault="000C6BDD" w:rsidP="00AA3706">
      <w:pPr>
        <w:pStyle w:val="Prrafodelista1"/>
        <w:spacing w:line="276" w:lineRule="auto"/>
        <w:ind w:left="0"/>
        <w:rPr>
          <w:rFonts w:ascii="Arial" w:hAnsi="Arial" w:cs="Arial"/>
          <w:color w:val="000000"/>
          <w:lang w:val="es-AR"/>
        </w:rPr>
      </w:pPr>
      <w:r w:rsidRPr="00E15DF7">
        <w:rPr>
          <w:rFonts w:ascii="Arial" w:hAnsi="Arial" w:cs="Arial"/>
          <w:color w:val="000000"/>
          <w:lang w:val="es-AR"/>
        </w:rPr>
        <w:lastRenderedPageBreak/>
        <w:t>El costo total se compone de los pagos de las cápitas, los pagos adicionales por partos, los pagos por incentivos y los costos administrativos</w:t>
      </w:r>
      <w:r w:rsidRPr="00E15DF7">
        <w:rPr>
          <w:rStyle w:val="FootnoteReference"/>
          <w:rFonts w:ascii="Arial" w:hAnsi="Arial" w:cs="Arial"/>
          <w:color w:val="000000"/>
          <w:lang w:val="es-AR"/>
        </w:rPr>
        <w:footnoteReference w:id="5"/>
      </w:r>
      <w:r w:rsidRPr="00E15DF7">
        <w:rPr>
          <w:rFonts w:ascii="Arial" w:hAnsi="Arial" w:cs="Arial"/>
          <w:color w:val="000000"/>
          <w:lang w:val="es-AR"/>
        </w:rPr>
        <w:t>. El costo administrativo se estimó bajo el supuesto de que el gasto del programa presupuestario de Gestión Descentralizada de Salud neto de las transferencias, constituye el gasto administrativo de la intervención de política pública. La proyección a futuro del costo de los tres primeros componentes, se hizo manteniendo constante el valor real de las cápitas y proyectando un crecimiento poblacional del 2%. El análisis se limita al Primer Nivel, ya que la descentralización de servicios de segundo nivel tiende a mantener los niveles de gasto que previamente erogaba la Secretaría de Salud y simpl</w:t>
      </w:r>
      <w:r w:rsidR="00876B50" w:rsidRPr="00E15DF7">
        <w:rPr>
          <w:rFonts w:ascii="Arial" w:hAnsi="Arial" w:cs="Arial"/>
          <w:color w:val="000000"/>
          <w:lang w:val="es-AR"/>
        </w:rPr>
        <w:t>e</w:t>
      </w:r>
      <w:r w:rsidRPr="00E15DF7">
        <w:rPr>
          <w:rFonts w:ascii="Arial" w:hAnsi="Arial" w:cs="Arial"/>
          <w:color w:val="000000"/>
          <w:lang w:val="es-AR"/>
        </w:rPr>
        <w:t>mente cambia la gestión. En este sentido, cabe destacar que en el cálculo del costo no se consideran los aportes que realiza la Secretaría de Salud en especies: recursos humanos y vacunas.</w:t>
      </w:r>
    </w:p>
    <w:p w:rsidR="000C6BDD" w:rsidRPr="00E15DF7" w:rsidRDefault="000C6BDD" w:rsidP="00AA3706">
      <w:pPr>
        <w:pStyle w:val="Prrafodelista1"/>
        <w:spacing w:line="276" w:lineRule="auto"/>
        <w:ind w:left="0"/>
        <w:rPr>
          <w:rFonts w:ascii="Arial" w:hAnsi="Arial" w:cs="Arial"/>
          <w:color w:val="000000"/>
          <w:lang w:val="es-AR"/>
        </w:rPr>
      </w:pPr>
    </w:p>
    <w:p w:rsidR="000C6BDD" w:rsidRPr="00E15DF7" w:rsidRDefault="000C6BDD" w:rsidP="00AA3706">
      <w:pPr>
        <w:pStyle w:val="Prrafodelista1"/>
        <w:spacing w:line="276" w:lineRule="auto"/>
        <w:ind w:left="0"/>
        <w:rPr>
          <w:rFonts w:ascii="Arial" w:hAnsi="Arial" w:cs="Arial"/>
          <w:b/>
          <w:i/>
          <w:color w:val="000000"/>
          <w:lang w:val="es-AR"/>
        </w:rPr>
      </w:pPr>
      <w:r w:rsidRPr="00E15DF7">
        <w:rPr>
          <w:rFonts w:ascii="Arial" w:hAnsi="Arial" w:cs="Arial"/>
          <w:b/>
          <w:i/>
          <w:color w:val="000000"/>
          <w:lang w:val="es-AR"/>
        </w:rPr>
        <w:t>Primer Escenario</w:t>
      </w:r>
    </w:p>
    <w:p w:rsidR="000C6BDD" w:rsidRPr="00E15DF7" w:rsidRDefault="000C6BDD" w:rsidP="00AA3706">
      <w:pPr>
        <w:pStyle w:val="Prrafodelista1"/>
        <w:spacing w:line="276" w:lineRule="auto"/>
        <w:ind w:left="0"/>
        <w:rPr>
          <w:rFonts w:ascii="Arial" w:hAnsi="Arial" w:cs="Arial"/>
          <w:color w:val="000000"/>
          <w:lang w:val="es-AR"/>
        </w:rPr>
      </w:pPr>
      <w:r w:rsidRPr="00E15DF7">
        <w:rPr>
          <w:rFonts w:ascii="Arial" w:hAnsi="Arial" w:cs="Arial"/>
          <w:color w:val="000000"/>
          <w:lang w:val="es-AR"/>
        </w:rPr>
        <w:t>La principal característica de este escenario es que las restricciones impuestas por el acuerdo con el FMI y la Ley de Responsabilidad Fiscal son operativas. Por lo tanto, el déficit está determinado exógenamente. Dado que los ingresos dependen de la evolución de la evolución del PBI -cumpliendo los límites de la LRF-, el nivel de gasto se determina endógenamente para cumplir con el límite al déficit. Esto implica que bajo estos supuestos se configura un esquema en el cual el sendero de evolución del gasto, déficit y deuda es sostenible.</w:t>
      </w:r>
    </w:p>
    <w:p w:rsidR="000C6BDD" w:rsidRPr="00E15DF7" w:rsidRDefault="000C6BDD" w:rsidP="00AA3706">
      <w:pPr>
        <w:pStyle w:val="Prrafodelista1"/>
        <w:spacing w:line="276" w:lineRule="auto"/>
        <w:ind w:left="0"/>
        <w:rPr>
          <w:rFonts w:ascii="Arial" w:hAnsi="Arial" w:cs="Arial"/>
          <w:color w:val="000000"/>
          <w:lang w:val="es-AR"/>
        </w:rPr>
      </w:pPr>
    </w:p>
    <w:p w:rsidR="000C6BDD" w:rsidRPr="00E15DF7" w:rsidRDefault="000C6BDD" w:rsidP="00AA3706">
      <w:pPr>
        <w:pStyle w:val="Prrafodelista1"/>
        <w:spacing w:line="276" w:lineRule="auto"/>
        <w:ind w:left="0"/>
        <w:rPr>
          <w:rFonts w:ascii="Arial" w:hAnsi="Arial" w:cs="Arial"/>
          <w:color w:val="000000"/>
          <w:lang w:val="es-AR"/>
        </w:rPr>
      </w:pPr>
      <w:r w:rsidRPr="00E15DF7">
        <w:rPr>
          <w:rFonts w:ascii="Arial" w:hAnsi="Arial" w:cs="Arial"/>
          <w:color w:val="000000"/>
          <w:lang w:val="es-AR"/>
        </w:rPr>
        <w:t xml:space="preserve">El </w:t>
      </w:r>
      <w:r w:rsidR="00A72E10" w:rsidRPr="00E15DF7">
        <w:rPr>
          <w:rFonts w:ascii="Arial" w:hAnsi="Arial" w:cs="Arial"/>
          <w:color w:val="000000"/>
          <w:lang w:val="es-AR"/>
        </w:rPr>
        <w:fldChar w:fldCharType="begin"/>
      </w:r>
      <w:r w:rsidR="00A72E10" w:rsidRPr="00E15DF7">
        <w:rPr>
          <w:rFonts w:ascii="Arial" w:hAnsi="Arial" w:cs="Arial"/>
          <w:color w:val="000000"/>
          <w:lang w:val="es-AR"/>
        </w:rPr>
        <w:instrText xml:space="preserve"> REF _Ref446600983 \h </w:instrText>
      </w:r>
      <w:r w:rsidR="00AA3706" w:rsidRPr="00E15DF7">
        <w:rPr>
          <w:rFonts w:ascii="Arial" w:hAnsi="Arial" w:cs="Arial"/>
          <w:color w:val="000000"/>
          <w:lang w:val="es-AR"/>
        </w:rPr>
        <w:instrText xml:space="preserve"> \* MERGEFORMAT </w:instrText>
      </w:r>
      <w:r w:rsidR="00A72E10" w:rsidRPr="00E15DF7">
        <w:rPr>
          <w:rFonts w:ascii="Arial" w:hAnsi="Arial" w:cs="Arial"/>
          <w:color w:val="000000"/>
          <w:lang w:val="es-AR"/>
        </w:rPr>
      </w:r>
      <w:r w:rsidR="00A72E10" w:rsidRPr="00E15DF7">
        <w:rPr>
          <w:rFonts w:ascii="Arial" w:hAnsi="Arial" w:cs="Arial"/>
          <w:color w:val="000000"/>
          <w:lang w:val="es-AR"/>
        </w:rPr>
        <w:fldChar w:fldCharType="separate"/>
      </w:r>
      <w:r w:rsidR="00A72E10" w:rsidRPr="00E15DF7">
        <w:rPr>
          <w:rFonts w:ascii="Arial" w:hAnsi="Arial" w:cs="Arial"/>
          <w:lang w:val="es-AR"/>
        </w:rPr>
        <w:t xml:space="preserve">Cuadro </w:t>
      </w:r>
      <w:r w:rsidR="00A72E10" w:rsidRPr="00E15DF7">
        <w:rPr>
          <w:rFonts w:ascii="Arial" w:hAnsi="Arial" w:cs="Arial"/>
          <w:noProof/>
          <w:lang w:val="es-AR"/>
        </w:rPr>
        <w:t>7</w:t>
      </w:r>
      <w:r w:rsidR="00A72E10" w:rsidRPr="00E15DF7">
        <w:rPr>
          <w:rFonts w:ascii="Arial" w:hAnsi="Arial" w:cs="Arial"/>
          <w:color w:val="000000"/>
          <w:lang w:val="es-AR"/>
        </w:rPr>
        <w:fldChar w:fldCharType="end"/>
      </w:r>
      <w:r w:rsidR="00A72E10" w:rsidRPr="00E15DF7">
        <w:rPr>
          <w:rFonts w:ascii="Arial" w:hAnsi="Arial" w:cs="Arial"/>
          <w:color w:val="000000"/>
          <w:lang w:val="es-AR"/>
        </w:rPr>
        <w:t xml:space="preserve"> </w:t>
      </w:r>
      <w:r w:rsidRPr="00E15DF7">
        <w:rPr>
          <w:rFonts w:ascii="Arial" w:hAnsi="Arial" w:cs="Arial"/>
          <w:color w:val="000000"/>
          <w:lang w:val="es-AR"/>
        </w:rPr>
        <w:t xml:space="preserve">y el </w:t>
      </w:r>
      <w:r w:rsidR="00A72E10" w:rsidRPr="00E15DF7">
        <w:rPr>
          <w:rFonts w:ascii="Arial" w:hAnsi="Arial" w:cs="Arial"/>
          <w:color w:val="000000"/>
          <w:lang w:val="es-AR"/>
        </w:rPr>
        <w:fldChar w:fldCharType="begin"/>
      </w:r>
      <w:r w:rsidR="00A72E10" w:rsidRPr="00E15DF7">
        <w:rPr>
          <w:rFonts w:ascii="Arial" w:hAnsi="Arial" w:cs="Arial"/>
          <w:color w:val="000000"/>
          <w:lang w:val="es-AR"/>
        </w:rPr>
        <w:instrText xml:space="preserve"> REF _Ref447016072 \h </w:instrText>
      </w:r>
      <w:r w:rsidR="00AA3706" w:rsidRPr="00E15DF7">
        <w:rPr>
          <w:rFonts w:ascii="Arial" w:hAnsi="Arial" w:cs="Arial"/>
          <w:color w:val="000000"/>
          <w:lang w:val="es-AR"/>
        </w:rPr>
        <w:instrText xml:space="preserve"> \* MERGEFORMAT </w:instrText>
      </w:r>
      <w:r w:rsidR="00A72E10" w:rsidRPr="00E15DF7">
        <w:rPr>
          <w:rFonts w:ascii="Arial" w:hAnsi="Arial" w:cs="Arial"/>
          <w:color w:val="000000"/>
          <w:lang w:val="es-AR"/>
        </w:rPr>
      </w:r>
      <w:r w:rsidR="00A72E10" w:rsidRPr="00E15DF7">
        <w:rPr>
          <w:rFonts w:ascii="Arial" w:hAnsi="Arial" w:cs="Arial"/>
          <w:color w:val="000000"/>
          <w:lang w:val="es-AR"/>
        </w:rPr>
        <w:fldChar w:fldCharType="separate"/>
      </w:r>
      <w:r w:rsidR="00A72E10" w:rsidRPr="00E15DF7">
        <w:rPr>
          <w:rFonts w:ascii="Arial" w:hAnsi="Arial" w:cs="Arial"/>
          <w:lang w:val="es-AR"/>
        </w:rPr>
        <w:t xml:space="preserve">Gráfico </w:t>
      </w:r>
      <w:r w:rsidR="00A72E10" w:rsidRPr="00E15DF7">
        <w:rPr>
          <w:rFonts w:ascii="Arial" w:hAnsi="Arial" w:cs="Arial"/>
          <w:noProof/>
          <w:lang w:val="es-AR"/>
        </w:rPr>
        <w:t>8</w:t>
      </w:r>
      <w:r w:rsidR="00A72E10" w:rsidRPr="00E15DF7">
        <w:rPr>
          <w:rFonts w:ascii="Arial" w:hAnsi="Arial" w:cs="Arial"/>
          <w:color w:val="000000"/>
          <w:lang w:val="es-AR"/>
        </w:rPr>
        <w:fldChar w:fldCharType="end"/>
      </w:r>
      <w:r w:rsidR="00A72E10" w:rsidRPr="00E15DF7">
        <w:rPr>
          <w:rFonts w:ascii="Arial" w:hAnsi="Arial" w:cs="Arial"/>
          <w:color w:val="000000"/>
          <w:lang w:val="es-AR"/>
        </w:rPr>
        <w:t xml:space="preserve"> </w:t>
      </w:r>
      <w:r w:rsidRPr="00E15DF7">
        <w:rPr>
          <w:rFonts w:ascii="Arial" w:hAnsi="Arial" w:cs="Arial"/>
          <w:color w:val="000000"/>
          <w:lang w:val="es-AR"/>
        </w:rPr>
        <w:t xml:space="preserve">detallan esta situación. En el primer caso se observa que el balance global tiende a un valor de – 2,7% del PBI. Esto conlleva a que </w:t>
      </w:r>
      <w:r w:rsidR="0076614B" w:rsidRPr="00E15DF7">
        <w:rPr>
          <w:rFonts w:ascii="Arial" w:hAnsi="Arial" w:cs="Arial"/>
          <w:color w:val="000000"/>
          <w:lang w:val="es-AR"/>
        </w:rPr>
        <w:t>aun</w:t>
      </w:r>
      <w:r w:rsidRPr="00E15DF7">
        <w:rPr>
          <w:rFonts w:ascii="Arial" w:hAnsi="Arial" w:cs="Arial"/>
          <w:color w:val="000000"/>
          <w:lang w:val="es-AR"/>
        </w:rPr>
        <w:t xml:space="preserve"> cuando los Ingresos tributarios crezcan en 0,3pp durante el período analizado, el gasto corriente </w:t>
      </w:r>
      <w:r w:rsidR="00A27BDC" w:rsidRPr="00E15DF7">
        <w:rPr>
          <w:rFonts w:ascii="Arial" w:hAnsi="Arial" w:cs="Arial"/>
          <w:color w:val="000000"/>
          <w:lang w:val="es-AR"/>
        </w:rPr>
        <w:t>caiga casi en 2 pp.</w:t>
      </w:r>
      <w:r w:rsidRPr="00E15DF7">
        <w:rPr>
          <w:rFonts w:ascii="Arial" w:hAnsi="Arial" w:cs="Arial"/>
          <w:color w:val="000000"/>
          <w:lang w:val="es-AR"/>
        </w:rPr>
        <w:t xml:space="preserve"> del PBI. El gráfico permite ilustrar claramente que el nivel de deuda como porcentaje del PBI </w:t>
      </w:r>
      <w:r w:rsidR="00A27BDC" w:rsidRPr="00E15DF7">
        <w:rPr>
          <w:rFonts w:ascii="Arial" w:hAnsi="Arial" w:cs="Arial"/>
          <w:color w:val="000000"/>
          <w:lang w:val="es-AR"/>
        </w:rPr>
        <w:t>disminuyen</w:t>
      </w:r>
      <w:r w:rsidRPr="00E15DF7">
        <w:rPr>
          <w:rFonts w:ascii="Arial" w:hAnsi="Arial" w:cs="Arial"/>
          <w:color w:val="000000"/>
          <w:lang w:val="es-AR"/>
        </w:rPr>
        <w:t xml:space="preserve"> paulatinamente. En el caso de la deuda externa, que es la más relevante a la hora de analizar la </w:t>
      </w:r>
      <w:r w:rsidR="0034792F" w:rsidRPr="00E15DF7">
        <w:rPr>
          <w:rFonts w:ascii="Arial" w:hAnsi="Arial" w:cs="Arial"/>
          <w:color w:val="000000"/>
          <w:lang w:val="es-AR"/>
        </w:rPr>
        <w:t>sostenibilidad</w:t>
      </w:r>
      <w:r w:rsidRPr="00E15DF7">
        <w:rPr>
          <w:rFonts w:ascii="Arial" w:hAnsi="Arial" w:cs="Arial"/>
          <w:color w:val="000000"/>
          <w:lang w:val="es-AR"/>
        </w:rPr>
        <w:t>, se mantiene constantemente por debajo del umbral del 40%.</w:t>
      </w:r>
    </w:p>
    <w:p w:rsidR="00E46DB4" w:rsidRPr="00E15DF7" w:rsidRDefault="00E46DB4" w:rsidP="00AA3706">
      <w:pPr>
        <w:pStyle w:val="Prrafodelista1"/>
        <w:spacing w:line="276" w:lineRule="auto"/>
        <w:ind w:left="0"/>
        <w:rPr>
          <w:rFonts w:ascii="Arial" w:hAnsi="Arial" w:cs="Arial"/>
          <w:lang w:val="es-AR"/>
        </w:rPr>
      </w:pPr>
    </w:p>
    <w:p w:rsidR="00E46DB4" w:rsidRPr="00E15DF7" w:rsidRDefault="00E46DB4" w:rsidP="003D629E">
      <w:pPr>
        <w:pStyle w:val="Caption"/>
        <w:keepNext/>
        <w:spacing w:line="276" w:lineRule="auto"/>
        <w:ind w:firstLine="0"/>
        <w:jc w:val="center"/>
        <w:rPr>
          <w:rFonts w:ascii="Arial" w:hAnsi="Arial" w:cs="Arial"/>
        </w:rPr>
      </w:pPr>
      <w:bookmarkStart w:id="11" w:name="_Ref446600983"/>
      <w:bookmarkStart w:id="12" w:name="_Ref446600976"/>
      <w:r w:rsidRPr="00E15DF7">
        <w:rPr>
          <w:rFonts w:ascii="Arial" w:hAnsi="Arial" w:cs="Arial"/>
          <w:lang w:val="es-AR"/>
        </w:rPr>
        <w:lastRenderedPageBreak/>
        <w:t xml:space="preserve">Cuadro </w:t>
      </w:r>
      <w:r w:rsidRPr="00E15DF7">
        <w:rPr>
          <w:rFonts w:ascii="Arial" w:hAnsi="Arial" w:cs="Arial"/>
        </w:rPr>
        <w:fldChar w:fldCharType="begin"/>
      </w:r>
      <w:r w:rsidRPr="00E15DF7">
        <w:rPr>
          <w:rFonts w:ascii="Arial" w:hAnsi="Arial" w:cs="Arial"/>
          <w:lang w:val="es-AR"/>
        </w:rPr>
        <w:instrText xml:space="preserve"> SEQ Cuadro \* ARABIC </w:instrText>
      </w:r>
      <w:r w:rsidRPr="00E15DF7">
        <w:rPr>
          <w:rFonts w:ascii="Arial" w:hAnsi="Arial" w:cs="Arial"/>
        </w:rPr>
        <w:fldChar w:fldCharType="separate"/>
      </w:r>
      <w:r w:rsidR="009C1E0D" w:rsidRPr="00E15DF7">
        <w:rPr>
          <w:rFonts w:ascii="Arial" w:hAnsi="Arial" w:cs="Arial"/>
          <w:noProof/>
          <w:lang w:val="es-AR"/>
        </w:rPr>
        <w:t>7</w:t>
      </w:r>
      <w:r w:rsidRPr="00E15DF7">
        <w:rPr>
          <w:rFonts w:ascii="Arial" w:hAnsi="Arial" w:cs="Arial"/>
        </w:rPr>
        <w:fldChar w:fldCharType="end"/>
      </w:r>
      <w:bookmarkEnd w:id="11"/>
      <w:r w:rsidRPr="00E15DF7">
        <w:rPr>
          <w:rFonts w:ascii="Arial" w:hAnsi="Arial" w:cs="Arial"/>
          <w:lang w:val="es-AR"/>
        </w:rPr>
        <w:t xml:space="preserve">: Proyecciones fiscales. Gobierno Central. Evolución exógena del déficit (Proyección FMI). </w:t>
      </w:r>
      <w:r w:rsidRPr="00E15DF7">
        <w:rPr>
          <w:rFonts w:ascii="Arial" w:hAnsi="Arial" w:cs="Arial"/>
        </w:rPr>
        <w:t>Crecimiento 4%</w:t>
      </w:r>
      <w:bookmarkEnd w:id="12"/>
    </w:p>
    <w:p w:rsidR="00E46DB4" w:rsidRDefault="00FD4DBE" w:rsidP="00AA3706">
      <w:pPr>
        <w:pStyle w:val="Prrafodelista1"/>
        <w:spacing w:line="276" w:lineRule="auto"/>
        <w:ind w:left="0"/>
      </w:pPr>
      <w:r>
        <w:rPr>
          <w:noProof/>
          <w:lang w:val="en-US" w:eastAsia="en-US"/>
        </w:rPr>
        <w:drawing>
          <wp:inline distT="0" distB="0" distL="0" distR="0">
            <wp:extent cx="5600700" cy="3524250"/>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600700" cy="3524250"/>
                    </a:xfrm>
                    <a:prstGeom prst="rect">
                      <a:avLst/>
                    </a:prstGeom>
                    <a:noFill/>
                    <a:ln>
                      <a:noFill/>
                    </a:ln>
                  </pic:spPr>
                </pic:pic>
              </a:graphicData>
            </a:graphic>
          </wp:inline>
        </w:drawing>
      </w:r>
    </w:p>
    <w:p w:rsidR="00E46DB4" w:rsidRPr="00E15DF7" w:rsidRDefault="00A72E10" w:rsidP="00AA3706">
      <w:pPr>
        <w:pStyle w:val="Prrafodelista1"/>
        <w:spacing w:line="276" w:lineRule="auto"/>
        <w:ind w:left="0"/>
        <w:rPr>
          <w:rFonts w:ascii="Arial" w:hAnsi="Arial" w:cs="Arial"/>
          <w:color w:val="000000"/>
          <w:sz w:val="18"/>
          <w:lang w:val="es-AR"/>
        </w:rPr>
      </w:pPr>
      <w:r w:rsidRPr="00E15DF7">
        <w:rPr>
          <w:rFonts w:ascii="Arial" w:hAnsi="Arial" w:cs="Arial"/>
          <w:color w:val="000000"/>
          <w:sz w:val="18"/>
          <w:lang w:val="es-AR"/>
        </w:rPr>
        <w:t>Fuente: Elaboración propia en base a datos de SEFIN, SDIS y Secretaría de Salud</w:t>
      </w:r>
    </w:p>
    <w:p w:rsidR="00651E3D" w:rsidRPr="00A72E10" w:rsidRDefault="00651E3D" w:rsidP="00AA3706">
      <w:pPr>
        <w:pStyle w:val="Prrafodelista1"/>
        <w:spacing w:line="276" w:lineRule="auto"/>
        <w:ind w:left="0"/>
        <w:rPr>
          <w:rFonts w:cs="Calibri"/>
          <w:color w:val="000000"/>
          <w:sz w:val="18"/>
          <w:lang w:val="es-AR"/>
        </w:rPr>
      </w:pPr>
    </w:p>
    <w:p w:rsidR="00131A45" w:rsidRPr="00E15DF7" w:rsidRDefault="005E7BFA" w:rsidP="00AA3706">
      <w:pPr>
        <w:pStyle w:val="Prrafodelista1"/>
        <w:spacing w:line="276" w:lineRule="auto"/>
        <w:ind w:left="0"/>
        <w:rPr>
          <w:rFonts w:ascii="Arial" w:hAnsi="Arial" w:cs="Arial"/>
          <w:color w:val="000000"/>
          <w:lang w:val="es-AR"/>
        </w:rPr>
      </w:pPr>
      <w:r w:rsidRPr="00E15DF7">
        <w:rPr>
          <w:rFonts w:ascii="Arial" w:hAnsi="Arial" w:cs="Arial"/>
          <w:color w:val="000000"/>
          <w:lang w:val="es-AR"/>
        </w:rPr>
        <w:t xml:space="preserve">El </w:t>
      </w:r>
      <w:r w:rsidR="00487899" w:rsidRPr="00E15DF7">
        <w:rPr>
          <w:rFonts w:ascii="Arial" w:hAnsi="Arial" w:cs="Arial"/>
          <w:color w:val="000000"/>
          <w:lang w:val="es-AR"/>
        </w:rPr>
        <w:fldChar w:fldCharType="begin"/>
      </w:r>
      <w:r w:rsidR="00487899" w:rsidRPr="00E15DF7">
        <w:rPr>
          <w:rFonts w:ascii="Arial" w:hAnsi="Arial" w:cs="Arial"/>
          <w:color w:val="000000"/>
          <w:lang w:val="es-AR"/>
        </w:rPr>
        <w:instrText xml:space="preserve"> REF _Ref447216417 \h  \* MERGEFORMAT </w:instrText>
      </w:r>
      <w:r w:rsidR="00487899" w:rsidRPr="00E15DF7">
        <w:rPr>
          <w:rFonts w:ascii="Arial" w:hAnsi="Arial" w:cs="Arial"/>
          <w:color w:val="000000"/>
          <w:lang w:val="es-AR"/>
        </w:rPr>
      </w:r>
      <w:r w:rsidR="00487899" w:rsidRPr="00E15DF7">
        <w:rPr>
          <w:rFonts w:ascii="Arial" w:hAnsi="Arial" w:cs="Arial"/>
          <w:color w:val="000000"/>
          <w:lang w:val="es-AR"/>
        </w:rPr>
        <w:fldChar w:fldCharType="separate"/>
      </w:r>
      <w:r w:rsidR="00487899" w:rsidRPr="00E15DF7">
        <w:rPr>
          <w:rFonts w:ascii="Arial" w:hAnsi="Arial" w:cs="Arial"/>
          <w:lang w:val="es-AR"/>
        </w:rPr>
        <w:t xml:space="preserve">Cuadro </w:t>
      </w:r>
      <w:r w:rsidR="00487899" w:rsidRPr="00E15DF7">
        <w:rPr>
          <w:rFonts w:ascii="Arial" w:hAnsi="Arial" w:cs="Arial"/>
          <w:noProof/>
          <w:lang w:val="es-AR"/>
        </w:rPr>
        <w:t>8</w:t>
      </w:r>
      <w:r w:rsidR="00487899" w:rsidRPr="00E15DF7">
        <w:rPr>
          <w:rFonts w:ascii="Arial" w:hAnsi="Arial" w:cs="Arial"/>
          <w:color w:val="000000"/>
          <w:lang w:val="es-AR"/>
        </w:rPr>
        <w:fldChar w:fldCharType="end"/>
      </w:r>
      <w:r w:rsidR="00487899" w:rsidRPr="00E15DF7">
        <w:rPr>
          <w:rFonts w:ascii="Arial" w:hAnsi="Arial" w:cs="Arial"/>
          <w:color w:val="000000"/>
          <w:lang w:val="es-AR"/>
        </w:rPr>
        <w:t xml:space="preserve"> </w:t>
      </w:r>
      <w:r w:rsidR="007B68B0" w:rsidRPr="00E15DF7">
        <w:rPr>
          <w:rFonts w:ascii="Arial" w:hAnsi="Arial" w:cs="Arial"/>
          <w:color w:val="000000"/>
          <w:lang w:val="es-AR"/>
        </w:rPr>
        <w:t xml:space="preserve">incorpora una variante al primer escenario de déficit exógeno y 400.000 beneficiarios para el BVM. Básicamente, lo que se supone es que la meta de beneficiarios para el Bono no es alcanzada en el año 2017 sino que se arriba a ella en el año 2020. Como se puede apreciar, el impacto en el análisis de sostenibilidad es marginal. </w:t>
      </w:r>
      <w:r w:rsidR="00722E52" w:rsidRPr="00E15DF7">
        <w:rPr>
          <w:rFonts w:ascii="Arial" w:hAnsi="Arial" w:cs="Arial"/>
          <w:color w:val="000000"/>
          <w:lang w:val="es-AR"/>
        </w:rPr>
        <w:t>Se cristaliza en un leve aumento del gasto corriente neto de los programas analizados</w:t>
      </w:r>
      <w:r w:rsidR="00F00621" w:rsidRPr="00E15DF7">
        <w:rPr>
          <w:rFonts w:ascii="Arial" w:hAnsi="Arial" w:cs="Arial"/>
          <w:color w:val="000000"/>
          <w:lang w:val="es-AR"/>
        </w:rPr>
        <w:t xml:space="preserve"> entre los años 2016 y 2019</w:t>
      </w:r>
      <w:r w:rsidR="00722E52" w:rsidRPr="00E15DF7">
        <w:rPr>
          <w:rFonts w:ascii="Arial" w:hAnsi="Arial" w:cs="Arial"/>
          <w:color w:val="000000"/>
          <w:lang w:val="es-AR"/>
        </w:rPr>
        <w:t>.</w:t>
      </w:r>
    </w:p>
    <w:p w:rsidR="00527FBB" w:rsidRPr="00E15DF7" w:rsidRDefault="00527FBB" w:rsidP="00AA3706">
      <w:pPr>
        <w:pStyle w:val="Prrafodelista1"/>
        <w:spacing w:line="276" w:lineRule="auto"/>
        <w:ind w:left="0"/>
        <w:rPr>
          <w:rFonts w:ascii="Arial" w:hAnsi="Arial" w:cs="Arial"/>
          <w:color w:val="000000"/>
          <w:lang w:val="es-AR"/>
        </w:rPr>
      </w:pPr>
    </w:p>
    <w:p w:rsidR="00527FBB" w:rsidRPr="00E15DF7" w:rsidRDefault="00527FBB" w:rsidP="00AA3706">
      <w:pPr>
        <w:pStyle w:val="Prrafodelista1"/>
        <w:spacing w:line="276" w:lineRule="auto"/>
        <w:ind w:left="0"/>
        <w:rPr>
          <w:rFonts w:ascii="Arial" w:hAnsi="Arial" w:cs="Arial"/>
          <w:color w:val="000000"/>
          <w:lang w:val="es-AR"/>
        </w:rPr>
      </w:pPr>
      <w:r w:rsidRPr="00E15DF7">
        <w:rPr>
          <w:rFonts w:ascii="Arial" w:hAnsi="Arial" w:cs="Arial"/>
          <w:color w:val="000000"/>
          <w:lang w:val="es-AR"/>
        </w:rPr>
        <w:t>De todos modos, debe notarse que dicho aumento es solo consecuencia de que, definida la meta del déficit exógenamente a partir de los objetivos acordados con el FMI, el gasto corriente ajusta endógenamente para cumplir con aquélla. Es  decir que, si el gasto en el programa disminuye, alguna otra partida debe incrementarse necesariamente, lo que se refleja en este caso precisamente en el incremento del gasto corriente neto de los programas examinados en el presente documento.</w:t>
      </w:r>
    </w:p>
    <w:p w:rsidR="00F00621" w:rsidRPr="00E15DF7" w:rsidRDefault="00F00621" w:rsidP="003D629E">
      <w:pPr>
        <w:pStyle w:val="Caption"/>
        <w:keepNext/>
        <w:spacing w:line="240" w:lineRule="auto"/>
        <w:ind w:firstLine="0"/>
        <w:jc w:val="center"/>
        <w:rPr>
          <w:rFonts w:ascii="Arial" w:hAnsi="Arial" w:cs="Arial"/>
          <w:lang w:val="es-AR"/>
        </w:rPr>
      </w:pPr>
      <w:bookmarkStart w:id="13" w:name="_Ref447216417"/>
      <w:r w:rsidRPr="00E15DF7">
        <w:rPr>
          <w:rFonts w:ascii="Arial" w:hAnsi="Arial" w:cs="Arial"/>
          <w:lang w:val="es-AR"/>
        </w:rPr>
        <w:lastRenderedPageBreak/>
        <w:t xml:space="preserve">Cuadro </w:t>
      </w:r>
      <w:r w:rsidRPr="00E15DF7">
        <w:rPr>
          <w:rFonts w:ascii="Arial" w:hAnsi="Arial" w:cs="Arial"/>
        </w:rPr>
        <w:fldChar w:fldCharType="begin"/>
      </w:r>
      <w:r w:rsidRPr="00E15DF7">
        <w:rPr>
          <w:rFonts w:ascii="Arial" w:hAnsi="Arial" w:cs="Arial"/>
          <w:lang w:val="es-AR"/>
        </w:rPr>
        <w:instrText xml:space="preserve"> SEQ Cuadro \* ARABIC </w:instrText>
      </w:r>
      <w:r w:rsidRPr="00E15DF7">
        <w:rPr>
          <w:rFonts w:ascii="Arial" w:hAnsi="Arial" w:cs="Arial"/>
        </w:rPr>
        <w:fldChar w:fldCharType="separate"/>
      </w:r>
      <w:r w:rsidR="009C1E0D" w:rsidRPr="00E15DF7">
        <w:rPr>
          <w:rFonts w:ascii="Arial" w:hAnsi="Arial" w:cs="Arial"/>
          <w:noProof/>
          <w:lang w:val="es-AR"/>
        </w:rPr>
        <w:t>8</w:t>
      </w:r>
      <w:r w:rsidRPr="00E15DF7">
        <w:rPr>
          <w:rFonts w:ascii="Arial" w:hAnsi="Arial" w:cs="Arial"/>
        </w:rPr>
        <w:fldChar w:fldCharType="end"/>
      </w:r>
      <w:bookmarkEnd w:id="13"/>
      <w:r w:rsidRPr="00E15DF7">
        <w:rPr>
          <w:rFonts w:ascii="Arial" w:hAnsi="Arial" w:cs="Arial"/>
          <w:lang w:val="es-AR"/>
        </w:rPr>
        <w:t>: Proyecciones fiscales. Gobierno Central. Evolución exógena del déficit (Proyección FMI). Crecimiento 4%. Incremento gradual de la cantidad de beneficiarios.</w:t>
      </w:r>
    </w:p>
    <w:p w:rsidR="00F00621" w:rsidRDefault="00F00621" w:rsidP="00AA3706">
      <w:pPr>
        <w:pStyle w:val="Prrafodelista1"/>
        <w:spacing w:line="276" w:lineRule="auto"/>
        <w:ind w:left="0"/>
        <w:rPr>
          <w:rFonts w:cs="Calibri"/>
          <w:color w:val="000000"/>
          <w:sz w:val="26"/>
          <w:szCs w:val="26"/>
          <w:lang w:val="es-AR"/>
        </w:rPr>
      </w:pPr>
      <w:r w:rsidRPr="00F00621">
        <w:rPr>
          <w:noProof/>
          <w:lang w:val="en-US" w:eastAsia="en-US"/>
        </w:rPr>
        <w:drawing>
          <wp:inline distT="0" distB="0" distL="0" distR="0" wp14:anchorId="3F4D39CA" wp14:editId="10AECDB5">
            <wp:extent cx="5612130" cy="3051957"/>
            <wp:effectExtent l="0" t="0" r="7620"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612130" cy="3051957"/>
                    </a:xfrm>
                    <a:prstGeom prst="rect">
                      <a:avLst/>
                    </a:prstGeom>
                    <a:noFill/>
                    <a:ln>
                      <a:noFill/>
                    </a:ln>
                  </pic:spPr>
                </pic:pic>
              </a:graphicData>
            </a:graphic>
          </wp:inline>
        </w:drawing>
      </w:r>
    </w:p>
    <w:p w:rsidR="00D91B63" w:rsidRPr="00E15DF7" w:rsidRDefault="00D91B63" w:rsidP="00D91B63">
      <w:pPr>
        <w:pStyle w:val="Prrafodelista1"/>
        <w:spacing w:line="276" w:lineRule="auto"/>
        <w:ind w:left="0"/>
        <w:rPr>
          <w:rFonts w:ascii="Arial" w:hAnsi="Arial" w:cs="Arial"/>
          <w:color w:val="000000"/>
          <w:sz w:val="18"/>
          <w:lang w:val="es-AR"/>
        </w:rPr>
      </w:pPr>
      <w:r w:rsidRPr="00E15DF7">
        <w:rPr>
          <w:rFonts w:ascii="Arial" w:hAnsi="Arial" w:cs="Arial"/>
          <w:color w:val="000000"/>
          <w:sz w:val="18"/>
          <w:lang w:val="es-AR"/>
        </w:rPr>
        <w:t>Fuente: Elaboración propia en base a datos de SEFIN, SDIS y Secretaría de Salud</w:t>
      </w:r>
    </w:p>
    <w:p w:rsidR="005E7BFA" w:rsidRDefault="005E7BFA" w:rsidP="00AA3706">
      <w:pPr>
        <w:pStyle w:val="Prrafodelista1"/>
        <w:spacing w:line="276" w:lineRule="auto"/>
        <w:ind w:left="0"/>
        <w:rPr>
          <w:rFonts w:cs="Calibri"/>
          <w:color w:val="000000"/>
          <w:sz w:val="26"/>
          <w:szCs w:val="26"/>
          <w:lang w:val="es-AR"/>
        </w:rPr>
      </w:pPr>
    </w:p>
    <w:p w:rsidR="005E7BFA" w:rsidRDefault="005E7BFA" w:rsidP="00AA3706">
      <w:pPr>
        <w:pStyle w:val="Prrafodelista1"/>
        <w:spacing w:line="276" w:lineRule="auto"/>
        <w:ind w:left="0"/>
        <w:rPr>
          <w:rFonts w:cs="Calibri"/>
          <w:b/>
          <w:i/>
          <w:color w:val="000000"/>
          <w:sz w:val="26"/>
          <w:szCs w:val="26"/>
          <w:lang w:val="es-AR"/>
        </w:rPr>
      </w:pPr>
    </w:p>
    <w:p w:rsidR="0092543E" w:rsidRPr="00E15DF7" w:rsidRDefault="0092543E" w:rsidP="00AA3706">
      <w:pPr>
        <w:pStyle w:val="Prrafodelista1"/>
        <w:spacing w:line="276" w:lineRule="auto"/>
        <w:ind w:left="0"/>
        <w:rPr>
          <w:rFonts w:ascii="Arial" w:hAnsi="Arial" w:cs="Arial"/>
          <w:b/>
          <w:i/>
          <w:color w:val="000000"/>
          <w:lang w:val="es-AR"/>
        </w:rPr>
      </w:pPr>
      <w:r w:rsidRPr="00E15DF7">
        <w:rPr>
          <w:rFonts w:ascii="Arial" w:hAnsi="Arial" w:cs="Arial"/>
          <w:b/>
          <w:i/>
          <w:color w:val="000000"/>
          <w:lang w:val="es-AR"/>
        </w:rPr>
        <w:t>Segundo Escenario</w:t>
      </w:r>
    </w:p>
    <w:p w:rsidR="003F52E2" w:rsidRPr="00E15DF7" w:rsidRDefault="003F52E2" w:rsidP="00AA3706">
      <w:pPr>
        <w:pStyle w:val="Prrafodelista1"/>
        <w:spacing w:line="276" w:lineRule="auto"/>
        <w:ind w:left="0"/>
        <w:rPr>
          <w:rFonts w:ascii="Arial" w:hAnsi="Arial" w:cs="Arial"/>
          <w:color w:val="000000"/>
          <w:lang w:val="es-AR"/>
        </w:rPr>
      </w:pPr>
    </w:p>
    <w:p w:rsidR="000C6BDD" w:rsidRPr="00E15DF7" w:rsidRDefault="000C6BDD" w:rsidP="00AA3706">
      <w:pPr>
        <w:pStyle w:val="Prrafodelista1"/>
        <w:spacing w:line="276" w:lineRule="auto"/>
        <w:ind w:left="0"/>
        <w:rPr>
          <w:rFonts w:ascii="Arial" w:hAnsi="Arial" w:cs="Arial"/>
          <w:color w:val="000000"/>
          <w:lang w:val="es-AR"/>
        </w:rPr>
      </w:pPr>
      <w:r w:rsidRPr="00E15DF7">
        <w:rPr>
          <w:rFonts w:ascii="Arial" w:hAnsi="Arial" w:cs="Arial"/>
          <w:color w:val="000000"/>
          <w:lang w:val="es-AR"/>
        </w:rPr>
        <w:t xml:space="preserve">Ahora bien, tal cual </w:t>
      </w:r>
      <w:r w:rsidR="00D10C84" w:rsidRPr="00E15DF7">
        <w:rPr>
          <w:rFonts w:ascii="Arial" w:hAnsi="Arial" w:cs="Arial"/>
          <w:color w:val="000000"/>
          <w:lang w:val="es-AR"/>
        </w:rPr>
        <w:t>surge de la interpretación d</w:t>
      </w:r>
      <w:r w:rsidRPr="00E15DF7">
        <w:rPr>
          <w:rFonts w:ascii="Arial" w:hAnsi="Arial" w:cs="Arial"/>
          <w:color w:val="000000"/>
          <w:lang w:val="es-AR"/>
        </w:rPr>
        <w:t>el segundo escenario</w:t>
      </w:r>
      <w:r w:rsidR="00D764BA" w:rsidRPr="00E15DF7">
        <w:rPr>
          <w:rFonts w:ascii="Arial" w:hAnsi="Arial" w:cs="Arial"/>
          <w:color w:val="000000"/>
          <w:lang w:val="es-AR"/>
        </w:rPr>
        <w:t xml:space="preserve"> (</w:t>
      </w:r>
      <w:r w:rsidR="00FD12FF" w:rsidRPr="00E15DF7">
        <w:rPr>
          <w:rFonts w:ascii="Arial" w:hAnsi="Arial" w:cs="Arial"/>
          <w:color w:val="000000"/>
          <w:lang w:val="es-AR"/>
        </w:rPr>
        <w:fldChar w:fldCharType="begin"/>
      </w:r>
      <w:r w:rsidR="00FD12FF" w:rsidRPr="00E15DF7">
        <w:rPr>
          <w:rFonts w:ascii="Arial" w:hAnsi="Arial" w:cs="Arial"/>
          <w:color w:val="000000"/>
          <w:lang w:val="es-AR"/>
        </w:rPr>
        <w:instrText xml:space="preserve"> REF _Ref447053411 \h </w:instrText>
      </w:r>
      <w:r w:rsidR="00AA3706" w:rsidRPr="00E15DF7">
        <w:rPr>
          <w:rFonts w:ascii="Arial" w:hAnsi="Arial" w:cs="Arial"/>
          <w:color w:val="000000"/>
          <w:lang w:val="es-AR"/>
        </w:rPr>
        <w:instrText xml:space="preserve"> \* MERGEFORMAT </w:instrText>
      </w:r>
      <w:r w:rsidR="00FD12FF" w:rsidRPr="00E15DF7">
        <w:rPr>
          <w:rFonts w:ascii="Arial" w:hAnsi="Arial" w:cs="Arial"/>
          <w:color w:val="000000"/>
          <w:lang w:val="es-AR"/>
        </w:rPr>
      </w:r>
      <w:r w:rsidR="00FD12FF" w:rsidRPr="00E15DF7">
        <w:rPr>
          <w:rFonts w:ascii="Arial" w:hAnsi="Arial" w:cs="Arial"/>
          <w:color w:val="000000"/>
          <w:lang w:val="es-AR"/>
        </w:rPr>
        <w:fldChar w:fldCharType="separate"/>
      </w:r>
      <w:r w:rsidR="00487899" w:rsidRPr="00E15DF7">
        <w:rPr>
          <w:rFonts w:ascii="Arial" w:hAnsi="Arial" w:cs="Arial"/>
          <w:lang w:val="es-AR"/>
        </w:rPr>
        <w:t xml:space="preserve">Cuadro </w:t>
      </w:r>
      <w:r w:rsidR="00487899" w:rsidRPr="00E15DF7">
        <w:rPr>
          <w:rFonts w:ascii="Arial" w:hAnsi="Arial" w:cs="Arial"/>
          <w:noProof/>
          <w:lang w:val="es-AR"/>
        </w:rPr>
        <w:t>9</w:t>
      </w:r>
      <w:r w:rsidR="00FD12FF" w:rsidRPr="00E15DF7">
        <w:rPr>
          <w:rFonts w:ascii="Arial" w:hAnsi="Arial" w:cs="Arial"/>
          <w:color w:val="000000"/>
          <w:lang w:val="es-AR"/>
        </w:rPr>
        <w:fldChar w:fldCharType="end"/>
      </w:r>
      <w:r w:rsidR="00D764BA" w:rsidRPr="00E15DF7">
        <w:rPr>
          <w:rFonts w:ascii="Arial" w:hAnsi="Arial" w:cs="Arial"/>
          <w:color w:val="000000"/>
          <w:lang w:val="es-AR"/>
        </w:rPr>
        <w:t>)</w:t>
      </w:r>
      <w:r w:rsidRPr="00E15DF7">
        <w:rPr>
          <w:rFonts w:ascii="Arial" w:hAnsi="Arial" w:cs="Arial"/>
          <w:color w:val="000000"/>
          <w:lang w:val="es-AR"/>
        </w:rPr>
        <w:t xml:space="preserve">, la sostenibilidad del primer caso está dada por su misma definición. En </w:t>
      </w:r>
      <w:r w:rsidR="00D10C84" w:rsidRPr="00E15DF7">
        <w:rPr>
          <w:rFonts w:ascii="Arial" w:hAnsi="Arial" w:cs="Arial"/>
          <w:color w:val="000000"/>
          <w:lang w:val="es-AR"/>
        </w:rPr>
        <w:t>el segundo</w:t>
      </w:r>
      <w:r w:rsidRPr="00E15DF7">
        <w:rPr>
          <w:rFonts w:ascii="Arial" w:hAnsi="Arial" w:cs="Arial"/>
          <w:color w:val="000000"/>
          <w:lang w:val="es-AR"/>
        </w:rPr>
        <w:t xml:space="preserve"> escenario el déficit deja de ser exógeno. Lo que está determinado exógenamente es el nivel de gasto total </w:t>
      </w:r>
      <w:r w:rsidR="00D764BA" w:rsidRPr="00E15DF7">
        <w:rPr>
          <w:rFonts w:ascii="Arial" w:hAnsi="Arial" w:cs="Arial"/>
          <w:color w:val="000000"/>
          <w:lang w:val="es-AR"/>
        </w:rPr>
        <w:t>neto</w:t>
      </w:r>
      <w:r w:rsidRPr="00E15DF7">
        <w:rPr>
          <w:rFonts w:ascii="Arial" w:hAnsi="Arial" w:cs="Arial"/>
          <w:color w:val="000000"/>
          <w:lang w:val="es-AR"/>
        </w:rPr>
        <w:t xml:space="preserve"> de los programas an</w:t>
      </w:r>
      <w:r w:rsidR="00D764BA" w:rsidRPr="00E15DF7">
        <w:rPr>
          <w:rFonts w:ascii="Arial" w:hAnsi="Arial" w:cs="Arial"/>
          <w:color w:val="000000"/>
          <w:lang w:val="es-AR"/>
        </w:rPr>
        <w:t>alizados. En esta configuración</w:t>
      </w:r>
      <w:r w:rsidRPr="00E15DF7">
        <w:rPr>
          <w:rFonts w:ascii="Arial" w:hAnsi="Arial" w:cs="Arial"/>
          <w:color w:val="000000"/>
          <w:lang w:val="es-AR"/>
        </w:rPr>
        <w:t xml:space="preserve"> este componente del gasto crece a la misma tasa que el PBI. </w:t>
      </w:r>
      <w:r w:rsidR="00D10C84" w:rsidRPr="00E15DF7">
        <w:rPr>
          <w:rFonts w:ascii="Arial" w:hAnsi="Arial" w:cs="Arial"/>
          <w:color w:val="000000"/>
          <w:lang w:val="es-AR"/>
        </w:rPr>
        <w:t>De esta forma,</w:t>
      </w:r>
      <w:r w:rsidRPr="00E15DF7">
        <w:rPr>
          <w:rFonts w:ascii="Arial" w:hAnsi="Arial" w:cs="Arial"/>
          <w:color w:val="000000"/>
          <w:lang w:val="es-AR"/>
        </w:rPr>
        <w:t xml:space="preserve"> el nivel de gasto </w:t>
      </w:r>
      <w:r w:rsidR="00E938B7" w:rsidRPr="00E15DF7">
        <w:rPr>
          <w:rFonts w:ascii="Arial" w:hAnsi="Arial" w:cs="Arial"/>
          <w:color w:val="000000"/>
          <w:lang w:val="es-AR"/>
        </w:rPr>
        <w:t>se ubica casi en un</w:t>
      </w:r>
      <w:r w:rsidR="00E73C65" w:rsidRPr="00E15DF7">
        <w:rPr>
          <w:rFonts w:ascii="Arial" w:hAnsi="Arial" w:cs="Arial"/>
          <w:color w:val="000000"/>
          <w:lang w:val="es-AR"/>
        </w:rPr>
        <w:t xml:space="preserve"> 25% del PBI al final del período</w:t>
      </w:r>
      <w:r w:rsidRPr="00E15DF7">
        <w:rPr>
          <w:rFonts w:ascii="Arial" w:hAnsi="Arial" w:cs="Arial"/>
          <w:color w:val="000000"/>
          <w:lang w:val="es-AR"/>
        </w:rPr>
        <w:t xml:space="preserve"> y, por lo tanto, el nivel de déficit </w:t>
      </w:r>
      <w:r w:rsidR="00E938B7" w:rsidRPr="00E15DF7">
        <w:rPr>
          <w:rFonts w:ascii="Arial" w:hAnsi="Arial" w:cs="Arial"/>
          <w:color w:val="000000"/>
          <w:lang w:val="es-AR"/>
        </w:rPr>
        <w:t>se acerca</w:t>
      </w:r>
      <w:r w:rsidR="00D10C84" w:rsidRPr="00E15DF7">
        <w:rPr>
          <w:rFonts w:ascii="Arial" w:hAnsi="Arial" w:cs="Arial"/>
          <w:color w:val="000000"/>
          <w:lang w:val="es-AR"/>
        </w:rPr>
        <w:t xml:space="preserve"> al 6% del PBI.</w:t>
      </w:r>
      <w:r w:rsidRPr="00E15DF7">
        <w:rPr>
          <w:rFonts w:ascii="Arial" w:hAnsi="Arial" w:cs="Arial"/>
          <w:color w:val="000000"/>
          <w:lang w:val="es-AR"/>
        </w:rPr>
        <w:t xml:space="preserve"> </w:t>
      </w:r>
    </w:p>
    <w:p w:rsidR="0076614B" w:rsidRDefault="0076614B" w:rsidP="00AA3706">
      <w:pPr>
        <w:pStyle w:val="Prrafodelista1"/>
        <w:spacing w:line="276" w:lineRule="auto"/>
        <w:rPr>
          <w:rFonts w:ascii="Cambria" w:hAnsi="Cambria" w:cs="Cambria"/>
          <w:b/>
          <w:bCs/>
          <w:color w:val="4F81BD"/>
          <w:sz w:val="26"/>
          <w:szCs w:val="26"/>
          <w:lang w:val="es-AR"/>
        </w:rPr>
      </w:pPr>
    </w:p>
    <w:p w:rsidR="00CC7CCF" w:rsidRPr="00E15DF7" w:rsidRDefault="00CC7CCF" w:rsidP="003D629E">
      <w:pPr>
        <w:pStyle w:val="Caption"/>
        <w:keepNext/>
        <w:spacing w:line="276" w:lineRule="auto"/>
        <w:ind w:firstLine="0"/>
        <w:jc w:val="center"/>
        <w:rPr>
          <w:rFonts w:ascii="Arial" w:hAnsi="Arial" w:cs="Arial"/>
          <w:lang w:val="es-AR"/>
        </w:rPr>
      </w:pPr>
      <w:bookmarkStart w:id="14" w:name="_Ref447053411"/>
      <w:r w:rsidRPr="00E15DF7">
        <w:rPr>
          <w:rFonts w:ascii="Arial" w:hAnsi="Arial" w:cs="Arial"/>
          <w:lang w:val="es-AR"/>
        </w:rPr>
        <w:lastRenderedPageBreak/>
        <w:t xml:space="preserve">Cuadro </w:t>
      </w:r>
      <w:r w:rsidRPr="00E15DF7">
        <w:rPr>
          <w:rFonts w:ascii="Arial" w:hAnsi="Arial" w:cs="Arial"/>
        </w:rPr>
        <w:fldChar w:fldCharType="begin"/>
      </w:r>
      <w:r w:rsidRPr="00E15DF7">
        <w:rPr>
          <w:rFonts w:ascii="Arial" w:hAnsi="Arial" w:cs="Arial"/>
          <w:lang w:val="es-AR"/>
        </w:rPr>
        <w:instrText xml:space="preserve"> SEQ Cuadro \* ARABIC </w:instrText>
      </w:r>
      <w:r w:rsidRPr="00E15DF7">
        <w:rPr>
          <w:rFonts w:ascii="Arial" w:hAnsi="Arial" w:cs="Arial"/>
        </w:rPr>
        <w:fldChar w:fldCharType="separate"/>
      </w:r>
      <w:r w:rsidR="009C1E0D" w:rsidRPr="00E15DF7">
        <w:rPr>
          <w:rFonts w:ascii="Arial" w:hAnsi="Arial" w:cs="Arial"/>
          <w:noProof/>
          <w:lang w:val="es-AR"/>
        </w:rPr>
        <w:t>9</w:t>
      </w:r>
      <w:r w:rsidRPr="00E15DF7">
        <w:rPr>
          <w:rFonts w:ascii="Arial" w:hAnsi="Arial" w:cs="Arial"/>
        </w:rPr>
        <w:fldChar w:fldCharType="end"/>
      </w:r>
      <w:bookmarkEnd w:id="14"/>
      <w:r w:rsidRPr="00E15DF7">
        <w:rPr>
          <w:rFonts w:ascii="Arial" w:hAnsi="Arial" w:cs="Arial"/>
          <w:lang w:val="es-AR"/>
        </w:rPr>
        <w:t xml:space="preserve">: </w:t>
      </w:r>
      <w:r w:rsidR="00F72315" w:rsidRPr="00E15DF7">
        <w:rPr>
          <w:rFonts w:ascii="Arial" w:hAnsi="Arial" w:cs="Arial"/>
          <w:lang w:val="es-AR"/>
        </w:rPr>
        <w:t>Proyecciones fiscales. Gobierno Central. El crecimiento del gasto corriente sigue la evolución del PBI.</w:t>
      </w:r>
    </w:p>
    <w:p w:rsidR="0003652E" w:rsidRDefault="00FD4DBE" w:rsidP="00AA3706">
      <w:pPr>
        <w:pStyle w:val="Prrafodelista1"/>
        <w:spacing w:line="276" w:lineRule="auto"/>
        <w:ind w:left="0"/>
      </w:pPr>
      <w:r>
        <w:rPr>
          <w:noProof/>
          <w:lang w:val="en-US" w:eastAsia="en-US"/>
        </w:rPr>
        <w:drawing>
          <wp:inline distT="0" distB="0" distL="0" distR="0" wp14:anchorId="1D164BA2" wp14:editId="7B604623">
            <wp:extent cx="5600700" cy="3514725"/>
            <wp:effectExtent l="0" t="0" r="0" b="9525"/>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600700" cy="3514725"/>
                    </a:xfrm>
                    <a:prstGeom prst="rect">
                      <a:avLst/>
                    </a:prstGeom>
                    <a:noFill/>
                    <a:ln>
                      <a:noFill/>
                    </a:ln>
                  </pic:spPr>
                </pic:pic>
              </a:graphicData>
            </a:graphic>
          </wp:inline>
        </w:drawing>
      </w:r>
    </w:p>
    <w:p w:rsidR="006772BA" w:rsidRDefault="006772BA" w:rsidP="00AA3706">
      <w:pPr>
        <w:pStyle w:val="Prrafodelista1"/>
        <w:spacing w:line="276" w:lineRule="auto"/>
        <w:ind w:left="0"/>
      </w:pPr>
    </w:p>
    <w:p w:rsidR="00E938B7" w:rsidRPr="00E15DF7" w:rsidRDefault="00E938B7" w:rsidP="00AA3706">
      <w:pPr>
        <w:pStyle w:val="Prrafodelista1"/>
        <w:spacing w:line="276" w:lineRule="auto"/>
        <w:ind w:left="0"/>
        <w:rPr>
          <w:rFonts w:ascii="Arial" w:hAnsi="Arial" w:cs="Arial"/>
          <w:color w:val="000000"/>
          <w:sz w:val="18"/>
          <w:lang w:val="es-AR"/>
        </w:rPr>
      </w:pPr>
      <w:r w:rsidRPr="00E15DF7">
        <w:rPr>
          <w:rFonts w:ascii="Arial" w:hAnsi="Arial" w:cs="Arial"/>
          <w:color w:val="000000"/>
          <w:sz w:val="18"/>
          <w:lang w:val="es-AR"/>
        </w:rPr>
        <w:t>Fuente: Elaboración propia en base a datos de SEFIN, SDIS y Secretaría de Salud</w:t>
      </w:r>
    </w:p>
    <w:p w:rsidR="000D0E23" w:rsidRDefault="000D0E23" w:rsidP="00AA3706">
      <w:pPr>
        <w:pStyle w:val="Prrafodelista1"/>
        <w:spacing w:line="276" w:lineRule="auto"/>
        <w:ind w:left="0"/>
        <w:rPr>
          <w:rFonts w:cs="Calibri"/>
          <w:color w:val="000000"/>
          <w:lang w:val="es-AR"/>
        </w:rPr>
      </w:pPr>
    </w:p>
    <w:p w:rsidR="00FB5EB1" w:rsidRPr="00E15DF7" w:rsidRDefault="00FB5EB1" w:rsidP="00AA3706">
      <w:pPr>
        <w:pStyle w:val="Prrafodelista1"/>
        <w:spacing w:line="276" w:lineRule="auto"/>
        <w:ind w:left="0"/>
        <w:rPr>
          <w:rFonts w:ascii="Arial" w:hAnsi="Arial" w:cs="Arial"/>
          <w:color w:val="000000"/>
          <w:lang w:val="es-AR"/>
        </w:rPr>
      </w:pPr>
      <w:r w:rsidRPr="00E15DF7">
        <w:rPr>
          <w:rFonts w:ascii="Arial" w:hAnsi="Arial" w:cs="Arial"/>
          <w:color w:val="000000"/>
          <w:lang w:val="es-AR"/>
        </w:rPr>
        <w:t xml:space="preserve">El sendero que sigue el stock de deuda como consecuencia de esta configuración, no es sostenible en el largo plazo, lo cual se puede observar en el </w:t>
      </w:r>
      <w:r w:rsidRPr="00E15DF7">
        <w:rPr>
          <w:rFonts w:ascii="Arial" w:hAnsi="Arial" w:cs="Arial"/>
          <w:color w:val="000000"/>
          <w:lang w:val="es-AR"/>
        </w:rPr>
        <w:fldChar w:fldCharType="begin"/>
      </w:r>
      <w:r w:rsidRPr="00E15DF7">
        <w:rPr>
          <w:rFonts w:ascii="Arial" w:hAnsi="Arial" w:cs="Arial"/>
          <w:color w:val="000000"/>
          <w:lang w:val="es-AR"/>
        </w:rPr>
        <w:instrText xml:space="preserve"> REF _Ref446589016 \h </w:instrText>
      </w:r>
      <w:r w:rsidR="00AA3706" w:rsidRPr="00E15DF7">
        <w:rPr>
          <w:rFonts w:ascii="Arial" w:hAnsi="Arial" w:cs="Arial"/>
          <w:color w:val="000000"/>
          <w:lang w:val="es-AR"/>
        </w:rPr>
        <w:instrText xml:space="preserve"> \* MERGEFORMAT </w:instrText>
      </w:r>
      <w:r w:rsidRPr="00E15DF7">
        <w:rPr>
          <w:rFonts w:ascii="Arial" w:hAnsi="Arial" w:cs="Arial"/>
          <w:color w:val="000000"/>
          <w:lang w:val="es-AR"/>
        </w:rPr>
      </w:r>
      <w:r w:rsidRPr="00E15DF7">
        <w:rPr>
          <w:rFonts w:ascii="Arial" w:hAnsi="Arial" w:cs="Arial"/>
          <w:color w:val="000000"/>
          <w:lang w:val="es-AR"/>
        </w:rPr>
        <w:fldChar w:fldCharType="separate"/>
      </w:r>
      <w:r w:rsidRPr="00E15DF7">
        <w:rPr>
          <w:rFonts w:ascii="Arial" w:hAnsi="Arial" w:cs="Arial"/>
          <w:lang w:val="es-AR"/>
        </w:rPr>
        <w:t xml:space="preserve">Gráfico </w:t>
      </w:r>
      <w:r w:rsidRPr="00E15DF7">
        <w:rPr>
          <w:rFonts w:ascii="Arial" w:hAnsi="Arial" w:cs="Arial"/>
          <w:noProof/>
          <w:lang w:val="es-AR"/>
        </w:rPr>
        <w:t>1</w:t>
      </w:r>
      <w:r w:rsidRPr="00E15DF7">
        <w:rPr>
          <w:rFonts w:ascii="Arial" w:hAnsi="Arial" w:cs="Arial"/>
          <w:color w:val="000000"/>
          <w:lang w:val="es-AR"/>
        </w:rPr>
        <w:fldChar w:fldCharType="end"/>
      </w:r>
      <w:r w:rsidRPr="00E15DF7">
        <w:rPr>
          <w:rFonts w:ascii="Arial" w:hAnsi="Arial" w:cs="Arial"/>
          <w:color w:val="000000"/>
          <w:lang w:val="es-AR"/>
        </w:rPr>
        <w:t xml:space="preserve">. Este resultado permite reinterpretar los valores del primer escenario. La diferencia entre los niveles de gasto corriente entre una situación donde el nivel de gasto se adecua a las metas de déficit y otra en la que el gasto sigue una dinámica asociada al producto, indica básicamente la magnitud del espacio fiscal necesario. </w:t>
      </w:r>
    </w:p>
    <w:p w:rsidR="00FB5EB1" w:rsidRPr="00E15DF7" w:rsidRDefault="00FB5EB1" w:rsidP="00AA3706">
      <w:pPr>
        <w:pStyle w:val="Prrafodelista1"/>
        <w:spacing w:line="276" w:lineRule="auto"/>
        <w:ind w:left="0"/>
        <w:rPr>
          <w:rFonts w:ascii="Arial" w:hAnsi="Arial" w:cs="Arial"/>
          <w:color w:val="000000"/>
          <w:lang w:val="es-AR"/>
        </w:rPr>
      </w:pPr>
    </w:p>
    <w:p w:rsidR="000D0E23" w:rsidRPr="00E15DF7" w:rsidRDefault="000D0E23" w:rsidP="003D629E">
      <w:pPr>
        <w:pStyle w:val="Caption"/>
        <w:keepNext/>
        <w:spacing w:line="276" w:lineRule="auto"/>
        <w:ind w:firstLine="0"/>
        <w:jc w:val="center"/>
        <w:rPr>
          <w:rFonts w:ascii="Arial" w:hAnsi="Arial" w:cs="Arial"/>
          <w:lang w:val="es-AR"/>
        </w:rPr>
      </w:pPr>
      <w:bookmarkStart w:id="15" w:name="_Ref447016072"/>
      <w:r w:rsidRPr="00E15DF7">
        <w:rPr>
          <w:rFonts w:ascii="Arial" w:hAnsi="Arial" w:cs="Arial"/>
          <w:lang w:val="es-AR"/>
        </w:rPr>
        <w:lastRenderedPageBreak/>
        <w:t xml:space="preserve">Gráfico </w:t>
      </w:r>
      <w:r w:rsidRPr="00E15DF7">
        <w:rPr>
          <w:rFonts w:ascii="Arial" w:hAnsi="Arial" w:cs="Arial"/>
        </w:rPr>
        <w:fldChar w:fldCharType="begin"/>
      </w:r>
      <w:r w:rsidRPr="00E15DF7">
        <w:rPr>
          <w:rFonts w:ascii="Arial" w:hAnsi="Arial" w:cs="Arial"/>
          <w:lang w:val="es-AR"/>
        </w:rPr>
        <w:instrText xml:space="preserve"> SEQ Gráfico \* ARABIC </w:instrText>
      </w:r>
      <w:r w:rsidRPr="00E15DF7">
        <w:rPr>
          <w:rFonts w:ascii="Arial" w:hAnsi="Arial" w:cs="Arial"/>
        </w:rPr>
        <w:fldChar w:fldCharType="separate"/>
      </w:r>
      <w:r w:rsidR="00F97D55" w:rsidRPr="00E15DF7">
        <w:rPr>
          <w:rFonts w:ascii="Arial" w:hAnsi="Arial" w:cs="Arial"/>
          <w:noProof/>
          <w:lang w:val="es-AR"/>
        </w:rPr>
        <w:t>8</w:t>
      </w:r>
      <w:r w:rsidRPr="00E15DF7">
        <w:rPr>
          <w:rFonts w:ascii="Arial" w:hAnsi="Arial" w:cs="Arial"/>
        </w:rPr>
        <w:fldChar w:fldCharType="end"/>
      </w:r>
      <w:bookmarkEnd w:id="15"/>
      <w:r w:rsidRPr="00E15DF7">
        <w:rPr>
          <w:rFonts w:ascii="Arial" w:hAnsi="Arial" w:cs="Arial"/>
          <w:lang w:val="es-AR"/>
        </w:rPr>
        <w:t>: Proyección de la Evolución de la Deuda Externa y Deuda Total</w:t>
      </w:r>
      <w:r w:rsidR="004322A2" w:rsidRPr="00E15DF7">
        <w:rPr>
          <w:rFonts w:ascii="Arial" w:hAnsi="Arial" w:cs="Arial"/>
          <w:lang w:val="es-AR"/>
        </w:rPr>
        <w:t xml:space="preserve"> 2015-2025</w:t>
      </w:r>
      <w:r w:rsidRPr="00E15DF7">
        <w:rPr>
          <w:rFonts w:ascii="Arial" w:hAnsi="Arial" w:cs="Arial"/>
          <w:lang w:val="es-AR"/>
        </w:rPr>
        <w:t xml:space="preserve"> (</w:t>
      </w:r>
      <w:r w:rsidR="004322A2" w:rsidRPr="00E15DF7">
        <w:rPr>
          <w:rFonts w:ascii="Arial" w:hAnsi="Arial" w:cs="Arial"/>
          <w:lang w:val="es-AR"/>
        </w:rPr>
        <w:t>como % PBI)</w:t>
      </w:r>
    </w:p>
    <w:p w:rsidR="000D0E23" w:rsidRDefault="00FD4DBE" w:rsidP="003D629E">
      <w:pPr>
        <w:pStyle w:val="Prrafodelista1"/>
        <w:spacing w:line="276" w:lineRule="auto"/>
        <w:ind w:left="0"/>
        <w:jc w:val="center"/>
        <w:rPr>
          <w:rFonts w:cs="Calibri"/>
          <w:color w:val="000000"/>
          <w:lang w:val="es-AR"/>
        </w:rPr>
      </w:pPr>
      <w:r>
        <w:rPr>
          <w:noProof/>
          <w:lang w:val="en-US" w:eastAsia="en-US"/>
        </w:rPr>
        <w:drawing>
          <wp:inline distT="0" distB="0" distL="0" distR="0" wp14:anchorId="376FA713" wp14:editId="51694F34">
            <wp:extent cx="4610100" cy="3209925"/>
            <wp:effectExtent l="0" t="0" r="0" b="9525"/>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610100" cy="3209925"/>
                    </a:xfrm>
                    <a:prstGeom prst="rect">
                      <a:avLst/>
                    </a:prstGeom>
                    <a:noFill/>
                    <a:ln>
                      <a:noFill/>
                    </a:ln>
                  </pic:spPr>
                </pic:pic>
              </a:graphicData>
            </a:graphic>
          </wp:inline>
        </w:drawing>
      </w:r>
    </w:p>
    <w:p w:rsidR="00E938B7" w:rsidRPr="00E15DF7" w:rsidRDefault="00E938B7" w:rsidP="00AA3706">
      <w:pPr>
        <w:pStyle w:val="Prrafodelista1"/>
        <w:spacing w:line="276" w:lineRule="auto"/>
        <w:ind w:left="0"/>
        <w:rPr>
          <w:rFonts w:ascii="Arial" w:hAnsi="Arial" w:cs="Arial"/>
          <w:color w:val="000000"/>
          <w:sz w:val="18"/>
          <w:lang w:val="es-AR"/>
        </w:rPr>
      </w:pPr>
      <w:r w:rsidRPr="00E15DF7">
        <w:rPr>
          <w:rFonts w:ascii="Arial" w:hAnsi="Arial" w:cs="Arial"/>
          <w:color w:val="000000"/>
          <w:sz w:val="18"/>
          <w:lang w:val="es-AR"/>
        </w:rPr>
        <w:t>Fuente: Elaboración propia en base a datos de SEFIN, SDIS y Secretaría de Salud</w:t>
      </w:r>
    </w:p>
    <w:p w:rsidR="000D0E23" w:rsidRDefault="000D0E23" w:rsidP="00AA3706">
      <w:pPr>
        <w:pStyle w:val="Prrafodelista1"/>
        <w:spacing w:line="276" w:lineRule="auto"/>
        <w:ind w:left="0"/>
        <w:rPr>
          <w:rFonts w:cs="Calibri"/>
          <w:color w:val="000000"/>
          <w:lang w:val="es-AR"/>
        </w:rPr>
      </w:pPr>
    </w:p>
    <w:p w:rsidR="000C6BDD" w:rsidRPr="00E15DF7" w:rsidRDefault="000C6BDD" w:rsidP="00AA3706">
      <w:pPr>
        <w:pStyle w:val="Prrafodelista1"/>
        <w:spacing w:line="276" w:lineRule="auto"/>
        <w:ind w:left="0"/>
        <w:rPr>
          <w:rFonts w:ascii="Arial" w:hAnsi="Arial" w:cs="Arial"/>
          <w:lang w:val="es-AR"/>
        </w:rPr>
      </w:pPr>
      <w:r w:rsidRPr="00E15DF7">
        <w:rPr>
          <w:rFonts w:ascii="Arial" w:hAnsi="Arial" w:cs="Arial"/>
          <w:color w:val="000000"/>
          <w:lang w:val="es-AR"/>
        </w:rPr>
        <w:t>Esta diferencia en el nivel se ilustra en el</w:t>
      </w:r>
      <w:r w:rsidR="00876B50" w:rsidRPr="00E15DF7">
        <w:rPr>
          <w:rFonts w:ascii="Arial" w:hAnsi="Arial" w:cs="Arial"/>
          <w:color w:val="000000"/>
          <w:lang w:val="es-AR"/>
        </w:rPr>
        <w:t xml:space="preserve"> </w:t>
      </w:r>
      <w:r w:rsidR="00876B50" w:rsidRPr="00E15DF7">
        <w:rPr>
          <w:rFonts w:ascii="Arial" w:hAnsi="Arial" w:cs="Arial"/>
          <w:color w:val="000000"/>
          <w:lang w:val="es-AR"/>
        </w:rPr>
        <w:fldChar w:fldCharType="begin"/>
      </w:r>
      <w:r w:rsidR="00876B50" w:rsidRPr="00E15DF7">
        <w:rPr>
          <w:rFonts w:ascii="Arial" w:hAnsi="Arial" w:cs="Arial"/>
          <w:color w:val="000000"/>
          <w:lang w:val="es-AR"/>
        </w:rPr>
        <w:instrText xml:space="preserve"> REF _Ref446595463 \h </w:instrText>
      </w:r>
      <w:r w:rsidR="00AA3706" w:rsidRPr="00E15DF7">
        <w:rPr>
          <w:rFonts w:ascii="Arial" w:hAnsi="Arial" w:cs="Arial"/>
          <w:color w:val="000000"/>
          <w:lang w:val="es-AR"/>
        </w:rPr>
        <w:instrText xml:space="preserve"> \* MERGEFORMAT </w:instrText>
      </w:r>
      <w:r w:rsidR="00876B50" w:rsidRPr="00E15DF7">
        <w:rPr>
          <w:rFonts w:ascii="Arial" w:hAnsi="Arial" w:cs="Arial"/>
          <w:color w:val="000000"/>
          <w:lang w:val="es-AR"/>
        </w:rPr>
      </w:r>
      <w:r w:rsidR="00876B50" w:rsidRPr="00E15DF7">
        <w:rPr>
          <w:rFonts w:ascii="Arial" w:hAnsi="Arial" w:cs="Arial"/>
          <w:color w:val="000000"/>
          <w:lang w:val="es-AR"/>
        </w:rPr>
        <w:fldChar w:fldCharType="separate"/>
      </w:r>
      <w:r w:rsidR="00876B50" w:rsidRPr="00E15DF7">
        <w:rPr>
          <w:rFonts w:ascii="Arial" w:hAnsi="Arial" w:cs="Arial"/>
          <w:lang w:val="es-AR"/>
        </w:rPr>
        <w:t xml:space="preserve">Gráfico </w:t>
      </w:r>
      <w:r w:rsidR="00876B50" w:rsidRPr="00E15DF7">
        <w:rPr>
          <w:rFonts w:ascii="Arial" w:hAnsi="Arial" w:cs="Arial"/>
          <w:noProof/>
          <w:lang w:val="es-AR"/>
        </w:rPr>
        <w:t>2</w:t>
      </w:r>
      <w:r w:rsidR="00876B50" w:rsidRPr="00E15DF7">
        <w:rPr>
          <w:rFonts w:ascii="Arial" w:hAnsi="Arial" w:cs="Arial"/>
          <w:color w:val="000000"/>
          <w:lang w:val="es-AR"/>
        </w:rPr>
        <w:fldChar w:fldCharType="end"/>
      </w:r>
      <w:r w:rsidRPr="00E15DF7">
        <w:rPr>
          <w:rFonts w:ascii="Arial" w:hAnsi="Arial" w:cs="Arial"/>
          <w:color w:val="000000"/>
          <w:lang w:val="es-AR"/>
        </w:rPr>
        <w:t>.</w:t>
      </w:r>
      <w:r w:rsidR="00876B50" w:rsidRPr="00E15DF7">
        <w:rPr>
          <w:rFonts w:ascii="Arial" w:hAnsi="Arial" w:cs="Arial"/>
          <w:color w:val="000000"/>
          <w:lang w:val="es-AR"/>
        </w:rPr>
        <w:t xml:space="preserve"> En él se puede observar que el gasto corriente disponible para cubrir todas las obligaciones de la Administración Nacional, adicionales a los dos  analizados,  tiene que bajar en términos del PBI para cumplir con la meta del déficit. Esta caída es obviamente mayor bajo el supuesto de un </w:t>
      </w:r>
      <w:r w:rsidR="00C32D19" w:rsidRPr="00E15DF7">
        <w:rPr>
          <w:rFonts w:ascii="Arial" w:hAnsi="Arial" w:cs="Arial"/>
          <w:color w:val="000000"/>
          <w:lang w:val="es-AR"/>
        </w:rPr>
        <w:t xml:space="preserve">crecimiento anual del PBI de 2%. Debe considerarse que la tendencia decreciente del gasto corriente no se explica solamente por la evolución del gasto total, sino también por un incremento relativo del gasto de capital de la Administración Central. </w:t>
      </w:r>
      <w:r w:rsidR="00CF5D1D" w:rsidRPr="00E15DF7">
        <w:rPr>
          <w:rFonts w:ascii="Arial" w:hAnsi="Arial" w:cs="Arial"/>
          <w:color w:val="000000"/>
          <w:lang w:val="es-AR"/>
        </w:rPr>
        <w:t>Este redireccionamiento del gasto público es</w:t>
      </w:r>
      <w:r w:rsidR="00E77C5E" w:rsidRPr="00E15DF7">
        <w:rPr>
          <w:rFonts w:ascii="Arial" w:hAnsi="Arial" w:cs="Arial"/>
          <w:color w:val="000000"/>
          <w:lang w:val="es-AR"/>
        </w:rPr>
        <w:t>,</w:t>
      </w:r>
      <w:r w:rsidR="00CF5D1D" w:rsidRPr="00E15DF7">
        <w:rPr>
          <w:rFonts w:ascii="Arial" w:hAnsi="Arial" w:cs="Arial"/>
          <w:color w:val="000000"/>
          <w:lang w:val="es-AR"/>
        </w:rPr>
        <w:t xml:space="preserve"> tal cual se observa en el </w:t>
      </w:r>
      <w:r w:rsidR="00CF5D1D" w:rsidRPr="00E15DF7">
        <w:rPr>
          <w:rFonts w:ascii="Arial" w:hAnsi="Arial" w:cs="Arial"/>
          <w:color w:val="000000"/>
          <w:lang w:val="es-AR"/>
        </w:rPr>
        <w:fldChar w:fldCharType="begin"/>
      </w:r>
      <w:r w:rsidR="00CF5D1D" w:rsidRPr="00E15DF7">
        <w:rPr>
          <w:rFonts w:ascii="Arial" w:hAnsi="Arial" w:cs="Arial"/>
          <w:color w:val="000000"/>
          <w:lang w:val="es-AR"/>
        </w:rPr>
        <w:instrText xml:space="preserve"> REF _Ref446600983 \h </w:instrText>
      </w:r>
      <w:r w:rsidR="00AA3706" w:rsidRPr="00E15DF7">
        <w:rPr>
          <w:rFonts w:ascii="Arial" w:hAnsi="Arial" w:cs="Arial"/>
          <w:color w:val="000000"/>
          <w:lang w:val="es-AR"/>
        </w:rPr>
        <w:instrText xml:space="preserve"> \* MERGEFORMAT </w:instrText>
      </w:r>
      <w:r w:rsidR="00CF5D1D" w:rsidRPr="00E15DF7">
        <w:rPr>
          <w:rFonts w:ascii="Arial" w:hAnsi="Arial" w:cs="Arial"/>
          <w:color w:val="000000"/>
          <w:lang w:val="es-AR"/>
        </w:rPr>
      </w:r>
      <w:r w:rsidR="00CF5D1D" w:rsidRPr="00E15DF7">
        <w:rPr>
          <w:rFonts w:ascii="Arial" w:hAnsi="Arial" w:cs="Arial"/>
          <w:color w:val="000000"/>
          <w:lang w:val="es-AR"/>
        </w:rPr>
        <w:fldChar w:fldCharType="separate"/>
      </w:r>
      <w:r w:rsidR="00CF5D1D" w:rsidRPr="00E15DF7">
        <w:rPr>
          <w:rFonts w:ascii="Arial" w:hAnsi="Arial" w:cs="Arial"/>
          <w:lang w:val="es-AR"/>
        </w:rPr>
        <w:t xml:space="preserve">Cuadro </w:t>
      </w:r>
      <w:r w:rsidR="00CF5D1D" w:rsidRPr="00E15DF7">
        <w:rPr>
          <w:rFonts w:ascii="Arial" w:hAnsi="Arial" w:cs="Arial"/>
          <w:noProof/>
          <w:lang w:val="es-AR"/>
        </w:rPr>
        <w:t>1</w:t>
      </w:r>
      <w:r w:rsidR="00CF5D1D" w:rsidRPr="00E15DF7">
        <w:rPr>
          <w:rFonts w:ascii="Arial" w:hAnsi="Arial" w:cs="Arial"/>
          <w:color w:val="000000"/>
          <w:lang w:val="es-AR"/>
        </w:rPr>
        <w:fldChar w:fldCharType="end"/>
      </w:r>
      <w:r w:rsidR="00E77C5E" w:rsidRPr="00E15DF7">
        <w:rPr>
          <w:rFonts w:ascii="Arial" w:hAnsi="Arial" w:cs="Arial"/>
          <w:color w:val="000000"/>
          <w:lang w:val="es-AR"/>
        </w:rPr>
        <w:t>, considerable</w:t>
      </w:r>
      <w:r w:rsidR="00CF5D1D" w:rsidRPr="00E15DF7">
        <w:rPr>
          <w:rFonts w:ascii="Arial" w:hAnsi="Arial" w:cs="Arial"/>
          <w:color w:val="000000"/>
          <w:lang w:val="es-AR"/>
        </w:rPr>
        <w:t xml:space="preserve"> y consiste en un desafío</w:t>
      </w:r>
      <w:r w:rsidR="000D0CB5" w:rsidRPr="00E15DF7">
        <w:rPr>
          <w:rFonts w:ascii="Arial" w:hAnsi="Arial" w:cs="Arial"/>
          <w:color w:val="000000"/>
          <w:lang w:val="es-AR"/>
        </w:rPr>
        <w:t xml:space="preserve"> importante</w:t>
      </w:r>
      <w:r w:rsidR="00CF5D1D" w:rsidRPr="00E15DF7">
        <w:rPr>
          <w:rFonts w:ascii="Arial" w:hAnsi="Arial" w:cs="Arial"/>
          <w:color w:val="000000"/>
          <w:lang w:val="es-AR"/>
        </w:rPr>
        <w:t xml:space="preserve"> para el GoH poder implementarlo con éxito. </w:t>
      </w:r>
      <w:r w:rsidR="00E77C5E" w:rsidRPr="00E15DF7">
        <w:rPr>
          <w:rFonts w:ascii="Arial" w:hAnsi="Arial" w:cs="Arial"/>
          <w:color w:val="000000"/>
          <w:lang w:val="es-AR"/>
        </w:rPr>
        <w:t>Cabe aclarar que en términos de Lempiras constantes el gasto corriente se vería poco afectado salvo en un escenario de crecimiento</w:t>
      </w:r>
      <w:r w:rsidR="00E56734" w:rsidRPr="00E15DF7">
        <w:rPr>
          <w:rFonts w:ascii="Arial" w:hAnsi="Arial" w:cs="Arial"/>
          <w:color w:val="000000"/>
          <w:lang w:val="es-AR"/>
        </w:rPr>
        <w:t xml:space="preserve"> pesimista</w:t>
      </w:r>
      <w:r w:rsidR="00E77C5E" w:rsidRPr="00E15DF7">
        <w:rPr>
          <w:rFonts w:ascii="Arial" w:hAnsi="Arial" w:cs="Arial"/>
          <w:color w:val="000000"/>
          <w:lang w:val="es-AR"/>
        </w:rPr>
        <w:t xml:space="preserve"> del 2%.</w:t>
      </w:r>
    </w:p>
    <w:p w:rsidR="007645E3" w:rsidRPr="00876B50" w:rsidRDefault="000C6BDD" w:rsidP="00AA3706">
      <w:pPr>
        <w:spacing w:line="276" w:lineRule="auto"/>
        <w:ind w:firstLine="0"/>
        <w:rPr>
          <w:lang w:val="es-AR"/>
        </w:rPr>
      </w:pPr>
      <w:r>
        <w:rPr>
          <w:rFonts w:ascii="Cambria" w:hAnsi="Cambria" w:cs="Cambria"/>
          <w:b/>
          <w:bCs/>
          <w:color w:val="000000"/>
          <w:sz w:val="24"/>
          <w:szCs w:val="26"/>
          <w:lang w:val="es-AR"/>
        </w:rPr>
        <w:t xml:space="preserve"> </w:t>
      </w:r>
    </w:p>
    <w:p w:rsidR="007645E3" w:rsidRPr="00E15DF7" w:rsidRDefault="007645E3" w:rsidP="003D629E">
      <w:pPr>
        <w:pStyle w:val="Caption"/>
        <w:keepNext/>
        <w:spacing w:line="276" w:lineRule="auto"/>
        <w:ind w:firstLine="0"/>
        <w:jc w:val="center"/>
        <w:rPr>
          <w:rFonts w:ascii="Arial" w:hAnsi="Arial" w:cs="Arial"/>
          <w:lang w:val="es-AR"/>
        </w:rPr>
      </w:pPr>
      <w:bookmarkStart w:id="16" w:name="_Ref446595463"/>
      <w:r w:rsidRPr="00E15DF7">
        <w:rPr>
          <w:rFonts w:ascii="Arial" w:hAnsi="Arial" w:cs="Arial"/>
          <w:lang w:val="es-AR"/>
        </w:rPr>
        <w:lastRenderedPageBreak/>
        <w:t xml:space="preserve">Gráfico </w:t>
      </w:r>
      <w:r w:rsidRPr="00E15DF7">
        <w:rPr>
          <w:rFonts w:ascii="Arial" w:hAnsi="Arial" w:cs="Arial"/>
        </w:rPr>
        <w:fldChar w:fldCharType="begin"/>
      </w:r>
      <w:r w:rsidRPr="00E15DF7">
        <w:rPr>
          <w:rFonts w:ascii="Arial" w:hAnsi="Arial" w:cs="Arial"/>
          <w:lang w:val="es-AR"/>
        </w:rPr>
        <w:instrText xml:space="preserve"> SEQ Gráfico \* ARABIC </w:instrText>
      </w:r>
      <w:r w:rsidRPr="00E15DF7">
        <w:rPr>
          <w:rFonts w:ascii="Arial" w:hAnsi="Arial" w:cs="Arial"/>
        </w:rPr>
        <w:fldChar w:fldCharType="separate"/>
      </w:r>
      <w:r w:rsidR="00F97D55" w:rsidRPr="00E15DF7">
        <w:rPr>
          <w:rFonts w:ascii="Arial" w:hAnsi="Arial" w:cs="Arial"/>
          <w:noProof/>
          <w:lang w:val="es-AR"/>
        </w:rPr>
        <w:t>9</w:t>
      </w:r>
      <w:r w:rsidRPr="00E15DF7">
        <w:rPr>
          <w:rFonts w:ascii="Arial" w:hAnsi="Arial" w:cs="Arial"/>
        </w:rPr>
        <w:fldChar w:fldCharType="end"/>
      </w:r>
      <w:bookmarkEnd w:id="16"/>
      <w:r w:rsidRPr="00E15DF7">
        <w:rPr>
          <w:rFonts w:ascii="Arial" w:hAnsi="Arial" w:cs="Arial"/>
          <w:lang w:val="es-AR"/>
        </w:rPr>
        <w:t>: Proyección de la evolución del gasto corriente neto de BVM y PGDS compatible con la meta de déficit</w:t>
      </w:r>
    </w:p>
    <w:p w:rsidR="000C6BDD" w:rsidRPr="00833956" w:rsidRDefault="00FD4DBE" w:rsidP="003D629E">
      <w:pPr>
        <w:spacing w:line="276" w:lineRule="auto"/>
        <w:ind w:firstLine="0"/>
        <w:jc w:val="center"/>
        <w:rPr>
          <w:rFonts w:ascii="Cambria" w:hAnsi="Cambria" w:cs="Cambria"/>
          <w:b/>
          <w:bCs/>
          <w:color w:val="000000"/>
          <w:sz w:val="26"/>
          <w:szCs w:val="26"/>
          <w:lang w:val="es-AR"/>
        </w:rPr>
      </w:pPr>
      <w:r>
        <w:rPr>
          <w:noProof/>
          <w:lang w:val="en-US" w:eastAsia="en-US"/>
        </w:rPr>
        <w:drawing>
          <wp:inline distT="0" distB="0" distL="0" distR="0" wp14:anchorId="50106CC9" wp14:editId="212A2E44">
            <wp:extent cx="5000625" cy="3619500"/>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000625" cy="3619500"/>
                    </a:xfrm>
                    <a:prstGeom prst="rect">
                      <a:avLst/>
                    </a:prstGeom>
                    <a:noFill/>
                    <a:ln>
                      <a:noFill/>
                    </a:ln>
                  </pic:spPr>
                </pic:pic>
              </a:graphicData>
            </a:graphic>
          </wp:inline>
        </w:drawing>
      </w:r>
    </w:p>
    <w:p w:rsidR="00E938B7" w:rsidRPr="00E15DF7" w:rsidRDefault="00E938B7" w:rsidP="00AA3706">
      <w:pPr>
        <w:pStyle w:val="Prrafodelista1"/>
        <w:spacing w:line="276" w:lineRule="auto"/>
        <w:ind w:left="0"/>
        <w:rPr>
          <w:rFonts w:ascii="Arial" w:hAnsi="Arial" w:cs="Arial"/>
          <w:color w:val="000000"/>
          <w:sz w:val="18"/>
          <w:lang w:val="es-AR"/>
        </w:rPr>
      </w:pPr>
      <w:r w:rsidRPr="00E15DF7">
        <w:rPr>
          <w:rFonts w:ascii="Arial" w:hAnsi="Arial" w:cs="Arial"/>
          <w:color w:val="000000"/>
          <w:sz w:val="18"/>
          <w:lang w:val="es-AR"/>
        </w:rPr>
        <w:t>Fuente: Elaboración propia en base a datos de SEFIN, SDIS y Secretaría de Salud</w:t>
      </w:r>
    </w:p>
    <w:p w:rsidR="000C6BDD" w:rsidRPr="00E15DF7" w:rsidRDefault="000C6BDD" w:rsidP="00AA3706">
      <w:pPr>
        <w:spacing w:line="276" w:lineRule="auto"/>
        <w:ind w:firstLine="0"/>
        <w:rPr>
          <w:rFonts w:ascii="Arial" w:hAnsi="Arial" w:cs="Arial"/>
          <w:b/>
          <w:bCs/>
          <w:color w:val="000000"/>
          <w:sz w:val="26"/>
          <w:szCs w:val="26"/>
          <w:lang w:val="es-AR"/>
        </w:rPr>
      </w:pPr>
    </w:p>
    <w:p w:rsidR="0028212B" w:rsidRPr="00E15DF7" w:rsidRDefault="0028212B" w:rsidP="00AA3706">
      <w:pPr>
        <w:pStyle w:val="Prrafodelista1"/>
        <w:spacing w:line="276" w:lineRule="auto"/>
        <w:ind w:left="0"/>
        <w:rPr>
          <w:rFonts w:ascii="Arial" w:hAnsi="Arial" w:cs="Arial"/>
          <w:lang w:val="es-AR"/>
        </w:rPr>
      </w:pPr>
      <w:r w:rsidRPr="00E15DF7">
        <w:rPr>
          <w:rFonts w:ascii="Arial" w:hAnsi="Arial" w:cs="Arial"/>
          <w:color w:val="000000"/>
          <w:lang w:val="es-AR"/>
        </w:rPr>
        <w:t xml:space="preserve">Teniendo en cuenta el carácter fungible de los fondos que financian al sector público de Honduras, resulta </w:t>
      </w:r>
      <w:r w:rsidRPr="00E15DF7">
        <w:rPr>
          <w:rFonts w:ascii="Arial" w:hAnsi="Arial" w:cs="Arial"/>
          <w:lang w:val="es-AR"/>
        </w:rPr>
        <w:t xml:space="preserve">útil </w:t>
      </w:r>
      <w:r w:rsidR="005C3683" w:rsidRPr="00E15DF7">
        <w:rPr>
          <w:rFonts w:ascii="Arial" w:hAnsi="Arial" w:cs="Arial"/>
          <w:lang w:val="es-AR"/>
        </w:rPr>
        <w:t xml:space="preserve">comparar la evolución del gasto en los programas analizados contra el déficit que se presenta en los distintos escenarios propuestos. De esta manera, bajo el supuesto, que se adopta a fines ilustrativos, de que la totalidad del costo de estos programas se financiara con </w:t>
      </w:r>
      <w:r w:rsidR="0034792F" w:rsidRPr="00E15DF7">
        <w:rPr>
          <w:rFonts w:ascii="Arial" w:hAnsi="Arial" w:cs="Arial"/>
          <w:lang w:val="es-AR"/>
        </w:rPr>
        <w:t>deuda</w:t>
      </w:r>
      <w:r w:rsidR="005C3683" w:rsidRPr="00E15DF7">
        <w:rPr>
          <w:rFonts w:ascii="Arial" w:hAnsi="Arial" w:cs="Arial"/>
          <w:lang w:val="es-AR"/>
        </w:rPr>
        <w:t xml:space="preserve">, es posible obtener una magnitud relativa del mismo en relación a la totalidad del incremento de la deuda. El </w:t>
      </w:r>
      <w:r w:rsidR="001357A2" w:rsidRPr="00E15DF7">
        <w:rPr>
          <w:rFonts w:ascii="Arial" w:hAnsi="Arial" w:cs="Arial"/>
          <w:lang w:val="es-AR"/>
        </w:rPr>
        <w:fldChar w:fldCharType="begin"/>
      </w:r>
      <w:r w:rsidR="001357A2" w:rsidRPr="00E15DF7">
        <w:rPr>
          <w:rFonts w:ascii="Arial" w:hAnsi="Arial" w:cs="Arial"/>
          <w:lang w:val="es-AR"/>
        </w:rPr>
        <w:instrText xml:space="preserve"> REF _Ref447017759 \h </w:instrText>
      </w:r>
      <w:r w:rsidR="00AA3706" w:rsidRPr="00E15DF7">
        <w:rPr>
          <w:rFonts w:ascii="Arial" w:hAnsi="Arial" w:cs="Arial"/>
          <w:lang w:val="es-AR"/>
        </w:rPr>
        <w:instrText xml:space="preserve"> \* MERGEFORMAT </w:instrText>
      </w:r>
      <w:r w:rsidR="001357A2" w:rsidRPr="00E15DF7">
        <w:rPr>
          <w:rFonts w:ascii="Arial" w:hAnsi="Arial" w:cs="Arial"/>
          <w:lang w:val="es-AR"/>
        </w:rPr>
      </w:r>
      <w:r w:rsidR="001357A2" w:rsidRPr="00E15DF7">
        <w:rPr>
          <w:rFonts w:ascii="Arial" w:hAnsi="Arial" w:cs="Arial"/>
          <w:lang w:val="es-AR"/>
        </w:rPr>
        <w:fldChar w:fldCharType="separate"/>
      </w:r>
      <w:r w:rsidR="001357A2" w:rsidRPr="00E15DF7">
        <w:rPr>
          <w:rFonts w:ascii="Arial" w:hAnsi="Arial" w:cs="Arial"/>
          <w:lang w:val="es-AR"/>
        </w:rPr>
        <w:t xml:space="preserve">Gráfico </w:t>
      </w:r>
      <w:r w:rsidR="001357A2" w:rsidRPr="00E15DF7">
        <w:rPr>
          <w:rFonts w:ascii="Arial" w:hAnsi="Arial" w:cs="Arial"/>
          <w:noProof/>
          <w:lang w:val="es-AR"/>
        </w:rPr>
        <w:t>10</w:t>
      </w:r>
      <w:r w:rsidR="001357A2" w:rsidRPr="00E15DF7">
        <w:rPr>
          <w:rFonts w:ascii="Arial" w:hAnsi="Arial" w:cs="Arial"/>
          <w:lang w:val="es-AR"/>
        </w:rPr>
        <w:fldChar w:fldCharType="end"/>
      </w:r>
      <w:r w:rsidR="001357A2" w:rsidRPr="00E15DF7">
        <w:rPr>
          <w:rFonts w:ascii="Arial" w:hAnsi="Arial" w:cs="Arial"/>
          <w:lang w:val="es-AR"/>
        </w:rPr>
        <w:t xml:space="preserve"> </w:t>
      </w:r>
      <w:r w:rsidR="005C3683" w:rsidRPr="00E15DF7">
        <w:rPr>
          <w:rFonts w:ascii="Arial" w:hAnsi="Arial" w:cs="Arial"/>
          <w:lang w:val="es-AR"/>
        </w:rPr>
        <w:t xml:space="preserve">ilustra este ejercicio. En él se puede apreciar que </w:t>
      </w:r>
      <w:r w:rsidR="00B72DC3" w:rsidRPr="00E15DF7">
        <w:rPr>
          <w:rFonts w:ascii="Arial" w:hAnsi="Arial" w:cs="Arial"/>
          <w:lang w:val="es-AR"/>
        </w:rPr>
        <w:t xml:space="preserve">el único caso en que el monto total de estos programas </w:t>
      </w:r>
      <w:r w:rsidR="0008726C" w:rsidRPr="00E15DF7">
        <w:rPr>
          <w:rFonts w:ascii="Arial" w:hAnsi="Arial" w:cs="Arial"/>
          <w:lang w:val="es-AR"/>
        </w:rPr>
        <w:t>representa más del 15% del déficit total, es en el Escenario 1. Ahora bien, en este escenario el nivel de déficit es sostenible. En los casos en que el déficit no es sostenible, su evolución está signada mayormente por la dinámica del resto del gasto corriente</w:t>
      </w:r>
      <w:r w:rsidR="00865529" w:rsidRPr="00E15DF7">
        <w:rPr>
          <w:rFonts w:ascii="Arial" w:hAnsi="Arial" w:cs="Arial"/>
          <w:lang w:val="es-AR"/>
        </w:rPr>
        <w:t xml:space="preserve"> y la importancia del BVM y PGDS decrece, toda vez que se incrementan a un ritmo menor que el del crecimiento del PBI</w:t>
      </w:r>
      <w:r w:rsidR="0008726C" w:rsidRPr="00E15DF7">
        <w:rPr>
          <w:rFonts w:ascii="Arial" w:hAnsi="Arial" w:cs="Arial"/>
          <w:lang w:val="es-AR"/>
        </w:rPr>
        <w:t>.</w:t>
      </w:r>
      <w:r w:rsidR="001357A2" w:rsidRPr="00E15DF7">
        <w:rPr>
          <w:rFonts w:ascii="Arial" w:hAnsi="Arial" w:cs="Arial"/>
          <w:lang w:val="es-AR"/>
        </w:rPr>
        <w:t xml:space="preserve"> El gráfico también permite observar que el impacto de la diferencia de tasa de interés por el financiamiento de uno o dos años mediante préstamos BID vs. mercado de capitales, no tiene un impacto significativo en el largo plazo.</w:t>
      </w:r>
    </w:p>
    <w:p w:rsidR="0028212B" w:rsidRPr="0028212B" w:rsidRDefault="0028212B" w:rsidP="00AA3706">
      <w:pPr>
        <w:pStyle w:val="Prrafodelista1"/>
        <w:spacing w:line="276" w:lineRule="auto"/>
        <w:ind w:left="0"/>
        <w:rPr>
          <w:lang w:val="es-AR"/>
        </w:rPr>
      </w:pPr>
    </w:p>
    <w:p w:rsidR="0028212B" w:rsidRPr="00E15DF7" w:rsidRDefault="0028212B" w:rsidP="003D629E">
      <w:pPr>
        <w:pStyle w:val="Caption"/>
        <w:keepNext/>
        <w:spacing w:line="276" w:lineRule="auto"/>
        <w:ind w:firstLine="0"/>
        <w:jc w:val="center"/>
        <w:rPr>
          <w:rFonts w:ascii="Arial" w:hAnsi="Arial" w:cs="Arial"/>
          <w:lang w:val="es-AR"/>
        </w:rPr>
      </w:pPr>
      <w:bookmarkStart w:id="17" w:name="_Ref447017759"/>
      <w:r w:rsidRPr="00E15DF7">
        <w:rPr>
          <w:rFonts w:ascii="Arial" w:hAnsi="Arial" w:cs="Arial"/>
          <w:lang w:val="es-AR"/>
        </w:rPr>
        <w:lastRenderedPageBreak/>
        <w:t xml:space="preserve">Gráfico </w:t>
      </w:r>
      <w:r w:rsidRPr="00E15DF7">
        <w:rPr>
          <w:rFonts w:ascii="Arial" w:hAnsi="Arial" w:cs="Arial"/>
        </w:rPr>
        <w:fldChar w:fldCharType="begin"/>
      </w:r>
      <w:r w:rsidRPr="00E15DF7">
        <w:rPr>
          <w:rFonts w:ascii="Arial" w:hAnsi="Arial" w:cs="Arial"/>
          <w:lang w:val="es-AR"/>
        </w:rPr>
        <w:instrText xml:space="preserve"> SEQ Gráfico \* ARABIC </w:instrText>
      </w:r>
      <w:r w:rsidRPr="00E15DF7">
        <w:rPr>
          <w:rFonts w:ascii="Arial" w:hAnsi="Arial" w:cs="Arial"/>
        </w:rPr>
        <w:fldChar w:fldCharType="separate"/>
      </w:r>
      <w:r w:rsidR="00F97D55" w:rsidRPr="00E15DF7">
        <w:rPr>
          <w:rFonts w:ascii="Arial" w:hAnsi="Arial" w:cs="Arial"/>
          <w:noProof/>
          <w:lang w:val="es-AR"/>
        </w:rPr>
        <w:t>10</w:t>
      </w:r>
      <w:r w:rsidRPr="00E15DF7">
        <w:rPr>
          <w:rFonts w:ascii="Arial" w:hAnsi="Arial" w:cs="Arial"/>
        </w:rPr>
        <w:fldChar w:fldCharType="end"/>
      </w:r>
      <w:bookmarkEnd w:id="17"/>
      <w:r w:rsidRPr="00E15DF7">
        <w:rPr>
          <w:rFonts w:ascii="Arial" w:hAnsi="Arial" w:cs="Arial"/>
          <w:lang w:val="es-AR"/>
        </w:rPr>
        <w:t>: Proyección de la evolución del gasto en los programas analizados como % del déficit de la Administración Central</w:t>
      </w:r>
    </w:p>
    <w:p w:rsidR="000C6BDD" w:rsidRDefault="00FD4DBE" w:rsidP="003D629E">
      <w:pPr>
        <w:pStyle w:val="Prrafodelista1"/>
        <w:spacing w:line="276" w:lineRule="auto"/>
        <w:ind w:left="0"/>
        <w:jc w:val="center"/>
        <w:rPr>
          <w:rFonts w:ascii="Cambria" w:hAnsi="Cambria" w:cs="Cambria"/>
          <w:b/>
          <w:bCs/>
          <w:color w:val="000000"/>
          <w:sz w:val="24"/>
          <w:szCs w:val="26"/>
          <w:lang w:val="es-AR"/>
        </w:rPr>
      </w:pPr>
      <w:r>
        <w:rPr>
          <w:noProof/>
          <w:lang w:val="en-US" w:eastAsia="en-US"/>
        </w:rPr>
        <w:drawing>
          <wp:inline distT="0" distB="0" distL="0" distR="0" wp14:anchorId="6A3DB8F9" wp14:editId="5CEE133A">
            <wp:extent cx="5019675" cy="3371850"/>
            <wp:effectExtent l="0" t="0" r="9525"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019675" cy="3371850"/>
                    </a:xfrm>
                    <a:prstGeom prst="rect">
                      <a:avLst/>
                    </a:prstGeom>
                    <a:noFill/>
                    <a:ln>
                      <a:noFill/>
                    </a:ln>
                  </pic:spPr>
                </pic:pic>
              </a:graphicData>
            </a:graphic>
          </wp:inline>
        </w:drawing>
      </w:r>
    </w:p>
    <w:p w:rsidR="00E938B7" w:rsidRPr="00E15DF7" w:rsidRDefault="00E938B7" w:rsidP="00AA3706">
      <w:pPr>
        <w:pStyle w:val="Prrafodelista1"/>
        <w:spacing w:line="276" w:lineRule="auto"/>
        <w:ind w:left="0"/>
        <w:rPr>
          <w:rFonts w:ascii="Arial" w:hAnsi="Arial" w:cs="Arial"/>
          <w:color w:val="000000"/>
          <w:sz w:val="18"/>
          <w:lang w:val="es-AR"/>
        </w:rPr>
      </w:pPr>
      <w:r w:rsidRPr="00E15DF7">
        <w:rPr>
          <w:rFonts w:ascii="Arial" w:hAnsi="Arial" w:cs="Arial"/>
          <w:color w:val="000000"/>
          <w:sz w:val="18"/>
          <w:lang w:val="es-AR"/>
        </w:rPr>
        <w:t>Fuente: Elaboración propia en base a datos de SEFIN, SDIS y Secretaría de Salud</w:t>
      </w:r>
    </w:p>
    <w:p w:rsidR="000C6BDD" w:rsidRPr="00833956" w:rsidRDefault="000C6BDD" w:rsidP="00AA3706">
      <w:pPr>
        <w:spacing w:line="276" w:lineRule="auto"/>
        <w:ind w:firstLine="0"/>
        <w:rPr>
          <w:lang w:val="es-AR"/>
        </w:rPr>
      </w:pPr>
    </w:p>
    <w:p w:rsidR="000C6BDD" w:rsidRPr="00E15DF7" w:rsidRDefault="008D7B54" w:rsidP="00AA3706">
      <w:pPr>
        <w:spacing w:line="276" w:lineRule="auto"/>
        <w:ind w:firstLine="0"/>
        <w:rPr>
          <w:rFonts w:ascii="Arial" w:hAnsi="Arial" w:cs="Arial"/>
          <w:lang w:val="es-AR"/>
        </w:rPr>
      </w:pPr>
      <w:r w:rsidRPr="00E15DF7">
        <w:rPr>
          <w:rFonts w:ascii="Arial" w:hAnsi="Arial" w:cs="Arial"/>
          <w:lang w:val="es-AR"/>
        </w:rPr>
        <w:t>El análisis presentado de la sostenibilidad fiscal del BVM y</w:t>
      </w:r>
      <w:r w:rsidR="00865529" w:rsidRPr="00E15DF7">
        <w:rPr>
          <w:rFonts w:ascii="Arial" w:hAnsi="Arial" w:cs="Arial"/>
          <w:lang w:val="es-AR"/>
        </w:rPr>
        <w:t xml:space="preserve"> del</w:t>
      </w:r>
      <w:r w:rsidRPr="00E15DF7">
        <w:rPr>
          <w:rFonts w:ascii="Arial" w:hAnsi="Arial" w:cs="Arial"/>
          <w:lang w:val="es-AR"/>
        </w:rPr>
        <w:t xml:space="preserve"> PGDS, permite arribar a dos conclusiones. En primer lugar, </w:t>
      </w:r>
      <w:r w:rsidR="00400FDA" w:rsidRPr="00E15DF7">
        <w:rPr>
          <w:rFonts w:ascii="Arial" w:hAnsi="Arial" w:cs="Arial"/>
          <w:lang w:val="es-AR"/>
        </w:rPr>
        <w:t>que el peso de las políticas estudiadas a la hora de explicar el déficit es, si bien relevante, menor.</w:t>
      </w:r>
      <w:r w:rsidR="00865529" w:rsidRPr="00E15DF7">
        <w:rPr>
          <w:rFonts w:ascii="Arial" w:hAnsi="Arial" w:cs="Arial"/>
          <w:lang w:val="es-AR"/>
        </w:rPr>
        <w:t xml:space="preserve"> En segundo lugar, que la ampliación de la cobertura de ambos programas que pretende impulsar el GoH tendrá lugar en un contexto de reducción del gasto corriente. Esta reducción no se registrará en términos de lempiras corrientes – de hecho en el </w:t>
      </w:r>
      <w:r w:rsidR="00865529" w:rsidRPr="00E15DF7">
        <w:rPr>
          <w:rFonts w:ascii="Arial" w:hAnsi="Arial" w:cs="Arial"/>
          <w:lang w:val="es-AR"/>
        </w:rPr>
        <w:fldChar w:fldCharType="begin"/>
      </w:r>
      <w:r w:rsidR="00865529" w:rsidRPr="00E15DF7">
        <w:rPr>
          <w:rFonts w:ascii="Arial" w:hAnsi="Arial" w:cs="Arial"/>
          <w:lang w:val="es-AR"/>
        </w:rPr>
        <w:instrText xml:space="preserve"> REF _Ref446595463 \h </w:instrText>
      </w:r>
      <w:r w:rsidR="00AA3706" w:rsidRPr="00E15DF7">
        <w:rPr>
          <w:rFonts w:ascii="Arial" w:hAnsi="Arial" w:cs="Arial"/>
          <w:lang w:val="es-AR"/>
        </w:rPr>
        <w:instrText xml:space="preserve"> \* MERGEFORMAT </w:instrText>
      </w:r>
      <w:r w:rsidR="00865529" w:rsidRPr="00E15DF7">
        <w:rPr>
          <w:rFonts w:ascii="Arial" w:hAnsi="Arial" w:cs="Arial"/>
          <w:lang w:val="es-AR"/>
        </w:rPr>
      </w:r>
      <w:r w:rsidR="00865529" w:rsidRPr="00E15DF7">
        <w:rPr>
          <w:rFonts w:ascii="Arial" w:hAnsi="Arial" w:cs="Arial"/>
          <w:lang w:val="es-AR"/>
        </w:rPr>
        <w:fldChar w:fldCharType="separate"/>
      </w:r>
      <w:r w:rsidR="00865529" w:rsidRPr="00E15DF7">
        <w:rPr>
          <w:rFonts w:ascii="Arial" w:hAnsi="Arial" w:cs="Arial"/>
          <w:lang w:val="es-AR"/>
        </w:rPr>
        <w:t xml:space="preserve">Gráfico </w:t>
      </w:r>
      <w:r w:rsidR="00865529" w:rsidRPr="00E15DF7">
        <w:rPr>
          <w:rFonts w:ascii="Arial" w:hAnsi="Arial" w:cs="Arial"/>
          <w:noProof/>
          <w:lang w:val="es-AR"/>
        </w:rPr>
        <w:t>2</w:t>
      </w:r>
      <w:r w:rsidR="00865529" w:rsidRPr="00E15DF7">
        <w:rPr>
          <w:rFonts w:ascii="Arial" w:hAnsi="Arial" w:cs="Arial"/>
          <w:lang w:val="es-AR"/>
        </w:rPr>
        <w:fldChar w:fldCharType="end"/>
      </w:r>
      <w:r w:rsidR="00865529" w:rsidRPr="00E15DF7">
        <w:rPr>
          <w:rFonts w:ascii="Arial" w:hAnsi="Arial" w:cs="Arial"/>
          <w:lang w:val="es-AR"/>
        </w:rPr>
        <w:t xml:space="preserve"> se observaba que crece – pero sí como porcentaje del PBI.</w:t>
      </w:r>
      <w:r w:rsidR="00057BFE" w:rsidRPr="00E15DF7">
        <w:rPr>
          <w:rFonts w:ascii="Arial" w:hAnsi="Arial" w:cs="Arial"/>
          <w:lang w:val="es-AR"/>
        </w:rPr>
        <w:t xml:space="preserve"> Por lo tanto, implicará una reducción del gasto que se destina a otras intervenciones de política pública.</w:t>
      </w:r>
    </w:p>
    <w:p w:rsidR="00B22AE6" w:rsidRPr="00E15DF7" w:rsidRDefault="00786725" w:rsidP="00AA3706">
      <w:pPr>
        <w:pStyle w:val="Heading2"/>
        <w:pageBreakBefore/>
        <w:numPr>
          <w:ilvl w:val="0"/>
          <w:numId w:val="0"/>
        </w:numPr>
        <w:spacing w:line="276" w:lineRule="auto"/>
        <w:rPr>
          <w:rFonts w:ascii="Arial" w:hAnsi="Arial" w:cs="Arial"/>
          <w:sz w:val="22"/>
          <w:szCs w:val="22"/>
          <w:lang w:val="es-AR"/>
        </w:rPr>
      </w:pPr>
      <w:r w:rsidRPr="00E15DF7">
        <w:rPr>
          <w:rFonts w:ascii="Arial" w:hAnsi="Arial" w:cs="Arial"/>
          <w:sz w:val="22"/>
          <w:szCs w:val="22"/>
          <w:lang w:val="es-AR"/>
        </w:rPr>
        <w:lastRenderedPageBreak/>
        <w:t xml:space="preserve">III. </w:t>
      </w:r>
      <w:r w:rsidR="00B22AE6" w:rsidRPr="00E15DF7">
        <w:rPr>
          <w:rFonts w:ascii="Arial" w:hAnsi="Arial" w:cs="Arial"/>
          <w:sz w:val="22"/>
          <w:szCs w:val="22"/>
          <w:lang w:val="es-AR"/>
        </w:rPr>
        <w:t>PERSPECTIVAS PARA LA EJECUCIÓN DEL  BVM Y PGDS</w:t>
      </w:r>
    </w:p>
    <w:p w:rsidR="00DC111C" w:rsidRPr="00E15DF7" w:rsidRDefault="00DC111C" w:rsidP="00AA3706">
      <w:pPr>
        <w:pStyle w:val="BodyText"/>
        <w:spacing w:line="276" w:lineRule="auto"/>
        <w:ind w:firstLine="0"/>
        <w:rPr>
          <w:rFonts w:ascii="Arial" w:hAnsi="Arial" w:cs="Arial"/>
          <w:lang w:val="es-AR"/>
        </w:rPr>
      </w:pPr>
    </w:p>
    <w:p w:rsidR="00DC111C" w:rsidRPr="00E15DF7" w:rsidRDefault="00F249D9" w:rsidP="00AA3706">
      <w:pPr>
        <w:pStyle w:val="BodyText"/>
        <w:spacing w:line="276" w:lineRule="auto"/>
        <w:ind w:firstLine="0"/>
        <w:rPr>
          <w:rFonts w:ascii="Arial" w:hAnsi="Arial" w:cs="Arial"/>
          <w:lang w:val="es-AR"/>
        </w:rPr>
      </w:pPr>
      <w:r w:rsidRPr="00E15DF7">
        <w:rPr>
          <w:rFonts w:ascii="Arial" w:hAnsi="Arial" w:cs="Arial"/>
          <w:lang w:val="es-AR"/>
        </w:rPr>
        <w:t>La sección anterior sugiere que</w:t>
      </w:r>
      <w:r w:rsidR="00035C9B" w:rsidRPr="00E15DF7">
        <w:rPr>
          <w:rFonts w:ascii="Arial" w:hAnsi="Arial" w:cs="Arial"/>
          <w:lang w:val="es-AR"/>
        </w:rPr>
        <w:t xml:space="preserve"> para alcanzar las metas acordadas con el FMI, debe existir un</w:t>
      </w:r>
      <w:r w:rsidRPr="00E15DF7">
        <w:rPr>
          <w:rFonts w:ascii="Arial" w:hAnsi="Arial" w:cs="Arial"/>
          <w:lang w:val="es-AR"/>
        </w:rPr>
        <w:t xml:space="preserve"> ajuste</w:t>
      </w:r>
      <w:r w:rsidR="00035C9B" w:rsidRPr="00E15DF7">
        <w:rPr>
          <w:rFonts w:ascii="Arial" w:hAnsi="Arial" w:cs="Arial"/>
          <w:lang w:val="es-AR"/>
        </w:rPr>
        <w:t xml:space="preserve"> del gasto corriente</w:t>
      </w:r>
      <w:r w:rsidRPr="00E15DF7">
        <w:rPr>
          <w:rFonts w:ascii="Arial" w:hAnsi="Arial" w:cs="Arial"/>
          <w:lang w:val="es-AR"/>
        </w:rPr>
        <w:t xml:space="preserve"> </w:t>
      </w:r>
      <w:r w:rsidR="00035C9B" w:rsidRPr="00E15DF7">
        <w:rPr>
          <w:rFonts w:ascii="Arial" w:hAnsi="Arial" w:cs="Arial"/>
          <w:lang w:val="es-AR"/>
        </w:rPr>
        <w:t xml:space="preserve">no </w:t>
      </w:r>
      <w:r w:rsidRPr="00E15DF7">
        <w:rPr>
          <w:rFonts w:ascii="Arial" w:hAnsi="Arial" w:cs="Arial"/>
          <w:lang w:val="es-AR"/>
        </w:rPr>
        <w:t>en términos nominales</w:t>
      </w:r>
      <w:r w:rsidR="00035C9B" w:rsidRPr="00E15DF7">
        <w:rPr>
          <w:rFonts w:ascii="Arial" w:hAnsi="Arial" w:cs="Arial"/>
          <w:lang w:val="es-AR"/>
        </w:rPr>
        <w:t>, pero sí en términos</w:t>
      </w:r>
      <w:r w:rsidRPr="00E15DF7">
        <w:rPr>
          <w:rFonts w:ascii="Arial" w:hAnsi="Arial" w:cs="Arial"/>
          <w:lang w:val="es-AR"/>
        </w:rPr>
        <w:t xml:space="preserve"> reales y del PBI.</w:t>
      </w:r>
      <w:r w:rsidR="00035C9B" w:rsidRPr="00E15DF7">
        <w:rPr>
          <w:rFonts w:ascii="Arial" w:hAnsi="Arial" w:cs="Arial"/>
          <w:lang w:val="es-AR"/>
        </w:rPr>
        <w:t xml:space="preserve"> Esto implica que debe existir un cambio en el destino del gasto para poder financiar la expansión del BVM y el PGDS.</w:t>
      </w:r>
      <w:r w:rsidRPr="00E15DF7">
        <w:rPr>
          <w:rFonts w:ascii="Arial" w:hAnsi="Arial" w:cs="Arial"/>
          <w:lang w:val="es-AR"/>
        </w:rPr>
        <w:t xml:space="preserve"> La decisión de</w:t>
      </w:r>
      <w:r w:rsidR="003F52E2" w:rsidRPr="00E15DF7">
        <w:rPr>
          <w:rFonts w:ascii="Arial" w:hAnsi="Arial" w:cs="Arial"/>
          <w:lang w:val="es-AR"/>
        </w:rPr>
        <w:t xml:space="preserve"> redirigir el</w:t>
      </w:r>
      <w:r w:rsidRPr="00E15DF7">
        <w:rPr>
          <w:rFonts w:ascii="Arial" w:hAnsi="Arial" w:cs="Arial"/>
          <w:lang w:val="es-AR"/>
        </w:rPr>
        <w:t xml:space="preserve"> gasto es una decisión política. </w:t>
      </w:r>
      <w:r w:rsidR="00035C9B" w:rsidRPr="00E15DF7">
        <w:rPr>
          <w:rFonts w:ascii="Arial" w:hAnsi="Arial" w:cs="Arial"/>
          <w:lang w:val="es-AR"/>
        </w:rPr>
        <w:t>Si bien existe una porción del gasto que es rígido debido a los contratos que lo sustentan (</w:t>
      </w:r>
      <w:r w:rsidRPr="00E15DF7">
        <w:rPr>
          <w:rFonts w:ascii="Arial" w:hAnsi="Arial" w:cs="Arial"/>
          <w:lang w:val="es-AR"/>
        </w:rPr>
        <w:t xml:space="preserve">contratos laborales, de </w:t>
      </w:r>
      <w:r w:rsidR="00035C9B" w:rsidRPr="00E15DF7">
        <w:rPr>
          <w:rFonts w:ascii="Arial" w:hAnsi="Arial" w:cs="Arial"/>
          <w:lang w:val="es-AR"/>
        </w:rPr>
        <w:t xml:space="preserve">endeudamiento o </w:t>
      </w:r>
      <w:r w:rsidRPr="00E15DF7">
        <w:rPr>
          <w:rFonts w:ascii="Arial" w:hAnsi="Arial" w:cs="Arial"/>
          <w:lang w:val="es-AR"/>
        </w:rPr>
        <w:t>previsionales</w:t>
      </w:r>
      <w:r w:rsidR="00035C9B" w:rsidRPr="00E15DF7">
        <w:rPr>
          <w:rFonts w:ascii="Arial" w:hAnsi="Arial" w:cs="Arial"/>
          <w:lang w:val="es-AR"/>
        </w:rPr>
        <w:t xml:space="preserve">) existe una porción del gasto que puede ser </w:t>
      </w:r>
      <w:r w:rsidR="003F52E2" w:rsidRPr="00E15DF7">
        <w:rPr>
          <w:rFonts w:ascii="Arial" w:hAnsi="Arial" w:cs="Arial"/>
          <w:lang w:val="es-AR"/>
        </w:rPr>
        <w:t>redirigida</w:t>
      </w:r>
      <w:r w:rsidR="00035C9B" w:rsidRPr="00E15DF7">
        <w:rPr>
          <w:rFonts w:ascii="Arial" w:hAnsi="Arial" w:cs="Arial"/>
          <w:lang w:val="es-AR"/>
        </w:rPr>
        <w:t>.</w:t>
      </w:r>
    </w:p>
    <w:p w:rsidR="00F249D9" w:rsidRPr="00E15DF7" w:rsidRDefault="00F249D9" w:rsidP="00AA3706">
      <w:pPr>
        <w:pStyle w:val="BodyText"/>
        <w:spacing w:line="276" w:lineRule="auto"/>
        <w:ind w:firstLine="0"/>
        <w:rPr>
          <w:rFonts w:ascii="Arial" w:hAnsi="Arial" w:cs="Arial"/>
          <w:lang w:val="es-AR"/>
        </w:rPr>
      </w:pPr>
      <w:r w:rsidRPr="00E15DF7">
        <w:rPr>
          <w:rFonts w:ascii="Arial" w:hAnsi="Arial" w:cs="Arial"/>
          <w:lang w:val="es-AR"/>
        </w:rPr>
        <w:t>En esta sección se pretende</w:t>
      </w:r>
      <w:r w:rsidR="0059204C" w:rsidRPr="00E15DF7">
        <w:rPr>
          <w:rFonts w:ascii="Arial" w:hAnsi="Arial" w:cs="Arial"/>
          <w:lang w:val="es-AR"/>
        </w:rPr>
        <w:t xml:space="preserve"> analizar la factibilidad de que el GoH pueda generar el espacio fiscal necesario para el financiamiento de los programas. Para ello, </w:t>
      </w:r>
      <w:r w:rsidR="0034792F" w:rsidRPr="00E15DF7">
        <w:rPr>
          <w:rFonts w:ascii="Arial" w:hAnsi="Arial" w:cs="Arial"/>
          <w:lang w:val="es-AR"/>
        </w:rPr>
        <w:t xml:space="preserve">se </w:t>
      </w:r>
      <w:r w:rsidR="0059204C" w:rsidRPr="00E15DF7">
        <w:rPr>
          <w:rFonts w:ascii="Arial" w:hAnsi="Arial" w:cs="Arial"/>
          <w:lang w:val="es-AR"/>
        </w:rPr>
        <w:t>pondrá el foco sobre la información presupuestaria de tres jurisdicciones. En primer lugar, la Secretaría de Salud y la Secretaría de Desarrollo e Inclusión Social ya que bajo su órbita funcionan ambos programas. En segundo lugar, sobre el Fideicomiso Vida Mejor/Fondo de</w:t>
      </w:r>
      <w:r w:rsidR="009124DF" w:rsidRPr="00E15DF7">
        <w:rPr>
          <w:rFonts w:ascii="Arial" w:hAnsi="Arial" w:cs="Arial"/>
          <w:lang w:val="es-AR"/>
        </w:rPr>
        <w:t xml:space="preserve"> Solidaridad y</w:t>
      </w:r>
      <w:r w:rsidR="0059204C" w:rsidRPr="00E15DF7">
        <w:rPr>
          <w:rFonts w:ascii="Arial" w:hAnsi="Arial" w:cs="Arial"/>
          <w:lang w:val="es-AR"/>
        </w:rPr>
        <w:t xml:space="preserve"> Protección Social ya que su principal objetivo es financiar políticas sociales.</w:t>
      </w:r>
    </w:p>
    <w:p w:rsidR="00166E2E" w:rsidRDefault="00166E2E" w:rsidP="00AA3706">
      <w:pPr>
        <w:pStyle w:val="Caption"/>
        <w:keepNext/>
        <w:spacing w:line="276" w:lineRule="auto"/>
        <w:ind w:firstLine="0"/>
        <w:rPr>
          <w:lang w:val="es-AR"/>
        </w:rPr>
      </w:pPr>
      <w:bookmarkStart w:id="18" w:name="_Ref446612980"/>
    </w:p>
    <w:p w:rsidR="003F2D74" w:rsidRPr="00E15DF7" w:rsidRDefault="003F2D74" w:rsidP="003D629E">
      <w:pPr>
        <w:pStyle w:val="Caption"/>
        <w:keepNext/>
        <w:spacing w:line="276" w:lineRule="auto"/>
        <w:ind w:firstLine="0"/>
        <w:jc w:val="center"/>
        <w:rPr>
          <w:rFonts w:ascii="Arial" w:hAnsi="Arial" w:cs="Arial"/>
          <w:lang w:val="es-AR"/>
        </w:rPr>
      </w:pPr>
      <w:r w:rsidRPr="00E15DF7">
        <w:rPr>
          <w:rFonts w:ascii="Arial" w:hAnsi="Arial" w:cs="Arial"/>
          <w:lang w:val="es-AR"/>
        </w:rPr>
        <w:t xml:space="preserve">Gráfico </w:t>
      </w:r>
      <w:r w:rsidRPr="00E15DF7">
        <w:rPr>
          <w:rFonts w:ascii="Arial" w:hAnsi="Arial" w:cs="Arial"/>
        </w:rPr>
        <w:fldChar w:fldCharType="begin"/>
      </w:r>
      <w:r w:rsidRPr="00E15DF7">
        <w:rPr>
          <w:rFonts w:ascii="Arial" w:hAnsi="Arial" w:cs="Arial"/>
          <w:lang w:val="es-AR"/>
        </w:rPr>
        <w:instrText xml:space="preserve"> SEQ Gráfico \* ARABIC </w:instrText>
      </w:r>
      <w:r w:rsidRPr="00E15DF7">
        <w:rPr>
          <w:rFonts w:ascii="Arial" w:hAnsi="Arial" w:cs="Arial"/>
        </w:rPr>
        <w:fldChar w:fldCharType="separate"/>
      </w:r>
      <w:r w:rsidR="00F97D55" w:rsidRPr="00E15DF7">
        <w:rPr>
          <w:rFonts w:ascii="Arial" w:hAnsi="Arial" w:cs="Arial"/>
          <w:noProof/>
          <w:lang w:val="es-AR"/>
        </w:rPr>
        <w:t>11</w:t>
      </w:r>
      <w:r w:rsidRPr="00E15DF7">
        <w:rPr>
          <w:rFonts w:ascii="Arial" w:hAnsi="Arial" w:cs="Arial"/>
        </w:rPr>
        <w:fldChar w:fldCharType="end"/>
      </w:r>
      <w:bookmarkEnd w:id="18"/>
      <w:r w:rsidRPr="00E15DF7">
        <w:rPr>
          <w:rFonts w:ascii="Arial" w:hAnsi="Arial" w:cs="Arial"/>
          <w:lang w:val="es-AR"/>
        </w:rPr>
        <w:t>: Proyecciones de Gasto por Institución como porcentaje del Gasto Total de la Administración Central</w:t>
      </w:r>
    </w:p>
    <w:p w:rsidR="00B22AE6" w:rsidRPr="00B22AE6" w:rsidRDefault="00FD4DBE" w:rsidP="003D629E">
      <w:pPr>
        <w:spacing w:line="276" w:lineRule="auto"/>
        <w:ind w:firstLine="0"/>
        <w:jc w:val="center"/>
        <w:rPr>
          <w:lang w:val="es-AR"/>
        </w:rPr>
      </w:pPr>
      <w:r>
        <w:rPr>
          <w:noProof/>
          <w:lang w:val="en-US" w:eastAsia="en-US"/>
        </w:rPr>
        <w:drawing>
          <wp:inline distT="0" distB="0" distL="0" distR="0" wp14:anchorId="3464920E" wp14:editId="1143F1D7">
            <wp:extent cx="5048250" cy="3028950"/>
            <wp:effectExtent l="0" t="0" r="0" b="0"/>
            <wp:docPr id="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048250" cy="3028950"/>
                    </a:xfrm>
                    <a:prstGeom prst="rect">
                      <a:avLst/>
                    </a:prstGeom>
                    <a:noFill/>
                    <a:ln>
                      <a:noFill/>
                    </a:ln>
                  </pic:spPr>
                </pic:pic>
              </a:graphicData>
            </a:graphic>
          </wp:inline>
        </w:drawing>
      </w:r>
    </w:p>
    <w:p w:rsidR="003F2D74" w:rsidRPr="00E15DF7" w:rsidRDefault="008E7055" w:rsidP="00AA3706">
      <w:pPr>
        <w:pStyle w:val="BodyText"/>
        <w:spacing w:line="276" w:lineRule="auto"/>
        <w:ind w:firstLine="0"/>
        <w:rPr>
          <w:rFonts w:ascii="Arial" w:hAnsi="Arial" w:cs="Arial"/>
          <w:sz w:val="18"/>
          <w:lang w:val="es-AR"/>
        </w:rPr>
      </w:pPr>
      <w:r w:rsidRPr="00E15DF7">
        <w:rPr>
          <w:rFonts w:ascii="Arial" w:hAnsi="Arial" w:cs="Arial"/>
          <w:sz w:val="18"/>
          <w:lang w:val="es-AR"/>
        </w:rPr>
        <w:t>Fuente: Elaboración propia en base a SEFIN</w:t>
      </w:r>
    </w:p>
    <w:p w:rsidR="003F52E2" w:rsidRPr="008E7055" w:rsidRDefault="003F52E2" w:rsidP="00AA3706">
      <w:pPr>
        <w:pStyle w:val="BodyText"/>
        <w:spacing w:line="276" w:lineRule="auto"/>
        <w:ind w:firstLine="0"/>
        <w:rPr>
          <w:sz w:val="18"/>
          <w:lang w:val="es-AR"/>
        </w:rPr>
      </w:pPr>
    </w:p>
    <w:p w:rsidR="008E7055" w:rsidRPr="00E15DF7" w:rsidRDefault="003F2D74" w:rsidP="00AA3706">
      <w:pPr>
        <w:pStyle w:val="Caption"/>
        <w:keepNext/>
        <w:spacing w:line="276" w:lineRule="auto"/>
        <w:ind w:firstLine="0"/>
        <w:rPr>
          <w:rFonts w:ascii="Arial" w:hAnsi="Arial" w:cs="Arial"/>
          <w:b w:val="0"/>
          <w:sz w:val="22"/>
          <w:szCs w:val="22"/>
          <w:lang w:val="es-AR"/>
        </w:rPr>
      </w:pPr>
      <w:r w:rsidRPr="00E15DF7">
        <w:rPr>
          <w:rFonts w:ascii="Arial" w:hAnsi="Arial" w:cs="Arial"/>
          <w:b w:val="0"/>
          <w:sz w:val="22"/>
          <w:szCs w:val="22"/>
          <w:lang w:val="es-AR"/>
        </w:rPr>
        <w:t>La primera fuente de información a considerar es el Presupuesto Plurianual (2016-2019). En el</w:t>
      </w:r>
      <w:r w:rsidR="0034792F" w:rsidRPr="00E15DF7">
        <w:rPr>
          <w:rFonts w:ascii="Arial" w:hAnsi="Arial" w:cs="Arial"/>
          <w:b w:val="0"/>
          <w:sz w:val="22"/>
          <w:szCs w:val="22"/>
          <w:lang w:val="es-AR"/>
        </w:rPr>
        <w:t xml:space="preserve"> </w:t>
      </w:r>
      <w:r w:rsidRPr="00E15DF7">
        <w:rPr>
          <w:rFonts w:ascii="Arial" w:hAnsi="Arial" w:cs="Arial"/>
          <w:b w:val="0"/>
          <w:sz w:val="22"/>
          <w:szCs w:val="22"/>
          <w:lang w:val="es-AR"/>
        </w:rPr>
        <w:fldChar w:fldCharType="begin"/>
      </w:r>
      <w:r w:rsidRPr="00E15DF7">
        <w:rPr>
          <w:rFonts w:ascii="Arial" w:hAnsi="Arial" w:cs="Arial"/>
          <w:b w:val="0"/>
          <w:sz w:val="22"/>
          <w:szCs w:val="22"/>
          <w:lang w:val="es-AR"/>
        </w:rPr>
        <w:instrText xml:space="preserve"> REF _Ref446612980 \h </w:instrText>
      </w:r>
      <w:r w:rsidR="008E7055" w:rsidRPr="00E15DF7">
        <w:rPr>
          <w:rFonts w:ascii="Arial" w:hAnsi="Arial" w:cs="Arial"/>
          <w:b w:val="0"/>
          <w:sz w:val="22"/>
          <w:szCs w:val="22"/>
          <w:lang w:val="es-AR"/>
        </w:rPr>
        <w:instrText xml:space="preserve"> \* MERGEFORMAT </w:instrText>
      </w:r>
      <w:r w:rsidRPr="00E15DF7">
        <w:rPr>
          <w:rFonts w:ascii="Arial" w:hAnsi="Arial" w:cs="Arial"/>
          <w:b w:val="0"/>
          <w:sz w:val="22"/>
          <w:szCs w:val="22"/>
          <w:lang w:val="es-AR"/>
        </w:rPr>
      </w:r>
      <w:r w:rsidRPr="00E15DF7">
        <w:rPr>
          <w:rFonts w:ascii="Arial" w:hAnsi="Arial" w:cs="Arial"/>
          <w:b w:val="0"/>
          <w:sz w:val="22"/>
          <w:szCs w:val="22"/>
          <w:lang w:val="es-AR"/>
        </w:rPr>
        <w:fldChar w:fldCharType="separate"/>
      </w:r>
    </w:p>
    <w:p w:rsidR="003F2D74" w:rsidRPr="00E15DF7" w:rsidRDefault="008E7055" w:rsidP="003F52E2">
      <w:pPr>
        <w:pStyle w:val="BodyText"/>
        <w:spacing w:line="276" w:lineRule="auto"/>
        <w:ind w:firstLine="0"/>
        <w:rPr>
          <w:rFonts w:ascii="Arial" w:hAnsi="Arial" w:cs="Arial"/>
          <w:lang w:val="es-AR"/>
        </w:rPr>
      </w:pPr>
      <w:r w:rsidRPr="00E15DF7">
        <w:rPr>
          <w:rFonts w:ascii="Arial" w:hAnsi="Arial" w:cs="Arial"/>
          <w:lang w:val="es-AR"/>
        </w:rPr>
        <w:t xml:space="preserve">Gráfico </w:t>
      </w:r>
      <w:r w:rsidRPr="00E15DF7">
        <w:rPr>
          <w:rFonts w:ascii="Arial" w:hAnsi="Arial" w:cs="Arial"/>
          <w:noProof/>
          <w:lang w:val="es-AR"/>
        </w:rPr>
        <w:t>11</w:t>
      </w:r>
      <w:r w:rsidR="003F2D74" w:rsidRPr="00E15DF7">
        <w:rPr>
          <w:rFonts w:ascii="Arial" w:hAnsi="Arial" w:cs="Arial"/>
          <w:lang w:val="es-AR"/>
        </w:rPr>
        <w:fldChar w:fldCharType="end"/>
      </w:r>
      <w:r w:rsidR="003F2D74" w:rsidRPr="00E15DF7">
        <w:rPr>
          <w:rFonts w:ascii="Arial" w:hAnsi="Arial" w:cs="Arial"/>
          <w:lang w:val="es-AR"/>
        </w:rPr>
        <w:t xml:space="preserve"> se observa que los niveles de crédito presupuestario para la Secretaría de Salud se mantienen relativamente constantes en este período. Esto indica que de contemplarse un incremento para el presupuesto </w:t>
      </w:r>
      <w:r w:rsidR="00BC22EE" w:rsidRPr="00E15DF7">
        <w:rPr>
          <w:rFonts w:ascii="Arial" w:hAnsi="Arial" w:cs="Arial"/>
          <w:lang w:val="es-AR"/>
        </w:rPr>
        <w:t xml:space="preserve">del PGDS, éste tendrá que ser producto </w:t>
      </w:r>
      <w:r w:rsidR="00BC22EE" w:rsidRPr="00E15DF7">
        <w:rPr>
          <w:rFonts w:ascii="Arial" w:hAnsi="Arial" w:cs="Arial"/>
          <w:lang w:val="es-AR"/>
        </w:rPr>
        <w:lastRenderedPageBreak/>
        <w:t xml:space="preserve">de una compensación al interior de la Secretaría. </w:t>
      </w:r>
      <w:r w:rsidR="00655F57" w:rsidRPr="00E15DF7">
        <w:rPr>
          <w:rFonts w:ascii="Arial" w:hAnsi="Arial" w:cs="Arial"/>
          <w:lang w:val="es-AR"/>
        </w:rPr>
        <w:t xml:space="preserve">Por contrapartida, el crédito presupuestario previsto para la Secretaría de Desarrollo e Inclusión Social pierde peso en relación al presupuesto total. </w:t>
      </w:r>
      <w:r w:rsidR="000C7405" w:rsidRPr="00E15DF7">
        <w:rPr>
          <w:rFonts w:ascii="Arial" w:hAnsi="Arial" w:cs="Arial"/>
          <w:lang w:val="es-AR"/>
        </w:rPr>
        <w:t>Esto implica que</w:t>
      </w:r>
      <w:r w:rsidR="00166E2E" w:rsidRPr="00E15DF7">
        <w:rPr>
          <w:rFonts w:ascii="Arial" w:hAnsi="Arial" w:cs="Arial"/>
          <w:lang w:val="es-AR"/>
        </w:rPr>
        <w:t>,</w:t>
      </w:r>
      <w:r w:rsidR="000C7405" w:rsidRPr="00E15DF7">
        <w:rPr>
          <w:rFonts w:ascii="Arial" w:hAnsi="Arial" w:cs="Arial"/>
          <w:lang w:val="es-AR"/>
        </w:rPr>
        <w:t xml:space="preserve"> si los Presupuestos de Ingresos y Egresos anuales siguen efectivamente esta tendencia, el BVM tendrá que ser financiado por medio del Fondo </w:t>
      </w:r>
      <w:r w:rsidR="009124DF" w:rsidRPr="00E15DF7">
        <w:rPr>
          <w:rFonts w:ascii="Arial" w:hAnsi="Arial" w:cs="Arial"/>
          <w:lang w:val="es-AR"/>
        </w:rPr>
        <w:t>de Solidaridad y Protección Social</w:t>
      </w:r>
      <w:r w:rsidR="000C7405" w:rsidRPr="00E15DF7">
        <w:rPr>
          <w:rFonts w:ascii="Arial" w:hAnsi="Arial" w:cs="Arial"/>
          <w:lang w:val="es-AR"/>
        </w:rPr>
        <w:t>.</w:t>
      </w:r>
      <w:r w:rsidR="00BC22EE" w:rsidRPr="00E15DF7">
        <w:rPr>
          <w:rFonts w:ascii="Arial" w:hAnsi="Arial" w:cs="Arial"/>
          <w:lang w:val="es-AR"/>
        </w:rPr>
        <w:t xml:space="preserve"> </w:t>
      </w:r>
      <w:r w:rsidR="003F2D74" w:rsidRPr="00E15DF7">
        <w:rPr>
          <w:rFonts w:ascii="Arial" w:hAnsi="Arial" w:cs="Arial"/>
          <w:lang w:val="es-AR"/>
        </w:rPr>
        <w:t xml:space="preserve">  </w:t>
      </w:r>
    </w:p>
    <w:p w:rsidR="000C6BDD" w:rsidRPr="00E15DF7" w:rsidRDefault="00786725" w:rsidP="003F52E2">
      <w:pPr>
        <w:pStyle w:val="Heading2"/>
        <w:spacing w:line="276" w:lineRule="auto"/>
        <w:rPr>
          <w:rFonts w:ascii="Arial" w:hAnsi="Arial" w:cs="Arial"/>
          <w:sz w:val="22"/>
          <w:szCs w:val="22"/>
          <w:lang w:val="es-AR"/>
        </w:rPr>
      </w:pPr>
      <w:r w:rsidRPr="00E15DF7">
        <w:rPr>
          <w:rFonts w:ascii="Arial" w:hAnsi="Arial" w:cs="Arial"/>
          <w:sz w:val="22"/>
          <w:szCs w:val="22"/>
          <w:lang w:val="es-AR"/>
        </w:rPr>
        <w:t xml:space="preserve">III.1 </w:t>
      </w:r>
      <w:r w:rsidR="000C6BDD" w:rsidRPr="00E15DF7">
        <w:rPr>
          <w:rFonts w:ascii="Arial" w:hAnsi="Arial" w:cs="Arial"/>
          <w:sz w:val="22"/>
          <w:szCs w:val="22"/>
          <w:lang w:val="es-AR"/>
        </w:rPr>
        <w:t>FUENTES DE ESPACIO FISCAL: SALUD</w:t>
      </w:r>
    </w:p>
    <w:p w:rsidR="003F52E2" w:rsidRPr="00E15DF7" w:rsidRDefault="003F52E2" w:rsidP="00AA3706">
      <w:pPr>
        <w:spacing w:line="276" w:lineRule="auto"/>
        <w:ind w:firstLine="0"/>
        <w:rPr>
          <w:rFonts w:ascii="Arial" w:hAnsi="Arial" w:cs="Arial"/>
          <w:lang w:val="es-AR"/>
        </w:rPr>
      </w:pPr>
    </w:p>
    <w:p w:rsidR="00B83EF5" w:rsidRPr="00E15DF7" w:rsidRDefault="002F5CDC" w:rsidP="00AA3706">
      <w:pPr>
        <w:spacing w:line="276" w:lineRule="auto"/>
        <w:ind w:firstLine="0"/>
        <w:rPr>
          <w:rFonts w:ascii="Arial" w:hAnsi="Arial" w:cs="Arial"/>
          <w:lang w:val="es-AR"/>
        </w:rPr>
      </w:pPr>
      <w:r w:rsidRPr="00E15DF7">
        <w:rPr>
          <w:rFonts w:ascii="Arial" w:hAnsi="Arial" w:cs="Arial"/>
          <w:lang w:val="es-AR"/>
        </w:rPr>
        <w:t>De acuerdo a la información provista por la Secretaría de Salud</w:t>
      </w:r>
      <w:r w:rsidR="00B639AF" w:rsidRPr="00E15DF7">
        <w:rPr>
          <w:rFonts w:ascii="Arial" w:hAnsi="Arial" w:cs="Arial"/>
          <w:lang w:val="es-AR"/>
        </w:rPr>
        <w:t>, está previsto asignar presupuestos crecientes para el PGDS. E</w:t>
      </w:r>
      <w:r w:rsidR="002C7769" w:rsidRPr="00E15DF7">
        <w:rPr>
          <w:rFonts w:ascii="Arial" w:hAnsi="Arial" w:cs="Arial"/>
          <w:lang w:val="es-AR"/>
        </w:rPr>
        <w:t>n e</w:t>
      </w:r>
      <w:r w:rsidR="00B639AF" w:rsidRPr="00E15DF7">
        <w:rPr>
          <w:rFonts w:ascii="Arial" w:hAnsi="Arial" w:cs="Arial"/>
          <w:lang w:val="es-AR"/>
        </w:rPr>
        <w:t xml:space="preserve">l </w:t>
      </w:r>
      <w:r w:rsidR="009632BB" w:rsidRPr="00E15DF7">
        <w:rPr>
          <w:rFonts w:ascii="Arial" w:hAnsi="Arial" w:cs="Arial"/>
          <w:lang w:val="es-AR"/>
        </w:rPr>
        <w:fldChar w:fldCharType="begin"/>
      </w:r>
      <w:r w:rsidR="009632BB" w:rsidRPr="00E15DF7">
        <w:rPr>
          <w:rFonts w:ascii="Arial" w:hAnsi="Arial" w:cs="Arial"/>
          <w:lang w:val="es-AR"/>
        </w:rPr>
        <w:instrText xml:space="preserve"> REF _Ref447018155 \h </w:instrText>
      </w:r>
      <w:r w:rsidR="00AA3706" w:rsidRPr="00E15DF7">
        <w:rPr>
          <w:rFonts w:ascii="Arial" w:hAnsi="Arial" w:cs="Arial"/>
          <w:lang w:val="es-AR"/>
        </w:rPr>
        <w:instrText xml:space="preserve"> \* MERGEFORMAT </w:instrText>
      </w:r>
      <w:r w:rsidR="009632BB" w:rsidRPr="00E15DF7">
        <w:rPr>
          <w:rFonts w:ascii="Arial" w:hAnsi="Arial" w:cs="Arial"/>
          <w:lang w:val="es-AR"/>
        </w:rPr>
      </w:r>
      <w:r w:rsidR="009632BB" w:rsidRPr="00E15DF7">
        <w:rPr>
          <w:rFonts w:ascii="Arial" w:hAnsi="Arial" w:cs="Arial"/>
          <w:lang w:val="es-AR"/>
        </w:rPr>
        <w:fldChar w:fldCharType="separate"/>
      </w:r>
      <w:r w:rsidR="00487899" w:rsidRPr="00E15DF7">
        <w:rPr>
          <w:rFonts w:ascii="Arial" w:hAnsi="Arial" w:cs="Arial"/>
          <w:lang w:val="es-AR"/>
        </w:rPr>
        <w:t xml:space="preserve">Cuadro </w:t>
      </w:r>
      <w:r w:rsidR="00487899" w:rsidRPr="00E15DF7">
        <w:rPr>
          <w:rFonts w:ascii="Arial" w:hAnsi="Arial" w:cs="Arial"/>
          <w:noProof/>
          <w:lang w:val="es-AR"/>
        </w:rPr>
        <w:t>10</w:t>
      </w:r>
      <w:r w:rsidR="009632BB" w:rsidRPr="00E15DF7">
        <w:rPr>
          <w:rFonts w:ascii="Arial" w:hAnsi="Arial" w:cs="Arial"/>
          <w:lang w:val="es-AR"/>
        </w:rPr>
        <w:fldChar w:fldCharType="end"/>
      </w:r>
      <w:r w:rsidR="009632BB" w:rsidRPr="00E15DF7">
        <w:rPr>
          <w:rFonts w:ascii="Arial" w:hAnsi="Arial" w:cs="Arial"/>
          <w:lang w:val="es-AR"/>
        </w:rPr>
        <w:t xml:space="preserve"> </w:t>
      </w:r>
      <w:r w:rsidR="002C7769" w:rsidRPr="00E15DF7">
        <w:rPr>
          <w:rFonts w:ascii="Arial" w:hAnsi="Arial" w:cs="Arial"/>
          <w:lang w:val="es-AR"/>
        </w:rPr>
        <w:t xml:space="preserve">se exponen </w:t>
      </w:r>
      <w:r w:rsidR="00B639AF" w:rsidRPr="00E15DF7">
        <w:rPr>
          <w:rFonts w:ascii="Arial" w:hAnsi="Arial" w:cs="Arial"/>
          <w:lang w:val="es-AR"/>
        </w:rPr>
        <w:t>las proyecciones de</w:t>
      </w:r>
      <w:r w:rsidR="002C7769" w:rsidRPr="00E15DF7">
        <w:rPr>
          <w:rFonts w:ascii="Arial" w:hAnsi="Arial" w:cs="Arial"/>
          <w:lang w:val="es-AR"/>
        </w:rPr>
        <w:t xml:space="preserve"> fondos necesarios para cubrir distintas coberturas posibles</w:t>
      </w:r>
      <w:r w:rsidR="00B639AF" w:rsidRPr="00E15DF7">
        <w:rPr>
          <w:rFonts w:ascii="Arial" w:hAnsi="Arial" w:cs="Arial"/>
          <w:lang w:val="es-AR"/>
        </w:rPr>
        <w:t xml:space="preserve">, así como el financiamiento de recursos propios y externos (préstamo BID) que la Secretaría planea asignar para el programa. </w:t>
      </w:r>
      <w:r w:rsidR="00887ED5" w:rsidRPr="00E15DF7">
        <w:rPr>
          <w:rFonts w:ascii="Arial" w:hAnsi="Arial" w:cs="Arial"/>
          <w:lang w:val="es-AR"/>
        </w:rPr>
        <w:t>Si bien</w:t>
      </w:r>
      <w:r w:rsidR="003E1043" w:rsidRPr="00E15DF7">
        <w:rPr>
          <w:rFonts w:ascii="Arial" w:hAnsi="Arial" w:cs="Arial"/>
          <w:lang w:val="es-AR"/>
        </w:rPr>
        <w:t>, salvo en el escenario de menor cobertura,</w:t>
      </w:r>
      <w:r w:rsidR="00887ED5" w:rsidRPr="00E15DF7">
        <w:rPr>
          <w:rFonts w:ascii="Arial" w:hAnsi="Arial" w:cs="Arial"/>
          <w:lang w:val="es-AR"/>
        </w:rPr>
        <w:t xml:space="preserve"> en los últimos tres años</w:t>
      </w:r>
      <w:r w:rsidR="003E1043" w:rsidRPr="00E15DF7">
        <w:rPr>
          <w:rFonts w:ascii="Arial" w:hAnsi="Arial" w:cs="Arial"/>
          <w:lang w:val="es-AR"/>
        </w:rPr>
        <w:t xml:space="preserve"> proyectados</w:t>
      </w:r>
      <w:r w:rsidR="00887ED5" w:rsidRPr="00E15DF7">
        <w:rPr>
          <w:rFonts w:ascii="Arial" w:hAnsi="Arial" w:cs="Arial"/>
          <w:lang w:val="es-AR"/>
        </w:rPr>
        <w:t xml:space="preserve"> los recursos necesarios son menores a los fondos que teóricamente estarían disponibles, </w:t>
      </w:r>
      <w:r w:rsidR="003E1043" w:rsidRPr="00E15DF7">
        <w:rPr>
          <w:rFonts w:ascii="Arial" w:hAnsi="Arial" w:cs="Arial"/>
          <w:lang w:val="es-AR"/>
        </w:rPr>
        <w:t xml:space="preserve">parte de ese déficit se compensa por </w:t>
      </w:r>
      <w:r w:rsidR="009E7530" w:rsidRPr="00E15DF7">
        <w:rPr>
          <w:rFonts w:ascii="Arial" w:hAnsi="Arial" w:cs="Arial"/>
          <w:lang w:val="es-AR"/>
        </w:rPr>
        <w:t>un sobre-financiamiento</w:t>
      </w:r>
      <w:r w:rsidR="003E1043" w:rsidRPr="00E15DF7">
        <w:rPr>
          <w:rFonts w:ascii="Arial" w:hAnsi="Arial" w:cs="Arial"/>
          <w:lang w:val="es-AR"/>
        </w:rPr>
        <w:t xml:space="preserve"> en el primer año. </w:t>
      </w:r>
      <w:r w:rsidR="009E7530" w:rsidRPr="00E15DF7">
        <w:rPr>
          <w:rFonts w:ascii="Arial" w:hAnsi="Arial" w:cs="Arial"/>
          <w:lang w:val="es-AR"/>
        </w:rPr>
        <w:t xml:space="preserve">Si bien la disponibilidad de recursos propios del GoH no </w:t>
      </w:r>
      <w:r w:rsidR="00AA5758" w:rsidRPr="00E15DF7">
        <w:rPr>
          <w:rFonts w:ascii="Arial" w:hAnsi="Arial" w:cs="Arial"/>
          <w:lang w:val="es-AR"/>
        </w:rPr>
        <w:t xml:space="preserve">puede darse por sentada, de contar con estos fondos en el año 2016 sería clave que pudieran ejecutarlos para poder </w:t>
      </w:r>
      <w:r w:rsidR="005119AF" w:rsidRPr="00E15DF7">
        <w:rPr>
          <w:rFonts w:ascii="Arial" w:hAnsi="Arial" w:cs="Arial"/>
          <w:lang w:val="es-AR"/>
        </w:rPr>
        <w:t>redirigir</w:t>
      </w:r>
      <w:r w:rsidR="00AA5758" w:rsidRPr="00E15DF7">
        <w:rPr>
          <w:rFonts w:ascii="Arial" w:hAnsi="Arial" w:cs="Arial"/>
          <w:lang w:val="es-AR"/>
        </w:rPr>
        <w:t xml:space="preserve"> financiamiento externo a los años posteriores</w:t>
      </w:r>
      <w:r w:rsidR="00411759" w:rsidRPr="00E15DF7">
        <w:rPr>
          <w:rFonts w:ascii="Arial" w:hAnsi="Arial" w:cs="Arial"/>
          <w:lang w:val="es-AR"/>
        </w:rPr>
        <w:t>.</w:t>
      </w:r>
      <w:r w:rsidR="009E5E94" w:rsidRPr="00E15DF7">
        <w:rPr>
          <w:rFonts w:ascii="Arial" w:hAnsi="Arial" w:cs="Arial"/>
          <w:lang w:val="es-AR"/>
        </w:rPr>
        <w:t xml:space="preserve"> Cabe destacar que en los años en los que la brecha sería mayor, se ubica en torno al 25% del monto total a financiar. </w:t>
      </w:r>
      <w:r w:rsidR="00411759" w:rsidRPr="00E15DF7">
        <w:rPr>
          <w:rFonts w:ascii="Arial" w:hAnsi="Arial" w:cs="Arial"/>
          <w:lang w:val="es-AR"/>
        </w:rPr>
        <w:t xml:space="preserve"> </w:t>
      </w:r>
      <w:bookmarkStart w:id="19" w:name="_Ref446623166"/>
    </w:p>
    <w:p w:rsidR="00B83EF5" w:rsidRPr="00E15DF7" w:rsidRDefault="00B83EF5" w:rsidP="00AA3706">
      <w:pPr>
        <w:spacing w:line="276" w:lineRule="auto"/>
        <w:ind w:firstLine="0"/>
        <w:rPr>
          <w:rFonts w:ascii="Arial" w:hAnsi="Arial" w:cs="Arial"/>
          <w:lang w:val="es-AR"/>
        </w:rPr>
      </w:pPr>
    </w:p>
    <w:p w:rsidR="009632BB" w:rsidRPr="00E15DF7" w:rsidRDefault="009632BB" w:rsidP="00AA3706">
      <w:pPr>
        <w:spacing w:line="276" w:lineRule="auto"/>
        <w:ind w:firstLine="0"/>
        <w:rPr>
          <w:rFonts w:ascii="Arial" w:hAnsi="Arial" w:cs="Arial"/>
          <w:lang w:val="es-AR"/>
        </w:rPr>
      </w:pPr>
      <w:bookmarkStart w:id="20" w:name="_Ref447018155"/>
      <w:bookmarkEnd w:id="19"/>
      <w:r w:rsidRPr="00E15DF7">
        <w:rPr>
          <w:rFonts w:ascii="Arial" w:hAnsi="Arial" w:cs="Arial"/>
          <w:lang w:val="es-AR"/>
        </w:rPr>
        <w:t xml:space="preserve">Cuadro </w:t>
      </w:r>
      <w:r w:rsidRPr="00E15DF7">
        <w:rPr>
          <w:rFonts w:ascii="Arial" w:hAnsi="Arial" w:cs="Arial"/>
        </w:rPr>
        <w:fldChar w:fldCharType="begin"/>
      </w:r>
      <w:r w:rsidRPr="00E15DF7">
        <w:rPr>
          <w:rFonts w:ascii="Arial" w:hAnsi="Arial" w:cs="Arial"/>
          <w:lang w:val="es-AR"/>
        </w:rPr>
        <w:instrText xml:space="preserve"> SEQ Cuadro \* ARABIC </w:instrText>
      </w:r>
      <w:r w:rsidRPr="00E15DF7">
        <w:rPr>
          <w:rFonts w:ascii="Arial" w:hAnsi="Arial" w:cs="Arial"/>
        </w:rPr>
        <w:fldChar w:fldCharType="separate"/>
      </w:r>
      <w:r w:rsidR="009C1E0D" w:rsidRPr="00E15DF7">
        <w:rPr>
          <w:rFonts w:ascii="Arial" w:hAnsi="Arial" w:cs="Arial"/>
          <w:noProof/>
          <w:lang w:val="es-AR"/>
        </w:rPr>
        <w:t>10</w:t>
      </w:r>
      <w:r w:rsidRPr="00E15DF7">
        <w:rPr>
          <w:rFonts w:ascii="Arial" w:hAnsi="Arial" w:cs="Arial"/>
        </w:rPr>
        <w:fldChar w:fldCharType="end"/>
      </w:r>
      <w:bookmarkEnd w:id="20"/>
      <w:r w:rsidRPr="00E15DF7">
        <w:rPr>
          <w:rFonts w:ascii="Arial" w:hAnsi="Arial" w:cs="Arial"/>
          <w:lang w:val="es-AR"/>
        </w:rPr>
        <w:t>: Financiamiento necesario para PGDS y fondos externos y recursos propios previstos por la Secretaría de Salud (en lempiras corrientes)</w:t>
      </w:r>
    </w:p>
    <w:p w:rsidR="005B15AA" w:rsidRPr="00833956" w:rsidRDefault="00FD4DBE" w:rsidP="00AA3706">
      <w:pPr>
        <w:spacing w:line="276" w:lineRule="auto"/>
        <w:ind w:firstLine="0"/>
        <w:rPr>
          <w:lang w:val="es-AR"/>
        </w:rPr>
      </w:pPr>
      <w:r>
        <w:rPr>
          <w:noProof/>
          <w:lang w:val="en-US" w:eastAsia="en-US"/>
        </w:rPr>
        <w:drawing>
          <wp:inline distT="0" distB="0" distL="0" distR="0" wp14:anchorId="76A174E8" wp14:editId="2B0EE424">
            <wp:extent cx="5600700" cy="1514475"/>
            <wp:effectExtent l="0" t="0" r="0" b="9525"/>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600700" cy="1514475"/>
                    </a:xfrm>
                    <a:prstGeom prst="rect">
                      <a:avLst/>
                    </a:prstGeom>
                    <a:noFill/>
                    <a:ln>
                      <a:noFill/>
                    </a:ln>
                  </pic:spPr>
                </pic:pic>
              </a:graphicData>
            </a:graphic>
          </wp:inline>
        </w:drawing>
      </w:r>
    </w:p>
    <w:p w:rsidR="00B83EF5" w:rsidRPr="00E15DF7" w:rsidRDefault="009632BB" w:rsidP="00AA3706">
      <w:pPr>
        <w:pStyle w:val="Caption"/>
        <w:keepNext/>
        <w:spacing w:line="276" w:lineRule="auto"/>
        <w:ind w:firstLine="0"/>
        <w:rPr>
          <w:rFonts w:ascii="Arial" w:hAnsi="Arial" w:cs="Arial"/>
          <w:b w:val="0"/>
          <w:sz w:val="18"/>
          <w:lang w:val="es-AR"/>
        </w:rPr>
      </w:pPr>
      <w:r w:rsidRPr="00E15DF7">
        <w:rPr>
          <w:rFonts w:ascii="Arial" w:hAnsi="Arial" w:cs="Arial"/>
          <w:b w:val="0"/>
          <w:sz w:val="18"/>
          <w:lang w:val="es-AR"/>
        </w:rPr>
        <w:t>Fuente: Elaboración propia en base a información provista por la Secretaría de Salud</w:t>
      </w:r>
    </w:p>
    <w:p w:rsidR="009632BB" w:rsidRPr="00E15DF7" w:rsidRDefault="009632BB" w:rsidP="00AA3706">
      <w:pPr>
        <w:spacing w:line="276" w:lineRule="auto"/>
        <w:ind w:firstLine="0"/>
        <w:rPr>
          <w:rFonts w:ascii="Arial" w:hAnsi="Arial" w:cs="Arial"/>
          <w:lang w:val="es-AR"/>
        </w:rPr>
      </w:pPr>
    </w:p>
    <w:p w:rsidR="00B83EF5" w:rsidRPr="00E15DF7" w:rsidRDefault="009632BB" w:rsidP="00AA3706">
      <w:pPr>
        <w:spacing w:line="276" w:lineRule="auto"/>
        <w:ind w:firstLine="0"/>
        <w:rPr>
          <w:rFonts w:ascii="Arial" w:hAnsi="Arial" w:cs="Arial"/>
          <w:lang w:val="es-AR"/>
        </w:rPr>
      </w:pPr>
      <w:r w:rsidRPr="00E15DF7">
        <w:rPr>
          <w:rFonts w:ascii="Arial" w:hAnsi="Arial" w:cs="Arial"/>
          <w:lang w:val="es-AR"/>
        </w:rPr>
        <w:t>Aun cuando</w:t>
      </w:r>
      <w:r w:rsidR="00B83EF5" w:rsidRPr="00E15DF7">
        <w:rPr>
          <w:rFonts w:ascii="Arial" w:hAnsi="Arial" w:cs="Arial"/>
          <w:lang w:val="es-AR"/>
        </w:rPr>
        <w:t xml:space="preserve"> la planificación existente define un escenario en el cual</w:t>
      </w:r>
      <w:r w:rsidR="0034792F" w:rsidRPr="00E15DF7">
        <w:rPr>
          <w:rFonts w:ascii="Arial" w:hAnsi="Arial" w:cs="Arial"/>
          <w:lang w:val="es-AR"/>
        </w:rPr>
        <w:t xml:space="preserve"> la</w:t>
      </w:r>
      <w:r w:rsidR="00B83EF5" w:rsidRPr="00E15DF7">
        <w:rPr>
          <w:rFonts w:ascii="Arial" w:hAnsi="Arial" w:cs="Arial"/>
          <w:lang w:val="es-AR"/>
        </w:rPr>
        <w:t xml:space="preserve"> posibilidad de conseguir los fondos necesarios aparece como factible, no hay que dejar de considerar que el presupuesto de la Secretaría de Salud es considerablemente rígido. Esto se debe principalmente al peso que tiene el gasto en recursos humanos. </w:t>
      </w:r>
      <w:r w:rsidR="002C7BFF" w:rsidRPr="00E15DF7">
        <w:rPr>
          <w:rFonts w:ascii="Arial" w:hAnsi="Arial" w:cs="Arial"/>
          <w:lang w:val="es-AR"/>
        </w:rPr>
        <w:t xml:space="preserve">En este sentido, el </w:t>
      </w:r>
      <w:r w:rsidR="002C7BFF" w:rsidRPr="00E15DF7">
        <w:rPr>
          <w:rFonts w:ascii="Arial" w:hAnsi="Arial" w:cs="Arial"/>
          <w:lang w:val="es-AR"/>
        </w:rPr>
        <w:fldChar w:fldCharType="begin"/>
      </w:r>
      <w:r w:rsidR="002C7BFF" w:rsidRPr="00E15DF7">
        <w:rPr>
          <w:rFonts w:ascii="Arial" w:hAnsi="Arial" w:cs="Arial"/>
          <w:lang w:val="es-AR"/>
        </w:rPr>
        <w:instrText xml:space="preserve"> REF _Ref446626516 \h </w:instrText>
      </w:r>
      <w:r w:rsidR="00AA3706" w:rsidRPr="00E15DF7">
        <w:rPr>
          <w:rFonts w:ascii="Arial" w:hAnsi="Arial" w:cs="Arial"/>
          <w:lang w:val="es-AR"/>
        </w:rPr>
        <w:instrText xml:space="preserve"> \* MERGEFORMAT </w:instrText>
      </w:r>
      <w:r w:rsidR="002C7BFF" w:rsidRPr="00E15DF7">
        <w:rPr>
          <w:rFonts w:ascii="Arial" w:hAnsi="Arial" w:cs="Arial"/>
          <w:lang w:val="es-AR"/>
        </w:rPr>
      </w:r>
      <w:r w:rsidR="002C7BFF" w:rsidRPr="00E15DF7">
        <w:rPr>
          <w:rFonts w:ascii="Arial" w:hAnsi="Arial" w:cs="Arial"/>
          <w:lang w:val="es-AR"/>
        </w:rPr>
        <w:fldChar w:fldCharType="separate"/>
      </w:r>
      <w:r w:rsidR="002C7BFF" w:rsidRPr="00E15DF7">
        <w:rPr>
          <w:rFonts w:ascii="Arial" w:hAnsi="Arial" w:cs="Arial"/>
          <w:lang w:val="es-AR"/>
        </w:rPr>
        <w:t xml:space="preserve">Gráfico </w:t>
      </w:r>
      <w:r w:rsidR="002C7BFF" w:rsidRPr="00E15DF7">
        <w:rPr>
          <w:rFonts w:ascii="Arial" w:hAnsi="Arial" w:cs="Arial"/>
          <w:noProof/>
          <w:lang w:val="es-AR"/>
        </w:rPr>
        <w:t>6</w:t>
      </w:r>
      <w:r w:rsidR="002C7BFF" w:rsidRPr="00E15DF7">
        <w:rPr>
          <w:rFonts w:ascii="Arial" w:hAnsi="Arial" w:cs="Arial"/>
          <w:lang w:val="es-AR"/>
        </w:rPr>
        <w:fldChar w:fldCharType="end"/>
      </w:r>
      <w:r w:rsidR="002C7BFF" w:rsidRPr="00E15DF7">
        <w:rPr>
          <w:rFonts w:ascii="Arial" w:hAnsi="Arial" w:cs="Arial"/>
          <w:lang w:val="es-AR"/>
        </w:rPr>
        <w:t xml:space="preserve"> permite evaluar la magnitud del esfuerzo que la Secretaría debería realizar para direccionar los fondos que de acuerdo a la información del </w:t>
      </w:r>
      <w:r w:rsidR="002C7BFF" w:rsidRPr="00E15DF7">
        <w:rPr>
          <w:rFonts w:ascii="Arial" w:hAnsi="Arial" w:cs="Arial"/>
          <w:lang w:val="es-AR"/>
        </w:rPr>
        <w:fldChar w:fldCharType="begin"/>
      </w:r>
      <w:r w:rsidR="002C7BFF" w:rsidRPr="00E15DF7">
        <w:rPr>
          <w:rFonts w:ascii="Arial" w:hAnsi="Arial" w:cs="Arial"/>
          <w:lang w:val="es-AR"/>
        </w:rPr>
        <w:instrText xml:space="preserve"> REF _Ref446626633 \h </w:instrText>
      </w:r>
      <w:r w:rsidR="00AA3706" w:rsidRPr="00E15DF7">
        <w:rPr>
          <w:rFonts w:ascii="Arial" w:hAnsi="Arial" w:cs="Arial"/>
          <w:lang w:val="es-AR"/>
        </w:rPr>
        <w:instrText xml:space="preserve"> \* MERGEFORMAT </w:instrText>
      </w:r>
      <w:r w:rsidR="002C7BFF" w:rsidRPr="00E15DF7">
        <w:rPr>
          <w:rFonts w:ascii="Arial" w:hAnsi="Arial" w:cs="Arial"/>
          <w:lang w:val="es-AR"/>
        </w:rPr>
      </w:r>
      <w:r w:rsidR="002C7BFF" w:rsidRPr="00E15DF7">
        <w:rPr>
          <w:rFonts w:ascii="Arial" w:hAnsi="Arial" w:cs="Arial"/>
          <w:lang w:val="es-AR"/>
        </w:rPr>
        <w:fldChar w:fldCharType="separate"/>
      </w:r>
      <w:r w:rsidR="002C7BFF" w:rsidRPr="00E15DF7">
        <w:rPr>
          <w:rFonts w:ascii="Arial" w:hAnsi="Arial" w:cs="Arial"/>
          <w:lang w:val="es-AR"/>
        </w:rPr>
        <w:t xml:space="preserve">Gráfico </w:t>
      </w:r>
      <w:r w:rsidR="002C7BFF" w:rsidRPr="00E15DF7">
        <w:rPr>
          <w:rFonts w:ascii="Arial" w:hAnsi="Arial" w:cs="Arial"/>
          <w:noProof/>
          <w:lang w:val="es-AR"/>
        </w:rPr>
        <w:t>5</w:t>
      </w:r>
      <w:r w:rsidR="002C7BFF" w:rsidRPr="00E15DF7">
        <w:rPr>
          <w:rFonts w:ascii="Arial" w:hAnsi="Arial" w:cs="Arial"/>
          <w:lang w:val="es-AR"/>
        </w:rPr>
        <w:fldChar w:fldCharType="end"/>
      </w:r>
      <w:r w:rsidR="002C7BFF" w:rsidRPr="00E15DF7">
        <w:rPr>
          <w:rFonts w:ascii="Arial" w:hAnsi="Arial" w:cs="Arial"/>
          <w:lang w:val="es-AR"/>
        </w:rPr>
        <w:t xml:space="preserve"> destinaría al PGDS. Como se puede observar, el presupuesto necesario representa un porcentaje menor del presupuesto total de la institución. Más aún, el incremento es gradual y solamente en 2019 sería mayor a un punto porcentual. </w:t>
      </w:r>
    </w:p>
    <w:p w:rsidR="00B83EF5" w:rsidRDefault="00B83EF5" w:rsidP="00AA3706">
      <w:pPr>
        <w:pStyle w:val="Caption"/>
        <w:keepNext/>
        <w:spacing w:line="276" w:lineRule="auto"/>
        <w:ind w:firstLine="0"/>
        <w:rPr>
          <w:lang w:val="es-AR"/>
        </w:rPr>
      </w:pPr>
    </w:p>
    <w:p w:rsidR="00B83EF5" w:rsidRDefault="00B83EF5" w:rsidP="00AA3706">
      <w:pPr>
        <w:pStyle w:val="Caption"/>
        <w:keepNext/>
        <w:spacing w:line="276" w:lineRule="auto"/>
        <w:ind w:firstLine="0"/>
        <w:rPr>
          <w:lang w:val="es-AR"/>
        </w:rPr>
      </w:pPr>
    </w:p>
    <w:p w:rsidR="00B83EF5" w:rsidRPr="00E15DF7" w:rsidRDefault="00B83EF5" w:rsidP="003D629E">
      <w:pPr>
        <w:pStyle w:val="Caption"/>
        <w:keepNext/>
        <w:spacing w:line="276" w:lineRule="auto"/>
        <w:ind w:firstLine="0"/>
        <w:jc w:val="center"/>
        <w:rPr>
          <w:rFonts w:ascii="Arial" w:hAnsi="Arial" w:cs="Arial"/>
          <w:lang w:val="es-AR"/>
        </w:rPr>
      </w:pPr>
      <w:bookmarkStart w:id="21" w:name="_Ref446626516"/>
      <w:r w:rsidRPr="00E15DF7">
        <w:rPr>
          <w:rFonts w:ascii="Arial" w:hAnsi="Arial" w:cs="Arial"/>
          <w:lang w:val="es-AR"/>
        </w:rPr>
        <w:t xml:space="preserve">Gráfico </w:t>
      </w:r>
      <w:r w:rsidRPr="00E15DF7">
        <w:rPr>
          <w:rFonts w:ascii="Arial" w:hAnsi="Arial" w:cs="Arial"/>
        </w:rPr>
        <w:fldChar w:fldCharType="begin"/>
      </w:r>
      <w:r w:rsidRPr="00E15DF7">
        <w:rPr>
          <w:rFonts w:ascii="Arial" w:hAnsi="Arial" w:cs="Arial"/>
          <w:lang w:val="es-AR"/>
        </w:rPr>
        <w:instrText xml:space="preserve"> SEQ Gráfico \* ARABIC </w:instrText>
      </w:r>
      <w:r w:rsidRPr="00E15DF7">
        <w:rPr>
          <w:rFonts w:ascii="Arial" w:hAnsi="Arial" w:cs="Arial"/>
        </w:rPr>
        <w:fldChar w:fldCharType="separate"/>
      </w:r>
      <w:r w:rsidR="00F97D55" w:rsidRPr="00E15DF7">
        <w:rPr>
          <w:rFonts w:ascii="Arial" w:hAnsi="Arial" w:cs="Arial"/>
          <w:noProof/>
          <w:lang w:val="es-AR"/>
        </w:rPr>
        <w:t>12</w:t>
      </w:r>
      <w:r w:rsidRPr="00E15DF7">
        <w:rPr>
          <w:rFonts w:ascii="Arial" w:hAnsi="Arial" w:cs="Arial"/>
        </w:rPr>
        <w:fldChar w:fldCharType="end"/>
      </w:r>
      <w:bookmarkEnd w:id="21"/>
      <w:r w:rsidRPr="00E15DF7">
        <w:rPr>
          <w:rFonts w:ascii="Arial" w:hAnsi="Arial" w:cs="Arial"/>
          <w:lang w:val="es-AR"/>
        </w:rPr>
        <w:t>: Recursos propios previstos por la Secretaría de Salud para el financiamiento del PGDS como porcentaje del presupuesto total previsto para la Secretaría</w:t>
      </w:r>
    </w:p>
    <w:p w:rsidR="00D828AB" w:rsidRDefault="00FD4DBE" w:rsidP="003D629E">
      <w:pPr>
        <w:spacing w:line="276" w:lineRule="auto"/>
        <w:ind w:firstLine="0"/>
        <w:jc w:val="center"/>
        <w:rPr>
          <w:lang w:val="es-AR"/>
        </w:rPr>
      </w:pPr>
      <w:r>
        <w:rPr>
          <w:noProof/>
          <w:lang w:val="en-US" w:eastAsia="en-US"/>
        </w:rPr>
        <w:drawing>
          <wp:inline distT="0" distB="0" distL="0" distR="0" wp14:anchorId="7552F64B" wp14:editId="0ABF8473">
            <wp:extent cx="4524375" cy="2705100"/>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524375" cy="2705100"/>
                    </a:xfrm>
                    <a:prstGeom prst="rect">
                      <a:avLst/>
                    </a:prstGeom>
                    <a:noFill/>
                    <a:ln>
                      <a:noFill/>
                    </a:ln>
                  </pic:spPr>
                </pic:pic>
              </a:graphicData>
            </a:graphic>
          </wp:inline>
        </w:drawing>
      </w:r>
    </w:p>
    <w:p w:rsidR="00F15B53" w:rsidRPr="00E15DF7" w:rsidRDefault="009632BB" w:rsidP="003D629E">
      <w:pPr>
        <w:spacing w:line="276" w:lineRule="auto"/>
        <w:ind w:firstLine="708"/>
        <w:rPr>
          <w:rFonts w:ascii="Arial" w:hAnsi="Arial" w:cs="Arial"/>
          <w:sz w:val="18"/>
          <w:lang w:val="es-AR"/>
        </w:rPr>
      </w:pPr>
      <w:r w:rsidRPr="00E15DF7">
        <w:rPr>
          <w:rFonts w:ascii="Arial" w:hAnsi="Arial" w:cs="Arial"/>
          <w:sz w:val="18"/>
          <w:lang w:val="es-AR"/>
        </w:rPr>
        <w:t>Fuente: Elaboración propia en base a SEFIN y datos provistos por la Secretaría de Salud</w:t>
      </w:r>
    </w:p>
    <w:p w:rsidR="009632BB" w:rsidRPr="009632BB" w:rsidRDefault="009632BB" w:rsidP="00AA3706">
      <w:pPr>
        <w:spacing w:line="276" w:lineRule="auto"/>
        <w:ind w:firstLine="0"/>
        <w:rPr>
          <w:sz w:val="18"/>
          <w:lang w:val="es-AR"/>
        </w:rPr>
      </w:pPr>
    </w:p>
    <w:p w:rsidR="000C6BDD" w:rsidRPr="00E15DF7" w:rsidRDefault="002C7BFF" w:rsidP="00AA3706">
      <w:pPr>
        <w:spacing w:line="276" w:lineRule="auto"/>
        <w:ind w:firstLine="0"/>
        <w:rPr>
          <w:rFonts w:ascii="Arial" w:hAnsi="Arial" w:cs="Arial"/>
          <w:lang w:val="es-AR"/>
        </w:rPr>
      </w:pPr>
      <w:r w:rsidRPr="00E15DF7">
        <w:rPr>
          <w:rFonts w:ascii="Arial" w:hAnsi="Arial" w:cs="Arial"/>
          <w:lang w:val="es-AR"/>
        </w:rPr>
        <w:t xml:space="preserve">Otra de las alternativas que deben ser evaluadas a la hora de identificar potenciales recursos para el PGDS en la órbita de la Secretaría de Salud, es la posibilidad de liberar </w:t>
      </w:r>
      <w:r w:rsidR="000C6BDD" w:rsidRPr="00E15DF7">
        <w:rPr>
          <w:rFonts w:ascii="Arial" w:hAnsi="Arial" w:cs="Arial"/>
          <w:lang w:val="es-AR"/>
        </w:rPr>
        <w:t>gasto bajo gestión centralizada, a medida que la demanda va siendo cubierta por los gestores descentralizados. Sin embargo, detrás de esta alternativa, se encuentra el supuesto de que la población – o parte de la población - cubierta por los gestores descentralizados previamente tenía acceso al sistema de salud pública. Verificar este supuesto es una tarea compleja ya que requiere encuestas regulares y detalladas del acceso a servicios de salud o el análisis detallado de la gestión física y financiera de las distintas unidades de salud pública bajo gestión centralizada de los últimos años. Dado que esta información no está disponible, se propone a continuación un ejercicio alternativo.</w:t>
      </w:r>
    </w:p>
    <w:p w:rsidR="005B15AA" w:rsidRPr="00E15DF7" w:rsidRDefault="005B15AA" w:rsidP="00AA3706">
      <w:pPr>
        <w:spacing w:line="276" w:lineRule="auto"/>
        <w:ind w:firstLine="0"/>
        <w:rPr>
          <w:rFonts w:ascii="Arial" w:hAnsi="Arial" w:cs="Arial"/>
          <w:lang w:val="es-AR"/>
        </w:rPr>
      </w:pPr>
    </w:p>
    <w:p w:rsidR="000C6BDD" w:rsidRPr="00E15DF7" w:rsidRDefault="000C6BDD" w:rsidP="00AA3706">
      <w:pPr>
        <w:spacing w:line="276" w:lineRule="auto"/>
        <w:ind w:firstLine="0"/>
        <w:rPr>
          <w:rFonts w:ascii="Arial" w:hAnsi="Arial" w:cs="Arial"/>
          <w:lang w:val="es-AR"/>
        </w:rPr>
      </w:pPr>
      <w:r w:rsidRPr="00E15DF7">
        <w:rPr>
          <w:rFonts w:ascii="Arial" w:hAnsi="Arial" w:cs="Arial"/>
          <w:lang w:val="es-AR"/>
        </w:rPr>
        <w:t xml:space="preserve">Entre los productos del sistema público de salud (entendidos como los bienes o servicios que son brindados por medio de una intervención de política pública) para los cuales existen estadísticas detalladas y relativamente comparables, se destacan los partos institucionales. En el siguiente gráfico utilizamos esta variable como </w:t>
      </w:r>
      <w:r w:rsidRPr="00E15DF7">
        <w:rPr>
          <w:rFonts w:ascii="Arial" w:hAnsi="Arial" w:cs="Arial"/>
          <w:i/>
          <w:lang w:val="es-AR"/>
        </w:rPr>
        <w:t>proxy</w:t>
      </w:r>
      <w:r w:rsidRPr="00E15DF7">
        <w:rPr>
          <w:rFonts w:ascii="Arial" w:hAnsi="Arial" w:cs="Arial"/>
          <w:lang w:val="es-AR"/>
        </w:rPr>
        <w:t xml:space="preserve"> de la producción de los centros de salud. Básicamente, se pretende observar si el incremento de partos institucionales en los Centros Materno Infantiles (CMI) de gestión descentralizada tiene un paralelo en una caída en la atención de partos de beneficiarios provenientes de municipios donde funcionan estos CMIs en los Hospitales Pública de gestión centralizada. Si esa caída se verificara, sería esperable que existieran fondos que previamente fueran destinados a financiar este producto, que se liberaran de los presupuestos de la Secretaría de Salud.</w:t>
      </w:r>
    </w:p>
    <w:p w:rsidR="005B15AA" w:rsidRPr="00E15DF7" w:rsidRDefault="005B15AA" w:rsidP="00AA3706">
      <w:pPr>
        <w:spacing w:line="276" w:lineRule="auto"/>
        <w:ind w:firstLine="0"/>
        <w:rPr>
          <w:rFonts w:ascii="Arial" w:hAnsi="Arial" w:cs="Arial"/>
          <w:lang w:val="es-AR"/>
        </w:rPr>
      </w:pPr>
    </w:p>
    <w:p w:rsidR="000C6BDD" w:rsidRPr="00E15DF7" w:rsidRDefault="000C6BDD" w:rsidP="00AA3706">
      <w:pPr>
        <w:spacing w:line="276" w:lineRule="auto"/>
        <w:ind w:firstLine="0"/>
        <w:rPr>
          <w:rFonts w:ascii="Arial" w:hAnsi="Arial" w:cs="Arial"/>
          <w:lang w:val="es-AR"/>
        </w:rPr>
      </w:pPr>
      <w:r w:rsidRPr="00E15DF7">
        <w:rPr>
          <w:rFonts w:ascii="Arial" w:hAnsi="Arial" w:cs="Arial"/>
          <w:lang w:val="es-AR"/>
        </w:rPr>
        <w:lastRenderedPageBreak/>
        <w:t xml:space="preserve">En el </w:t>
      </w:r>
      <w:r w:rsidRPr="00E15DF7">
        <w:rPr>
          <w:rFonts w:ascii="Arial" w:hAnsi="Arial" w:cs="Arial"/>
        </w:rPr>
        <w:fldChar w:fldCharType="begin"/>
      </w:r>
      <w:r w:rsidRPr="00E15DF7">
        <w:rPr>
          <w:rFonts w:ascii="Arial" w:hAnsi="Arial" w:cs="Arial"/>
          <w:lang w:val="es-AR"/>
        </w:rPr>
        <w:instrText xml:space="preserve"> REF _Ref446425103 \h </w:instrText>
      </w:r>
      <w:r w:rsidR="00AA3706" w:rsidRPr="00E15DF7">
        <w:rPr>
          <w:rFonts w:ascii="Arial" w:hAnsi="Arial" w:cs="Arial"/>
          <w:lang w:val="es-AR"/>
        </w:rPr>
        <w:instrText xml:space="preserve"> \* MERGEFORMAT </w:instrText>
      </w:r>
      <w:r w:rsidRPr="00E15DF7">
        <w:rPr>
          <w:rFonts w:ascii="Arial" w:hAnsi="Arial" w:cs="Arial"/>
        </w:rPr>
      </w:r>
      <w:r w:rsidRPr="00E15DF7">
        <w:rPr>
          <w:rFonts w:ascii="Arial" w:hAnsi="Arial" w:cs="Arial"/>
        </w:rPr>
        <w:fldChar w:fldCharType="separate"/>
      </w:r>
      <w:r w:rsidR="009632BB" w:rsidRPr="00E15DF7">
        <w:rPr>
          <w:rFonts w:ascii="Arial" w:hAnsi="Arial" w:cs="Arial"/>
          <w:lang w:val="es-AR"/>
        </w:rPr>
        <w:t xml:space="preserve">Gráfico </w:t>
      </w:r>
      <w:r w:rsidR="009632BB" w:rsidRPr="00E15DF7">
        <w:rPr>
          <w:rFonts w:ascii="Arial" w:hAnsi="Arial" w:cs="Arial"/>
          <w:noProof/>
          <w:lang w:val="es-AR"/>
        </w:rPr>
        <w:t>14</w:t>
      </w:r>
      <w:r w:rsidRPr="00E15DF7">
        <w:rPr>
          <w:rFonts w:ascii="Arial" w:hAnsi="Arial" w:cs="Arial"/>
        </w:rPr>
        <w:fldChar w:fldCharType="end"/>
      </w:r>
      <w:r w:rsidRPr="00E15DF7">
        <w:rPr>
          <w:rFonts w:ascii="Arial" w:hAnsi="Arial" w:cs="Arial"/>
          <w:lang w:val="es-AR"/>
        </w:rPr>
        <w:t xml:space="preserve"> se observa que mientras que el número de partos institucionales en CMIs de gestión descentralizada aumentó, la cantidad de partos en Hospitales de parturientas provenientes de municipios con CMIs descentralizado, también aumentó o se mantuvo constante. Esto ocurre no solo en términos absolutos sino también en términos relativos. El comportamiento de estas variables sugiere que los CMIs de gestión descentralizada prestan servicios a beneficiarios que anteriormente no accedían al servicio público de salud. Por lo tanto, no resulta evidente que exista la posibilidad de generar espacio fiscal reasignando gasto desde las unidades de salud pública que funcionan en forma centralizada. Cabe aclarar, sin embargo, que no se consideran los partos de mujeres que viven en municipios aledaños a aquellos en los que funciona un CMI descentralizado.</w:t>
      </w:r>
    </w:p>
    <w:p w:rsidR="00CF7DFC" w:rsidRDefault="00CF7DFC" w:rsidP="00AA3706">
      <w:pPr>
        <w:pStyle w:val="Epgrafe1"/>
        <w:keepNext/>
        <w:spacing w:line="276" w:lineRule="auto"/>
        <w:rPr>
          <w:color w:val="auto"/>
          <w:sz w:val="22"/>
          <w:lang w:val="es-AR"/>
        </w:rPr>
      </w:pPr>
      <w:bookmarkStart w:id="22" w:name="_Ref446425103"/>
    </w:p>
    <w:p w:rsidR="000C6BDD" w:rsidRPr="00E15DF7" w:rsidRDefault="000C6BDD" w:rsidP="003D629E">
      <w:pPr>
        <w:pStyle w:val="Epgrafe1"/>
        <w:keepNext/>
        <w:spacing w:line="276" w:lineRule="auto"/>
        <w:jc w:val="center"/>
        <w:rPr>
          <w:rFonts w:ascii="Arial" w:hAnsi="Arial" w:cs="Arial"/>
          <w:color w:val="auto"/>
          <w:sz w:val="20"/>
          <w:szCs w:val="20"/>
          <w:lang w:val="es-AR"/>
        </w:rPr>
      </w:pPr>
      <w:r w:rsidRPr="00E15DF7">
        <w:rPr>
          <w:rFonts w:ascii="Arial" w:hAnsi="Arial" w:cs="Arial"/>
          <w:color w:val="auto"/>
          <w:sz w:val="20"/>
          <w:szCs w:val="20"/>
          <w:lang w:val="es-AR"/>
        </w:rPr>
        <w:t xml:space="preserve">Gráfico </w:t>
      </w:r>
      <w:r w:rsidRPr="00E15DF7">
        <w:rPr>
          <w:rFonts w:ascii="Arial" w:hAnsi="Arial" w:cs="Arial"/>
          <w:color w:val="auto"/>
          <w:sz w:val="20"/>
          <w:szCs w:val="20"/>
        </w:rPr>
        <w:fldChar w:fldCharType="begin"/>
      </w:r>
      <w:r w:rsidRPr="00E15DF7">
        <w:rPr>
          <w:rFonts w:ascii="Arial" w:hAnsi="Arial" w:cs="Arial"/>
          <w:color w:val="auto"/>
          <w:sz w:val="20"/>
          <w:szCs w:val="20"/>
          <w:lang w:val="es-AR"/>
        </w:rPr>
        <w:instrText xml:space="preserve"> SEQ "Gráfico" \*Arabic </w:instrText>
      </w:r>
      <w:r w:rsidRPr="00E15DF7">
        <w:rPr>
          <w:rFonts w:ascii="Arial" w:hAnsi="Arial" w:cs="Arial"/>
          <w:color w:val="auto"/>
          <w:sz w:val="20"/>
          <w:szCs w:val="20"/>
        </w:rPr>
        <w:fldChar w:fldCharType="separate"/>
      </w:r>
      <w:r w:rsidR="00F97D55" w:rsidRPr="00E15DF7">
        <w:rPr>
          <w:rFonts w:ascii="Arial" w:hAnsi="Arial" w:cs="Arial"/>
          <w:noProof/>
          <w:color w:val="auto"/>
          <w:sz w:val="20"/>
          <w:szCs w:val="20"/>
          <w:lang w:val="es-AR"/>
        </w:rPr>
        <w:t>13</w:t>
      </w:r>
      <w:r w:rsidRPr="00E15DF7">
        <w:rPr>
          <w:rFonts w:ascii="Arial" w:hAnsi="Arial" w:cs="Arial"/>
          <w:color w:val="auto"/>
          <w:sz w:val="20"/>
          <w:szCs w:val="20"/>
        </w:rPr>
        <w:fldChar w:fldCharType="end"/>
      </w:r>
      <w:bookmarkEnd w:id="22"/>
      <w:r w:rsidRPr="00E15DF7">
        <w:rPr>
          <w:rFonts w:ascii="Arial" w:hAnsi="Arial" w:cs="Arial"/>
          <w:color w:val="auto"/>
          <w:sz w:val="20"/>
          <w:szCs w:val="20"/>
          <w:lang w:val="es-AR"/>
        </w:rPr>
        <w:t>: Evolución de partos institucionales en Hospitales bajo gestión centralizada y en Centros Materno Infantiles (CMI) de gestión descentralizada</w:t>
      </w:r>
    </w:p>
    <w:p w:rsidR="007250EE" w:rsidRPr="00833956" w:rsidRDefault="007250EE" w:rsidP="00AA3706">
      <w:pPr>
        <w:pStyle w:val="Epgrafe1"/>
        <w:keepNext/>
        <w:spacing w:line="276" w:lineRule="auto"/>
        <w:rPr>
          <w:lang w:val="es-AR"/>
        </w:rPr>
      </w:pPr>
    </w:p>
    <w:p w:rsidR="000C6BDD" w:rsidRDefault="00FD4DBE" w:rsidP="00AA3706">
      <w:pPr>
        <w:spacing w:line="276" w:lineRule="auto"/>
      </w:pPr>
      <w:r>
        <w:rPr>
          <w:noProof/>
          <w:lang w:val="en-US" w:eastAsia="en-US"/>
        </w:rPr>
        <w:drawing>
          <wp:inline distT="0" distB="0" distL="0" distR="0" wp14:anchorId="7048E426" wp14:editId="376584BC">
            <wp:extent cx="4619625" cy="3019425"/>
            <wp:effectExtent l="0" t="0" r="9525" b="9525"/>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619625" cy="3019425"/>
                    </a:xfrm>
                    <a:prstGeom prst="rect">
                      <a:avLst/>
                    </a:prstGeom>
                    <a:solidFill>
                      <a:srgbClr val="FFFFFF"/>
                    </a:solidFill>
                    <a:ln>
                      <a:noFill/>
                    </a:ln>
                  </pic:spPr>
                </pic:pic>
              </a:graphicData>
            </a:graphic>
          </wp:inline>
        </w:drawing>
      </w:r>
    </w:p>
    <w:p w:rsidR="005B15AA" w:rsidRPr="00E15DF7" w:rsidRDefault="009632BB" w:rsidP="00AA3706">
      <w:pPr>
        <w:spacing w:line="276" w:lineRule="auto"/>
        <w:ind w:firstLine="0"/>
        <w:rPr>
          <w:rFonts w:ascii="Arial" w:hAnsi="Arial" w:cs="Arial"/>
          <w:sz w:val="18"/>
          <w:lang w:val="es-AR"/>
        </w:rPr>
      </w:pPr>
      <w:r w:rsidRPr="00E15DF7">
        <w:rPr>
          <w:rFonts w:ascii="Arial" w:hAnsi="Arial" w:cs="Arial"/>
          <w:sz w:val="18"/>
          <w:lang w:val="es-AR"/>
        </w:rPr>
        <w:t>Fuente: Elaboración propia en base a datos provistos por la Secretaría de Salud</w:t>
      </w:r>
    </w:p>
    <w:p w:rsidR="009632BB" w:rsidRDefault="009632BB" w:rsidP="00AA3706">
      <w:pPr>
        <w:spacing w:line="276" w:lineRule="auto"/>
        <w:ind w:firstLine="0"/>
        <w:rPr>
          <w:lang w:val="es-AR"/>
        </w:rPr>
      </w:pPr>
    </w:p>
    <w:p w:rsidR="000C6BDD" w:rsidRPr="00833956" w:rsidRDefault="000C6BDD" w:rsidP="00AA3706">
      <w:pPr>
        <w:spacing w:line="276" w:lineRule="auto"/>
        <w:ind w:firstLine="0"/>
        <w:rPr>
          <w:lang w:val="es-AR"/>
        </w:rPr>
      </w:pPr>
      <w:r w:rsidRPr="00E15DF7">
        <w:rPr>
          <w:rFonts w:ascii="Arial" w:hAnsi="Arial" w:cs="Arial"/>
          <w:lang w:val="es-AR"/>
        </w:rPr>
        <w:t xml:space="preserve">El </w:t>
      </w:r>
      <w:r w:rsidRPr="00E15DF7">
        <w:rPr>
          <w:rFonts w:ascii="Arial" w:hAnsi="Arial" w:cs="Arial"/>
        </w:rPr>
        <w:fldChar w:fldCharType="begin"/>
      </w:r>
      <w:r w:rsidRPr="00E15DF7">
        <w:rPr>
          <w:rFonts w:ascii="Arial" w:hAnsi="Arial" w:cs="Arial"/>
          <w:lang w:val="es-AR"/>
        </w:rPr>
        <w:instrText xml:space="preserve"> REF _Ref446425595 \h </w:instrText>
      </w:r>
      <w:r w:rsidR="00AA3706" w:rsidRPr="00E15DF7">
        <w:rPr>
          <w:rFonts w:ascii="Arial" w:hAnsi="Arial" w:cs="Arial"/>
          <w:lang w:val="es-AR"/>
        </w:rPr>
        <w:instrText xml:space="preserve"> \* MERGEFORMAT </w:instrText>
      </w:r>
      <w:r w:rsidRPr="00E15DF7">
        <w:rPr>
          <w:rFonts w:ascii="Arial" w:hAnsi="Arial" w:cs="Arial"/>
        </w:rPr>
      </w:r>
      <w:r w:rsidRPr="00E15DF7">
        <w:rPr>
          <w:rFonts w:ascii="Arial" w:hAnsi="Arial" w:cs="Arial"/>
        </w:rPr>
        <w:fldChar w:fldCharType="separate"/>
      </w:r>
      <w:r w:rsidR="00487899" w:rsidRPr="00E15DF7">
        <w:rPr>
          <w:rFonts w:ascii="Arial" w:hAnsi="Arial" w:cs="Arial"/>
          <w:lang w:val="es-AR"/>
        </w:rPr>
        <w:t xml:space="preserve">Cuadro </w:t>
      </w:r>
      <w:r w:rsidR="00487899" w:rsidRPr="00E15DF7">
        <w:rPr>
          <w:rFonts w:ascii="Arial" w:hAnsi="Arial" w:cs="Arial"/>
          <w:noProof/>
          <w:lang w:val="es-AR"/>
        </w:rPr>
        <w:t>11</w:t>
      </w:r>
      <w:r w:rsidRPr="00E15DF7">
        <w:rPr>
          <w:rFonts w:ascii="Arial" w:hAnsi="Arial" w:cs="Arial"/>
        </w:rPr>
        <w:fldChar w:fldCharType="end"/>
      </w:r>
      <w:r w:rsidRPr="00E15DF7">
        <w:rPr>
          <w:rFonts w:ascii="Arial" w:hAnsi="Arial" w:cs="Arial"/>
          <w:lang w:val="es-AR"/>
        </w:rPr>
        <w:t xml:space="preserve"> permite analizar lo sucedido a nivel Hospital. En negrita se indican aquellos hospitales de gestión descentralizada que atienden un número relevante de partos en los cuales la madre procede de un municipio en el que funciona un CMI de gestión descentralizada. Se puede observar que en solo uno de los casos el número de partos, tanto en términos absolutos como relativos se reduce de manera notoria. En el Hospital de Área Puerto Lempira baja la proporción de partos del grupo observado del 30% al 4%. Debe aclararse que el peso relativo de este hospital es menor en relación al conjunto. Por lo tanto la conclusión arribada en el párrafo anterior se mantiene.</w:t>
      </w:r>
    </w:p>
    <w:p w:rsidR="000C6BDD" w:rsidRPr="00E15DF7" w:rsidRDefault="000C6BDD" w:rsidP="003D629E">
      <w:pPr>
        <w:pStyle w:val="Epgrafe1"/>
        <w:keepNext/>
        <w:spacing w:line="276" w:lineRule="auto"/>
        <w:jc w:val="center"/>
        <w:rPr>
          <w:rFonts w:ascii="Arial" w:hAnsi="Arial" w:cs="Arial"/>
          <w:color w:val="auto"/>
          <w:sz w:val="20"/>
          <w:szCs w:val="20"/>
          <w:lang w:val="es-AR"/>
        </w:rPr>
      </w:pPr>
      <w:bookmarkStart w:id="23" w:name="_Ref446425595"/>
      <w:r w:rsidRPr="00E15DF7">
        <w:rPr>
          <w:rFonts w:ascii="Arial" w:hAnsi="Arial" w:cs="Arial"/>
          <w:color w:val="auto"/>
          <w:sz w:val="20"/>
          <w:szCs w:val="20"/>
          <w:lang w:val="es-AR"/>
        </w:rPr>
        <w:lastRenderedPageBreak/>
        <w:t xml:space="preserve">Cuadro </w:t>
      </w:r>
      <w:r w:rsidRPr="00E15DF7">
        <w:rPr>
          <w:rFonts w:ascii="Arial" w:hAnsi="Arial" w:cs="Arial"/>
          <w:color w:val="auto"/>
          <w:sz w:val="20"/>
          <w:szCs w:val="20"/>
        </w:rPr>
        <w:fldChar w:fldCharType="begin"/>
      </w:r>
      <w:r w:rsidRPr="00E15DF7">
        <w:rPr>
          <w:rFonts w:ascii="Arial" w:hAnsi="Arial" w:cs="Arial"/>
          <w:color w:val="auto"/>
          <w:sz w:val="20"/>
          <w:szCs w:val="20"/>
          <w:lang w:val="es-AR"/>
        </w:rPr>
        <w:instrText xml:space="preserve"> SEQ "Cuadro" \*Arabic </w:instrText>
      </w:r>
      <w:r w:rsidRPr="00E15DF7">
        <w:rPr>
          <w:rFonts w:ascii="Arial" w:hAnsi="Arial" w:cs="Arial"/>
          <w:color w:val="auto"/>
          <w:sz w:val="20"/>
          <w:szCs w:val="20"/>
        </w:rPr>
        <w:fldChar w:fldCharType="separate"/>
      </w:r>
      <w:r w:rsidR="009C1E0D" w:rsidRPr="00E15DF7">
        <w:rPr>
          <w:rFonts w:ascii="Arial" w:hAnsi="Arial" w:cs="Arial"/>
          <w:noProof/>
          <w:color w:val="auto"/>
          <w:sz w:val="20"/>
          <w:szCs w:val="20"/>
          <w:lang w:val="es-AR"/>
        </w:rPr>
        <w:t>11</w:t>
      </w:r>
      <w:r w:rsidRPr="00E15DF7">
        <w:rPr>
          <w:rFonts w:ascii="Arial" w:hAnsi="Arial" w:cs="Arial"/>
          <w:color w:val="auto"/>
          <w:sz w:val="20"/>
          <w:szCs w:val="20"/>
        </w:rPr>
        <w:fldChar w:fldCharType="end"/>
      </w:r>
      <w:bookmarkEnd w:id="23"/>
      <w:r w:rsidRPr="00E15DF7">
        <w:rPr>
          <w:rFonts w:ascii="Arial" w:hAnsi="Arial" w:cs="Arial"/>
          <w:color w:val="auto"/>
          <w:sz w:val="20"/>
          <w:szCs w:val="20"/>
          <w:lang w:val="es-AR"/>
        </w:rPr>
        <w:t>: Cantidad y proporción de parturientas provenientes de municipios con CMI de gestión descentralizada en Hospitales de gestión centralizada</w:t>
      </w:r>
    </w:p>
    <w:p w:rsidR="007250EE" w:rsidRPr="00833956" w:rsidRDefault="007250EE" w:rsidP="00AA3706">
      <w:pPr>
        <w:pStyle w:val="Epgrafe1"/>
        <w:keepNext/>
        <w:spacing w:line="276" w:lineRule="auto"/>
        <w:rPr>
          <w:lang w:val="es-AR"/>
        </w:rPr>
      </w:pPr>
    </w:p>
    <w:p w:rsidR="000C6BDD" w:rsidRDefault="00FD4DBE" w:rsidP="00AA3706">
      <w:pPr>
        <w:spacing w:line="276" w:lineRule="auto"/>
        <w:ind w:firstLine="0"/>
        <w:rPr>
          <w:lang w:val="es-AR"/>
        </w:rPr>
      </w:pPr>
      <w:r>
        <w:rPr>
          <w:noProof/>
          <w:lang w:val="en-US" w:eastAsia="en-US"/>
        </w:rPr>
        <w:drawing>
          <wp:inline distT="0" distB="0" distL="0" distR="0" wp14:anchorId="4CA1EE99" wp14:editId="7B4B364D">
            <wp:extent cx="5610225" cy="6000750"/>
            <wp:effectExtent l="0" t="0" r="9525" b="0"/>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610225" cy="6000750"/>
                    </a:xfrm>
                    <a:prstGeom prst="rect">
                      <a:avLst/>
                    </a:prstGeom>
                    <a:solidFill>
                      <a:srgbClr val="FFFFFF"/>
                    </a:solidFill>
                    <a:ln>
                      <a:noFill/>
                    </a:ln>
                  </pic:spPr>
                </pic:pic>
              </a:graphicData>
            </a:graphic>
          </wp:inline>
        </w:drawing>
      </w:r>
    </w:p>
    <w:p w:rsidR="009632BB" w:rsidRPr="00E15DF7" w:rsidRDefault="009632BB" w:rsidP="00AA3706">
      <w:pPr>
        <w:spacing w:line="276" w:lineRule="auto"/>
        <w:ind w:firstLine="0"/>
        <w:rPr>
          <w:rFonts w:ascii="Arial" w:hAnsi="Arial" w:cs="Arial"/>
          <w:sz w:val="18"/>
          <w:lang w:val="es-AR"/>
        </w:rPr>
      </w:pPr>
      <w:r w:rsidRPr="00E15DF7">
        <w:rPr>
          <w:rFonts w:ascii="Arial" w:hAnsi="Arial" w:cs="Arial"/>
          <w:sz w:val="18"/>
          <w:lang w:val="es-AR"/>
        </w:rPr>
        <w:t>Fuente: Elaboración propia en base a datos provistos por la Secretaría de Salud</w:t>
      </w:r>
    </w:p>
    <w:p w:rsidR="000C6BDD" w:rsidRPr="00E15DF7" w:rsidRDefault="000C6BDD" w:rsidP="00AA3706">
      <w:pPr>
        <w:spacing w:line="276" w:lineRule="auto"/>
        <w:ind w:firstLine="0"/>
        <w:rPr>
          <w:rFonts w:ascii="Arial" w:hAnsi="Arial" w:cs="Arial"/>
          <w:lang w:val="es-AR"/>
        </w:rPr>
      </w:pPr>
    </w:p>
    <w:p w:rsidR="006C68A8" w:rsidRDefault="006C68A8" w:rsidP="00AA3706">
      <w:pPr>
        <w:spacing w:line="276" w:lineRule="auto"/>
        <w:ind w:firstLine="0"/>
        <w:rPr>
          <w:lang w:val="es-AR"/>
        </w:rPr>
      </w:pPr>
    </w:p>
    <w:p w:rsidR="006C68A8" w:rsidRDefault="006C68A8" w:rsidP="00AA3706">
      <w:pPr>
        <w:spacing w:line="276" w:lineRule="auto"/>
        <w:ind w:firstLine="0"/>
        <w:rPr>
          <w:lang w:val="es-AR"/>
        </w:rPr>
      </w:pPr>
    </w:p>
    <w:p w:rsidR="006C68A8" w:rsidRDefault="006C68A8" w:rsidP="00AA3706">
      <w:pPr>
        <w:spacing w:line="276" w:lineRule="auto"/>
        <w:ind w:firstLine="0"/>
        <w:rPr>
          <w:lang w:val="es-AR"/>
        </w:rPr>
      </w:pPr>
    </w:p>
    <w:p w:rsidR="006C68A8" w:rsidRDefault="006C68A8" w:rsidP="00AA3706">
      <w:pPr>
        <w:spacing w:line="276" w:lineRule="auto"/>
        <w:ind w:firstLine="0"/>
        <w:rPr>
          <w:lang w:val="es-AR"/>
        </w:rPr>
      </w:pPr>
    </w:p>
    <w:p w:rsidR="006C68A8" w:rsidRDefault="006C68A8" w:rsidP="00AA3706">
      <w:pPr>
        <w:spacing w:line="276" w:lineRule="auto"/>
        <w:ind w:firstLine="0"/>
        <w:rPr>
          <w:lang w:val="es-AR"/>
        </w:rPr>
      </w:pPr>
    </w:p>
    <w:p w:rsidR="00F678EF" w:rsidRPr="00E15DF7" w:rsidRDefault="00972AD6" w:rsidP="00CF7DFC">
      <w:pPr>
        <w:pStyle w:val="Heading2"/>
        <w:spacing w:line="276" w:lineRule="auto"/>
        <w:rPr>
          <w:rFonts w:ascii="Arial" w:hAnsi="Arial" w:cs="Arial"/>
          <w:sz w:val="22"/>
          <w:szCs w:val="22"/>
          <w:lang w:val="es-AR"/>
        </w:rPr>
      </w:pPr>
      <w:r>
        <w:rPr>
          <w:lang w:val="es-AR"/>
        </w:rPr>
        <w:br w:type="page"/>
      </w:r>
      <w:r w:rsidR="00786725" w:rsidRPr="00E15DF7">
        <w:rPr>
          <w:rFonts w:ascii="Arial" w:hAnsi="Arial" w:cs="Arial"/>
          <w:sz w:val="22"/>
          <w:szCs w:val="22"/>
          <w:lang w:val="es-AR"/>
        </w:rPr>
        <w:lastRenderedPageBreak/>
        <w:t xml:space="preserve">III.2 </w:t>
      </w:r>
      <w:r w:rsidR="000C6BDD" w:rsidRPr="00E15DF7">
        <w:rPr>
          <w:rFonts w:ascii="Arial" w:hAnsi="Arial" w:cs="Arial"/>
          <w:sz w:val="22"/>
          <w:szCs w:val="22"/>
          <w:lang w:val="es-AR"/>
        </w:rPr>
        <w:t xml:space="preserve">FUENTES DE ESPACIO FISCAL: FIDEICOMISO VIDA MEJOR </w:t>
      </w:r>
    </w:p>
    <w:p w:rsidR="003F06C2" w:rsidRPr="00E15DF7" w:rsidRDefault="002D7CCE" w:rsidP="00AA3706">
      <w:pPr>
        <w:pStyle w:val="NormalWeb"/>
        <w:spacing w:line="276" w:lineRule="auto"/>
        <w:jc w:val="both"/>
        <w:rPr>
          <w:rFonts w:ascii="Arial" w:hAnsi="Arial" w:cs="Arial"/>
          <w:sz w:val="22"/>
          <w:szCs w:val="22"/>
        </w:rPr>
      </w:pPr>
      <w:r w:rsidRPr="00E15DF7">
        <w:rPr>
          <w:rFonts w:ascii="Arial" w:hAnsi="Arial" w:cs="Arial"/>
          <w:sz w:val="22"/>
          <w:szCs w:val="22"/>
        </w:rPr>
        <w:t xml:space="preserve">La situación del BVM respecto de la factibilidad de su financiamiento futuro es, de acuerdo a la información disponible, menos clara que la del PGDS. Aun cuando el presupuesto plurianual sea informativo y no determinante, el hecho de que la proyección de fondos destinados a la Secretaría de Desarrollo Social caiga en forma considerable, posiciona al Fondo de Solidaridad y Protección Social como la principal fuente </w:t>
      </w:r>
      <w:r w:rsidR="009935EA" w:rsidRPr="00E15DF7">
        <w:rPr>
          <w:rFonts w:ascii="Arial" w:hAnsi="Arial" w:cs="Arial"/>
          <w:sz w:val="22"/>
          <w:szCs w:val="22"/>
        </w:rPr>
        <w:t>de financiamiento del Programa. Este Fondo entró en funcionamiento en 2014 y ha financiado niveles importantes de gasto social por fuera de las categorías presupuestarias.</w:t>
      </w:r>
    </w:p>
    <w:p w:rsidR="009935EA" w:rsidRPr="00E15DF7" w:rsidRDefault="009935EA" w:rsidP="00AA3706">
      <w:pPr>
        <w:pStyle w:val="NormalWeb"/>
        <w:spacing w:line="276" w:lineRule="auto"/>
        <w:jc w:val="both"/>
        <w:rPr>
          <w:rFonts w:ascii="Arial" w:hAnsi="Arial" w:cs="Arial"/>
          <w:sz w:val="22"/>
          <w:szCs w:val="22"/>
        </w:rPr>
      </w:pPr>
      <w:r w:rsidRPr="00E15DF7">
        <w:rPr>
          <w:rFonts w:ascii="Arial" w:hAnsi="Arial" w:cs="Arial"/>
          <w:sz w:val="22"/>
          <w:szCs w:val="22"/>
        </w:rPr>
        <w:t>El</w:t>
      </w:r>
      <w:r w:rsidR="007250EE" w:rsidRPr="00E15DF7">
        <w:rPr>
          <w:rFonts w:ascii="Arial" w:hAnsi="Arial" w:cs="Arial"/>
          <w:sz w:val="22"/>
          <w:szCs w:val="22"/>
        </w:rPr>
        <w:t xml:space="preserve"> </w:t>
      </w:r>
      <w:r w:rsidR="007250EE" w:rsidRPr="00E15DF7">
        <w:rPr>
          <w:rFonts w:ascii="Arial" w:hAnsi="Arial" w:cs="Arial"/>
          <w:sz w:val="22"/>
          <w:szCs w:val="22"/>
        </w:rPr>
        <w:fldChar w:fldCharType="begin"/>
      </w:r>
      <w:r w:rsidR="007250EE" w:rsidRPr="00E15DF7">
        <w:rPr>
          <w:rFonts w:ascii="Arial" w:hAnsi="Arial" w:cs="Arial"/>
          <w:sz w:val="22"/>
          <w:szCs w:val="22"/>
        </w:rPr>
        <w:instrText xml:space="preserve"> REF _Ref447018442 \h </w:instrText>
      </w:r>
      <w:r w:rsidR="00AA3706" w:rsidRPr="00E15DF7">
        <w:rPr>
          <w:rFonts w:ascii="Arial" w:hAnsi="Arial" w:cs="Arial"/>
          <w:sz w:val="22"/>
          <w:szCs w:val="22"/>
        </w:rPr>
        <w:instrText xml:space="preserve"> \* MERGEFORMAT </w:instrText>
      </w:r>
      <w:r w:rsidR="007250EE" w:rsidRPr="00E15DF7">
        <w:rPr>
          <w:rFonts w:ascii="Arial" w:hAnsi="Arial" w:cs="Arial"/>
          <w:sz w:val="22"/>
          <w:szCs w:val="22"/>
        </w:rPr>
      </w:r>
      <w:r w:rsidR="007250EE" w:rsidRPr="00E15DF7">
        <w:rPr>
          <w:rFonts w:ascii="Arial" w:hAnsi="Arial" w:cs="Arial"/>
          <w:sz w:val="22"/>
          <w:szCs w:val="22"/>
        </w:rPr>
        <w:fldChar w:fldCharType="separate"/>
      </w:r>
      <w:r w:rsidR="007250EE" w:rsidRPr="00E15DF7">
        <w:rPr>
          <w:rFonts w:ascii="Arial" w:hAnsi="Arial" w:cs="Arial"/>
          <w:sz w:val="22"/>
          <w:szCs w:val="22"/>
        </w:rPr>
        <w:t>Gráfico 15</w:t>
      </w:r>
      <w:r w:rsidR="007250EE" w:rsidRPr="00E15DF7">
        <w:rPr>
          <w:rFonts w:ascii="Arial" w:hAnsi="Arial" w:cs="Arial"/>
          <w:sz w:val="22"/>
          <w:szCs w:val="22"/>
        </w:rPr>
        <w:fldChar w:fldCharType="end"/>
      </w:r>
      <w:r w:rsidRPr="00E15DF7">
        <w:rPr>
          <w:rFonts w:ascii="Arial" w:hAnsi="Arial" w:cs="Arial"/>
          <w:sz w:val="22"/>
          <w:szCs w:val="22"/>
        </w:rPr>
        <w:t xml:space="preserve"> permite caracterizar las necesidades de financiamiento del BVM en relación a los recursos del Fondo de Solidaridad y Protección Social. Para alcanzar la cobertura de 400.000 familias, el monto requerido oscila entre el 0,4% y el 0,58% del PBI</w:t>
      </w:r>
      <w:r w:rsidR="00A876DE" w:rsidRPr="00E15DF7">
        <w:rPr>
          <w:rFonts w:ascii="Arial" w:hAnsi="Arial" w:cs="Arial"/>
          <w:sz w:val="22"/>
          <w:szCs w:val="22"/>
        </w:rPr>
        <w:footnoteReference w:id="6"/>
      </w:r>
      <w:r w:rsidRPr="00E15DF7">
        <w:rPr>
          <w:rFonts w:ascii="Arial" w:hAnsi="Arial" w:cs="Arial"/>
          <w:sz w:val="22"/>
          <w:szCs w:val="22"/>
        </w:rPr>
        <w:t xml:space="preserve">. Los recursos del fondo, que dependen de la recaudación de un impuesto indirecto, se mantienen relativamente constantes en términos del PBI. </w:t>
      </w:r>
      <w:r w:rsidR="0034792F" w:rsidRPr="00E15DF7">
        <w:rPr>
          <w:rFonts w:ascii="Arial" w:hAnsi="Arial" w:cs="Arial"/>
          <w:sz w:val="22"/>
          <w:szCs w:val="22"/>
        </w:rPr>
        <w:t>Como vimos al final de la primera sección, e</w:t>
      </w:r>
      <w:r w:rsidRPr="00E15DF7">
        <w:rPr>
          <w:rFonts w:ascii="Arial" w:hAnsi="Arial" w:cs="Arial"/>
          <w:sz w:val="22"/>
          <w:szCs w:val="22"/>
        </w:rPr>
        <w:t xml:space="preserve">l promedio de los años 2014 y 2015 fue de 1,1% del PBI, valor que está marcado con una línea roja punteada en el Gráfico. Sin embargo, aquellos recursos del Fondo destinados a la SDIS fueron en promedio del 0,6% del PBI. Es decir, que si la totalidad del BVM tuviera que ser financiada </w:t>
      </w:r>
      <w:r w:rsidR="00A876DE" w:rsidRPr="00E15DF7">
        <w:rPr>
          <w:rFonts w:ascii="Arial" w:hAnsi="Arial" w:cs="Arial"/>
          <w:sz w:val="22"/>
          <w:szCs w:val="22"/>
        </w:rPr>
        <w:t>con recursos propios por el GoH, tendría que destinar prácticamente la totalidad de los recursos que el Fondo de Solidaridad canaliza a la SDIS</w:t>
      </w:r>
      <w:r w:rsidR="00DA781E" w:rsidRPr="00E15DF7">
        <w:rPr>
          <w:rFonts w:ascii="Arial" w:hAnsi="Arial" w:cs="Arial"/>
          <w:sz w:val="22"/>
          <w:szCs w:val="22"/>
        </w:rPr>
        <w:t xml:space="preserve"> durante los primeros tres años y posteriormente alrededor de un 70%</w:t>
      </w:r>
      <w:r w:rsidR="00A876DE" w:rsidRPr="00E15DF7">
        <w:rPr>
          <w:rFonts w:ascii="Arial" w:hAnsi="Arial" w:cs="Arial"/>
          <w:sz w:val="22"/>
          <w:szCs w:val="22"/>
        </w:rPr>
        <w:t>.</w:t>
      </w:r>
      <w:r w:rsidR="00E17C13" w:rsidRPr="00E15DF7">
        <w:rPr>
          <w:rFonts w:ascii="Arial" w:hAnsi="Arial" w:cs="Arial"/>
          <w:sz w:val="22"/>
          <w:szCs w:val="22"/>
        </w:rPr>
        <w:t xml:space="preserve"> Cabe aclarar que durante los primeros años parte del financiamiento correría por parte del BID de aprobarse la nueva operación.</w:t>
      </w:r>
    </w:p>
    <w:p w:rsidR="00545239" w:rsidRPr="00E15DF7" w:rsidRDefault="00CF0A92" w:rsidP="003D629E">
      <w:pPr>
        <w:spacing w:line="276" w:lineRule="auto"/>
        <w:ind w:firstLine="0"/>
        <w:jc w:val="center"/>
        <w:rPr>
          <w:rFonts w:ascii="Arial" w:hAnsi="Arial" w:cs="Arial"/>
          <w:b/>
          <w:sz w:val="20"/>
          <w:szCs w:val="20"/>
          <w:lang w:val="es-AR"/>
        </w:rPr>
      </w:pPr>
      <w:bookmarkStart w:id="24" w:name="_Ref446635481"/>
      <w:bookmarkStart w:id="25" w:name="_Ref447018442"/>
      <w:r>
        <w:rPr>
          <w:lang w:val="es-AR"/>
        </w:rPr>
        <w:br w:type="page"/>
      </w:r>
      <w:r w:rsidR="00545239" w:rsidRPr="00E15DF7">
        <w:rPr>
          <w:rFonts w:ascii="Arial" w:hAnsi="Arial" w:cs="Arial"/>
          <w:b/>
          <w:sz w:val="20"/>
          <w:szCs w:val="20"/>
          <w:lang w:val="es-AR"/>
        </w:rPr>
        <w:lastRenderedPageBreak/>
        <w:t xml:space="preserve">Gráfico </w:t>
      </w:r>
      <w:r w:rsidR="00545239" w:rsidRPr="00E15DF7">
        <w:rPr>
          <w:rFonts w:ascii="Arial" w:hAnsi="Arial" w:cs="Arial"/>
          <w:b/>
          <w:sz w:val="20"/>
          <w:szCs w:val="20"/>
          <w:lang w:val="es-AR"/>
        </w:rPr>
        <w:fldChar w:fldCharType="begin"/>
      </w:r>
      <w:r w:rsidR="00545239" w:rsidRPr="00E15DF7">
        <w:rPr>
          <w:rFonts w:ascii="Arial" w:hAnsi="Arial" w:cs="Arial"/>
          <w:b/>
          <w:sz w:val="20"/>
          <w:szCs w:val="20"/>
          <w:lang w:val="es-AR"/>
        </w:rPr>
        <w:instrText xml:space="preserve"> SEQ Gráfico \* ARABIC </w:instrText>
      </w:r>
      <w:r w:rsidR="00545239" w:rsidRPr="00E15DF7">
        <w:rPr>
          <w:rFonts w:ascii="Arial" w:hAnsi="Arial" w:cs="Arial"/>
          <w:b/>
          <w:sz w:val="20"/>
          <w:szCs w:val="20"/>
          <w:lang w:val="es-AR"/>
        </w:rPr>
        <w:fldChar w:fldCharType="separate"/>
      </w:r>
      <w:r w:rsidR="00F97D55" w:rsidRPr="00E15DF7">
        <w:rPr>
          <w:rFonts w:ascii="Arial" w:hAnsi="Arial" w:cs="Arial"/>
          <w:b/>
          <w:noProof/>
          <w:sz w:val="20"/>
          <w:szCs w:val="20"/>
          <w:lang w:val="es-AR"/>
        </w:rPr>
        <w:t>14</w:t>
      </w:r>
      <w:r w:rsidR="00545239" w:rsidRPr="00E15DF7">
        <w:rPr>
          <w:rFonts w:ascii="Arial" w:hAnsi="Arial" w:cs="Arial"/>
          <w:b/>
          <w:sz w:val="20"/>
          <w:szCs w:val="20"/>
          <w:lang w:val="es-AR"/>
        </w:rPr>
        <w:fldChar w:fldCharType="end"/>
      </w:r>
      <w:bookmarkEnd w:id="24"/>
      <w:bookmarkEnd w:id="25"/>
      <w:r w:rsidR="007250EE" w:rsidRPr="00E15DF7">
        <w:rPr>
          <w:rFonts w:ascii="Arial" w:hAnsi="Arial" w:cs="Arial"/>
          <w:b/>
          <w:sz w:val="20"/>
          <w:szCs w:val="20"/>
          <w:lang w:val="es-AR"/>
        </w:rPr>
        <w:t>: Relación entre fondos estimados del Fideicomiso Vida Mejor y requerimientos de financiamiento para los programas analizados</w:t>
      </w:r>
    </w:p>
    <w:p w:rsidR="00DF4D29" w:rsidRDefault="00FD4DBE" w:rsidP="003D629E">
      <w:pPr>
        <w:spacing w:line="276" w:lineRule="auto"/>
        <w:ind w:firstLine="0"/>
        <w:jc w:val="center"/>
        <w:rPr>
          <w:lang w:val="es-AR"/>
        </w:rPr>
      </w:pPr>
      <w:r>
        <w:rPr>
          <w:noProof/>
          <w:lang w:val="en-US" w:eastAsia="en-US"/>
        </w:rPr>
        <w:drawing>
          <wp:inline distT="0" distB="0" distL="0" distR="0" wp14:anchorId="0F6F1632" wp14:editId="33B33722">
            <wp:extent cx="4314825" cy="3114675"/>
            <wp:effectExtent l="0" t="0" r="9525" b="9525"/>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314825" cy="3114675"/>
                    </a:xfrm>
                    <a:prstGeom prst="rect">
                      <a:avLst/>
                    </a:prstGeom>
                    <a:noFill/>
                    <a:ln>
                      <a:noFill/>
                    </a:ln>
                  </pic:spPr>
                </pic:pic>
              </a:graphicData>
            </a:graphic>
          </wp:inline>
        </w:drawing>
      </w:r>
    </w:p>
    <w:p w:rsidR="00B50C74" w:rsidRPr="00E15DF7" w:rsidRDefault="007250EE" w:rsidP="00AA3706">
      <w:pPr>
        <w:spacing w:line="276" w:lineRule="auto"/>
        <w:ind w:firstLine="0"/>
        <w:rPr>
          <w:rFonts w:ascii="Arial" w:hAnsi="Arial" w:cs="Arial"/>
          <w:sz w:val="18"/>
          <w:lang w:val="es-AR"/>
        </w:rPr>
      </w:pPr>
      <w:r w:rsidRPr="00E15DF7">
        <w:rPr>
          <w:rFonts w:ascii="Arial" w:hAnsi="Arial" w:cs="Arial"/>
          <w:sz w:val="18"/>
          <w:lang w:val="es-AR"/>
        </w:rPr>
        <w:t>Fuente: Elaboración propia en base a datos provistos por SEFIN, Secretaría de Salud y SDIS</w:t>
      </w:r>
    </w:p>
    <w:p w:rsidR="007250EE" w:rsidRPr="007250EE" w:rsidRDefault="007250EE" w:rsidP="00AA3706">
      <w:pPr>
        <w:spacing w:line="276" w:lineRule="auto"/>
        <w:ind w:firstLine="0"/>
        <w:rPr>
          <w:sz w:val="18"/>
          <w:lang w:val="es-AR"/>
        </w:rPr>
      </w:pPr>
    </w:p>
    <w:p w:rsidR="00DA781E" w:rsidRPr="00E15DF7" w:rsidRDefault="00E17C13" w:rsidP="00AA3706">
      <w:pPr>
        <w:pStyle w:val="NormalWeb"/>
        <w:spacing w:line="276" w:lineRule="auto"/>
        <w:jc w:val="both"/>
        <w:rPr>
          <w:rFonts w:ascii="Arial" w:hAnsi="Arial" w:cs="Arial"/>
          <w:sz w:val="22"/>
          <w:szCs w:val="22"/>
        </w:rPr>
      </w:pPr>
      <w:r w:rsidRPr="00E15DF7">
        <w:rPr>
          <w:rFonts w:ascii="Arial" w:hAnsi="Arial" w:cs="Arial"/>
          <w:sz w:val="22"/>
          <w:szCs w:val="22"/>
        </w:rPr>
        <w:t xml:space="preserve">Por lo tanto, debe considerarse que para alcanzar esas cifras la distribución actual que hace la SDIS de los recursos provenientes del Fondo debe ser modificada. Si bien no se pudo acceder a información precisa acerca de cuántos recursos recibió cada programa en los años 2014 y 2015, la cantidad de intervenciones de política pública financiadas indica que en el futuro deberá reducirse el abanico de iniciativas. </w:t>
      </w:r>
      <w:r w:rsidR="00AC1B19" w:rsidRPr="00E15DF7">
        <w:rPr>
          <w:rFonts w:ascii="Arial" w:hAnsi="Arial" w:cs="Arial"/>
          <w:sz w:val="22"/>
          <w:szCs w:val="22"/>
        </w:rPr>
        <w:t>De acuerdo a lo comunicado por la SDIS ese proceso ya está teniendo lugar y en 2016 solo cuatro programas obtendrán recursos del fondo (</w:t>
      </w:r>
      <w:r w:rsidR="00AC1B19" w:rsidRPr="00E15DF7">
        <w:rPr>
          <w:rFonts w:ascii="Arial" w:hAnsi="Arial" w:cs="Arial"/>
          <w:sz w:val="22"/>
          <w:szCs w:val="22"/>
        </w:rPr>
        <w:fldChar w:fldCharType="begin"/>
      </w:r>
      <w:r w:rsidR="00AC1B19" w:rsidRPr="00E15DF7">
        <w:rPr>
          <w:rFonts w:ascii="Arial" w:hAnsi="Arial" w:cs="Arial"/>
          <w:sz w:val="22"/>
          <w:szCs w:val="22"/>
        </w:rPr>
        <w:instrText xml:space="preserve"> REF _Ref446636639 \h </w:instrText>
      </w:r>
      <w:r w:rsidR="00AA3706" w:rsidRPr="00E15DF7">
        <w:rPr>
          <w:rFonts w:ascii="Arial" w:hAnsi="Arial" w:cs="Arial"/>
          <w:sz w:val="22"/>
          <w:szCs w:val="22"/>
        </w:rPr>
        <w:instrText xml:space="preserve"> \* MERGEFORMAT </w:instrText>
      </w:r>
      <w:r w:rsidR="00AC1B19" w:rsidRPr="00E15DF7">
        <w:rPr>
          <w:rFonts w:ascii="Arial" w:hAnsi="Arial" w:cs="Arial"/>
          <w:sz w:val="22"/>
          <w:szCs w:val="22"/>
        </w:rPr>
      </w:r>
      <w:r w:rsidR="00AC1B19" w:rsidRPr="00E15DF7">
        <w:rPr>
          <w:rFonts w:ascii="Arial" w:hAnsi="Arial" w:cs="Arial"/>
          <w:sz w:val="22"/>
          <w:szCs w:val="22"/>
        </w:rPr>
        <w:fldChar w:fldCharType="separate"/>
      </w:r>
      <w:r w:rsidR="00487899" w:rsidRPr="00E15DF7">
        <w:rPr>
          <w:rFonts w:ascii="Arial" w:hAnsi="Arial" w:cs="Arial"/>
          <w:sz w:val="22"/>
          <w:szCs w:val="22"/>
        </w:rPr>
        <w:t>Cuadro 12</w:t>
      </w:r>
      <w:r w:rsidR="00AC1B19" w:rsidRPr="00E15DF7">
        <w:rPr>
          <w:rFonts w:ascii="Arial" w:hAnsi="Arial" w:cs="Arial"/>
          <w:sz w:val="22"/>
          <w:szCs w:val="22"/>
        </w:rPr>
        <w:fldChar w:fldCharType="end"/>
      </w:r>
      <w:r w:rsidR="00AC1B19" w:rsidRPr="00E15DF7">
        <w:rPr>
          <w:rFonts w:ascii="Arial" w:hAnsi="Arial" w:cs="Arial"/>
          <w:sz w:val="22"/>
          <w:szCs w:val="22"/>
        </w:rPr>
        <w:t>).</w:t>
      </w:r>
    </w:p>
    <w:p w:rsidR="00487899" w:rsidRPr="00E15DF7" w:rsidRDefault="00487899" w:rsidP="00AA3706">
      <w:pPr>
        <w:pStyle w:val="NormalWeb"/>
        <w:spacing w:line="276" w:lineRule="auto"/>
        <w:jc w:val="both"/>
        <w:rPr>
          <w:rFonts w:ascii="Arial" w:hAnsi="Arial" w:cs="Arial"/>
          <w:sz w:val="22"/>
          <w:szCs w:val="22"/>
        </w:rPr>
      </w:pPr>
      <w:r w:rsidRPr="00E15DF7">
        <w:rPr>
          <w:rFonts w:ascii="Arial" w:hAnsi="Arial" w:cs="Arial"/>
          <w:sz w:val="22"/>
          <w:szCs w:val="22"/>
        </w:rPr>
        <w:t xml:space="preserve">El ajuste necesario es más fácilmente manejable en el caso del incremento gradual de beneficiarios. Retomando la alternativa de alcanzar la meta de 400.000 hogares en el año 2020, el </w:t>
      </w:r>
      <w:r w:rsidR="00F97D55" w:rsidRPr="00E15DF7">
        <w:rPr>
          <w:rFonts w:ascii="Arial" w:hAnsi="Arial" w:cs="Arial"/>
          <w:sz w:val="22"/>
          <w:szCs w:val="22"/>
        </w:rPr>
        <w:fldChar w:fldCharType="begin"/>
      </w:r>
      <w:r w:rsidR="00F97D55" w:rsidRPr="00E15DF7">
        <w:rPr>
          <w:rFonts w:ascii="Arial" w:hAnsi="Arial" w:cs="Arial"/>
          <w:sz w:val="22"/>
          <w:szCs w:val="22"/>
        </w:rPr>
        <w:instrText xml:space="preserve"> REF _Ref447216916 \h  \* MERGEFORMAT </w:instrText>
      </w:r>
      <w:r w:rsidR="00F97D55" w:rsidRPr="00E15DF7">
        <w:rPr>
          <w:rFonts w:ascii="Arial" w:hAnsi="Arial" w:cs="Arial"/>
          <w:sz w:val="22"/>
          <w:szCs w:val="22"/>
        </w:rPr>
      </w:r>
      <w:r w:rsidR="00F97D55" w:rsidRPr="00E15DF7">
        <w:rPr>
          <w:rFonts w:ascii="Arial" w:hAnsi="Arial" w:cs="Arial"/>
          <w:sz w:val="22"/>
          <w:szCs w:val="22"/>
        </w:rPr>
        <w:fldChar w:fldCharType="separate"/>
      </w:r>
      <w:r w:rsidR="00F97D55" w:rsidRPr="00E15DF7">
        <w:rPr>
          <w:rFonts w:ascii="Arial" w:hAnsi="Arial" w:cs="Arial"/>
          <w:sz w:val="22"/>
          <w:szCs w:val="22"/>
        </w:rPr>
        <w:t xml:space="preserve">Gráfico </w:t>
      </w:r>
      <w:r w:rsidR="00F97D55" w:rsidRPr="00E15DF7">
        <w:rPr>
          <w:rFonts w:ascii="Arial" w:hAnsi="Arial" w:cs="Arial"/>
          <w:noProof/>
          <w:sz w:val="22"/>
          <w:szCs w:val="22"/>
        </w:rPr>
        <w:t>15</w:t>
      </w:r>
      <w:r w:rsidR="00F97D55" w:rsidRPr="00E15DF7">
        <w:rPr>
          <w:rFonts w:ascii="Arial" w:hAnsi="Arial" w:cs="Arial"/>
          <w:sz w:val="22"/>
          <w:szCs w:val="22"/>
        </w:rPr>
        <w:fldChar w:fldCharType="end"/>
      </w:r>
      <w:r w:rsidR="00F97D55" w:rsidRPr="00E15DF7">
        <w:rPr>
          <w:rFonts w:ascii="Arial" w:hAnsi="Arial" w:cs="Arial"/>
          <w:sz w:val="22"/>
          <w:szCs w:val="22"/>
        </w:rPr>
        <w:t xml:space="preserve"> </w:t>
      </w:r>
      <w:r w:rsidRPr="00E15DF7">
        <w:rPr>
          <w:rFonts w:ascii="Arial" w:hAnsi="Arial" w:cs="Arial"/>
          <w:sz w:val="22"/>
          <w:szCs w:val="22"/>
        </w:rPr>
        <w:t xml:space="preserve">muestra que </w:t>
      </w:r>
      <w:r w:rsidR="00F97D55" w:rsidRPr="00E15DF7">
        <w:rPr>
          <w:rFonts w:ascii="Arial" w:hAnsi="Arial" w:cs="Arial"/>
          <w:sz w:val="22"/>
          <w:szCs w:val="22"/>
        </w:rPr>
        <w:t>de esta forma, el BVM requeriría durante los primeros tres años algo más de un 60% de la porción que se está destinando a la SDIS.</w:t>
      </w:r>
    </w:p>
    <w:p w:rsidR="00F97D55" w:rsidRPr="00E15DF7" w:rsidRDefault="00F97D55" w:rsidP="003D629E">
      <w:pPr>
        <w:pStyle w:val="Caption"/>
        <w:keepNext/>
        <w:ind w:firstLine="0"/>
        <w:jc w:val="center"/>
        <w:rPr>
          <w:rFonts w:ascii="Arial" w:hAnsi="Arial" w:cs="Arial"/>
          <w:lang w:val="es-AR"/>
        </w:rPr>
      </w:pPr>
      <w:bookmarkStart w:id="26" w:name="_Ref447216916"/>
      <w:r w:rsidRPr="00E15DF7">
        <w:rPr>
          <w:rFonts w:ascii="Arial" w:hAnsi="Arial" w:cs="Arial"/>
          <w:lang w:val="es-AR"/>
        </w:rPr>
        <w:lastRenderedPageBreak/>
        <w:t xml:space="preserve">Gráfico </w:t>
      </w:r>
      <w:r w:rsidRPr="00E15DF7">
        <w:rPr>
          <w:rFonts w:ascii="Arial" w:hAnsi="Arial" w:cs="Arial"/>
        </w:rPr>
        <w:fldChar w:fldCharType="begin"/>
      </w:r>
      <w:r w:rsidRPr="00E15DF7">
        <w:rPr>
          <w:rFonts w:ascii="Arial" w:hAnsi="Arial" w:cs="Arial"/>
          <w:lang w:val="es-AR"/>
        </w:rPr>
        <w:instrText xml:space="preserve"> SEQ Gráfico \* ARABIC </w:instrText>
      </w:r>
      <w:r w:rsidRPr="00E15DF7">
        <w:rPr>
          <w:rFonts w:ascii="Arial" w:hAnsi="Arial" w:cs="Arial"/>
        </w:rPr>
        <w:fldChar w:fldCharType="separate"/>
      </w:r>
      <w:r w:rsidRPr="00E15DF7">
        <w:rPr>
          <w:rFonts w:ascii="Arial" w:hAnsi="Arial" w:cs="Arial"/>
          <w:noProof/>
          <w:lang w:val="es-AR"/>
        </w:rPr>
        <w:t>15</w:t>
      </w:r>
      <w:r w:rsidRPr="00E15DF7">
        <w:rPr>
          <w:rFonts w:ascii="Arial" w:hAnsi="Arial" w:cs="Arial"/>
        </w:rPr>
        <w:fldChar w:fldCharType="end"/>
      </w:r>
      <w:bookmarkEnd w:id="26"/>
      <w:r w:rsidRPr="00E15DF7">
        <w:rPr>
          <w:rFonts w:ascii="Arial" w:hAnsi="Arial" w:cs="Arial"/>
          <w:lang w:val="es-AR"/>
        </w:rPr>
        <w:t>: Relación entre fondos estimados del Fideicomiso Vida Mejor y requerimientos de financiamiento para los programas analizados (incremento gradual de beneficiarios)</w:t>
      </w:r>
    </w:p>
    <w:p w:rsidR="00F97D55" w:rsidRDefault="00283A3E" w:rsidP="003D629E">
      <w:pPr>
        <w:pStyle w:val="NormalWeb"/>
        <w:spacing w:line="276" w:lineRule="auto"/>
        <w:jc w:val="center"/>
        <w:rPr>
          <w:sz w:val="18"/>
        </w:rPr>
      </w:pPr>
      <w:r w:rsidRPr="00283A3E">
        <w:rPr>
          <w:noProof/>
          <w:lang w:val="en-US" w:eastAsia="en-US"/>
        </w:rPr>
        <w:drawing>
          <wp:inline distT="0" distB="0" distL="0" distR="0" wp14:anchorId="353DDC66" wp14:editId="213D0CFC">
            <wp:extent cx="4343400" cy="3146700"/>
            <wp:effectExtent l="0" t="0" r="0"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4344875" cy="3147768"/>
                    </a:xfrm>
                    <a:prstGeom prst="rect">
                      <a:avLst/>
                    </a:prstGeom>
                    <a:noFill/>
                    <a:ln>
                      <a:noFill/>
                    </a:ln>
                  </pic:spPr>
                </pic:pic>
              </a:graphicData>
            </a:graphic>
          </wp:inline>
        </w:drawing>
      </w:r>
    </w:p>
    <w:p w:rsidR="00F97D55" w:rsidRPr="00E15DF7" w:rsidRDefault="00F97D55" w:rsidP="003D629E">
      <w:pPr>
        <w:pStyle w:val="NormalWeb"/>
        <w:spacing w:line="276" w:lineRule="auto"/>
        <w:ind w:firstLine="708"/>
        <w:jc w:val="both"/>
        <w:rPr>
          <w:rFonts w:ascii="Arial" w:hAnsi="Arial" w:cs="Arial"/>
          <w:sz w:val="22"/>
          <w:szCs w:val="22"/>
        </w:rPr>
      </w:pPr>
      <w:r w:rsidRPr="00E15DF7">
        <w:rPr>
          <w:rFonts w:ascii="Arial" w:hAnsi="Arial" w:cs="Arial"/>
          <w:sz w:val="18"/>
        </w:rPr>
        <w:t>Fuente: Elaboración propia en base a datos provistos por SEFIN, Secretaría de Salud y SDIS</w:t>
      </w:r>
    </w:p>
    <w:p w:rsidR="00140DF1" w:rsidRPr="00E15DF7" w:rsidRDefault="00140DF1" w:rsidP="00AA3706">
      <w:pPr>
        <w:pStyle w:val="NormalWeb"/>
        <w:spacing w:line="276" w:lineRule="auto"/>
        <w:jc w:val="both"/>
        <w:rPr>
          <w:rFonts w:ascii="Arial" w:hAnsi="Arial" w:cs="Arial"/>
          <w:sz w:val="22"/>
          <w:szCs w:val="22"/>
        </w:rPr>
      </w:pPr>
      <w:r w:rsidRPr="00E15DF7">
        <w:rPr>
          <w:rFonts w:ascii="Arial" w:hAnsi="Arial" w:cs="Arial"/>
          <w:sz w:val="22"/>
          <w:szCs w:val="22"/>
        </w:rPr>
        <w:t xml:space="preserve">Asimismo, debe considerarse que para el año 2016 no se debe cubrir la totalidad del financiamiento del programa con recursos propios del GoH. En el primer año analizado, tal cual se observa en el </w:t>
      </w:r>
      <w:r w:rsidR="00EC719F" w:rsidRPr="00E15DF7">
        <w:rPr>
          <w:rFonts w:ascii="Arial" w:hAnsi="Arial" w:cs="Arial"/>
          <w:sz w:val="22"/>
          <w:szCs w:val="22"/>
        </w:rPr>
        <w:fldChar w:fldCharType="begin"/>
      </w:r>
      <w:r w:rsidR="00EC719F" w:rsidRPr="00E15DF7">
        <w:rPr>
          <w:rFonts w:ascii="Arial" w:hAnsi="Arial" w:cs="Arial"/>
          <w:sz w:val="22"/>
          <w:szCs w:val="22"/>
        </w:rPr>
        <w:instrText xml:space="preserve"> REF _Ref447022478 \h </w:instrText>
      </w:r>
      <w:r w:rsidR="00AA3706" w:rsidRPr="00E15DF7">
        <w:rPr>
          <w:rFonts w:ascii="Arial" w:hAnsi="Arial" w:cs="Arial"/>
          <w:sz w:val="22"/>
          <w:szCs w:val="22"/>
        </w:rPr>
        <w:instrText xml:space="preserve"> \* MERGEFORMAT </w:instrText>
      </w:r>
      <w:r w:rsidR="00EC719F" w:rsidRPr="00E15DF7">
        <w:rPr>
          <w:rFonts w:ascii="Arial" w:hAnsi="Arial" w:cs="Arial"/>
          <w:sz w:val="22"/>
          <w:szCs w:val="22"/>
        </w:rPr>
      </w:r>
      <w:r w:rsidR="00EC719F" w:rsidRPr="00E15DF7">
        <w:rPr>
          <w:rFonts w:ascii="Arial" w:hAnsi="Arial" w:cs="Arial"/>
          <w:sz w:val="22"/>
          <w:szCs w:val="22"/>
        </w:rPr>
        <w:fldChar w:fldCharType="separate"/>
      </w:r>
      <w:r w:rsidR="00EC719F" w:rsidRPr="00E15DF7">
        <w:rPr>
          <w:rFonts w:ascii="Arial" w:hAnsi="Arial" w:cs="Arial"/>
          <w:sz w:val="22"/>
          <w:szCs w:val="22"/>
        </w:rPr>
        <w:t>Gráfico 15</w:t>
      </w:r>
      <w:r w:rsidR="00EC719F" w:rsidRPr="00E15DF7">
        <w:rPr>
          <w:rFonts w:ascii="Arial" w:hAnsi="Arial" w:cs="Arial"/>
          <w:sz w:val="22"/>
          <w:szCs w:val="22"/>
        </w:rPr>
        <w:fldChar w:fldCharType="end"/>
      </w:r>
      <w:r w:rsidRPr="00E15DF7">
        <w:rPr>
          <w:rFonts w:ascii="Arial" w:hAnsi="Arial" w:cs="Arial"/>
          <w:sz w:val="22"/>
          <w:szCs w:val="22"/>
        </w:rPr>
        <w:t>, las necesidades de financiamiento son de</w:t>
      </w:r>
      <w:r w:rsidR="00EC719F" w:rsidRPr="00E15DF7">
        <w:rPr>
          <w:rFonts w:ascii="Arial" w:hAnsi="Arial" w:cs="Arial"/>
          <w:sz w:val="22"/>
          <w:szCs w:val="22"/>
        </w:rPr>
        <w:t xml:space="preserve"> algo más de US$ 60 millones – en el caso que se alcance la cobertura de 400.000 hogares – ya que el BIRF y el BID aportarían algo más de US$ 40 millones.</w:t>
      </w:r>
      <w:r w:rsidRPr="00E15DF7">
        <w:rPr>
          <w:rFonts w:ascii="Arial" w:hAnsi="Arial" w:cs="Arial"/>
          <w:sz w:val="22"/>
          <w:szCs w:val="22"/>
        </w:rPr>
        <w:t xml:space="preserve"> </w:t>
      </w:r>
      <w:r w:rsidR="00EC719F" w:rsidRPr="00E15DF7">
        <w:rPr>
          <w:rFonts w:ascii="Arial" w:hAnsi="Arial" w:cs="Arial"/>
          <w:sz w:val="22"/>
          <w:szCs w:val="22"/>
        </w:rPr>
        <w:t>Sin embargo</w:t>
      </w:r>
      <w:r w:rsidRPr="00E15DF7">
        <w:rPr>
          <w:rFonts w:ascii="Arial" w:hAnsi="Arial" w:cs="Arial"/>
          <w:sz w:val="22"/>
          <w:szCs w:val="22"/>
        </w:rPr>
        <w:t>,</w:t>
      </w:r>
      <w:r w:rsidR="00EC719F" w:rsidRPr="00E15DF7">
        <w:rPr>
          <w:rFonts w:ascii="Arial" w:hAnsi="Arial" w:cs="Arial"/>
          <w:sz w:val="22"/>
          <w:szCs w:val="22"/>
        </w:rPr>
        <w:t xml:space="preserve"> las necesidades de fondos son importantes especialmente si se considera que los recursos asignados a la SDIS pueden caer. En ese contexto es de importancia primordial asegurar que el Fideicomiso Vida Mejor / Fondo de Solidaridad y Protección Social</w:t>
      </w:r>
      <w:r w:rsidR="00822626" w:rsidRPr="00E15DF7">
        <w:rPr>
          <w:rFonts w:ascii="Arial" w:hAnsi="Arial" w:cs="Arial"/>
          <w:sz w:val="22"/>
          <w:szCs w:val="22"/>
        </w:rPr>
        <w:t xml:space="preserve"> destine el financiamiento necesario. En este sentido, no puede obviarse que la institucionalidad del Fideicomiso es incipiente lo cual obliga a seguir de cerca su evolución.</w:t>
      </w:r>
      <w:r w:rsidR="00A01C1E" w:rsidRPr="00E15DF7">
        <w:rPr>
          <w:rFonts w:ascii="Arial" w:hAnsi="Arial" w:cs="Arial"/>
          <w:sz w:val="22"/>
          <w:szCs w:val="22"/>
        </w:rPr>
        <w:t xml:space="preserve"> Aun contemplando la posibilidad de una expansión gradual de los beneficiarios, la necesidad de disponer de recursos del Fondo de Solidaridad y Protección Social es ineludible.</w:t>
      </w:r>
    </w:p>
    <w:p w:rsidR="003F06C2" w:rsidRPr="00E15DF7" w:rsidRDefault="003F06C2" w:rsidP="003D629E">
      <w:pPr>
        <w:pStyle w:val="Caption"/>
        <w:keepNext/>
        <w:spacing w:line="276" w:lineRule="auto"/>
        <w:ind w:firstLine="0"/>
        <w:jc w:val="center"/>
        <w:rPr>
          <w:rFonts w:ascii="Arial" w:hAnsi="Arial" w:cs="Arial"/>
          <w:lang w:val="es-AR"/>
        </w:rPr>
      </w:pPr>
      <w:bookmarkStart w:id="27" w:name="_Ref446636639"/>
      <w:r w:rsidRPr="00E15DF7">
        <w:rPr>
          <w:rFonts w:ascii="Arial" w:hAnsi="Arial" w:cs="Arial"/>
          <w:lang w:val="es-AR"/>
        </w:rPr>
        <w:lastRenderedPageBreak/>
        <w:t xml:space="preserve">Cuadro </w:t>
      </w:r>
      <w:r w:rsidRPr="00E15DF7">
        <w:rPr>
          <w:rFonts w:ascii="Arial" w:hAnsi="Arial" w:cs="Arial"/>
        </w:rPr>
        <w:fldChar w:fldCharType="begin"/>
      </w:r>
      <w:r w:rsidRPr="00E15DF7">
        <w:rPr>
          <w:rFonts w:ascii="Arial" w:hAnsi="Arial" w:cs="Arial"/>
          <w:lang w:val="es-AR"/>
        </w:rPr>
        <w:instrText xml:space="preserve"> SEQ Cuadro \* ARABIC </w:instrText>
      </w:r>
      <w:r w:rsidRPr="00E15DF7">
        <w:rPr>
          <w:rFonts w:ascii="Arial" w:hAnsi="Arial" w:cs="Arial"/>
        </w:rPr>
        <w:fldChar w:fldCharType="separate"/>
      </w:r>
      <w:r w:rsidR="009C1E0D" w:rsidRPr="00E15DF7">
        <w:rPr>
          <w:rFonts w:ascii="Arial" w:hAnsi="Arial" w:cs="Arial"/>
          <w:noProof/>
          <w:lang w:val="es-AR"/>
        </w:rPr>
        <w:t>12</w:t>
      </w:r>
      <w:r w:rsidRPr="00E15DF7">
        <w:rPr>
          <w:rFonts w:ascii="Arial" w:hAnsi="Arial" w:cs="Arial"/>
        </w:rPr>
        <w:fldChar w:fldCharType="end"/>
      </w:r>
      <w:bookmarkEnd w:id="27"/>
      <w:r w:rsidR="007250EE" w:rsidRPr="00E15DF7">
        <w:rPr>
          <w:rFonts w:ascii="Arial" w:hAnsi="Arial" w:cs="Arial"/>
          <w:lang w:val="es-AR"/>
        </w:rPr>
        <w:t xml:space="preserve">: Programas con financiamiento del Fideicomiso Vida Mejor (Fondo </w:t>
      </w:r>
      <w:r w:rsidR="00EC719F" w:rsidRPr="00E15DF7">
        <w:rPr>
          <w:rFonts w:ascii="Arial" w:hAnsi="Arial" w:cs="Arial"/>
          <w:lang w:val="es-AR"/>
        </w:rPr>
        <w:t xml:space="preserve">de </w:t>
      </w:r>
      <w:r w:rsidR="007250EE" w:rsidRPr="00E15DF7">
        <w:rPr>
          <w:rFonts w:ascii="Arial" w:hAnsi="Arial" w:cs="Arial"/>
          <w:lang w:val="es-AR"/>
        </w:rPr>
        <w:t>Solidari</w:t>
      </w:r>
      <w:r w:rsidR="00EC719F" w:rsidRPr="00E15DF7">
        <w:rPr>
          <w:rFonts w:ascii="Arial" w:hAnsi="Arial" w:cs="Arial"/>
          <w:lang w:val="es-AR"/>
        </w:rPr>
        <w:t>dad y Pr</w:t>
      </w:r>
      <w:r w:rsidR="007250EE" w:rsidRPr="00E15DF7">
        <w:rPr>
          <w:rFonts w:ascii="Arial" w:hAnsi="Arial" w:cs="Arial"/>
          <w:lang w:val="es-AR"/>
        </w:rPr>
        <w:t>o</w:t>
      </w:r>
      <w:r w:rsidR="00EC719F" w:rsidRPr="00E15DF7">
        <w:rPr>
          <w:rFonts w:ascii="Arial" w:hAnsi="Arial" w:cs="Arial"/>
          <w:lang w:val="es-AR"/>
        </w:rPr>
        <w:t>tección Social</w:t>
      </w:r>
      <w:r w:rsidR="007250EE" w:rsidRPr="00E15DF7">
        <w:rPr>
          <w:rFonts w:ascii="Arial" w:hAnsi="Arial" w:cs="Arial"/>
          <w:lang w:val="es-AR"/>
        </w:rPr>
        <w:t>)</w:t>
      </w:r>
    </w:p>
    <w:p w:rsidR="000C6BDD" w:rsidRDefault="00FD4DBE" w:rsidP="003D629E">
      <w:pPr>
        <w:spacing w:line="276" w:lineRule="auto"/>
        <w:ind w:firstLine="0"/>
        <w:jc w:val="center"/>
        <w:rPr>
          <w:lang w:val="es-AR"/>
        </w:rPr>
      </w:pPr>
      <w:r>
        <w:rPr>
          <w:noProof/>
          <w:lang w:val="en-US" w:eastAsia="en-US"/>
        </w:rPr>
        <w:drawing>
          <wp:inline distT="0" distB="0" distL="0" distR="0" wp14:anchorId="722A4A39" wp14:editId="5B6E6052">
            <wp:extent cx="4324350" cy="3114675"/>
            <wp:effectExtent l="0" t="0" r="0" b="9525"/>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324350" cy="3114675"/>
                    </a:xfrm>
                    <a:prstGeom prst="rect">
                      <a:avLst/>
                    </a:prstGeom>
                    <a:noFill/>
                    <a:ln>
                      <a:noFill/>
                    </a:ln>
                  </pic:spPr>
                </pic:pic>
              </a:graphicData>
            </a:graphic>
          </wp:inline>
        </w:drawing>
      </w:r>
    </w:p>
    <w:p w:rsidR="000C6BDD" w:rsidRPr="00E15DF7" w:rsidRDefault="008F6B3E" w:rsidP="00AA3706">
      <w:pPr>
        <w:spacing w:line="276" w:lineRule="auto"/>
        <w:ind w:firstLine="0"/>
        <w:rPr>
          <w:rFonts w:ascii="Arial" w:hAnsi="Arial" w:cs="Arial"/>
          <w:sz w:val="18"/>
          <w:lang w:val="es-AR"/>
        </w:rPr>
      </w:pPr>
      <w:r w:rsidRPr="00E15DF7">
        <w:rPr>
          <w:rFonts w:ascii="Arial" w:hAnsi="Arial" w:cs="Arial"/>
          <w:sz w:val="18"/>
          <w:lang w:val="es-AR"/>
        </w:rPr>
        <w:t>Fuente: Elaboración propia en base a información provista por SDIS</w:t>
      </w:r>
    </w:p>
    <w:p w:rsidR="00140DF1" w:rsidRPr="00CF7DFC" w:rsidRDefault="00D576A5" w:rsidP="00AA3706">
      <w:pPr>
        <w:spacing w:line="276" w:lineRule="auto"/>
        <w:ind w:firstLine="0"/>
        <w:rPr>
          <w:lang w:val="es-AR"/>
        </w:rPr>
      </w:pPr>
      <w:r w:rsidRPr="00146025">
        <w:rPr>
          <w:lang w:val="es-AR"/>
        </w:rPr>
        <w:t xml:space="preserve"> </w:t>
      </w:r>
    </w:p>
    <w:p w:rsidR="00140DF1" w:rsidRPr="00CF7DFC" w:rsidRDefault="00140DF1" w:rsidP="003D629E">
      <w:pPr>
        <w:pStyle w:val="Caption"/>
        <w:keepNext/>
        <w:spacing w:line="276" w:lineRule="auto"/>
        <w:ind w:firstLine="0"/>
        <w:jc w:val="center"/>
        <w:rPr>
          <w:sz w:val="22"/>
          <w:lang w:val="es-AR"/>
        </w:rPr>
      </w:pPr>
      <w:bookmarkStart w:id="28" w:name="_Ref447022478"/>
      <w:r w:rsidRPr="00CF7DFC">
        <w:rPr>
          <w:sz w:val="22"/>
          <w:lang w:val="es-AR"/>
        </w:rPr>
        <w:t xml:space="preserve">Gráfico </w:t>
      </w:r>
      <w:r w:rsidRPr="00CF7DFC">
        <w:rPr>
          <w:sz w:val="22"/>
        </w:rPr>
        <w:fldChar w:fldCharType="begin"/>
      </w:r>
      <w:r w:rsidRPr="00CF7DFC">
        <w:rPr>
          <w:sz w:val="22"/>
          <w:lang w:val="es-AR"/>
        </w:rPr>
        <w:instrText xml:space="preserve"> SEQ Gráfico \* ARABIC </w:instrText>
      </w:r>
      <w:r w:rsidRPr="00CF7DFC">
        <w:rPr>
          <w:sz w:val="22"/>
        </w:rPr>
        <w:fldChar w:fldCharType="separate"/>
      </w:r>
      <w:r w:rsidR="00F97D55">
        <w:rPr>
          <w:noProof/>
          <w:sz w:val="22"/>
          <w:lang w:val="es-AR"/>
        </w:rPr>
        <w:t>16</w:t>
      </w:r>
      <w:r w:rsidRPr="00CF7DFC">
        <w:rPr>
          <w:sz w:val="22"/>
        </w:rPr>
        <w:fldChar w:fldCharType="end"/>
      </w:r>
      <w:bookmarkEnd w:id="28"/>
      <w:r w:rsidRPr="00CF7DFC">
        <w:rPr>
          <w:sz w:val="22"/>
          <w:lang w:val="es-AR"/>
        </w:rPr>
        <w:t>: Brecha de financiamiento del Bono Vida Mejor</w:t>
      </w:r>
    </w:p>
    <w:p w:rsidR="00D576A5" w:rsidRDefault="00557236" w:rsidP="003D629E">
      <w:pPr>
        <w:spacing w:line="276" w:lineRule="auto"/>
        <w:ind w:firstLine="0"/>
        <w:jc w:val="center"/>
      </w:pPr>
      <w:r w:rsidRPr="00557236">
        <w:rPr>
          <w:noProof/>
          <w:lang w:val="en-US" w:eastAsia="en-US"/>
        </w:rPr>
        <w:drawing>
          <wp:inline distT="0" distB="0" distL="0" distR="0" wp14:anchorId="782F6EDD" wp14:editId="4EBD17C9">
            <wp:extent cx="5276850" cy="3822965"/>
            <wp:effectExtent l="0" t="0" r="0" b="635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278642" cy="3824263"/>
                    </a:xfrm>
                    <a:prstGeom prst="rect">
                      <a:avLst/>
                    </a:prstGeom>
                    <a:noFill/>
                    <a:ln>
                      <a:noFill/>
                    </a:ln>
                  </pic:spPr>
                </pic:pic>
              </a:graphicData>
            </a:graphic>
          </wp:inline>
        </w:drawing>
      </w:r>
    </w:p>
    <w:p w:rsidR="00EC719F" w:rsidRPr="00E15DF7" w:rsidRDefault="00EC719F" w:rsidP="003D629E">
      <w:pPr>
        <w:spacing w:line="276" w:lineRule="auto"/>
        <w:ind w:firstLine="708"/>
        <w:rPr>
          <w:rFonts w:ascii="Arial" w:hAnsi="Arial" w:cs="Arial"/>
          <w:lang w:val="es-AR"/>
        </w:rPr>
      </w:pPr>
      <w:r w:rsidRPr="00E15DF7">
        <w:rPr>
          <w:rFonts w:ascii="Arial" w:hAnsi="Arial" w:cs="Arial"/>
          <w:sz w:val="18"/>
          <w:lang w:val="es-AR"/>
        </w:rPr>
        <w:t>Fuente: Elaboración propia en base a información provista por SDIS</w:t>
      </w:r>
    </w:p>
    <w:p w:rsidR="002820D9" w:rsidRPr="00F70E67" w:rsidRDefault="002820D9" w:rsidP="00CF7DFC">
      <w:pPr>
        <w:pStyle w:val="Heading2"/>
        <w:pageBreakBefore/>
        <w:numPr>
          <w:ilvl w:val="0"/>
          <w:numId w:val="0"/>
        </w:numPr>
        <w:spacing w:line="276" w:lineRule="auto"/>
        <w:rPr>
          <w:rFonts w:ascii="Arial" w:hAnsi="Arial" w:cs="Arial"/>
          <w:sz w:val="22"/>
          <w:szCs w:val="22"/>
          <w:lang w:val="es-AR"/>
        </w:rPr>
      </w:pPr>
      <w:r w:rsidRPr="00F70E67">
        <w:rPr>
          <w:rFonts w:ascii="Arial" w:hAnsi="Arial" w:cs="Arial"/>
          <w:sz w:val="22"/>
          <w:szCs w:val="22"/>
          <w:lang w:val="es-AR"/>
        </w:rPr>
        <w:lastRenderedPageBreak/>
        <w:t>Conclusiones</w:t>
      </w:r>
    </w:p>
    <w:p w:rsidR="00E96BCE" w:rsidRPr="00F70E67" w:rsidRDefault="00E96BCE" w:rsidP="00E96BCE">
      <w:pPr>
        <w:autoSpaceDE w:val="0"/>
        <w:autoSpaceDN w:val="0"/>
        <w:adjustRightInd w:val="0"/>
        <w:spacing w:line="240" w:lineRule="auto"/>
        <w:ind w:firstLine="0"/>
        <w:rPr>
          <w:rFonts w:ascii="Arial" w:hAnsi="Arial" w:cs="Arial"/>
          <w:lang w:val="es-AR"/>
        </w:rPr>
      </w:pPr>
    </w:p>
    <w:p w:rsidR="00CD5CF7" w:rsidRPr="00F70E67" w:rsidRDefault="00CD5CF7" w:rsidP="000F2924">
      <w:pPr>
        <w:autoSpaceDE w:val="0"/>
        <w:autoSpaceDN w:val="0"/>
        <w:adjustRightInd w:val="0"/>
        <w:spacing w:line="276" w:lineRule="auto"/>
        <w:ind w:firstLine="0"/>
        <w:rPr>
          <w:rFonts w:ascii="Arial" w:hAnsi="Arial" w:cs="Arial"/>
          <w:lang w:val="es-AR"/>
        </w:rPr>
      </w:pPr>
      <w:r w:rsidRPr="00F70E67">
        <w:rPr>
          <w:rFonts w:ascii="Arial" w:hAnsi="Arial" w:cs="Arial"/>
          <w:lang w:val="es-AR"/>
        </w:rPr>
        <w:t xml:space="preserve">El ejercicio sugiere que la situación fiscal de Honduras, de </w:t>
      </w:r>
      <w:r w:rsidR="008879B9" w:rsidRPr="00F70E67">
        <w:rPr>
          <w:rFonts w:ascii="Arial" w:hAnsi="Arial" w:cs="Arial"/>
          <w:lang w:val="es-AR"/>
        </w:rPr>
        <w:t xml:space="preserve">implementarse el ambicioso acuerdo con el FMI, </w:t>
      </w:r>
      <w:r w:rsidR="00EC452A" w:rsidRPr="00F70E67">
        <w:rPr>
          <w:rFonts w:ascii="Arial" w:hAnsi="Arial" w:cs="Arial"/>
          <w:lang w:val="es-AR"/>
        </w:rPr>
        <w:t>ser</w:t>
      </w:r>
      <w:r w:rsidR="00EF1DBE" w:rsidRPr="00F70E67">
        <w:rPr>
          <w:rFonts w:ascii="Arial" w:hAnsi="Arial" w:cs="Arial"/>
          <w:lang w:val="es-AR"/>
        </w:rPr>
        <w:t>ía</w:t>
      </w:r>
      <w:r w:rsidR="00EC452A" w:rsidRPr="00F70E67">
        <w:rPr>
          <w:rFonts w:ascii="Arial" w:hAnsi="Arial" w:cs="Arial"/>
          <w:lang w:val="es-AR"/>
        </w:rPr>
        <w:t xml:space="preserve"> sostenible en el</w:t>
      </w:r>
      <w:r w:rsidRPr="00F70E67">
        <w:rPr>
          <w:rFonts w:ascii="Arial" w:hAnsi="Arial" w:cs="Arial"/>
          <w:lang w:val="es-AR"/>
        </w:rPr>
        <w:t xml:space="preserve"> mediano plazo. </w:t>
      </w:r>
      <w:r w:rsidR="00EC452A" w:rsidRPr="00F70E67">
        <w:rPr>
          <w:rFonts w:ascii="Arial" w:hAnsi="Arial" w:cs="Arial"/>
          <w:lang w:val="es-AR"/>
        </w:rPr>
        <w:t>Más allá de que los programas estén operativos o no, alcanzar las metas establecidas por el acuerdo y la Ley de Responsabilidad Fiscal, implicará un ajuste</w:t>
      </w:r>
      <w:r w:rsidR="00696392" w:rsidRPr="00F70E67">
        <w:rPr>
          <w:rFonts w:ascii="Arial" w:hAnsi="Arial" w:cs="Arial"/>
          <w:lang w:val="es-AR"/>
        </w:rPr>
        <w:t xml:space="preserve"> en el gasto corriente cuando este es evaluado en términos del PBI. En el caso de que el crecimiento fuera menor al 4%, ese ajuste ocurrirá también en términos de lempiras constantes.</w:t>
      </w:r>
    </w:p>
    <w:p w:rsidR="00CD5CF7" w:rsidRPr="00F70E67" w:rsidRDefault="00CD5CF7" w:rsidP="00CD5CF7">
      <w:pPr>
        <w:autoSpaceDE w:val="0"/>
        <w:autoSpaceDN w:val="0"/>
        <w:adjustRightInd w:val="0"/>
        <w:spacing w:line="240" w:lineRule="auto"/>
        <w:rPr>
          <w:rFonts w:ascii="Arial" w:hAnsi="Arial" w:cs="Arial"/>
          <w:lang w:val="es-AR"/>
        </w:rPr>
      </w:pPr>
    </w:p>
    <w:p w:rsidR="00CD5CF7" w:rsidRPr="00F70E67" w:rsidRDefault="00CD5CF7" w:rsidP="000F2924">
      <w:pPr>
        <w:autoSpaceDE w:val="0"/>
        <w:autoSpaceDN w:val="0"/>
        <w:adjustRightInd w:val="0"/>
        <w:spacing w:line="276" w:lineRule="auto"/>
        <w:ind w:firstLine="0"/>
        <w:rPr>
          <w:rFonts w:ascii="Arial" w:hAnsi="Arial" w:cs="Arial"/>
          <w:lang w:val="es-ES"/>
        </w:rPr>
      </w:pPr>
      <w:r w:rsidRPr="00F70E67">
        <w:rPr>
          <w:rFonts w:ascii="Arial" w:hAnsi="Arial" w:cs="Arial"/>
          <w:lang w:val="es-AR"/>
        </w:rPr>
        <w:t xml:space="preserve">Si se considera el escenario que plantea una cobertura de </w:t>
      </w:r>
      <w:r w:rsidR="00696392" w:rsidRPr="00F70E67">
        <w:rPr>
          <w:rFonts w:ascii="Arial" w:hAnsi="Arial" w:cs="Arial"/>
          <w:lang w:val="es-AR"/>
        </w:rPr>
        <w:t>400</w:t>
      </w:r>
      <w:r w:rsidRPr="00F70E67">
        <w:rPr>
          <w:rFonts w:ascii="Arial" w:hAnsi="Arial" w:cs="Arial"/>
          <w:lang w:val="es-ES"/>
        </w:rPr>
        <w:t>.000 hogares beneficiarios</w:t>
      </w:r>
      <w:r w:rsidR="00696392" w:rsidRPr="00F70E67">
        <w:rPr>
          <w:rFonts w:ascii="Arial" w:hAnsi="Arial" w:cs="Arial"/>
          <w:lang w:val="es-ES"/>
        </w:rPr>
        <w:t xml:space="preserve"> para el BVM</w:t>
      </w:r>
      <w:r w:rsidRPr="00F70E67">
        <w:rPr>
          <w:rFonts w:ascii="Arial" w:hAnsi="Arial" w:cs="Arial"/>
          <w:lang w:val="es-ES"/>
        </w:rPr>
        <w:t>, la inversión anual en transferencias</w:t>
      </w:r>
      <w:r w:rsidR="00C44710" w:rsidRPr="00F70E67">
        <w:rPr>
          <w:rFonts w:ascii="Arial" w:hAnsi="Arial" w:cs="Arial"/>
          <w:lang w:val="es-ES"/>
        </w:rPr>
        <w:t xml:space="preserve"> y otros gastos asociados</w:t>
      </w:r>
      <w:r w:rsidRPr="00F70E67">
        <w:rPr>
          <w:rFonts w:ascii="Arial" w:hAnsi="Arial" w:cs="Arial"/>
          <w:lang w:val="es-ES"/>
        </w:rPr>
        <w:t>, bajo la estructura de pagos por niño (se transfiere un monto base a cada hogar y adicionalmente montos por niños por rango etario donde se priorizan los potenciales estudiantes del tercer ciclo), sería de alrededor de US$</w:t>
      </w:r>
      <w:r w:rsidR="00C44710" w:rsidRPr="00F70E67">
        <w:rPr>
          <w:rFonts w:ascii="Arial" w:hAnsi="Arial" w:cs="Arial"/>
          <w:lang w:val="es-ES"/>
        </w:rPr>
        <w:t>121</w:t>
      </w:r>
      <w:r w:rsidRPr="00F70E67">
        <w:rPr>
          <w:rFonts w:ascii="Arial" w:hAnsi="Arial" w:cs="Arial"/>
          <w:lang w:val="es-ES"/>
        </w:rPr>
        <w:t xml:space="preserve"> millones</w:t>
      </w:r>
      <w:r w:rsidR="00C44710" w:rsidRPr="00F70E67">
        <w:rPr>
          <w:rFonts w:ascii="Arial" w:hAnsi="Arial" w:cs="Arial"/>
          <w:lang w:val="es-ES"/>
        </w:rPr>
        <w:t xml:space="preserve"> anuales</w:t>
      </w:r>
      <w:r w:rsidRPr="00F70E67">
        <w:rPr>
          <w:rFonts w:ascii="Arial" w:hAnsi="Arial" w:cs="Arial"/>
          <w:lang w:val="es-ES"/>
        </w:rPr>
        <w:t>. En términos del P</w:t>
      </w:r>
      <w:r w:rsidR="00C44710" w:rsidRPr="00F70E67">
        <w:rPr>
          <w:rFonts w:ascii="Arial" w:hAnsi="Arial" w:cs="Arial"/>
          <w:lang w:val="es-ES"/>
        </w:rPr>
        <w:t>B</w:t>
      </w:r>
      <w:r w:rsidRPr="00F70E67">
        <w:rPr>
          <w:rFonts w:ascii="Arial" w:hAnsi="Arial" w:cs="Arial"/>
          <w:lang w:val="es-ES"/>
        </w:rPr>
        <w:t>I, el costo del programa en este escenario y con la configuración mencionada se ubica en aproximadamente 0,6</w:t>
      </w:r>
      <w:r w:rsidR="00C44710" w:rsidRPr="00F70E67">
        <w:rPr>
          <w:rFonts w:ascii="Arial" w:hAnsi="Arial" w:cs="Arial"/>
          <w:lang w:val="es-ES"/>
        </w:rPr>
        <w:t>3</w:t>
      </w:r>
      <w:r w:rsidRPr="00F70E67">
        <w:rPr>
          <w:rFonts w:ascii="Arial" w:hAnsi="Arial" w:cs="Arial"/>
          <w:lang w:val="es-ES"/>
        </w:rPr>
        <w:t xml:space="preserve">%. </w:t>
      </w:r>
    </w:p>
    <w:p w:rsidR="00CD5CF7" w:rsidRPr="00F70E67" w:rsidRDefault="00CD5CF7" w:rsidP="00696392">
      <w:pPr>
        <w:autoSpaceDE w:val="0"/>
        <w:autoSpaceDN w:val="0"/>
        <w:adjustRightInd w:val="0"/>
        <w:spacing w:line="240" w:lineRule="auto"/>
        <w:ind w:firstLine="0"/>
        <w:rPr>
          <w:rFonts w:ascii="Arial" w:hAnsi="Arial" w:cs="Arial"/>
          <w:lang w:val="es-AR"/>
        </w:rPr>
      </w:pPr>
    </w:p>
    <w:p w:rsidR="00696392" w:rsidRPr="00F70E67" w:rsidRDefault="00696392" w:rsidP="000F2924">
      <w:pPr>
        <w:autoSpaceDE w:val="0"/>
        <w:autoSpaceDN w:val="0"/>
        <w:adjustRightInd w:val="0"/>
        <w:spacing w:line="276" w:lineRule="auto"/>
        <w:ind w:firstLine="0"/>
        <w:rPr>
          <w:rFonts w:ascii="Arial" w:hAnsi="Arial" w:cs="Arial"/>
          <w:lang w:val="es-ES"/>
        </w:rPr>
      </w:pPr>
      <w:r w:rsidRPr="00F70E67">
        <w:rPr>
          <w:rFonts w:ascii="Arial" w:hAnsi="Arial" w:cs="Arial"/>
          <w:lang w:val="es-ES"/>
        </w:rPr>
        <w:t>Con respecto al Programa de Gestores Descentralizados de Salud</w:t>
      </w:r>
      <w:r w:rsidR="00EF1DBE" w:rsidRPr="00F70E67">
        <w:rPr>
          <w:rFonts w:ascii="Arial" w:hAnsi="Arial" w:cs="Arial"/>
          <w:lang w:val="es-ES"/>
        </w:rPr>
        <w:t>, en un escenario en el cual se incluyen 104 municipios el gasto anual promedio alcanza los US$ 34,5 millones lo que equivale a</w:t>
      </w:r>
      <w:r w:rsidR="00260937" w:rsidRPr="00F70E67">
        <w:rPr>
          <w:rFonts w:ascii="Arial" w:hAnsi="Arial" w:cs="Arial"/>
          <w:lang w:val="es-ES"/>
        </w:rPr>
        <w:t>l 0,14% del PBI.</w:t>
      </w:r>
      <w:r w:rsidRPr="00F70E67">
        <w:rPr>
          <w:rFonts w:ascii="Arial" w:hAnsi="Arial" w:cs="Arial"/>
          <w:lang w:val="es-ES"/>
        </w:rPr>
        <w:t xml:space="preserve"> Bajo e</w:t>
      </w:r>
      <w:r w:rsidR="00260937" w:rsidRPr="00F70E67">
        <w:rPr>
          <w:rFonts w:ascii="Arial" w:hAnsi="Arial" w:cs="Arial"/>
          <w:lang w:val="es-ES"/>
        </w:rPr>
        <w:t>l</w:t>
      </w:r>
      <w:r w:rsidRPr="00F70E67">
        <w:rPr>
          <w:rFonts w:ascii="Arial" w:hAnsi="Arial" w:cs="Arial"/>
          <w:lang w:val="es-ES"/>
        </w:rPr>
        <w:t xml:space="preserve"> escenario</w:t>
      </w:r>
      <w:r w:rsidR="00260937" w:rsidRPr="00F70E67">
        <w:rPr>
          <w:rFonts w:ascii="Arial" w:hAnsi="Arial" w:cs="Arial"/>
          <w:lang w:val="es-ES"/>
        </w:rPr>
        <w:t xml:space="preserve"> analizado</w:t>
      </w:r>
      <w:r w:rsidRPr="00F70E67">
        <w:rPr>
          <w:rFonts w:ascii="Arial" w:hAnsi="Arial" w:cs="Arial"/>
          <w:lang w:val="es-ES"/>
        </w:rPr>
        <w:t>, en el supuesto de que se cumplen las restricciones establecidas por el acuerdo con el FMI y la Ley de Responsabilidad Fiscal, la deuda externa en el año 20</w:t>
      </w:r>
      <w:r w:rsidR="00064046" w:rsidRPr="00F70E67">
        <w:rPr>
          <w:rFonts w:ascii="Arial" w:hAnsi="Arial" w:cs="Arial"/>
          <w:lang w:val="es-ES"/>
        </w:rPr>
        <w:t>25</w:t>
      </w:r>
      <w:r w:rsidRPr="00F70E67">
        <w:rPr>
          <w:rFonts w:ascii="Arial" w:hAnsi="Arial" w:cs="Arial"/>
          <w:lang w:val="es-ES"/>
        </w:rPr>
        <w:t xml:space="preserve"> se encontraría </w:t>
      </w:r>
      <w:r w:rsidR="00064046" w:rsidRPr="00F70E67">
        <w:rPr>
          <w:rFonts w:ascii="Arial" w:hAnsi="Arial" w:cs="Arial"/>
          <w:lang w:val="es-ES"/>
        </w:rPr>
        <w:t>10</w:t>
      </w:r>
      <w:r w:rsidRPr="00F70E67">
        <w:rPr>
          <w:rFonts w:ascii="Arial" w:hAnsi="Arial" w:cs="Arial"/>
          <w:lang w:val="es-ES"/>
        </w:rPr>
        <w:t xml:space="preserve"> puntos porcentuales por debajo del umbral de sostenibilidad.</w:t>
      </w:r>
    </w:p>
    <w:p w:rsidR="00CD5CF7" w:rsidRPr="00F70E67" w:rsidRDefault="00CD5CF7" w:rsidP="00CD5CF7">
      <w:pPr>
        <w:autoSpaceDE w:val="0"/>
        <w:autoSpaceDN w:val="0"/>
        <w:adjustRightInd w:val="0"/>
        <w:spacing w:line="240" w:lineRule="auto"/>
        <w:rPr>
          <w:rFonts w:ascii="Arial" w:hAnsi="Arial" w:cs="Arial"/>
          <w:lang w:val="es-AR"/>
        </w:rPr>
      </w:pPr>
    </w:p>
    <w:p w:rsidR="008F3CE2" w:rsidRPr="00F70E67" w:rsidRDefault="00982984" w:rsidP="000F2924">
      <w:pPr>
        <w:autoSpaceDE w:val="0"/>
        <w:autoSpaceDN w:val="0"/>
        <w:adjustRightInd w:val="0"/>
        <w:spacing w:line="276" w:lineRule="auto"/>
        <w:ind w:firstLine="0"/>
        <w:rPr>
          <w:rFonts w:ascii="Arial" w:hAnsi="Arial" w:cs="Arial"/>
          <w:lang w:val="es-AR"/>
        </w:rPr>
      </w:pPr>
      <w:r w:rsidRPr="00F70E67">
        <w:rPr>
          <w:rFonts w:ascii="Arial" w:hAnsi="Arial" w:cs="Arial"/>
          <w:lang w:val="es-AR"/>
        </w:rPr>
        <w:t xml:space="preserve">La ampliación de cobertura tendrá lugar casi con seguridad en un contexto en el cual el gasto corriente deba ajustarse o no crecer. Por lo tanto, </w:t>
      </w:r>
      <w:r w:rsidR="008F3CE2" w:rsidRPr="00F70E67">
        <w:rPr>
          <w:rFonts w:ascii="Arial" w:hAnsi="Arial" w:cs="Arial"/>
          <w:lang w:val="es-AR"/>
        </w:rPr>
        <w:t xml:space="preserve">debe poder establecerse la factibilidad de que estas iniciativas cuenten con el financiamiento adecuado. En el caso del PGDS, </w:t>
      </w:r>
      <w:r w:rsidR="002D29F5" w:rsidRPr="00F70E67">
        <w:rPr>
          <w:rFonts w:ascii="Arial" w:hAnsi="Arial" w:cs="Arial"/>
          <w:lang w:val="es-AR"/>
        </w:rPr>
        <w:t>d</w:t>
      </w:r>
      <w:r w:rsidR="008F3CE2" w:rsidRPr="00F70E67">
        <w:rPr>
          <w:rFonts w:ascii="Arial" w:hAnsi="Arial" w:cs="Arial"/>
          <w:lang w:val="es-AR"/>
        </w:rPr>
        <w:t>epende</w:t>
      </w:r>
      <w:r w:rsidR="002D29F5" w:rsidRPr="00F70E67">
        <w:rPr>
          <w:rFonts w:ascii="Arial" w:hAnsi="Arial" w:cs="Arial"/>
          <w:lang w:val="es-AR"/>
        </w:rPr>
        <w:t>rá</w:t>
      </w:r>
      <w:r w:rsidR="008F3CE2" w:rsidRPr="00F70E67">
        <w:rPr>
          <w:rFonts w:ascii="Arial" w:hAnsi="Arial" w:cs="Arial"/>
          <w:lang w:val="es-AR"/>
        </w:rPr>
        <w:t xml:space="preserve"> principalmente de reasignaciones internas del presupuesto. Si bien</w:t>
      </w:r>
      <w:r w:rsidR="002D29F5" w:rsidRPr="00F70E67">
        <w:rPr>
          <w:rFonts w:ascii="Arial" w:hAnsi="Arial" w:cs="Arial"/>
          <w:lang w:val="es-AR"/>
        </w:rPr>
        <w:t xml:space="preserve"> su presupuesto </w:t>
      </w:r>
      <w:r w:rsidR="008F3CE2" w:rsidRPr="00F70E67">
        <w:rPr>
          <w:rFonts w:ascii="Arial" w:hAnsi="Arial" w:cs="Arial"/>
          <w:lang w:val="es-AR"/>
        </w:rPr>
        <w:t xml:space="preserve">tiene alto grado de rigidez por salarios, la Secretaría de Salud tiene previsto destinar </w:t>
      </w:r>
      <w:r w:rsidR="002D29F5" w:rsidRPr="00F70E67">
        <w:rPr>
          <w:rFonts w:ascii="Arial" w:hAnsi="Arial" w:cs="Arial"/>
          <w:lang w:val="es-AR"/>
        </w:rPr>
        <w:t>un monto</w:t>
      </w:r>
      <w:r w:rsidR="008F3CE2" w:rsidRPr="00F70E67">
        <w:rPr>
          <w:rFonts w:ascii="Arial" w:hAnsi="Arial" w:cs="Arial"/>
          <w:lang w:val="es-AR"/>
        </w:rPr>
        <w:t xml:space="preserve"> cercano a los niveles requeridos</w:t>
      </w:r>
      <w:r w:rsidR="002D29F5" w:rsidRPr="00F70E67">
        <w:rPr>
          <w:rFonts w:ascii="Arial" w:hAnsi="Arial" w:cs="Arial"/>
          <w:lang w:val="es-AR"/>
        </w:rPr>
        <w:t xml:space="preserve"> para los próximos cuatro años</w:t>
      </w:r>
      <w:r w:rsidR="008F3CE2" w:rsidRPr="00F70E67">
        <w:rPr>
          <w:rFonts w:ascii="Arial" w:hAnsi="Arial" w:cs="Arial"/>
          <w:lang w:val="es-AR"/>
        </w:rPr>
        <w:t>.</w:t>
      </w:r>
      <w:r w:rsidR="002D29F5" w:rsidRPr="00F70E67">
        <w:rPr>
          <w:rFonts w:ascii="Arial" w:hAnsi="Arial" w:cs="Arial"/>
          <w:lang w:val="es-AR"/>
        </w:rPr>
        <w:t xml:space="preserve"> Sin embargo, particularmente en el 2017 habría que realizar ajustes de cierta consideración.</w:t>
      </w:r>
    </w:p>
    <w:p w:rsidR="008F3CE2" w:rsidRPr="00F70E67" w:rsidRDefault="008F3CE2" w:rsidP="00696392">
      <w:pPr>
        <w:autoSpaceDE w:val="0"/>
        <w:autoSpaceDN w:val="0"/>
        <w:adjustRightInd w:val="0"/>
        <w:spacing w:line="240" w:lineRule="auto"/>
        <w:ind w:firstLine="0"/>
        <w:rPr>
          <w:rFonts w:ascii="Arial" w:hAnsi="Arial" w:cs="Arial"/>
          <w:lang w:val="es-AR"/>
        </w:rPr>
      </w:pPr>
    </w:p>
    <w:p w:rsidR="008F3CE2" w:rsidRPr="00F70E67" w:rsidRDefault="008F3CE2" w:rsidP="000F2924">
      <w:pPr>
        <w:autoSpaceDE w:val="0"/>
        <w:autoSpaceDN w:val="0"/>
        <w:adjustRightInd w:val="0"/>
        <w:spacing w:line="276" w:lineRule="auto"/>
        <w:ind w:firstLine="0"/>
        <w:rPr>
          <w:rFonts w:ascii="Arial" w:hAnsi="Arial" w:cs="Arial"/>
          <w:lang w:val="es-AR"/>
        </w:rPr>
      </w:pPr>
      <w:r w:rsidRPr="00F70E67">
        <w:rPr>
          <w:rFonts w:ascii="Arial" w:hAnsi="Arial" w:cs="Arial"/>
          <w:lang w:val="es-AR"/>
        </w:rPr>
        <w:t>La situación que se presenta para el BVM es levemente diferente. En este caso claramente se genera una dependencia respecto del Fondo de Solidaridad y Protección Social (Fideicomiso Vida Mejor). Este fideicomiso opera por fuera de muchas de las constricciones del sistema presupuestario, lo que conlleva ventajas y desventajas. Si bien proporciona mayor flexibilidad para destinar recursos al programa en cuestión, no permite asegurar una estabilidad del mismo. Asimismo, si bien la proporción del Fondo que actualmente es canalizada a la SDIS alcanza para financiar la ampliación de cobertura, se requeriría reducir el presupuesto que hoy por hoy insumen otros programas ejecutados por la institución.</w:t>
      </w:r>
      <w:r w:rsidR="00EA32DE" w:rsidRPr="00F70E67">
        <w:rPr>
          <w:rFonts w:ascii="Arial" w:hAnsi="Arial" w:cs="Arial"/>
          <w:lang w:val="es-AR"/>
        </w:rPr>
        <w:t xml:space="preserve"> Por lo tanto, no debe descartarse la posibilidad de una implementación gradual que permita un ajuste paulatino del destino de los recursos del Fondo Solidario.</w:t>
      </w:r>
      <w:r w:rsidRPr="00F70E67">
        <w:rPr>
          <w:rFonts w:ascii="Arial" w:hAnsi="Arial" w:cs="Arial"/>
          <w:lang w:val="es-AR"/>
        </w:rPr>
        <w:t xml:space="preserve"> </w:t>
      </w:r>
    </w:p>
    <w:p w:rsidR="00CD5CF7" w:rsidRPr="00F70E67" w:rsidRDefault="00D86723" w:rsidP="00CD5CF7">
      <w:pPr>
        <w:pStyle w:val="NormalWeb"/>
        <w:spacing w:line="276" w:lineRule="auto"/>
        <w:jc w:val="both"/>
        <w:rPr>
          <w:rFonts w:ascii="Arial" w:hAnsi="Arial" w:cs="Arial"/>
          <w:sz w:val="22"/>
          <w:szCs w:val="22"/>
        </w:rPr>
      </w:pPr>
      <w:r w:rsidRPr="00F70E67">
        <w:rPr>
          <w:rFonts w:ascii="Arial" w:hAnsi="Arial" w:cs="Arial"/>
          <w:sz w:val="22"/>
          <w:szCs w:val="22"/>
          <w:lang w:val="es-ES"/>
        </w:rPr>
        <w:lastRenderedPageBreak/>
        <w:t>Debe considerarse</w:t>
      </w:r>
      <w:r w:rsidR="000F2924" w:rsidRPr="00F70E67">
        <w:rPr>
          <w:rFonts w:ascii="Arial" w:hAnsi="Arial" w:cs="Arial"/>
          <w:sz w:val="22"/>
          <w:szCs w:val="22"/>
          <w:lang w:val="es-ES"/>
        </w:rPr>
        <w:t>,</w:t>
      </w:r>
      <w:r w:rsidRPr="00F70E67">
        <w:rPr>
          <w:rFonts w:ascii="Arial" w:hAnsi="Arial" w:cs="Arial"/>
          <w:sz w:val="22"/>
          <w:szCs w:val="22"/>
          <w:lang w:val="es-ES"/>
        </w:rPr>
        <w:t xml:space="preserve"> nuevamente</w:t>
      </w:r>
      <w:r w:rsidR="000F2924" w:rsidRPr="00F70E67">
        <w:rPr>
          <w:rFonts w:ascii="Arial" w:hAnsi="Arial" w:cs="Arial"/>
          <w:sz w:val="22"/>
          <w:szCs w:val="22"/>
          <w:lang w:val="es-ES"/>
        </w:rPr>
        <w:t>,</w:t>
      </w:r>
      <w:r w:rsidRPr="00F70E67">
        <w:rPr>
          <w:rFonts w:ascii="Arial" w:hAnsi="Arial" w:cs="Arial"/>
          <w:sz w:val="22"/>
          <w:szCs w:val="22"/>
          <w:lang w:val="es-ES"/>
        </w:rPr>
        <w:t xml:space="preserve"> que la sostenibilidad se </w:t>
      </w:r>
      <w:r w:rsidR="00EF1DBE" w:rsidRPr="00F70E67">
        <w:rPr>
          <w:rFonts w:ascii="Arial" w:hAnsi="Arial" w:cs="Arial"/>
          <w:sz w:val="22"/>
          <w:szCs w:val="22"/>
          <w:lang w:val="es-ES"/>
        </w:rPr>
        <w:t>basa</w:t>
      </w:r>
      <w:r w:rsidRPr="00F70E67">
        <w:rPr>
          <w:rFonts w:ascii="Arial" w:hAnsi="Arial" w:cs="Arial"/>
          <w:sz w:val="22"/>
          <w:szCs w:val="22"/>
          <w:lang w:val="es-ES"/>
        </w:rPr>
        <w:t xml:space="preserve"> principalmente en los niveles de crecimiento de la economía. Sin embargo, </w:t>
      </w:r>
      <w:r w:rsidR="00EF1DBE" w:rsidRPr="00F70E67">
        <w:rPr>
          <w:rFonts w:ascii="Arial" w:hAnsi="Arial" w:cs="Arial"/>
          <w:sz w:val="22"/>
          <w:szCs w:val="22"/>
          <w:lang w:val="es-ES"/>
        </w:rPr>
        <w:t>esto no debe implicar que la consecuencia deseable de una desaceleración sea una reducción del programa. Las limitaciones del análisis presentado, que toma el crecimiento como dado exógenamente, impiden cuantificar el impacto de la demanda sobre esta variable.</w:t>
      </w:r>
      <w:r w:rsidRPr="00F70E67">
        <w:rPr>
          <w:rFonts w:ascii="Arial" w:hAnsi="Arial" w:cs="Arial"/>
          <w:sz w:val="22"/>
          <w:szCs w:val="22"/>
          <w:lang w:val="es-ES"/>
        </w:rPr>
        <w:t xml:space="preserve"> </w:t>
      </w:r>
      <w:r w:rsidR="00CD5CF7" w:rsidRPr="00F70E67">
        <w:rPr>
          <w:rFonts w:ascii="Arial" w:hAnsi="Arial" w:cs="Arial"/>
          <w:sz w:val="22"/>
          <w:szCs w:val="22"/>
          <w:lang w:val="es-ES"/>
        </w:rPr>
        <w:t>Por último, cabe aclarar que a largo plazo la sostenibilidad del programa dependerá del entorno macroeconómico y el incremento de la productividad del país, así como de la contribución del programa a la ruptura del ciclo intergeneracional de la pobreza, que depende de la calidad de las inversiones en educación, salud y nutrición.</w:t>
      </w:r>
      <w:r w:rsidR="008F3CE2" w:rsidRPr="00F70E67">
        <w:rPr>
          <w:rFonts w:ascii="Arial" w:hAnsi="Arial" w:cs="Arial"/>
          <w:sz w:val="22"/>
          <w:szCs w:val="22"/>
          <w:lang w:val="es-ES"/>
        </w:rPr>
        <w:t xml:space="preserve"> </w:t>
      </w:r>
    </w:p>
    <w:p w:rsidR="00CD5CF7" w:rsidRDefault="00CD5CF7" w:rsidP="00AA3706">
      <w:pPr>
        <w:pStyle w:val="NormalWeb"/>
        <w:spacing w:line="276" w:lineRule="auto"/>
        <w:jc w:val="both"/>
        <w:rPr>
          <w:rFonts w:asciiTheme="minorHAnsi" w:hAnsiTheme="minorHAnsi"/>
          <w:sz w:val="22"/>
          <w:szCs w:val="22"/>
        </w:rPr>
      </w:pPr>
    </w:p>
    <w:p w:rsidR="00C64739" w:rsidRPr="00F70E67" w:rsidRDefault="00C64739" w:rsidP="00CF7DFC">
      <w:pPr>
        <w:pStyle w:val="Heading2"/>
        <w:pageBreakBefore/>
        <w:numPr>
          <w:ilvl w:val="0"/>
          <w:numId w:val="0"/>
        </w:numPr>
        <w:spacing w:line="276" w:lineRule="auto"/>
        <w:rPr>
          <w:rFonts w:ascii="Arial" w:hAnsi="Arial" w:cs="Arial"/>
          <w:sz w:val="22"/>
          <w:szCs w:val="22"/>
          <w:lang w:val="es-AR"/>
        </w:rPr>
      </w:pPr>
      <w:r w:rsidRPr="00F70E67">
        <w:rPr>
          <w:rFonts w:ascii="Arial" w:hAnsi="Arial" w:cs="Arial"/>
          <w:sz w:val="22"/>
          <w:szCs w:val="22"/>
          <w:lang w:val="es-AR"/>
        </w:rPr>
        <w:lastRenderedPageBreak/>
        <w:t>ANEXO I: ANÁLISIS DE SENSIBILIDAD</w:t>
      </w:r>
    </w:p>
    <w:p w:rsidR="00C64739" w:rsidRPr="00F70E67" w:rsidRDefault="00C64739" w:rsidP="00AA3706">
      <w:pPr>
        <w:pStyle w:val="NormalWeb"/>
        <w:spacing w:line="276" w:lineRule="auto"/>
        <w:jc w:val="both"/>
        <w:rPr>
          <w:rFonts w:ascii="Arial" w:hAnsi="Arial" w:cs="Arial"/>
          <w:sz w:val="22"/>
          <w:szCs w:val="22"/>
        </w:rPr>
      </w:pPr>
      <w:r w:rsidRPr="00F70E67">
        <w:rPr>
          <w:rFonts w:ascii="Arial" w:hAnsi="Arial" w:cs="Arial"/>
          <w:sz w:val="22"/>
          <w:szCs w:val="22"/>
        </w:rPr>
        <w:t xml:space="preserve">Los cuadros </w:t>
      </w:r>
      <w:r w:rsidR="00CF7DFC" w:rsidRPr="00F70E67">
        <w:rPr>
          <w:rFonts w:ascii="Arial" w:hAnsi="Arial" w:cs="Arial"/>
          <w:sz w:val="22"/>
          <w:szCs w:val="22"/>
        </w:rPr>
        <w:t>I</w:t>
      </w:r>
      <w:r w:rsidRPr="00F70E67">
        <w:rPr>
          <w:rFonts w:ascii="Arial" w:hAnsi="Arial" w:cs="Arial"/>
          <w:sz w:val="22"/>
          <w:szCs w:val="22"/>
        </w:rPr>
        <w:t>1-</w:t>
      </w:r>
      <w:r w:rsidR="00CF7DFC" w:rsidRPr="00F70E67">
        <w:rPr>
          <w:rFonts w:ascii="Arial" w:hAnsi="Arial" w:cs="Arial"/>
          <w:sz w:val="22"/>
          <w:szCs w:val="22"/>
        </w:rPr>
        <w:t>I</w:t>
      </w:r>
      <w:r w:rsidRPr="00F70E67">
        <w:rPr>
          <w:rFonts w:ascii="Arial" w:hAnsi="Arial" w:cs="Arial"/>
          <w:sz w:val="22"/>
          <w:szCs w:val="22"/>
        </w:rPr>
        <w:t>6 muestran los resultados del análisis de sensibilidad para distintos escenarios de cobertura del Bono Vida Mejor y Salud y distintos niveles de crecimiento del Producto Bruto Interno. Los niveles de cobertura para el BVM son 400.000 beneficiarios (escenario base), 300.000 benefic</w:t>
      </w:r>
      <w:r w:rsidR="004347B1" w:rsidRPr="00F70E67">
        <w:rPr>
          <w:rFonts w:ascii="Arial" w:hAnsi="Arial" w:cs="Arial"/>
          <w:sz w:val="22"/>
          <w:szCs w:val="22"/>
        </w:rPr>
        <w:t>i</w:t>
      </w:r>
      <w:r w:rsidRPr="00F70E67">
        <w:rPr>
          <w:rFonts w:ascii="Arial" w:hAnsi="Arial" w:cs="Arial"/>
          <w:sz w:val="22"/>
          <w:szCs w:val="22"/>
        </w:rPr>
        <w:t xml:space="preserve">arios, y </w:t>
      </w:r>
      <w:r w:rsidR="004347B1" w:rsidRPr="00F70E67">
        <w:rPr>
          <w:rFonts w:ascii="Arial" w:hAnsi="Arial" w:cs="Arial"/>
          <w:sz w:val="22"/>
          <w:szCs w:val="22"/>
        </w:rPr>
        <w:t>276</w:t>
      </w:r>
      <w:r w:rsidRPr="00F70E67">
        <w:rPr>
          <w:rFonts w:ascii="Arial" w:hAnsi="Arial" w:cs="Arial"/>
          <w:sz w:val="22"/>
          <w:szCs w:val="22"/>
        </w:rPr>
        <w:t xml:space="preserve">.000 beneficiarios. Los niveles de cobertura en salud se diferencian en la cantidad de municipios alcanzados: 104 municipios (escenario base), 100 municipios y 93 municipios. A su vez, se consideran tres tasas de crecimiento del producto bruto: 4% (escenario base), 2% y 5%. Finalmente, al interior de cada escenario de crecimiento, se consideran dos grandes esquemas diferentes: un primer esquema en el cual el déficit evoluciona </w:t>
      </w:r>
      <w:r w:rsidRPr="00F70E67">
        <w:rPr>
          <w:rFonts w:ascii="Arial" w:hAnsi="Arial" w:cs="Arial"/>
          <w:i/>
          <w:iCs/>
          <w:sz w:val="22"/>
          <w:szCs w:val="22"/>
        </w:rPr>
        <w:t>exógenamente</w:t>
      </w:r>
      <w:r w:rsidRPr="00F70E67">
        <w:rPr>
          <w:rFonts w:ascii="Arial" w:hAnsi="Arial" w:cs="Arial"/>
          <w:sz w:val="22"/>
          <w:szCs w:val="22"/>
        </w:rPr>
        <w:t xml:space="preserve"> según lo previsto por el acuerdo con el FMI (esquema de déficit ‘exógeno’), y un segundo esquema en el cual el gasto corriente evoluciona a la misma tasa que el producto, y por lo tanto el déficit es un resultado </w:t>
      </w:r>
      <w:r w:rsidRPr="00F70E67">
        <w:rPr>
          <w:rFonts w:ascii="Arial" w:hAnsi="Arial" w:cs="Arial"/>
          <w:i/>
          <w:iCs/>
          <w:sz w:val="22"/>
          <w:szCs w:val="22"/>
        </w:rPr>
        <w:t>endógeno</w:t>
      </w:r>
      <w:r w:rsidRPr="00F70E67">
        <w:rPr>
          <w:rFonts w:ascii="Arial" w:hAnsi="Arial" w:cs="Arial"/>
          <w:sz w:val="22"/>
          <w:szCs w:val="22"/>
        </w:rPr>
        <w:t xml:space="preserve"> del proceso de acumulación (esquema de ‘déficit endógeno’). En todos los casos se asume la existencia de financiamiento BID para el período 2015-2018.</w:t>
      </w:r>
      <w:r w:rsidR="001544DC" w:rsidRPr="00F70E67">
        <w:rPr>
          <w:rFonts w:ascii="Arial" w:hAnsi="Arial" w:cs="Arial"/>
          <w:sz w:val="22"/>
          <w:szCs w:val="22"/>
        </w:rPr>
        <w:t xml:space="preserve"> </w:t>
      </w:r>
      <w:r w:rsidRPr="00F70E67">
        <w:rPr>
          <w:rFonts w:ascii="Arial" w:hAnsi="Arial" w:cs="Arial"/>
          <w:sz w:val="22"/>
          <w:szCs w:val="22"/>
        </w:rPr>
        <w:t>Los resultados obtenidos (ya sea en los niveles de gasto corriente, de déficit global o de deuda) son más sensibles a los cambios en la tasa de producto y al esquema supuesto sobre la evolución del déficit que a los cambios en los niveles de cobertura del BVM y Salud.</w:t>
      </w:r>
    </w:p>
    <w:p w:rsidR="00C64739" w:rsidRPr="00F70E67" w:rsidRDefault="00C64739" w:rsidP="00AA3706">
      <w:pPr>
        <w:pStyle w:val="NormalWeb"/>
        <w:spacing w:line="276" w:lineRule="auto"/>
        <w:jc w:val="both"/>
        <w:rPr>
          <w:rFonts w:ascii="Arial" w:hAnsi="Arial" w:cs="Arial"/>
          <w:sz w:val="22"/>
          <w:szCs w:val="22"/>
        </w:rPr>
      </w:pPr>
      <w:r w:rsidRPr="00F70E67">
        <w:rPr>
          <w:rFonts w:ascii="Arial" w:hAnsi="Arial" w:cs="Arial"/>
          <w:sz w:val="22"/>
          <w:szCs w:val="22"/>
        </w:rPr>
        <w:t xml:space="preserve">Como punto de referencia, consideremos el escenario de crecimiento base y déficit exógeno. El gasto corriente disminuye en todos los casos desde un 18,1% del PBI en 2015 a un 16% en 2025, lo cual debe ser así porque la magnitud del déficit está dada. Pero el gasto corriente neto del BVM y del gasto en salud disminuye desde 17,76% del PBI en 2015 hasta el 15,7% en 2025 bajo el escenario de mayor cobertura (400.000 beneficiarios y 104 municipios), reducción que permanece prácticamente invariada en el escenario de menor cobertura (105.000 beneficiarios y 93 municipios). En todos los esquemas de cobertura la deuda externa se incrementa desde hasta poco menos del 30% del producto, y la deuda total desciende desde el 46,1 al 37%. </w:t>
      </w:r>
    </w:p>
    <w:p w:rsidR="00C64739" w:rsidRPr="00F70E67" w:rsidRDefault="00C64739" w:rsidP="00AA3706">
      <w:pPr>
        <w:pStyle w:val="NormalWeb"/>
        <w:spacing w:line="276" w:lineRule="auto"/>
        <w:jc w:val="both"/>
        <w:rPr>
          <w:rFonts w:ascii="Arial" w:hAnsi="Arial" w:cs="Arial"/>
          <w:sz w:val="22"/>
          <w:szCs w:val="22"/>
        </w:rPr>
      </w:pPr>
      <w:r w:rsidRPr="00F70E67">
        <w:rPr>
          <w:rFonts w:ascii="Arial" w:hAnsi="Arial" w:cs="Arial"/>
          <w:sz w:val="22"/>
          <w:szCs w:val="22"/>
        </w:rPr>
        <w:t xml:space="preserve">Cuando se observa la evolución de las variables al interior del escenario de menor crecimiento, para el mismo esquema de déficit exógeno, el gasto corriente varía desde un 18% del PBI en 2015 hasta el 16,2% en 2025. Por su parte el gasto corriente ‘neto’ disminuye por debajo del 16% del PBI en 2025 bajo el esquema de mayor cobertura, llegando a y desciende hasta el 15,72% en el esquema de menor cobertura. En este escenario de crecimiento, la deuda externa se incrementa hasta el 34% en 2025, mientras que la deuda total desciende hasta el 42%. Es decir, estas dos variables superan en 4 pp. a sus respectivos valores del escenario base. </w:t>
      </w:r>
    </w:p>
    <w:p w:rsidR="00C64739" w:rsidRPr="00F70E67" w:rsidRDefault="00C64739" w:rsidP="00AA3706">
      <w:pPr>
        <w:pStyle w:val="NormalWeb"/>
        <w:spacing w:line="276" w:lineRule="auto"/>
        <w:jc w:val="both"/>
        <w:rPr>
          <w:rFonts w:ascii="Arial" w:hAnsi="Arial" w:cs="Arial"/>
          <w:sz w:val="22"/>
          <w:szCs w:val="22"/>
        </w:rPr>
      </w:pPr>
      <w:r w:rsidRPr="00F70E67">
        <w:rPr>
          <w:rFonts w:ascii="Arial" w:hAnsi="Arial" w:cs="Arial"/>
          <w:sz w:val="22"/>
          <w:szCs w:val="22"/>
        </w:rPr>
        <w:t xml:space="preserve">En el escenario de mayor crecimiento, siempre bajo el esquema de financiamiento exógeno del déficit, el gasto corriente como porcentaje del PBI disminuye desde 18,13% hasta 15,87% en 2025. Bajo este escenario, la deuda externa se mantiene relativamente constante en torno al 28%, mientras que la deuda total desciende hasta el 35% del PBI. Estas variables son inferiores a los del escenario base en 2 pp. aproximadamente. </w:t>
      </w:r>
      <w:r w:rsidRPr="00F70E67">
        <w:rPr>
          <w:rFonts w:ascii="Arial" w:hAnsi="Arial" w:cs="Arial"/>
          <w:sz w:val="22"/>
          <w:szCs w:val="22"/>
        </w:rPr>
        <w:lastRenderedPageBreak/>
        <w:t xml:space="preserve">Finalmente, cuando se considera la evolución del déficit global, dado que el déficit es exógeno, en todos los escenarios por construcción el déficit global es el mismo, descendiendo hasta el 2,7% del producto desde el año 2020 en adelante. </w:t>
      </w:r>
    </w:p>
    <w:p w:rsidR="00C64739" w:rsidRPr="00F70E67" w:rsidRDefault="00C64739" w:rsidP="00AA3706">
      <w:pPr>
        <w:pStyle w:val="NormalWeb"/>
        <w:spacing w:line="276" w:lineRule="auto"/>
        <w:jc w:val="both"/>
        <w:rPr>
          <w:rFonts w:ascii="Arial" w:hAnsi="Arial" w:cs="Arial"/>
          <w:sz w:val="22"/>
          <w:szCs w:val="22"/>
        </w:rPr>
      </w:pPr>
      <w:r w:rsidRPr="00F70E67">
        <w:rPr>
          <w:rFonts w:ascii="Arial" w:hAnsi="Arial" w:cs="Arial"/>
          <w:sz w:val="22"/>
          <w:szCs w:val="22"/>
        </w:rPr>
        <w:t xml:space="preserve">Si ahora nos concentramos en el esquema de financiamiento alternativo (déficit endógeno), las diferencias entre los escenarios se acentúan, pero continúa siendo cierto que los resultados son más sensibles a las modificaciones en el producto y al tipo de financiamiento que a los cambios en el grado de cobertura del BVM y Salud. </w:t>
      </w:r>
    </w:p>
    <w:p w:rsidR="00C64739" w:rsidRPr="00F70E67" w:rsidRDefault="00C64739" w:rsidP="00AA3706">
      <w:pPr>
        <w:pStyle w:val="NormalWeb"/>
        <w:spacing w:line="276" w:lineRule="auto"/>
        <w:jc w:val="both"/>
        <w:rPr>
          <w:rFonts w:ascii="Arial" w:hAnsi="Arial" w:cs="Arial"/>
          <w:sz w:val="22"/>
          <w:szCs w:val="22"/>
        </w:rPr>
      </w:pPr>
      <w:r w:rsidRPr="00F70E67">
        <w:rPr>
          <w:rFonts w:ascii="Arial" w:hAnsi="Arial" w:cs="Arial"/>
          <w:sz w:val="22"/>
          <w:szCs w:val="22"/>
        </w:rPr>
        <w:t>En el escenario base, para el mayor grado de cobertura, el gasto corriente se incrementa hasta el 20,72% del PBI en 2025, y el gasto neto hasta el 20,14% del PBI en 2025. Esos valores cambian solo levemente en el escenario de menor cobertura: el gasto corriente llega en 2025 a representar el 20,43% del PBI, y el gasto neto del bono el 20,02%. Algo similar ocurre con los niveles de déficit y deuda. En el escenario de mayor cobertura, el déficit alcanza el 5,77% del PBI en 2025, y las deudas externa y total alcanzan en ese año el 41,19% y el 48,58% del PBI respectivamente. Por su parte, en el escenario de menor cobertura, en 2025 el déficit alcana el 5,47%, y la deuda externa roza el 40% del PBI y la deuda total apenas supera el 47% del producto.</w:t>
      </w:r>
    </w:p>
    <w:p w:rsidR="00C64739" w:rsidRPr="00F70E67" w:rsidRDefault="00C64739" w:rsidP="00AA3706">
      <w:pPr>
        <w:pStyle w:val="NormalWeb"/>
        <w:spacing w:line="276" w:lineRule="auto"/>
        <w:jc w:val="both"/>
        <w:rPr>
          <w:rFonts w:ascii="Arial" w:hAnsi="Arial" w:cs="Arial"/>
          <w:sz w:val="22"/>
          <w:szCs w:val="22"/>
        </w:rPr>
      </w:pPr>
      <w:r w:rsidRPr="00F70E67">
        <w:rPr>
          <w:rFonts w:ascii="Arial" w:hAnsi="Arial" w:cs="Arial"/>
          <w:sz w:val="22"/>
          <w:szCs w:val="22"/>
        </w:rPr>
        <w:t xml:space="preserve">En el escenario de crecimiento del 2%, para el esquema de mayor cobertura el gasto corriente en 2025 se incrementa en menos de un punto porcentual respecto al escenario base, y el déficit se incrementa en 0,65 pp., alcanzando el 6,42% en el último año proyectado. Las deudas externa y total en ese año ascienden al 47,79% y al 56,6% del producto respectivamente. Es decir se incrementan, respectivamente, en 6,6% y en 8,02% respecto al escenario base. Cuando consideramos el escenario de menor cobertura, el déficit alcanza el 6,07% del PBI, la deuda externa se incrementa hasta el 46,11% y la deuda total llega hasta el 54,92%. Es decir, 0,6 pp., 6 pp. y 7,92 pp. respectivamente, más que los valores que toman estas variables bajo el mismo esquema de cobertura en el escenario base. </w:t>
      </w:r>
    </w:p>
    <w:p w:rsidR="00C64739" w:rsidRPr="00F70E67" w:rsidRDefault="00C64739" w:rsidP="00AA3706">
      <w:pPr>
        <w:pStyle w:val="NormalWeb"/>
        <w:spacing w:line="276" w:lineRule="auto"/>
        <w:jc w:val="both"/>
        <w:rPr>
          <w:rFonts w:ascii="Arial" w:hAnsi="Arial" w:cs="Arial"/>
          <w:sz w:val="22"/>
          <w:szCs w:val="22"/>
        </w:rPr>
      </w:pPr>
      <w:r w:rsidRPr="00F70E67">
        <w:rPr>
          <w:rFonts w:ascii="Arial" w:hAnsi="Arial" w:cs="Arial"/>
          <w:sz w:val="22"/>
          <w:szCs w:val="22"/>
        </w:rPr>
        <w:t xml:space="preserve">Si finalmente consideramos el escenario más optimista en términos de crecimiento, bajo el mayor nivel de cobertura el déficit fiscal alcanza en 2025 el 5,45% del PBI, la deuda externa llega al 38% del producto, y la deuda total alcanza el 44,69%. Respecto al escenario base, esos valores son ligeramente menores que los registrados en el escenario base (en 0,3pp., 3,1pp y 3,89 pp., respectivamente). En el escenario de menor cobertura, por su parte, el déficit alcanza en 2025 el 5,19%, y las deudas externa y total, el 36,73% y 43,52% del PBI respectivamente. Respecto al año base, esos valores son también menores: en 0,28pp., en 3,27, y en 3,48 pp., respectivamente. </w:t>
      </w:r>
    </w:p>
    <w:p w:rsidR="00C64739" w:rsidRPr="00F70E67" w:rsidRDefault="00C64739" w:rsidP="00AA3706">
      <w:pPr>
        <w:pStyle w:val="NormalWeb"/>
        <w:spacing w:line="276" w:lineRule="auto"/>
        <w:jc w:val="both"/>
        <w:rPr>
          <w:rFonts w:ascii="Arial" w:hAnsi="Arial" w:cs="Arial"/>
          <w:sz w:val="22"/>
          <w:szCs w:val="22"/>
        </w:rPr>
      </w:pPr>
      <w:r w:rsidRPr="00F70E67">
        <w:rPr>
          <w:rFonts w:ascii="Arial" w:hAnsi="Arial" w:cs="Arial"/>
          <w:sz w:val="22"/>
          <w:szCs w:val="22"/>
        </w:rPr>
        <w:t xml:space="preserve">En resumen, como adelantamos en general las diferencias entre escenarios de diversa cobertura se mantienen, para una determinada tasa de crecimiento, lo que sugiere que para explicar los niveles de déficit y de deuda posee más importancia considerar las distintas tasas de crecimiento que las discrepancias consideradas en los niveles de cobertura del BVM y del gasto en Salud. </w:t>
      </w:r>
    </w:p>
    <w:p w:rsidR="00C64739" w:rsidRPr="00F70E67" w:rsidRDefault="00C64739" w:rsidP="00AA3706">
      <w:pPr>
        <w:pStyle w:val="NormalWeb"/>
        <w:spacing w:line="276" w:lineRule="auto"/>
        <w:jc w:val="both"/>
        <w:rPr>
          <w:rFonts w:ascii="Arial" w:hAnsi="Arial" w:cs="Arial"/>
          <w:sz w:val="22"/>
          <w:szCs w:val="22"/>
        </w:rPr>
      </w:pPr>
      <w:r w:rsidRPr="00F70E67">
        <w:rPr>
          <w:rFonts w:ascii="Arial" w:hAnsi="Arial" w:cs="Arial"/>
          <w:sz w:val="22"/>
          <w:szCs w:val="22"/>
        </w:rPr>
        <w:lastRenderedPageBreak/>
        <w:t>A su vez, el análisis muestra que bajo un escenario de crecimiento del 4%, el impacto del incremento de cobertura es poco relevante. Bajo la configuración de mayor cobertura, el gasto corriente neto de los programas analizados, alcanza en 2025 los 15,73 pp. del PBI. El nivel de esta porción del gasto corriente no varía prácticamente cuando se consideran 274.000 beneficiarios y 93 municipios, llegando a 15,78% del PBI. Es decir, que aumenta solamente en 0,05pp. Cuando el déficit es endógeno la variable analizada pasa a ser el nivel de deuda. Mientas que en la primera configuración la proyección para 2015 es de 48,58% del PBI, en la segunda es de 47,17%</w:t>
      </w:r>
      <w:bookmarkStart w:id="29" w:name="_GoBack"/>
      <w:bookmarkEnd w:id="29"/>
      <w:r w:rsidRPr="00F70E67">
        <w:rPr>
          <w:rFonts w:ascii="Arial" w:hAnsi="Arial" w:cs="Arial"/>
          <w:sz w:val="22"/>
          <w:szCs w:val="22"/>
        </w:rPr>
        <w:t xml:space="preserve"> lo que significa una reducción del 2,9%. Sin embargo, en un escenario en el que el PBI crece al 2%, los efectos son mayores. Para el caso del déficit exógeno, el gasto corriente neto de los programas analizados, varía en 0,06 pp. entre las configuraciones de mayor y menor cobertura. En este caso la variable estudiada alcanzaría en 2025 el 15,91% del PBI vs. el 15,97% bajo la alternativa de una cobertura menor.</w:t>
      </w:r>
    </w:p>
    <w:p w:rsidR="00861125" w:rsidRPr="00C107B0" w:rsidRDefault="00861125" w:rsidP="00AA3706">
      <w:pPr>
        <w:spacing w:line="276" w:lineRule="auto"/>
        <w:rPr>
          <w:lang w:val="es-AR"/>
        </w:rPr>
      </w:pPr>
    </w:p>
    <w:p w:rsidR="00861125" w:rsidRDefault="00FD4DBE" w:rsidP="00AA3706">
      <w:pPr>
        <w:spacing w:line="276" w:lineRule="auto"/>
      </w:pPr>
      <w:r>
        <w:rPr>
          <w:noProof/>
          <w:lang w:val="en-US" w:eastAsia="en-US"/>
        </w:rPr>
        <w:lastRenderedPageBreak/>
        <w:drawing>
          <wp:inline distT="0" distB="0" distL="0" distR="0">
            <wp:extent cx="5619750" cy="7829550"/>
            <wp:effectExtent l="0" t="0" r="0" b="0"/>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619750" cy="7829550"/>
                    </a:xfrm>
                    <a:prstGeom prst="rect">
                      <a:avLst/>
                    </a:prstGeom>
                    <a:solidFill>
                      <a:srgbClr val="FFFFFF"/>
                    </a:solidFill>
                    <a:ln>
                      <a:noFill/>
                    </a:ln>
                  </pic:spPr>
                </pic:pic>
              </a:graphicData>
            </a:graphic>
          </wp:inline>
        </w:drawing>
      </w:r>
    </w:p>
    <w:p w:rsidR="00861125" w:rsidRDefault="00861125" w:rsidP="00AA3706">
      <w:pPr>
        <w:spacing w:line="276" w:lineRule="auto"/>
      </w:pPr>
    </w:p>
    <w:p w:rsidR="00861125" w:rsidRDefault="00FD4DBE" w:rsidP="00AA3706">
      <w:pPr>
        <w:spacing w:line="276" w:lineRule="auto"/>
      </w:pPr>
      <w:r>
        <w:rPr>
          <w:noProof/>
          <w:lang w:val="en-US" w:eastAsia="en-US"/>
        </w:rPr>
        <w:lastRenderedPageBreak/>
        <w:drawing>
          <wp:inline distT="0" distB="0" distL="0" distR="0">
            <wp:extent cx="5610225" cy="6248400"/>
            <wp:effectExtent l="0" t="0" r="9525" b="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610225" cy="6248400"/>
                    </a:xfrm>
                    <a:prstGeom prst="rect">
                      <a:avLst/>
                    </a:prstGeom>
                    <a:solidFill>
                      <a:srgbClr val="FFFFFF"/>
                    </a:solidFill>
                    <a:ln>
                      <a:noFill/>
                    </a:ln>
                  </pic:spPr>
                </pic:pic>
              </a:graphicData>
            </a:graphic>
          </wp:inline>
        </w:drawing>
      </w:r>
    </w:p>
    <w:p w:rsidR="00861125" w:rsidRDefault="00861125" w:rsidP="00AA3706">
      <w:pPr>
        <w:spacing w:line="276" w:lineRule="auto"/>
      </w:pPr>
    </w:p>
    <w:p w:rsidR="00861125" w:rsidRDefault="00FD4DBE" w:rsidP="00AA3706">
      <w:pPr>
        <w:spacing w:line="276" w:lineRule="auto"/>
      </w:pPr>
      <w:r>
        <w:rPr>
          <w:noProof/>
          <w:lang w:val="en-US" w:eastAsia="en-US"/>
        </w:rPr>
        <w:lastRenderedPageBreak/>
        <w:drawing>
          <wp:inline distT="0" distB="0" distL="0" distR="0">
            <wp:extent cx="5610225" cy="7096125"/>
            <wp:effectExtent l="0" t="0" r="9525" b="9525"/>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610225" cy="7096125"/>
                    </a:xfrm>
                    <a:prstGeom prst="rect">
                      <a:avLst/>
                    </a:prstGeom>
                    <a:solidFill>
                      <a:srgbClr val="FFFFFF"/>
                    </a:solidFill>
                    <a:ln>
                      <a:noFill/>
                    </a:ln>
                  </pic:spPr>
                </pic:pic>
              </a:graphicData>
            </a:graphic>
          </wp:inline>
        </w:drawing>
      </w:r>
    </w:p>
    <w:p w:rsidR="00861125" w:rsidRDefault="00861125" w:rsidP="00AA3706">
      <w:pPr>
        <w:spacing w:line="276" w:lineRule="auto"/>
      </w:pPr>
    </w:p>
    <w:p w:rsidR="00861125" w:rsidRDefault="00FD4DBE" w:rsidP="00AA3706">
      <w:pPr>
        <w:spacing w:line="276" w:lineRule="auto"/>
      </w:pPr>
      <w:r>
        <w:rPr>
          <w:noProof/>
          <w:lang w:val="en-US" w:eastAsia="en-US"/>
        </w:rPr>
        <w:lastRenderedPageBreak/>
        <w:drawing>
          <wp:inline distT="0" distB="0" distL="0" distR="0">
            <wp:extent cx="5619750" cy="7267575"/>
            <wp:effectExtent l="0" t="0" r="0" b="9525"/>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619750" cy="7267575"/>
                    </a:xfrm>
                    <a:prstGeom prst="rect">
                      <a:avLst/>
                    </a:prstGeom>
                    <a:solidFill>
                      <a:srgbClr val="FFFFFF"/>
                    </a:solidFill>
                    <a:ln>
                      <a:noFill/>
                    </a:ln>
                  </pic:spPr>
                </pic:pic>
              </a:graphicData>
            </a:graphic>
          </wp:inline>
        </w:drawing>
      </w:r>
    </w:p>
    <w:p w:rsidR="00861125" w:rsidRDefault="00FD4DBE" w:rsidP="00AA3706">
      <w:pPr>
        <w:spacing w:line="276" w:lineRule="auto"/>
      </w:pPr>
      <w:r>
        <w:rPr>
          <w:noProof/>
          <w:lang w:val="en-US" w:eastAsia="en-US"/>
        </w:rPr>
        <w:lastRenderedPageBreak/>
        <w:drawing>
          <wp:inline distT="0" distB="0" distL="0" distR="0">
            <wp:extent cx="5610225" cy="7038975"/>
            <wp:effectExtent l="0" t="0" r="9525" b="9525"/>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610225" cy="7038975"/>
                    </a:xfrm>
                    <a:prstGeom prst="rect">
                      <a:avLst/>
                    </a:prstGeom>
                    <a:solidFill>
                      <a:srgbClr val="FFFFFF"/>
                    </a:solidFill>
                    <a:ln>
                      <a:noFill/>
                    </a:ln>
                  </pic:spPr>
                </pic:pic>
              </a:graphicData>
            </a:graphic>
          </wp:inline>
        </w:drawing>
      </w:r>
    </w:p>
    <w:p w:rsidR="00861125" w:rsidRDefault="00FD4DBE" w:rsidP="00AA3706">
      <w:pPr>
        <w:spacing w:line="276" w:lineRule="auto"/>
      </w:pPr>
      <w:r>
        <w:rPr>
          <w:noProof/>
          <w:lang w:val="en-US" w:eastAsia="en-US"/>
        </w:rPr>
        <w:lastRenderedPageBreak/>
        <w:drawing>
          <wp:inline distT="0" distB="0" distL="0" distR="0">
            <wp:extent cx="5610225" cy="7496175"/>
            <wp:effectExtent l="0" t="0" r="9525" b="9525"/>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610225" cy="7496175"/>
                    </a:xfrm>
                    <a:prstGeom prst="rect">
                      <a:avLst/>
                    </a:prstGeom>
                    <a:solidFill>
                      <a:srgbClr val="FFFFFF"/>
                    </a:solidFill>
                    <a:ln>
                      <a:noFill/>
                    </a:ln>
                  </pic:spPr>
                </pic:pic>
              </a:graphicData>
            </a:graphic>
          </wp:inline>
        </w:drawing>
      </w:r>
    </w:p>
    <w:p w:rsidR="00861125" w:rsidRDefault="00861125" w:rsidP="00AA3706">
      <w:pPr>
        <w:spacing w:line="276" w:lineRule="auto"/>
      </w:pPr>
    </w:p>
    <w:p w:rsidR="00C64739" w:rsidRDefault="00C64739" w:rsidP="00AA3706">
      <w:pPr>
        <w:pStyle w:val="NormalWeb"/>
        <w:spacing w:line="276" w:lineRule="auto"/>
      </w:pPr>
    </w:p>
    <w:p w:rsidR="000C6BDD" w:rsidRDefault="000C6BDD" w:rsidP="00196CA6">
      <w:pPr>
        <w:pStyle w:val="Heading2"/>
        <w:pageBreakBefore/>
        <w:numPr>
          <w:ilvl w:val="0"/>
          <w:numId w:val="0"/>
        </w:numPr>
        <w:spacing w:line="276" w:lineRule="auto"/>
        <w:rPr>
          <w:lang w:val="es-AR"/>
        </w:rPr>
      </w:pPr>
      <w:r>
        <w:rPr>
          <w:lang w:val="es-AR"/>
        </w:rPr>
        <w:lastRenderedPageBreak/>
        <w:t xml:space="preserve">ANEXO </w:t>
      </w:r>
      <w:r w:rsidR="00C64739">
        <w:rPr>
          <w:lang w:val="es-AR"/>
        </w:rPr>
        <w:t>II</w:t>
      </w:r>
      <w:r>
        <w:rPr>
          <w:lang w:val="es-AR"/>
        </w:rPr>
        <w:t>: E</w:t>
      </w:r>
      <w:r w:rsidR="00196CA6">
        <w:rPr>
          <w:lang w:val="es-AR"/>
        </w:rPr>
        <w:t>volución del gasto asociado al</w:t>
      </w:r>
      <w:r>
        <w:rPr>
          <w:lang w:val="es-AR"/>
        </w:rPr>
        <w:t xml:space="preserve"> BVM </w:t>
      </w:r>
      <w:r w:rsidR="000E719F">
        <w:rPr>
          <w:lang w:val="es-AR"/>
        </w:rPr>
        <w:t>(</w:t>
      </w:r>
      <w:r w:rsidR="00196CA6">
        <w:rPr>
          <w:lang w:val="es-AR"/>
        </w:rPr>
        <w:t xml:space="preserve">crecimiento </w:t>
      </w:r>
      <w:r w:rsidR="000E719F">
        <w:rPr>
          <w:lang w:val="es-AR"/>
        </w:rPr>
        <w:t>PBI: 4%)</w:t>
      </w:r>
    </w:p>
    <w:p w:rsidR="00AB1C61" w:rsidRPr="00833956" w:rsidRDefault="00AB1C61" w:rsidP="00AA3706">
      <w:pPr>
        <w:spacing w:line="276" w:lineRule="auto"/>
        <w:ind w:firstLine="0"/>
        <w:rPr>
          <w:lang w:val="es-AR"/>
        </w:rPr>
      </w:pPr>
    </w:p>
    <w:p w:rsidR="00AB1C61" w:rsidRPr="00AB1C61" w:rsidRDefault="00AB1C61" w:rsidP="00AB1C61">
      <w:pPr>
        <w:pStyle w:val="Caption"/>
        <w:keepNext/>
        <w:ind w:firstLine="0"/>
        <w:rPr>
          <w:sz w:val="22"/>
          <w:lang w:val="es-AR"/>
        </w:rPr>
      </w:pPr>
      <w:r w:rsidRPr="00AB1C61">
        <w:rPr>
          <w:sz w:val="22"/>
          <w:lang w:val="es-AR"/>
        </w:rPr>
        <w:t xml:space="preserve">Cuadro </w:t>
      </w:r>
      <w:r w:rsidRPr="00AB1C61">
        <w:rPr>
          <w:sz w:val="22"/>
        </w:rPr>
        <w:fldChar w:fldCharType="begin"/>
      </w:r>
      <w:r w:rsidRPr="00AB1C61">
        <w:rPr>
          <w:sz w:val="22"/>
          <w:lang w:val="es-AR"/>
        </w:rPr>
        <w:instrText xml:space="preserve"> SEQ Cuadro \* ARABIC </w:instrText>
      </w:r>
      <w:r w:rsidRPr="00AB1C61">
        <w:rPr>
          <w:sz w:val="22"/>
        </w:rPr>
        <w:fldChar w:fldCharType="separate"/>
      </w:r>
      <w:r w:rsidR="009C1E0D">
        <w:rPr>
          <w:noProof/>
          <w:sz w:val="22"/>
          <w:lang w:val="es-AR"/>
        </w:rPr>
        <w:t>13</w:t>
      </w:r>
      <w:r w:rsidRPr="00AB1C61">
        <w:rPr>
          <w:sz w:val="22"/>
        </w:rPr>
        <w:fldChar w:fldCharType="end"/>
      </w:r>
      <w:r w:rsidRPr="00AB1C61">
        <w:rPr>
          <w:sz w:val="22"/>
          <w:lang w:val="es-AR"/>
        </w:rPr>
        <w:t xml:space="preserve">: Evolución del gasto asociado al BVM/BVMU para un </w:t>
      </w:r>
      <w:r w:rsidR="000E719F">
        <w:rPr>
          <w:sz w:val="22"/>
          <w:lang w:val="es-AR"/>
        </w:rPr>
        <w:t>e</w:t>
      </w:r>
      <w:r w:rsidRPr="00AB1C61">
        <w:rPr>
          <w:sz w:val="22"/>
          <w:lang w:val="es-AR"/>
        </w:rPr>
        <w:t>scenario de 400.000 beneficiarios en 2017 (en lempiras Corrientes)</w:t>
      </w:r>
    </w:p>
    <w:p w:rsidR="000C6BDD" w:rsidRDefault="00AB1C61" w:rsidP="00AA3706">
      <w:pPr>
        <w:spacing w:line="276" w:lineRule="auto"/>
        <w:ind w:firstLine="0"/>
        <w:rPr>
          <w:lang w:val="es-AR"/>
        </w:rPr>
      </w:pPr>
      <w:r w:rsidRPr="00AB1C61">
        <w:rPr>
          <w:noProof/>
          <w:lang w:val="en-US" w:eastAsia="en-US"/>
        </w:rPr>
        <w:drawing>
          <wp:inline distT="0" distB="0" distL="0" distR="0" wp14:anchorId="320AB09F" wp14:editId="5F269FC6">
            <wp:extent cx="5612130" cy="1160029"/>
            <wp:effectExtent l="0" t="0" r="0" b="254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5612130" cy="1160029"/>
                    </a:xfrm>
                    <a:prstGeom prst="rect">
                      <a:avLst/>
                    </a:prstGeom>
                    <a:noFill/>
                    <a:ln>
                      <a:noFill/>
                    </a:ln>
                  </pic:spPr>
                </pic:pic>
              </a:graphicData>
            </a:graphic>
          </wp:inline>
        </w:drawing>
      </w:r>
    </w:p>
    <w:p w:rsidR="00AB1C61" w:rsidRDefault="00AB1C61" w:rsidP="00AA3706">
      <w:pPr>
        <w:spacing w:line="276" w:lineRule="auto"/>
        <w:ind w:firstLine="0"/>
        <w:rPr>
          <w:lang w:val="es-AR"/>
        </w:rPr>
      </w:pPr>
    </w:p>
    <w:p w:rsidR="00AB1C61" w:rsidRDefault="00AB1C61" w:rsidP="00AA3706">
      <w:pPr>
        <w:spacing w:line="276" w:lineRule="auto"/>
        <w:ind w:firstLine="0"/>
        <w:rPr>
          <w:lang w:val="es-AR"/>
        </w:rPr>
      </w:pPr>
    </w:p>
    <w:p w:rsidR="006002CA" w:rsidRPr="006002CA" w:rsidRDefault="006002CA" w:rsidP="006002CA">
      <w:pPr>
        <w:pStyle w:val="Caption"/>
        <w:keepNext/>
        <w:ind w:firstLine="0"/>
        <w:rPr>
          <w:lang w:val="es-AR"/>
        </w:rPr>
      </w:pPr>
      <w:r w:rsidRPr="006002CA">
        <w:rPr>
          <w:sz w:val="22"/>
          <w:szCs w:val="22"/>
          <w:lang w:val="es-AR"/>
        </w:rPr>
        <w:t xml:space="preserve">Cuadro </w:t>
      </w:r>
      <w:r w:rsidRPr="006002CA">
        <w:rPr>
          <w:sz w:val="22"/>
          <w:szCs w:val="22"/>
        </w:rPr>
        <w:fldChar w:fldCharType="begin"/>
      </w:r>
      <w:r w:rsidRPr="006002CA">
        <w:rPr>
          <w:sz w:val="22"/>
          <w:szCs w:val="22"/>
          <w:lang w:val="es-AR"/>
        </w:rPr>
        <w:instrText xml:space="preserve"> SEQ Cuadro \* ARABIC </w:instrText>
      </w:r>
      <w:r w:rsidRPr="006002CA">
        <w:rPr>
          <w:sz w:val="22"/>
          <w:szCs w:val="22"/>
        </w:rPr>
        <w:fldChar w:fldCharType="separate"/>
      </w:r>
      <w:r w:rsidR="009C1E0D">
        <w:rPr>
          <w:noProof/>
          <w:sz w:val="22"/>
          <w:szCs w:val="22"/>
          <w:lang w:val="es-AR"/>
        </w:rPr>
        <w:t>14</w:t>
      </w:r>
      <w:r w:rsidRPr="006002CA">
        <w:rPr>
          <w:sz w:val="22"/>
          <w:szCs w:val="22"/>
        </w:rPr>
        <w:fldChar w:fldCharType="end"/>
      </w:r>
      <w:r w:rsidRPr="006002CA">
        <w:rPr>
          <w:sz w:val="22"/>
          <w:szCs w:val="22"/>
          <w:lang w:val="es-AR"/>
        </w:rPr>
        <w:t xml:space="preserve">: Evolución del gasto asociado al BVM/BVMU para un </w:t>
      </w:r>
      <w:r w:rsidR="000E719F">
        <w:rPr>
          <w:sz w:val="22"/>
          <w:szCs w:val="22"/>
          <w:lang w:val="es-AR"/>
        </w:rPr>
        <w:t>e</w:t>
      </w:r>
      <w:r w:rsidRPr="006002CA">
        <w:rPr>
          <w:sz w:val="22"/>
          <w:szCs w:val="22"/>
          <w:lang w:val="es-AR"/>
        </w:rPr>
        <w:t xml:space="preserve">scenario de 400.000 beneficiarios </w:t>
      </w:r>
      <w:r>
        <w:rPr>
          <w:sz w:val="22"/>
          <w:lang w:val="es-AR"/>
        </w:rPr>
        <w:t>en 2017 (en US$</w:t>
      </w:r>
      <w:r w:rsidRPr="00AB1C61">
        <w:rPr>
          <w:sz w:val="22"/>
          <w:lang w:val="es-AR"/>
        </w:rPr>
        <w:t xml:space="preserve"> Corrientes)</w:t>
      </w:r>
    </w:p>
    <w:p w:rsidR="00AB1C61" w:rsidRDefault="006002CA" w:rsidP="00AA3706">
      <w:pPr>
        <w:spacing w:line="276" w:lineRule="auto"/>
        <w:ind w:firstLine="0"/>
        <w:rPr>
          <w:lang w:val="es-AR"/>
        </w:rPr>
      </w:pPr>
      <w:r w:rsidRPr="006002CA">
        <w:rPr>
          <w:noProof/>
          <w:lang w:val="en-US" w:eastAsia="en-US"/>
        </w:rPr>
        <w:drawing>
          <wp:inline distT="0" distB="0" distL="0" distR="0" wp14:anchorId="2B15C04B" wp14:editId="7C7EC506">
            <wp:extent cx="5612130" cy="1160029"/>
            <wp:effectExtent l="0" t="0" r="0" b="254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5612130" cy="1160029"/>
                    </a:xfrm>
                    <a:prstGeom prst="rect">
                      <a:avLst/>
                    </a:prstGeom>
                    <a:noFill/>
                    <a:ln>
                      <a:noFill/>
                    </a:ln>
                  </pic:spPr>
                </pic:pic>
              </a:graphicData>
            </a:graphic>
          </wp:inline>
        </w:drawing>
      </w:r>
    </w:p>
    <w:p w:rsidR="006002CA" w:rsidRDefault="006002CA" w:rsidP="00AA3706">
      <w:pPr>
        <w:spacing w:line="276" w:lineRule="auto"/>
        <w:ind w:firstLine="0"/>
        <w:rPr>
          <w:lang w:val="es-AR"/>
        </w:rPr>
      </w:pPr>
    </w:p>
    <w:p w:rsidR="000E719F" w:rsidRDefault="000E719F" w:rsidP="00AA3706">
      <w:pPr>
        <w:spacing w:line="276" w:lineRule="auto"/>
        <w:ind w:firstLine="0"/>
        <w:rPr>
          <w:lang w:val="es-AR"/>
        </w:rPr>
      </w:pPr>
    </w:p>
    <w:p w:rsidR="000E719F" w:rsidRPr="000E719F" w:rsidRDefault="000E719F" w:rsidP="000E719F">
      <w:pPr>
        <w:pStyle w:val="Caption"/>
        <w:keepNext/>
        <w:ind w:firstLine="0"/>
        <w:rPr>
          <w:lang w:val="es-AR"/>
        </w:rPr>
      </w:pPr>
      <w:r w:rsidRPr="000E719F">
        <w:rPr>
          <w:sz w:val="22"/>
          <w:szCs w:val="22"/>
          <w:lang w:val="es-AR"/>
        </w:rPr>
        <w:t xml:space="preserve">Cuadro </w:t>
      </w:r>
      <w:r w:rsidRPr="000E719F">
        <w:rPr>
          <w:sz w:val="22"/>
          <w:szCs w:val="22"/>
        </w:rPr>
        <w:fldChar w:fldCharType="begin"/>
      </w:r>
      <w:r w:rsidRPr="000E719F">
        <w:rPr>
          <w:sz w:val="22"/>
          <w:szCs w:val="22"/>
          <w:lang w:val="es-AR"/>
        </w:rPr>
        <w:instrText xml:space="preserve"> SEQ Cuadro \* ARABIC </w:instrText>
      </w:r>
      <w:r w:rsidRPr="000E719F">
        <w:rPr>
          <w:sz w:val="22"/>
          <w:szCs w:val="22"/>
        </w:rPr>
        <w:fldChar w:fldCharType="separate"/>
      </w:r>
      <w:r w:rsidR="009C1E0D">
        <w:rPr>
          <w:noProof/>
          <w:sz w:val="22"/>
          <w:szCs w:val="22"/>
          <w:lang w:val="es-AR"/>
        </w:rPr>
        <w:t>15</w:t>
      </w:r>
      <w:r w:rsidRPr="000E719F">
        <w:rPr>
          <w:sz w:val="22"/>
          <w:szCs w:val="22"/>
        </w:rPr>
        <w:fldChar w:fldCharType="end"/>
      </w:r>
      <w:r w:rsidRPr="000E719F">
        <w:rPr>
          <w:sz w:val="22"/>
          <w:szCs w:val="22"/>
          <w:lang w:val="es-AR"/>
        </w:rPr>
        <w:t xml:space="preserve">: Evolución del gasto asociado al BVM/BVMU para un </w:t>
      </w:r>
      <w:r>
        <w:rPr>
          <w:sz w:val="22"/>
          <w:szCs w:val="22"/>
          <w:lang w:val="es-AR"/>
        </w:rPr>
        <w:t>e</w:t>
      </w:r>
      <w:r w:rsidRPr="000E719F">
        <w:rPr>
          <w:sz w:val="22"/>
          <w:szCs w:val="22"/>
          <w:lang w:val="es-AR"/>
        </w:rPr>
        <w:t xml:space="preserve">scenario de 400.000 beneficiarios </w:t>
      </w:r>
      <w:r>
        <w:rPr>
          <w:sz w:val="22"/>
          <w:lang w:val="es-AR"/>
        </w:rPr>
        <w:t>en 2017 (en % PBI</w:t>
      </w:r>
      <w:r w:rsidRPr="00AB1C61">
        <w:rPr>
          <w:sz w:val="22"/>
          <w:lang w:val="es-AR"/>
        </w:rPr>
        <w:t>)</w:t>
      </w:r>
    </w:p>
    <w:p w:rsidR="000E719F" w:rsidRDefault="000E719F" w:rsidP="00AA3706">
      <w:pPr>
        <w:spacing w:line="276" w:lineRule="auto"/>
        <w:ind w:firstLine="0"/>
        <w:rPr>
          <w:lang w:val="es-AR"/>
        </w:rPr>
      </w:pPr>
      <w:r w:rsidRPr="000E719F">
        <w:rPr>
          <w:noProof/>
          <w:lang w:val="en-US" w:eastAsia="en-US"/>
        </w:rPr>
        <w:drawing>
          <wp:inline distT="0" distB="0" distL="0" distR="0" wp14:anchorId="10AA3F71" wp14:editId="6E50818E">
            <wp:extent cx="5612130" cy="1160029"/>
            <wp:effectExtent l="0" t="0" r="0" b="2540"/>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5612130" cy="1160029"/>
                    </a:xfrm>
                    <a:prstGeom prst="rect">
                      <a:avLst/>
                    </a:prstGeom>
                    <a:noFill/>
                    <a:ln>
                      <a:noFill/>
                    </a:ln>
                  </pic:spPr>
                </pic:pic>
              </a:graphicData>
            </a:graphic>
          </wp:inline>
        </w:drawing>
      </w:r>
    </w:p>
    <w:p w:rsidR="006002CA" w:rsidRDefault="006002CA" w:rsidP="00AA3706">
      <w:pPr>
        <w:spacing w:line="276" w:lineRule="auto"/>
        <w:ind w:firstLine="0"/>
        <w:rPr>
          <w:lang w:val="es-AR"/>
        </w:rPr>
      </w:pPr>
    </w:p>
    <w:p w:rsidR="00680E49" w:rsidRDefault="00680E49" w:rsidP="00AA3706">
      <w:pPr>
        <w:spacing w:line="276" w:lineRule="auto"/>
        <w:ind w:firstLine="0"/>
        <w:rPr>
          <w:lang w:val="es-AR"/>
        </w:rPr>
      </w:pPr>
    </w:p>
    <w:p w:rsidR="00680E49" w:rsidRDefault="00680E49" w:rsidP="00AA3706">
      <w:pPr>
        <w:spacing w:line="276" w:lineRule="auto"/>
        <w:ind w:firstLine="0"/>
        <w:rPr>
          <w:lang w:val="es-AR"/>
        </w:rPr>
      </w:pPr>
    </w:p>
    <w:p w:rsidR="00680E49" w:rsidRDefault="00680E49" w:rsidP="00AA3706">
      <w:pPr>
        <w:spacing w:line="276" w:lineRule="auto"/>
        <w:ind w:firstLine="0"/>
        <w:rPr>
          <w:lang w:val="es-AR"/>
        </w:rPr>
      </w:pPr>
    </w:p>
    <w:p w:rsidR="00680E49" w:rsidRPr="00680E49" w:rsidRDefault="00680E49" w:rsidP="00680E49">
      <w:pPr>
        <w:pStyle w:val="Caption"/>
        <w:keepNext/>
        <w:ind w:firstLine="0"/>
        <w:rPr>
          <w:lang w:val="es-AR"/>
        </w:rPr>
      </w:pPr>
      <w:r w:rsidRPr="00680E49">
        <w:rPr>
          <w:sz w:val="22"/>
          <w:szCs w:val="22"/>
          <w:lang w:val="es-AR"/>
        </w:rPr>
        <w:lastRenderedPageBreak/>
        <w:t xml:space="preserve">Cuadro </w:t>
      </w:r>
      <w:r w:rsidRPr="00680E49">
        <w:rPr>
          <w:sz w:val="22"/>
          <w:szCs w:val="22"/>
        </w:rPr>
        <w:fldChar w:fldCharType="begin"/>
      </w:r>
      <w:r w:rsidRPr="00680E49">
        <w:rPr>
          <w:sz w:val="22"/>
          <w:szCs w:val="22"/>
          <w:lang w:val="es-AR"/>
        </w:rPr>
        <w:instrText xml:space="preserve"> SEQ Cuadro \* ARABIC </w:instrText>
      </w:r>
      <w:r w:rsidRPr="00680E49">
        <w:rPr>
          <w:sz w:val="22"/>
          <w:szCs w:val="22"/>
        </w:rPr>
        <w:fldChar w:fldCharType="separate"/>
      </w:r>
      <w:r w:rsidR="009C1E0D">
        <w:rPr>
          <w:noProof/>
          <w:sz w:val="22"/>
          <w:szCs w:val="22"/>
          <w:lang w:val="es-AR"/>
        </w:rPr>
        <w:t>16</w:t>
      </w:r>
      <w:r w:rsidRPr="00680E49">
        <w:rPr>
          <w:sz w:val="22"/>
          <w:szCs w:val="22"/>
        </w:rPr>
        <w:fldChar w:fldCharType="end"/>
      </w:r>
      <w:r w:rsidRPr="00680E49">
        <w:rPr>
          <w:sz w:val="22"/>
          <w:szCs w:val="22"/>
          <w:lang w:val="es-AR"/>
        </w:rPr>
        <w:t>: Evolución del gasto asociado al BVM/BVMU para un escenario de 400.000</w:t>
      </w:r>
      <w:r w:rsidRPr="00AB1C61">
        <w:rPr>
          <w:sz w:val="22"/>
          <w:lang w:val="es-AR"/>
        </w:rPr>
        <w:t xml:space="preserve"> beneficiarios en 20</w:t>
      </w:r>
      <w:r>
        <w:rPr>
          <w:sz w:val="22"/>
          <w:lang w:val="es-AR"/>
        </w:rPr>
        <w:t>20</w:t>
      </w:r>
      <w:r w:rsidRPr="00AB1C61">
        <w:rPr>
          <w:sz w:val="22"/>
          <w:lang w:val="es-AR"/>
        </w:rPr>
        <w:t xml:space="preserve"> (en lempiras Corrientes)</w:t>
      </w:r>
    </w:p>
    <w:p w:rsidR="006002CA" w:rsidRDefault="00DC1932" w:rsidP="00AA3706">
      <w:pPr>
        <w:spacing w:line="276" w:lineRule="auto"/>
        <w:ind w:firstLine="0"/>
        <w:rPr>
          <w:lang w:val="es-AR"/>
        </w:rPr>
      </w:pPr>
      <w:r w:rsidRPr="00DC1932">
        <w:rPr>
          <w:noProof/>
          <w:lang w:val="en-US" w:eastAsia="en-US"/>
        </w:rPr>
        <w:drawing>
          <wp:inline distT="0" distB="0" distL="0" distR="0" wp14:anchorId="3FF81389" wp14:editId="2B124EE7">
            <wp:extent cx="6036640" cy="1247775"/>
            <wp:effectExtent l="0" t="0" r="2540" b="0"/>
            <wp:docPr id="41"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6038690" cy="1248199"/>
                    </a:xfrm>
                    <a:prstGeom prst="rect">
                      <a:avLst/>
                    </a:prstGeom>
                    <a:noFill/>
                    <a:ln>
                      <a:noFill/>
                    </a:ln>
                  </pic:spPr>
                </pic:pic>
              </a:graphicData>
            </a:graphic>
          </wp:inline>
        </w:drawing>
      </w:r>
    </w:p>
    <w:p w:rsidR="006002CA" w:rsidRDefault="006002CA" w:rsidP="00AA3706">
      <w:pPr>
        <w:spacing w:line="276" w:lineRule="auto"/>
        <w:ind w:firstLine="0"/>
        <w:rPr>
          <w:lang w:val="es-AR"/>
        </w:rPr>
      </w:pPr>
    </w:p>
    <w:p w:rsidR="00680E49" w:rsidRPr="00680E49" w:rsidRDefault="00680E49" w:rsidP="00680E49">
      <w:pPr>
        <w:pStyle w:val="Caption"/>
        <w:keepNext/>
        <w:ind w:firstLine="0"/>
        <w:jc w:val="left"/>
        <w:rPr>
          <w:lang w:val="es-AR"/>
        </w:rPr>
      </w:pPr>
      <w:r w:rsidRPr="00680E49">
        <w:rPr>
          <w:sz w:val="22"/>
          <w:szCs w:val="22"/>
          <w:lang w:val="es-AR"/>
        </w:rPr>
        <w:t xml:space="preserve">Cuadro </w:t>
      </w:r>
      <w:r w:rsidRPr="00680E49">
        <w:rPr>
          <w:sz w:val="22"/>
          <w:szCs w:val="22"/>
        </w:rPr>
        <w:fldChar w:fldCharType="begin"/>
      </w:r>
      <w:r w:rsidRPr="00680E49">
        <w:rPr>
          <w:sz w:val="22"/>
          <w:szCs w:val="22"/>
          <w:lang w:val="es-AR"/>
        </w:rPr>
        <w:instrText xml:space="preserve"> SEQ Cuadro \* ARABIC </w:instrText>
      </w:r>
      <w:r w:rsidRPr="00680E49">
        <w:rPr>
          <w:sz w:val="22"/>
          <w:szCs w:val="22"/>
        </w:rPr>
        <w:fldChar w:fldCharType="separate"/>
      </w:r>
      <w:r w:rsidR="009C1E0D">
        <w:rPr>
          <w:noProof/>
          <w:sz w:val="22"/>
          <w:szCs w:val="22"/>
          <w:lang w:val="es-AR"/>
        </w:rPr>
        <w:t>17</w:t>
      </w:r>
      <w:r w:rsidRPr="00680E49">
        <w:rPr>
          <w:sz w:val="22"/>
          <w:szCs w:val="22"/>
        </w:rPr>
        <w:fldChar w:fldCharType="end"/>
      </w:r>
      <w:r w:rsidRPr="00680E49">
        <w:rPr>
          <w:sz w:val="22"/>
          <w:szCs w:val="22"/>
          <w:lang w:val="es-AR"/>
        </w:rPr>
        <w:t>: Evolución del gasto asociado al BVM/BVMU para un escenario de 400.000</w:t>
      </w:r>
      <w:r w:rsidRPr="00680E49">
        <w:rPr>
          <w:sz w:val="24"/>
          <w:szCs w:val="22"/>
          <w:lang w:val="es-AR"/>
        </w:rPr>
        <w:t xml:space="preserve"> </w:t>
      </w:r>
      <w:r w:rsidRPr="006002CA">
        <w:rPr>
          <w:sz w:val="22"/>
          <w:szCs w:val="22"/>
          <w:lang w:val="es-AR"/>
        </w:rPr>
        <w:t xml:space="preserve">beneficiarios </w:t>
      </w:r>
      <w:r>
        <w:rPr>
          <w:sz w:val="22"/>
          <w:lang w:val="es-AR"/>
        </w:rPr>
        <w:t>en 2017 (en US$</w:t>
      </w:r>
      <w:r w:rsidRPr="00AB1C61">
        <w:rPr>
          <w:sz w:val="22"/>
          <w:lang w:val="es-AR"/>
        </w:rPr>
        <w:t xml:space="preserve"> Corrientes)</w:t>
      </w:r>
    </w:p>
    <w:p w:rsidR="00801235" w:rsidRDefault="00680E49">
      <w:pPr>
        <w:suppressAutoHyphens w:val="0"/>
        <w:spacing w:line="240" w:lineRule="auto"/>
        <w:ind w:firstLine="0"/>
        <w:jc w:val="left"/>
        <w:rPr>
          <w:lang w:val="es-AR"/>
        </w:rPr>
      </w:pPr>
      <w:r w:rsidRPr="00680E49">
        <w:rPr>
          <w:noProof/>
          <w:lang w:val="en-US" w:eastAsia="en-US"/>
        </w:rPr>
        <w:drawing>
          <wp:inline distT="0" distB="0" distL="0" distR="0" wp14:anchorId="7EEA89A9" wp14:editId="06B01E4C">
            <wp:extent cx="6038850" cy="1248232"/>
            <wp:effectExtent l="0" t="0" r="0" b="9525"/>
            <wp:docPr id="42" name="Imagen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6043527" cy="1249199"/>
                    </a:xfrm>
                    <a:prstGeom prst="rect">
                      <a:avLst/>
                    </a:prstGeom>
                    <a:noFill/>
                    <a:ln>
                      <a:noFill/>
                    </a:ln>
                  </pic:spPr>
                </pic:pic>
              </a:graphicData>
            </a:graphic>
          </wp:inline>
        </w:drawing>
      </w:r>
    </w:p>
    <w:p w:rsidR="00801235" w:rsidRDefault="00801235">
      <w:pPr>
        <w:suppressAutoHyphens w:val="0"/>
        <w:spacing w:line="240" w:lineRule="auto"/>
        <w:ind w:firstLine="0"/>
        <w:jc w:val="left"/>
        <w:rPr>
          <w:lang w:val="es-AR"/>
        </w:rPr>
      </w:pPr>
    </w:p>
    <w:p w:rsidR="00801235" w:rsidRDefault="00801235">
      <w:pPr>
        <w:suppressAutoHyphens w:val="0"/>
        <w:spacing w:line="240" w:lineRule="auto"/>
        <w:ind w:firstLine="0"/>
        <w:jc w:val="left"/>
        <w:rPr>
          <w:lang w:val="es-AR"/>
        </w:rPr>
      </w:pPr>
    </w:p>
    <w:p w:rsidR="00801235" w:rsidRPr="000E719F" w:rsidRDefault="00801235" w:rsidP="00801235">
      <w:pPr>
        <w:pStyle w:val="Caption"/>
        <w:keepNext/>
        <w:ind w:firstLine="0"/>
        <w:rPr>
          <w:lang w:val="es-AR"/>
        </w:rPr>
      </w:pPr>
      <w:r w:rsidRPr="00801235">
        <w:rPr>
          <w:sz w:val="22"/>
          <w:szCs w:val="22"/>
          <w:lang w:val="es-AR"/>
        </w:rPr>
        <w:t xml:space="preserve">Cuadro </w:t>
      </w:r>
      <w:r w:rsidRPr="00801235">
        <w:rPr>
          <w:sz w:val="22"/>
          <w:szCs w:val="22"/>
        </w:rPr>
        <w:fldChar w:fldCharType="begin"/>
      </w:r>
      <w:r w:rsidRPr="00801235">
        <w:rPr>
          <w:sz w:val="22"/>
          <w:szCs w:val="22"/>
          <w:lang w:val="es-AR"/>
        </w:rPr>
        <w:instrText xml:space="preserve"> SEQ Cuadro \* ARABIC </w:instrText>
      </w:r>
      <w:r w:rsidRPr="00801235">
        <w:rPr>
          <w:sz w:val="22"/>
          <w:szCs w:val="22"/>
        </w:rPr>
        <w:fldChar w:fldCharType="separate"/>
      </w:r>
      <w:r w:rsidR="009C1E0D">
        <w:rPr>
          <w:noProof/>
          <w:sz w:val="22"/>
          <w:szCs w:val="22"/>
          <w:lang w:val="es-AR"/>
        </w:rPr>
        <w:t>18</w:t>
      </w:r>
      <w:r w:rsidRPr="00801235">
        <w:rPr>
          <w:sz w:val="22"/>
          <w:szCs w:val="22"/>
        </w:rPr>
        <w:fldChar w:fldCharType="end"/>
      </w:r>
      <w:r w:rsidRPr="00801235">
        <w:rPr>
          <w:sz w:val="22"/>
          <w:szCs w:val="22"/>
          <w:lang w:val="es-AR"/>
        </w:rPr>
        <w:t>: Evolución del gasto asociado al BVM/BVMU para un escenario de 400.000</w:t>
      </w:r>
      <w:r w:rsidRPr="000E719F">
        <w:rPr>
          <w:sz w:val="22"/>
          <w:szCs w:val="22"/>
          <w:lang w:val="es-AR"/>
        </w:rPr>
        <w:t xml:space="preserve"> beneficiarios </w:t>
      </w:r>
      <w:r>
        <w:rPr>
          <w:sz w:val="22"/>
          <w:lang w:val="es-AR"/>
        </w:rPr>
        <w:t>en 2017 (en % PBI</w:t>
      </w:r>
      <w:r w:rsidRPr="00AB1C61">
        <w:rPr>
          <w:sz w:val="22"/>
          <w:lang w:val="es-AR"/>
        </w:rPr>
        <w:t>)</w:t>
      </w:r>
    </w:p>
    <w:p w:rsidR="000E719F" w:rsidRDefault="00801235">
      <w:pPr>
        <w:suppressAutoHyphens w:val="0"/>
        <w:spacing w:line="240" w:lineRule="auto"/>
        <w:ind w:firstLine="0"/>
        <w:jc w:val="left"/>
        <w:rPr>
          <w:lang w:val="es-AR"/>
        </w:rPr>
      </w:pPr>
      <w:r w:rsidRPr="00801235">
        <w:rPr>
          <w:noProof/>
          <w:lang w:val="en-US" w:eastAsia="en-US"/>
        </w:rPr>
        <w:drawing>
          <wp:inline distT="0" distB="0" distL="0" distR="0" wp14:anchorId="1CA111DA" wp14:editId="6A369569">
            <wp:extent cx="6036640" cy="1247775"/>
            <wp:effectExtent l="0" t="0" r="2540" b="0"/>
            <wp:docPr id="43"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6038690" cy="1248199"/>
                    </a:xfrm>
                    <a:prstGeom prst="rect">
                      <a:avLst/>
                    </a:prstGeom>
                    <a:noFill/>
                    <a:ln>
                      <a:noFill/>
                    </a:ln>
                  </pic:spPr>
                </pic:pic>
              </a:graphicData>
            </a:graphic>
          </wp:inline>
        </w:drawing>
      </w:r>
      <w:r w:rsidR="000E719F">
        <w:rPr>
          <w:lang w:val="es-AR"/>
        </w:rPr>
        <w:br w:type="page"/>
      </w:r>
    </w:p>
    <w:p w:rsidR="000C6BDD" w:rsidRDefault="00C64739" w:rsidP="00196CA6">
      <w:pPr>
        <w:pStyle w:val="Heading2"/>
        <w:pageBreakBefore/>
        <w:numPr>
          <w:ilvl w:val="0"/>
          <w:numId w:val="0"/>
        </w:numPr>
        <w:spacing w:line="276" w:lineRule="auto"/>
        <w:rPr>
          <w:lang w:val="es-AR"/>
        </w:rPr>
      </w:pPr>
      <w:r>
        <w:rPr>
          <w:lang w:val="es-AR"/>
        </w:rPr>
        <w:lastRenderedPageBreak/>
        <w:t>ANEXO III</w:t>
      </w:r>
      <w:r w:rsidR="000C6BDD">
        <w:rPr>
          <w:lang w:val="es-AR"/>
        </w:rPr>
        <w:t xml:space="preserve">: </w:t>
      </w:r>
      <w:r w:rsidR="00196CA6">
        <w:rPr>
          <w:lang w:val="es-AR"/>
        </w:rPr>
        <w:t>Evolución del gasto asociado al</w:t>
      </w:r>
      <w:r w:rsidR="000C6BDD">
        <w:rPr>
          <w:lang w:val="es-AR"/>
        </w:rPr>
        <w:t xml:space="preserve"> PGDS (</w:t>
      </w:r>
      <w:r w:rsidR="000E719F">
        <w:rPr>
          <w:lang w:val="es-AR"/>
        </w:rPr>
        <w:t>crecimiento PBI 4%</w:t>
      </w:r>
      <w:r w:rsidR="000C6BDD">
        <w:rPr>
          <w:lang w:val="es-AR"/>
        </w:rPr>
        <w:t>)</w:t>
      </w:r>
    </w:p>
    <w:p w:rsidR="000C6BDD" w:rsidRDefault="000C6BDD" w:rsidP="00AA3706">
      <w:pPr>
        <w:spacing w:line="276" w:lineRule="auto"/>
        <w:ind w:firstLine="0"/>
        <w:rPr>
          <w:lang w:val="es-AR"/>
        </w:rPr>
      </w:pPr>
    </w:p>
    <w:p w:rsidR="00AC5830" w:rsidRPr="009C1E0D" w:rsidRDefault="00AC5830" w:rsidP="00AC5830">
      <w:pPr>
        <w:pStyle w:val="Caption"/>
        <w:keepNext/>
        <w:ind w:firstLine="0"/>
        <w:rPr>
          <w:sz w:val="22"/>
          <w:lang w:val="es-AR"/>
        </w:rPr>
      </w:pPr>
      <w:r w:rsidRPr="009C1E0D">
        <w:rPr>
          <w:sz w:val="22"/>
          <w:lang w:val="es-AR"/>
        </w:rPr>
        <w:t xml:space="preserve">Cuadro </w:t>
      </w:r>
      <w:r w:rsidRPr="009C1E0D">
        <w:rPr>
          <w:sz w:val="22"/>
        </w:rPr>
        <w:fldChar w:fldCharType="begin"/>
      </w:r>
      <w:r w:rsidRPr="009C1E0D">
        <w:rPr>
          <w:sz w:val="22"/>
          <w:lang w:val="es-AR"/>
        </w:rPr>
        <w:instrText xml:space="preserve"> SEQ Cuadro \* ARABIC </w:instrText>
      </w:r>
      <w:r w:rsidRPr="009C1E0D">
        <w:rPr>
          <w:sz w:val="22"/>
        </w:rPr>
        <w:fldChar w:fldCharType="separate"/>
      </w:r>
      <w:r w:rsidR="009C1E0D" w:rsidRPr="009C1E0D">
        <w:rPr>
          <w:noProof/>
          <w:sz w:val="22"/>
          <w:lang w:val="es-AR"/>
        </w:rPr>
        <w:t>19</w:t>
      </w:r>
      <w:r w:rsidRPr="009C1E0D">
        <w:rPr>
          <w:sz w:val="22"/>
        </w:rPr>
        <w:fldChar w:fldCharType="end"/>
      </w:r>
      <w:r w:rsidRPr="009C1E0D">
        <w:rPr>
          <w:sz w:val="22"/>
          <w:lang w:val="es-AR"/>
        </w:rPr>
        <w:t>: Evolución del gasto asociado al PGDS (lempiras Corrientes)</w:t>
      </w:r>
    </w:p>
    <w:p w:rsidR="000C6BDD" w:rsidRDefault="00AC5830" w:rsidP="00AA3706">
      <w:pPr>
        <w:spacing w:line="276" w:lineRule="auto"/>
        <w:ind w:firstLine="0"/>
        <w:rPr>
          <w:lang w:val="es-AR"/>
        </w:rPr>
      </w:pPr>
      <w:r w:rsidRPr="00AC5830">
        <w:rPr>
          <w:noProof/>
          <w:lang w:val="en-US" w:eastAsia="en-US"/>
        </w:rPr>
        <w:drawing>
          <wp:inline distT="0" distB="0" distL="0" distR="0" wp14:anchorId="1F9130A7" wp14:editId="200449FE">
            <wp:extent cx="5612130" cy="1156482"/>
            <wp:effectExtent l="0" t="0" r="7620" b="5715"/>
            <wp:docPr id="44" name="Imagen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5612130" cy="1156482"/>
                    </a:xfrm>
                    <a:prstGeom prst="rect">
                      <a:avLst/>
                    </a:prstGeom>
                    <a:noFill/>
                    <a:ln>
                      <a:noFill/>
                    </a:ln>
                  </pic:spPr>
                </pic:pic>
              </a:graphicData>
            </a:graphic>
          </wp:inline>
        </w:drawing>
      </w:r>
    </w:p>
    <w:p w:rsidR="000C6BDD" w:rsidRDefault="000C6BDD" w:rsidP="00AA3706">
      <w:pPr>
        <w:spacing w:line="276" w:lineRule="auto"/>
        <w:ind w:firstLine="0"/>
        <w:rPr>
          <w:lang w:val="es-AR"/>
        </w:rPr>
      </w:pPr>
    </w:p>
    <w:p w:rsidR="008F6422" w:rsidRPr="009C1E0D" w:rsidRDefault="008F6422" w:rsidP="008F6422">
      <w:pPr>
        <w:pStyle w:val="Caption"/>
        <w:keepNext/>
        <w:ind w:firstLine="0"/>
        <w:rPr>
          <w:sz w:val="22"/>
          <w:lang w:val="es-AR"/>
        </w:rPr>
      </w:pPr>
      <w:r w:rsidRPr="009C1E0D">
        <w:rPr>
          <w:sz w:val="22"/>
          <w:lang w:val="es-AR"/>
        </w:rPr>
        <w:t xml:space="preserve">Cuadro </w:t>
      </w:r>
      <w:r w:rsidRPr="009C1E0D">
        <w:rPr>
          <w:sz w:val="22"/>
        </w:rPr>
        <w:fldChar w:fldCharType="begin"/>
      </w:r>
      <w:r w:rsidRPr="009C1E0D">
        <w:rPr>
          <w:sz w:val="22"/>
          <w:lang w:val="es-AR"/>
        </w:rPr>
        <w:instrText xml:space="preserve"> SEQ Cuadro \* ARABIC </w:instrText>
      </w:r>
      <w:r w:rsidRPr="009C1E0D">
        <w:rPr>
          <w:sz w:val="22"/>
        </w:rPr>
        <w:fldChar w:fldCharType="separate"/>
      </w:r>
      <w:r w:rsidR="009C1E0D" w:rsidRPr="009C1E0D">
        <w:rPr>
          <w:noProof/>
          <w:sz w:val="22"/>
          <w:lang w:val="es-AR"/>
        </w:rPr>
        <w:t>20</w:t>
      </w:r>
      <w:r w:rsidRPr="009C1E0D">
        <w:rPr>
          <w:sz w:val="22"/>
        </w:rPr>
        <w:fldChar w:fldCharType="end"/>
      </w:r>
      <w:r w:rsidRPr="009C1E0D">
        <w:rPr>
          <w:sz w:val="22"/>
          <w:lang w:val="es-AR"/>
        </w:rPr>
        <w:t>: Evolución del gasto asociado al PGDS (US$ Corrientes)</w:t>
      </w:r>
    </w:p>
    <w:p w:rsidR="00AC5830" w:rsidRDefault="008F6422" w:rsidP="00AA3706">
      <w:pPr>
        <w:spacing w:line="276" w:lineRule="auto"/>
        <w:ind w:firstLine="0"/>
        <w:rPr>
          <w:lang w:val="es-AR"/>
        </w:rPr>
      </w:pPr>
      <w:r w:rsidRPr="008F6422">
        <w:rPr>
          <w:noProof/>
          <w:lang w:val="en-US" w:eastAsia="en-US"/>
        </w:rPr>
        <w:drawing>
          <wp:inline distT="0" distB="0" distL="0" distR="0" wp14:anchorId="4069F2C6" wp14:editId="3B93698D">
            <wp:extent cx="5612130" cy="1021677"/>
            <wp:effectExtent l="0" t="0" r="0" b="7620"/>
            <wp:docPr id="45"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5612130" cy="1021677"/>
                    </a:xfrm>
                    <a:prstGeom prst="rect">
                      <a:avLst/>
                    </a:prstGeom>
                    <a:noFill/>
                    <a:ln>
                      <a:noFill/>
                    </a:ln>
                  </pic:spPr>
                </pic:pic>
              </a:graphicData>
            </a:graphic>
          </wp:inline>
        </w:drawing>
      </w:r>
    </w:p>
    <w:p w:rsidR="000C6BDD" w:rsidRDefault="000C6BDD" w:rsidP="00AA3706">
      <w:pPr>
        <w:spacing w:line="276" w:lineRule="auto"/>
        <w:ind w:firstLine="0"/>
        <w:rPr>
          <w:lang w:val="es-AR"/>
        </w:rPr>
      </w:pPr>
    </w:p>
    <w:p w:rsidR="009C1E0D" w:rsidRPr="009C1E0D" w:rsidRDefault="009C1E0D" w:rsidP="009C1E0D">
      <w:pPr>
        <w:pStyle w:val="Caption"/>
        <w:keepNext/>
        <w:ind w:firstLine="0"/>
        <w:rPr>
          <w:sz w:val="22"/>
          <w:szCs w:val="22"/>
          <w:lang w:val="es-AR"/>
        </w:rPr>
      </w:pPr>
      <w:r w:rsidRPr="009C1E0D">
        <w:rPr>
          <w:sz w:val="22"/>
          <w:szCs w:val="22"/>
          <w:lang w:val="es-AR"/>
        </w:rPr>
        <w:t xml:space="preserve">Cuadro </w:t>
      </w:r>
      <w:r w:rsidRPr="009C1E0D">
        <w:rPr>
          <w:sz w:val="22"/>
          <w:szCs w:val="22"/>
        </w:rPr>
        <w:fldChar w:fldCharType="begin"/>
      </w:r>
      <w:r w:rsidRPr="009C1E0D">
        <w:rPr>
          <w:sz w:val="22"/>
          <w:szCs w:val="22"/>
          <w:lang w:val="es-AR"/>
        </w:rPr>
        <w:instrText xml:space="preserve"> SEQ Cuadro \* ARABIC </w:instrText>
      </w:r>
      <w:r w:rsidRPr="009C1E0D">
        <w:rPr>
          <w:sz w:val="22"/>
          <w:szCs w:val="22"/>
        </w:rPr>
        <w:fldChar w:fldCharType="separate"/>
      </w:r>
      <w:r w:rsidRPr="009C1E0D">
        <w:rPr>
          <w:noProof/>
          <w:sz w:val="22"/>
          <w:szCs w:val="22"/>
          <w:lang w:val="es-AR"/>
        </w:rPr>
        <w:t>21</w:t>
      </w:r>
      <w:r w:rsidRPr="009C1E0D">
        <w:rPr>
          <w:sz w:val="22"/>
          <w:szCs w:val="22"/>
        </w:rPr>
        <w:fldChar w:fldCharType="end"/>
      </w:r>
      <w:r w:rsidRPr="009C1E0D">
        <w:rPr>
          <w:sz w:val="22"/>
          <w:szCs w:val="22"/>
          <w:lang w:val="es-AR"/>
        </w:rPr>
        <w:t>: Evolución del gasto asociado al PGDS (% PBI)</w:t>
      </w:r>
    </w:p>
    <w:p w:rsidR="00822626" w:rsidRDefault="009C1E0D" w:rsidP="00AA3706">
      <w:pPr>
        <w:spacing w:line="276" w:lineRule="auto"/>
        <w:ind w:firstLine="0"/>
        <w:rPr>
          <w:lang w:val="es-AR"/>
        </w:rPr>
      </w:pPr>
      <w:r w:rsidRPr="009C1E0D">
        <w:rPr>
          <w:noProof/>
          <w:lang w:val="en-US" w:eastAsia="en-US"/>
        </w:rPr>
        <w:drawing>
          <wp:inline distT="0" distB="0" distL="0" distR="0" wp14:anchorId="2FC1C7D4" wp14:editId="381BEEBA">
            <wp:extent cx="5612130" cy="1021677"/>
            <wp:effectExtent l="0" t="0" r="0" b="7620"/>
            <wp:docPr id="46"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5612130" cy="1021677"/>
                    </a:xfrm>
                    <a:prstGeom prst="rect">
                      <a:avLst/>
                    </a:prstGeom>
                    <a:noFill/>
                    <a:ln>
                      <a:noFill/>
                    </a:ln>
                  </pic:spPr>
                </pic:pic>
              </a:graphicData>
            </a:graphic>
          </wp:inline>
        </w:drawing>
      </w:r>
    </w:p>
    <w:p w:rsidR="00822626" w:rsidRDefault="00822626" w:rsidP="00AA3706">
      <w:pPr>
        <w:spacing w:line="276" w:lineRule="auto"/>
        <w:ind w:firstLine="0"/>
        <w:rPr>
          <w:lang w:val="es-AR"/>
        </w:rPr>
      </w:pPr>
    </w:p>
    <w:p w:rsidR="00822626" w:rsidRDefault="00822626" w:rsidP="00AA3706">
      <w:pPr>
        <w:spacing w:line="276" w:lineRule="auto"/>
        <w:ind w:firstLine="0"/>
        <w:rPr>
          <w:lang w:val="es-AR"/>
        </w:rPr>
      </w:pPr>
    </w:p>
    <w:p w:rsidR="00822626" w:rsidRDefault="00822626" w:rsidP="00AA3706">
      <w:pPr>
        <w:spacing w:line="276" w:lineRule="auto"/>
        <w:ind w:firstLine="0"/>
        <w:rPr>
          <w:lang w:val="es-AR"/>
        </w:rPr>
      </w:pPr>
    </w:p>
    <w:p w:rsidR="00822626" w:rsidRDefault="00822626" w:rsidP="00AA3706">
      <w:pPr>
        <w:spacing w:line="276" w:lineRule="auto"/>
        <w:ind w:firstLine="0"/>
        <w:rPr>
          <w:lang w:val="es-AR"/>
        </w:rPr>
      </w:pPr>
    </w:p>
    <w:p w:rsidR="00822626" w:rsidRDefault="00822626" w:rsidP="00AA3706">
      <w:pPr>
        <w:spacing w:line="276" w:lineRule="auto"/>
        <w:ind w:firstLine="0"/>
        <w:rPr>
          <w:lang w:val="es-AR"/>
        </w:rPr>
      </w:pPr>
    </w:p>
    <w:p w:rsidR="00822626" w:rsidRDefault="00822626" w:rsidP="00AA3706">
      <w:pPr>
        <w:spacing w:line="276" w:lineRule="auto"/>
        <w:ind w:firstLine="0"/>
        <w:rPr>
          <w:lang w:val="es-AR"/>
        </w:rPr>
      </w:pPr>
    </w:p>
    <w:p w:rsidR="00822626" w:rsidRDefault="00822626" w:rsidP="00AA3706">
      <w:pPr>
        <w:spacing w:line="276" w:lineRule="auto"/>
        <w:ind w:firstLine="0"/>
        <w:rPr>
          <w:lang w:val="es-AR"/>
        </w:rPr>
      </w:pPr>
    </w:p>
    <w:p w:rsidR="00822626" w:rsidRDefault="00822626" w:rsidP="00AA3706">
      <w:pPr>
        <w:spacing w:line="276" w:lineRule="auto"/>
        <w:ind w:firstLine="0"/>
        <w:rPr>
          <w:lang w:val="es-AR"/>
        </w:rPr>
      </w:pPr>
    </w:p>
    <w:p w:rsidR="00822626" w:rsidRDefault="00822626" w:rsidP="00AA3706">
      <w:pPr>
        <w:spacing w:line="276" w:lineRule="auto"/>
        <w:ind w:firstLine="0"/>
        <w:rPr>
          <w:lang w:val="es-AR"/>
        </w:rPr>
      </w:pPr>
    </w:p>
    <w:p w:rsidR="00822626" w:rsidRDefault="00822626" w:rsidP="00AA3706">
      <w:pPr>
        <w:spacing w:line="276" w:lineRule="auto"/>
        <w:ind w:firstLine="0"/>
        <w:rPr>
          <w:lang w:val="es-AR"/>
        </w:rPr>
      </w:pPr>
    </w:p>
    <w:p w:rsidR="00822626" w:rsidRDefault="00822626" w:rsidP="00AA3706">
      <w:pPr>
        <w:spacing w:line="276" w:lineRule="auto"/>
        <w:ind w:firstLine="0"/>
        <w:rPr>
          <w:lang w:val="es-AR"/>
        </w:rPr>
      </w:pPr>
    </w:p>
    <w:p w:rsidR="00822626" w:rsidRDefault="00822626" w:rsidP="00AA3706">
      <w:pPr>
        <w:spacing w:line="276" w:lineRule="auto"/>
        <w:ind w:firstLine="0"/>
        <w:rPr>
          <w:lang w:val="es-AR"/>
        </w:rPr>
      </w:pPr>
    </w:p>
    <w:p w:rsidR="0042292B" w:rsidRPr="000C25B6" w:rsidRDefault="00C64739" w:rsidP="00196CA6">
      <w:pPr>
        <w:pStyle w:val="Heading2"/>
        <w:pageBreakBefore/>
        <w:numPr>
          <w:ilvl w:val="0"/>
          <w:numId w:val="0"/>
        </w:numPr>
        <w:spacing w:line="276" w:lineRule="auto"/>
        <w:rPr>
          <w:lang w:val="es-AR"/>
        </w:rPr>
      </w:pPr>
      <w:r>
        <w:rPr>
          <w:lang w:val="es-AR"/>
        </w:rPr>
        <w:lastRenderedPageBreak/>
        <w:t>ANEXO IV</w:t>
      </w:r>
      <w:r w:rsidR="000C6BDD">
        <w:rPr>
          <w:lang w:val="es-AR"/>
        </w:rPr>
        <w:t xml:space="preserve">: MUNICIPIOS BAJO EL ESQUEMA DE PRESTACIÓN DESCENTRALIZADA DE SERVICIOS DE </w:t>
      </w:r>
      <w:r w:rsidR="00FD4DBE">
        <w:rPr>
          <w:noProof/>
          <w:lang w:val="en-US" w:eastAsia="en-US"/>
        </w:rPr>
        <w:drawing>
          <wp:anchor distT="0" distB="0" distL="0" distR="0" simplePos="0" relativeHeight="251656704" behindDoc="0" locked="0" layoutInCell="1" allowOverlap="1" wp14:anchorId="10826C9E" wp14:editId="768DB6A6">
            <wp:simplePos x="0" y="0"/>
            <wp:positionH relativeFrom="column">
              <wp:posOffset>41275</wp:posOffset>
            </wp:positionH>
            <wp:positionV relativeFrom="paragraph">
              <wp:posOffset>672465</wp:posOffset>
            </wp:positionV>
            <wp:extent cx="4693920" cy="7538085"/>
            <wp:effectExtent l="0" t="0" r="0" b="5715"/>
            <wp:wrapTopAndBottom/>
            <wp:docPr id="15"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4693920" cy="75380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0C6BDD">
        <w:rPr>
          <w:lang w:val="es-AR"/>
        </w:rPr>
        <w:t>SALUD DE PRIMER NIVEL.</w:t>
      </w:r>
    </w:p>
    <w:sectPr w:rsidR="0042292B" w:rsidRPr="000C25B6">
      <w:footerReference w:type="default" r:id="rId54"/>
      <w:pgSz w:w="12240" w:h="15840"/>
      <w:pgMar w:top="1417" w:right="1701" w:bottom="1417" w:left="1701" w:header="720" w:footer="708"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29E" w:rsidRDefault="003D629E">
      <w:pPr>
        <w:spacing w:line="240" w:lineRule="auto"/>
      </w:pPr>
      <w:r>
        <w:separator/>
      </w:r>
    </w:p>
  </w:endnote>
  <w:endnote w:type="continuationSeparator" w:id="0">
    <w:p w:rsidR="003D629E" w:rsidRDefault="003D62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274">
    <w:altName w:val="Times New Roman"/>
    <w:charset w:val="00"/>
    <w:family w:val="auto"/>
    <w:pitch w:val="variable"/>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29E" w:rsidRPr="00225D32" w:rsidRDefault="003D629E" w:rsidP="003D629E">
    <w:pPr>
      <w:pStyle w:val="Footer"/>
      <w:jc w:val="center"/>
      <w:rPr>
        <w:rFonts w:ascii="Arial" w:hAnsi="Arial" w:cs="Arial"/>
        <w:sz w:val="18"/>
        <w:szCs w:val="18"/>
      </w:rPr>
    </w:pPr>
    <w:r w:rsidRPr="00225D32">
      <w:rPr>
        <w:rFonts w:ascii="Arial" w:hAnsi="Arial" w:cs="Arial"/>
        <w:sz w:val="18"/>
        <w:szCs w:val="18"/>
      </w:rPr>
      <w:fldChar w:fldCharType="begin"/>
    </w:r>
    <w:r w:rsidRPr="00225D32">
      <w:rPr>
        <w:rFonts w:ascii="Arial" w:hAnsi="Arial" w:cs="Arial"/>
        <w:sz w:val="18"/>
        <w:szCs w:val="18"/>
      </w:rPr>
      <w:instrText xml:space="preserve"> PAGE </w:instrText>
    </w:r>
    <w:r w:rsidRPr="00225D32">
      <w:rPr>
        <w:rFonts w:ascii="Arial" w:hAnsi="Arial" w:cs="Arial"/>
        <w:sz w:val="18"/>
        <w:szCs w:val="18"/>
      </w:rPr>
      <w:fldChar w:fldCharType="separate"/>
    </w:r>
    <w:r w:rsidR="00F70E67">
      <w:rPr>
        <w:rFonts w:ascii="Arial" w:hAnsi="Arial" w:cs="Arial"/>
        <w:noProof/>
        <w:sz w:val="18"/>
        <w:szCs w:val="18"/>
      </w:rPr>
      <w:t>1</w:t>
    </w:r>
    <w:r w:rsidRPr="00225D32">
      <w:rP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29E" w:rsidRDefault="003D629E">
      <w:pPr>
        <w:spacing w:line="240" w:lineRule="auto"/>
      </w:pPr>
      <w:r>
        <w:separator/>
      </w:r>
    </w:p>
  </w:footnote>
  <w:footnote w:type="continuationSeparator" w:id="0">
    <w:p w:rsidR="003D629E" w:rsidRDefault="003D629E">
      <w:pPr>
        <w:spacing w:line="240" w:lineRule="auto"/>
      </w:pPr>
      <w:r>
        <w:continuationSeparator/>
      </w:r>
    </w:p>
  </w:footnote>
  <w:footnote w:id="1">
    <w:p w:rsidR="003D629E" w:rsidRPr="00225D32" w:rsidRDefault="003D629E" w:rsidP="00225D32">
      <w:pPr>
        <w:spacing w:line="240" w:lineRule="auto"/>
        <w:ind w:firstLine="0"/>
        <w:rPr>
          <w:rFonts w:ascii="Arial" w:hAnsi="Arial" w:cs="Arial"/>
          <w:sz w:val="18"/>
          <w:lang w:val="es-AR"/>
        </w:rPr>
      </w:pPr>
      <w:r w:rsidRPr="00225D32">
        <w:rPr>
          <w:rStyle w:val="Caracteresdenotaalpie"/>
          <w:rFonts w:ascii="Arial" w:hAnsi="Arial" w:cs="Arial"/>
          <w:sz w:val="18"/>
        </w:rPr>
        <w:footnoteRef/>
      </w:r>
      <w:r w:rsidRPr="00225D32">
        <w:rPr>
          <w:rStyle w:val="Refdenotaalpie1"/>
          <w:rFonts w:ascii="Arial" w:hAnsi="Arial" w:cs="Arial"/>
          <w:sz w:val="18"/>
          <w:lang w:val="es-AR"/>
        </w:rPr>
        <w:tab/>
      </w:r>
      <w:r w:rsidRPr="00225D32">
        <w:rPr>
          <w:rFonts w:ascii="Arial" w:hAnsi="Arial" w:cs="Arial"/>
          <w:sz w:val="18"/>
          <w:lang w:val="es-AR"/>
        </w:rPr>
        <w:t xml:space="preserve">En efecto, el gasto en remuneraciones del Gobierno Central se elevó a un ritmo del 14% anual para el período 2003-2009, muy por encima de la evolución del crecimiento del producto. </w:t>
      </w:r>
    </w:p>
    <w:p w:rsidR="003D629E" w:rsidRPr="00833956" w:rsidRDefault="003D629E">
      <w:pPr>
        <w:pStyle w:val="Textonotapie1"/>
        <w:pageBreakBefore/>
        <w:rPr>
          <w:lang w:val="es-AR"/>
        </w:rPr>
      </w:pPr>
    </w:p>
  </w:footnote>
  <w:footnote w:id="2">
    <w:p w:rsidR="003D629E" w:rsidRPr="00225D32" w:rsidRDefault="003D629E" w:rsidP="003D629E">
      <w:pPr>
        <w:pStyle w:val="FootnoteText"/>
        <w:spacing w:line="240" w:lineRule="auto"/>
        <w:ind w:left="288" w:hanging="288"/>
        <w:rPr>
          <w:rFonts w:ascii="Arial" w:hAnsi="Arial" w:cs="Arial"/>
          <w:sz w:val="18"/>
          <w:szCs w:val="18"/>
          <w:lang w:val="es-AR"/>
        </w:rPr>
      </w:pPr>
      <w:r w:rsidRPr="00225D32">
        <w:rPr>
          <w:rStyle w:val="Caracteresdenotaalpie"/>
          <w:rFonts w:ascii="Arial" w:hAnsi="Arial" w:cs="Arial"/>
          <w:sz w:val="18"/>
          <w:szCs w:val="18"/>
        </w:rPr>
        <w:footnoteRef/>
      </w:r>
      <w:r w:rsidRPr="00225D32">
        <w:rPr>
          <w:rFonts w:ascii="Arial" w:hAnsi="Arial" w:cs="Arial"/>
          <w:sz w:val="18"/>
          <w:szCs w:val="18"/>
          <w:lang w:val="es-AR"/>
        </w:rPr>
        <w:tab/>
        <w:t>Estas cifras surgen de información recabada en las entrevistas mantenidas con autoridades de la Secretaría de Desarrollo e Inclusión Social.</w:t>
      </w:r>
    </w:p>
  </w:footnote>
  <w:footnote w:id="3">
    <w:p w:rsidR="003D629E" w:rsidRPr="00225D32" w:rsidRDefault="003D629E" w:rsidP="003D629E">
      <w:pPr>
        <w:pStyle w:val="FootnoteText"/>
        <w:spacing w:line="240" w:lineRule="auto"/>
        <w:ind w:left="288" w:hanging="288"/>
        <w:rPr>
          <w:rFonts w:ascii="Arial" w:hAnsi="Arial" w:cs="Arial"/>
          <w:sz w:val="18"/>
          <w:szCs w:val="18"/>
          <w:lang w:val="es-AR"/>
        </w:rPr>
      </w:pPr>
      <w:r w:rsidRPr="00225D32">
        <w:rPr>
          <w:rStyle w:val="Caracteresdenotaalpie"/>
          <w:rFonts w:ascii="Arial" w:hAnsi="Arial" w:cs="Arial"/>
          <w:sz w:val="18"/>
          <w:szCs w:val="18"/>
        </w:rPr>
        <w:footnoteRef/>
      </w:r>
      <w:r w:rsidRPr="00225D32">
        <w:rPr>
          <w:rFonts w:ascii="Arial" w:hAnsi="Arial" w:cs="Arial"/>
          <w:sz w:val="18"/>
          <w:szCs w:val="18"/>
          <w:lang w:val="es-AR"/>
        </w:rPr>
        <w:tab/>
        <w:t>Estimado a partir de los gastos en comisiones financieras del Presupuesto de Ingresos y Egresos de la Secretaría de Desarrollo e Inclusión Social del año 2014.</w:t>
      </w:r>
    </w:p>
  </w:footnote>
  <w:footnote w:id="4">
    <w:p w:rsidR="003D629E" w:rsidRPr="00225D32" w:rsidRDefault="003D629E" w:rsidP="003D629E">
      <w:pPr>
        <w:pStyle w:val="FootnoteText"/>
        <w:spacing w:line="240" w:lineRule="auto"/>
        <w:ind w:left="288" w:hanging="288"/>
        <w:rPr>
          <w:rFonts w:ascii="Arial" w:hAnsi="Arial" w:cs="Arial"/>
          <w:sz w:val="18"/>
          <w:szCs w:val="18"/>
          <w:lang w:val="es-AR"/>
        </w:rPr>
      </w:pPr>
      <w:r w:rsidRPr="00225D32">
        <w:rPr>
          <w:rStyle w:val="Caracteresdenotaalpie"/>
          <w:rFonts w:ascii="Arial" w:hAnsi="Arial" w:cs="Arial"/>
          <w:sz w:val="18"/>
          <w:szCs w:val="18"/>
        </w:rPr>
        <w:footnoteRef/>
      </w:r>
      <w:r w:rsidRPr="00225D32">
        <w:rPr>
          <w:rFonts w:ascii="Arial" w:hAnsi="Arial" w:cs="Arial"/>
          <w:sz w:val="18"/>
          <w:szCs w:val="18"/>
          <w:lang w:val="es-AR"/>
        </w:rPr>
        <w:tab/>
        <w:t>Estimado a partir del gasto total en el programa neto de comisiones financieras y transferencias del Presupuesto de Ingresos y Egresos de la Secretaría de Desarrollo e Inclusión Social del año 2014.</w:t>
      </w:r>
    </w:p>
  </w:footnote>
  <w:footnote w:id="5">
    <w:p w:rsidR="003D629E" w:rsidRPr="00E15DF7" w:rsidRDefault="003D629E" w:rsidP="003D629E">
      <w:pPr>
        <w:pStyle w:val="FootnoteText"/>
        <w:spacing w:line="240" w:lineRule="auto"/>
        <w:ind w:left="288" w:hanging="288"/>
        <w:rPr>
          <w:rFonts w:ascii="Arial" w:hAnsi="Arial" w:cs="Arial"/>
          <w:sz w:val="18"/>
          <w:szCs w:val="18"/>
          <w:lang w:val="es-AR"/>
        </w:rPr>
      </w:pPr>
      <w:r w:rsidRPr="00E15DF7">
        <w:rPr>
          <w:rStyle w:val="Caracteresdenotaalpie"/>
          <w:rFonts w:ascii="Arial" w:hAnsi="Arial" w:cs="Arial"/>
          <w:sz w:val="18"/>
          <w:szCs w:val="18"/>
        </w:rPr>
        <w:footnoteRef/>
      </w:r>
      <w:r w:rsidRPr="00E15DF7">
        <w:rPr>
          <w:rFonts w:ascii="Arial" w:hAnsi="Arial" w:cs="Arial"/>
          <w:sz w:val="18"/>
          <w:szCs w:val="18"/>
          <w:lang w:val="es-AR"/>
        </w:rPr>
        <w:tab/>
        <w:t>Para 100 de los municipios, se utilizó el dato de cantidad de beneficiarios, monto de cápitas y proyecciones de parto que proveyó el especialista BID y la Unidad de Gestión Descentralizada de la Secretaría de Salud. Para los cuatro municipios restantes, los cuales no están definidos, se calculó una cantidad de beneficiarios y monto de cápita promedio.</w:t>
      </w:r>
    </w:p>
  </w:footnote>
  <w:footnote w:id="6">
    <w:p w:rsidR="003D629E" w:rsidRPr="00E15DF7" w:rsidRDefault="003D629E">
      <w:pPr>
        <w:pStyle w:val="FootnoteText"/>
        <w:rPr>
          <w:rFonts w:ascii="Arial" w:hAnsi="Arial" w:cs="Arial"/>
          <w:sz w:val="18"/>
          <w:szCs w:val="18"/>
          <w:lang w:val="es-AR"/>
        </w:rPr>
      </w:pPr>
      <w:r w:rsidRPr="00E15DF7">
        <w:rPr>
          <w:rStyle w:val="FootnoteReference"/>
          <w:rFonts w:ascii="Arial" w:hAnsi="Arial" w:cs="Arial"/>
          <w:sz w:val="18"/>
          <w:szCs w:val="18"/>
        </w:rPr>
        <w:footnoteRef/>
      </w:r>
      <w:r w:rsidRPr="00E15DF7">
        <w:rPr>
          <w:rFonts w:ascii="Arial" w:hAnsi="Arial" w:cs="Arial"/>
          <w:sz w:val="18"/>
          <w:szCs w:val="18"/>
          <w:lang w:val="es-AR"/>
        </w:rPr>
        <w:t xml:space="preserve"> Bajo el supuesto de crecimiento de PBI de 4% anual.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Heading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3"/>
    <w:multiLevelType w:val="multilevel"/>
    <w:tmpl w:val="00000003"/>
    <w:name w:val="WW8Num3"/>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4"/>
    <w:multiLevelType w:val="singleLevel"/>
    <w:tmpl w:val="00000004"/>
    <w:name w:val="WW8Num6"/>
    <w:lvl w:ilvl="0">
      <w:start w:val="1"/>
      <w:numFmt w:val="bullet"/>
      <w:lvlText w:val=""/>
      <w:lvlJc w:val="left"/>
      <w:pPr>
        <w:tabs>
          <w:tab w:val="num" w:pos="0"/>
        </w:tabs>
        <w:ind w:left="720" w:hanging="360"/>
      </w:pPr>
      <w:rPr>
        <w:rFonts w:ascii="Symbol" w:hAnsi="Symbol" w:cs="Symbol" w:hint="default"/>
        <w:shd w:val="clear" w:color="auto" w:fill="00FFFF"/>
        <w:lang w:val="es-AR"/>
      </w:rPr>
    </w:lvl>
  </w:abstractNum>
  <w:abstractNum w:abstractNumId="4">
    <w:nsid w:val="00000005"/>
    <w:multiLevelType w:val="singleLevel"/>
    <w:tmpl w:val="00000005"/>
    <w:name w:val="WW8Num7"/>
    <w:lvl w:ilvl="0">
      <w:start w:val="1"/>
      <w:numFmt w:val="bullet"/>
      <w:lvlText w:val=""/>
      <w:lvlJc w:val="left"/>
      <w:pPr>
        <w:tabs>
          <w:tab w:val="num" w:pos="0"/>
        </w:tabs>
        <w:ind w:left="720" w:hanging="360"/>
      </w:pPr>
      <w:rPr>
        <w:rFonts w:ascii="Symbol" w:hAnsi="Symbol" w:cs="Symbol" w:hint="default"/>
        <w:shd w:val="clear" w:color="auto" w:fill="00FFFF"/>
      </w:rPr>
    </w:lvl>
  </w:abstractNum>
  <w:abstractNum w:abstractNumId="5">
    <w:nsid w:val="00000006"/>
    <w:multiLevelType w:val="singleLevel"/>
    <w:tmpl w:val="00000006"/>
    <w:name w:val="WW8Num4"/>
    <w:lvl w:ilvl="0">
      <w:start w:val="1"/>
      <w:numFmt w:val="bullet"/>
      <w:lvlText w:val=""/>
      <w:lvlJc w:val="left"/>
      <w:pPr>
        <w:tabs>
          <w:tab w:val="num" w:pos="0"/>
        </w:tabs>
        <w:ind w:left="840" w:hanging="360"/>
      </w:pPr>
      <w:rPr>
        <w:rFonts w:ascii="Symbol" w:hAnsi="Symbol" w:cs="Symbol" w:hint="default"/>
        <w:shd w:val="clear" w:color="auto" w:fill="00FFFF"/>
        <w:lang w:val="es-AR"/>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956"/>
    <w:rsid w:val="00006997"/>
    <w:rsid w:val="00031C44"/>
    <w:rsid w:val="00035C9B"/>
    <w:rsid w:val="0003652E"/>
    <w:rsid w:val="00041A4C"/>
    <w:rsid w:val="00057BFE"/>
    <w:rsid w:val="00064046"/>
    <w:rsid w:val="00084D7D"/>
    <w:rsid w:val="0008726C"/>
    <w:rsid w:val="000B15C9"/>
    <w:rsid w:val="000B1B7F"/>
    <w:rsid w:val="000C25B6"/>
    <w:rsid w:val="000C641E"/>
    <w:rsid w:val="000C6BDD"/>
    <w:rsid w:val="000C7405"/>
    <w:rsid w:val="000D0CB5"/>
    <w:rsid w:val="000D0E23"/>
    <w:rsid w:val="000E3ABB"/>
    <w:rsid w:val="000E719F"/>
    <w:rsid w:val="000F2924"/>
    <w:rsid w:val="000F3A11"/>
    <w:rsid w:val="001106BD"/>
    <w:rsid w:val="00117360"/>
    <w:rsid w:val="00120C5A"/>
    <w:rsid w:val="001260BE"/>
    <w:rsid w:val="00131A45"/>
    <w:rsid w:val="001357A2"/>
    <w:rsid w:val="00140DF1"/>
    <w:rsid w:val="00146025"/>
    <w:rsid w:val="001544DC"/>
    <w:rsid w:val="00163374"/>
    <w:rsid w:val="00166E2E"/>
    <w:rsid w:val="00174DC9"/>
    <w:rsid w:val="00190947"/>
    <w:rsid w:val="00196CA6"/>
    <w:rsid w:val="001A582A"/>
    <w:rsid w:val="001B4F19"/>
    <w:rsid w:val="001B6751"/>
    <w:rsid w:val="001D68E7"/>
    <w:rsid w:val="002016F1"/>
    <w:rsid w:val="00201D50"/>
    <w:rsid w:val="002213FF"/>
    <w:rsid w:val="00225D32"/>
    <w:rsid w:val="00225E74"/>
    <w:rsid w:val="00251067"/>
    <w:rsid w:val="00252482"/>
    <w:rsid w:val="00260937"/>
    <w:rsid w:val="002820D9"/>
    <w:rsid w:val="0028212B"/>
    <w:rsid w:val="00283A3E"/>
    <w:rsid w:val="002847D2"/>
    <w:rsid w:val="002A1186"/>
    <w:rsid w:val="002C68FF"/>
    <w:rsid w:val="002C6F55"/>
    <w:rsid w:val="002C7769"/>
    <w:rsid w:val="002C7BFF"/>
    <w:rsid w:val="002D29F5"/>
    <w:rsid w:val="002D7CCE"/>
    <w:rsid w:val="002F5CDC"/>
    <w:rsid w:val="0030016A"/>
    <w:rsid w:val="00303EA3"/>
    <w:rsid w:val="00345B60"/>
    <w:rsid w:val="0034792F"/>
    <w:rsid w:val="00347E84"/>
    <w:rsid w:val="00350A00"/>
    <w:rsid w:val="0035168E"/>
    <w:rsid w:val="00361FEE"/>
    <w:rsid w:val="003752D9"/>
    <w:rsid w:val="003A2A7B"/>
    <w:rsid w:val="003D629E"/>
    <w:rsid w:val="003E0644"/>
    <w:rsid w:val="003E1043"/>
    <w:rsid w:val="003F06C2"/>
    <w:rsid w:val="003F2D74"/>
    <w:rsid w:val="003F52E2"/>
    <w:rsid w:val="003F679A"/>
    <w:rsid w:val="00400FDA"/>
    <w:rsid w:val="00407694"/>
    <w:rsid w:val="00411759"/>
    <w:rsid w:val="0042292B"/>
    <w:rsid w:val="00422F72"/>
    <w:rsid w:val="004235E3"/>
    <w:rsid w:val="004322A2"/>
    <w:rsid w:val="004324E4"/>
    <w:rsid w:val="00432CDD"/>
    <w:rsid w:val="004347B1"/>
    <w:rsid w:val="00434CEF"/>
    <w:rsid w:val="00437986"/>
    <w:rsid w:val="00446FB0"/>
    <w:rsid w:val="004661D2"/>
    <w:rsid w:val="00487899"/>
    <w:rsid w:val="00491329"/>
    <w:rsid w:val="00491C5F"/>
    <w:rsid w:val="004A3984"/>
    <w:rsid w:val="004B123C"/>
    <w:rsid w:val="004B7687"/>
    <w:rsid w:val="004C723D"/>
    <w:rsid w:val="004E46B5"/>
    <w:rsid w:val="004E5434"/>
    <w:rsid w:val="004F64D8"/>
    <w:rsid w:val="005119AF"/>
    <w:rsid w:val="005232D2"/>
    <w:rsid w:val="00527FBB"/>
    <w:rsid w:val="00545239"/>
    <w:rsid w:val="00552E41"/>
    <w:rsid w:val="00555461"/>
    <w:rsid w:val="00555491"/>
    <w:rsid w:val="005557AF"/>
    <w:rsid w:val="00557236"/>
    <w:rsid w:val="00561DD1"/>
    <w:rsid w:val="005637F8"/>
    <w:rsid w:val="0057782F"/>
    <w:rsid w:val="00580B1F"/>
    <w:rsid w:val="0059204C"/>
    <w:rsid w:val="00592BE4"/>
    <w:rsid w:val="005939F5"/>
    <w:rsid w:val="00594626"/>
    <w:rsid w:val="005A1826"/>
    <w:rsid w:val="005B15AA"/>
    <w:rsid w:val="005C2D15"/>
    <w:rsid w:val="005C3683"/>
    <w:rsid w:val="005C5E4F"/>
    <w:rsid w:val="005D1EA0"/>
    <w:rsid w:val="005E04AA"/>
    <w:rsid w:val="005E702A"/>
    <w:rsid w:val="005E7BFA"/>
    <w:rsid w:val="005F2028"/>
    <w:rsid w:val="005F7AF1"/>
    <w:rsid w:val="006002CA"/>
    <w:rsid w:val="00602638"/>
    <w:rsid w:val="00643855"/>
    <w:rsid w:val="00651E3D"/>
    <w:rsid w:val="00655F57"/>
    <w:rsid w:val="006772BA"/>
    <w:rsid w:val="00680E49"/>
    <w:rsid w:val="0068530F"/>
    <w:rsid w:val="006951DA"/>
    <w:rsid w:val="00696392"/>
    <w:rsid w:val="006C68A8"/>
    <w:rsid w:val="006E41CD"/>
    <w:rsid w:val="0070165B"/>
    <w:rsid w:val="0070344E"/>
    <w:rsid w:val="007164C4"/>
    <w:rsid w:val="00722E52"/>
    <w:rsid w:val="0072431A"/>
    <w:rsid w:val="007250EE"/>
    <w:rsid w:val="00727703"/>
    <w:rsid w:val="00727A0E"/>
    <w:rsid w:val="00752082"/>
    <w:rsid w:val="007536E4"/>
    <w:rsid w:val="00755EFC"/>
    <w:rsid w:val="00762690"/>
    <w:rsid w:val="007645E3"/>
    <w:rsid w:val="0076614B"/>
    <w:rsid w:val="007674E0"/>
    <w:rsid w:val="00772528"/>
    <w:rsid w:val="00786725"/>
    <w:rsid w:val="00793845"/>
    <w:rsid w:val="00795093"/>
    <w:rsid w:val="0079681E"/>
    <w:rsid w:val="007A4D06"/>
    <w:rsid w:val="007B1562"/>
    <w:rsid w:val="007B68B0"/>
    <w:rsid w:val="007D7D5C"/>
    <w:rsid w:val="007E283E"/>
    <w:rsid w:val="007F0BB2"/>
    <w:rsid w:val="007F499B"/>
    <w:rsid w:val="00801235"/>
    <w:rsid w:val="00805037"/>
    <w:rsid w:val="0080544C"/>
    <w:rsid w:val="00805CEA"/>
    <w:rsid w:val="00815432"/>
    <w:rsid w:val="00822626"/>
    <w:rsid w:val="00833956"/>
    <w:rsid w:val="0084680B"/>
    <w:rsid w:val="00852EBD"/>
    <w:rsid w:val="00860F0E"/>
    <w:rsid w:val="00861125"/>
    <w:rsid w:val="00862DDB"/>
    <w:rsid w:val="00865498"/>
    <w:rsid w:val="00865529"/>
    <w:rsid w:val="0087632B"/>
    <w:rsid w:val="00876B50"/>
    <w:rsid w:val="008879B9"/>
    <w:rsid w:val="00887ED5"/>
    <w:rsid w:val="008A7681"/>
    <w:rsid w:val="008B0560"/>
    <w:rsid w:val="008C795C"/>
    <w:rsid w:val="008D7B54"/>
    <w:rsid w:val="008E3A69"/>
    <w:rsid w:val="008E7055"/>
    <w:rsid w:val="008F3449"/>
    <w:rsid w:val="008F3CE2"/>
    <w:rsid w:val="008F3FE1"/>
    <w:rsid w:val="008F6422"/>
    <w:rsid w:val="008F6B3E"/>
    <w:rsid w:val="009124DF"/>
    <w:rsid w:val="00912EB1"/>
    <w:rsid w:val="0091615D"/>
    <w:rsid w:val="009233D1"/>
    <w:rsid w:val="00923507"/>
    <w:rsid w:val="0092543E"/>
    <w:rsid w:val="009632BB"/>
    <w:rsid w:val="00972AD6"/>
    <w:rsid w:val="00982869"/>
    <w:rsid w:val="00982984"/>
    <w:rsid w:val="00982D68"/>
    <w:rsid w:val="009863F7"/>
    <w:rsid w:val="00991ED8"/>
    <w:rsid w:val="009935EA"/>
    <w:rsid w:val="009957F8"/>
    <w:rsid w:val="009C1E0D"/>
    <w:rsid w:val="009D7120"/>
    <w:rsid w:val="009E5E94"/>
    <w:rsid w:val="009E7530"/>
    <w:rsid w:val="009F4744"/>
    <w:rsid w:val="00A01C1E"/>
    <w:rsid w:val="00A02A93"/>
    <w:rsid w:val="00A11CCA"/>
    <w:rsid w:val="00A213EE"/>
    <w:rsid w:val="00A22BDD"/>
    <w:rsid w:val="00A26C49"/>
    <w:rsid w:val="00A27BDC"/>
    <w:rsid w:val="00A32A84"/>
    <w:rsid w:val="00A42FFF"/>
    <w:rsid w:val="00A452AE"/>
    <w:rsid w:val="00A530B4"/>
    <w:rsid w:val="00A670CE"/>
    <w:rsid w:val="00A72866"/>
    <w:rsid w:val="00A72E10"/>
    <w:rsid w:val="00A74903"/>
    <w:rsid w:val="00A876DE"/>
    <w:rsid w:val="00A941DD"/>
    <w:rsid w:val="00AA3706"/>
    <w:rsid w:val="00AA5758"/>
    <w:rsid w:val="00AB1C61"/>
    <w:rsid w:val="00AB2AF0"/>
    <w:rsid w:val="00AC1B19"/>
    <w:rsid w:val="00AC43ED"/>
    <w:rsid w:val="00AC5830"/>
    <w:rsid w:val="00AC6CFA"/>
    <w:rsid w:val="00AF0061"/>
    <w:rsid w:val="00AF49EC"/>
    <w:rsid w:val="00B168DB"/>
    <w:rsid w:val="00B1779A"/>
    <w:rsid w:val="00B22AE6"/>
    <w:rsid w:val="00B3188C"/>
    <w:rsid w:val="00B31B0D"/>
    <w:rsid w:val="00B4767B"/>
    <w:rsid w:val="00B50C74"/>
    <w:rsid w:val="00B551AE"/>
    <w:rsid w:val="00B60C65"/>
    <w:rsid w:val="00B639AF"/>
    <w:rsid w:val="00B72DC3"/>
    <w:rsid w:val="00B7645A"/>
    <w:rsid w:val="00B83D56"/>
    <w:rsid w:val="00B83EF5"/>
    <w:rsid w:val="00B916CA"/>
    <w:rsid w:val="00BA0DF5"/>
    <w:rsid w:val="00BB3D59"/>
    <w:rsid w:val="00BC08D1"/>
    <w:rsid w:val="00BC22EE"/>
    <w:rsid w:val="00BC308A"/>
    <w:rsid w:val="00BC53F3"/>
    <w:rsid w:val="00BD2262"/>
    <w:rsid w:val="00BE6020"/>
    <w:rsid w:val="00BF52A0"/>
    <w:rsid w:val="00C0082D"/>
    <w:rsid w:val="00C02406"/>
    <w:rsid w:val="00C107B0"/>
    <w:rsid w:val="00C20686"/>
    <w:rsid w:val="00C32D19"/>
    <w:rsid w:val="00C34646"/>
    <w:rsid w:val="00C36792"/>
    <w:rsid w:val="00C44710"/>
    <w:rsid w:val="00C44A82"/>
    <w:rsid w:val="00C506B3"/>
    <w:rsid w:val="00C64739"/>
    <w:rsid w:val="00C67B77"/>
    <w:rsid w:val="00C754D1"/>
    <w:rsid w:val="00C847C2"/>
    <w:rsid w:val="00CA0534"/>
    <w:rsid w:val="00CA12A9"/>
    <w:rsid w:val="00CB35EA"/>
    <w:rsid w:val="00CC7CCF"/>
    <w:rsid w:val="00CD2D4B"/>
    <w:rsid w:val="00CD44E5"/>
    <w:rsid w:val="00CD5CF7"/>
    <w:rsid w:val="00CD7BBB"/>
    <w:rsid w:val="00CF0A92"/>
    <w:rsid w:val="00CF17FE"/>
    <w:rsid w:val="00CF5D1D"/>
    <w:rsid w:val="00CF7DFC"/>
    <w:rsid w:val="00D10C84"/>
    <w:rsid w:val="00D20348"/>
    <w:rsid w:val="00D3562D"/>
    <w:rsid w:val="00D3730F"/>
    <w:rsid w:val="00D576A5"/>
    <w:rsid w:val="00D67792"/>
    <w:rsid w:val="00D764BA"/>
    <w:rsid w:val="00D828AB"/>
    <w:rsid w:val="00D86723"/>
    <w:rsid w:val="00D9133E"/>
    <w:rsid w:val="00D91B63"/>
    <w:rsid w:val="00D91F36"/>
    <w:rsid w:val="00D92F73"/>
    <w:rsid w:val="00D94C51"/>
    <w:rsid w:val="00DA781E"/>
    <w:rsid w:val="00DB49FF"/>
    <w:rsid w:val="00DB6690"/>
    <w:rsid w:val="00DC111C"/>
    <w:rsid w:val="00DC17C4"/>
    <w:rsid w:val="00DC1932"/>
    <w:rsid w:val="00DC2D8A"/>
    <w:rsid w:val="00DE12F5"/>
    <w:rsid w:val="00DF4D29"/>
    <w:rsid w:val="00E06152"/>
    <w:rsid w:val="00E1365E"/>
    <w:rsid w:val="00E15DF7"/>
    <w:rsid w:val="00E17C13"/>
    <w:rsid w:val="00E22DDC"/>
    <w:rsid w:val="00E236A8"/>
    <w:rsid w:val="00E3336C"/>
    <w:rsid w:val="00E37393"/>
    <w:rsid w:val="00E41E6C"/>
    <w:rsid w:val="00E46DB4"/>
    <w:rsid w:val="00E560E0"/>
    <w:rsid w:val="00E56734"/>
    <w:rsid w:val="00E600B0"/>
    <w:rsid w:val="00E73C65"/>
    <w:rsid w:val="00E73CBC"/>
    <w:rsid w:val="00E77C5E"/>
    <w:rsid w:val="00E93646"/>
    <w:rsid w:val="00E938B7"/>
    <w:rsid w:val="00E96BCE"/>
    <w:rsid w:val="00EA1F95"/>
    <w:rsid w:val="00EA32DE"/>
    <w:rsid w:val="00EB191A"/>
    <w:rsid w:val="00EC0BA4"/>
    <w:rsid w:val="00EC452A"/>
    <w:rsid w:val="00EC719F"/>
    <w:rsid w:val="00ED08E7"/>
    <w:rsid w:val="00EE4360"/>
    <w:rsid w:val="00EF1DBE"/>
    <w:rsid w:val="00F00621"/>
    <w:rsid w:val="00F13783"/>
    <w:rsid w:val="00F15B53"/>
    <w:rsid w:val="00F211FF"/>
    <w:rsid w:val="00F249D9"/>
    <w:rsid w:val="00F3461A"/>
    <w:rsid w:val="00F54A70"/>
    <w:rsid w:val="00F56091"/>
    <w:rsid w:val="00F678EF"/>
    <w:rsid w:val="00F70E67"/>
    <w:rsid w:val="00F72315"/>
    <w:rsid w:val="00F906B8"/>
    <w:rsid w:val="00F9104F"/>
    <w:rsid w:val="00F97D55"/>
    <w:rsid w:val="00FA7846"/>
    <w:rsid w:val="00FB5EB1"/>
    <w:rsid w:val="00FD12FF"/>
    <w:rsid w:val="00FD1F0E"/>
    <w:rsid w:val="00FD4DBE"/>
    <w:rsid w:val="00FE126B"/>
    <w:rsid w:val="00FF294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line="360" w:lineRule="auto"/>
      <w:ind w:firstLine="567"/>
      <w:jc w:val="both"/>
    </w:pPr>
    <w:rPr>
      <w:rFonts w:ascii="Calibri" w:eastAsia="SimSun" w:hAnsi="Calibri" w:cs="font274"/>
      <w:sz w:val="22"/>
      <w:szCs w:val="22"/>
      <w:lang w:val="en-GB" w:eastAsia="ar-SA"/>
    </w:rPr>
  </w:style>
  <w:style w:type="paragraph" w:styleId="Heading2">
    <w:name w:val="heading 2"/>
    <w:basedOn w:val="Normal"/>
    <w:next w:val="BodyText"/>
    <w:qFormat/>
    <w:pPr>
      <w:keepNext/>
      <w:keepLines/>
      <w:numPr>
        <w:ilvl w:val="1"/>
        <w:numId w:val="1"/>
      </w:numPr>
      <w:spacing w:before="200"/>
      <w:outlineLvl w:val="1"/>
    </w:pPr>
    <w:rPr>
      <w:rFonts w:ascii="Cambria"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OpenSymbol"/>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Fuentedeprrafopredeter1">
    <w:name w:val="Fuente de párrafo predeter.1"/>
  </w:style>
  <w:style w:type="character" w:customStyle="1" w:styleId="TextodegloboCar">
    <w:name w:val="Texto de globo Car"/>
    <w:rPr>
      <w:rFonts w:ascii="Tahoma" w:hAnsi="Tahoma" w:cs="Tahoma"/>
      <w:sz w:val="16"/>
      <w:szCs w:val="16"/>
      <w:lang w:val="en-GB"/>
    </w:rPr>
  </w:style>
  <w:style w:type="character" w:customStyle="1" w:styleId="TextonotapieCar">
    <w:name w:val="Texto nota pie Car"/>
    <w:rPr>
      <w:sz w:val="20"/>
      <w:szCs w:val="20"/>
      <w:lang w:val="en-GB"/>
    </w:rPr>
  </w:style>
  <w:style w:type="character" w:customStyle="1" w:styleId="Refdenotaalpie1">
    <w:name w:val="Ref. de nota al pie1"/>
    <w:rPr>
      <w:vertAlign w:val="superscript"/>
    </w:rPr>
  </w:style>
  <w:style w:type="character" w:customStyle="1" w:styleId="EncabezadoCar">
    <w:name w:val="Encabezado Car"/>
    <w:rPr>
      <w:lang w:val="en-GB"/>
    </w:rPr>
  </w:style>
  <w:style w:type="character" w:customStyle="1" w:styleId="PiedepginaCar">
    <w:name w:val="Pie de página Car"/>
    <w:rPr>
      <w:lang w:val="en-GB"/>
    </w:rPr>
  </w:style>
  <w:style w:type="character" w:customStyle="1" w:styleId="Ttulo2Car">
    <w:name w:val="Título 2 Car"/>
    <w:rPr>
      <w:rFonts w:ascii="Cambria" w:hAnsi="Cambria" w:cs="font274"/>
      <w:b/>
      <w:bCs/>
      <w:color w:val="4F81BD"/>
      <w:sz w:val="26"/>
      <w:szCs w:val="26"/>
      <w:lang w:val="en-GB"/>
    </w:rPr>
  </w:style>
  <w:style w:type="character" w:customStyle="1" w:styleId="Caracteresdenotaalpie">
    <w:name w:val="Caracteres de nota al pie"/>
  </w:style>
  <w:style w:type="character" w:styleId="FootnoteReference">
    <w:name w:val="footnote reference"/>
    <w:rPr>
      <w:vertAlign w:val="superscript"/>
    </w:rPr>
  </w:style>
  <w:style w:type="character" w:customStyle="1" w:styleId="Caracteresdenotafinal">
    <w:name w:val="Caracteres de nota final"/>
    <w:rPr>
      <w:vertAlign w:val="superscript"/>
    </w:rPr>
  </w:style>
  <w:style w:type="character" w:customStyle="1" w:styleId="WW-Caracteresdenotafinal">
    <w:name w:val="WW-Caracteres de nota final"/>
  </w:style>
  <w:style w:type="character" w:customStyle="1" w:styleId="Vietas">
    <w:name w:val="Viñetas"/>
    <w:rPr>
      <w:rFonts w:ascii="OpenSymbol" w:eastAsia="OpenSymbol" w:hAnsi="OpenSymbol" w:cs="OpenSymbol"/>
    </w:rPr>
  </w:style>
  <w:style w:type="character" w:customStyle="1" w:styleId="ListLabel2">
    <w:name w:val="ListLabel 2"/>
    <w:rPr>
      <w:rFonts w:cs="Courier New"/>
    </w:rPr>
  </w:style>
  <w:style w:type="character" w:styleId="EndnoteReference">
    <w:name w:val="endnote reference"/>
    <w:rPr>
      <w:vertAlign w:val="superscript"/>
    </w:rPr>
  </w:style>
  <w:style w:type="character" w:customStyle="1" w:styleId="WW8Num6z0">
    <w:name w:val="WW8Num6z0"/>
    <w:rPr>
      <w:rFonts w:ascii="Symbol" w:eastAsia="Times New Roman" w:hAnsi="Symbol" w:cs="Symbol" w:hint="default"/>
      <w:shd w:val="clear" w:color="auto" w:fill="00FFFF"/>
      <w:lang w:val="es-AR"/>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0">
    <w:name w:val="WW8Num7z0"/>
    <w:rPr>
      <w:rFonts w:ascii="Symbol" w:hAnsi="Symbol" w:cs="Symbol" w:hint="default"/>
      <w:shd w:val="clear" w:color="auto" w:fill="00FFFF"/>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4z0">
    <w:name w:val="WW8Num4z0"/>
    <w:rPr>
      <w:rFonts w:ascii="Symbol" w:hAnsi="Symbol" w:cs="Symbol" w:hint="default"/>
      <w:shd w:val="clear" w:color="auto" w:fill="00FFFF"/>
      <w:lang w:val="es-AR"/>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paragraph" w:customStyle="1" w:styleId="Encabezado1">
    <w:name w:val="Encabezado1"/>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customStyle="1" w:styleId="Etiqueta">
    <w:name w:val="Etiqueta"/>
    <w:basedOn w:val="Normal"/>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customStyle="1" w:styleId="Textodeglobo1">
    <w:name w:val="Texto de globo1"/>
    <w:basedOn w:val="Normal"/>
    <w:pPr>
      <w:spacing w:line="100" w:lineRule="atLeast"/>
      <w:ind w:firstLine="0"/>
    </w:pPr>
    <w:rPr>
      <w:rFonts w:ascii="Tahoma" w:hAnsi="Tahoma" w:cs="Tahoma"/>
      <w:sz w:val="16"/>
      <w:szCs w:val="16"/>
    </w:rPr>
  </w:style>
  <w:style w:type="paragraph" w:customStyle="1" w:styleId="Textonotapie1">
    <w:name w:val="Texto nota pie1"/>
    <w:basedOn w:val="Normal"/>
    <w:pPr>
      <w:spacing w:line="100" w:lineRule="atLeast"/>
      <w:ind w:firstLine="0"/>
    </w:pPr>
    <w:rPr>
      <w:sz w:val="20"/>
      <w:szCs w:val="20"/>
    </w:rPr>
  </w:style>
  <w:style w:type="paragraph" w:styleId="Header">
    <w:name w:val="header"/>
    <w:basedOn w:val="Normal"/>
    <w:pPr>
      <w:suppressLineNumbers/>
      <w:tabs>
        <w:tab w:val="center" w:pos="4419"/>
        <w:tab w:val="right" w:pos="8838"/>
      </w:tabs>
      <w:spacing w:line="100" w:lineRule="atLeast"/>
      <w:ind w:firstLine="0"/>
    </w:pPr>
  </w:style>
  <w:style w:type="paragraph" w:styleId="Footer">
    <w:name w:val="footer"/>
    <w:basedOn w:val="Normal"/>
    <w:pPr>
      <w:suppressLineNumbers/>
      <w:tabs>
        <w:tab w:val="center" w:pos="4419"/>
        <w:tab w:val="right" w:pos="8838"/>
      </w:tabs>
      <w:spacing w:line="100" w:lineRule="atLeast"/>
      <w:ind w:firstLine="0"/>
    </w:pPr>
  </w:style>
  <w:style w:type="paragraph" w:styleId="FootnoteText">
    <w:name w:val="footnote text"/>
    <w:basedOn w:val="Normal"/>
    <w:pPr>
      <w:suppressLineNumbers/>
      <w:ind w:left="283" w:hanging="283"/>
    </w:pPr>
    <w:rPr>
      <w:sz w:val="20"/>
      <w:szCs w:val="20"/>
    </w:rPr>
  </w:style>
  <w:style w:type="paragraph" w:customStyle="1" w:styleId="Prrafodelista1">
    <w:name w:val="Párrafo de lista1"/>
    <w:basedOn w:val="Normal"/>
    <w:pPr>
      <w:ind w:left="720" w:firstLine="0"/>
    </w:pPr>
  </w:style>
  <w:style w:type="paragraph" w:customStyle="1" w:styleId="Epgrafe1">
    <w:name w:val="Epígrafe1"/>
    <w:basedOn w:val="Normal"/>
    <w:pPr>
      <w:spacing w:line="100" w:lineRule="atLeast"/>
      <w:ind w:firstLine="0"/>
    </w:pPr>
    <w:rPr>
      <w:b/>
      <w:bCs/>
      <w:color w:val="4F81BD"/>
      <w:sz w:val="18"/>
      <w:szCs w:val="18"/>
    </w:r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styleId="ListParagraph">
    <w:name w:val="List Paragraph"/>
    <w:basedOn w:val="Normal"/>
    <w:qFormat/>
    <w:pPr>
      <w:suppressAutoHyphens w:val="0"/>
      <w:spacing w:after="200" w:line="276" w:lineRule="auto"/>
      <w:ind w:left="720" w:firstLine="0"/>
      <w:jc w:val="left"/>
    </w:pPr>
    <w:rPr>
      <w:rFonts w:eastAsia="Calibri" w:cs="Times New Roman"/>
      <w:lang w:val="es-AR"/>
    </w:rPr>
  </w:style>
  <w:style w:type="paragraph" w:styleId="Caption">
    <w:name w:val="caption"/>
    <w:basedOn w:val="Normal"/>
    <w:next w:val="Normal"/>
    <w:uiPriority w:val="35"/>
    <w:unhideWhenUsed/>
    <w:qFormat/>
    <w:rsid w:val="00C0082D"/>
    <w:rPr>
      <w:b/>
      <w:bCs/>
      <w:sz w:val="20"/>
      <w:szCs w:val="20"/>
    </w:rPr>
  </w:style>
  <w:style w:type="paragraph" w:styleId="EndnoteText">
    <w:name w:val="endnote text"/>
    <w:basedOn w:val="Normal"/>
    <w:link w:val="EndnoteTextChar"/>
    <w:uiPriority w:val="99"/>
    <w:semiHidden/>
    <w:unhideWhenUsed/>
    <w:rsid w:val="00A876DE"/>
    <w:rPr>
      <w:sz w:val="20"/>
      <w:szCs w:val="20"/>
    </w:rPr>
  </w:style>
  <w:style w:type="character" w:customStyle="1" w:styleId="EndnoteTextChar">
    <w:name w:val="Endnote Text Char"/>
    <w:link w:val="EndnoteText"/>
    <w:uiPriority w:val="99"/>
    <w:semiHidden/>
    <w:rsid w:val="00A876DE"/>
    <w:rPr>
      <w:rFonts w:ascii="Calibri" w:eastAsia="SimSun" w:hAnsi="Calibri" w:cs="font274"/>
      <w:lang w:val="en-GB" w:eastAsia="ar-SA"/>
    </w:rPr>
  </w:style>
  <w:style w:type="table" w:styleId="TableGrid">
    <w:name w:val="Table Grid"/>
    <w:basedOn w:val="TableNormal"/>
    <w:uiPriority w:val="59"/>
    <w:rsid w:val="00E600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5C2D15"/>
    <w:rPr>
      <w:sz w:val="16"/>
      <w:szCs w:val="16"/>
    </w:rPr>
  </w:style>
  <w:style w:type="paragraph" w:styleId="CommentText">
    <w:name w:val="annotation text"/>
    <w:basedOn w:val="Normal"/>
    <w:link w:val="CommentTextChar"/>
    <w:uiPriority w:val="99"/>
    <w:semiHidden/>
    <w:unhideWhenUsed/>
    <w:rsid w:val="005C2D15"/>
    <w:rPr>
      <w:sz w:val="20"/>
      <w:szCs w:val="20"/>
    </w:rPr>
  </w:style>
  <w:style w:type="character" w:customStyle="1" w:styleId="CommentTextChar">
    <w:name w:val="Comment Text Char"/>
    <w:link w:val="CommentText"/>
    <w:uiPriority w:val="99"/>
    <w:semiHidden/>
    <w:rsid w:val="005C2D15"/>
    <w:rPr>
      <w:rFonts w:ascii="Calibri" w:eastAsia="SimSun" w:hAnsi="Calibri" w:cs="font274"/>
      <w:lang w:val="en-GB" w:eastAsia="ar-SA"/>
    </w:rPr>
  </w:style>
  <w:style w:type="paragraph" w:styleId="CommentSubject">
    <w:name w:val="annotation subject"/>
    <w:basedOn w:val="CommentText"/>
    <w:next w:val="CommentText"/>
    <w:link w:val="CommentSubjectChar"/>
    <w:uiPriority w:val="99"/>
    <w:semiHidden/>
    <w:unhideWhenUsed/>
    <w:rsid w:val="005C2D15"/>
    <w:rPr>
      <w:b/>
      <w:bCs/>
    </w:rPr>
  </w:style>
  <w:style w:type="character" w:customStyle="1" w:styleId="CommentSubjectChar">
    <w:name w:val="Comment Subject Char"/>
    <w:link w:val="CommentSubject"/>
    <w:uiPriority w:val="99"/>
    <w:semiHidden/>
    <w:rsid w:val="005C2D15"/>
    <w:rPr>
      <w:rFonts w:ascii="Calibri" w:eastAsia="SimSun" w:hAnsi="Calibri" w:cs="font274"/>
      <w:b/>
      <w:bCs/>
      <w:lang w:val="en-GB" w:eastAsia="ar-SA"/>
    </w:rPr>
  </w:style>
  <w:style w:type="paragraph" w:styleId="BalloonText">
    <w:name w:val="Balloon Text"/>
    <w:basedOn w:val="Normal"/>
    <w:link w:val="BalloonTextChar"/>
    <w:uiPriority w:val="99"/>
    <w:semiHidden/>
    <w:unhideWhenUsed/>
    <w:rsid w:val="005C2D1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C2D15"/>
    <w:rPr>
      <w:rFonts w:ascii="Tahoma" w:eastAsia="SimSun" w:hAnsi="Tahoma" w:cs="Tahoma"/>
      <w:sz w:val="16"/>
      <w:szCs w:val="16"/>
      <w:lang w:val="en-GB" w:eastAsia="ar-SA"/>
    </w:rPr>
  </w:style>
  <w:style w:type="paragraph" w:styleId="NormalWeb">
    <w:name w:val="Normal (Web)"/>
    <w:basedOn w:val="Normal"/>
    <w:uiPriority w:val="99"/>
    <w:unhideWhenUsed/>
    <w:rsid w:val="00C64739"/>
    <w:pPr>
      <w:suppressAutoHyphens w:val="0"/>
      <w:spacing w:before="100" w:beforeAutospacing="1" w:after="100" w:afterAutospacing="1" w:line="240" w:lineRule="auto"/>
      <w:ind w:firstLine="0"/>
      <w:jc w:val="left"/>
    </w:pPr>
    <w:rPr>
      <w:rFonts w:ascii="Times New Roman" w:eastAsia="Times New Roman" w:hAnsi="Times New Roman" w:cs="Times New Roman"/>
      <w:sz w:val="24"/>
      <w:szCs w:val="24"/>
      <w:lang w:val="es-AR" w:eastAsia="es-AR"/>
    </w:rPr>
  </w:style>
  <w:style w:type="paragraph" w:styleId="Subtitle">
    <w:name w:val="Subtitle"/>
    <w:basedOn w:val="Normal"/>
    <w:next w:val="Normal"/>
    <w:link w:val="SubtitleChar"/>
    <w:uiPriority w:val="11"/>
    <w:qFormat/>
    <w:rsid w:val="003F52E2"/>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3F52E2"/>
    <w:rPr>
      <w:rFonts w:asciiTheme="majorHAnsi" w:eastAsiaTheme="majorEastAsia" w:hAnsiTheme="majorHAnsi" w:cstheme="majorBidi"/>
      <w:sz w:val="24"/>
      <w:szCs w:val="24"/>
      <w:lang w:val="en-GB"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line="360" w:lineRule="auto"/>
      <w:ind w:firstLine="567"/>
      <w:jc w:val="both"/>
    </w:pPr>
    <w:rPr>
      <w:rFonts w:ascii="Calibri" w:eastAsia="SimSun" w:hAnsi="Calibri" w:cs="font274"/>
      <w:sz w:val="22"/>
      <w:szCs w:val="22"/>
      <w:lang w:val="en-GB" w:eastAsia="ar-SA"/>
    </w:rPr>
  </w:style>
  <w:style w:type="paragraph" w:styleId="Heading2">
    <w:name w:val="heading 2"/>
    <w:basedOn w:val="Normal"/>
    <w:next w:val="BodyText"/>
    <w:qFormat/>
    <w:pPr>
      <w:keepNext/>
      <w:keepLines/>
      <w:numPr>
        <w:ilvl w:val="1"/>
        <w:numId w:val="1"/>
      </w:numPr>
      <w:spacing w:before="200"/>
      <w:outlineLvl w:val="1"/>
    </w:pPr>
    <w:rPr>
      <w:rFonts w:ascii="Cambria"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OpenSymbol"/>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Fuentedeprrafopredeter1">
    <w:name w:val="Fuente de párrafo predeter.1"/>
  </w:style>
  <w:style w:type="character" w:customStyle="1" w:styleId="TextodegloboCar">
    <w:name w:val="Texto de globo Car"/>
    <w:rPr>
      <w:rFonts w:ascii="Tahoma" w:hAnsi="Tahoma" w:cs="Tahoma"/>
      <w:sz w:val="16"/>
      <w:szCs w:val="16"/>
      <w:lang w:val="en-GB"/>
    </w:rPr>
  </w:style>
  <w:style w:type="character" w:customStyle="1" w:styleId="TextonotapieCar">
    <w:name w:val="Texto nota pie Car"/>
    <w:rPr>
      <w:sz w:val="20"/>
      <w:szCs w:val="20"/>
      <w:lang w:val="en-GB"/>
    </w:rPr>
  </w:style>
  <w:style w:type="character" w:customStyle="1" w:styleId="Refdenotaalpie1">
    <w:name w:val="Ref. de nota al pie1"/>
    <w:rPr>
      <w:vertAlign w:val="superscript"/>
    </w:rPr>
  </w:style>
  <w:style w:type="character" w:customStyle="1" w:styleId="EncabezadoCar">
    <w:name w:val="Encabezado Car"/>
    <w:rPr>
      <w:lang w:val="en-GB"/>
    </w:rPr>
  </w:style>
  <w:style w:type="character" w:customStyle="1" w:styleId="PiedepginaCar">
    <w:name w:val="Pie de página Car"/>
    <w:rPr>
      <w:lang w:val="en-GB"/>
    </w:rPr>
  </w:style>
  <w:style w:type="character" w:customStyle="1" w:styleId="Ttulo2Car">
    <w:name w:val="Título 2 Car"/>
    <w:rPr>
      <w:rFonts w:ascii="Cambria" w:hAnsi="Cambria" w:cs="font274"/>
      <w:b/>
      <w:bCs/>
      <w:color w:val="4F81BD"/>
      <w:sz w:val="26"/>
      <w:szCs w:val="26"/>
      <w:lang w:val="en-GB"/>
    </w:rPr>
  </w:style>
  <w:style w:type="character" w:customStyle="1" w:styleId="Caracteresdenotaalpie">
    <w:name w:val="Caracteres de nota al pie"/>
  </w:style>
  <w:style w:type="character" w:styleId="FootnoteReference">
    <w:name w:val="footnote reference"/>
    <w:rPr>
      <w:vertAlign w:val="superscript"/>
    </w:rPr>
  </w:style>
  <w:style w:type="character" w:customStyle="1" w:styleId="Caracteresdenotafinal">
    <w:name w:val="Caracteres de nota final"/>
    <w:rPr>
      <w:vertAlign w:val="superscript"/>
    </w:rPr>
  </w:style>
  <w:style w:type="character" w:customStyle="1" w:styleId="WW-Caracteresdenotafinal">
    <w:name w:val="WW-Caracteres de nota final"/>
  </w:style>
  <w:style w:type="character" w:customStyle="1" w:styleId="Vietas">
    <w:name w:val="Viñetas"/>
    <w:rPr>
      <w:rFonts w:ascii="OpenSymbol" w:eastAsia="OpenSymbol" w:hAnsi="OpenSymbol" w:cs="OpenSymbol"/>
    </w:rPr>
  </w:style>
  <w:style w:type="character" w:customStyle="1" w:styleId="ListLabel2">
    <w:name w:val="ListLabel 2"/>
    <w:rPr>
      <w:rFonts w:cs="Courier New"/>
    </w:rPr>
  </w:style>
  <w:style w:type="character" w:styleId="EndnoteReference">
    <w:name w:val="endnote reference"/>
    <w:rPr>
      <w:vertAlign w:val="superscript"/>
    </w:rPr>
  </w:style>
  <w:style w:type="character" w:customStyle="1" w:styleId="WW8Num6z0">
    <w:name w:val="WW8Num6z0"/>
    <w:rPr>
      <w:rFonts w:ascii="Symbol" w:eastAsia="Times New Roman" w:hAnsi="Symbol" w:cs="Symbol" w:hint="default"/>
      <w:shd w:val="clear" w:color="auto" w:fill="00FFFF"/>
      <w:lang w:val="es-AR"/>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0">
    <w:name w:val="WW8Num7z0"/>
    <w:rPr>
      <w:rFonts w:ascii="Symbol" w:hAnsi="Symbol" w:cs="Symbol" w:hint="default"/>
      <w:shd w:val="clear" w:color="auto" w:fill="00FFFF"/>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4z0">
    <w:name w:val="WW8Num4z0"/>
    <w:rPr>
      <w:rFonts w:ascii="Symbol" w:hAnsi="Symbol" w:cs="Symbol" w:hint="default"/>
      <w:shd w:val="clear" w:color="auto" w:fill="00FFFF"/>
      <w:lang w:val="es-AR"/>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paragraph" w:customStyle="1" w:styleId="Encabezado1">
    <w:name w:val="Encabezado1"/>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customStyle="1" w:styleId="Etiqueta">
    <w:name w:val="Etiqueta"/>
    <w:basedOn w:val="Normal"/>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customStyle="1" w:styleId="Textodeglobo1">
    <w:name w:val="Texto de globo1"/>
    <w:basedOn w:val="Normal"/>
    <w:pPr>
      <w:spacing w:line="100" w:lineRule="atLeast"/>
      <w:ind w:firstLine="0"/>
    </w:pPr>
    <w:rPr>
      <w:rFonts w:ascii="Tahoma" w:hAnsi="Tahoma" w:cs="Tahoma"/>
      <w:sz w:val="16"/>
      <w:szCs w:val="16"/>
    </w:rPr>
  </w:style>
  <w:style w:type="paragraph" w:customStyle="1" w:styleId="Textonotapie1">
    <w:name w:val="Texto nota pie1"/>
    <w:basedOn w:val="Normal"/>
    <w:pPr>
      <w:spacing w:line="100" w:lineRule="atLeast"/>
      <w:ind w:firstLine="0"/>
    </w:pPr>
    <w:rPr>
      <w:sz w:val="20"/>
      <w:szCs w:val="20"/>
    </w:rPr>
  </w:style>
  <w:style w:type="paragraph" w:styleId="Header">
    <w:name w:val="header"/>
    <w:basedOn w:val="Normal"/>
    <w:pPr>
      <w:suppressLineNumbers/>
      <w:tabs>
        <w:tab w:val="center" w:pos="4419"/>
        <w:tab w:val="right" w:pos="8838"/>
      </w:tabs>
      <w:spacing w:line="100" w:lineRule="atLeast"/>
      <w:ind w:firstLine="0"/>
    </w:pPr>
  </w:style>
  <w:style w:type="paragraph" w:styleId="Footer">
    <w:name w:val="footer"/>
    <w:basedOn w:val="Normal"/>
    <w:pPr>
      <w:suppressLineNumbers/>
      <w:tabs>
        <w:tab w:val="center" w:pos="4419"/>
        <w:tab w:val="right" w:pos="8838"/>
      </w:tabs>
      <w:spacing w:line="100" w:lineRule="atLeast"/>
      <w:ind w:firstLine="0"/>
    </w:pPr>
  </w:style>
  <w:style w:type="paragraph" w:styleId="FootnoteText">
    <w:name w:val="footnote text"/>
    <w:basedOn w:val="Normal"/>
    <w:pPr>
      <w:suppressLineNumbers/>
      <w:ind w:left="283" w:hanging="283"/>
    </w:pPr>
    <w:rPr>
      <w:sz w:val="20"/>
      <w:szCs w:val="20"/>
    </w:rPr>
  </w:style>
  <w:style w:type="paragraph" w:customStyle="1" w:styleId="Prrafodelista1">
    <w:name w:val="Párrafo de lista1"/>
    <w:basedOn w:val="Normal"/>
    <w:pPr>
      <w:ind w:left="720" w:firstLine="0"/>
    </w:pPr>
  </w:style>
  <w:style w:type="paragraph" w:customStyle="1" w:styleId="Epgrafe1">
    <w:name w:val="Epígrafe1"/>
    <w:basedOn w:val="Normal"/>
    <w:pPr>
      <w:spacing w:line="100" w:lineRule="atLeast"/>
      <w:ind w:firstLine="0"/>
    </w:pPr>
    <w:rPr>
      <w:b/>
      <w:bCs/>
      <w:color w:val="4F81BD"/>
      <w:sz w:val="18"/>
      <w:szCs w:val="18"/>
    </w:r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styleId="ListParagraph">
    <w:name w:val="List Paragraph"/>
    <w:basedOn w:val="Normal"/>
    <w:qFormat/>
    <w:pPr>
      <w:suppressAutoHyphens w:val="0"/>
      <w:spacing w:after="200" w:line="276" w:lineRule="auto"/>
      <w:ind w:left="720" w:firstLine="0"/>
      <w:jc w:val="left"/>
    </w:pPr>
    <w:rPr>
      <w:rFonts w:eastAsia="Calibri" w:cs="Times New Roman"/>
      <w:lang w:val="es-AR"/>
    </w:rPr>
  </w:style>
  <w:style w:type="paragraph" w:styleId="Caption">
    <w:name w:val="caption"/>
    <w:basedOn w:val="Normal"/>
    <w:next w:val="Normal"/>
    <w:uiPriority w:val="35"/>
    <w:unhideWhenUsed/>
    <w:qFormat/>
    <w:rsid w:val="00C0082D"/>
    <w:rPr>
      <w:b/>
      <w:bCs/>
      <w:sz w:val="20"/>
      <w:szCs w:val="20"/>
    </w:rPr>
  </w:style>
  <w:style w:type="paragraph" w:styleId="EndnoteText">
    <w:name w:val="endnote text"/>
    <w:basedOn w:val="Normal"/>
    <w:link w:val="EndnoteTextChar"/>
    <w:uiPriority w:val="99"/>
    <w:semiHidden/>
    <w:unhideWhenUsed/>
    <w:rsid w:val="00A876DE"/>
    <w:rPr>
      <w:sz w:val="20"/>
      <w:szCs w:val="20"/>
    </w:rPr>
  </w:style>
  <w:style w:type="character" w:customStyle="1" w:styleId="EndnoteTextChar">
    <w:name w:val="Endnote Text Char"/>
    <w:link w:val="EndnoteText"/>
    <w:uiPriority w:val="99"/>
    <w:semiHidden/>
    <w:rsid w:val="00A876DE"/>
    <w:rPr>
      <w:rFonts w:ascii="Calibri" w:eastAsia="SimSun" w:hAnsi="Calibri" w:cs="font274"/>
      <w:lang w:val="en-GB" w:eastAsia="ar-SA"/>
    </w:rPr>
  </w:style>
  <w:style w:type="table" w:styleId="TableGrid">
    <w:name w:val="Table Grid"/>
    <w:basedOn w:val="TableNormal"/>
    <w:uiPriority w:val="59"/>
    <w:rsid w:val="00E600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5C2D15"/>
    <w:rPr>
      <w:sz w:val="16"/>
      <w:szCs w:val="16"/>
    </w:rPr>
  </w:style>
  <w:style w:type="paragraph" w:styleId="CommentText">
    <w:name w:val="annotation text"/>
    <w:basedOn w:val="Normal"/>
    <w:link w:val="CommentTextChar"/>
    <w:uiPriority w:val="99"/>
    <w:semiHidden/>
    <w:unhideWhenUsed/>
    <w:rsid w:val="005C2D15"/>
    <w:rPr>
      <w:sz w:val="20"/>
      <w:szCs w:val="20"/>
    </w:rPr>
  </w:style>
  <w:style w:type="character" w:customStyle="1" w:styleId="CommentTextChar">
    <w:name w:val="Comment Text Char"/>
    <w:link w:val="CommentText"/>
    <w:uiPriority w:val="99"/>
    <w:semiHidden/>
    <w:rsid w:val="005C2D15"/>
    <w:rPr>
      <w:rFonts w:ascii="Calibri" w:eastAsia="SimSun" w:hAnsi="Calibri" w:cs="font274"/>
      <w:lang w:val="en-GB" w:eastAsia="ar-SA"/>
    </w:rPr>
  </w:style>
  <w:style w:type="paragraph" w:styleId="CommentSubject">
    <w:name w:val="annotation subject"/>
    <w:basedOn w:val="CommentText"/>
    <w:next w:val="CommentText"/>
    <w:link w:val="CommentSubjectChar"/>
    <w:uiPriority w:val="99"/>
    <w:semiHidden/>
    <w:unhideWhenUsed/>
    <w:rsid w:val="005C2D15"/>
    <w:rPr>
      <w:b/>
      <w:bCs/>
    </w:rPr>
  </w:style>
  <w:style w:type="character" w:customStyle="1" w:styleId="CommentSubjectChar">
    <w:name w:val="Comment Subject Char"/>
    <w:link w:val="CommentSubject"/>
    <w:uiPriority w:val="99"/>
    <w:semiHidden/>
    <w:rsid w:val="005C2D15"/>
    <w:rPr>
      <w:rFonts w:ascii="Calibri" w:eastAsia="SimSun" w:hAnsi="Calibri" w:cs="font274"/>
      <w:b/>
      <w:bCs/>
      <w:lang w:val="en-GB" w:eastAsia="ar-SA"/>
    </w:rPr>
  </w:style>
  <w:style w:type="paragraph" w:styleId="BalloonText">
    <w:name w:val="Balloon Text"/>
    <w:basedOn w:val="Normal"/>
    <w:link w:val="BalloonTextChar"/>
    <w:uiPriority w:val="99"/>
    <w:semiHidden/>
    <w:unhideWhenUsed/>
    <w:rsid w:val="005C2D1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C2D15"/>
    <w:rPr>
      <w:rFonts w:ascii="Tahoma" w:eastAsia="SimSun" w:hAnsi="Tahoma" w:cs="Tahoma"/>
      <w:sz w:val="16"/>
      <w:szCs w:val="16"/>
      <w:lang w:val="en-GB" w:eastAsia="ar-SA"/>
    </w:rPr>
  </w:style>
  <w:style w:type="paragraph" w:styleId="NormalWeb">
    <w:name w:val="Normal (Web)"/>
    <w:basedOn w:val="Normal"/>
    <w:uiPriority w:val="99"/>
    <w:unhideWhenUsed/>
    <w:rsid w:val="00C64739"/>
    <w:pPr>
      <w:suppressAutoHyphens w:val="0"/>
      <w:spacing w:before="100" w:beforeAutospacing="1" w:after="100" w:afterAutospacing="1" w:line="240" w:lineRule="auto"/>
      <w:ind w:firstLine="0"/>
      <w:jc w:val="left"/>
    </w:pPr>
    <w:rPr>
      <w:rFonts w:ascii="Times New Roman" w:eastAsia="Times New Roman" w:hAnsi="Times New Roman" w:cs="Times New Roman"/>
      <w:sz w:val="24"/>
      <w:szCs w:val="24"/>
      <w:lang w:val="es-AR" w:eastAsia="es-AR"/>
    </w:rPr>
  </w:style>
  <w:style w:type="paragraph" w:styleId="Subtitle">
    <w:name w:val="Subtitle"/>
    <w:basedOn w:val="Normal"/>
    <w:next w:val="Normal"/>
    <w:link w:val="SubtitleChar"/>
    <w:uiPriority w:val="11"/>
    <w:qFormat/>
    <w:rsid w:val="003F52E2"/>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3F52E2"/>
    <w:rPr>
      <w:rFonts w:asciiTheme="majorHAnsi" w:eastAsiaTheme="majorEastAsia" w:hAnsiTheme="majorHAnsi" w:cstheme="majorBidi"/>
      <w:sz w:val="24"/>
      <w:szCs w:val="24"/>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642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image" Target="media/image31.emf"/><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image" Target="media/image34.emf"/><Relationship Id="rId47" Type="http://schemas.openxmlformats.org/officeDocument/2006/relationships/image" Target="media/image39.emf"/><Relationship Id="rId50" Type="http://schemas.openxmlformats.org/officeDocument/2006/relationships/image" Target="media/image42.emf"/><Relationship Id="rId55"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8.emf"/><Relationship Id="rId29" Type="http://schemas.openxmlformats.org/officeDocument/2006/relationships/image" Target="media/image21.emf"/><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image" Target="media/image32.emf"/><Relationship Id="rId45" Type="http://schemas.openxmlformats.org/officeDocument/2006/relationships/image" Target="media/image37.emf"/><Relationship Id="rId53" Type="http://schemas.openxmlformats.org/officeDocument/2006/relationships/image" Target="media/image45.emf"/><Relationship Id="rId58" Type="http://schemas.openxmlformats.org/officeDocument/2006/relationships/customXml" Target="../customXml/item3.xml"/><Relationship Id="rId5" Type="http://schemas.openxmlformats.org/officeDocument/2006/relationships/settings" Target="settings.xml"/><Relationship Id="rId61" Type="http://schemas.openxmlformats.org/officeDocument/2006/relationships/customXml" Target="../customXml/item6.xml"/><Relationship Id="rId19" Type="http://schemas.openxmlformats.org/officeDocument/2006/relationships/image" Target="media/image1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image" Target="media/image35.emf"/><Relationship Id="rId48" Type="http://schemas.openxmlformats.org/officeDocument/2006/relationships/image" Target="media/image40.emf"/><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image" Target="media/image43.emf"/><Relationship Id="rId3" Type="http://schemas.openxmlformats.org/officeDocument/2006/relationships/styles" Target="styl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emf"/><Relationship Id="rId46" Type="http://schemas.openxmlformats.org/officeDocument/2006/relationships/image" Target="media/image38.emf"/><Relationship Id="rId59" Type="http://schemas.openxmlformats.org/officeDocument/2006/relationships/customXml" Target="../customXml/item4.xml"/><Relationship Id="rId20" Type="http://schemas.openxmlformats.org/officeDocument/2006/relationships/image" Target="media/image12.emf"/><Relationship Id="rId41" Type="http://schemas.openxmlformats.org/officeDocument/2006/relationships/image" Target="media/image33.emf"/><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49" Type="http://schemas.openxmlformats.org/officeDocument/2006/relationships/image" Target="media/image41.emf"/><Relationship Id="rId57" Type="http://schemas.openxmlformats.org/officeDocument/2006/relationships/customXml" Target="../customXml/item2.xml"/><Relationship Id="rId10" Type="http://schemas.openxmlformats.org/officeDocument/2006/relationships/image" Target="media/image2.emf"/><Relationship Id="rId31" Type="http://schemas.openxmlformats.org/officeDocument/2006/relationships/image" Target="media/image23.emf"/><Relationship Id="rId44" Type="http://schemas.openxmlformats.org/officeDocument/2006/relationships/image" Target="media/image36.emf"/><Relationship Id="rId52" Type="http://schemas.openxmlformats.org/officeDocument/2006/relationships/image" Target="media/image44.emf"/><Relationship Id="rId60" Type="http://schemas.openxmlformats.org/officeDocument/2006/relationships/customXml" Target="../customXml/item5.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22815AE354FCFA468D52301C118528C4" ma:contentTypeVersion="0" ma:contentTypeDescription="A content type to manage public (operations) IDB documents" ma:contentTypeScope="" ma:versionID="323dc80aa54ad81f04cb70ce55d23484">
  <xsd:schema xmlns:xsd="http://www.w3.org/2001/XMLSchema" xmlns:xs="http://www.w3.org/2001/XMLSchema" xmlns:p="http://schemas.microsoft.com/office/2006/metadata/properties" xmlns:ns2="9c571b2f-e523-4ab2-ba2e-09e151a03ef4" targetNamespace="http://schemas.microsoft.com/office/2006/metadata/properties" ma:root="true" ma:fieldsID="4f32c5dd488d5d8caf8715745ccb806d"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b7b6cc8-aa77-492b-a3d9-e2df0bc5e2b3}" ma:internalName="TaxCatchAll" ma:showField="CatchAllData"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b7b6cc8-aa77-492b-a3d9-e2df0bc5e2b3}" ma:internalName="TaxCatchAllLabel" ma:readOnly="true" ma:showField="CatchAllDataLabel"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40222600</IDBDocs_x0020_Number>
    <TaxCatchAll xmlns="9c571b2f-e523-4ab2-ba2e-09e151a03ef4">
      <Value>5</Value>
      <Value>6</Value>
    </TaxCatchAll>
    <Phase xmlns="9c571b2f-e523-4ab2-ba2e-09e151a03ef4" xsi:nil="true"/>
    <SISCOR_x0020_Number xmlns="9c571b2f-e523-4ab2-ba2e-09e151a03ef4" xsi:nil="true"/>
    <Division_x0020_or_x0020_Unit xmlns="9c571b2f-e523-4ab2-ba2e-09e151a03ef4">SCL/SPH</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Tejerina, Luis R.</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HO-L1105</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IS-INS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43AA54C5-A7C2-47F6-A708-F5D551E137EA}"/>
</file>

<file path=customXml/itemProps2.xml><?xml version="1.0" encoding="utf-8"?>
<ds:datastoreItem xmlns:ds="http://schemas.openxmlformats.org/officeDocument/2006/customXml" ds:itemID="{F71B300C-86A7-4595-8D96-D37096AE9AB5}"/>
</file>

<file path=customXml/itemProps3.xml><?xml version="1.0" encoding="utf-8"?>
<ds:datastoreItem xmlns:ds="http://schemas.openxmlformats.org/officeDocument/2006/customXml" ds:itemID="{105A7A26-F1A9-4C07-99D7-2F1BFD9017C6}"/>
</file>

<file path=customXml/itemProps4.xml><?xml version="1.0" encoding="utf-8"?>
<ds:datastoreItem xmlns:ds="http://schemas.openxmlformats.org/officeDocument/2006/customXml" ds:itemID="{469A1FC2-3B21-45AF-98B2-235152C8D1A6}"/>
</file>

<file path=customXml/itemProps5.xml><?xml version="1.0" encoding="utf-8"?>
<ds:datastoreItem xmlns:ds="http://schemas.openxmlformats.org/officeDocument/2006/customXml" ds:itemID="{4E76D87D-B2E1-4997-9963-BC86E5E20CE1}"/>
</file>

<file path=customXml/itemProps6.xml><?xml version="1.0" encoding="utf-8"?>
<ds:datastoreItem xmlns:ds="http://schemas.openxmlformats.org/officeDocument/2006/customXml" ds:itemID="{7728D964-F69A-4A6C-9914-8D3902A8AF60}"/>
</file>

<file path=docProps/app.xml><?xml version="1.0" encoding="utf-8"?>
<Properties xmlns="http://schemas.openxmlformats.org/officeDocument/2006/extended-properties" xmlns:vt="http://schemas.openxmlformats.org/officeDocument/2006/docPropsVTypes">
  <Template>Normal.dotm</Template>
  <TotalTime>1</TotalTime>
  <Pages>54</Pages>
  <Words>12035</Words>
  <Characters>68600</Characters>
  <Application>Microsoft Office Word</Application>
  <DocSecurity>4</DocSecurity>
  <Lines>571</Lines>
  <Paragraphs>160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80475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_Estudio de Sostenibilidad Financiera_</dc:title>
  <dc:creator>Usuario</dc:creator>
  <cp:lastModifiedBy>Test</cp:lastModifiedBy>
  <cp:revision>2</cp:revision>
  <cp:lastPrinted>2016-03-23T15:12:00Z</cp:lastPrinted>
  <dcterms:created xsi:type="dcterms:W3CDTF">2016-04-04T16:43:00Z</dcterms:created>
  <dcterms:modified xsi:type="dcterms:W3CDTF">2016-04-04T16:43:00Z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0x01010046CF21643EE8D14686A648AA6DAD08920022815AE354FCFA468D52301C118528C4</vt:lpwstr>
  </property>
  <property fmtid="{D5CDD505-2E9C-101B-9397-08002B2CF9AE}" pid="9" name="TaxKeyword">
    <vt:lpwstr/>
  </property>
  <property fmtid="{D5CDD505-2E9C-101B-9397-08002B2CF9AE}" pid="10" name="Sub_x002d_Sector">
    <vt:lpwstr/>
  </property>
  <property fmtid="{D5CDD505-2E9C-101B-9397-08002B2CF9AE}" pid="11" name="TaxKeywordTaxHTField">
    <vt:lpwstr/>
  </property>
  <property fmtid="{D5CDD505-2E9C-101B-9397-08002B2CF9AE}" pid="12" name="Series Operations IDB">
    <vt:lpwstr>5;#Unclassified|a6dff32e-d477-44cd-a56b-85efe9e0a56c</vt:lpwstr>
  </property>
  <property fmtid="{D5CDD505-2E9C-101B-9397-08002B2CF9AE}" pid="14" name="Country">
    <vt:lpwstr/>
  </property>
  <property fmtid="{D5CDD505-2E9C-101B-9397-08002B2CF9AE}" pid="15" name="Fund IDB">
    <vt:lpwstr/>
  </property>
  <property fmtid="{D5CDD505-2E9C-101B-9397-08002B2CF9AE}" pid="16" name="Series_x0020_Operations_x0020_IDB">
    <vt:lpwstr>5;#Unclassified|a6dff32e-d477-44cd-a56b-85efe9e0a56c</vt:lpwstr>
  </property>
  <property fmtid="{D5CDD505-2E9C-101B-9397-08002B2CF9AE}" pid="17" name="To:">
    <vt:lpwstr/>
  </property>
  <property fmtid="{D5CDD505-2E9C-101B-9397-08002B2CF9AE}" pid="18" name="From:">
    <vt:lpwstr/>
  </property>
  <property fmtid="{D5CDD505-2E9C-101B-9397-08002B2CF9AE}" pid="19" name="Sector IDB">
    <vt:lpwstr/>
  </property>
  <property fmtid="{D5CDD505-2E9C-101B-9397-08002B2CF9AE}" pid="20" name="Function Operations IDB">
    <vt:lpwstr>6;#IDBDocs|cca77002-e150-4b2d-ab1f-1d7a7cdcae16</vt:lpwstr>
  </property>
  <property fmtid="{D5CDD505-2E9C-101B-9397-08002B2CF9AE}" pid="21" name="Sub-Sector">
    <vt:lpwstr/>
  </property>
</Properties>
</file>