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46691" w14:textId="77777777" w:rsidR="00F9249F" w:rsidRPr="004C6885" w:rsidRDefault="00F9249F" w:rsidP="001D47B2">
      <w:pPr>
        <w:jc w:val="center"/>
        <w:rPr>
          <w:rFonts w:ascii="Arial" w:hAnsi="Arial"/>
          <w:b/>
          <w:smallCaps/>
          <w:sz w:val="22"/>
          <w:lang w:val="es-ES_tradnl"/>
        </w:rPr>
      </w:pPr>
    </w:p>
    <w:p w14:paraId="735A842D" w14:textId="2922142C" w:rsidR="003F75E2" w:rsidRDefault="003F75E2" w:rsidP="001358A5">
      <w:pPr>
        <w:spacing w:before="120"/>
        <w:jc w:val="center"/>
        <w:rPr>
          <w:rFonts w:ascii="Arial" w:hAnsi="Arial"/>
          <w:b/>
          <w:i/>
          <w:smallCaps/>
          <w:sz w:val="22"/>
          <w:lang w:val="es-ES_tradnl"/>
        </w:rPr>
      </w:pPr>
      <w:r w:rsidRPr="00474BF8">
        <w:rPr>
          <w:rFonts w:ascii="Arial" w:hAnsi="Arial"/>
          <w:b/>
          <w:i/>
          <w:smallCaps/>
          <w:sz w:val="22"/>
          <w:lang w:val="es-ES_tradnl"/>
        </w:rPr>
        <w:t xml:space="preserve"> </w:t>
      </w:r>
    </w:p>
    <w:p w14:paraId="728DA882" w14:textId="77777777" w:rsidR="00474BF8" w:rsidRPr="00474BF8" w:rsidRDefault="00474BF8" w:rsidP="001358A5">
      <w:pPr>
        <w:spacing w:before="120"/>
        <w:jc w:val="center"/>
        <w:rPr>
          <w:rFonts w:ascii="Arial" w:hAnsi="Arial"/>
          <w:b/>
          <w:i/>
          <w:smallCaps/>
          <w:sz w:val="22"/>
          <w:lang w:val="es-ES_tradnl"/>
        </w:rPr>
      </w:pPr>
    </w:p>
    <w:p w14:paraId="3F866E4D" w14:textId="77777777" w:rsidR="001358A5" w:rsidRPr="004C6885" w:rsidRDefault="001358A5" w:rsidP="001358A5">
      <w:pPr>
        <w:spacing w:before="120"/>
        <w:jc w:val="center"/>
        <w:rPr>
          <w:rFonts w:ascii="Arial" w:hAnsi="Arial"/>
          <w:b/>
          <w:smallCaps/>
          <w:sz w:val="22"/>
          <w:lang w:val="es-ES_tradnl"/>
        </w:rPr>
      </w:pPr>
      <w:r w:rsidRPr="004C6885">
        <w:rPr>
          <w:rFonts w:ascii="Arial" w:hAnsi="Arial"/>
          <w:b/>
          <w:smallCaps/>
          <w:sz w:val="22"/>
          <w:lang w:val="es-ES_tradnl"/>
        </w:rPr>
        <w:t>Paraguay</w:t>
      </w:r>
    </w:p>
    <w:p w14:paraId="2342492E" w14:textId="77777777" w:rsidR="00F9249F" w:rsidRPr="004C6885" w:rsidRDefault="00F9249F" w:rsidP="001D47B2">
      <w:pPr>
        <w:jc w:val="center"/>
        <w:rPr>
          <w:rFonts w:ascii="Arial" w:hAnsi="Arial"/>
          <w:b/>
          <w:smallCaps/>
          <w:sz w:val="22"/>
          <w:lang w:val="es-ES_tradnl"/>
        </w:rPr>
      </w:pPr>
    </w:p>
    <w:p w14:paraId="40FE2EF2" w14:textId="77777777" w:rsidR="00F9249F" w:rsidRPr="004C6885" w:rsidRDefault="00F9249F" w:rsidP="001D47B2">
      <w:pPr>
        <w:jc w:val="center"/>
        <w:rPr>
          <w:rFonts w:ascii="Arial" w:hAnsi="Arial"/>
          <w:b/>
          <w:smallCaps/>
          <w:sz w:val="22"/>
          <w:lang w:val="es-ES_tradnl"/>
        </w:rPr>
      </w:pPr>
    </w:p>
    <w:p w14:paraId="725BCD75" w14:textId="77777777" w:rsidR="001358A5" w:rsidRPr="004C6885" w:rsidRDefault="001358A5" w:rsidP="001D47B2">
      <w:pPr>
        <w:jc w:val="center"/>
        <w:rPr>
          <w:rFonts w:ascii="Arial" w:hAnsi="Arial"/>
          <w:b/>
          <w:smallCaps/>
          <w:sz w:val="22"/>
          <w:lang w:val="es-ES_tradnl"/>
        </w:rPr>
      </w:pPr>
    </w:p>
    <w:p w14:paraId="46E5EFA6" w14:textId="77777777" w:rsidR="001358A5" w:rsidRPr="004C6885" w:rsidRDefault="001358A5" w:rsidP="001D47B2">
      <w:pPr>
        <w:jc w:val="center"/>
        <w:rPr>
          <w:rFonts w:ascii="Arial" w:hAnsi="Arial"/>
          <w:b/>
          <w:smallCaps/>
          <w:sz w:val="22"/>
          <w:lang w:val="es-ES_tradnl"/>
        </w:rPr>
      </w:pPr>
    </w:p>
    <w:p w14:paraId="7D437D48" w14:textId="231E37B3" w:rsidR="00912F34" w:rsidRDefault="00912F34" w:rsidP="00912F34">
      <w:pPr>
        <w:tabs>
          <w:tab w:val="left" w:pos="1350"/>
        </w:tabs>
        <w:jc w:val="center"/>
        <w:rPr>
          <w:rFonts w:ascii="Arial" w:hAnsi="Arial" w:cs="Arial"/>
          <w:b/>
          <w:smallCaps/>
          <w:sz w:val="28"/>
          <w:lang w:val="es-ES"/>
        </w:rPr>
      </w:pPr>
      <w:bookmarkStart w:id="0" w:name="Text7"/>
      <w:r>
        <w:rPr>
          <w:rFonts w:ascii="Arial" w:hAnsi="Arial" w:cs="Arial"/>
          <w:b/>
          <w:smallCaps/>
          <w:sz w:val="28"/>
          <w:lang w:val="es-ES"/>
        </w:rPr>
        <w:t xml:space="preserve">Programa de </w:t>
      </w:r>
      <w:r w:rsidR="00191A18" w:rsidRPr="00231A21">
        <w:rPr>
          <w:rFonts w:ascii="Arial" w:hAnsi="Arial" w:cs="Arial"/>
          <w:b/>
          <w:smallCaps/>
          <w:sz w:val="28"/>
          <w:lang w:val="es-ES"/>
        </w:rPr>
        <w:t>Acceso a Financiamiento para Inversiones del Sector Agropecuario en el Paraguay</w:t>
      </w:r>
      <w:r>
        <w:rPr>
          <w:rFonts w:ascii="Arial" w:hAnsi="Arial" w:cs="Arial"/>
          <w:b/>
          <w:smallCaps/>
          <w:sz w:val="28"/>
          <w:lang w:val="es-ES"/>
        </w:rPr>
        <w:t xml:space="preserve"> </w:t>
      </w:r>
      <w:r w:rsidRPr="00912F34">
        <w:rPr>
          <w:rFonts w:ascii="Arial" w:hAnsi="Arial" w:cs="Arial"/>
          <w:b/>
          <w:smallCaps/>
          <w:sz w:val="28"/>
          <w:lang w:val="es-ES"/>
        </w:rPr>
        <w:t>(PR-L1170)</w:t>
      </w:r>
    </w:p>
    <w:p w14:paraId="6AA24682" w14:textId="77777777" w:rsidR="00912F34" w:rsidRDefault="00912F34" w:rsidP="00912F34">
      <w:pPr>
        <w:tabs>
          <w:tab w:val="left" w:pos="1350"/>
        </w:tabs>
        <w:jc w:val="center"/>
        <w:rPr>
          <w:rFonts w:ascii="Arial" w:hAnsi="Arial" w:cs="Arial"/>
          <w:b/>
          <w:smallCaps/>
          <w:sz w:val="28"/>
          <w:lang w:val="es-ES"/>
        </w:rPr>
      </w:pPr>
    </w:p>
    <w:p w14:paraId="5A76371F" w14:textId="59B4C0E1" w:rsidR="00191A18" w:rsidRPr="00054324" w:rsidRDefault="00912F34" w:rsidP="00912F34">
      <w:pPr>
        <w:tabs>
          <w:tab w:val="left" w:pos="1350"/>
        </w:tabs>
        <w:jc w:val="center"/>
        <w:rPr>
          <w:rFonts w:ascii="Arial" w:hAnsi="Arial" w:cs="Arial"/>
          <w:lang w:val="es-ES"/>
        </w:rPr>
      </w:pPr>
      <w:r w:rsidRPr="00912F34">
        <w:rPr>
          <w:rFonts w:ascii="Arial" w:hAnsi="Arial" w:cs="Arial"/>
          <w:b/>
          <w:smallCaps/>
          <w:sz w:val="28"/>
          <w:lang w:val="es-ES"/>
        </w:rPr>
        <w:t>(</w:t>
      </w:r>
      <w:r w:rsidRPr="00054324">
        <w:rPr>
          <w:rFonts w:ascii="Arial" w:hAnsi="Arial" w:cs="Arial"/>
          <w:b/>
          <w:smallCaps/>
          <w:sz w:val="28"/>
          <w:lang w:val="es-ES"/>
        </w:rPr>
        <w:t>Segundo Programa</w:t>
      </w:r>
      <w:r>
        <w:rPr>
          <w:rFonts w:ascii="Arial" w:hAnsi="Arial" w:cs="Arial"/>
          <w:b/>
          <w:smallCaps/>
          <w:sz w:val="28"/>
          <w:lang w:val="es-ES"/>
        </w:rPr>
        <w:t xml:space="preserve"> </w:t>
      </w:r>
      <w:r w:rsidRPr="00912F34">
        <w:rPr>
          <w:rFonts w:ascii="Arial" w:hAnsi="Arial" w:cs="Arial"/>
          <w:b/>
          <w:smallCaps/>
          <w:sz w:val="28"/>
          <w:lang w:val="es-ES"/>
        </w:rPr>
        <w:t xml:space="preserve">bajo la línea de crédito condicional para proyectos de inversión para el financiamiento del desarrollo productivo </w:t>
      </w:r>
      <w:r w:rsidRPr="001805CC">
        <w:rPr>
          <w:rFonts w:ascii="Arial" w:hAnsi="Arial" w:cs="Arial"/>
          <w:b/>
          <w:smallCaps/>
          <w:sz w:val="28"/>
          <w:lang w:val="es-ES"/>
        </w:rPr>
        <w:t>PR-X</w:t>
      </w:r>
      <w:r w:rsidR="001805CC" w:rsidRPr="001805CC">
        <w:rPr>
          <w:rFonts w:ascii="Arial" w:hAnsi="Arial" w:cs="Arial"/>
          <w:b/>
          <w:smallCaps/>
          <w:sz w:val="28"/>
          <w:lang w:val="es-ES"/>
        </w:rPr>
        <w:t>1006</w:t>
      </w:r>
      <w:r w:rsidRPr="001805CC">
        <w:rPr>
          <w:rFonts w:ascii="Arial" w:hAnsi="Arial" w:cs="Arial"/>
          <w:b/>
          <w:smallCaps/>
          <w:sz w:val="28"/>
          <w:lang w:val="es-ES"/>
        </w:rPr>
        <w:t>)</w:t>
      </w:r>
    </w:p>
    <w:p w14:paraId="042D7E00" w14:textId="77777777" w:rsidR="00191A18" w:rsidRPr="00054324" w:rsidRDefault="00191A18" w:rsidP="00191A18">
      <w:pPr>
        <w:pStyle w:val="Newpage"/>
        <w:rPr>
          <w:rFonts w:ascii="Arial" w:hAnsi="Arial" w:cs="Arial"/>
          <w:b w:val="0"/>
          <w:caps/>
          <w:smallCaps w:val="0"/>
          <w:sz w:val="22"/>
          <w:szCs w:val="22"/>
        </w:rPr>
      </w:pPr>
    </w:p>
    <w:p w14:paraId="60478264" w14:textId="77777777" w:rsidR="00191A18" w:rsidRPr="00054324" w:rsidRDefault="00191A18" w:rsidP="00191A18">
      <w:pPr>
        <w:pStyle w:val="Newpage"/>
        <w:rPr>
          <w:rFonts w:ascii="Arial" w:hAnsi="Arial" w:cs="Arial"/>
          <w:b w:val="0"/>
          <w:caps/>
          <w:smallCaps w:val="0"/>
          <w:sz w:val="22"/>
          <w:szCs w:val="22"/>
        </w:rPr>
      </w:pPr>
    </w:p>
    <w:bookmarkEnd w:id="0"/>
    <w:p w14:paraId="0FE4FF34" w14:textId="77777777" w:rsidR="005B6B79" w:rsidRPr="009A0647" w:rsidRDefault="005B6B79" w:rsidP="001D47B2">
      <w:pPr>
        <w:spacing w:before="120"/>
        <w:jc w:val="center"/>
        <w:rPr>
          <w:rFonts w:ascii="Arial" w:hAnsi="Arial"/>
          <w:b/>
          <w:smallCaps/>
          <w:sz w:val="22"/>
          <w:lang w:val="es-CO"/>
        </w:rPr>
      </w:pPr>
    </w:p>
    <w:p w14:paraId="5F1F26AF" w14:textId="77777777" w:rsidR="005B6B79" w:rsidRPr="009A0647" w:rsidRDefault="005B6B79" w:rsidP="001D47B2">
      <w:pPr>
        <w:spacing w:before="120"/>
        <w:jc w:val="center"/>
        <w:rPr>
          <w:rFonts w:ascii="Arial" w:hAnsi="Arial"/>
          <w:b/>
          <w:smallCaps/>
          <w:sz w:val="22"/>
          <w:lang w:val="es-CO"/>
        </w:rPr>
      </w:pPr>
    </w:p>
    <w:p w14:paraId="491BFBA3" w14:textId="77777777" w:rsidR="005B6B79" w:rsidRPr="009A0647" w:rsidRDefault="005B6B79" w:rsidP="001D47B2">
      <w:pPr>
        <w:spacing w:before="120"/>
        <w:jc w:val="center"/>
        <w:rPr>
          <w:rFonts w:ascii="Arial" w:hAnsi="Arial"/>
          <w:b/>
          <w:smallCaps/>
          <w:sz w:val="22"/>
          <w:lang w:val="es-CO"/>
        </w:rPr>
      </w:pPr>
    </w:p>
    <w:p w14:paraId="519183EA" w14:textId="77777777" w:rsidR="005B6B79" w:rsidRPr="009A0647" w:rsidRDefault="005B6B79" w:rsidP="001D47B2">
      <w:pPr>
        <w:spacing w:before="120"/>
        <w:jc w:val="center"/>
        <w:rPr>
          <w:rFonts w:ascii="Arial" w:hAnsi="Arial"/>
          <w:b/>
          <w:smallCaps/>
          <w:sz w:val="22"/>
          <w:lang w:val="es-CO"/>
        </w:rPr>
      </w:pPr>
    </w:p>
    <w:p w14:paraId="567E90D5" w14:textId="77777777" w:rsidR="005B6B79" w:rsidRPr="009A0647" w:rsidRDefault="005B6B79" w:rsidP="001D47B2">
      <w:pPr>
        <w:spacing w:before="120"/>
        <w:jc w:val="center"/>
        <w:rPr>
          <w:rFonts w:ascii="Arial" w:hAnsi="Arial"/>
          <w:b/>
          <w:smallCaps/>
          <w:sz w:val="22"/>
          <w:lang w:val="es-CO"/>
        </w:rPr>
      </w:pPr>
    </w:p>
    <w:p w14:paraId="508719A3" w14:textId="77777777" w:rsidR="005B6B79" w:rsidRPr="009A0647" w:rsidRDefault="005B6B79" w:rsidP="001D47B2">
      <w:pPr>
        <w:spacing w:before="120"/>
        <w:jc w:val="center"/>
        <w:rPr>
          <w:rFonts w:ascii="Arial" w:hAnsi="Arial"/>
          <w:b/>
          <w:smallCaps/>
          <w:sz w:val="22"/>
          <w:lang w:val="es-CO"/>
        </w:rPr>
      </w:pPr>
    </w:p>
    <w:p w14:paraId="69EF6F62" w14:textId="77777777" w:rsidR="005B6B79" w:rsidRPr="009A0647" w:rsidRDefault="005B6B79" w:rsidP="001D47B2">
      <w:pPr>
        <w:spacing w:before="120"/>
        <w:jc w:val="center"/>
        <w:rPr>
          <w:rFonts w:ascii="Arial" w:hAnsi="Arial"/>
          <w:b/>
          <w:smallCaps/>
          <w:sz w:val="22"/>
          <w:lang w:val="es-CO"/>
        </w:rPr>
      </w:pPr>
    </w:p>
    <w:p w14:paraId="2190F565" w14:textId="77777777" w:rsidR="005B6B79" w:rsidRPr="009A0647" w:rsidRDefault="005B6B79" w:rsidP="001D47B2">
      <w:pPr>
        <w:spacing w:before="120"/>
        <w:jc w:val="center"/>
        <w:rPr>
          <w:rFonts w:ascii="Arial" w:hAnsi="Arial"/>
          <w:b/>
          <w:smallCaps/>
          <w:sz w:val="22"/>
          <w:lang w:val="es-CO"/>
        </w:rPr>
      </w:pPr>
    </w:p>
    <w:p w14:paraId="5122E1A8" w14:textId="77777777" w:rsidR="001D47B2" w:rsidRPr="003E5F08" w:rsidRDefault="001D47B2" w:rsidP="001D47B2">
      <w:pPr>
        <w:spacing w:before="120"/>
        <w:jc w:val="center"/>
        <w:rPr>
          <w:rFonts w:ascii="Arial" w:hAnsi="Arial"/>
          <w:b/>
          <w:smallCaps/>
          <w:sz w:val="32"/>
          <w:lang w:val="es-CO"/>
        </w:rPr>
      </w:pPr>
      <w:r w:rsidRPr="003E5F08">
        <w:rPr>
          <w:rFonts w:ascii="Arial" w:hAnsi="Arial"/>
          <w:b/>
          <w:smallCaps/>
          <w:sz w:val="32"/>
          <w:lang w:val="es-CO"/>
        </w:rPr>
        <w:t xml:space="preserve">Reglamento </w:t>
      </w:r>
      <w:r w:rsidR="002A71A3" w:rsidRPr="003E5F08">
        <w:rPr>
          <w:rFonts w:ascii="Arial" w:hAnsi="Arial"/>
          <w:b/>
          <w:smallCaps/>
          <w:sz w:val="32"/>
          <w:lang w:val="es-CO"/>
        </w:rPr>
        <w:t>Operativo</w:t>
      </w:r>
    </w:p>
    <w:p w14:paraId="4237CC30" w14:textId="77777777" w:rsidR="001D47B2" w:rsidRPr="009A0647" w:rsidRDefault="001D47B2" w:rsidP="001D47B2">
      <w:pPr>
        <w:spacing w:before="120"/>
        <w:jc w:val="center"/>
        <w:rPr>
          <w:rFonts w:ascii="Arial" w:hAnsi="Arial"/>
          <w:b/>
          <w:smallCaps/>
          <w:sz w:val="22"/>
          <w:lang w:val="es-CO"/>
        </w:rPr>
      </w:pPr>
    </w:p>
    <w:p w14:paraId="71A12553" w14:textId="77777777" w:rsidR="00AE490C" w:rsidRPr="009A0647" w:rsidRDefault="00AE490C" w:rsidP="001D47B2">
      <w:pPr>
        <w:spacing w:before="120"/>
        <w:jc w:val="center"/>
        <w:rPr>
          <w:rFonts w:ascii="Arial" w:hAnsi="Arial"/>
          <w:b/>
          <w:smallCaps/>
          <w:sz w:val="22"/>
          <w:highlight w:val="yellow"/>
          <w:lang w:val="es-CO"/>
        </w:rPr>
      </w:pPr>
    </w:p>
    <w:p w14:paraId="4E21E3D4" w14:textId="0D5C2ED9" w:rsidR="001D47B2" w:rsidRPr="009A0647" w:rsidRDefault="00AA71A7" w:rsidP="001D47B2">
      <w:pPr>
        <w:spacing w:before="120"/>
        <w:jc w:val="center"/>
        <w:rPr>
          <w:rFonts w:ascii="Arial" w:hAnsi="Arial"/>
          <w:b/>
          <w:smallCaps/>
          <w:sz w:val="22"/>
          <w:lang w:val="es-CO"/>
        </w:rPr>
      </w:pPr>
      <w:r>
        <w:rPr>
          <w:rFonts w:ascii="Arial" w:hAnsi="Arial"/>
          <w:b/>
          <w:smallCaps/>
          <w:sz w:val="22"/>
          <w:lang w:val="es-CO"/>
        </w:rPr>
        <w:t>Mayo</w:t>
      </w:r>
      <w:r w:rsidRPr="00912F34">
        <w:rPr>
          <w:rFonts w:ascii="Arial" w:hAnsi="Arial"/>
          <w:b/>
          <w:smallCaps/>
          <w:sz w:val="22"/>
          <w:lang w:val="es-CO"/>
        </w:rPr>
        <w:t xml:space="preserve"> </w:t>
      </w:r>
      <w:r w:rsidR="00912F34" w:rsidRPr="00912F34">
        <w:rPr>
          <w:rFonts w:ascii="Arial" w:hAnsi="Arial"/>
          <w:b/>
          <w:smallCaps/>
          <w:sz w:val="22"/>
          <w:lang w:val="es-CO"/>
        </w:rPr>
        <w:t>de</w:t>
      </w:r>
      <w:r w:rsidR="009A0647" w:rsidRPr="00912F34">
        <w:rPr>
          <w:rFonts w:ascii="Arial" w:hAnsi="Arial"/>
          <w:b/>
          <w:smallCaps/>
          <w:sz w:val="22"/>
          <w:lang w:val="es-CO"/>
        </w:rPr>
        <w:t xml:space="preserve"> </w:t>
      </w:r>
      <w:r w:rsidR="00A923B6" w:rsidRPr="00912F34">
        <w:rPr>
          <w:rFonts w:ascii="Arial" w:hAnsi="Arial"/>
          <w:b/>
          <w:smallCaps/>
          <w:sz w:val="22"/>
          <w:lang w:val="es-CO"/>
        </w:rPr>
        <w:t>201</w:t>
      </w:r>
      <w:r w:rsidR="009A0647" w:rsidRPr="00912F34">
        <w:rPr>
          <w:rFonts w:ascii="Arial" w:hAnsi="Arial"/>
          <w:b/>
          <w:smallCaps/>
          <w:sz w:val="22"/>
          <w:lang w:val="es-CO"/>
        </w:rPr>
        <w:t>9</w:t>
      </w:r>
    </w:p>
    <w:p w14:paraId="052E0D77" w14:textId="77777777" w:rsidR="001D47B2" w:rsidRPr="009A0647" w:rsidRDefault="001D47B2" w:rsidP="001D47B2">
      <w:pPr>
        <w:spacing w:before="120"/>
        <w:jc w:val="center"/>
        <w:rPr>
          <w:rFonts w:ascii="Arial" w:hAnsi="Arial"/>
          <w:sz w:val="22"/>
          <w:lang w:val="es-CO"/>
        </w:rPr>
      </w:pPr>
    </w:p>
    <w:p w14:paraId="52C752B7" w14:textId="77777777" w:rsidR="00F9249F" w:rsidRPr="009A0647" w:rsidRDefault="00F9249F" w:rsidP="001D47B2">
      <w:pPr>
        <w:spacing w:before="120"/>
        <w:jc w:val="center"/>
        <w:rPr>
          <w:rFonts w:ascii="Arial" w:hAnsi="Arial"/>
          <w:sz w:val="22"/>
          <w:lang w:val="es-CO"/>
        </w:rPr>
      </w:pPr>
    </w:p>
    <w:p w14:paraId="43BD1112" w14:textId="77777777" w:rsidR="00F9249F" w:rsidRPr="009A0647" w:rsidRDefault="00F9249F" w:rsidP="001D47B2">
      <w:pPr>
        <w:spacing w:before="120"/>
        <w:jc w:val="center"/>
        <w:rPr>
          <w:rFonts w:ascii="Arial" w:hAnsi="Arial"/>
          <w:sz w:val="22"/>
          <w:lang w:val="es-CO"/>
        </w:rPr>
      </w:pPr>
    </w:p>
    <w:p w14:paraId="4744AA2B" w14:textId="77777777" w:rsidR="00F9249F" w:rsidRPr="00945FBF" w:rsidRDefault="00F9249F" w:rsidP="001D47B2">
      <w:pPr>
        <w:spacing w:before="120"/>
        <w:jc w:val="center"/>
        <w:rPr>
          <w:rFonts w:ascii="Arial" w:hAnsi="Arial"/>
          <w:sz w:val="22"/>
          <w:lang w:val="es-ES_tradnl"/>
        </w:rPr>
      </w:pPr>
    </w:p>
    <w:p w14:paraId="30410A2A" w14:textId="77777777" w:rsidR="00FB4829" w:rsidRPr="00945FBF" w:rsidRDefault="00FB4829" w:rsidP="00CE6907">
      <w:pPr>
        <w:spacing w:before="120"/>
        <w:jc w:val="center"/>
        <w:rPr>
          <w:rFonts w:ascii="Arial" w:hAnsi="Arial"/>
          <w:b/>
          <w:smallCaps/>
          <w:sz w:val="22"/>
          <w:lang w:val="es-ES_tradnl"/>
        </w:rPr>
      </w:pPr>
    </w:p>
    <w:p w14:paraId="4A2FBF3B" w14:textId="77777777" w:rsidR="00FB4829" w:rsidRPr="00945FBF" w:rsidRDefault="00FB4829" w:rsidP="00CE6907">
      <w:pPr>
        <w:spacing w:before="120"/>
        <w:jc w:val="center"/>
        <w:rPr>
          <w:rFonts w:ascii="Arial" w:hAnsi="Arial"/>
          <w:b/>
          <w:smallCaps/>
          <w:sz w:val="22"/>
          <w:lang w:val="es-ES_tradnl"/>
        </w:rPr>
      </w:pPr>
    </w:p>
    <w:p w14:paraId="24C80956" w14:textId="77777777" w:rsidR="00FB4829" w:rsidRPr="00945FBF" w:rsidRDefault="00FB4829" w:rsidP="00CE6907">
      <w:pPr>
        <w:spacing w:before="120"/>
        <w:jc w:val="center"/>
        <w:rPr>
          <w:rFonts w:ascii="Arial" w:hAnsi="Arial"/>
          <w:b/>
          <w:smallCaps/>
          <w:sz w:val="22"/>
          <w:lang w:val="es-ES_tradnl"/>
        </w:rPr>
      </w:pPr>
    </w:p>
    <w:p w14:paraId="291AE5FC" w14:textId="77777777" w:rsidR="00FB4829" w:rsidRPr="00945FBF" w:rsidRDefault="00FB4829" w:rsidP="00CE6907">
      <w:pPr>
        <w:spacing w:before="120"/>
        <w:jc w:val="center"/>
        <w:rPr>
          <w:rFonts w:ascii="Arial" w:hAnsi="Arial"/>
          <w:b/>
          <w:smallCaps/>
          <w:sz w:val="22"/>
          <w:lang w:val="es-ES_tradnl"/>
        </w:rPr>
      </w:pPr>
    </w:p>
    <w:p w14:paraId="07F5C1CD" w14:textId="77777777" w:rsidR="00D454BF" w:rsidRPr="00945FBF" w:rsidRDefault="00D454BF" w:rsidP="00CE6907">
      <w:pPr>
        <w:spacing w:before="120"/>
        <w:jc w:val="center"/>
        <w:rPr>
          <w:rFonts w:ascii="Arial" w:hAnsi="Arial"/>
          <w:b/>
          <w:smallCaps/>
          <w:sz w:val="22"/>
          <w:lang w:val="es-ES_tradnl"/>
        </w:rPr>
      </w:pPr>
    </w:p>
    <w:p w14:paraId="7A18935C" w14:textId="77777777" w:rsidR="00474BF8" w:rsidRPr="00945FBF" w:rsidRDefault="00474BF8" w:rsidP="00CE6907">
      <w:pPr>
        <w:spacing w:before="120"/>
        <w:jc w:val="center"/>
        <w:rPr>
          <w:rFonts w:ascii="Arial" w:hAnsi="Arial"/>
          <w:b/>
          <w:smallCaps/>
          <w:sz w:val="22"/>
          <w:lang w:val="es-ES_tradnl"/>
        </w:rPr>
      </w:pPr>
    </w:p>
    <w:p w14:paraId="1BDA31FA" w14:textId="77777777" w:rsidR="00474BF8" w:rsidRPr="00945FBF" w:rsidRDefault="00474BF8" w:rsidP="00CE6907">
      <w:pPr>
        <w:spacing w:before="120"/>
        <w:jc w:val="center"/>
        <w:rPr>
          <w:rFonts w:ascii="Arial" w:hAnsi="Arial"/>
          <w:b/>
          <w:smallCaps/>
          <w:sz w:val="22"/>
          <w:lang w:val="es-ES_tradnl"/>
        </w:rPr>
      </w:pPr>
    </w:p>
    <w:p w14:paraId="1CBBF98C" w14:textId="77777777" w:rsidR="00474BF8" w:rsidRPr="00945FBF" w:rsidRDefault="00474BF8" w:rsidP="00CE6907">
      <w:pPr>
        <w:spacing w:before="120"/>
        <w:jc w:val="center"/>
        <w:rPr>
          <w:rFonts w:ascii="Arial" w:hAnsi="Arial"/>
          <w:b/>
          <w:smallCaps/>
          <w:sz w:val="22"/>
          <w:lang w:val="es-ES_tradnl"/>
        </w:rPr>
      </w:pPr>
    </w:p>
    <w:p w14:paraId="72612C66" w14:textId="77777777" w:rsidR="001D47B2" w:rsidRPr="004C6885" w:rsidRDefault="00BF0FD8" w:rsidP="00CE6907">
      <w:pPr>
        <w:spacing w:before="120"/>
        <w:jc w:val="center"/>
        <w:rPr>
          <w:rFonts w:ascii="Arial" w:hAnsi="Arial"/>
          <w:b/>
          <w:smallCaps/>
          <w:sz w:val="22"/>
          <w:lang w:val="es-ES_tradnl"/>
        </w:rPr>
      </w:pPr>
      <w:r>
        <w:rPr>
          <w:rFonts w:ascii="Arial" w:hAnsi="Arial"/>
          <w:b/>
          <w:smallCaps/>
          <w:sz w:val="22"/>
          <w:lang w:val="es-ES_tradnl"/>
        </w:rPr>
        <w:t>Í</w:t>
      </w:r>
      <w:r w:rsidR="00BB4787" w:rsidRPr="004C6885">
        <w:rPr>
          <w:rFonts w:ascii="Arial" w:hAnsi="Arial"/>
          <w:b/>
          <w:smallCaps/>
          <w:sz w:val="22"/>
          <w:lang w:val="es-ES_tradnl"/>
        </w:rPr>
        <w:t>ndice</w:t>
      </w:r>
    </w:p>
    <w:p w14:paraId="14F13C45" w14:textId="77777777" w:rsidR="00FA548F" w:rsidRPr="004C6885" w:rsidRDefault="00FA548F" w:rsidP="00FA548F">
      <w:pPr>
        <w:rPr>
          <w:rFonts w:ascii="Arial" w:hAnsi="Arial"/>
          <w:sz w:val="22"/>
          <w:lang w:val="es-ES_tradnl"/>
        </w:rPr>
      </w:pPr>
    </w:p>
    <w:p w14:paraId="2AA7B514" w14:textId="08D14633" w:rsidR="003E5F08" w:rsidRDefault="001538F7">
      <w:pPr>
        <w:pStyle w:val="TOC1"/>
        <w:rPr>
          <w:rFonts w:asciiTheme="minorHAnsi" w:eastAsiaTheme="minorEastAsia" w:hAnsiTheme="minorHAnsi" w:cstheme="minorBidi"/>
          <w:smallCaps w:val="0"/>
          <w:szCs w:val="22"/>
          <w:lang w:val="es-419" w:eastAsia="es-419"/>
        </w:rPr>
      </w:pPr>
      <w:r w:rsidRPr="00803DEC">
        <w:rPr>
          <w:noProof w:val="0"/>
          <w:highlight w:val="magenta"/>
          <w:lang w:val="es-ES_tradnl"/>
        </w:rPr>
        <w:fldChar w:fldCharType="begin"/>
      </w:r>
      <w:r w:rsidRPr="00803DEC">
        <w:rPr>
          <w:noProof w:val="0"/>
          <w:highlight w:val="magenta"/>
          <w:lang w:val="es-ES_tradnl"/>
        </w:rPr>
        <w:instrText xml:space="preserve"> TOC \f \t "Chapter,1,FirstHeading,2,SecHeading,3" </w:instrText>
      </w:r>
      <w:r w:rsidRPr="00803DEC">
        <w:rPr>
          <w:noProof w:val="0"/>
          <w:highlight w:val="magenta"/>
          <w:lang w:val="es-ES_tradnl"/>
        </w:rPr>
        <w:fldChar w:fldCharType="separate"/>
      </w:r>
      <w:r w:rsidR="003E5F08" w:rsidRPr="00F123ED">
        <w:t>I.</w:t>
      </w:r>
      <w:r w:rsidR="003E5F08">
        <w:rPr>
          <w:rFonts w:asciiTheme="minorHAnsi" w:eastAsiaTheme="minorEastAsia" w:hAnsiTheme="minorHAnsi" w:cstheme="minorBidi"/>
          <w:smallCaps w:val="0"/>
          <w:szCs w:val="22"/>
          <w:lang w:val="es-419" w:eastAsia="es-419"/>
        </w:rPr>
        <w:tab/>
      </w:r>
      <w:r w:rsidR="003E5F08" w:rsidRPr="00F123ED">
        <w:t>Introducción</w:t>
      </w:r>
      <w:r w:rsidR="003E5F08">
        <w:tab/>
      </w:r>
      <w:r w:rsidR="003E5F08">
        <w:fldChar w:fldCharType="begin"/>
      </w:r>
      <w:r w:rsidR="003E5F08">
        <w:instrText xml:space="preserve"> PAGEREF _Toc7709967 \h </w:instrText>
      </w:r>
      <w:r w:rsidR="003E5F08">
        <w:fldChar w:fldCharType="separate"/>
      </w:r>
      <w:r w:rsidR="004B1802">
        <w:t>3</w:t>
      </w:r>
      <w:r w:rsidR="003E5F08">
        <w:fldChar w:fldCharType="end"/>
      </w:r>
    </w:p>
    <w:p w14:paraId="7EDA7E4E" w14:textId="1B2900F0" w:rsidR="003E5F08" w:rsidRDefault="003E5F08">
      <w:pPr>
        <w:pStyle w:val="TOC1"/>
        <w:rPr>
          <w:rFonts w:asciiTheme="minorHAnsi" w:eastAsiaTheme="minorEastAsia" w:hAnsiTheme="minorHAnsi" w:cstheme="minorBidi"/>
          <w:smallCaps w:val="0"/>
          <w:szCs w:val="22"/>
          <w:lang w:val="es-419" w:eastAsia="es-419"/>
        </w:rPr>
      </w:pPr>
      <w:r w:rsidRPr="00F123ED">
        <w:t>II.</w:t>
      </w:r>
      <w:r>
        <w:rPr>
          <w:rFonts w:asciiTheme="minorHAnsi" w:eastAsiaTheme="minorEastAsia" w:hAnsiTheme="minorHAnsi" w:cstheme="minorBidi"/>
          <w:smallCaps w:val="0"/>
          <w:szCs w:val="22"/>
          <w:lang w:val="es-419" w:eastAsia="es-419"/>
        </w:rPr>
        <w:tab/>
      </w:r>
      <w:r w:rsidRPr="00F123ED">
        <w:t>Definiciones</w:t>
      </w:r>
      <w:r>
        <w:tab/>
      </w:r>
      <w:r>
        <w:fldChar w:fldCharType="begin"/>
      </w:r>
      <w:r>
        <w:instrText xml:space="preserve"> PAGEREF _Toc7709968 \h </w:instrText>
      </w:r>
      <w:r>
        <w:fldChar w:fldCharType="separate"/>
      </w:r>
      <w:r w:rsidR="004B1802">
        <w:t>3</w:t>
      </w:r>
      <w:r>
        <w:fldChar w:fldCharType="end"/>
      </w:r>
    </w:p>
    <w:p w14:paraId="1F2C5F76" w14:textId="4F29B772" w:rsidR="003E5F08" w:rsidRDefault="003E5F08">
      <w:pPr>
        <w:pStyle w:val="TOC1"/>
        <w:rPr>
          <w:rFonts w:asciiTheme="minorHAnsi" w:eastAsiaTheme="minorEastAsia" w:hAnsiTheme="minorHAnsi" w:cstheme="minorBidi"/>
          <w:smallCaps w:val="0"/>
          <w:szCs w:val="22"/>
          <w:lang w:val="es-419" w:eastAsia="es-419"/>
        </w:rPr>
      </w:pPr>
      <w:r w:rsidRPr="00F123ED">
        <w:t>III.</w:t>
      </w:r>
      <w:r>
        <w:rPr>
          <w:rFonts w:asciiTheme="minorHAnsi" w:eastAsiaTheme="minorEastAsia" w:hAnsiTheme="minorHAnsi" w:cstheme="minorBidi"/>
          <w:smallCaps w:val="0"/>
          <w:szCs w:val="22"/>
          <w:lang w:val="es-419" w:eastAsia="es-419"/>
        </w:rPr>
        <w:tab/>
      </w:r>
      <w:r w:rsidRPr="00F123ED">
        <w:t>Responsabilidades y Recursos de Apoyo al Programa</w:t>
      </w:r>
      <w:r>
        <w:tab/>
      </w:r>
      <w:r>
        <w:fldChar w:fldCharType="begin"/>
      </w:r>
      <w:r>
        <w:instrText xml:space="preserve"> PAGEREF _Toc7709969 \h </w:instrText>
      </w:r>
      <w:r>
        <w:fldChar w:fldCharType="separate"/>
      </w:r>
      <w:r w:rsidR="004B1802">
        <w:t>3</w:t>
      </w:r>
      <w:r>
        <w:fldChar w:fldCharType="end"/>
      </w:r>
    </w:p>
    <w:p w14:paraId="045705B7" w14:textId="61B9A364" w:rsidR="003E5F08" w:rsidRDefault="003E5F08">
      <w:pPr>
        <w:pStyle w:val="TOC1"/>
        <w:rPr>
          <w:rFonts w:asciiTheme="minorHAnsi" w:eastAsiaTheme="minorEastAsia" w:hAnsiTheme="minorHAnsi" w:cstheme="minorBidi"/>
          <w:smallCaps w:val="0"/>
          <w:szCs w:val="22"/>
          <w:lang w:val="es-419" w:eastAsia="es-419"/>
        </w:rPr>
      </w:pPr>
      <w:r w:rsidRPr="00F123ED">
        <w:t>IV.</w:t>
      </w:r>
      <w:r>
        <w:rPr>
          <w:rFonts w:asciiTheme="minorHAnsi" w:eastAsiaTheme="minorEastAsia" w:hAnsiTheme="minorHAnsi" w:cstheme="minorBidi"/>
          <w:smallCaps w:val="0"/>
          <w:szCs w:val="22"/>
          <w:lang w:val="es-419" w:eastAsia="es-419"/>
        </w:rPr>
        <w:tab/>
      </w:r>
      <w:r w:rsidRPr="00F123ED">
        <w:t>Descripción General del Programa</w:t>
      </w:r>
      <w:r>
        <w:tab/>
      </w:r>
      <w:r>
        <w:fldChar w:fldCharType="begin"/>
      </w:r>
      <w:r>
        <w:instrText xml:space="preserve"> PAGEREF _Toc7709970 \h </w:instrText>
      </w:r>
      <w:r>
        <w:fldChar w:fldCharType="separate"/>
      </w:r>
      <w:r w:rsidR="004B1802">
        <w:t>4</w:t>
      </w:r>
      <w:r>
        <w:fldChar w:fldCharType="end"/>
      </w:r>
    </w:p>
    <w:p w14:paraId="1982FAC6" w14:textId="7B343A7B" w:rsidR="003E5F08" w:rsidRDefault="003E5F08">
      <w:pPr>
        <w:pStyle w:val="TOC1"/>
        <w:rPr>
          <w:rFonts w:asciiTheme="minorHAnsi" w:eastAsiaTheme="minorEastAsia" w:hAnsiTheme="minorHAnsi" w:cstheme="minorBidi"/>
          <w:smallCaps w:val="0"/>
          <w:szCs w:val="22"/>
          <w:lang w:val="es-419" w:eastAsia="es-419"/>
        </w:rPr>
      </w:pPr>
      <w:r w:rsidRPr="00F123ED">
        <w:t>V.</w:t>
      </w:r>
      <w:r>
        <w:rPr>
          <w:rFonts w:asciiTheme="minorHAnsi" w:eastAsiaTheme="minorEastAsia" w:hAnsiTheme="minorHAnsi" w:cstheme="minorBidi"/>
          <w:smallCaps w:val="0"/>
          <w:szCs w:val="22"/>
          <w:lang w:val="es-419" w:eastAsia="es-419"/>
        </w:rPr>
        <w:tab/>
      </w:r>
      <w:r w:rsidRPr="00F123ED">
        <w:t>Características Generales de las Modalidades de Crédito de la AFD a ser Fondeadas con Recursos del Programa</w:t>
      </w:r>
      <w:r>
        <w:tab/>
      </w:r>
      <w:r>
        <w:fldChar w:fldCharType="begin"/>
      </w:r>
      <w:r>
        <w:instrText xml:space="preserve"> PAGEREF _Toc7709971 \h </w:instrText>
      </w:r>
      <w:r>
        <w:fldChar w:fldCharType="separate"/>
      </w:r>
      <w:r w:rsidR="004B1802">
        <w:t>4</w:t>
      </w:r>
      <w:r>
        <w:fldChar w:fldCharType="end"/>
      </w:r>
    </w:p>
    <w:p w14:paraId="50DB47BC" w14:textId="2DCA785B" w:rsidR="003E5F08" w:rsidRDefault="003E5F08">
      <w:pPr>
        <w:pStyle w:val="TOC1"/>
        <w:rPr>
          <w:rFonts w:asciiTheme="minorHAnsi" w:eastAsiaTheme="minorEastAsia" w:hAnsiTheme="minorHAnsi" w:cstheme="minorBidi"/>
          <w:smallCaps w:val="0"/>
          <w:szCs w:val="22"/>
          <w:lang w:val="es-419" w:eastAsia="es-419"/>
        </w:rPr>
      </w:pPr>
      <w:r w:rsidRPr="00F123ED">
        <w:t>VI.</w:t>
      </w:r>
      <w:r>
        <w:rPr>
          <w:rFonts w:asciiTheme="minorHAnsi" w:eastAsiaTheme="minorEastAsia" w:hAnsiTheme="minorHAnsi" w:cstheme="minorBidi"/>
          <w:smallCaps w:val="0"/>
          <w:szCs w:val="22"/>
          <w:lang w:val="es-419" w:eastAsia="es-419"/>
        </w:rPr>
        <w:tab/>
      </w:r>
      <w:r w:rsidRPr="00F123ED">
        <w:t>Elegibilidad de las IFI</w:t>
      </w:r>
      <w:r>
        <w:tab/>
      </w:r>
      <w:r>
        <w:fldChar w:fldCharType="begin"/>
      </w:r>
      <w:r>
        <w:instrText xml:space="preserve"> PAGEREF _Toc7709972 \h </w:instrText>
      </w:r>
      <w:r>
        <w:fldChar w:fldCharType="separate"/>
      </w:r>
      <w:r w:rsidR="004B1802">
        <w:t>5</w:t>
      </w:r>
      <w:r>
        <w:fldChar w:fldCharType="end"/>
      </w:r>
    </w:p>
    <w:p w14:paraId="075BCDEB" w14:textId="5611CC65" w:rsidR="003E5F08" w:rsidRDefault="003E5F08">
      <w:pPr>
        <w:pStyle w:val="TOC1"/>
        <w:rPr>
          <w:rFonts w:asciiTheme="minorHAnsi" w:eastAsiaTheme="minorEastAsia" w:hAnsiTheme="minorHAnsi" w:cstheme="minorBidi"/>
          <w:smallCaps w:val="0"/>
          <w:szCs w:val="22"/>
          <w:lang w:val="es-419" w:eastAsia="es-419"/>
        </w:rPr>
      </w:pPr>
      <w:r w:rsidRPr="00F123ED">
        <w:t>VII.</w:t>
      </w:r>
      <w:r>
        <w:rPr>
          <w:rFonts w:asciiTheme="minorHAnsi" w:eastAsiaTheme="minorEastAsia" w:hAnsiTheme="minorHAnsi" w:cstheme="minorBidi"/>
          <w:smallCaps w:val="0"/>
          <w:szCs w:val="22"/>
          <w:lang w:val="es-419" w:eastAsia="es-419"/>
        </w:rPr>
        <w:tab/>
      </w:r>
      <w:r w:rsidRPr="00F123ED">
        <w:t>Requerimientos Ambientales y Sociales</w:t>
      </w:r>
      <w:r>
        <w:tab/>
      </w:r>
      <w:r>
        <w:fldChar w:fldCharType="begin"/>
      </w:r>
      <w:r>
        <w:instrText xml:space="preserve"> PAGEREF _Toc7709973 \h </w:instrText>
      </w:r>
      <w:r>
        <w:fldChar w:fldCharType="separate"/>
      </w:r>
      <w:r w:rsidR="004B1802">
        <w:t>5</w:t>
      </w:r>
      <w:r>
        <w:fldChar w:fldCharType="end"/>
      </w:r>
    </w:p>
    <w:p w14:paraId="67F762F2" w14:textId="0693D33B" w:rsidR="003E5F08" w:rsidRDefault="003E5F08">
      <w:pPr>
        <w:pStyle w:val="TOC1"/>
        <w:rPr>
          <w:rFonts w:asciiTheme="minorHAnsi" w:eastAsiaTheme="minorEastAsia" w:hAnsiTheme="minorHAnsi" w:cstheme="minorBidi"/>
          <w:smallCaps w:val="0"/>
          <w:szCs w:val="22"/>
          <w:lang w:val="es-419" w:eastAsia="es-419"/>
        </w:rPr>
      </w:pPr>
      <w:r w:rsidRPr="00F123ED">
        <w:t>VIII.</w:t>
      </w:r>
      <w:r>
        <w:rPr>
          <w:rFonts w:asciiTheme="minorHAnsi" w:eastAsiaTheme="minorEastAsia" w:hAnsiTheme="minorHAnsi" w:cstheme="minorBidi"/>
          <w:smallCaps w:val="0"/>
          <w:szCs w:val="22"/>
          <w:lang w:val="es-419" w:eastAsia="es-419"/>
        </w:rPr>
        <w:tab/>
      </w:r>
      <w:r w:rsidRPr="00F123ED">
        <w:t>Reporte y Monitoreo</w:t>
      </w:r>
      <w:r>
        <w:tab/>
      </w:r>
      <w:r>
        <w:fldChar w:fldCharType="begin"/>
      </w:r>
      <w:r>
        <w:instrText xml:space="preserve"> PAGEREF _Toc7709974 \h </w:instrText>
      </w:r>
      <w:r>
        <w:fldChar w:fldCharType="separate"/>
      </w:r>
      <w:r w:rsidR="004B1802">
        <w:t>6</w:t>
      </w:r>
      <w:r>
        <w:fldChar w:fldCharType="end"/>
      </w:r>
    </w:p>
    <w:p w14:paraId="189BCF0F" w14:textId="5CEF397B" w:rsidR="003E5F08" w:rsidRDefault="003E5F08">
      <w:pPr>
        <w:pStyle w:val="TOC1"/>
        <w:rPr>
          <w:rFonts w:asciiTheme="minorHAnsi" w:eastAsiaTheme="minorEastAsia" w:hAnsiTheme="minorHAnsi" w:cstheme="minorBidi"/>
          <w:smallCaps w:val="0"/>
          <w:szCs w:val="22"/>
          <w:lang w:val="es-419" w:eastAsia="es-419"/>
        </w:rPr>
      </w:pPr>
      <w:r w:rsidRPr="00F123ED">
        <w:t>IX.</w:t>
      </w:r>
      <w:r>
        <w:rPr>
          <w:rFonts w:asciiTheme="minorHAnsi" w:eastAsiaTheme="minorEastAsia" w:hAnsiTheme="minorHAnsi" w:cstheme="minorBidi"/>
          <w:smallCaps w:val="0"/>
          <w:szCs w:val="22"/>
          <w:lang w:val="es-419" w:eastAsia="es-419"/>
        </w:rPr>
        <w:tab/>
      </w:r>
      <w:r w:rsidRPr="00F123ED">
        <w:t>Acuerdos Para La Gestión Financiera del Programa</w:t>
      </w:r>
      <w:r>
        <w:tab/>
      </w:r>
      <w:r>
        <w:fldChar w:fldCharType="begin"/>
      </w:r>
      <w:r>
        <w:instrText xml:space="preserve"> PAGEREF _Toc7709975 \h </w:instrText>
      </w:r>
      <w:r>
        <w:fldChar w:fldCharType="separate"/>
      </w:r>
      <w:r w:rsidR="004B1802">
        <w:t>7</w:t>
      </w:r>
      <w:r>
        <w:fldChar w:fldCharType="end"/>
      </w:r>
    </w:p>
    <w:p w14:paraId="2C633091" w14:textId="387DF3AD" w:rsidR="003E5F08" w:rsidRDefault="003E5F08">
      <w:pPr>
        <w:pStyle w:val="TOC1"/>
        <w:rPr>
          <w:rFonts w:asciiTheme="minorHAnsi" w:eastAsiaTheme="minorEastAsia" w:hAnsiTheme="minorHAnsi" w:cstheme="minorBidi"/>
          <w:smallCaps w:val="0"/>
          <w:szCs w:val="22"/>
          <w:lang w:val="es-419" w:eastAsia="es-419"/>
        </w:rPr>
      </w:pPr>
      <w:r w:rsidRPr="00F123ED">
        <w:t>X.</w:t>
      </w:r>
      <w:r>
        <w:rPr>
          <w:rFonts w:asciiTheme="minorHAnsi" w:eastAsiaTheme="minorEastAsia" w:hAnsiTheme="minorHAnsi" w:cstheme="minorBidi"/>
          <w:smallCaps w:val="0"/>
          <w:szCs w:val="22"/>
          <w:lang w:val="es-419" w:eastAsia="es-419"/>
        </w:rPr>
        <w:tab/>
      </w:r>
      <w:r w:rsidRPr="00F123ED">
        <w:t>Modificación de Este reglamento y de Disposiciones Legales</w:t>
      </w:r>
      <w:r>
        <w:tab/>
      </w:r>
      <w:r>
        <w:fldChar w:fldCharType="begin"/>
      </w:r>
      <w:r>
        <w:instrText xml:space="preserve"> PAGEREF _Toc7709976 \h </w:instrText>
      </w:r>
      <w:r>
        <w:fldChar w:fldCharType="separate"/>
      </w:r>
      <w:r w:rsidR="004B1802">
        <w:t>9</w:t>
      </w:r>
      <w:r>
        <w:fldChar w:fldCharType="end"/>
      </w:r>
    </w:p>
    <w:p w14:paraId="1356FD92" w14:textId="1927E5CD" w:rsidR="00BB4787" w:rsidRPr="00803DEC" w:rsidRDefault="001538F7" w:rsidP="001538F7">
      <w:pPr>
        <w:pStyle w:val="TOC3"/>
        <w:rPr>
          <w:noProof w:val="0"/>
          <w:lang w:val="es-ES_tradnl"/>
        </w:rPr>
      </w:pPr>
      <w:r w:rsidRPr="00803DEC">
        <w:rPr>
          <w:noProof w:val="0"/>
          <w:highlight w:val="magenta"/>
          <w:lang w:val="es-ES_tradnl"/>
        </w:rPr>
        <w:fldChar w:fldCharType="end"/>
      </w:r>
      <w:r w:rsidRPr="00803DEC">
        <w:rPr>
          <w:noProof w:val="0"/>
          <w:lang w:val="es-ES_tradnl"/>
        </w:rPr>
        <w:t xml:space="preserve"> </w:t>
      </w:r>
      <w:r w:rsidR="00FA548F" w:rsidRPr="00803DEC">
        <w:rPr>
          <w:noProof w:val="0"/>
          <w:lang w:val="es-ES_tradnl"/>
        </w:rPr>
        <w:br w:type="page"/>
      </w:r>
    </w:p>
    <w:p w14:paraId="0B4A7DAB" w14:textId="77777777" w:rsidR="00BB4787" w:rsidRPr="00803DEC" w:rsidRDefault="00BB4787" w:rsidP="00BB4787">
      <w:pPr>
        <w:pStyle w:val="Newpage"/>
        <w:rPr>
          <w:rFonts w:ascii="Arial" w:hAnsi="Arial" w:cs="Arial"/>
          <w:sz w:val="22"/>
          <w:szCs w:val="22"/>
        </w:rPr>
      </w:pPr>
    </w:p>
    <w:p w14:paraId="28B8D2EB" w14:textId="77777777" w:rsidR="00BD3ACD" w:rsidRDefault="00231A21" w:rsidP="00FB4829">
      <w:pPr>
        <w:tabs>
          <w:tab w:val="left" w:pos="1350"/>
        </w:tabs>
        <w:spacing w:before="120"/>
        <w:jc w:val="center"/>
        <w:rPr>
          <w:rFonts w:ascii="Arial" w:hAnsi="Arial" w:cs="Arial"/>
          <w:b/>
          <w:smallCaps/>
          <w:sz w:val="22"/>
          <w:szCs w:val="22"/>
          <w:lang w:val="es-ES_tradnl"/>
        </w:rPr>
      </w:pPr>
      <w:r w:rsidRPr="00803DEC" w:rsidDel="00231A21">
        <w:rPr>
          <w:rFonts w:ascii="Arial" w:hAnsi="Arial" w:cs="Arial"/>
          <w:b/>
          <w:smallCaps/>
          <w:sz w:val="22"/>
          <w:szCs w:val="22"/>
          <w:lang w:val="es-ES_tradnl"/>
        </w:rPr>
        <w:t xml:space="preserve"> </w:t>
      </w:r>
      <w:r w:rsidRPr="00BD3ACD">
        <w:rPr>
          <w:rFonts w:ascii="Arial" w:hAnsi="Arial" w:cs="Arial"/>
          <w:b/>
          <w:smallCaps/>
          <w:sz w:val="22"/>
          <w:szCs w:val="22"/>
          <w:lang w:val="es-ES_tradnl"/>
        </w:rPr>
        <w:t>Acceso a Financiamiento para Inversiones del Sector Agropecuario en el Paraguay</w:t>
      </w:r>
    </w:p>
    <w:p w14:paraId="4804614C" w14:textId="618E3CA1" w:rsidR="00FB4829" w:rsidRPr="00803DEC" w:rsidRDefault="00FB4829" w:rsidP="00FB4829">
      <w:pPr>
        <w:tabs>
          <w:tab w:val="left" w:pos="1350"/>
        </w:tabs>
        <w:spacing w:before="120"/>
        <w:jc w:val="center"/>
        <w:rPr>
          <w:rFonts w:ascii="Arial" w:hAnsi="Arial" w:cs="Arial"/>
          <w:b/>
          <w:smallCaps/>
          <w:sz w:val="22"/>
          <w:szCs w:val="22"/>
          <w:lang w:val="es-ES_tradnl"/>
        </w:rPr>
      </w:pPr>
      <w:r w:rsidRPr="00803DEC">
        <w:rPr>
          <w:rFonts w:ascii="Arial" w:hAnsi="Arial" w:cs="Arial"/>
          <w:b/>
          <w:smallCaps/>
          <w:sz w:val="22"/>
          <w:szCs w:val="22"/>
          <w:lang w:val="es-ES_tradnl"/>
        </w:rPr>
        <w:t>(PR-</w:t>
      </w:r>
      <w:r w:rsidR="00BD3ACD" w:rsidRPr="00803DEC">
        <w:rPr>
          <w:rFonts w:ascii="Arial" w:hAnsi="Arial" w:cs="Arial"/>
          <w:b/>
          <w:smallCaps/>
          <w:sz w:val="22"/>
          <w:szCs w:val="22"/>
          <w:lang w:val="es-ES_tradnl"/>
        </w:rPr>
        <w:t>L11</w:t>
      </w:r>
      <w:r w:rsidR="00BD3ACD">
        <w:rPr>
          <w:rFonts w:ascii="Arial" w:hAnsi="Arial" w:cs="Arial"/>
          <w:b/>
          <w:smallCaps/>
          <w:sz w:val="22"/>
          <w:szCs w:val="22"/>
          <w:lang w:val="es-ES_tradnl"/>
        </w:rPr>
        <w:t>70</w:t>
      </w:r>
      <w:r w:rsidRPr="00803DEC">
        <w:rPr>
          <w:rFonts w:ascii="Arial" w:hAnsi="Arial" w:cs="Arial"/>
          <w:b/>
          <w:smallCaps/>
          <w:sz w:val="22"/>
          <w:szCs w:val="22"/>
          <w:lang w:val="es-ES_tradnl"/>
        </w:rPr>
        <w:t>)</w:t>
      </w:r>
    </w:p>
    <w:p w14:paraId="6B156F95" w14:textId="77777777" w:rsidR="00BB4787" w:rsidRPr="00803DEC" w:rsidRDefault="00BB4787" w:rsidP="00BB4787">
      <w:pPr>
        <w:tabs>
          <w:tab w:val="left" w:pos="1350"/>
        </w:tabs>
        <w:spacing w:before="120"/>
        <w:jc w:val="center"/>
        <w:rPr>
          <w:rFonts w:ascii="Arial" w:hAnsi="Arial" w:cs="Arial"/>
          <w:b/>
          <w:smallCaps/>
          <w:sz w:val="22"/>
          <w:szCs w:val="22"/>
          <w:lang w:val="es-ES_tradnl"/>
        </w:rPr>
      </w:pPr>
    </w:p>
    <w:p w14:paraId="30669234" w14:textId="77777777" w:rsidR="00FA548F" w:rsidRPr="00803DEC" w:rsidRDefault="00BB4787" w:rsidP="0061571B">
      <w:pPr>
        <w:tabs>
          <w:tab w:val="right" w:pos="6365"/>
        </w:tabs>
        <w:spacing w:after="120"/>
        <w:jc w:val="center"/>
        <w:rPr>
          <w:rFonts w:ascii="Arial" w:hAnsi="Arial" w:cs="Arial"/>
          <w:smallCaps/>
          <w:sz w:val="22"/>
          <w:szCs w:val="22"/>
          <w:lang w:val="es-ES_tradnl"/>
        </w:rPr>
      </w:pPr>
      <w:r w:rsidRPr="00803DEC">
        <w:rPr>
          <w:rFonts w:ascii="Arial" w:hAnsi="Arial" w:cs="Arial"/>
          <w:b/>
          <w:smallCaps/>
          <w:sz w:val="22"/>
          <w:szCs w:val="22"/>
          <w:lang w:val="es-ES_tradnl"/>
        </w:rPr>
        <w:t>Reglamento Operativo</w:t>
      </w:r>
    </w:p>
    <w:p w14:paraId="6A039E18" w14:textId="77777777" w:rsidR="00CA31AE" w:rsidRPr="004C6885" w:rsidRDefault="00CA31AE" w:rsidP="00CA31AE">
      <w:pPr>
        <w:rPr>
          <w:rFonts w:ascii="Arial" w:hAnsi="Arial"/>
          <w:sz w:val="22"/>
          <w:lang w:val="es-ES_tradnl"/>
        </w:rPr>
        <w:sectPr w:rsidR="00CA31AE" w:rsidRPr="004C6885" w:rsidSect="00BB4787">
          <w:headerReference w:type="even" r:id="rId8"/>
          <w:headerReference w:type="default" r:id="rId9"/>
          <w:footerReference w:type="even" r:id="rId10"/>
          <w:footerReference w:type="default" r:id="rId11"/>
          <w:headerReference w:type="first" r:id="rId12"/>
          <w:pgSz w:w="12240" w:h="15840"/>
          <w:pgMar w:top="1440" w:right="1800" w:bottom="1350" w:left="1800" w:header="720" w:footer="720" w:gutter="0"/>
          <w:cols w:space="720"/>
          <w:titlePg/>
        </w:sectPr>
      </w:pPr>
    </w:p>
    <w:p w14:paraId="27D4EA51" w14:textId="798B8069" w:rsidR="00FA548F" w:rsidRPr="00803DEC" w:rsidRDefault="000649C4" w:rsidP="0061571B">
      <w:pPr>
        <w:pStyle w:val="Chapter"/>
        <w:tabs>
          <w:tab w:val="clear" w:pos="1440"/>
          <w:tab w:val="clear" w:pos="7470"/>
        </w:tabs>
        <w:spacing w:before="0"/>
        <w:ind w:left="990" w:hanging="450"/>
        <w:rPr>
          <w:rFonts w:ascii="Arial" w:hAnsi="Arial" w:cs="Arial"/>
          <w:sz w:val="22"/>
          <w:szCs w:val="22"/>
        </w:rPr>
      </w:pPr>
      <w:bookmarkStart w:id="1" w:name="_Toc424822787"/>
      <w:bookmarkStart w:id="2" w:name="_Toc7709967"/>
      <w:r w:rsidRPr="00803DEC">
        <w:rPr>
          <w:rFonts w:ascii="Arial" w:hAnsi="Arial" w:cs="Arial"/>
          <w:sz w:val="22"/>
          <w:szCs w:val="22"/>
        </w:rPr>
        <w:t>I</w:t>
      </w:r>
      <w:r w:rsidR="001D47B2" w:rsidRPr="00803DEC">
        <w:rPr>
          <w:rFonts w:ascii="Arial" w:hAnsi="Arial" w:cs="Arial"/>
          <w:sz w:val="22"/>
          <w:szCs w:val="22"/>
        </w:rPr>
        <w:t>ntroducción</w:t>
      </w:r>
      <w:bookmarkEnd w:id="1"/>
      <w:bookmarkEnd w:id="2"/>
    </w:p>
    <w:p w14:paraId="2E2DF8F9" w14:textId="1059C549" w:rsidR="00141DFF" w:rsidRDefault="009C35E9" w:rsidP="00752194">
      <w:pPr>
        <w:pStyle w:val="Paragraph"/>
        <w:ind w:left="720" w:hanging="720"/>
        <w:rPr>
          <w:rFonts w:ascii="Arial" w:hAnsi="Arial" w:cs="Arial"/>
          <w:sz w:val="22"/>
          <w:szCs w:val="22"/>
        </w:rPr>
      </w:pPr>
      <w:bookmarkStart w:id="3" w:name="_Ref328643831"/>
      <w:r w:rsidRPr="003E254F">
        <w:rPr>
          <w:rFonts w:ascii="Arial" w:hAnsi="Arial" w:cs="Arial"/>
          <w:sz w:val="22"/>
          <w:szCs w:val="22"/>
        </w:rPr>
        <w:t>Este documento pr</w:t>
      </w:r>
      <w:r w:rsidR="00A923B6" w:rsidRPr="003E254F">
        <w:rPr>
          <w:rFonts w:ascii="Arial" w:hAnsi="Arial" w:cs="Arial"/>
          <w:sz w:val="22"/>
          <w:szCs w:val="22"/>
        </w:rPr>
        <w:t xml:space="preserve">esenta el </w:t>
      </w:r>
      <w:r w:rsidR="00036D15" w:rsidRPr="003E254F">
        <w:rPr>
          <w:rFonts w:ascii="Arial" w:hAnsi="Arial" w:cs="Arial"/>
          <w:sz w:val="22"/>
          <w:szCs w:val="22"/>
        </w:rPr>
        <w:t>Reglamento Operativo</w:t>
      </w:r>
      <w:r w:rsidR="002A71A3" w:rsidRPr="003E254F">
        <w:rPr>
          <w:rFonts w:ascii="Arial" w:hAnsi="Arial" w:cs="Arial"/>
          <w:sz w:val="22"/>
          <w:szCs w:val="22"/>
        </w:rPr>
        <w:t xml:space="preserve"> (ROP)</w:t>
      </w:r>
      <w:r w:rsidR="00A923B6" w:rsidRPr="003E254F">
        <w:rPr>
          <w:rFonts w:ascii="Arial" w:hAnsi="Arial" w:cs="Arial"/>
          <w:sz w:val="22"/>
          <w:szCs w:val="22"/>
        </w:rPr>
        <w:t xml:space="preserve"> </w:t>
      </w:r>
      <w:r w:rsidR="00141DFF" w:rsidRPr="003E254F">
        <w:rPr>
          <w:rFonts w:ascii="Arial" w:hAnsi="Arial" w:cs="Arial"/>
          <w:sz w:val="22"/>
          <w:szCs w:val="22"/>
        </w:rPr>
        <w:t xml:space="preserve">previsto en la Cláusula </w:t>
      </w:r>
      <w:r w:rsidR="00897F88" w:rsidRPr="00912F34">
        <w:rPr>
          <w:rFonts w:ascii="Arial" w:hAnsi="Arial" w:cs="Arial"/>
          <w:sz w:val="22"/>
          <w:szCs w:val="22"/>
          <w:highlight w:val="yellow"/>
        </w:rPr>
        <w:t>4.06</w:t>
      </w:r>
      <w:r w:rsidR="00897F88">
        <w:rPr>
          <w:rFonts w:ascii="Arial" w:hAnsi="Arial" w:cs="Arial"/>
          <w:sz w:val="22"/>
          <w:szCs w:val="22"/>
        </w:rPr>
        <w:t xml:space="preserve"> </w:t>
      </w:r>
      <w:r w:rsidR="00141DFF" w:rsidRPr="003E254F">
        <w:rPr>
          <w:rFonts w:ascii="Arial" w:hAnsi="Arial" w:cs="Arial"/>
          <w:sz w:val="22"/>
          <w:szCs w:val="22"/>
        </w:rPr>
        <w:t xml:space="preserve">del contrato de préstamo No. </w:t>
      </w:r>
      <w:r w:rsidR="00912F34" w:rsidRPr="00912F34">
        <w:rPr>
          <w:rFonts w:ascii="Arial" w:hAnsi="Arial" w:cs="Arial"/>
          <w:sz w:val="22"/>
          <w:szCs w:val="22"/>
          <w:highlight w:val="yellow"/>
        </w:rPr>
        <w:t>XXXX</w:t>
      </w:r>
      <w:r w:rsidR="00556A65" w:rsidRPr="00556A65">
        <w:rPr>
          <w:rFonts w:ascii="Arial" w:hAnsi="Arial" w:cs="Arial"/>
          <w:sz w:val="22"/>
          <w:szCs w:val="22"/>
        </w:rPr>
        <w:t>/GN</w:t>
      </w:r>
      <w:r w:rsidR="00141DFF" w:rsidRPr="003E254F">
        <w:rPr>
          <w:rFonts w:ascii="Arial" w:hAnsi="Arial" w:cs="Arial"/>
          <w:sz w:val="22"/>
          <w:szCs w:val="22"/>
        </w:rPr>
        <w:t>-PR (Contrato de Préstamo)</w:t>
      </w:r>
      <w:r w:rsidR="00141DFF">
        <w:rPr>
          <w:rFonts w:ascii="Arial" w:hAnsi="Arial" w:cs="Arial"/>
          <w:sz w:val="22"/>
          <w:szCs w:val="22"/>
        </w:rPr>
        <w:t xml:space="preserve"> entre el Banco Interamericano de Desarrollo (BID) y la Agencia Financiera de Desarrollo (AFD) para el financiamiento del </w:t>
      </w:r>
      <w:r w:rsidR="00912F34" w:rsidRPr="00912F34">
        <w:rPr>
          <w:rFonts w:ascii="Arial" w:hAnsi="Arial" w:cs="Arial"/>
          <w:sz w:val="22"/>
          <w:szCs w:val="22"/>
        </w:rPr>
        <w:t xml:space="preserve">Programa </w:t>
      </w:r>
      <w:r w:rsidR="00B1068F">
        <w:rPr>
          <w:rFonts w:ascii="Arial" w:hAnsi="Arial" w:cs="Arial"/>
          <w:sz w:val="22"/>
          <w:szCs w:val="22"/>
        </w:rPr>
        <w:t>“</w:t>
      </w:r>
      <w:r w:rsidR="00912F34" w:rsidRPr="00912F34">
        <w:rPr>
          <w:rFonts w:ascii="Arial" w:hAnsi="Arial" w:cs="Arial"/>
          <w:sz w:val="22"/>
          <w:szCs w:val="22"/>
        </w:rPr>
        <w:t xml:space="preserve">Acceso </w:t>
      </w:r>
      <w:r w:rsidR="00912F34">
        <w:rPr>
          <w:rFonts w:ascii="Arial" w:hAnsi="Arial" w:cs="Arial"/>
          <w:sz w:val="22"/>
          <w:szCs w:val="22"/>
        </w:rPr>
        <w:t>a</w:t>
      </w:r>
      <w:r w:rsidR="00912F34" w:rsidRPr="00912F34">
        <w:rPr>
          <w:rFonts w:ascii="Arial" w:hAnsi="Arial" w:cs="Arial"/>
          <w:sz w:val="22"/>
          <w:szCs w:val="22"/>
        </w:rPr>
        <w:t xml:space="preserve"> Financiamiento </w:t>
      </w:r>
      <w:r w:rsidR="00912F34">
        <w:rPr>
          <w:rFonts w:ascii="Arial" w:hAnsi="Arial" w:cs="Arial"/>
          <w:sz w:val="22"/>
          <w:szCs w:val="22"/>
        </w:rPr>
        <w:t>p</w:t>
      </w:r>
      <w:r w:rsidR="00912F34" w:rsidRPr="00912F34">
        <w:rPr>
          <w:rFonts w:ascii="Arial" w:hAnsi="Arial" w:cs="Arial"/>
          <w:sz w:val="22"/>
          <w:szCs w:val="22"/>
        </w:rPr>
        <w:t xml:space="preserve">ara Inversiones el Sector Agropecuario </w:t>
      </w:r>
      <w:r w:rsidR="00912F34">
        <w:rPr>
          <w:rFonts w:ascii="Arial" w:hAnsi="Arial" w:cs="Arial"/>
          <w:sz w:val="22"/>
          <w:szCs w:val="22"/>
        </w:rPr>
        <w:t>e</w:t>
      </w:r>
      <w:r w:rsidR="00912F34" w:rsidRPr="00912F34">
        <w:rPr>
          <w:rFonts w:ascii="Arial" w:hAnsi="Arial" w:cs="Arial"/>
          <w:sz w:val="22"/>
          <w:szCs w:val="22"/>
        </w:rPr>
        <w:t xml:space="preserve">n </w:t>
      </w:r>
      <w:r w:rsidR="00912F34">
        <w:rPr>
          <w:rFonts w:ascii="Arial" w:hAnsi="Arial" w:cs="Arial"/>
          <w:sz w:val="22"/>
          <w:szCs w:val="22"/>
        </w:rPr>
        <w:t>e</w:t>
      </w:r>
      <w:r w:rsidR="00912F34" w:rsidRPr="00912F34">
        <w:rPr>
          <w:rFonts w:ascii="Arial" w:hAnsi="Arial" w:cs="Arial"/>
          <w:sz w:val="22"/>
          <w:szCs w:val="22"/>
        </w:rPr>
        <w:t>l Paraguay</w:t>
      </w:r>
      <w:r w:rsidR="00B1068F">
        <w:rPr>
          <w:rFonts w:ascii="Arial" w:hAnsi="Arial" w:cs="Arial"/>
          <w:sz w:val="22"/>
          <w:szCs w:val="22"/>
        </w:rPr>
        <w:t>”</w:t>
      </w:r>
      <w:r w:rsidR="00173109">
        <w:rPr>
          <w:rFonts w:ascii="Arial" w:hAnsi="Arial" w:cs="Arial"/>
          <w:sz w:val="22"/>
          <w:szCs w:val="22"/>
        </w:rPr>
        <w:t xml:space="preserve"> (PR-L11</w:t>
      </w:r>
      <w:r w:rsidR="00B1068F">
        <w:rPr>
          <w:rFonts w:ascii="Arial" w:hAnsi="Arial" w:cs="Arial"/>
          <w:sz w:val="22"/>
          <w:szCs w:val="22"/>
        </w:rPr>
        <w:t>70</w:t>
      </w:r>
      <w:r w:rsidR="00173109">
        <w:rPr>
          <w:rFonts w:ascii="Arial" w:hAnsi="Arial" w:cs="Arial"/>
          <w:sz w:val="22"/>
          <w:szCs w:val="22"/>
        </w:rPr>
        <w:t>)</w:t>
      </w:r>
      <w:r w:rsidR="00141DFF">
        <w:rPr>
          <w:rFonts w:ascii="Arial" w:hAnsi="Arial" w:cs="Arial"/>
          <w:sz w:val="22"/>
          <w:szCs w:val="22"/>
        </w:rPr>
        <w:t xml:space="preserve"> (Programa).   </w:t>
      </w:r>
    </w:p>
    <w:p w14:paraId="26086E73" w14:textId="77777777" w:rsidR="00173109" w:rsidRPr="00803DEC" w:rsidRDefault="00173109" w:rsidP="00752194">
      <w:pPr>
        <w:pStyle w:val="Paragraph"/>
        <w:ind w:left="720" w:hanging="720"/>
        <w:rPr>
          <w:rFonts w:ascii="Arial" w:hAnsi="Arial" w:cs="Arial"/>
          <w:sz w:val="22"/>
          <w:szCs w:val="22"/>
        </w:rPr>
      </w:pPr>
      <w:r>
        <w:rPr>
          <w:rFonts w:ascii="Arial" w:hAnsi="Arial" w:cs="Arial"/>
          <w:sz w:val="22"/>
          <w:szCs w:val="22"/>
        </w:rPr>
        <w:t>En caso de cualquier inconsistencia o discrepancia entre los términos del ROP y del Contrato de Préstamo, prevalecerá el Contrato de Préstamo.  El presente ROP no podrá ser modificado sin el consentimiento previo y por escrito de un funcionario autorizado del BID. El ROP se mantendrá vigente mientras se mantenga vigente el Contrato de Préstamo.</w:t>
      </w:r>
    </w:p>
    <w:p w14:paraId="2C8206E6" w14:textId="19B10746" w:rsidR="00A55AD3" w:rsidRPr="00803DEC" w:rsidRDefault="00A55AD3" w:rsidP="0061571B">
      <w:pPr>
        <w:pStyle w:val="Chapter"/>
        <w:tabs>
          <w:tab w:val="clear" w:pos="1440"/>
          <w:tab w:val="clear" w:pos="7470"/>
        </w:tabs>
        <w:ind w:left="1440" w:hanging="446"/>
        <w:rPr>
          <w:rFonts w:ascii="Arial" w:hAnsi="Arial" w:cs="Arial"/>
          <w:sz w:val="22"/>
          <w:szCs w:val="22"/>
        </w:rPr>
      </w:pPr>
      <w:bookmarkStart w:id="4" w:name="_Toc424822788"/>
      <w:bookmarkStart w:id="5" w:name="_Toc7709968"/>
      <w:bookmarkEnd w:id="3"/>
      <w:r w:rsidRPr="00803DEC">
        <w:rPr>
          <w:rFonts w:ascii="Arial" w:hAnsi="Arial" w:cs="Arial"/>
          <w:sz w:val="22"/>
          <w:szCs w:val="22"/>
        </w:rPr>
        <w:t>Definiciones</w:t>
      </w:r>
      <w:bookmarkEnd w:id="4"/>
      <w:bookmarkEnd w:id="5"/>
    </w:p>
    <w:p w14:paraId="134F6639" w14:textId="77777777" w:rsidR="00E4237E" w:rsidRDefault="00173109" w:rsidP="0061571B">
      <w:pPr>
        <w:pStyle w:val="Paragraph"/>
        <w:ind w:left="720" w:hanging="720"/>
        <w:rPr>
          <w:rFonts w:ascii="Arial" w:hAnsi="Arial" w:cs="Arial"/>
          <w:sz w:val="22"/>
          <w:szCs w:val="22"/>
        </w:rPr>
      </w:pPr>
      <w:r>
        <w:rPr>
          <w:rFonts w:ascii="Arial" w:hAnsi="Arial" w:cs="Arial"/>
          <w:sz w:val="22"/>
          <w:szCs w:val="22"/>
        </w:rPr>
        <w:t>Además de los términos definidos entre paréntesis en los párrafos anteriores</w:t>
      </w:r>
      <w:r w:rsidR="00DE0202">
        <w:rPr>
          <w:rFonts w:ascii="Arial" w:hAnsi="Arial" w:cs="Arial"/>
          <w:sz w:val="22"/>
          <w:szCs w:val="22"/>
        </w:rPr>
        <w:t xml:space="preserve"> y las definiciones que aparecen en el Contrato de Préstamo, </w:t>
      </w:r>
      <w:r w:rsidR="00E4237E">
        <w:rPr>
          <w:rFonts w:ascii="Arial" w:hAnsi="Arial" w:cs="Arial"/>
          <w:sz w:val="22"/>
          <w:szCs w:val="22"/>
        </w:rPr>
        <w:t xml:space="preserve">se aplicarán también al presente ROP las siguientes </w:t>
      </w:r>
      <w:r w:rsidR="00E4237E" w:rsidRPr="00E4237E">
        <w:rPr>
          <w:rFonts w:ascii="Arial" w:hAnsi="Arial" w:cs="Arial"/>
          <w:b/>
          <w:sz w:val="22"/>
          <w:szCs w:val="22"/>
        </w:rPr>
        <w:t>definiciones</w:t>
      </w:r>
      <w:r w:rsidR="00E4237E">
        <w:rPr>
          <w:rFonts w:ascii="Arial" w:hAnsi="Arial" w:cs="Arial"/>
          <w:sz w:val="22"/>
          <w:szCs w:val="22"/>
        </w:rPr>
        <w:t>:</w:t>
      </w:r>
    </w:p>
    <w:p w14:paraId="681142D1" w14:textId="2DA07D87" w:rsidR="00E4237E" w:rsidRDefault="004B4D67" w:rsidP="00240B8F">
      <w:pPr>
        <w:pStyle w:val="Paragraph"/>
        <w:numPr>
          <w:ilvl w:val="0"/>
          <w:numId w:val="5"/>
        </w:numPr>
        <w:rPr>
          <w:rFonts w:ascii="Arial" w:hAnsi="Arial" w:cs="Arial"/>
          <w:sz w:val="22"/>
          <w:szCs w:val="22"/>
        </w:rPr>
      </w:pPr>
      <w:r w:rsidRPr="00803DEC">
        <w:rPr>
          <w:rFonts w:ascii="Arial" w:hAnsi="Arial" w:cs="Arial"/>
          <w:sz w:val="22"/>
          <w:szCs w:val="22"/>
        </w:rPr>
        <w:t xml:space="preserve">La </w:t>
      </w:r>
      <w:r w:rsidR="008E0035">
        <w:rPr>
          <w:rFonts w:ascii="Arial" w:hAnsi="Arial" w:cs="Arial"/>
          <w:sz w:val="22"/>
          <w:szCs w:val="22"/>
        </w:rPr>
        <w:t>“</w:t>
      </w:r>
      <w:r w:rsidR="00FB4829" w:rsidRPr="004C6885">
        <w:rPr>
          <w:rFonts w:ascii="Arial" w:hAnsi="Arial"/>
          <w:b/>
          <w:sz w:val="22"/>
        </w:rPr>
        <w:t>AFD</w:t>
      </w:r>
      <w:r w:rsidR="008E0035" w:rsidRPr="008E0035">
        <w:rPr>
          <w:rFonts w:ascii="Arial" w:hAnsi="Arial" w:cs="Arial"/>
          <w:sz w:val="22"/>
          <w:szCs w:val="22"/>
        </w:rPr>
        <w:t>”</w:t>
      </w:r>
      <w:r w:rsidR="00A55AD3" w:rsidRPr="00803DEC">
        <w:rPr>
          <w:rFonts w:ascii="Arial" w:hAnsi="Arial" w:cs="Arial"/>
          <w:sz w:val="22"/>
          <w:szCs w:val="22"/>
        </w:rPr>
        <w:t xml:space="preserve"> será el </w:t>
      </w:r>
      <w:r w:rsidR="001358A5" w:rsidRPr="00803DEC">
        <w:rPr>
          <w:rFonts w:ascii="Arial" w:hAnsi="Arial" w:cs="Arial"/>
          <w:sz w:val="22"/>
          <w:szCs w:val="22"/>
        </w:rPr>
        <w:t>P</w:t>
      </w:r>
      <w:r w:rsidR="00A55AD3" w:rsidRPr="00803DEC">
        <w:rPr>
          <w:rFonts w:ascii="Arial" w:hAnsi="Arial" w:cs="Arial"/>
          <w:sz w:val="22"/>
          <w:szCs w:val="22"/>
        </w:rPr>
        <w:t xml:space="preserve">restatario y el Organismo Ejecutor </w:t>
      </w:r>
      <w:r w:rsidR="002A71A3" w:rsidRPr="00803DEC">
        <w:rPr>
          <w:rFonts w:ascii="Arial" w:hAnsi="Arial" w:cs="Arial"/>
          <w:sz w:val="22"/>
          <w:szCs w:val="22"/>
        </w:rPr>
        <w:t>(OE)</w:t>
      </w:r>
      <w:r w:rsidR="00A55AD3" w:rsidRPr="00803DEC">
        <w:rPr>
          <w:rFonts w:ascii="Arial" w:hAnsi="Arial" w:cs="Arial"/>
          <w:sz w:val="22"/>
          <w:szCs w:val="22"/>
        </w:rPr>
        <w:t xml:space="preserve"> de</w:t>
      </w:r>
      <w:r w:rsidR="00D8730D">
        <w:rPr>
          <w:rFonts w:ascii="Arial" w:hAnsi="Arial" w:cs="Arial"/>
          <w:sz w:val="22"/>
          <w:szCs w:val="22"/>
        </w:rPr>
        <w:t>l Programa</w:t>
      </w:r>
      <w:r w:rsidR="00A55AD3" w:rsidRPr="00803DEC">
        <w:rPr>
          <w:rFonts w:ascii="Arial" w:hAnsi="Arial" w:cs="Arial"/>
          <w:sz w:val="22"/>
          <w:szCs w:val="22"/>
        </w:rPr>
        <w:t xml:space="preserve">. </w:t>
      </w:r>
      <w:r w:rsidR="00D8730D">
        <w:rPr>
          <w:rFonts w:ascii="Arial" w:hAnsi="Arial" w:cs="Arial"/>
          <w:sz w:val="22"/>
          <w:szCs w:val="22"/>
        </w:rPr>
        <w:t>El Contrato de Préstamo y el ROP establecen las</w:t>
      </w:r>
      <w:r w:rsidR="00D8730D" w:rsidRPr="00803DEC">
        <w:rPr>
          <w:rFonts w:ascii="Arial" w:hAnsi="Arial" w:cs="Arial"/>
          <w:sz w:val="22"/>
          <w:szCs w:val="22"/>
        </w:rPr>
        <w:t xml:space="preserve"> </w:t>
      </w:r>
      <w:r w:rsidR="00A55AD3" w:rsidRPr="00803DEC">
        <w:rPr>
          <w:rFonts w:ascii="Arial" w:hAnsi="Arial" w:cs="Arial"/>
          <w:sz w:val="22"/>
          <w:szCs w:val="22"/>
        </w:rPr>
        <w:t>obligaciones</w:t>
      </w:r>
      <w:r w:rsidR="00D8730D">
        <w:rPr>
          <w:rFonts w:ascii="Arial" w:hAnsi="Arial" w:cs="Arial"/>
          <w:sz w:val="22"/>
          <w:szCs w:val="22"/>
        </w:rPr>
        <w:t xml:space="preserve"> de </w:t>
      </w:r>
      <w:r w:rsidR="00B43284">
        <w:rPr>
          <w:rFonts w:ascii="Arial" w:hAnsi="Arial" w:cs="Arial"/>
          <w:sz w:val="22"/>
          <w:szCs w:val="22"/>
        </w:rPr>
        <w:t xml:space="preserve">la </w:t>
      </w:r>
      <w:r w:rsidR="00D8730D">
        <w:rPr>
          <w:rFonts w:ascii="Arial" w:hAnsi="Arial" w:cs="Arial"/>
          <w:sz w:val="22"/>
          <w:szCs w:val="22"/>
        </w:rPr>
        <w:t xml:space="preserve">AFD como </w:t>
      </w:r>
      <w:r w:rsidR="00A55AD3" w:rsidRPr="00803DEC">
        <w:rPr>
          <w:rFonts w:ascii="Arial" w:hAnsi="Arial" w:cs="Arial"/>
          <w:sz w:val="22"/>
          <w:szCs w:val="22"/>
        </w:rPr>
        <w:t xml:space="preserve">prestatario del </w:t>
      </w:r>
      <w:r w:rsidR="00EB361F" w:rsidRPr="00803DEC">
        <w:rPr>
          <w:rFonts w:ascii="Arial" w:hAnsi="Arial" w:cs="Arial"/>
          <w:sz w:val="22"/>
          <w:szCs w:val="22"/>
        </w:rPr>
        <w:t>B</w:t>
      </w:r>
      <w:r w:rsidR="00EB361F">
        <w:rPr>
          <w:rFonts w:ascii="Arial" w:hAnsi="Arial" w:cs="Arial"/>
          <w:sz w:val="22"/>
          <w:szCs w:val="22"/>
        </w:rPr>
        <w:t>ID</w:t>
      </w:r>
      <w:r w:rsidRPr="00803DEC">
        <w:rPr>
          <w:rFonts w:ascii="Arial" w:hAnsi="Arial" w:cs="Arial"/>
          <w:sz w:val="22"/>
          <w:szCs w:val="22"/>
        </w:rPr>
        <w:t xml:space="preserve">, </w:t>
      </w:r>
      <w:r w:rsidR="001358A5" w:rsidRPr="00803DEC">
        <w:rPr>
          <w:rFonts w:ascii="Arial" w:hAnsi="Arial" w:cs="Arial"/>
          <w:sz w:val="22"/>
          <w:szCs w:val="22"/>
        </w:rPr>
        <w:t>OE</w:t>
      </w:r>
      <w:r w:rsidR="00CC0D0C">
        <w:rPr>
          <w:rFonts w:ascii="Arial" w:hAnsi="Arial" w:cs="Arial"/>
          <w:sz w:val="22"/>
          <w:szCs w:val="22"/>
        </w:rPr>
        <w:t xml:space="preserve"> </w:t>
      </w:r>
      <w:r w:rsidR="00D8730D">
        <w:rPr>
          <w:rFonts w:ascii="Arial" w:hAnsi="Arial" w:cs="Arial"/>
          <w:sz w:val="22"/>
          <w:szCs w:val="22"/>
        </w:rPr>
        <w:t xml:space="preserve">del Programa </w:t>
      </w:r>
      <w:r w:rsidR="00A55AD3" w:rsidRPr="00803DEC">
        <w:rPr>
          <w:rFonts w:ascii="Arial" w:hAnsi="Arial" w:cs="Arial"/>
          <w:sz w:val="22"/>
          <w:szCs w:val="22"/>
        </w:rPr>
        <w:t>y prestamista de las</w:t>
      </w:r>
      <w:r w:rsidRPr="00803DEC">
        <w:rPr>
          <w:rFonts w:ascii="Arial" w:hAnsi="Arial" w:cs="Arial"/>
          <w:sz w:val="22"/>
          <w:szCs w:val="22"/>
        </w:rPr>
        <w:t xml:space="preserve"> Instituciones Financieras </w:t>
      </w:r>
      <w:r w:rsidR="00567BF0" w:rsidRPr="00803DEC">
        <w:rPr>
          <w:rFonts w:ascii="Arial" w:hAnsi="Arial" w:cs="Arial"/>
          <w:sz w:val="22"/>
          <w:szCs w:val="22"/>
        </w:rPr>
        <w:t>Intermediarias</w:t>
      </w:r>
      <w:r w:rsidR="00567BF0">
        <w:rPr>
          <w:rFonts w:ascii="Arial" w:hAnsi="Arial" w:cs="Arial"/>
          <w:sz w:val="22"/>
          <w:szCs w:val="22"/>
        </w:rPr>
        <w:t xml:space="preserve"> </w:t>
      </w:r>
      <w:r w:rsidR="001358A5" w:rsidRPr="00803DEC">
        <w:rPr>
          <w:rFonts w:ascii="Arial" w:hAnsi="Arial" w:cs="Arial"/>
          <w:sz w:val="22"/>
          <w:szCs w:val="22"/>
        </w:rPr>
        <w:t>(</w:t>
      </w:r>
      <w:r w:rsidR="009A3384" w:rsidRPr="009A3384">
        <w:rPr>
          <w:rFonts w:ascii="Arial" w:hAnsi="Arial" w:cs="Arial"/>
          <w:color w:val="000000" w:themeColor="text1"/>
          <w:sz w:val="22"/>
          <w:szCs w:val="22"/>
        </w:rPr>
        <w:t>IFI</w:t>
      </w:r>
      <w:r w:rsidR="001358A5" w:rsidRPr="00803DEC">
        <w:rPr>
          <w:rFonts w:ascii="Arial" w:hAnsi="Arial" w:cs="Arial"/>
          <w:sz w:val="22"/>
          <w:szCs w:val="22"/>
        </w:rPr>
        <w:t>)</w:t>
      </w:r>
      <w:r w:rsidR="00A55AD3" w:rsidRPr="00803DEC">
        <w:rPr>
          <w:rFonts w:ascii="Arial" w:hAnsi="Arial" w:cs="Arial"/>
          <w:sz w:val="22"/>
          <w:szCs w:val="22"/>
        </w:rPr>
        <w:t xml:space="preserve"> de </w:t>
      </w:r>
      <w:r w:rsidRPr="00803DEC">
        <w:rPr>
          <w:rFonts w:ascii="Arial" w:hAnsi="Arial" w:cs="Arial"/>
          <w:sz w:val="22"/>
          <w:szCs w:val="22"/>
        </w:rPr>
        <w:t>Paraguay</w:t>
      </w:r>
      <w:r w:rsidR="00CC0D0C">
        <w:rPr>
          <w:rFonts w:ascii="Arial" w:hAnsi="Arial" w:cs="Arial"/>
          <w:sz w:val="22"/>
          <w:szCs w:val="22"/>
        </w:rPr>
        <w:t>.</w:t>
      </w:r>
      <w:r w:rsidR="00A55AD3" w:rsidRPr="00803DEC">
        <w:rPr>
          <w:rFonts w:ascii="Arial" w:hAnsi="Arial" w:cs="Arial"/>
          <w:sz w:val="22"/>
          <w:szCs w:val="22"/>
        </w:rPr>
        <w:t xml:space="preserve"> </w:t>
      </w:r>
      <w:r w:rsidR="00D8730D">
        <w:rPr>
          <w:rFonts w:ascii="Arial" w:hAnsi="Arial" w:cs="Arial"/>
          <w:sz w:val="22"/>
          <w:szCs w:val="22"/>
        </w:rPr>
        <w:t xml:space="preserve"> En el ROP también se</w:t>
      </w:r>
      <w:r w:rsidR="00E4237E">
        <w:rPr>
          <w:rFonts w:ascii="Arial" w:hAnsi="Arial" w:cs="Arial"/>
          <w:sz w:val="22"/>
          <w:szCs w:val="22"/>
        </w:rPr>
        <w:t xml:space="preserve"> detall</w:t>
      </w:r>
      <w:r w:rsidR="00D8730D">
        <w:rPr>
          <w:rFonts w:ascii="Arial" w:hAnsi="Arial" w:cs="Arial"/>
          <w:sz w:val="22"/>
          <w:szCs w:val="22"/>
        </w:rPr>
        <w:t>an</w:t>
      </w:r>
      <w:r w:rsidR="00E4237E">
        <w:rPr>
          <w:rFonts w:ascii="Arial" w:hAnsi="Arial" w:cs="Arial"/>
          <w:sz w:val="22"/>
          <w:szCs w:val="22"/>
        </w:rPr>
        <w:t xml:space="preserve"> </w:t>
      </w:r>
      <w:r w:rsidR="00A55AD3" w:rsidRPr="00803DEC">
        <w:rPr>
          <w:rFonts w:ascii="Arial" w:hAnsi="Arial" w:cs="Arial"/>
          <w:sz w:val="22"/>
          <w:szCs w:val="22"/>
        </w:rPr>
        <w:t>obligaciones fiduciarias</w:t>
      </w:r>
      <w:r w:rsidR="00E4237E">
        <w:rPr>
          <w:rFonts w:ascii="Arial" w:hAnsi="Arial" w:cs="Arial"/>
          <w:sz w:val="22"/>
          <w:szCs w:val="22"/>
        </w:rPr>
        <w:t xml:space="preserve"> </w:t>
      </w:r>
      <w:r w:rsidR="00D8730D">
        <w:rPr>
          <w:rFonts w:ascii="Arial" w:hAnsi="Arial" w:cs="Arial"/>
          <w:sz w:val="22"/>
          <w:szCs w:val="22"/>
        </w:rPr>
        <w:t>de</w:t>
      </w:r>
      <w:r w:rsidR="00B43284">
        <w:rPr>
          <w:rFonts w:ascii="Arial" w:hAnsi="Arial" w:cs="Arial"/>
          <w:sz w:val="22"/>
          <w:szCs w:val="22"/>
        </w:rPr>
        <w:t xml:space="preserve"> la</w:t>
      </w:r>
      <w:r w:rsidR="00D8730D">
        <w:rPr>
          <w:rFonts w:ascii="Arial" w:hAnsi="Arial" w:cs="Arial"/>
          <w:sz w:val="22"/>
          <w:szCs w:val="22"/>
        </w:rPr>
        <w:t xml:space="preserve"> AFD </w:t>
      </w:r>
      <w:r w:rsidR="00A55AD3" w:rsidRPr="00803DEC">
        <w:rPr>
          <w:rFonts w:ascii="Arial" w:hAnsi="Arial" w:cs="Arial"/>
          <w:sz w:val="22"/>
          <w:szCs w:val="22"/>
        </w:rPr>
        <w:t xml:space="preserve">derivadas del </w:t>
      </w:r>
      <w:r w:rsidR="00E4237E">
        <w:rPr>
          <w:rFonts w:ascii="Arial" w:hAnsi="Arial" w:cs="Arial"/>
          <w:sz w:val="22"/>
          <w:szCs w:val="22"/>
        </w:rPr>
        <w:t>Contrato de Préstamo</w:t>
      </w:r>
      <w:r w:rsidR="00A55AD3" w:rsidRPr="00803DEC">
        <w:rPr>
          <w:rFonts w:ascii="Arial" w:hAnsi="Arial" w:cs="Arial"/>
          <w:sz w:val="22"/>
          <w:szCs w:val="22"/>
        </w:rPr>
        <w:t>.</w:t>
      </w:r>
      <w:r w:rsidR="00141DFF">
        <w:rPr>
          <w:rFonts w:ascii="Arial" w:hAnsi="Arial" w:cs="Arial"/>
          <w:sz w:val="22"/>
          <w:szCs w:val="22"/>
        </w:rPr>
        <w:t xml:space="preserve"> </w:t>
      </w:r>
    </w:p>
    <w:p w14:paraId="52B2D587" w14:textId="4C4F6851" w:rsidR="007600E9" w:rsidRDefault="00A55AD3" w:rsidP="00240B8F">
      <w:pPr>
        <w:pStyle w:val="Paragraph"/>
        <w:numPr>
          <w:ilvl w:val="0"/>
          <w:numId w:val="5"/>
        </w:numPr>
        <w:rPr>
          <w:rFonts w:ascii="Arial" w:hAnsi="Arial" w:cs="Arial"/>
          <w:sz w:val="22"/>
          <w:szCs w:val="22"/>
        </w:rPr>
      </w:pPr>
      <w:r w:rsidRPr="00E4237E">
        <w:rPr>
          <w:rFonts w:ascii="Arial" w:hAnsi="Arial" w:cs="Arial"/>
          <w:sz w:val="22"/>
          <w:szCs w:val="22"/>
        </w:rPr>
        <w:t xml:space="preserve">Las </w:t>
      </w:r>
      <w:r w:rsidR="008E0035" w:rsidRPr="00B1068F">
        <w:rPr>
          <w:rFonts w:ascii="Arial" w:hAnsi="Arial" w:cs="Arial"/>
          <w:b/>
          <w:sz w:val="22"/>
          <w:szCs w:val="22"/>
        </w:rPr>
        <w:t>“</w:t>
      </w:r>
      <w:r w:rsidR="009A3384" w:rsidRPr="00B1068F">
        <w:rPr>
          <w:rFonts w:ascii="Arial" w:hAnsi="Arial" w:cs="Arial"/>
          <w:b/>
          <w:sz w:val="22"/>
          <w:szCs w:val="22"/>
        </w:rPr>
        <w:t>IFI</w:t>
      </w:r>
      <w:r w:rsidR="008E0035" w:rsidRPr="00B1068F">
        <w:rPr>
          <w:rFonts w:ascii="Arial" w:hAnsi="Arial" w:cs="Arial"/>
          <w:b/>
          <w:sz w:val="22"/>
          <w:szCs w:val="22"/>
        </w:rPr>
        <w:t>”</w:t>
      </w:r>
      <w:r w:rsidRPr="00E4237E">
        <w:rPr>
          <w:rFonts w:ascii="Arial" w:hAnsi="Arial" w:cs="Arial"/>
          <w:sz w:val="22"/>
          <w:szCs w:val="22"/>
        </w:rPr>
        <w:t xml:space="preserve"> elegibles serán las </w:t>
      </w:r>
      <w:proofErr w:type="spellStart"/>
      <w:r w:rsidR="00302D0C">
        <w:rPr>
          <w:rFonts w:ascii="Arial" w:hAnsi="Arial" w:cs="Arial"/>
          <w:sz w:val="22"/>
          <w:szCs w:val="22"/>
        </w:rPr>
        <w:t>subpresta</w:t>
      </w:r>
      <w:r w:rsidRPr="00E4237E">
        <w:rPr>
          <w:rFonts w:ascii="Arial" w:hAnsi="Arial" w:cs="Arial"/>
          <w:sz w:val="22"/>
          <w:szCs w:val="22"/>
        </w:rPr>
        <w:t>mistas</w:t>
      </w:r>
      <w:proofErr w:type="spellEnd"/>
      <w:r w:rsidRPr="00E4237E">
        <w:rPr>
          <w:rFonts w:ascii="Arial" w:hAnsi="Arial" w:cs="Arial"/>
          <w:sz w:val="22"/>
          <w:szCs w:val="22"/>
        </w:rPr>
        <w:t xml:space="preserve"> quienes intermediarán los recursos</w:t>
      </w:r>
      <w:r w:rsidR="00D8730D">
        <w:rPr>
          <w:rFonts w:ascii="Arial" w:hAnsi="Arial" w:cs="Arial"/>
          <w:sz w:val="22"/>
          <w:szCs w:val="22"/>
        </w:rPr>
        <w:t xml:space="preserve"> del Contrato de Préstamo y del Aporte Local</w:t>
      </w:r>
      <w:r w:rsidRPr="00E4237E">
        <w:rPr>
          <w:rFonts w:ascii="Arial" w:hAnsi="Arial" w:cs="Arial"/>
          <w:sz w:val="22"/>
          <w:szCs w:val="22"/>
        </w:rPr>
        <w:t xml:space="preserve"> a los beneficiarios finales identificados en adelante como los </w:t>
      </w:r>
      <w:r w:rsidR="008E0035" w:rsidRPr="00B1068F">
        <w:rPr>
          <w:rFonts w:ascii="Arial" w:hAnsi="Arial" w:cs="Arial"/>
          <w:b/>
          <w:sz w:val="22"/>
          <w:szCs w:val="22"/>
        </w:rPr>
        <w:t>“</w:t>
      </w:r>
      <w:proofErr w:type="spellStart"/>
      <w:r w:rsidR="00302D0C">
        <w:rPr>
          <w:rFonts w:ascii="Arial" w:hAnsi="Arial" w:cs="Arial"/>
          <w:b/>
          <w:sz w:val="22"/>
          <w:szCs w:val="22"/>
        </w:rPr>
        <w:t>Subpresta</w:t>
      </w:r>
      <w:r w:rsidRPr="00B1068F">
        <w:rPr>
          <w:rFonts w:ascii="Arial" w:hAnsi="Arial" w:cs="Arial"/>
          <w:b/>
          <w:sz w:val="22"/>
          <w:szCs w:val="22"/>
        </w:rPr>
        <w:t>tarios</w:t>
      </w:r>
      <w:proofErr w:type="spellEnd"/>
      <w:r w:rsidR="00F32B33" w:rsidRPr="00B1068F">
        <w:rPr>
          <w:rFonts w:ascii="Arial" w:hAnsi="Arial" w:cs="Arial"/>
          <w:b/>
          <w:sz w:val="22"/>
          <w:szCs w:val="22"/>
        </w:rPr>
        <w:t xml:space="preserve"> finales</w:t>
      </w:r>
      <w:r w:rsidR="001B2201" w:rsidRPr="00B1068F">
        <w:rPr>
          <w:rFonts w:ascii="Arial" w:hAnsi="Arial" w:cs="Arial"/>
          <w:b/>
          <w:sz w:val="22"/>
          <w:szCs w:val="22"/>
        </w:rPr>
        <w:t>”</w:t>
      </w:r>
      <w:r w:rsidRPr="0003265D">
        <w:rPr>
          <w:rFonts w:ascii="Arial" w:hAnsi="Arial" w:cs="Arial"/>
          <w:sz w:val="22"/>
          <w:szCs w:val="22"/>
        </w:rPr>
        <w:t>.</w:t>
      </w:r>
    </w:p>
    <w:p w14:paraId="21BE9833" w14:textId="7DD43E00" w:rsidR="00A55AD3" w:rsidRPr="00803DEC" w:rsidRDefault="00A55AD3" w:rsidP="00A55AD3">
      <w:pPr>
        <w:pStyle w:val="Chapter"/>
        <w:tabs>
          <w:tab w:val="clear" w:pos="1440"/>
          <w:tab w:val="clear" w:pos="7470"/>
        </w:tabs>
        <w:ind w:left="450" w:hanging="446"/>
        <w:rPr>
          <w:rFonts w:ascii="Arial" w:hAnsi="Arial" w:cs="Arial"/>
          <w:sz w:val="22"/>
          <w:szCs w:val="22"/>
        </w:rPr>
      </w:pPr>
      <w:bookmarkStart w:id="6" w:name="_Toc424822789"/>
      <w:bookmarkStart w:id="7" w:name="_Toc7709969"/>
      <w:r w:rsidRPr="00803DEC">
        <w:rPr>
          <w:rFonts w:ascii="Arial" w:hAnsi="Arial" w:cs="Arial"/>
          <w:sz w:val="22"/>
          <w:szCs w:val="22"/>
        </w:rPr>
        <w:t>Responsabilidad</w:t>
      </w:r>
      <w:r w:rsidR="00340A20" w:rsidRPr="00803DEC">
        <w:rPr>
          <w:rFonts w:ascii="Arial" w:hAnsi="Arial" w:cs="Arial"/>
          <w:sz w:val="22"/>
          <w:szCs w:val="22"/>
        </w:rPr>
        <w:t>es</w:t>
      </w:r>
      <w:r w:rsidRPr="00803DEC">
        <w:rPr>
          <w:rFonts w:ascii="Arial" w:hAnsi="Arial" w:cs="Arial"/>
          <w:sz w:val="22"/>
          <w:szCs w:val="22"/>
        </w:rPr>
        <w:t xml:space="preserve"> </w:t>
      </w:r>
      <w:r w:rsidR="00984735" w:rsidRPr="00803DEC">
        <w:rPr>
          <w:rFonts w:ascii="Arial" w:hAnsi="Arial" w:cs="Arial"/>
          <w:sz w:val="22"/>
          <w:szCs w:val="22"/>
        </w:rPr>
        <w:t xml:space="preserve">y Recursos de Apoyo al </w:t>
      </w:r>
      <w:r w:rsidRPr="00803DEC">
        <w:rPr>
          <w:rFonts w:ascii="Arial" w:hAnsi="Arial" w:cs="Arial"/>
          <w:sz w:val="22"/>
          <w:szCs w:val="22"/>
        </w:rPr>
        <w:t>Programa</w:t>
      </w:r>
      <w:bookmarkEnd w:id="6"/>
      <w:bookmarkEnd w:id="7"/>
    </w:p>
    <w:p w14:paraId="27E1B159" w14:textId="77777777" w:rsidR="00340A20" w:rsidRPr="00596C6B" w:rsidRDefault="00FB4829" w:rsidP="0061571B">
      <w:pPr>
        <w:pStyle w:val="Paragraph"/>
        <w:ind w:left="720" w:hanging="720"/>
        <w:rPr>
          <w:rFonts w:ascii="Arial" w:hAnsi="Arial" w:cs="Arial"/>
          <w:sz w:val="22"/>
          <w:szCs w:val="22"/>
        </w:rPr>
      </w:pPr>
      <w:r w:rsidRPr="00803DEC">
        <w:rPr>
          <w:rFonts w:ascii="Arial" w:hAnsi="Arial" w:cs="Arial"/>
          <w:sz w:val="22"/>
          <w:szCs w:val="22"/>
        </w:rPr>
        <w:t xml:space="preserve">La AFD será el Prestatario y el Organismo Ejecutor (OE) </w:t>
      </w:r>
      <w:r w:rsidR="00D8730D">
        <w:rPr>
          <w:rFonts w:ascii="Arial" w:hAnsi="Arial" w:cs="Arial"/>
          <w:sz w:val="22"/>
          <w:szCs w:val="22"/>
        </w:rPr>
        <w:t>del Programa financiado por el Contrato de Préstamo y</w:t>
      </w:r>
      <w:r w:rsidR="00340A20" w:rsidRPr="00803DEC">
        <w:rPr>
          <w:rFonts w:ascii="Arial" w:hAnsi="Arial" w:cs="Arial"/>
          <w:sz w:val="22"/>
          <w:szCs w:val="22"/>
        </w:rPr>
        <w:t xml:space="preserve"> </w:t>
      </w:r>
      <w:r w:rsidRPr="00803DEC">
        <w:rPr>
          <w:rFonts w:ascii="Arial" w:hAnsi="Arial" w:cs="Arial"/>
          <w:sz w:val="22"/>
          <w:szCs w:val="22"/>
        </w:rPr>
        <w:t xml:space="preserve">será responsable </w:t>
      </w:r>
      <w:r w:rsidR="00D8730D">
        <w:rPr>
          <w:rFonts w:ascii="Arial" w:hAnsi="Arial" w:cs="Arial"/>
          <w:sz w:val="22"/>
          <w:szCs w:val="22"/>
        </w:rPr>
        <w:t>por</w:t>
      </w:r>
      <w:r w:rsidR="00D8730D" w:rsidRPr="00803DEC">
        <w:rPr>
          <w:rFonts w:ascii="Arial" w:hAnsi="Arial" w:cs="Arial"/>
          <w:sz w:val="22"/>
          <w:szCs w:val="22"/>
        </w:rPr>
        <w:t xml:space="preserve"> </w:t>
      </w:r>
      <w:r w:rsidR="00340A20" w:rsidRPr="00803DEC">
        <w:rPr>
          <w:rFonts w:ascii="Arial" w:hAnsi="Arial" w:cs="Arial"/>
          <w:sz w:val="22"/>
          <w:szCs w:val="22"/>
        </w:rPr>
        <w:t xml:space="preserve">su </w:t>
      </w:r>
      <w:r w:rsidR="00340A20" w:rsidRPr="00596C6B">
        <w:rPr>
          <w:rFonts w:ascii="Arial" w:hAnsi="Arial" w:cs="Arial"/>
          <w:sz w:val="22"/>
          <w:szCs w:val="22"/>
        </w:rPr>
        <w:t>administración, ejecución, control y monitoreo.</w:t>
      </w:r>
    </w:p>
    <w:p w14:paraId="185D6E7D" w14:textId="77777777" w:rsidR="00A55AD3" w:rsidRPr="00D96473" w:rsidRDefault="00143E3D" w:rsidP="00A43EAA">
      <w:pPr>
        <w:pStyle w:val="Paragraph"/>
        <w:ind w:left="720" w:hanging="720"/>
        <w:rPr>
          <w:rFonts w:ascii="Arial" w:hAnsi="Arial" w:cs="Arial"/>
          <w:sz w:val="22"/>
          <w:szCs w:val="22"/>
        </w:rPr>
      </w:pPr>
      <w:r w:rsidRPr="00596C6B">
        <w:rPr>
          <w:rFonts w:ascii="Arial" w:hAnsi="Arial" w:cs="Arial"/>
          <w:sz w:val="22"/>
          <w:szCs w:val="22"/>
        </w:rPr>
        <w:t>La unidad de gestión del Programa estará a cargo</w:t>
      </w:r>
      <w:r w:rsidR="001670D0">
        <w:rPr>
          <w:rFonts w:ascii="Arial" w:hAnsi="Arial" w:cs="Arial"/>
          <w:sz w:val="22"/>
          <w:szCs w:val="22"/>
        </w:rPr>
        <w:t xml:space="preserve"> de</w:t>
      </w:r>
      <w:r w:rsidR="0015394D" w:rsidRPr="00596C6B">
        <w:rPr>
          <w:rFonts w:ascii="Arial" w:hAnsi="Arial" w:cs="Arial"/>
          <w:sz w:val="22"/>
          <w:szCs w:val="22"/>
        </w:rPr>
        <w:t xml:space="preserve"> la </w:t>
      </w:r>
      <w:r w:rsidR="0015394D" w:rsidRPr="002C1A07">
        <w:rPr>
          <w:rFonts w:ascii="Arial" w:hAnsi="Arial" w:cs="Arial"/>
          <w:sz w:val="22"/>
          <w:szCs w:val="22"/>
        </w:rPr>
        <w:t xml:space="preserve">Gerencia de Planificación y Finanzas (GPF) </w:t>
      </w:r>
      <w:r w:rsidR="00163A51" w:rsidRPr="002C1A07">
        <w:rPr>
          <w:rFonts w:ascii="Arial" w:hAnsi="Arial" w:cs="Arial"/>
          <w:sz w:val="22"/>
          <w:szCs w:val="22"/>
        </w:rPr>
        <w:t>de</w:t>
      </w:r>
      <w:r w:rsidR="0015394D" w:rsidRPr="002C1A07">
        <w:rPr>
          <w:rFonts w:ascii="Arial" w:hAnsi="Arial" w:cs="Arial"/>
          <w:sz w:val="22"/>
          <w:szCs w:val="22"/>
        </w:rPr>
        <w:t xml:space="preserve"> </w:t>
      </w:r>
      <w:r w:rsidR="00B43284">
        <w:rPr>
          <w:rFonts w:ascii="Arial" w:hAnsi="Arial" w:cs="Arial"/>
          <w:sz w:val="22"/>
          <w:szCs w:val="22"/>
        </w:rPr>
        <w:t xml:space="preserve">la </w:t>
      </w:r>
      <w:r w:rsidR="007D5316" w:rsidRPr="002C1A07">
        <w:rPr>
          <w:rFonts w:ascii="Arial" w:hAnsi="Arial" w:cs="Arial"/>
          <w:sz w:val="22"/>
          <w:szCs w:val="22"/>
        </w:rPr>
        <w:t>AFD</w:t>
      </w:r>
      <w:r w:rsidRPr="002C1A07">
        <w:rPr>
          <w:rFonts w:ascii="Arial" w:hAnsi="Arial" w:cs="Arial"/>
          <w:sz w:val="22"/>
          <w:szCs w:val="22"/>
        </w:rPr>
        <w:t xml:space="preserve">. </w:t>
      </w:r>
      <w:r w:rsidR="00163A51" w:rsidRPr="002C1A07">
        <w:rPr>
          <w:rFonts w:ascii="Arial" w:hAnsi="Arial" w:cs="Arial"/>
          <w:sz w:val="22"/>
          <w:szCs w:val="22"/>
        </w:rPr>
        <w:t>Dicha Gerencia</w:t>
      </w:r>
      <w:r w:rsidR="00163A51" w:rsidRPr="00596C6B">
        <w:rPr>
          <w:rFonts w:ascii="Arial" w:hAnsi="Arial" w:cs="Arial"/>
          <w:sz w:val="22"/>
          <w:szCs w:val="22"/>
        </w:rPr>
        <w:t xml:space="preserve"> </w:t>
      </w:r>
      <w:r w:rsidRPr="00596C6B">
        <w:rPr>
          <w:rFonts w:ascii="Arial" w:hAnsi="Arial" w:cs="Arial"/>
          <w:sz w:val="22"/>
          <w:szCs w:val="22"/>
        </w:rPr>
        <w:t>tend</w:t>
      </w:r>
      <w:r w:rsidR="00A55AD3" w:rsidRPr="00596C6B">
        <w:rPr>
          <w:rFonts w:ascii="Arial" w:hAnsi="Arial" w:cs="Arial"/>
          <w:sz w:val="22"/>
          <w:szCs w:val="22"/>
        </w:rPr>
        <w:t xml:space="preserve">rá </w:t>
      </w:r>
      <w:r w:rsidRPr="00596C6B">
        <w:rPr>
          <w:rFonts w:ascii="Arial" w:hAnsi="Arial" w:cs="Arial"/>
          <w:sz w:val="22"/>
          <w:szCs w:val="22"/>
        </w:rPr>
        <w:t xml:space="preserve">la </w:t>
      </w:r>
      <w:r w:rsidR="00A55AD3" w:rsidRPr="00596C6B">
        <w:rPr>
          <w:rFonts w:ascii="Arial" w:hAnsi="Arial" w:cs="Arial"/>
          <w:sz w:val="22"/>
          <w:szCs w:val="22"/>
        </w:rPr>
        <w:t xml:space="preserve">responsabilidad de </w:t>
      </w:r>
      <w:r w:rsidR="00FB7E0D" w:rsidRPr="00596C6B">
        <w:rPr>
          <w:rFonts w:ascii="Arial" w:hAnsi="Arial" w:cs="Arial"/>
          <w:sz w:val="22"/>
          <w:szCs w:val="22"/>
        </w:rPr>
        <w:t xml:space="preserve">coordinar </w:t>
      </w:r>
      <w:r w:rsidR="00A55AD3" w:rsidRPr="00596C6B">
        <w:rPr>
          <w:rFonts w:ascii="Arial" w:hAnsi="Arial" w:cs="Arial"/>
          <w:sz w:val="22"/>
          <w:szCs w:val="22"/>
        </w:rPr>
        <w:t>el Programa con el BID</w:t>
      </w:r>
      <w:r w:rsidR="00163A51" w:rsidRPr="00D96473">
        <w:rPr>
          <w:rFonts w:ascii="Arial" w:hAnsi="Arial" w:cs="Arial"/>
          <w:sz w:val="22"/>
          <w:szCs w:val="22"/>
        </w:rPr>
        <w:t xml:space="preserve">, utilizando </w:t>
      </w:r>
      <w:r w:rsidR="00385478" w:rsidRPr="00D96473">
        <w:rPr>
          <w:rFonts w:ascii="Arial" w:hAnsi="Arial" w:cs="Arial"/>
          <w:sz w:val="22"/>
          <w:szCs w:val="22"/>
        </w:rPr>
        <w:t>los recursos disponibles y la gobernanza</w:t>
      </w:r>
      <w:r w:rsidR="00A55AD3" w:rsidRPr="00D96473">
        <w:rPr>
          <w:rFonts w:ascii="Arial" w:hAnsi="Arial" w:cs="Arial"/>
          <w:sz w:val="22"/>
          <w:szCs w:val="22"/>
        </w:rPr>
        <w:t xml:space="preserve"> de la entidad para asegurar el cumplimiento de las condiciones de</w:t>
      </w:r>
      <w:r w:rsidR="00D8730D">
        <w:rPr>
          <w:rFonts w:ascii="Arial" w:hAnsi="Arial" w:cs="Arial"/>
          <w:sz w:val="22"/>
          <w:szCs w:val="22"/>
        </w:rPr>
        <w:t>l Contrato de Préstamo y del ROP</w:t>
      </w:r>
      <w:r w:rsidR="00A55AD3" w:rsidRPr="00D96473">
        <w:rPr>
          <w:rFonts w:ascii="Arial" w:hAnsi="Arial" w:cs="Arial"/>
          <w:sz w:val="22"/>
          <w:szCs w:val="22"/>
        </w:rPr>
        <w:t xml:space="preserve">. </w:t>
      </w:r>
    </w:p>
    <w:p w14:paraId="4E903DDA" w14:textId="0F3D0FA3" w:rsidR="005869B6" w:rsidRPr="00803DEC" w:rsidRDefault="000649C4" w:rsidP="0061571B">
      <w:pPr>
        <w:pStyle w:val="Chapter"/>
        <w:tabs>
          <w:tab w:val="clear" w:pos="1440"/>
          <w:tab w:val="clear" w:pos="7470"/>
          <w:tab w:val="left" w:pos="450"/>
        </w:tabs>
        <w:ind w:left="0"/>
        <w:rPr>
          <w:rFonts w:ascii="Arial" w:hAnsi="Arial" w:cs="Arial"/>
          <w:sz w:val="22"/>
          <w:szCs w:val="22"/>
        </w:rPr>
      </w:pPr>
      <w:bookmarkStart w:id="8" w:name="_Toc424822790"/>
      <w:bookmarkStart w:id="9" w:name="_Toc7709970"/>
      <w:r w:rsidRPr="00803DEC">
        <w:rPr>
          <w:rFonts w:ascii="Arial" w:hAnsi="Arial" w:cs="Arial"/>
          <w:sz w:val="22"/>
          <w:szCs w:val="22"/>
        </w:rPr>
        <w:lastRenderedPageBreak/>
        <w:t xml:space="preserve">Descripción General </w:t>
      </w:r>
      <w:bookmarkEnd w:id="8"/>
      <w:r w:rsidR="00DC71A1" w:rsidRPr="00803DEC">
        <w:rPr>
          <w:rFonts w:ascii="Arial" w:hAnsi="Arial" w:cs="Arial"/>
          <w:sz w:val="22"/>
          <w:szCs w:val="22"/>
        </w:rPr>
        <w:t>del Programa</w:t>
      </w:r>
      <w:bookmarkEnd w:id="9"/>
      <w:r w:rsidR="00DC71A1" w:rsidRPr="00803DEC">
        <w:rPr>
          <w:rFonts w:ascii="Arial" w:hAnsi="Arial" w:cs="Arial"/>
          <w:sz w:val="22"/>
          <w:szCs w:val="22"/>
        </w:rPr>
        <w:t xml:space="preserve"> </w:t>
      </w:r>
    </w:p>
    <w:p w14:paraId="3032F5C2" w14:textId="55AE5A62" w:rsidR="00DA31D0" w:rsidRPr="00DA31D0" w:rsidRDefault="00DA31D0" w:rsidP="00DA31D0">
      <w:pPr>
        <w:pStyle w:val="Paragraph"/>
        <w:ind w:left="720" w:hanging="720"/>
        <w:rPr>
          <w:rFonts w:ascii="Arial" w:hAnsi="Arial" w:cs="Arial"/>
          <w:sz w:val="22"/>
          <w:szCs w:val="22"/>
        </w:rPr>
      </w:pPr>
      <w:r w:rsidRPr="00DA31D0">
        <w:rPr>
          <w:rFonts w:ascii="Arial" w:hAnsi="Arial" w:cs="Arial"/>
          <w:sz w:val="22"/>
          <w:szCs w:val="22"/>
        </w:rPr>
        <w:t xml:space="preserve">El objetivo general del programa es contribuir al incremento de la productividad del sector agropecuario en Paraguay. </w:t>
      </w:r>
      <w:r w:rsidR="002A308C" w:rsidRPr="002A308C">
        <w:rPr>
          <w:rFonts w:ascii="Arial" w:hAnsi="Arial" w:cs="Arial"/>
          <w:sz w:val="22"/>
          <w:szCs w:val="22"/>
        </w:rPr>
        <w:t xml:space="preserve">El objetivo específico del proyecto es incrementar el acceso a crédito de mediano y largo plazo a </w:t>
      </w:r>
      <w:proofErr w:type="spellStart"/>
      <w:r w:rsidR="002A308C" w:rsidRPr="002A308C">
        <w:rPr>
          <w:rFonts w:ascii="Arial" w:hAnsi="Arial" w:cs="Arial"/>
          <w:sz w:val="22"/>
          <w:szCs w:val="22"/>
        </w:rPr>
        <w:t>subprestatarios</w:t>
      </w:r>
      <w:proofErr w:type="spellEnd"/>
      <w:r w:rsidR="002A308C" w:rsidRPr="002A308C">
        <w:rPr>
          <w:rFonts w:ascii="Arial" w:hAnsi="Arial" w:cs="Arial"/>
          <w:sz w:val="22"/>
          <w:szCs w:val="22"/>
        </w:rPr>
        <w:t xml:space="preserve"> agropecuarios elegibles tendientes a incorporar tecnologías para que los mismos puedan invertir de manera productiva.</w:t>
      </w:r>
    </w:p>
    <w:p w14:paraId="0EA1A5B8" w14:textId="12B1541F" w:rsidR="003F3F9D" w:rsidRPr="00DA31D0" w:rsidRDefault="00DA31D0" w:rsidP="00DA31D0">
      <w:pPr>
        <w:pStyle w:val="Paragraph"/>
        <w:ind w:left="720" w:hanging="720"/>
        <w:rPr>
          <w:rFonts w:ascii="Arial" w:hAnsi="Arial" w:cs="Arial"/>
          <w:sz w:val="22"/>
          <w:szCs w:val="22"/>
        </w:rPr>
      </w:pPr>
      <w:r w:rsidRPr="00DA31D0">
        <w:rPr>
          <w:rFonts w:ascii="Arial" w:hAnsi="Arial" w:cs="Arial"/>
          <w:sz w:val="22"/>
          <w:szCs w:val="22"/>
        </w:rPr>
        <w:t xml:space="preserve">El programa se estructura en torno a un componente único de otorgamiento de crédito de mediano y largo plazo (plazos superiores a un año). En este sentido, se otorgarán recursos por </w:t>
      </w:r>
      <w:r w:rsidR="008F09F1">
        <w:rPr>
          <w:rFonts w:ascii="Arial" w:hAnsi="Arial" w:cs="Arial"/>
          <w:sz w:val="22"/>
          <w:szCs w:val="22"/>
        </w:rPr>
        <w:t xml:space="preserve">USD </w:t>
      </w:r>
      <w:r w:rsidRPr="00DA31D0">
        <w:rPr>
          <w:rFonts w:ascii="Arial" w:hAnsi="Arial" w:cs="Arial"/>
          <w:sz w:val="22"/>
          <w:szCs w:val="22"/>
        </w:rPr>
        <w:t xml:space="preserve">30 millones a </w:t>
      </w:r>
      <w:proofErr w:type="spellStart"/>
      <w:r w:rsidR="00302D0C">
        <w:rPr>
          <w:rFonts w:ascii="Arial" w:hAnsi="Arial" w:cs="Arial"/>
          <w:sz w:val="22"/>
          <w:szCs w:val="22"/>
        </w:rPr>
        <w:t>subpresta</w:t>
      </w:r>
      <w:r w:rsidRPr="00DA31D0">
        <w:rPr>
          <w:rFonts w:ascii="Arial" w:hAnsi="Arial" w:cs="Arial"/>
          <w:sz w:val="22"/>
          <w:szCs w:val="22"/>
        </w:rPr>
        <w:t>tarios</w:t>
      </w:r>
      <w:proofErr w:type="spellEnd"/>
      <w:r w:rsidRPr="00DA31D0">
        <w:rPr>
          <w:rFonts w:ascii="Arial" w:hAnsi="Arial" w:cs="Arial"/>
          <w:sz w:val="22"/>
          <w:szCs w:val="22"/>
        </w:rPr>
        <w:t xml:space="preserve"> agropecuarios elegibles que pertenezcan a cualquier eslabón dentro de la cadena de valor agropecuaria</w:t>
      </w:r>
      <w:r>
        <w:rPr>
          <w:rFonts w:ascii="Arial" w:hAnsi="Arial" w:cs="Arial"/>
          <w:sz w:val="22"/>
          <w:szCs w:val="22"/>
        </w:rPr>
        <w:t xml:space="preserve"> (ver Cuadro 1).</w:t>
      </w:r>
    </w:p>
    <w:p w14:paraId="6A5F4F4B" w14:textId="59218D1D" w:rsidR="003F3F9D" w:rsidRPr="000D0FC9" w:rsidRDefault="003F3F9D" w:rsidP="003F3F9D">
      <w:pPr>
        <w:pStyle w:val="Paragraph"/>
        <w:numPr>
          <w:ilvl w:val="0"/>
          <w:numId w:val="0"/>
        </w:numPr>
        <w:ind w:left="720"/>
        <w:jc w:val="center"/>
        <w:rPr>
          <w:rFonts w:ascii="Arial" w:hAnsi="Arial" w:cs="Arial"/>
          <w:b/>
          <w:sz w:val="20"/>
          <w:szCs w:val="22"/>
        </w:rPr>
      </w:pPr>
      <w:r w:rsidRPr="000D0FC9">
        <w:rPr>
          <w:rFonts w:ascii="Arial" w:hAnsi="Arial" w:cs="Arial"/>
          <w:b/>
          <w:sz w:val="20"/>
          <w:szCs w:val="22"/>
        </w:rPr>
        <w:t>C</w:t>
      </w:r>
      <w:r w:rsidR="00DA31D0" w:rsidRPr="000D0FC9">
        <w:rPr>
          <w:rFonts w:ascii="Arial" w:hAnsi="Arial" w:cs="Arial"/>
          <w:b/>
          <w:sz w:val="20"/>
          <w:szCs w:val="22"/>
        </w:rPr>
        <w:t xml:space="preserve">uadro </w:t>
      </w:r>
      <w:r w:rsidRPr="000D0FC9">
        <w:rPr>
          <w:rFonts w:ascii="Arial" w:hAnsi="Arial" w:cs="Arial"/>
          <w:b/>
          <w:sz w:val="20"/>
          <w:szCs w:val="22"/>
        </w:rPr>
        <w:t xml:space="preserve">1: Componente </w:t>
      </w:r>
      <w:r w:rsidR="00DA31D0" w:rsidRPr="000D0FC9">
        <w:rPr>
          <w:rFonts w:ascii="Arial" w:hAnsi="Arial" w:cs="Arial"/>
          <w:b/>
          <w:sz w:val="20"/>
          <w:szCs w:val="22"/>
        </w:rPr>
        <w:t xml:space="preserve">único </w:t>
      </w:r>
      <w:r w:rsidRPr="000D0FC9">
        <w:rPr>
          <w:rFonts w:ascii="Arial" w:hAnsi="Arial" w:cs="Arial"/>
          <w:b/>
          <w:sz w:val="20"/>
          <w:szCs w:val="22"/>
        </w:rPr>
        <w:t>del Programa</w:t>
      </w:r>
    </w:p>
    <w:tbl>
      <w:tblPr>
        <w:tblW w:w="771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1417"/>
        <w:gridCol w:w="1276"/>
        <w:gridCol w:w="1462"/>
      </w:tblGrid>
      <w:tr w:rsidR="003F3F9D" w:rsidRPr="00803DEC" w14:paraId="5B9C40AE" w14:textId="77777777" w:rsidTr="0067247C">
        <w:tc>
          <w:tcPr>
            <w:tcW w:w="3562" w:type="dxa"/>
          </w:tcPr>
          <w:p w14:paraId="6571ED13" w14:textId="7CEB5061" w:rsidR="003F3F9D" w:rsidRPr="000D0FC9" w:rsidRDefault="000D0FC9" w:rsidP="00752194">
            <w:pPr>
              <w:jc w:val="center"/>
              <w:rPr>
                <w:rFonts w:ascii="Arial" w:hAnsi="Arial"/>
                <w:b/>
                <w:position w:val="8"/>
                <w:lang w:val="es-ES_tradnl"/>
              </w:rPr>
            </w:pPr>
            <w:r>
              <w:rPr>
                <w:rFonts w:ascii="Arial" w:hAnsi="Arial"/>
                <w:b/>
                <w:position w:val="8"/>
                <w:lang w:val="es-ES_tradnl"/>
              </w:rPr>
              <w:t>R</w:t>
            </w:r>
            <w:r w:rsidR="003F3F9D" w:rsidRPr="000D0FC9">
              <w:rPr>
                <w:rFonts w:ascii="Arial" w:hAnsi="Arial"/>
                <w:b/>
                <w:position w:val="8"/>
                <w:lang w:val="es-ES_tradnl"/>
              </w:rPr>
              <w:t>ecursos</w:t>
            </w:r>
          </w:p>
          <w:p w14:paraId="5EA0E344" w14:textId="061375ED" w:rsidR="003F3F9D" w:rsidRPr="000D0FC9" w:rsidRDefault="000D0FC9" w:rsidP="00752194">
            <w:pPr>
              <w:jc w:val="center"/>
              <w:rPr>
                <w:rFonts w:ascii="Arial" w:hAnsi="Arial"/>
                <w:b/>
                <w:position w:val="8"/>
                <w:lang w:val="es-ES_tradnl"/>
              </w:rPr>
            </w:pPr>
            <w:r>
              <w:rPr>
                <w:rFonts w:ascii="Arial" w:hAnsi="Arial"/>
                <w:b/>
                <w:position w:val="8"/>
                <w:lang w:val="es-ES_tradnl"/>
              </w:rPr>
              <w:t>(</w:t>
            </w:r>
            <w:r w:rsidR="003F3F9D" w:rsidRPr="000D0FC9">
              <w:rPr>
                <w:rFonts w:ascii="Arial" w:hAnsi="Arial"/>
                <w:b/>
                <w:position w:val="8"/>
                <w:lang w:val="es-ES_tradnl"/>
              </w:rPr>
              <w:t xml:space="preserve">Millones de </w:t>
            </w:r>
            <w:r w:rsidR="008F09F1">
              <w:rPr>
                <w:rFonts w:ascii="Arial" w:hAnsi="Arial"/>
                <w:b/>
                <w:position w:val="8"/>
                <w:lang w:val="es-ES_tradnl"/>
              </w:rPr>
              <w:t>USD</w:t>
            </w:r>
            <w:r>
              <w:rPr>
                <w:rFonts w:ascii="Arial" w:hAnsi="Arial"/>
                <w:b/>
                <w:position w:val="8"/>
                <w:lang w:val="es-ES_tradnl"/>
              </w:rPr>
              <w:t>)</w:t>
            </w:r>
          </w:p>
        </w:tc>
        <w:tc>
          <w:tcPr>
            <w:tcW w:w="1417" w:type="dxa"/>
          </w:tcPr>
          <w:p w14:paraId="5D3BA116" w14:textId="77777777" w:rsidR="003F3F9D" w:rsidRPr="000D0FC9" w:rsidRDefault="003F3F9D" w:rsidP="00752194">
            <w:pPr>
              <w:jc w:val="center"/>
              <w:rPr>
                <w:rFonts w:ascii="Arial" w:hAnsi="Arial"/>
                <w:b/>
                <w:position w:val="8"/>
                <w:lang w:val="es-ES_tradnl"/>
              </w:rPr>
            </w:pPr>
            <w:r w:rsidRPr="000D0FC9">
              <w:rPr>
                <w:rFonts w:ascii="Arial" w:hAnsi="Arial"/>
                <w:b/>
                <w:position w:val="8"/>
                <w:lang w:val="es-ES_tradnl"/>
              </w:rPr>
              <w:t>BID</w:t>
            </w:r>
          </w:p>
        </w:tc>
        <w:tc>
          <w:tcPr>
            <w:tcW w:w="1276" w:type="dxa"/>
          </w:tcPr>
          <w:p w14:paraId="539FACB9" w14:textId="77777777" w:rsidR="003F3F9D" w:rsidRPr="000D0FC9" w:rsidRDefault="003F3F9D" w:rsidP="00752194">
            <w:pPr>
              <w:jc w:val="center"/>
              <w:rPr>
                <w:rFonts w:ascii="Arial" w:hAnsi="Arial"/>
                <w:b/>
                <w:position w:val="8"/>
                <w:lang w:val="es-ES_tradnl"/>
              </w:rPr>
            </w:pPr>
            <w:r w:rsidRPr="000D0FC9">
              <w:rPr>
                <w:rFonts w:ascii="Arial" w:hAnsi="Arial"/>
                <w:b/>
                <w:position w:val="8"/>
                <w:lang w:val="es-ES_tradnl"/>
              </w:rPr>
              <w:t>AFD</w:t>
            </w:r>
          </w:p>
        </w:tc>
        <w:tc>
          <w:tcPr>
            <w:tcW w:w="1462" w:type="dxa"/>
          </w:tcPr>
          <w:p w14:paraId="2FB205FB" w14:textId="77777777" w:rsidR="003F3F9D" w:rsidRPr="000D0FC9" w:rsidRDefault="003F3F9D" w:rsidP="00752194">
            <w:pPr>
              <w:jc w:val="center"/>
              <w:rPr>
                <w:rFonts w:ascii="Arial" w:hAnsi="Arial"/>
                <w:b/>
                <w:position w:val="8"/>
                <w:lang w:val="es-ES_tradnl"/>
              </w:rPr>
            </w:pPr>
            <w:r w:rsidRPr="000D0FC9">
              <w:rPr>
                <w:rFonts w:ascii="Arial" w:hAnsi="Arial"/>
                <w:b/>
                <w:position w:val="8"/>
                <w:lang w:val="es-ES_tradnl"/>
              </w:rPr>
              <w:t>Total</w:t>
            </w:r>
          </w:p>
        </w:tc>
      </w:tr>
      <w:tr w:rsidR="003F3F9D" w:rsidRPr="00803DEC" w14:paraId="34DD6DBB" w14:textId="77777777" w:rsidTr="0067247C">
        <w:tc>
          <w:tcPr>
            <w:tcW w:w="3562" w:type="dxa"/>
          </w:tcPr>
          <w:p w14:paraId="146A2C87" w14:textId="0657BCF3" w:rsidR="003F3F9D" w:rsidRPr="000D0FC9" w:rsidRDefault="003F3F9D" w:rsidP="00716E8D">
            <w:pPr>
              <w:rPr>
                <w:rFonts w:ascii="Arial" w:hAnsi="Arial"/>
                <w:position w:val="8"/>
                <w:lang w:val="es-ES_tradnl"/>
              </w:rPr>
            </w:pPr>
            <w:r w:rsidRPr="000D0FC9">
              <w:rPr>
                <w:rFonts w:ascii="Arial" w:hAnsi="Arial"/>
                <w:position w:val="8"/>
                <w:lang w:val="es-ES_tradnl"/>
              </w:rPr>
              <w:t xml:space="preserve">Recursos del </w:t>
            </w:r>
            <w:r w:rsidR="008E0035" w:rsidRPr="000D0FC9">
              <w:rPr>
                <w:rFonts w:ascii="Arial" w:hAnsi="Arial" w:cs="Arial"/>
                <w:position w:val="8"/>
                <w:szCs w:val="22"/>
                <w:lang w:val="es-ES_tradnl"/>
              </w:rPr>
              <w:t>Préstamo</w:t>
            </w:r>
            <w:r w:rsidRPr="000D0FC9">
              <w:rPr>
                <w:rFonts w:ascii="Arial" w:hAnsi="Arial"/>
                <w:position w:val="8"/>
                <w:lang w:val="es-ES_tradnl"/>
              </w:rPr>
              <w:t xml:space="preserve"> </w:t>
            </w:r>
          </w:p>
        </w:tc>
        <w:tc>
          <w:tcPr>
            <w:tcW w:w="1417" w:type="dxa"/>
          </w:tcPr>
          <w:p w14:paraId="483AFE4D" w14:textId="4C3174F2" w:rsidR="003F3F9D" w:rsidRPr="000D0FC9" w:rsidRDefault="00DA31D0" w:rsidP="00752194">
            <w:pPr>
              <w:jc w:val="center"/>
              <w:rPr>
                <w:rFonts w:ascii="Arial" w:hAnsi="Arial"/>
                <w:position w:val="8"/>
                <w:lang w:val="es-ES_tradnl"/>
              </w:rPr>
            </w:pPr>
            <w:r w:rsidRPr="000D0FC9">
              <w:rPr>
                <w:rFonts w:ascii="Arial" w:hAnsi="Arial"/>
                <w:position w:val="8"/>
                <w:lang w:val="es-ES_tradnl"/>
              </w:rPr>
              <w:t>3</w:t>
            </w:r>
            <w:r w:rsidR="003F3F9D" w:rsidRPr="000D0FC9">
              <w:rPr>
                <w:rFonts w:ascii="Arial" w:hAnsi="Arial"/>
                <w:position w:val="8"/>
                <w:lang w:val="es-ES_tradnl"/>
              </w:rPr>
              <w:t>0</w:t>
            </w:r>
          </w:p>
        </w:tc>
        <w:tc>
          <w:tcPr>
            <w:tcW w:w="1276" w:type="dxa"/>
          </w:tcPr>
          <w:p w14:paraId="1A3A9FD9" w14:textId="77777777" w:rsidR="003F3F9D" w:rsidRPr="000D0FC9" w:rsidRDefault="003F3F9D" w:rsidP="00752194">
            <w:pPr>
              <w:jc w:val="center"/>
              <w:rPr>
                <w:rFonts w:ascii="Arial" w:hAnsi="Arial"/>
                <w:position w:val="8"/>
                <w:lang w:val="es-ES_tradnl"/>
              </w:rPr>
            </w:pPr>
            <w:r w:rsidRPr="000D0FC9">
              <w:rPr>
                <w:rFonts w:ascii="Arial" w:hAnsi="Arial"/>
                <w:position w:val="8"/>
                <w:lang w:val="es-ES_tradnl"/>
              </w:rPr>
              <w:t>0</w:t>
            </w:r>
          </w:p>
        </w:tc>
        <w:tc>
          <w:tcPr>
            <w:tcW w:w="1462" w:type="dxa"/>
          </w:tcPr>
          <w:p w14:paraId="5613136F" w14:textId="5BD7F17A" w:rsidR="003F3F9D" w:rsidRPr="000D0FC9" w:rsidRDefault="00DA31D0" w:rsidP="00752194">
            <w:pPr>
              <w:jc w:val="center"/>
              <w:rPr>
                <w:rFonts w:ascii="Arial" w:hAnsi="Arial"/>
                <w:b/>
                <w:position w:val="8"/>
                <w:lang w:val="es-ES_tradnl"/>
              </w:rPr>
            </w:pPr>
            <w:r w:rsidRPr="000D0FC9">
              <w:rPr>
                <w:rFonts w:ascii="Arial" w:hAnsi="Arial"/>
                <w:b/>
                <w:position w:val="8"/>
                <w:lang w:val="es-ES_tradnl"/>
              </w:rPr>
              <w:t>3</w:t>
            </w:r>
            <w:r w:rsidR="003F3F9D" w:rsidRPr="000D0FC9">
              <w:rPr>
                <w:rFonts w:ascii="Arial" w:hAnsi="Arial"/>
                <w:b/>
                <w:position w:val="8"/>
                <w:lang w:val="es-ES_tradnl"/>
              </w:rPr>
              <w:t>0</w:t>
            </w:r>
          </w:p>
        </w:tc>
      </w:tr>
      <w:tr w:rsidR="003F3F9D" w:rsidRPr="00803DEC" w14:paraId="11F78615" w14:textId="77777777" w:rsidTr="0067247C">
        <w:tc>
          <w:tcPr>
            <w:tcW w:w="3562" w:type="dxa"/>
          </w:tcPr>
          <w:p w14:paraId="7D43AD32" w14:textId="77777777" w:rsidR="003F3F9D" w:rsidRPr="000D0FC9" w:rsidRDefault="003F3F9D" w:rsidP="00752194">
            <w:pPr>
              <w:jc w:val="center"/>
              <w:rPr>
                <w:rFonts w:ascii="Arial" w:hAnsi="Arial"/>
                <w:b/>
                <w:position w:val="8"/>
                <w:lang w:val="es-ES_tradnl"/>
              </w:rPr>
            </w:pPr>
            <w:r w:rsidRPr="000D0FC9">
              <w:rPr>
                <w:rFonts w:ascii="Arial" w:hAnsi="Arial"/>
                <w:b/>
                <w:position w:val="8"/>
                <w:lang w:val="es-ES_tradnl"/>
              </w:rPr>
              <w:t>Total</w:t>
            </w:r>
          </w:p>
        </w:tc>
        <w:tc>
          <w:tcPr>
            <w:tcW w:w="1417" w:type="dxa"/>
          </w:tcPr>
          <w:p w14:paraId="285863E2" w14:textId="2AA179F0" w:rsidR="003F3F9D" w:rsidRPr="000D0FC9" w:rsidRDefault="00DA31D0" w:rsidP="00752194">
            <w:pPr>
              <w:jc w:val="center"/>
              <w:rPr>
                <w:rFonts w:ascii="Arial" w:hAnsi="Arial"/>
                <w:b/>
                <w:position w:val="8"/>
                <w:lang w:val="es-ES_tradnl"/>
              </w:rPr>
            </w:pPr>
            <w:r w:rsidRPr="000D0FC9">
              <w:rPr>
                <w:rFonts w:ascii="Arial" w:hAnsi="Arial"/>
                <w:b/>
                <w:position w:val="8"/>
                <w:lang w:val="es-ES_tradnl"/>
              </w:rPr>
              <w:t>3</w:t>
            </w:r>
            <w:r w:rsidR="003F3F9D" w:rsidRPr="000D0FC9">
              <w:rPr>
                <w:rFonts w:ascii="Arial" w:hAnsi="Arial"/>
                <w:b/>
                <w:position w:val="8"/>
                <w:lang w:val="es-ES_tradnl"/>
              </w:rPr>
              <w:t>0</w:t>
            </w:r>
          </w:p>
        </w:tc>
        <w:tc>
          <w:tcPr>
            <w:tcW w:w="1276" w:type="dxa"/>
          </w:tcPr>
          <w:p w14:paraId="61FC8D5F" w14:textId="0E66F2EB" w:rsidR="003F3F9D" w:rsidRPr="000D0FC9" w:rsidRDefault="00DA31D0" w:rsidP="00752194">
            <w:pPr>
              <w:jc w:val="center"/>
              <w:rPr>
                <w:rFonts w:ascii="Arial" w:hAnsi="Arial"/>
                <w:b/>
                <w:position w:val="8"/>
                <w:lang w:val="es-ES_tradnl"/>
              </w:rPr>
            </w:pPr>
            <w:r w:rsidRPr="000D0FC9">
              <w:rPr>
                <w:rFonts w:ascii="Arial" w:hAnsi="Arial"/>
                <w:b/>
                <w:position w:val="8"/>
                <w:lang w:val="es-ES_tradnl"/>
              </w:rPr>
              <w:t>0</w:t>
            </w:r>
          </w:p>
        </w:tc>
        <w:tc>
          <w:tcPr>
            <w:tcW w:w="1462" w:type="dxa"/>
          </w:tcPr>
          <w:p w14:paraId="30C85F29" w14:textId="792DB3B4" w:rsidR="003F3F9D" w:rsidRPr="000D0FC9" w:rsidRDefault="00DA31D0" w:rsidP="00752194">
            <w:pPr>
              <w:jc w:val="center"/>
              <w:rPr>
                <w:rFonts w:ascii="Arial" w:hAnsi="Arial"/>
                <w:b/>
                <w:position w:val="8"/>
                <w:lang w:val="es-ES_tradnl"/>
              </w:rPr>
            </w:pPr>
            <w:r w:rsidRPr="000D0FC9">
              <w:rPr>
                <w:rFonts w:ascii="Arial" w:hAnsi="Arial"/>
                <w:b/>
                <w:position w:val="8"/>
                <w:lang w:val="es-ES_tradnl"/>
              </w:rPr>
              <w:t>3</w:t>
            </w:r>
            <w:r w:rsidR="003F3F9D" w:rsidRPr="000D0FC9">
              <w:rPr>
                <w:rFonts w:ascii="Arial" w:hAnsi="Arial"/>
                <w:b/>
                <w:position w:val="8"/>
                <w:lang w:val="es-ES_tradnl"/>
              </w:rPr>
              <w:t>0</w:t>
            </w:r>
          </w:p>
        </w:tc>
      </w:tr>
    </w:tbl>
    <w:p w14:paraId="1F293325" w14:textId="464F6125" w:rsidR="005F0944" w:rsidRPr="00803DEC" w:rsidRDefault="00FB7E0D" w:rsidP="0061571B">
      <w:pPr>
        <w:pStyle w:val="Paragraph"/>
        <w:ind w:left="720" w:hanging="720"/>
        <w:rPr>
          <w:rFonts w:ascii="Arial" w:hAnsi="Arial" w:cs="Arial"/>
          <w:sz w:val="22"/>
          <w:szCs w:val="22"/>
        </w:rPr>
      </w:pPr>
      <w:r w:rsidRPr="00803DEC">
        <w:rPr>
          <w:rFonts w:ascii="Arial" w:hAnsi="Arial" w:cs="Arial"/>
          <w:sz w:val="22"/>
          <w:szCs w:val="22"/>
        </w:rPr>
        <w:t xml:space="preserve">El Programa canalizará los fondos a través de </w:t>
      </w:r>
      <w:r w:rsidR="009A3384">
        <w:rPr>
          <w:rFonts w:ascii="Arial" w:hAnsi="Arial" w:cs="Arial"/>
          <w:sz w:val="22"/>
          <w:szCs w:val="22"/>
        </w:rPr>
        <w:t>IFI</w:t>
      </w:r>
      <w:r w:rsidRPr="00803DEC">
        <w:rPr>
          <w:rFonts w:ascii="Arial" w:hAnsi="Arial" w:cs="Arial"/>
          <w:sz w:val="22"/>
          <w:szCs w:val="22"/>
        </w:rPr>
        <w:t xml:space="preserve"> habilitadas quienes a su </w:t>
      </w:r>
      <w:r w:rsidR="00B06FBB" w:rsidRPr="00803DEC">
        <w:rPr>
          <w:rFonts w:ascii="Arial" w:hAnsi="Arial" w:cs="Arial"/>
          <w:sz w:val="22"/>
          <w:szCs w:val="22"/>
        </w:rPr>
        <w:t>vez proporcionarán</w:t>
      </w:r>
      <w:r w:rsidR="005F0944" w:rsidRPr="00803DEC">
        <w:rPr>
          <w:rFonts w:ascii="Arial" w:hAnsi="Arial" w:cs="Arial"/>
          <w:sz w:val="22"/>
          <w:szCs w:val="22"/>
        </w:rPr>
        <w:t xml:space="preserve"> </w:t>
      </w:r>
      <w:r w:rsidR="00C175C0">
        <w:rPr>
          <w:rFonts w:ascii="Arial" w:hAnsi="Arial" w:cs="Arial"/>
          <w:sz w:val="22"/>
          <w:szCs w:val="22"/>
        </w:rPr>
        <w:t>S</w:t>
      </w:r>
      <w:r w:rsidR="00DE6192">
        <w:rPr>
          <w:rFonts w:ascii="Arial" w:hAnsi="Arial" w:cs="Arial"/>
          <w:sz w:val="22"/>
          <w:szCs w:val="22"/>
        </w:rPr>
        <w:t>ubpréstamos</w:t>
      </w:r>
      <w:r w:rsidR="005F0944" w:rsidRPr="00803DEC">
        <w:rPr>
          <w:rFonts w:ascii="Arial" w:hAnsi="Arial" w:cs="Arial"/>
          <w:sz w:val="22"/>
          <w:szCs w:val="22"/>
        </w:rPr>
        <w:t xml:space="preserve"> a </w:t>
      </w:r>
      <w:proofErr w:type="spellStart"/>
      <w:r w:rsidR="00302D0C">
        <w:rPr>
          <w:rFonts w:ascii="Arial" w:hAnsi="Arial" w:cs="Arial"/>
          <w:sz w:val="22"/>
          <w:szCs w:val="22"/>
        </w:rPr>
        <w:t>subpresta</w:t>
      </w:r>
      <w:r w:rsidR="00DA31D0" w:rsidRPr="00DA31D0">
        <w:rPr>
          <w:rFonts w:ascii="Arial" w:hAnsi="Arial" w:cs="Arial"/>
          <w:sz w:val="22"/>
          <w:szCs w:val="22"/>
        </w:rPr>
        <w:t>tarios</w:t>
      </w:r>
      <w:proofErr w:type="spellEnd"/>
      <w:r w:rsidR="00DA31D0" w:rsidRPr="00DA31D0">
        <w:rPr>
          <w:rFonts w:ascii="Arial" w:hAnsi="Arial" w:cs="Arial"/>
          <w:sz w:val="22"/>
          <w:szCs w:val="22"/>
        </w:rPr>
        <w:t xml:space="preserve"> </w:t>
      </w:r>
      <w:r w:rsidR="005F0944" w:rsidRPr="00803DEC">
        <w:rPr>
          <w:rFonts w:ascii="Arial" w:hAnsi="Arial" w:cs="Arial"/>
          <w:sz w:val="22"/>
          <w:szCs w:val="22"/>
        </w:rPr>
        <w:t xml:space="preserve">elegibles. </w:t>
      </w:r>
    </w:p>
    <w:p w14:paraId="1688A896" w14:textId="596F78EE" w:rsidR="003E254F" w:rsidRPr="00803DEC" w:rsidRDefault="003E254F" w:rsidP="0061571B">
      <w:pPr>
        <w:pStyle w:val="Paragraph"/>
        <w:ind w:left="720" w:hanging="720"/>
        <w:rPr>
          <w:rFonts w:ascii="Arial" w:hAnsi="Arial" w:cs="Arial"/>
          <w:sz w:val="22"/>
          <w:szCs w:val="22"/>
        </w:rPr>
      </w:pPr>
      <w:r>
        <w:rPr>
          <w:rFonts w:ascii="Arial" w:hAnsi="Arial" w:cs="Arial"/>
          <w:sz w:val="22"/>
          <w:szCs w:val="22"/>
        </w:rPr>
        <w:t xml:space="preserve">Las características y condiciones que regirán </w:t>
      </w:r>
      <w:r w:rsidR="00147DFD">
        <w:rPr>
          <w:rFonts w:ascii="Arial" w:hAnsi="Arial" w:cs="Arial"/>
          <w:sz w:val="22"/>
          <w:szCs w:val="22"/>
        </w:rPr>
        <w:t>los</w:t>
      </w:r>
      <w:r>
        <w:rPr>
          <w:rFonts w:ascii="Arial" w:hAnsi="Arial" w:cs="Arial"/>
          <w:sz w:val="22"/>
          <w:szCs w:val="22"/>
        </w:rPr>
        <w:t xml:space="preserve"> producto</w:t>
      </w:r>
      <w:r w:rsidR="00147DFD">
        <w:rPr>
          <w:rFonts w:ascii="Arial" w:hAnsi="Arial" w:cs="Arial"/>
          <w:sz w:val="22"/>
          <w:szCs w:val="22"/>
        </w:rPr>
        <w:t>s</w:t>
      </w:r>
      <w:r>
        <w:rPr>
          <w:rFonts w:ascii="Arial" w:hAnsi="Arial" w:cs="Arial"/>
          <w:sz w:val="22"/>
          <w:szCs w:val="22"/>
        </w:rPr>
        <w:t xml:space="preserve"> crediticio</w:t>
      </w:r>
      <w:r w:rsidR="00147DFD">
        <w:rPr>
          <w:rFonts w:ascii="Arial" w:hAnsi="Arial" w:cs="Arial"/>
          <w:sz w:val="22"/>
          <w:szCs w:val="22"/>
        </w:rPr>
        <w:t>s</w:t>
      </w:r>
      <w:r>
        <w:rPr>
          <w:rFonts w:ascii="Arial" w:hAnsi="Arial" w:cs="Arial"/>
          <w:sz w:val="22"/>
          <w:szCs w:val="22"/>
        </w:rPr>
        <w:t xml:space="preserve"> de la AFD canalizado por las IFI a</w:t>
      </w:r>
      <w:r w:rsidR="00DA31D0">
        <w:rPr>
          <w:rFonts w:ascii="Arial" w:hAnsi="Arial" w:cs="Arial"/>
          <w:sz w:val="22"/>
          <w:szCs w:val="22"/>
        </w:rPr>
        <w:t xml:space="preserve"> </w:t>
      </w:r>
      <w:r>
        <w:rPr>
          <w:rFonts w:ascii="Arial" w:hAnsi="Arial" w:cs="Arial"/>
          <w:sz w:val="22"/>
          <w:szCs w:val="22"/>
        </w:rPr>
        <w:t>l</w:t>
      </w:r>
      <w:r w:rsidR="00DA31D0">
        <w:rPr>
          <w:rFonts w:ascii="Arial" w:hAnsi="Arial" w:cs="Arial"/>
          <w:sz w:val="22"/>
          <w:szCs w:val="22"/>
        </w:rPr>
        <w:t>os</w:t>
      </w:r>
      <w:r>
        <w:rPr>
          <w:rFonts w:ascii="Arial" w:hAnsi="Arial" w:cs="Arial"/>
          <w:sz w:val="22"/>
          <w:szCs w:val="22"/>
        </w:rPr>
        <w:t xml:space="preserve"> </w:t>
      </w:r>
      <w:proofErr w:type="spellStart"/>
      <w:r w:rsidR="00302D0C">
        <w:rPr>
          <w:rFonts w:ascii="Arial" w:hAnsi="Arial" w:cs="Arial"/>
          <w:sz w:val="22"/>
          <w:szCs w:val="22"/>
        </w:rPr>
        <w:t>subpresta</w:t>
      </w:r>
      <w:r>
        <w:rPr>
          <w:rFonts w:ascii="Arial" w:hAnsi="Arial" w:cs="Arial"/>
          <w:sz w:val="22"/>
          <w:szCs w:val="22"/>
        </w:rPr>
        <w:t>tario</w:t>
      </w:r>
      <w:r w:rsidR="00DA31D0">
        <w:rPr>
          <w:rFonts w:ascii="Arial" w:hAnsi="Arial" w:cs="Arial"/>
          <w:sz w:val="22"/>
          <w:szCs w:val="22"/>
        </w:rPr>
        <w:t>s</w:t>
      </w:r>
      <w:proofErr w:type="spellEnd"/>
      <w:r w:rsidR="009C48A1">
        <w:rPr>
          <w:rFonts w:ascii="Arial" w:hAnsi="Arial" w:cs="Arial"/>
          <w:sz w:val="22"/>
          <w:szCs w:val="22"/>
        </w:rPr>
        <w:t xml:space="preserve"> </w:t>
      </w:r>
      <w:r w:rsidR="000D0FC9">
        <w:rPr>
          <w:rFonts w:ascii="Arial" w:hAnsi="Arial" w:cs="Arial"/>
          <w:sz w:val="22"/>
          <w:szCs w:val="22"/>
        </w:rPr>
        <w:t xml:space="preserve">están </w:t>
      </w:r>
      <w:r w:rsidR="009C48A1">
        <w:rPr>
          <w:rFonts w:ascii="Arial" w:hAnsi="Arial" w:cs="Arial"/>
          <w:sz w:val="22"/>
          <w:szCs w:val="22"/>
        </w:rPr>
        <w:t xml:space="preserve">detalladas en </w:t>
      </w:r>
      <w:r w:rsidR="00147DFD">
        <w:rPr>
          <w:rFonts w:ascii="Arial" w:hAnsi="Arial" w:cs="Arial"/>
          <w:sz w:val="22"/>
          <w:szCs w:val="22"/>
        </w:rPr>
        <w:t xml:space="preserve">los productos crediticios </w:t>
      </w:r>
      <w:r w:rsidR="009C48A1">
        <w:rPr>
          <w:rFonts w:ascii="Arial" w:hAnsi="Arial" w:cs="Arial"/>
          <w:sz w:val="22"/>
          <w:szCs w:val="22"/>
        </w:rPr>
        <w:t xml:space="preserve">de acuerdo con los procedimientos de </w:t>
      </w:r>
      <w:r w:rsidR="00B43284">
        <w:rPr>
          <w:rFonts w:ascii="Arial" w:hAnsi="Arial" w:cs="Arial"/>
          <w:sz w:val="22"/>
          <w:szCs w:val="22"/>
        </w:rPr>
        <w:t xml:space="preserve">la </w:t>
      </w:r>
      <w:r w:rsidR="009C48A1">
        <w:rPr>
          <w:rFonts w:ascii="Arial" w:hAnsi="Arial" w:cs="Arial"/>
          <w:sz w:val="22"/>
          <w:szCs w:val="22"/>
        </w:rPr>
        <w:t>AFD</w:t>
      </w:r>
      <w:r w:rsidR="00187AE9">
        <w:rPr>
          <w:rFonts w:ascii="Arial" w:hAnsi="Arial" w:cs="Arial"/>
          <w:sz w:val="22"/>
          <w:szCs w:val="22"/>
        </w:rPr>
        <w:t>.</w:t>
      </w:r>
    </w:p>
    <w:p w14:paraId="13B848A1" w14:textId="231E7AEA" w:rsidR="00FA548F" w:rsidRPr="00803DEC" w:rsidRDefault="002D1422" w:rsidP="0061571B">
      <w:pPr>
        <w:pStyle w:val="Chapter"/>
        <w:tabs>
          <w:tab w:val="clear" w:pos="1440"/>
          <w:tab w:val="clear" w:pos="7470"/>
          <w:tab w:val="left" w:pos="540"/>
        </w:tabs>
        <w:ind w:left="0"/>
        <w:rPr>
          <w:rFonts w:ascii="Arial" w:hAnsi="Arial" w:cs="Arial"/>
          <w:sz w:val="22"/>
          <w:szCs w:val="22"/>
        </w:rPr>
      </w:pPr>
      <w:bookmarkStart w:id="10" w:name="_Toc389662657"/>
      <w:bookmarkStart w:id="11" w:name="_Toc389662811"/>
      <w:bookmarkStart w:id="12" w:name="_Toc389662929"/>
      <w:bookmarkStart w:id="13" w:name="_Toc389662974"/>
      <w:bookmarkStart w:id="14" w:name="_Toc389663018"/>
      <w:bookmarkStart w:id="15" w:name="_Toc389663290"/>
      <w:bookmarkStart w:id="16" w:name="_Toc389662658"/>
      <w:bookmarkStart w:id="17" w:name="_Toc389662812"/>
      <w:bookmarkStart w:id="18" w:name="_Toc389662930"/>
      <w:bookmarkStart w:id="19" w:name="_Toc389662975"/>
      <w:bookmarkStart w:id="20" w:name="_Toc389663019"/>
      <w:bookmarkStart w:id="21" w:name="_Toc389663291"/>
      <w:bookmarkStart w:id="22" w:name="_Toc389662662"/>
      <w:bookmarkStart w:id="23" w:name="_Toc389662816"/>
      <w:bookmarkStart w:id="24" w:name="_Toc389662934"/>
      <w:bookmarkStart w:id="25" w:name="_Toc389662979"/>
      <w:bookmarkStart w:id="26" w:name="_Toc389663023"/>
      <w:bookmarkStart w:id="27" w:name="_Toc389663295"/>
      <w:bookmarkStart w:id="28" w:name="_Toc424822791"/>
      <w:bookmarkStart w:id="29" w:name="_Toc770997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03DEC">
        <w:rPr>
          <w:rFonts w:ascii="Arial" w:hAnsi="Arial" w:cs="Arial"/>
          <w:sz w:val="22"/>
          <w:szCs w:val="22"/>
        </w:rPr>
        <w:t xml:space="preserve">Características </w:t>
      </w:r>
      <w:r w:rsidR="000E22F3" w:rsidRPr="00803DEC">
        <w:rPr>
          <w:rFonts w:ascii="Arial" w:hAnsi="Arial" w:cs="Arial"/>
          <w:sz w:val="22"/>
          <w:szCs w:val="22"/>
        </w:rPr>
        <w:t xml:space="preserve">Generales de las Modalidades de Crédito de </w:t>
      </w:r>
      <w:r w:rsidR="00486F7F" w:rsidRPr="00803DEC">
        <w:rPr>
          <w:rFonts w:ascii="Arial" w:hAnsi="Arial" w:cs="Arial"/>
          <w:sz w:val="22"/>
          <w:szCs w:val="22"/>
        </w:rPr>
        <w:t xml:space="preserve">la </w:t>
      </w:r>
      <w:r w:rsidR="00845DBA" w:rsidRPr="00803DEC">
        <w:rPr>
          <w:rFonts w:ascii="Arial" w:hAnsi="Arial" w:cs="Arial"/>
          <w:sz w:val="22"/>
          <w:szCs w:val="22"/>
        </w:rPr>
        <w:t>AFD</w:t>
      </w:r>
      <w:r w:rsidR="000E22F3" w:rsidRPr="00803DEC">
        <w:rPr>
          <w:rFonts w:ascii="Arial" w:hAnsi="Arial" w:cs="Arial"/>
          <w:sz w:val="22"/>
          <w:szCs w:val="22"/>
        </w:rPr>
        <w:t xml:space="preserve"> a </w:t>
      </w:r>
      <w:r w:rsidR="00036D15" w:rsidRPr="00803DEC">
        <w:rPr>
          <w:rFonts w:ascii="Arial" w:hAnsi="Arial" w:cs="Arial"/>
          <w:sz w:val="22"/>
          <w:szCs w:val="22"/>
        </w:rPr>
        <w:t>s</w:t>
      </w:r>
      <w:r w:rsidR="000E22F3" w:rsidRPr="00803DEC">
        <w:rPr>
          <w:rFonts w:ascii="Arial" w:hAnsi="Arial" w:cs="Arial"/>
          <w:sz w:val="22"/>
          <w:szCs w:val="22"/>
        </w:rPr>
        <w:t>er Fondeadas con Recursos del Programa</w:t>
      </w:r>
      <w:bookmarkEnd w:id="28"/>
      <w:bookmarkEnd w:id="29"/>
    </w:p>
    <w:p w14:paraId="2FD4035E" w14:textId="55F3EBA5" w:rsidR="000E22F3" w:rsidRPr="00506A08" w:rsidRDefault="000E22F3" w:rsidP="00506A08">
      <w:pPr>
        <w:pStyle w:val="Paragraph"/>
        <w:ind w:left="720" w:hanging="720"/>
        <w:rPr>
          <w:rFonts w:ascii="Arial" w:hAnsi="Arial" w:cs="Arial"/>
          <w:sz w:val="22"/>
          <w:szCs w:val="22"/>
        </w:rPr>
      </w:pPr>
      <w:r w:rsidRPr="00506A08">
        <w:rPr>
          <w:rFonts w:ascii="Arial" w:hAnsi="Arial" w:cs="Arial"/>
          <w:sz w:val="22"/>
          <w:szCs w:val="22"/>
        </w:rPr>
        <w:t xml:space="preserve">En general, las modalidades de crédito </w:t>
      </w:r>
      <w:r w:rsidR="00B43284" w:rsidRPr="00506A08">
        <w:rPr>
          <w:rFonts w:ascii="Arial" w:hAnsi="Arial" w:cs="Arial"/>
          <w:sz w:val="22"/>
          <w:szCs w:val="22"/>
        </w:rPr>
        <w:t>de la AFD</w:t>
      </w:r>
      <w:r w:rsidR="00FD2F75" w:rsidRPr="00506A08">
        <w:rPr>
          <w:rFonts w:ascii="Arial" w:hAnsi="Arial" w:cs="Arial"/>
          <w:sz w:val="22"/>
          <w:szCs w:val="22"/>
        </w:rPr>
        <w:t xml:space="preserve"> </w:t>
      </w:r>
      <w:r w:rsidRPr="00506A08">
        <w:rPr>
          <w:rFonts w:ascii="Arial" w:hAnsi="Arial" w:cs="Arial"/>
          <w:sz w:val="22"/>
          <w:szCs w:val="22"/>
        </w:rPr>
        <w:t xml:space="preserve">a ser fondeadas con recursos de este </w:t>
      </w:r>
      <w:r w:rsidR="00136257" w:rsidRPr="00506A08">
        <w:rPr>
          <w:rFonts w:ascii="Arial" w:hAnsi="Arial" w:cs="Arial"/>
          <w:sz w:val="22"/>
          <w:szCs w:val="22"/>
        </w:rPr>
        <w:t>Programa</w:t>
      </w:r>
      <w:r w:rsidRPr="00506A08">
        <w:rPr>
          <w:rFonts w:ascii="Arial" w:hAnsi="Arial" w:cs="Arial"/>
          <w:sz w:val="22"/>
          <w:szCs w:val="22"/>
        </w:rPr>
        <w:t xml:space="preserve"> tendrán los siguientes parámetros:</w:t>
      </w:r>
    </w:p>
    <w:p w14:paraId="0ABE921A" w14:textId="247F322E" w:rsidR="00506A08" w:rsidRPr="00D47946" w:rsidRDefault="00FD2F75" w:rsidP="00D47946">
      <w:pPr>
        <w:pStyle w:val="subpar"/>
        <w:ind w:left="1282" w:hanging="556"/>
        <w:rPr>
          <w:rFonts w:ascii="Arial" w:hAnsi="Arial" w:cs="Arial"/>
          <w:sz w:val="22"/>
          <w:szCs w:val="22"/>
        </w:rPr>
      </w:pPr>
      <w:r w:rsidRPr="004C6885">
        <w:rPr>
          <w:rFonts w:ascii="Arial" w:hAnsi="Arial"/>
          <w:b/>
          <w:sz w:val="22"/>
        </w:rPr>
        <w:t>Beneficiarios elegibles</w:t>
      </w:r>
      <w:r w:rsidRPr="00803DEC">
        <w:rPr>
          <w:rFonts w:ascii="Arial" w:hAnsi="Arial" w:cs="Arial"/>
          <w:b/>
          <w:sz w:val="22"/>
          <w:szCs w:val="22"/>
        </w:rPr>
        <w:t>.</w:t>
      </w:r>
      <w:r w:rsidRPr="004C6885">
        <w:rPr>
          <w:rFonts w:ascii="Arial" w:hAnsi="Arial"/>
          <w:b/>
          <w:sz w:val="22"/>
        </w:rPr>
        <w:t xml:space="preserve"> </w:t>
      </w:r>
      <w:r w:rsidR="00D47946" w:rsidRPr="00506A08">
        <w:rPr>
          <w:rFonts w:ascii="Arial" w:hAnsi="Arial" w:cs="Arial"/>
          <w:sz w:val="22"/>
          <w:szCs w:val="22"/>
        </w:rPr>
        <w:t xml:space="preserve">En general, se consideran beneficiarios elegibles </w:t>
      </w:r>
      <w:r w:rsidR="006E29F7">
        <w:rPr>
          <w:rFonts w:ascii="Arial" w:hAnsi="Arial" w:cs="Arial"/>
          <w:sz w:val="22"/>
          <w:szCs w:val="22"/>
        </w:rPr>
        <w:t>los</w:t>
      </w:r>
      <w:r w:rsidR="00D47946" w:rsidRPr="00506A08">
        <w:rPr>
          <w:rFonts w:ascii="Arial" w:hAnsi="Arial" w:cs="Arial"/>
          <w:sz w:val="22"/>
          <w:szCs w:val="22"/>
        </w:rPr>
        <w:t xml:space="preserve"> </w:t>
      </w:r>
      <w:proofErr w:type="spellStart"/>
      <w:r w:rsidR="00302D0C">
        <w:rPr>
          <w:rFonts w:ascii="Arial" w:hAnsi="Arial" w:cs="Arial"/>
          <w:sz w:val="22"/>
          <w:szCs w:val="22"/>
        </w:rPr>
        <w:t>subpresta</w:t>
      </w:r>
      <w:r w:rsidR="00D47946" w:rsidRPr="00506A08">
        <w:rPr>
          <w:rFonts w:ascii="Arial" w:hAnsi="Arial" w:cs="Arial"/>
          <w:sz w:val="22"/>
          <w:szCs w:val="22"/>
        </w:rPr>
        <w:t>tarios</w:t>
      </w:r>
      <w:proofErr w:type="spellEnd"/>
      <w:r w:rsidR="00D47946" w:rsidRPr="00506A08">
        <w:rPr>
          <w:rFonts w:ascii="Arial" w:hAnsi="Arial" w:cs="Arial"/>
          <w:sz w:val="22"/>
          <w:szCs w:val="22"/>
        </w:rPr>
        <w:t xml:space="preserve"> </w:t>
      </w:r>
      <w:r w:rsidR="006E29F7">
        <w:rPr>
          <w:rFonts w:ascii="Arial" w:hAnsi="Arial" w:cs="Arial"/>
          <w:sz w:val="22"/>
          <w:szCs w:val="22"/>
        </w:rPr>
        <w:t>establecidos en los manuales de productos crediticios de la AFD acordados para el presente programa (ver 5.1.c)</w:t>
      </w:r>
      <w:r w:rsidR="00D47946" w:rsidRPr="00506A08">
        <w:rPr>
          <w:rFonts w:ascii="Arial" w:hAnsi="Arial" w:cs="Arial"/>
          <w:sz w:val="22"/>
          <w:szCs w:val="22"/>
        </w:rPr>
        <w:t>.</w:t>
      </w:r>
      <w:r w:rsidR="00506A08" w:rsidRPr="00D47946">
        <w:rPr>
          <w:rFonts w:ascii="Arial" w:hAnsi="Arial" w:cs="Arial"/>
          <w:sz w:val="22"/>
          <w:szCs w:val="22"/>
        </w:rPr>
        <w:t xml:space="preserve">      </w:t>
      </w:r>
    </w:p>
    <w:p w14:paraId="00331718" w14:textId="0A9DBCF1" w:rsidR="00D47946" w:rsidRPr="00D47946" w:rsidRDefault="00D47946" w:rsidP="00D47946">
      <w:pPr>
        <w:pStyle w:val="subpar"/>
        <w:ind w:left="1282" w:hanging="567"/>
        <w:rPr>
          <w:rFonts w:ascii="Arial" w:hAnsi="Arial" w:cs="Arial"/>
          <w:sz w:val="22"/>
          <w:szCs w:val="22"/>
        </w:rPr>
      </w:pPr>
      <w:r>
        <w:rPr>
          <w:rFonts w:ascii="Arial" w:hAnsi="Arial" w:cs="Arial"/>
          <w:b/>
          <w:sz w:val="22"/>
          <w:szCs w:val="22"/>
        </w:rPr>
        <w:t>Uso de los recursos.</w:t>
      </w:r>
      <w:r w:rsidR="00307FDE" w:rsidRPr="00803DEC">
        <w:rPr>
          <w:rFonts w:ascii="Arial" w:hAnsi="Arial" w:cs="Arial"/>
          <w:b/>
          <w:sz w:val="22"/>
          <w:szCs w:val="22"/>
        </w:rPr>
        <w:t xml:space="preserve"> </w:t>
      </w:r>
      <w:r w:rsidR="006E29F7">
        <w:rPr>
          <w:rFonts w:ascii="Arial" w:hAnsi="Arial" w:cs="Arial"/>
          <w:sz w:val="22"/>
          <w:szCs w:val="22"/>
        </w:rPr>
        <w:t>L</w:t>
      </w:r>
      <w:r w:rsidRPr="00506A08">
        <w:rPr>
          <w:rFonts w:ascii="Arial" w:hAnsi="Arial" w:cs="Arial"/>
          <w:sz w:val="22"/>
          <w:szCs w:val="22"/>
        </w:rPr>
        <w:t xml:space="preserve">os recursos podrán financiar inversiones </w:t>
      </w:r>
      <w:r w:rsidR="006E29F7">
        <w:rPr>
          <w:rFonts w:ascii="Arial" w:hAnsi="Arial" w:cs="Arial"/>
          <w:sz w:val="22"/>
          <w:szCs w:val="22"/>
        </w:rPr>
        <w:t>definidas en los manuales de productos crediticios de la AFD acordados para el presente programa (ver 5.1.c)</w:t>
      </w:r>
      <w:r w:rsidR="006E29F7" w:rsidRPr="00506A08">
        <w:rPr>
          <w:rFonts w:ascii="Arial" w:hAnsi="Arial" w:cs="Arial"/>
          <w:sz w:val="22"/>
          <w:szCs w:val="22"/>
        </w:rPr>
        <w:t>.</w:t>
      </w:r>
    </w:p>
    <w:p w14:paraId="62C4ED54" w14:textId="2681E0EC" w:rsidR="00D47946" w:rsidRDefault="00D47946" w:rsidP="00D47946">
      <w:pPr>
        <w:pStyle w:val="subpar"/>
        <w:ind w:left="1282" w:hanging="567"/>
        <w:rPr>
          <w:rFonts w:ascii="Arial" w:hAnsi="Arial" w:cs="Arial"/>
          <w:sz w:val="22"/>
          <w:szCs w:val="22"/>
        </w:rPr>
      </w:pPr>
      <w:bookmarkStart w:id="30" w:name="_Ref8809256"/>
      <w:r w:rsidRPr="00D47946">
        <w:rPr>
          <w:rFonts w:ascii="Arial" w:hAnsi="Arial" w:cs="Arial"/>
          <w:b/>
          <w:sz w:val="22"/>
          <w:szCs w:val="22"/>
        </w:rPr>
        <w:t>Productos crediticios</w:t>
      </w:r>
      <w:r w:rsidR="00076CE0">
        <w:rPr>
          <w:rFonts w:ascii="Arial" w:hAnsi="Arial" w:cs="Arial"/>
          <w:b/>
          <w:sz w:val="22"/>
          <w:szCs w:val="22"/>
        </w:rPr>
        <w:t>,</w:t>
      </w:r>
      <w:r>
        <w:rPr>
          <w:rFonts w:ascii="Arial" w:hAnsi="Arial" w:cs="Arial"/>
          <w:b/>
          <w:sz w:val="22"/>
          <w:szCs w:val="22"/>
        </w:rPr>
        <w:t xml:space="preserve"> condiciones de crédito</w:t>
      </w:r>
      <w:r w:rsidR="00076CE0">
        <w:rPr>
          <w:rFonts w:ascii="Arial" w:hAnsi="Arial" w:cs="Arial"/>
          <w:b/>
          <w:sz w:val="22"/>
          <w:szCs w:val="22"/>
        </w:rPr>
        <w:t xml:space="preserve"> y criterios de elegibilidad</w:t>
      </w:r>
      <w:r w:rsidRPr="00D47946">
        <w:rPr>
          <w:rFonts w:ascii="Arial" w:hAnsi="Arial" w:cs="Arial"/>
          <w:b/>
          <w:sz w:val="22"/>
          <w:szCs w:val="22"/>
        </w:rPr>
        <w:t>.</w:t>
      </w:r>
      <w:r>
        <w:rPr>
          <w:rFonts w:ascii="Arial" w:hAnsi="Arial" w:cs="Arial"/>
          <w:sz w:val="22"/>
          <w:szCs w:val="22"/>
        </w:rPr>
        <w:t xml:space="preserve"> Los recursos se canalizaran a través y según las condiciones de los siguientes productos crediticios establecidos por la </w:t>
      </w:r>
      <w:r w:rsidRPr="00506A08">
        <w:rPr>
          <w:rFonts w:ascii="Arial" w:hAnsi="Arial" w:cs="Arial"/>
          <w:sz w:val="22"/>
          <w:szCs w:val="22"/>
        </w:rPr>
        <w:t xml:space="preserve">AFD: </w:t>
      </w:r>
      <w:hyperlink r:id="rId13" w:history="1">
        <w:r w:rsidRPr="00506A08">
          <w:rPr>
            <w:rStyle w:val="Hyperlink"/>
            <w:rFonts w:ascii="Arial" w:hAnsi="Arial" w:cs="Arial"/>
            <w:sz w:val="22"/>
            <w:szCs w:val="22"/>
          </w:rPr>
          <w:t>FIMAGRO</w:t>
        </w:r>
      </w:hyperlink>
      <w:r w:rsidRPr="00506A08">
        <w:rPr>
          <w:rFonts w:ascii="Arial" w:hAnsi="Arial" w:cs="Arial"/>
          <w:sz w:val="22"/>
          <w:szCs w:val="22"/>
        </w:rPr>
        <w:t xml:space="preserve">, </w:t>
      </w:r>
      <w:hyperlink r:id="rId14" w:history="1">
        <w:r w:rsidRPr="00506A08">
          <w:rPr>
            <w:rStyle w:val="Hyperlink"/>
            <w:rFonts w:ascii="Arial" w:hAnsi="Arial" w:cs="Arial"/>
            <w:sz w:val="22"/>
            <w:szCs w:val="22"/>
          </w:rPr>
          <w:t>MICRÉDITO</w:t>
        </w:r>
      </w:hyperlink>
      <w:r w:rsidRPr="00506A08">
        <w:rPr>
          <w:rFonts w:ascii="Arial" w:hAnsi="Arial" w:cs="Arial"/>
          <w:sz w:val="22"/>
          <w:szCs w:val="22"/>
        </w:rPr>
        <w:t xml:space="preserve">, </w:t>
      </w:r>
      <w:hyperlink r:id="rId15" w:history="1">
        <w:r w:rsidRPr="00506A08">
          <w:rPr>
            <w:rStyle w:val="Hyperlink"/>
            <w:rFonts w:ascii="Arial" w:hAnsi="Arial" w:cs="Arial"/>
            <w:sz w:val="22"/>
            <w:szCs w:val="22"/>
          </w:rPr>
          <w:t>PROPYMES</w:t>
        </w:r>
      </w:hyperlink>
      <w:r w:rsidRPr="00506A08">
        <w:rPr>
          <w:rFonts w:ascii="Arial" w:hAnsi="Arial" w:cs="Arial"/>
          <w:sz w:val="22"/>
          <w:szCs w:val="22"/>
        </w:rPr>
        <w:t xml:space="preserve">, </w:t>
      </w:r>
      <w:hyperlink r:id="rId16" w:history="1">
        <w:r w:rsidRPr="00506A08">
          <w:rPr>
            <w:rStyle w:val="Hyperlink"/>
            <w:rFonts w:ascii="Arial" w:hAnsi="Arial" w:cs="Arial"/>
            <w:sz w:val="22"/>
            <w:szCs w:val="22"/>
          </w:rPr>
          <w:t>PROCAMPO</w:t>
        </w:r>
      </w:hyperlink>
      <w:r w:rsidRPr="00506A08">
        <w:rPr>
          <w:rFonts w:ascii="Arial" w:hAnsi="Arial" w:cs="Arial"/>
          <w:sz w:val="22"/>
          <w:szCs w:val="22"/>
        </w:rPr>
        <w:t xml:space="preserve">, </w:t>
      </w:r>
      <w:hyperlink r:id="rId17" w:history="1">
        <w:r w:rsidRPr="00506A08">
          <w:rPr>
            <w:rStyle w:val="Hyperlink"/>
            <w:rFonts w:ascii="Arial" w:hAnsi="Arial" w:cs="Arial"/>
            <w:sz w:val="22"/>
            <w:szCs w:val="22"/>
          </w:rPr>
          <w:t>PRORREGADÍO</w:t>
        </w:r>
      </w:hyperlink>
      <w:r w:rsidRPr="00506A08">
        <w:rPr>
          <w:rFonts w:ascii="Arial" w:hAnsi="Arial" w:cs="Arial"/>
          <w:sz w:val="22"/>
          <w:szCs w:val="22"/>
        </w:rPr>
        <w:t xml:space="preserve">, </w:t>
      </w:r>
      <w:hyperlink r:id="rId18" w:history="1">
        <w:r w:rsidRPr="00506A08">
          <w:rPr>
            <w:rStyle w:val="Hyperlink"/>
            <w:rFonts w:ascii="Arial" w:hAnsi="Arial" w:cs="Arial"/>
            <w:sz w:val="22"/>
            <w:szCs w:val="22"/>
          </w:rPr>
          <w:t>PROCOOP</w:t>
        </w:r>
      </w:hyperlink>
      <w:r w:rsidRPr="00506A08">
        <w:rPr>
          <w:rFonts w:ascii="Arial" w:hAnsi="Arial" w:cs="Arial"/>
          <w:sz w:val="22"/>
          <w:szCs w:val="22"/>
        </w:rPr>
        <w:t>.</w:t>
      </w:r>
      <w:bookmarkEnd w:id="30"/>
    </w:p>
    <w:p w14:paraId="1AD39DC8" w14:textId="226FE40D" w:rsidR="00D57D84" w:rsidRPr="00803DEC" w:rsidRDefault="00D57D84" w:rsidP="00D57D84">
      <w:pPr>
        <w:pStyle w:val="Chapter"/>
        <w:tabs>
          <w:tab w:val="clear" w:pos="1440"/>
          <w:tab w:val="clear" w:pos="7470"/>
          <w:tab w:val="left" w:pos="270"/>
        </w:tabs>
        <w:ind w:left="0"/>
        <w:rPr>
          <w:rFonts w:ascii="Arial" w:hAnsi="Arial" w:cs="Arial"/>
          <w:sz w:val="22"/>
          <w:szCs w:val="22"/>
        </w:rPr>
      </w:pPr>
      <w:bookmarkStart w:id="31" w:name="_Toc389662664"/>
      <w:bookmarkStart w:id="32" w:name="_Toc389662818"/>
      <w:bookmarkStart w:id="33" w:name="_Toc389662936"/>
      <w:bookmarkStart w:id="34" w:name="_Toc389662981"/>
      <w:bookmarkStart w:id="35" w:name="_Toc389663025"/>
      <w:bookmarkStart w:id="36" w:name="_Toc389663297"/>
      <w:bookmarkStart w:id="37" w:name="_Toc389662665"/>
      <w:bookmarkStart w:id="38" w:name="_Toc389662819"/>
      <w:bookmarkStart w:id="39" w:name="_Toc389662937"/>
      <w:bookmarkStart w:id="40" w:name="_Toc389662982"/>
      <w:bookmarkStart w:id="41" w:name="_Toc389663026"/>
      <w:bookmarkStart w:id="42" w:name="_Toc389663298"/>
      <w:bookmarkStart w:id="43" w:name="_Toc389662667"/>
      <w:bookmarkStart w:id="44" w:name="_Toc389662821"/>
      <w:bookmarkStart w:id="45" w:name="_Toc389662939"/>
      <w:bookmarkStart w:id="46" w:name="_Toc389662984"/>
      <w:bookmarkStart w:id="47" w:name="_Toc389663028"/>
      <w:bookmarkStart w:id="48" w:name="_Toc389663300"/>
      <w:bookmarkStart w:id="49" w:name="_Toc424822794"/>
      <w:bookmarkStart w:id="50" w:name="_Toc7709972"/>
      <w:bookmarkStart w:id="51" w:name="_Toc42482279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03DEC">
        <w:rPr>
          <w:rFonts w:ascii="Arial" w:hAnsi="Arial" w:cs="Arial"/>
          <w:sz w:val="22"/>
          <w:szCs w:val="22"/>
        </w:rPr>
        <w:lastRenderedPageBreak/>
        <w:t xml:space="preserve">Elegibilidad de las </w:t>
      </w:r>
      <w:r w:rsidR="009A3384">
        <w:rPr>
          <w:rFonts w:ascii="Arial" w:hAnsi="Arial" w:cs="Arial"/>
          <w:sz w:val="22"/>
          <w:szCs w:val="22"/>
        </w:rPr>
        <w:t>IFI</w:t>
      </w:r>
      <w:bookmarkEnd w:id="49"/>
      <w:bookmarkEnd w:id="50"/>
    </w:p>
    <w:p w14:paraId="67C88379" w14:textId="539EDA0C" w:rsidR="00076CE0" w:rsidRPr="00076CE0" w:rsidRDefault="00076CE0" w:rsidP="00076CE0">
      <w:pPr>
        <w:pStyle w:val="Paragraph"/>
        <w:ind w:left="630" w:hanging="630"/>
        <w:rPr>
          <w:rFonts w:ascii="Arial" w:hAnsi="Arial" w:cs="Arial"/>
          <w:sz w:val="22"/>
          <w:szCs w:val="22"/>
        </w:rPr>
      </w:pPr>
      <w:r w:rsidRPr="00076CE0">
        <w:rPr>
          <w:rFonts w:ascii="Arial" w:hAnsi="Arial" w:cs="Arial"/>
          <w:sz w:val="22"/>
          <w:szCs w:val="22"/>
        </w:rPr>
        <w:t xml:space="preserve">Se consideran como IFI elegibles aquellas que cumplan con los criterios de administración de riesgos establecidos por la AFD en su </w:t>
      </w:r>
      <w:hyperlink r:id="rId19" w:history="1">
        <w:r w:rsidRPr="00076CE0">
          <w:rPr>
            <w:rFonts w:ascii="Arial" w:hAnsi="Arial" w:cs="Arial"/>
            <w:color w:val="0000FF"/>
            <w:sz w:val="22"/>
            <w:szCs w:val="22"/>
            <w:u w:val="single"/>
          </w:rPr>
          <w:t>Reglamento de Crédito</w:t>
        </w:r>
      </w:hyperlink>
      <w:r w:rsidRPr="00076CE0">
        <w:rPr>
          <w:rFonts w:ascii="Arial" w:hAnsi="Arial" w:cs="Arial"/>
          <w:sz w:val="22"/>
          <w:szCs w:val="22"/>
        </w:rPr>
        <w:t xml:space="preserve"> y sus manuales de producto que componen el ROP. En todos los casos, los recursos se movilizarán a través de </w:t>
      </w:r>
      <w:r>
        <w:rPr>
          <w:rFonts w:ascii="Arial" w:hAnsi="Arial" w:cs="Arial"/>
          <w:sz w:val="22"/>
          <w:szCs w:val="22"/>
        </w:rPr>
        <w:t xml:space="preserve">IFI </w:t>
      </w:r>
      <w:r w:rsidRPr="00076CE0">
        <w:rPr>
          <w:rFonts w:ascii="Arial" w:hAnsi="Arial" w:cs="Arial"/>
          <w:sz w:val="22"/>
          <w:szCs w:val="22"/>
        </w:rPr>
        <w:t xml:space="preserve">de primer piso determinadas y previamente evaluadas por la AFD.       </w:t>
      </w:r>
    </w:p>
    <w:p w14:paraId="6D2273B6" w14:textId="7EA893ED" w:rsidR="005B357B" w:rsidRPr="00803DEC" w:rsidRDefault="005B357B" w:rsidP="0061571B">
      <w:pPr>
        <w:pStyle w:val="Chapter"/>
        <w:tabs>
          <w:tab w:val="clear" w:pos="1440"/>
          <w:tab w:val="clear" w:pos="7470"/>
          <w:tab w:val="left" w:pos="720"/>
        </w:tabs>
        <w:ind w:left="0"/>
        <w:rPr>
          <w:rFonts w:ascii="Arial" w:hAnsi="Arial" w:cs="Arial"/>
          <w:sz w:val="22"/>
          <w:szCs w:val="22"/>
        </w:rPr>
      </w:pPr>
      <w:bookmarkStart w:id="52" w:name="_Ref424799728"/>
      <w:bookmarkStart w:id="53" w:name="_Toc424822793"/>
      <w:bookmarkStart w:id="54" w:name="_Toc7709973"/>
      <w:bookmarkEnd w:id="51"/>
      <w:r w:rsidRPr="00803DEC">
        <w:rPr>
          <w:rFonts w:ascii="Arial" w:hAnsi="Arial" w:cs="Arial"/>
          <w:sz w:val="22"/>
          <w:szCs w:val="22"/>
        </w:rPr>
        <w:t xml:space="preserve">Requerimientos </w:t>
      </w:r>
      <w:r w:rsidR="00036D15" w:rsidRPr="00803DEC">
        <w:rPr>
          <w:rFonts w:ascii="Arial" w:hAnsi="Arial" w:cs="Arial"/>
          <w:sz w:val="22"/>
          <w:szCs w:val="22"/>
        </w:rPr>
        <w:t>A</w:t>
      </w:r>
      <w:r w:rsidRPr="00803DEC">
        <w:rPr>
          <w:rFonts w:ascii="Arial" w:hAnsi="Arial" w:cs="Arial"/>
          <w:sz w:val="22"/>
          <w:szCs w:val="22"/>
        </w:rPr>
        <w:t xml:space="preserve">mbientales y </w:t>
      </w:r>
      <w:r w:rsidR="00036D15" w:rsidRPr="00803DEC">
        <w:rPr>
          <w:rFonts w:ascii="Arial" w:hAnsi="Arial" w:cs="Arial"/>
          <w:sz w:val="22"/>
          <w:szCs w:val="22"/>
        </w:rPr>
        <w:t>S</w:t>
      </w:r>
      <w:r w:rsidRPr="00803DEC">
        <w:rPr>
          <w:rFonts w:ascii="Arial" w:hAnsi="Arial" w:cs="Arial"/>
          <w:sz w:val="22"/>
          <w:szCs w:val="22"/>
        </w:rPr>
        <w:t>ociales</w:t>
      </w:r>
      <w:bookmarkEnd w:id="52"/>
      <w:bookmarkEnd w:id="53"/>
      <w:bookmarkEnd w:id="54"/>
      <w:r w:rsidR="00AD7127">
        <w:rPr>
          <w:rFonts w:ascii="Arial" w:hAnsi="Arial" w:cs="Arial"/>
          <w:sz w:val="22"/>
          <w:szCs w:val="22"/>
        </w:rPr>
        <w:t xml:space="preserve"> (Sistema de Administración de Riesgos Ambientales y Sociales – SARAS)</w:t>
      </w:r>
    </w:p>
    <w:p w14:paraId="46D1A9D2" w14:textId="1CCE41E3" w:rsidR="00046C39" w:rsidRPr="000C12EC" w:rsidRDefault="00046C39" w:rsidP="000C12EC">
      <w:pPr>
        <w:pStyle w:val="Paragraph"/>
        <w:tabs>
          <w:tab w:val="clear" w:pos="1580"/>
        </w:tabs>
        <w:ind w:left="630" w:hanging="630"/>
        <w:rPr>
          <w:rFonts w:ascii="Arial" w:hAnsi="Arial"/>
          <w:sz w:val="22"/>
        </w:rPr>
      </w:pPr>
      <w:r w:rsidRPr="000C12EC">
        <w:rPr>
          <w:rFonts w:ascii="Arial" w:hAnsi="Arial"/>
          <w:b/>
          <w:sz w:val="22"/>
        </w:rPr>
        <w:t>Características y condiciones ambientales y sociales de los subproyectos.</w:t>
      </w:r>
      <w:r w:rsidRPr="00046C39">
        <w:rPr>
          <w:rFonts w:ascii="Arial" w:hAnsi="Arial"/>
          <w:sz w:val="22"/>
        </w:rPr>
        <w:t xml:space="preserve"> </w:t>
      </w:r>
      <w:r w:rsidR="001805CC" w:rsidRPr="000C12EC">
        <w:rPr>
          <w:rFonts w:ascii="Arial" w:hAnsi="Arial"/>
          <w:sz w:val="22"/>
        </w:rPr>
        <w:t>La AFD</w:t>
      </w:r>
      <w:r w:rsidRPr="000C12EC">
        <w:rPr>
          <w:rFonts w:ascii="Arial" w:hAnsi="Arial"/>
          <w:sz w:val="22"/>
        </w:rPr>
        <w:t xml:space="preserve"> se comprometerá a solo financiar con recursos de este Programa subproyectos que cumplan con las características siguientes:</w:t>
      </w:r>
    </w:p>
    <w:p w14:paraId="4E2F3CB8" w14:textId="2FC2649A" w:rsidR="00046C39" w:rsidRPr="00356309" w:rsidRDefault="00046C39" w:rsidP="00046C39">
      <w:pPr>
        <w:pStyle w:val="subpar"/>
        <w:rPr>
          <w:rFonts w:ascii="Arial" w:hAnsi="Arial"/>
          <w:sz w:val="22"/>
        </w:rPr>
      </w:pPr>
      <w:r w:rsidRPr="00356309">
        <w:rPr>
          <w:rFonts w:ascii="Arial" w:hAnsi="Arial"/>
          <w:sz w:val="22"/>
        </w:rPr>
        <w:t xml:space="preserve">Cumplimiento </w:t>
      </w:r>
      <w:r w:rsidR="00356309" w:rsidRPr="00356309">
        <w:rPr>
          <w:rFonts w:ascii="Arial" w:hAnsi="Arial"/>
          <w:sz w:val="22"/>
        </w:rPr>
        <w:t xml:space="preserve">del </w:t>
      </w:r>
      <w:r w:rsidR="0068600B" w:rsidRPr="00356309">
        <w:rPr>
          <w:rFonts w:ascii="Arial" w:hAnsi="Arial"/>
          <w:sz w:val="22"/>
        </w:rPr>
        <w:t>subpr</w:t>
      </w:r>
      <w:r w:rsidR="0068600B">
        <w:rPr>
          <w:rFonts w:ascii="Arial" w:hAnsi="Arial"/>
          <w:sz w:val="22"/>
        </w:rPr>
        <w:t>éstamo</w:t>
      </w:r>
      <w:r w:rsidR="0068600B" w:rsidRPr="00356309">
        <w:rPr>
          <w:rFonts w:ascii="Arial" w:hAnsi="Arial"/>
          <w:sz w:val="22"/>
        </w:rPr>
        <w:t xml:space="preserve"> </w:t>
      </w:r>
      <w:r w:rsidRPr="00356309">
        <w:rPr>
          <w:rFonts w:ascii="Arial" w:hAnsi="Arial"/>
          <w:sz w:val="22"/>
        </w:rPr>
        <w:t>con todos los requerimientos regulatorios pertinentes de Paraguay.</w:t>
      </w:r>
    </w:p>
    <w:p w14:paraId="11119B34" w14:textId="0D476C51" w:rsidR="00046C39" w:rsidRPr="00046C39" w:rsidRDefault="00046C39" w:rsidP="00567A3B">
      <w:pPr>
        <w:pStyle w:val="subpar"/>
        <w:rPr>
          <w:rFonts w:ascii="Arial" w:hAnsi="Arial"/>
          <w:sz w:val="22"/>
        </w:rPr>
      </w:pPr>
      <w:r w:rsidRPr="00356309">
        <w:rPr>
          <w:rFonts w:ascii="Arial" w:hAnsi="Arial"/>
          <w:sz w:val="22"/>
        </w:rPr>
        <w:t xml:space="preserve">Cumplimiento del </w:t>
      </w:r>
      <w:r w:rsidR="0068600B" w:rsidRPr="00356309">
        <w:rPr>
          <w:rFonts w:ascii="Arial" w:hAnsi="Arial"/>
          <w:sz w:val="22"/>
        </w:rPr>
        <w:t>subpr</w:t>
      </w:r>
      <w:r w:rsidR="0068600B">
        <w:rPr>
          <w:rFonts w:ascii="Arial" w:hAnsi="Arial"/>
          <w:sz w:val="22"/>
        </w:rPr>
        <w:t>éstamo</w:t>
      </w:r>
      <w:r w:rsidRPr="00356309">
        <w:rPr>
          <w:rFonts w:ascii="Arial" w:hAnsi="Arial"/>
          <w:sz w:val="22"/>
        </w:rPr>
        <w:t xml:space="preserve"> con la lista de exclusión (Anexo </w:t>
      </w:r>
      <w:r w:rsidR="008F5E45">
        <w:rPr>
          <w:rFonts w:ascii="Arial" w:hAnsi="Arial"/>
          <w:sz w:val="22"/>
        </w:rPr>
        <w:t>1</w:t>
      </w:r>
      <w:r w:rsidRPr="00356309">
        <w:rPr>
          <w:rFonts w:ascii="Arial" w:hAnsi="Arial"/>
          <w:sz w:val="22"/>
        </w:rPr>
        <w:t>).</w:t>
      </w:r>
    </w:p>
    <w:p w14:paraId="196B7FB1" w14:textId="08130C50" w:rsidR="00046C39" w:rsidRDefault="00046C39" w:rsidP="00567A3B">
      <w:pPr>
        <w:pStyle w:val="subpar"/>
        <w:rPr>
          <w:rFonts w:ascii="Arial" w:hAnsi="Arial"/>
          <w:sz w:val="22"/>
        </w:rPr>
      </w:pPr>
      <w:r w:rsidRPr="006E29F7">
        <w:rPr>
          <w:rFonts w:ascii="Arial" w:hAnsi="Arial"/>
          <w:sz w:val="22"/>
        </w:rPr>
        <w:t xml:space="preserve">Cumplimiento del </w:t>
      </w:r>
      <w:r w:rsidR="0068600B" w:rsidRPr="00356309">
        <w:rPr>
          <w:rFonts w:ascii="Arial" w:hAnsi="Arial"/>
          <w:sz w:val="22"/>
        </w:rPr>
        <w:t>subpr</w:t>
      </w:r>
      <w:r w:rsidR="0068600B">
        <w:rPr>
          <w:rFonts w:ascii="Arial" w:hAnsi="Arial"/>
          <w:sz w:val="22"/>
        </w:rPr>
        <w:t>éstamo</w:t>
      </w:r>
      <w:r w:rsidR="0068600B" w:rsidRPr="00356309">
        <w:rPr>
          <w:rFonts w:ascii="Arial" w:hAnsi="Arial"/>
          <w:sz w:val="22"/>
        </w:rPr>
        <w:t xml:space="preserve"> </w:t>
      </w:r>
      <w:r w:rsidRPr="006E29F7">
        <w:rPr>
          <w:rFonts w:ascii="Arial" w:hAnsi="Arial"/>
          <w:sz w:val="22"/>
        </w:rPr>
        <w:t xml:space="preserve">con los criterios de elegibilidad de uno de los productos </w:t>
      </w:r>
      <w:r w:rsidR="00356309" w:rsidRPr="006E29F7">
        <w:rPr>
          <w:rFonts w:ascii="Arial" w:hAnsi="Arial"/>
          <w:sz w:val="22"/>
        </w:rPr>
        <w:t xml:space="preserve">crediticios de la </w:t>
      </w:r>
      <w:r w:rsidRPr="006E29F7">
        <w:rPr>
          <w:rFonts w:ascii="Arial" w:hAnsi="Arial"/>
          <w:sz w:val="22"/>
        </w:rPr>
        <w:t>AFD elegibles bajo este programa</w:t>
      </w:r>
      <w:r w:rsidR="00356309" w:rsidRPr="006E29F7">
        <w:rPr>
          <w:rFonts w:ascii="Arial" w:hAnsi="Arial"/>
          <w:sz w:val="22"/>
        </w:rPr>
        <w:t xml:space="preserve"> (ver </w:t>
      </w:r>
      <w:r w:rsidR="00356309" w:rsidRPr="006E29F7">
        <w:rPr>
          <w:rFonts w:ascii="Arial" w:hAnsi="Arial"/>
          <w:sz w:val="22"/>
        </w:rPr>
        <w:fldChar w:fldCharType="begin"/>
      </w:r>
      <w:r w:rsidR="00356309" w:rsidRPr="006E29F7">
        <w:rPr>
          <w:rFonts w:ascii="Arial" w:hAnsi="Arial"/>
          <w:sz w:val="22"/>
        </w:rPr>
        <w:instrText xml:space="preserve"> REF _Ref8809256 \r \h </w:instrText>
      </w:r>
      <w:r w:rsidR="006E29F7">
        <w:rPr>
          <w:rFonts w:ascii="Arial" w:hAnsi="Arial"/>
          <w:sz w:val="22"/>
        </w:rPr>
        <w:instrText xml:space="preserve"> \* MERGEFORMAT </w:instrText>
      </w:r>
      <w:r w:rsidR="00356309" w:rsidRPr="006E29F7">
        <w:rPr>
          <w:rFonts w:ascii="Arial" w:hAnsi="Arial"/>
          <w:sz w:val="22"/>
        </w:rPr>
      </w:r>
      <w:r w:rsidR="00356309" w:rsidRPr="006E29F7">
        <w:rPr>
          <w:rFonts w:ascii="Arial" w:hAnsi="Arial"/>
          <w:sz w:val="22"/>
        </w:rPr>
        <w:fldChar w:fldCharType="separate"/>
      </w:r>
      <w:r w:rsidR="00356309" w:rsidRPr="006E29F7">
        <w:rPr>
          <w:rFonts w:ascii="Arial" w:hAnsi="Arial"/>
          <w:sz w:val="22"/>
        </w:rPr>
        <w:t>5.1c</w:t>
      </w:r>
      <w:r w:rsidR="00356309" w:rsidRPr="006E29F7">
        <w:rPr>
          <w:rFonts w:ascii="Arial" w:hAnsi="Arial"/>
          <w:sz w:val="22"/>
        </w:rPr>
        <w:fldChar w:fldCharType="end"/>
      </w:r>
      <w:r w:rsidR="00356309" w:rsidRPr="006E29F7">
        <w:rPr>
          <w:rFonts w:ascii="Arial" w:hAnsi="Arial"/>
          <w:sz w:val="22"/>
        </w:rPr>
        <w:t>)</w:t>
      </w:r>
      <w:r w:rsidRPr="006E29F7">
        <w:rPr>
          <w:rFonts w:ascii="Arial" w:hAnsi="Arial"/>
          <w:sz w:val="22"/>
        </w:rPr>
        <w:t xml:space="preserve">. </w:t>
      </w:r>
    </w:p>
    <w:p w14:paraId="1C413203" w14:textId="77F82EE4" w:rsidR="00152BF3" w:rsidRPr="006E29F7" w:rsidRDefault="00152BF3" w:rsidP="00567A3B">
      <w:pPr>
        <w:pStyle w:val="subpar"/>
        <w:rPr>
          <w:rFonts w:ascii="Arial" w:hAnsi="Arial"/>
          <w:sz w:val="22"/>
        </w:rPr>
      </w:pPr>
      <w:r>
        <w:rPr>
          <w:rFonts w:ascii="Arial" w:hAnsi="Arial"/>
          <w:sz w:val="22"/>
        </w:rPr>
        <w:t xml:space="preserve">Monto del subpréstamo </w:t>
      </w:r>
      <w:r w:rsidR="007038DC">
        <w:rPr>
          <w:rFonts w:ascii="Arial" w:hAnsi="Arial"/>
          <w:sz w:val="22"/>
        </w:rPr>
        <w:t xml:space="preserve">no mayor a USD </w:t>
      </w:r>
      <w:r w:rsidR="00B361FD">
        <w:rPr>
          <w:rFonts w:ascii="Arial" w:hAnsi="Arial"/>
          <w:sz w:val="22"/>
        </w:rPr>
        <w:t>2,000</w:t>
      </w:r>
      <w:r w:rsidR="00D92BDA">
        <w:rPr>
          <w:rFonts w:ascii="Arial" w:hAnsi="Arial"/>
          <w:sz w:val="22"/>
        </w:rPr>
        <w:t>,</w:t>
      </w:r>
      <w:r w:rsidR="007038DC">
        <w:rPr>
          <w:rFonts w:ascii="Arial" w:hAnsi="Arial"/>
          <w:sz w:val="22"/>
        </w:rPr>
        <w:t xml:space="preserve">000 o su equivalente en </w:t>
      </w:r>
      <w:r w:rsidR="00593385">
        <w:rPr>
          <w:rFonts w:ascii="Arial" w:hAnsi="Arial"/>
          <w:sz w:val="22"/>
        </w:rPr>
        <w:t>guaraníes</w:t>
      </w:r>
      <w:r w:rsidR="007038DC">
        <w:rPr>
          <w:rFonts w:ascii="Arial" w:hAnsi="Arial"/>
          <w:sz w:val="22"/>
        </w:rPr>
        <w:t>.</w:t>
      </w:r>
    </w:p>
    <w:p w14:paraId="3FEFAFAD" w14:textId="3D19A1C3" w:rsidR="00ED7034" w:rsidRDefault="00356309" w:rsidP="00567A3B">
      <w:pPr>
        <w:pStyle w:val="subpar"/>
        <w:rPr>
          <w:rFonts w:ascii="Arial" w:hAnsi="Arial"/>
          <w:sz w:val="22"/>
        </w:rPr>
      </w:pPr>
      <w:r w:rsidRPr="006E29F7">
        <w:rPr>
          <w:rFonts w:ascii="Arial" w:hAnsi="Arial"/>
          <w:sz w:val="22"/>
        </w:rPr>
        <w:t xml:space="preserve">Para todos los </w:t>
      </w:r>
      <w:r w:rsidR="003D0E79">
        <w:rPr>
          <w:rFonts w:ascii="Arial" w:hAnsi="Arial"/>
          <w:sz w:val="22"/>
        </w:rPr>
        <w:t xml:space="preserve">subpréstamos </w:t>
      </w:r>
      <w:r w:rsidRPr="006E29F7">
        <w:rPr>
          <w:rFonts w:ascii="Arial" w:hAnsi="Arial"/>
          <w:sz w:val="22"/>
        </w:rPr>
        <w:t xml:space="preserve">de más de </w:t>
      </w:r>
      <w:r w:rsidR="007038DC">
        <w:rPr>
          <w:rFonts w:ascii="Arial" w:hAnsi="Arial"/>
          <w:sz w:val="22"/>
        </w:rPr>
        <w:t>USD 300.000</w:t>
      </w:r>
      <w:r w:rsidRPr="006E29F7">
        <w:rPr>
          <w:rFonts w:ascii="Arial" w:hAnsi="Arial"/>
          <w:sz w:val="22"/>
        </w:rPr>
        <w:t>: que solo sean presentados por IFI que (i) estén regulados por el Banco Central, (ii) tengan un Sistema de Administración de Riesgos Ambientales y Sociales (SARAS) y (</w:t>
      </w:r>
      <w:proofErr w:type="spellStart"/>
      <w:r w:rsidRPr="006E29F7">
        <w:rPr>
          <w:rFonts w:ascii="Arial" w:hAnsi="Arial"/>
          <w:sz w:val="22"/>
        </w:rPr>
        <w:t>i</w:t>
      </w:r>
      <w:r w:rsidR="0004309F">
        <w:rPr>
          <w:rFonts w:ascii="Arial" w:hAnsi="Arial"/>
          <w:sz w:val="22"/>
        </w:rPr>
        <w:t>ii</w:t>
      </w:r>
      <w:proofErr w:type="spellEnd"/>
      <w:r w:rsidRPr="006E29F7">
        <w:rPr>
          <w:rFonts w:ascii="Arial" w:hAnsi="Arial"/>
          <w:sz w:val="22"/>
        </w:rPr>
        <w:t xml:space="preserve">) </w:t>
      </w:r>
      <w:r w:rsidR="00F62D92" w:rsidRPr="006E29F7">
        <w:rPr>
          <w:rFonts w:ascii="Arial" w:hAnsi="Arial"/>
          <w:sz w:val="22"/>
        </w:rPr>
        <w:t xml:space="preserve">cuenten y </w:t>
      </w:r>
      <w:r w:rsidRPr="006E29F7">
        <w:rPr>
          <w:rFonts w:ascii="Arial" w:hAnsi="Arial"/>
          <w:sz w:val="22"/>
        </w:rPr>
        <w:t xml:space="preserve">apliquen guías </w:t>
      </w:r>
      <w:r w:rsidR="00F62D92" w:rsidRPr="006E29F7">
        <w:rPr>
          <w:rFonts w:ascii="Arial" w:hAnsi="Arial"/>
          <w:sz w:val="22"/>
        </w:rPr>
        <w:t>sectoriales</w:t>
      </w:r>
      <w:r w:rsidR="006E29F7" w:rsidRPr="006E29F7">
        <w:rPr>
          <w:rStyle w:val="FootnoteReference"/>
          <w:rFonts w:ascii="Arial" w:hAnsi="Arial"/>
          <w:sz w:val="22"/>
        </w:rPr>
        <w:footnoteReference w:id="2"/>
      </w:r>
      <w:r w:rsidR="00F62D92" w:rsidRPr="006E29F7">
        <w:rPr>
          <w:rFonts w:ascii="Arial" w:hAnsi="Arial"/>
          <w:sz w:val="22"/>
        </w:rPr>
        <w:t xml:space="preserve"> (</w:t>
      </w:r>
      <w:r w:rsidRPr="006E29F7">
        <w:rPr>
          <w:rFonts w:ascii="Arial" w:hAnsi="Arial"/>
          <w:sz w:val="22"/>
        </w:rPr>
        <w:t>sector agrícola, ganadero y</w:t>
      </w:r>
      <w:r w:rsidR="00F62D92" w:rsidRPr="006E29F7">
        <w:rPr>
          <w:rFonts w:ascii="Arial" w:hAnsi="Arial"/>
          <w:sz w:val="22"/>
        </w:rPr>
        <w:t>/o</w:t>
      </w:r>
      <w:r w:rsidRPr="006E29F7">
        <w:rPr>
          <w:rFonts w:ascii="Arial" w:hAnsi="Arial"/>
          <w:sz w:val="22"/>
        </w:rPr>
        <w:t xml:space="preserve"> agroindustrial</w:t>
      </w:r>
      <w:r w:rsidR="00F62D92" w:rsidRPr="006E29F7">
        <w:rPr>
          <w:rFonts w:ascii="Arial" w:hAnsi="Arial"/>
          <w:sz w:val="22"/>
        </w:rPr>
        <w:t>)</w:t>
      </w:r>
      <w:r w:rsidRPr="006E29F7">
        <w:rPr>
          <w:rFonts w:ascii="Arial" w:hAnsi="Arial"/>
          <w:sz w:val="22"/>
        </w:rPr>
        <w:t>. Esto deberá ser confirmado por la IFI mediante Declaración Jurada de la IFI</w:t>
      </w:r>
      <w:bookmarkStart w:id="55" w:name="_GoBack"/>
      <w:bookmarkEnd w:id="55"/>
      <w:r w:rsidRPr="008166A7">
        <w:rPr>
          <w:rFonts w:ascii="Arial" w:hAnsi="Arial"/>
          <w:sz w:val="22"/>
        </w:rPr>
        <w:t>.</w:t>
      </w:r>
      <w:r w:rsidRPr="006E29F7">
        <w:rPr>
          <w:rFonts w:ascii="Arial" w:hAnsi="Arial"/>
          <w:sz w:val="22"/>
        </w:rPr>
        <w:t xml:space="preserve"> </w:t>
      </w:r>
      <w:r w:rsidR="00ED7034">
        <w:rPr>
          <w:rFonts w:ascii="Arial" w:hAnsi="Arial"/>
          <w:sz w:val="22"/>
        </w:rPr>
        <w:t xml:space="preserve">Para que una IFI que no esté regulada por el Banco Central pueda someter subpréstamos de más de </w:t>
      </w:r>
      <w:r w:rsidR="007038DC">
        <w:rPr>
          <w:rFonts w:ascii="Arial" w:hAnsi="Arial"/>
          <w:sz w:val="22"/>
        </w:rPr>
        <w:t xml:space="preserve">USD 300.000 </w:t>
      </w:r>
      <w:r w:rsidR="00ED7034">
        <w:rPr>
          <w:rFonts w:ascii="Arial" w:hAnsi="Arial"/>
          <w:sz w:val="22"/>
        </w:rPr>
        <w:t xml:space="preserve">a financiación con recursos del Programa, tendrá que obtener la no objeción del Banco. </w:t>
      </w:r>
    </w:p>
    <w:p w14:paraId="5007574F" w14:textId="3F30FBA8" w:rsidR="00A2181E" w:rsidRDefault="00EA49C6" w:rsidP="00567A3B">
      <w:pPr>
        <w:pStyle w:val="subpar"/>
        <w:rPr>
          <w:rFonts w:ascii="Arial" w:hAnsi="Arial"/>
          <w:sz w:val="22"/>
        </w:rPr>
      </w:pPr>
      <w:r>
        <w:rPr>
          <w:rFonts w:ascii="Arial" w:hAnsi="Arial"/>
          <w:sz w:val="22"/>
        </w:rPr>
        <w:t xml:space="preserve">Si la AFD quisiera financiar </w:t>
      </w:r>
      <w:r w:rsidR="00C20DB3">
        <w:rPr>
          <w:rFonts w:ascii="Arial" w:hAnsi="Arial"/>
          <w:sz w:val="22"/>
        </w:rPr>
        <w:t xml:space="preserve">un </w:t>
      </w:r>
      <w:r w:rsidR="00592A3A">
        <w:rPr>
          <w:rFonts w:ascii="Arial" w:hAnsi="Arial"/>
          <w:sz w:val="22"/>
        </w:rPr>
        <w:t xml:space="preserve">subpréstamo </w:t>
      </w:r>
      <w:r>
        <w:rPr>
          <w:rFonts w:ascii="Arial" w:hAnsi="Arial"/>
          <w:sz w:val="22"/>
        </w:rPr>
        <w:t xml:space="preserve">de </w:t>
      </w:r>
      <w:r w:rsidR="00C20DB3">
        <w:rPr>
          <w:rFonts w:ascii="Arial" w:hAnsi="Arial"/>
          <w:sz w:val="22"/>
        </w:rPr>
        <w:t>más</w:t>
      </w:r>
      <w:r>
        <w:rPr>
          <w:rFonts w:ascii="Arial" w:hAnsi="Arial"/>
          <w:sz w:val="22"/>
        </w:rPr>
        <w:t xml:space="preserve"> de USD 2,000,000</w:t>
      </w:r>
      <w:r w:rsidR="00D76E66">
        <w:rPr>
          <w:rFonts w:ascii="Arial" w:hAnsi="Arial"/>
          <w:sz w:val="22"/>
        </w:rPr>
        <w:t xml:space="preserve"> con recursos del programa deberá obtener la no-objeción del Banco. </w:t>
      </w:r>
    </w:p>
    <w:p w14:paraId="1E003A9B" w14:textId="7C655A76" w:rsidR="00046C39" w:rsidRPr="006E29F7" w:rsidRDefault="00046C39" w:rsidP="00ED7034">
      <w:pPr>
        <w:pStyle w:val="subpar"/>
        <w:numPr>
          <w:ilvl w:val="0"/>
          <w:numId w:val="0"/>
        </w:numPr>
        <w:ind w:left="1242" w:hanging="432"/>
        <w:rPr>
          <w:rFonts w:ascii="Arial" w:hAnsi="Arial"/>
          <w:sz w:val="22"/>
        </w:rPr>
      </w:pPr>
    </w:p>
    <w:p w14:paraId="7B8F4BF4" w14:textId="111D886A" w:rsidR="00046C39" w:rsidRPr="006E29F7" w:rsidRDefault="00046C39" w:rsidP="000C12EC">
      <w:pPr>
        <w:pStyle w:val="Paragraph"/>
        <w:tabs>
          <w:tab w:val="clear" w:pos="1580"/>
        </w:tabs>
        <w:ind w:left="630" w:hanging="630"/>
        <w:rPr>
          <w:rFonts w:ascii="Arial" w:hAnsi="Arial"/>
          <w:b/>
          <w:sz w:val="22"/>
        </w:rPr>
      </w:pPr>
      <w:r w:rsidRPr="006E29F7">
        <w:rPr>
          <w:rFonts w:ascii="Arial" w:hAnsi="Arial"/>
          <w:b/>
          <w:sz w:val="22"/>
        </w:rPr>
        <w:t xml:space="preserve">Manejo y seguimiento de </w:t>
      </w:r>
      <w:r w:rsidR="000C12EC" w:rsidRPr="006E29F7">
        <w:rPr>
          <w:rFonts w:ascii="Arial" w:hAnsi="Arial"/>
          <w:b/>
          <w:sz w:val="22"/>
        </w:rPr>
        <w:t>aspectos socioambientales</w:t>
      </w:r>
      <w:r w:rsidRPr="006E29F7">
        <w:rPr>
          <w:rFonts w:ascii="Arial" w:hAnsi="Arial"/>
          <w:b/>
          <w:sz w:val="22"/>
        </w:rPr>
        <w:t xml:space="preserve">. </w:t>
      </w:r>
    </w:p>
    <w:p w14:paraId="4361D90F" w14:textId="2AD44F85" w:rsidR="00046C39" w:rsidRPr="006E29F7" w:rsidRDefault="00356309" w:rsidP="000C12EC">
      <w:pPr>
        <w:pStyle w:val="subpar"/>
        <w:rPr>
          <w:rFonts w:ascii="Arial" w:hAnsi="Arial"/>
          <w:sz w:val="22"/>
        </w:rPr>
      </w:pPr>
      <w:r w:rsidRPr="006E29F7">
        <w:rPr>
          <w:rFonts w:ascii="Arial" w:hAnsi="Arial"/>
          <w:sz w:val="22"/>
        </w:rPr>
        <w:t>La AFD</w:t>
      </w:r>
      <w:r w:rsidR="00046C39" w:rsidRPr="006E29F7">
        <w:rPr>
          <w:rFonts w:ascii="Arial" w:hAnsi="Arial"/>
          <w:sz w:val="22"/>
        </w:rPr>
        <w:t xml:space="preserve"> nombrará un Coordinador Ambiental y Social </w:t>
      </w:r>
      <w:r w:rsidRPr="006E29F7">
        <w:rPr>
          <w:rFonts w:ascii="Arial" w:hAnsi="Arial"/>
          <w:sz w:val="22"/>
        </w:rPr>
        <w:t xml:space="preserve">(CAS) </w:t>
      </w:r>
      <w:r w:rsidR="00046C39" w:rsidRPr="006E29F7">
        <w:rPr>
          <w:rFonts w:ascii="Arial" w:hAnsi="Arial"/>
          <w:sz w:val="22"/>
        </w:rPr>
        <w:t xml:space="preserve">por la duración del Programa. El </w:t>
      </w:r>
      <w:r w:rsidRPr="006E29F7">
        <w:rPr>
          <w:rFonts w:ascii="Arial" w:hAnsi="Arial"/>
          <w:sz w:val="22"/>
        </w:rPr>
        <w:t>CAS</w:t>
      </w:r>
      <w:r w:rsidR="00046C39" w:rsidRPr="006E29F7">
        <w:rPr>
          <w:rFonts w:ascii="Arial" w:hAnsi="Arial"/>
          <w:sz w:val="22"/>
        </w:rPr>
        <w:t xml:space="preserve"> deberá tener un perfil técnico adecuado</w:t>
      </w:r>
      <w:r w:rsidRPr="006E29F7">
        <w:rPr>
          <w:rFonts w:ascii="Arial" w:hAnsi="Arial"/>
          <w:sz w:val="22"/>
        </w:rPr>
        <w:t xml:space="preserve"> y será responsable de velar al cumplimiento de los requerimientos socioambientales del programa.</w:t>
      </w:r>
    </w:p>
    <w:p w14:paraId="1BD0F363" w14:textId="12CE3C76" w:rsidR="00046C39" w:rsidRPr="00046C39" w:rsidRDefault="00356309" w:rsidP="000C12EC">
      <w:pPr>
        <w:pStyle w:val="subpar"/>
        <w:rPr>
          <w:rFonts w:ascii="Arial" w:hAnsi="Arial"/>
          <w:sz w:val="22"/>
        </w:rPr>
      </w:pPr>
      <w:r w:rsidRPr="006E29F7">
        <w:rPr>
          <w:rFonts w:ascii="Arial" w:hAnsi="Arial"/>
          <w:sz w:val="22"/>
        </w:rPr>
        <w:lastRenderedPageBreak/>
        <w:t>La AFD</w:t>
      </w:r>
      <w:r w:rsidR="00046C39" w:rsidRPr="006E29F7">
        <w:rPr>
          <w:rFonts w:ascii="Arial" w:hAnsi="Arial"/>
          <w:sz w:val="22"/>
        </w:rPr>
        <w:t xml:space="preserve"> se asegurará de que las IFI participantes en el Programa cumplan con todos los requerimientos regulatorios pertinentes de </w:t>
      </w:r>
      <w:r w:rsidRPr="006E29F7">
        <w:rPr>
          <w:rFonts w:ascii="Arial" w:hAnsi="Arial"/>
          <w:sz w:val="22"/>
        </w:rPr>
        <w:t>Paraguay</w:t>
      </w:r>
      <w:r w:rsidR="00046C39" w:rsidRPr="006E29F7">
        <w:rPr>
          <w:rFonts w:ascii="Arial" w:hAnsi="Arial"/>
          <w:sz w:val="22"/>
        </w:rPr>
        <w:t>, mediante</w:t>
      </w:r>
      <w:r w:rsidR="00046C39" w:rsidRPr="00046C39">
        <w:rPr>
          <w:rFonts w:ascii="Arial" w:hAnsi="Arial"/>
          <w:sz w:val="22"/>
        </w:rPr>
        <w:t xml:space="preserve"> Declaración Jurada de la IFI y/o la inclusión de una cláusula en el </w:t>
      </w:r>
      <w:r>
        <w:rPr>
          <w:rFonts w:ascii="Arial" w:hAnsi="Arial"/>
          <w:sz w:val="22"/>
        </w:rPr>
        <w:t>documento legal relevante</w:t>
      </w:r>
      <w:r w:rsidR="00046C39" w:rsidRPr="00046C39">
        <w:rPr>
          <w:rFonts w:ascii="Arial" w:hAnsi="Arial"/>
          <w:sz w:val="22"/>
        </w:rPr>
        <w:t xml:space="preserve">. </w:t>
      </w:r>
    </w:p>
    <w:p w14:paraId="3A15D5C3" w14:textId="5EFF7A67" w:rsidR="00046C39" w:rsidRPr="00046C39" w:rsidRDefault="00356309" w:rsidP="000C12EC">
      <w:pPr>
        <w:pStyle w:val="subpar"/>
        <w:rPr>
          <w:rFonts w:ascii="Arial" w:hAnsi="Arial"/>
          <w:sz w:val="22"/>
        </w:rPr>
      </w:pPr>
      <w:r w:rsidRPr="00356309">
        <w:rPr>
          <w:rFonts w:ascii="Arial" w:hAnsi="Arial"/>
          <w:sz w:val="22"/>
        </w:rPr>
        <w:t xml:space="preserve">La AFD </w:t>
      </w:r>
      <w:r w:rsidR="00DC35D2">
        <w:rPr>
          <w:rFonts w:ascii="Arial" w:hAnsi="Arial"/>
          <w:sz w:val="22"/>
        </w:rPr>
        <w:t>.</w:t>
      </w:r>
      <w:r w:rsidR="00DC35D2" w:rsidRPr="00356309">
        <w:rPr>
          <w:rFonts w:ascii="Arial" w:hAnsi="Arial"/>
          <w:sz w:val="22"/>
        </w:rPr>
        <w:t xml:space="preserve"> </w:t>
      </w:r>
      <w:r w:rsidRPr="00356309">
        <w:rPr>
          <w:rFonts w:ascii="Arial" w:hAnsi="Arial"/>
          <w:sz w:val="22"/>
        </w:rPr>
        <w:t xml:space="preserve">podrá cambiar los Manuales de los productos </w:t>
      </w:r>
      <w:r w:rsidR="00F020E3">
        <w:rPr>
          <w:rFonts w:ascii="Arial" w:hAnsi="Arial"/>
          <w:sz w:val="22"/>
        </w:rPr>
        <w:t xml:space="preserve">crediticios </w:t>
      </w:r>
      <w:r w:rsidRPr="00356309">
        <w:rPr>
          <w:rFonts w:ascii="Arial" w:hAnsi="Arial"/>
          <w:sz w:val="22"/>
        </w:rPr>
        <w:t xml:space="preserve">elegibles a este programa </w:t>
      </w:r>
      <w:r w:rsidR="00F020E3">
        <w:rPr>
          <w:rFonts w:ascii="Arial" w:hAnsi="Arial"/>
          <w:sz w:val="22"/>
        </w:rPr>
        <w:t xml:space="preserve">(ver </w:t>
      </w:r>
      <w:r w:rsidR="00F020E3">
        <w:rPr>
          <w:rFonts w:ascii="Arial" w:hAnsi="Arial"/>
          <w:sz w:val="22"/>
        </w:rPr>
        <w:fldChar w:fldCharType="begin"/>
      </w:r>
      <w:r w:rsidR="00F020E3">
        <w:rPr>
          <w:rFonts w:ascii="Arial" w:hAnsi="Arial"/>
          <w:sz w:val="22"/>
        </w:rPr>
        <w:instrText xml:space="preserve"> REF _Ref8809256 \r \h </w:instrText>
      </w:r>
      <w:r w:rsidR="000C12EC">
        <w:rPr>
          <w:rFonts w:ascii="Arial" w:hAnsi="Arial"/>
          <w:sz w:val="22"/>
        </w:rPr>
        <w:instrText xml:space="preserve"> \* MERGEFORMAT </w:instrText>
      </w:r>
      <w:r w:rsidR="00F020E3">
        <w:rPr>
          <w:rFonts w:ascii="Arial" w:hAnsi="Arial"/>
          <w:sz w:val="22"/>
        </w:rPr>
      </w:r>
      <w:r w:rsidR="00F020E3">
        <w:rPr>
          <w:rFonts w:ascii="Arial" w:hAnsi="Arial"/>
          <w:sz w:val="22"/>
        </w:rPr>
        <w:fldChar w:fldCharType="separate"/>
      </w:r>
      <w:r w:rsidR="00F020E3">
        <w:rPr>
          <w:rFonts w:ascii="Arial" w:hAnsi="Arial"/>
          <w:sz w:val="22"/>
        </w:rPr>
        <w:t>5.1c</w:t>
      </w:r>
      <w:r w:rsidR="00F020E3">
        <w:rPr>
          <w:rFonts w:ascii="Arial" w:hAnsi="Arial"/>
          <w:sz w:val="22"/>
        </w:rPr>
        <w:fldChar w:fldCharType="end"/>
      </w:r>
      <w:r w:rsidR="00F020E3">
        <w:rPr>
          <w:rFonts w:ascii="Arial" w:hAnsi="Arial"/>
          <w:sz w:val="22"/>
        </w:rPr>
        <w:t xml:space="preserve">) </w:t>
      </w:r>
      <w:r w:rsidR="00DC35D2">
        <w:rPr>
          <w:rFonts w:ascii="Arial" w:hAnsi="Arial"/>
          <w:sz w:val="22"/>
        </w:rPr>
        <w:t>y remitirá al BID luego de su aprobación para su .</w:t>
      </w:r>
      <w:r w:rsidR="00BA74E7">
        <w:rPr>
          <w:rFonts w:ascii="Arial" w:hAnsi="Arial"/>
          <w:sz w:val="22"/>
        </w:rPr>
        <w:t xml:space="preserve"> No Objeción </w:t>
      </w:r>
      <w:r w:rsidR="00DC35D2">
        <w:rPr>
          <w:rFonts w:ascii="Arial" w:hAnsi="Arial"/>
          <w:sz w:val="22"/>
        </w:rPr>
        <w:t>y la aplicabilidad a los recursos de este programa</w:t>
      </w:r>
      <w:r w:rsidRPr="00356309">
        <w:rPr>
          <w:rFonts w:ascii="Arial" w:hAnsi="Arial"/>
          <w:sz w:val="22"/>
        </w:rPr>
        <w:t xml:space="preserve"> </w:t>
      </w:r>
      <w:r w:rsidR="00DC35D2">
        <w:rPr>
          <w:rFonts w:ascii="Arial" w:hAnsi="Arial"/>
          <w:sz w:val="22"/>
        </w:rPr>
        <w:t>.</w:t>
      </w:r>
    </w:p>
    <w:p w14:paraId="4A8D604F" w14:textId="467E9F80" w:rsidR="004A0DC1" w:rsidRPr="00A2695C" w:rsidRDefault="004A0DC1" w:rsidP="00A2695C">
      <w:pPr>
        <w:pStyle w:val="subpar"/>
        <w:rPr>
          <w:rFonts w:ascii="Arial" w:hAnsi="Arial" w:cs="Arial"/>
          <w:sz w:val="22"/>
          <w:szCs w:val="22"/>
        </w:rPr>
      </w:pPr>
      <w:r w:rsidRPr="00A2695C">
        <w:rPr>
          <w:rFonts w:ascii="Arial" w:hAnsi="Arial" w:cs="Arial"/>
          <w:sz w:val="22"/>
          <w:szCs w:val="22"/>
        </w:rPr>
        <w:t>La AFD será responsable de velar por el cumplimiento del Programa con este ROP, así como de coordinar el seguimiento de los requerimientos de monitoreo y evaluación socioambiental. En particular, deberá presentar un reporte anual de desempeño ambiental y social, con información sobre su portafolio, incluyendo cualquier riesgo particular identificado para el filtro de operaciones relacionadas con las actividades cuya elegibilidad está sujeta a la documentación del cumplimiento de requerimientos socioambientales</w:t>
      </w:r>
      <w:r w:rsidR="00BE086E" w:rsidRPr="00A2695C">
        <w:rPr>
          <w:rFonts w:ascii="Arial" w:hAnsi="Arial" w:cs="Arial"/>
          <w:sz w:val="22"/>
          <w:szCs w:val="22"/>
        </w:rPr>
        <w:t>.</w:t>
      </w:r>
      <w:r w:rsidR="008F5E45" w:rsidRPr="00A2695C">
        <w:rPr>
          <w:rFonts w:ascii="Arial" w:hAnsi="Arial" w:cs="Arial"/>
          <w:sz w:val="22"/>
          <w:szCs w:val="22"/>
        </w:rPr>
        <w:t xml:space="preserve"> Ver en Anexo 3</w:t>
      </w:r>
      <w:r w:rsidR="0087734E">
        <w:rPr>
          <w:rFonts w:ascii="Arial" w:hAnsi="Arial" w:cs="Arial"/>
          <w:sz w:val="22"/>
          <w:szCs w:val="22"/>
        </w:rPr>
        <w:t>.</w:t>
      </w:r>
      <w:r w:rsidR="008F5E45" w:rsidRPr="00A2695C">
        <w:rPr>
          <w:rFonts w:ascii="Arial" w:hAnsi="Arial" w:cs="Arial"/>
          <w:sz w:val="22"/>
          <w:szCs w:val="22"/>
        </w:rPr>
        <w:t xml:space="preserve"> </w:t>
      </w:r>
    </w:p>
    <w:p w14:paraId="5AAF00D5" w14:textId="75E35E98" w:rsidR="00046C39" w:rsidRPr="00046C39" w:rsidRDefault="00046C39" w:rsidP="000C12EC">
      <w:pPr>
        <w:pStyle w:val="subpar"/>
        <w:rPr>
          <w:rFonts w:ascii="Arial" w:hAnsi="Arial"/>
          <w:sz w:val="22"/>
        </w:rPr>
      </w:pPr>
      <w:r w:rsidRPr="00046C39">
        <w:rPr>
          <w:rFonts w:ascii="Arial" w:hAnsi="Arial"/>
          <w:sz w:val="22"/>
        </w:rPr>
        <w:t xml:space="preserve">En caso de que </w:t>
      </w:r>
      <w:r w:rsidR="00356309">
        <w:rPr>
          <w:rFonts w:ascii="Arial" w:hAnsi="Arial"/>
          <w:sz w:val="22"/>
        </w:rPr>
        <w:t>la AFD</w:t>
      </w:r>
      <w:r w:rsidRPr="00046C39">
        <w:rPr>
          <w:rFonts w:ascii="Arial" w:hAnsi="Arial"/>
          <w:sz w:val="22"/>
        </w:rPr>
        <w:t xml:space="preserve"> o el BID lleguen a tener conocimiento que un sub</w:t>
      </w:r>
      <w:r w:rsidR="00F020E3">
        <w:rPr>
          <w:rFonts w:ascii="Arial" w:hAnsi="Arial"/>
          <w:sz w:val="22"/>
        </w:rPr>
        <w:t>proyecto</w:t>
      </w:r>
      <w:r w:rsidRPr="00046C39">
        <w:rPr>
          <w:rFonts w:ascii="Arial" w:hAnsi="Arial"/>
          <w:sz w:val="22"/>
        </w:rPr>
        <w:t xml:space="preserve"> haya dejado de ser elegible para financiamiento del Programa debido a consideraciones sociales o ambientales, </w:t>
      </w:r>
      <w:r w:rsidR="00356309">
        <w:rPr>
          <w:rFonts w:ascii="Arial" w:hAnsi="Arial"/>
          <w:sz w:val="22"/>
        </w:rPr>
        <w:t>la AFD</w:t>
      </w:r>
      <w:r w:rsidRPr="00046C39">
        <w:rPr>
          <w:rFonts w:ascii="Arial" w:hAnsi="Arial"/>
          <w:sz w:val="22"/>
        </w:rPr>
        <w:t xml:space="preserve"> notificará al BID (o el BID </w:t>
      </w:r>
      <w:r w:rsidR="00356309">
        <w:rPr>
          <w:rFonts w:ascii="Arial" w:hAnsi="Arial"/>
          <w:sz w:val="22"/>
        </w:rPr>
        <w:t>a la AFD</w:t>
      </w:r>
      <w:r w:rsidRPr="00046C39">
        <w:rPr>
          <w:rFonts w:ascii="Arial" w:hAnsi="Arial"/>
          <w:sz w:val="22"/>
        </w:rPr>
        <w:t xml:space="preserve">), y </w:t>
      </w:r>
      <w:r w:rsidR="00356309">
        <w:rPr>
          <w:rFonts w:ascii="Arial" w:hAnsi="Arial"/>
          <w:sz w:val="22"/>
        </w:rPr>
        <w:t>la AFD</w:t>
      </w:r>
      <w:r w:rsidRPr="00046C39">
        <w:rPr>
          <w:rFonts w:ascii="Arial" w:hAnsi="Arial"/>
          <w:sz w:val="22"/>
        </w:rPr>
        <w:t xml:space="preserve"> podrá optar por, dentro de un plazo de 120 días u otro acordado con el BID: (i) negociar un plan de acción correctiva, aceptable para el BID, con </w:t>
      </w:r>
      <w:r w:rsidR="00F020E3">
        <w:rPr>
          <w:rFonts w:ascii="Arial" w:hAnsi="Arial"/>
          <w:sz w:val="22"/>
        </w:rPr>
        <w:t>la IFI</w:t>
      </w:r>
      <w:r w:rsidRPr="00046C39">
        <w:rPr>
          <w:rFonts w:ascii="Arial" w:hAnsi="Arial"/>
          <w:sz w:val="22"/>
        </w:rPr>
        <w:t xml:space="preserve"> y el </w:t>
      </w:r>
      <w:r w:rsidR="009D105A">
        <w:rPr>
          <w:rFonts w:ascii="Arial" w:hAnsi="Arial"/>
          <w:sz w:val="22"/>
        </w:rPr>
        <w:t>beneficiario</w:t>
      </w:r>
      <w:r w:rsidR="00F020E3">
        <w:rPr>
          <w:rFonts w:ascii="Arial" w:hAnsi="Arial"/>
          <w:sz w:val="22"/>
        </w:rPr>
        <w:t xml:space="preserve"> final</w:t>
      </w:r>
      <w:r w:rsidRPr="00046C39">
        <w:rPr>
          <w:rFonts w:ascii="Arial" w:hAnsi="Arial"/>
          <w:sz w:val="22"/>
        </w:rPr>
        <w:t xml:space="preserve"> respectivo; o (ii) remover el sub</w:t>
      </w:r>
      <w:r w:rsidR="00F020E3">
        <w:rPr>
          <w:rFonts w:ascii="Arial" w:hAnsi="Arial"/>
          <w:sz w:val="22"/>
        </w:rPr>
        <w:t>proyecto</w:t>
      </w:r>
      <w:r w:rsidRPr="00046C39">
        <w:rPr>
          <w:rFonts w:ascii="Arial" w:hAnsi="Arial"/>
          <w:sz w:val="22"/>
        </w:rPr>
        <w:t xml:space="preserve"> de la cartera del BID. En caso de que ocurra un alto número de dichos casos de pérdida de elegibilidad, el BID y </w:t>
      </w:r>
      <w:r w:rsidR="00356309">
        <w:rPr>
          <w:rFonts w:ascii="Arial" w:hAnsi="Arial"/>
          <w:sz w:val="22"/>
        </w:rPr>
        <w:t>la AFD</w:t>
      </w:r>
      <w:r w:rsidRPr="00046C39">
        <w:rPr>
          <w:rFonts w:ascii="Arial" w:hAnsi="Arial"/>
          <w:sz w:val="22"/>
        </w:rPr>
        <w:t xml:space="preserve"> acordarán medidas para ajustar los criterios de elegibilidad socioambiental de manera de mejorar su aplicación para prevenir dichas situaciones.  </w:t>
      </w:r>
    </w:p>
    <w:p w14:paraId="06BFD435" w14:textId="3CF0CA67" w:rsidR="00046C39" w:rsidRPr="00046C39" w:rsidRDefault="00046C39" w:rsidP="000C12EC">
      <w:pPr>
        <w:pStyle w:val="subpar"/>
        <w:rPr>
          <w:rFonts w:ascii="Arial" w:hAnsi="Arial"/>
          <w:sz w:val="22"/>
        </w:rPr>
      </w:pPr>
      <w:r w:rsidRPr="00046C39">
        <w:rPr>
          <w:rFonts w:ascii="Arial" w:hAnsi="Arial"/>
          <w:sz w:val="22"/>
        </w:rPr>
        <w:t xml:space="preserve">Cualquier violación tanto de lo mencionado en los puntos anteriores como de la legislación ambiental nacional resultaría en la cancelación anticipada del </w:t>
      </w:r>
      <w:r w:rsidR="00302D0C" w:rsidRPr="00046C39">
        <w:rPr>
          <w:rFonts w:ascii="Arial" w:hAnsi="Arial"/>
          <w:sz w:val="22"/>
        </w:rPr>
        <w:t>subpréstamo</w:t>
      </w:r>
      <w:r w:rsidRPr="00046C39">
        <w:rPr>
          <w:rFonts w:ascii="Arial" w:hAnsi="Arial"/>
          <w:sz w:val="22"/>
        </w:rPr>
        <w:t xml:space="preserve"> </w:t>
      </w:r>
      <w:r w:rsidR="00F020E3">
        <w:rPr>
          <w:rFonts w:ascii="Arial" w:hAnsi="Arial"/>
          <w:sz w:val="22"/>
        </w:rPr>
        <w:t xml:space="preserve">final </w:t>
      </w:r>
      <w:r w:rsidRPr="00046C39">
        <w:rPr>
          <w:rFonts w:ascii="Arial" w:hAnsi="Arial"/>
          <w:sz w:val="22"/>
        </w:rPr>
        <w:t>y en la no elegibilidad de las empresas en falta para el Programa en el futuro.</w:t>
      </w:r>
    </w:p>
    <w:p w14:paraId="083CAD27" w14:textId="628A1925" w:rsidR="00046C39" w:rsidRPr="00046C39" w:rsidRDefault="00046C39" w:rsidP="000C12EC">
      <w:pPr>
        <w:pStyle w:val="subpar"/>
        <w:rPr>
          <w:rFonts w:ascii="Arial" w:hAnsi="Arial"/>
          <w:sz w:val="22"/>
        </w:rPr>
      </w:pPr>
      <w:r w:rsidRPr="00046C39">
        <w:rPr>
          <w:rFonts w:ascii="Arial" w:hAnsi="Arial"/>
          <w:sz w:val="22"/>
        </w:rPr>
        <w:t xml:space="preserve">El BID supervisará el cumplimiento de los requerimientos socioambientales presentados en esta sección, según sea necesario por un especialista del BID o un consultor externo contratado por el BID. Para ese fin, </w:t>
      </w:r>
      <w:r w:rsidR="00356309">
        <w:rPr>
          <w:rFonts w:ascii="Arial" w:hAnsi="Arial"/>
          <w:sz w:val="22"/>
        </w:rPr>
        <w:t>la AFD</w:t>
      </w:r>
      <w:r w:rsidRPr="00046C39">
        <w:rPr>
          <w:rFonts w:ascii="Arial" w:hAnsi="Arial"/>
          <w:sz w:val="22"/>
        </w:rPr>
        <w:t xml:space="preserve"> proveerá y facilitará acceso al BID de toda documentación relevante, personal y subproyectos. Si fuera necesario, el BID y </w:t>
      </w:r>
      <w:r w:rsidR="00356309">
        <w:rPr>
          <w:rFonts w:ascii="Arial" w:hAnsi="Arial"/>
          <w:sz w:val="22"/>
        </w:rPr>
        <w:t>la AFD</w:t>
      </w:r>
      <w:r w:rsidRPr="00046C39">
        <w:rPr>
          <w:rFonts w:ascii="Arial" w:hAnsi="Arial"/>
          <w:sz w:val="22"/>
        </w:rPr>
        <w:t xml:space="preserve"> acordarán acciones o medidas correctivas necesarias para solventar impactos y riesgos adversos y/o para mejorar su gestión. </w:t>
      </w:r>
    </w:p>
    <w:p w14:paraId="587F291D" w14:textId="77777777" w:rsidR="00350ADF" w:rsidRPr="00803DEC" w:rsidRDefault="00350ADF" w:rsidP="0061571B">
      <w:pPr>
        <w:pStyle w:val="Chapter"/>
        <w:tabs>
          <w:tab w:val="clear" w:pos="1440"/>
          <w:tab w:val="clear" w:pos="7470"/>
          <w:tab w:val="left" w:pos="270"/>
        </w:tabs>
        <w:ind w:left="0"/>
        <w:rPr>
          <w:rFonts w:ascii="Arial" w:hAnsi="Arial" w:cs="Arial"/>
          <w:sz w:val="22"/>
          <w:szCs w:val="22"/>
        </w:rPr>
      </w:pPr>
      <w:bookmarkStart w:id="56" w:name="_Toc7709974"/>
      <w:bookmarkStart w:id="57" w:name="_Toc424822796"/>
      <w:r w:rsidRPr="00803DEC">
        <w:rPr>
          <w:rFonts w:ascii="Arial" w:hAnsi="Arial" w:cs="Arial"/>
          <w:sz w:val="22"/>
          <w:szCs w:val="22"/>
        </w:rPr>
        <w:t>R</w:t>
      </w:r>
      <w:r w:rsidR="00AA28B2" w:rsidRPr="00803DEC">
        <w:rPr>
          <w:rFonts w:ascii="Arial" w:hAnsi="Arial" w:cs="Arial"/>
          <w:sz w:val="22"/>
          <w:szCs w:val="22"/>
        </w:rPr>
        <w:t>eporte</w:t>
      </w:r>
      <w:r w:rsidRPr="00803DEC">
        <w:rPr>
          <w:rFonts w:ascii="Arial" w:hAnsi="Arial" w:cs="Arial"/>
          <w:sz w:val="22"/>
          <w:szCs w:val="22"/>
        </w:rPr>
        <w:t xml:space="preserve"> y </w:t>
      </w:r>
      <w:r w:rsidR="00AA28B2" w:rsidRPr="00803DEC">
        <w:rPr>
          <w:rFonts w:ascii="Arial" w:hAnsi="Arial" w:cs="Arial"/>
          <w:sz w:val="22"/>
          <w:szCs w:val="22"/>
        </w:rPr>
        <w:t>M</w:t>
      </w:r>
      <w:r w:rsidRPr="00803DEC">
        <w:rPr>
          <w:rFonts w:ascii="Arial" w:hAnsi="Arial" w:cs="Arial"/>
          <w:sz w:val="22"/>
          <w:szCs w:val="22"/>
        </w:rPr>
        <w:t>oni</w:t>
      </w:r>
      <w:r w:rsidR="00AA28B2" w:rsidRPr="00803DEC">
        <w:rPr>
          <w:rFonts w:ascii="Arial" w:hAnsi="Arial" w:cs="Arial"/>
          <w:sz w:val="22"/>
          <w:szCs w:val="22"/>
        </w:rPr>
        <w:t>toreo</w:t>
      </w:r>
      <w:bookmarkEnd w:id="56"/>
      <w:r w:rsidR="00AA28B2" w:rsidRPr="00803DEC">
        <w:rPr>
          <w:rFonts w:ascii="Arial" w:hAnsi="Arial" w:cs="Arial"/>
          <w:sz w:val="22"/>
          <w:szCs w:val="22"/>
        </w:rPr>
        <w:t xml:space="preserve"> </w:t>
      </w:r>
    </w:p>
    <w:p w14:paraId="71755475" w14:textId="1C3267B1" w:rsidR="00225B8C" w:rsidRPr="006609FD" w:rsidRDefault="00503066" w:rsidP="006353A9">
      <w:pPr>
        <w:pStyle w:val="Paragraph"/>
        <w:ind w:left="720" w:hanging="720"/>
        <w:rPr>
          <w:rFonts w:ascii="Arial" w:hAnsi="Arial" w:cs="Arial"/>
          <w:sz w:val="22"/>
          <w:szCs w:val="22"/>
        </w:rPr>
      </w:pPr>
      <w:r>
        <w:rPr>
          <w:rFonts w:ascii="Arial" w:hAnsi="Arial" w:cs="Arial"/>
          <w:sz w:val="22"/>
          <w:szCs w:val="22"/>
        </w:rPr>
        <w:t xml:space="preserve">La </w:t>
      </w:r>
      <w:r w:rsidR="006353A9" w:rsidRPr="006609FD">
        <w:rPr>
          <w:rFonts w:ascii="Arial" w:hAnsi="Arial" w:cs="Arial"/>
          <w:sz w:val="22"/>
          <w:szCs w:val="22"/>
        </w:rPr>
        <w:t>AFD</w:t>
      </w:r>
      <w:r w:rsidR="00DE11A8" w:rsidRPr="006609FD">
        <w:rPr>
          <w:rFonts w:ascii="Arial" w:hAnsi="Arial" w:cs="Arial"/>
          <w:sz w:val="22"/>
          <w:szCs w:val="22"/>
        </w:rPr>
        <w:t xml:space="preserve"> </w:t>
      </w:r>
      <w:r w:rsidR="00A70B63">
        <w:rPr>
          <w:rFonts w:ascii="Arial" w:hAnsi="Arial" w:cs="Arial"/>
          <w:sz w:val="22"/>
          <w:szCs w:val="22"/>
        </w:rPr>
        <w:t xml:space="preserve">remitirá </w:t>
      </w:r>
      <w:r w:rsidR="006353A9" w:rsidRPr="006609FD">
        <w:rPr>
          <w:rFonts w:ascii="Arial" w:hAnsi="Arial" w:cs="Arial"/>
          <w:sz w:val="22"/>
          <w:szCs w:val="22"/>
        </w:rPr>
        <w:t>al BID</w:t>
      </w:r>
      <w:r w:rsidR="00135D0C">
        <w:rPr>
          <w:rFonts w:ascii="Arial" w:hAnsi="Arial" w:cs="Arial"/>
          <w:sz w:val="22"/>
          <w:szCs w:val="22"/>
        </w:rPr>
        <w:t xml:space="preserve"> </w:t>
      </w:r>
      <w:r w:rsidR="006353A9" w:rsidRPr="006609FD">
        <w:rPr>
          <w:rFonts w:ascii="Arial" w:hAnsi="Arial" w:cs="Arial"/>
          <w:sz w:val="22"/>
          <w:szCs w:val="22"/>
        </w:rPr>
        <w:t>informes semestrales de progreso</w:t>
      </w:r>
      <w:r w:rsidR="00225B8C" w:rsidRPr="006609FD">
        <w:rPr>
          <w:rFonts w:ascii="Arial" w:hAnsi="Arial" w:cs="Arial"/>
          <w:sz w:val="22"/>
          <w:szCs w:val="22"/>
        </w:rPr>
        <w:t xml:space="preserve">, </w:t>
      </w:r>
      <w:r w:rsidR="00BA58DB" w:rsidRPr="006609FD">
        <w:rPr>
          <w:rFonts w:ascii="Arial" w:hAnsi="Arial" w:cs="Arial"/>
          <w:sz w:val="22"/>
          <w:szCs w:val="22"/>
        </w:rPr>
        <w:t>en un plazo de 60 días</w:t>
      </w:r>
      <w:r w:rsidR="0001500E" w:rsidRPr="006609FD">
        <w:rPr>
          <w:rFonts w:ascii="Arial" w:hAnsi="Arial" w:cs="Arial"/>
          <w:sz w:val="22"/>
          <w:szCs w:val="22"/>
        </w:rPr>
        <w:t xml:space="preserve"> finalizado el semestre calendario</w:t>
      </w:r>
      <w:r w:rsidR="00A70B63">
        <w:rPr>
          <w:rFonts w:ascii="Arial" w:hAnsi="Arial" w:cs="Arial"/>
          <w:sz w:val="22"/>
          <w:szCs w:val="22"/>
        </w:rPr>
        <w:t>.</w:t>
      </w:r>
    </w:p>
    <w:p w14:paraId="59060779" w14:textId="7F97BFC7" w:rsidR="00225B8C" w:rsidRDefault="00F16F9E" w:rsidP="00225B8C">
      <w:pPr>
        <w:pStyle w:val="Paragraph"/>
        <w:ind w:left="720" w:hanging="720"/>
        <w:rPr>
          <w:rFonts w:ascii="Arial" w:hAnsi="Arial" w:cs="Arial"/>
          <w:sz w:val="22"/>
          <w:szCs w:val="22"/>
        </w:rPr>
      </w:pPr>
      <w:bookmarkStart w:id="58" w:name="_Ref981533"/>
      <w:r>
        <w:rPr>
          <w:rFonts w:ascii="Arial" w:hAnsi="Arial" w:cs="Arial"/>
          <w:sz w:val="22"/>
          <w:szCs w:val="22"/>
        </w:rPr>
        <w:t xml:space="preserve">La </w:t>
      </w:r>
      <w:r w:rsidR="00225B8C" w:rsidRPr="00803DEC">
        <w:rPr>
          <w:rFonts w:ascii="Arial" w:hAnsi="Arial" w:cs="Arial"/>
          <w:sz w:val="22"/>
          <w:szCs w:val="22"/>
        </w:rPr>
        <w:t xml:space="preserve">AFD presentará al BID un informe final de evaluación, hasta </w:t>
      </w:r>
      <w:r w:rsidR="00474BF8">
        <w:rPr>
          <w:rFonts w:ascii="Arial" w:hAnsi="Arial" w:cs="Arial"/>
          <w:sz w:val="22"/>
          <w:szCs w:val="22"/>
        </w:rPr>
        <w:t>tres</w:t>
      </w:r>
      <w:r w:rsidR="00225B8C" w:rsidRPr="00803DEC">
        <w:rPr>
          <w:rFonts w:ascii="Arial" w:hAnsi="Arial" w:cs="Arial"/>
          <w:sz w:val="22"/>
          <w:szCs w:val="22"/>
        </w:rPr>
        <w:t xml:space="preserve"> meses después del </w:t>
      </w:r>
      <w:r w:rsidR="0097390F">
        <w:rPr>
          <w:rFonts w:ascii="Arial" w:hAnsi="Arial" w:cs="Arial"/>
          <w:sz w:val="22"/>
          <w:szCs w:val="22"/>
        </w:rPr>
        <w:t>último</w:t>
      </w:r>
      <w:r w:rsidR="0097390F" w:rsidRPr="00803DEC">
        <w:rPr>
          <w:rFonts w:ascii="Arial" w:hAnsi="Arial" w:cs="Arial"/>
          <w:sz w:val="22"/>
          <w:szCs w:val="22"/>
        </w:rPr>
        <w:t xml:space="preserve"> </w:t>
      </w:r>
      <w:r w:rsidR="00225B8C" w:rsidRPr="00803DEC">
        <w:rPr>
          <w:rFonts w:ascii="Arial" w:hAnsi="Arial" w:cs="Arial"/>
          <w:sz w:val="22"/>
          <w:szCs w:val="22"/>
        </w:rPr>
        <w:t>desembolso del préstamo del BID, con la información pertinente para evaluar el cumplimiento de los objetivos.</w:t>
      </w:r>
      <w:bookmarkEnd w:id="58"/>
    </w:p>
    <w:p w14:paraId="040B4E2D" w14:textId="121379F2" w:rsidR="00CE7D2F" w:rsidRPr="00803DEC" w:rsidRDefault="00CE7D2F" w:rsidP="0061571B">
      <w:pPr>
        <w:pStyle w:val="Chapter"/>
        <w:tabs>
          <w:tab w:val="clear" w:pos="1440"/>
          <w:tab w:val="clear" w:pos="7470"/>
          <w:tab w:val="left" w:pos="270"/>
        </w:tabs>
        <w:ind w:left="0"/>
        <w:rPr>
          <w:rFonts w:ascii="Arial" w:hAnsi="Arial" w:cs="Arial"/>
          <w:sz w:val="22"/>
          <w:szCs w:val="22"/>
        </w:rPr>
      </w:pPr>
      <w:bookmarkStart w:id="59" w:name="_Toc7709975"/>
      <w:r w:rsidRPr="00803DEC">
        <w:rPr>
          <w:rFonts w:ascii="Arial" w:hAnsi="Arial" w:cs="Arial"/>
          <w:sz w:val="22"/>
          <w:szCs w:val="22"/>
        </w:rPr>
        <w:lastRenderedPageBreak/>
        <w:t>Acuerdos Para La Gestión Financiera del Programa</w:t>
      </w:r>
      <w:bookmarkEnd w:id="57"/>
      <w:bookmarkEnd w:id="59"/>
    </w:p>
    <w:p w14:paraId="40C2BF35" w14:textId="77777777" w:rsidR="00CE7D2F" w:rsidRPr="00803DEC" w:rsidRDefault="00CE7D2F" w:rsidP="0061571B">
      <w:pPr>
        <w:pStyle w:val="Paragraph"/>
        <w:ind w:left="720" w:hanging="720"/>
        <w:rPr>
          <w:rFonts w:ascii="Arial" w:hAnsi="Arial" w:cs="Arial"/>
          <w:sz w:val="22"/>
          <w:szCs w:val="22"/>
        </w:rPr>
      </w:pPr>
      <w:r w:rsidRPr="00803DEC">
        <w:rPr>
          <w:rFonts w:ascii="Arial" w:hAnsi="Arial" w:cs="Arial"/>
          <w:b/>
          <w:sz w:val="22"/>
          <w:szCs w:val="22"/>
        </w:rPr>
        <w:t xml:space="preserve">Recursos y Sistemas Administrativos. </w:t>
      </w:r>
      <w:r w:rsidR="004A1317" w:rsidRPr="005D6AE0">
        <w:rPr>
          <w:rFonts w:ascii="Arial" w:hAnsi="Arial" w:cs="Arial"/>
          <w:sz w:val="22"/>
          <w:szCs w:val="22"/>
        </w:rPr>
        <w:t xml:space="preserve">La </w:t>
      </w:r>
      <w:r w:rsidR="00D53D89" w:rsidRPr="00803DEC">
        <w:rPr>
          <w:rFonts w:ascii="Arial" w:hAnsi="Arial" w:cs="Arial"/>
          <w:sz w:val="22"/>
          <w:szCs w:val="22"/>
        </w:rPr>
        <w:t>AFD</w:t>
      </w:r>
      <w:r w:rsidRPr="00803DEC">
        <w:rPr>
          <w:rFonts w:ascii="Arial" w:hAnsi="Arial" w:cs="Arial"/>
          <w:sz w:val="22"/>
          <w:szCs w:val="22"/>
        </w:rPr>
        <w:t xml:space="preserve"> utilizará sus recursos y sistemas administrativos, financieros y contables para el registro y la administración de las operaciones que se administren con los recursos del Programa </w:t>
      </w:r>
      <w:r w:rsidR="00D276CC" w:rsidRPr="00803DEC">
        <w:rPr>
          <w:rFonts w:ascii="Arial" w:hAnsi="Arial" w:cs="Arial"/>
          <w:sz w:val="22"/>
          <w:szCs w:val="22"/>
        </w:rPr>
        <w:t xml:space="preserve">de acuerdo </w:t>
      </w:r>
      <w:r w:rsidR="00C44080">
        <w:rPr>
          <w:rFonts w:ascii="Arial" w:hAnsi="Arial" w:cs="Arial"/>
          <w:sz w:val="22"/>
          <w:szCs w:val="22"/>
        </w:rPr>
        <w:t>con</w:t>
      </w:r>
      <w:r w:rsidRPr="00803DEC">
        <w:rPr>
          <w:rFonts w:ascii="Arial" w:hAnsi="Arial" w:cs="Arial"/>
          <w:sz w:val="22"/>
          <w:szCs w:val="22"/>
        </w:rPr>
        <w:t xml:space="preserve"> la regulación financiera vigente aplicable para esa entidad</w:t>
      </w:r>
      <w:r w:rsidR="00D71D14" w:rsidRPr="00803DEC">
        <w:rPr>
          <w:rFonts w:ascii="Arial" w:hAnsi="Arial" w:cs="Arial"/>
          <w:sz w:val="22"/>
          <w:szCs w:val="22"/>
        </w:rPr>
        <w:t xml:space="preserve"> y en consistencia con la Política de Gestión Financiera para Proyectos Financiados por el BID</w:t>
      </w:r>
      <w:r w:rsidRPr="00803DEC">
        <w:rPr>
          <w:rFonts w:ascii="Arial" w:hAnsi="Arial" w:cs="Arial"/>
          <w:sz w:val="22"/>
          <w:szCs w:val="22"/>
        </w:rPr>
        <w:t>.</w:t>
      </w:r>
    </w:p>
    <w:p w14:paraId="0A2E2A33" w14:textId="77777777" w:rsidR="00CE7D2F" w:rsidRPr="00803DEC" w:rsidRDefault="00CE7D2F" w:rsidP="0061571B">
      <w:pPr>
        <w:pStyle w:val="Paragraph"/>
        <w:ind w:left="720" w:hanging="720"/>
        <w:rPr>
          <w:rFonts w:ascii="Arial" w:hAnsi="Arial" w:cs="Arial"/>
          <w:sz w:val="22"/>
          <w:szCs w:val="22"/>
        </w:rPr>
      </w:pPr>
      <w:r w:rsidRPr="00803DEC">
        <w:rPr>
          <w:rFonts w:ascii="Arial" w:hAnsi="Arial" w:cs="Arial"/>
          <w:b/>
          <w:sz w:val="22"/>
          <w:szCs w:val="22"/>
        </w:rPr>
        <w:t>Identificación de los Recursos</w:t>
      </w:r>
      <w:r w:rsidRPr="00803DEC">
        <w:rPr>
          <w:rFonts w:ascii="Arial" w:hAnsi="Arial" w:cs="Arial"/>
          <w:sz w:val="22"/>
          <w:szCs w:val="22"/>
        </w:rPr>
        <w:t xml:space="preserve">. </w:t>
      </w:r>
      <w:r w:rsidR="00D276CC" w:rsidRPr="00803DEC">
        <w:rPr>
          <w:rFonts w:ascii="Arial" w:hAnsi="Arial" w:cs="Arial"/>
          <w:sz w:val="22"/>
          <w:szCs w:val="22"/>
        </w:rPr>
        <w:t xml:space="preserve">La </w:t>
      </w:r>
      <w:r w:rsidR="009F56B1" w:rsidRPr="00803DEC">
        <w:rPr>
          <w:rFonts w:ascii="Arial" w:hAnsi="Arial" w:cs="Arial"/>
          <w:sz w:val="22"/>
          <w:szCs w:val="22"/>
        </w:rPr>
        <w:t>AFD</w:t>
      </w:r>
      <w:r w:rsidRPr="00803DEC">
        <w:rPr>
          <w:rFonts w:ascii="Arial" w:hAnsi="Arial" w:cs="Arial"/>
          <w:sz w:val="22"/>
          <w:szCs w:val="22"/>
        </w:rPr>
        <w:t xml:space="preserve"> </w:t>
      </w:r>
      <w:r w:rsidR="009F56B1" w:rsidRPr="00803DEC">
        <w:rPr>
          <w:rFonts w:ascii="Arial" w:hAnsi="Arial" w:cs="Arial"/>
          <w:sz w:val="22"/>
          <w:szCs w:val="22"/>
        </w:rPr>
        <w:t xml:space="preserve">utilizará su sistema de </w:t>
      </w:r>
      <w:r w:rsidR="009F56B1" w:rsidRPr="00DE339C">
        <w:rPr>
          <w:rFonts w:ascii="Arial" w:hAnsi="Arial" w:cs="Arial"/>
          <w:i/>
          <w:sz w:val="22"/>
          <w:szCs w:val="22"/>
        </w:rPr>
        <w:t>back office</w:t>
      </w:r>
      <w:r w:rsidR="009F56B1" w:rsidRPr="00803DEC">
        <w:rPr>
          <w:rFonts w:ascii="Arial" w:hAnsi="Arial" w:cs="Arial"/>
          <w:sz w:val="22"/>
          <w:szCs w:val="22"/>
        </w:rPr>
        <w:t xml:space="preserve"> para</w:t>
      </w:r>
      <w:r w:rsidRPr="00803DEC">
        <w:rPr>
          <w:rFonts w:ascii="Arial" w:hAnsi="Arial" w:cs="Arial"/>
          <w:sz w:val="22"/>
          <w:szCs w:val="22"/>
        </w:rPr>
        <w:t xml:space="preserve"> la identificación de los recursos del Programa, con la finalidad de distinguir</w:t>
      </w:r>
      <w:r w:rsidR="00D71D14" w:rsidRPr="00803DEC">
        <w:rPr>
          <w:rFonts w:ascii="Arial" w:hAnsi="Arial" w:cs="Arial"/>
          <w:sz w:val="22"/>
          <w:szCs w:val="22"/>
        </w:rPr>
        <w:t>los</w:t>
      </w:r>
      <w:r w:rsidRPr="00803DEC">
        <w:rPr>
          <w:rFonts w:ascii="Arial" w:hAnsi="Arial" w:cs="Arial"/>
          <w:sz w:val="22"/>
          <w:szCs w:val="22"/>
        </w:rPr>
        <w:t xml:space="preserve"> a nivel presupuestario, contable y de tesorería</w:t>
      </w:r>
      <w:r w:rsidR="00D71D14" w:rsidRPr="00803DEC">
        <w:rPr>
          <w:rFonts w:ascii="Arial" w:hAnsi="Arial" w:cs="Arial"/>
          <w:sz w:val="22"/>
          <w:szCs w:val="22"/>
        </w:rPr>
        <w:t xml:space="preserve">, </w:t>
      </w:r>
      <w:r w:rsidR="000C18C1" w:rsidRPr="000C18C1">
        <w:rPr>
          <w:rFonts w:ascii="Arial" w:hAnsi="Arial" w:cs="Arial"/>
          <w:sz w:val="22"/>
          <w:szCs w:val="22"/>
        </w:rPr>
        <w:t>hasta la Fecha Final de Amortización</w:t>
      </w:r>
      <w:r w:rsidR="00496791">
        <w:rPr>
          <w:rFonts w:ascii="Arial" w:hAnsi="Arial" w:cs="Arial"/>
          <w:sz w:val="22"/>
          <w:szCs w:val="22"/>
        </w:rPr>
        <w:t xml:space="preserve"> prevista en el contrato</w:t>
      </w:r>
      <w:r w:rsidRPr="00803DEC">
        <w:rPr>
          <w:rFonts w:ascii="Arial" w:hAnsi="Arial" w:cs="Arial"/>
          <w:sz w:val="22"/>
          <w:szCs w:val="22"/>
        </w:rPr>
        <w:t>.</w:t>
      </w:r>
    </w:p>
    <w:p w14:paraId="2815A71E" w14:textId="0A079FE8" w:rsidR="00CE7D2F" w:rsidRPr="00803DEC" w:rsidRDefault="00CE7D2F" w:rsidP="0061571B">
      <w:pPr>
        <w:pStyle w:val="Paragraph"/>
        <w:ind w:left="720" w:hanging="720"/>
        <w:rPr>
          <w:rFonts w:ascii="Arial" w:hAnsi="Arial" w:cs="Arial"/>
          <w:sz w:val="22"/>
          <w:szCs w:val="22"/>
        </w:rPr>
      </w:pPr>
      <w:r w:rsidRPr="00803DEC">
        <w:rPr>
          <w:rFonts w:ascii="Arial" w:hAnsi="Arial" w:cs="Arial"/>
          <w:b/>
          <w:sz w:val="22"/>
          <w:szCs w:val="22"/>
        </w:rPr>
        <w:t>Desembolsos y Flujos de Caja</w:t>
      </w:r>
      <w:r w:rsidRPr="00803DEC">
        <w:rPr>
          <w:rFonts w:ascii="Arial" w:hAnsi="Arial" w:cs="Arial"/>
          <w:sz w:val="22"/>
          <w:szCs w:val="22"/>
        </w:rPr>
        <w:t xml:space="preserve">. El BID desembolsará los recursos del </w:t>
      </w:r>
      <w:r w:rsidR="00136257" w:rsidRPr="00803DEC">
        <w:rPr>
          <w:rFonts w:ascii="Arial" w:hAnsi="Arial" w:cs="Arial"/>
          <w:sz w:val="22"/>
          <w:szCs w:val="22"/>
        </w:rPr>
        <w:t>Programa</w:t>
      </w:r>
      <w:r w:rsidRPr="00803DEC">
        <w:rPr>
          <w:rFonts w:ascii="Arial" w:hAnsi="Arial" w:cs="Arial"/>
          <w:sz w:val="22"/>
          <w:szCs w:val="22"/>
        </w:rPr>
        <w:t xml:space="preserve"> bajo la </w:t>
      </w:r>
      <w:r w:rsidRPr="002C1A07">
        <w:rPr>
          <w:rFonts w:ascii="Arial" w:hAnsi="Arial" w:cs="Arial"/>
          <w:sz w:val="22"/>
          <w:szCs w:val="22"/>
        </w:rPr>
        <w:t>modalidad de Reembolso</w:t>
      </w:r>
      <w:r w:rsidR="00B703F3">
        <w:rPr>
          <w:rFonts w:ascii="Arial" w:hAnsi="Arial" w:cs="Arial"/>
          <w:sz w:val="22"/>
          <w:szCs w:val="22"/>
        </w:rPr>
        <w:t xml:space="preserve"> </w:t>
      </w:r>
      <w:r w:rsidR="0004309F">
        <w:rPr>
          <w:rFonts w:ascii="Arial" w:hAnsi="Arial" w:cs="Arial"/>
          <w:sz w:val="22"/>
          <w:szCs w:val="22"/>
        </w:rPr>
        <w:t>o</w:t>
      </w:r>
      <w:r w:rsidR="00B703F3">
        <w:rPr>
          <w:rFonts w:ascii="Arial" w:hAnsi="Arial" w:cs="Arial"/>
          <w:sz w:val="22"/>
          <w:szCs w:val="22"/>
        </w:rPr>
        <w:t xml:space="preserve"> </w:t>
      </w:r>
      <w:r w:rsidR="00D00B45">
        <w:rPr>
          <w:rFonts w:ascii="Arial" w:hAnsi="Arial" w:cs="Arial"/>
          <w:sz w:val="22"/>
          <w:szCs w:val="22"/>
        </w:rPr>
        <w:t>A</w:t>
      </w:r>
      <w:r w:rsidR="00B703F3">
        <w:rPr>
          <w:rFonts w:ascii="Arial" w:hAnsi="Arial" w:cs="Arial"/>
          <w:sz w:val="22"/>
          <w:szCs w:val="22"/>
        </w:rPr>
        <w:t>nticipos</w:t>
      </w:r>
      <w:r w:rsidRPr="00803DEC">
        <w:rPr>
          <w:rFonts w:ascii="Arial" w:hAnsi="Arial" w:cs="Arial"/>
          <w:sz w:val="22"/>
          <w:szCs w:val="22"/>
        </w:rPr>
        <w:t xml:space="preserve">, pudiendo utilizar otra modalidad de desembolsos </w:t>
      </w:r>
      <w:r w:rsidR="00BD717E">
        <w:rPr>
          <w:rFonts w:ascii="Arial" w:hAnsi="Arial" w:cs="Arial"/>
          <w:sz w:val="22"/>
          <w:szCs w:val="22"/>
        </w:rPr>
        <w:t>conforme a la política de Gestión Fi</w:t>
      </w:r>
      <w:r w:rsidR="00167F7D">
        <w:rPr>
          <w:rFonts w:ascii="Arial" w:hAnsi="Arial" w:cs="Arial"/>
          <w:sz w:val="22"/>
          <w:szCs w:val="22"/>
        </w:rPr>
        <w:t>nanciera</w:t>
      </w:r>
      <w:r w:rsidR="00BD717E">
        <w:rPr>
          <w:rFonts w:ascii="Arial" w:hAnsi="Arial" w:cs="Arial"/>
          <w:sz w:val="22"/>
          <w:szCs w:val="22"/>
        </w:rPr>
        <w:t xml:space="preserve"> y</w:t>
      </w:r>
      <w:r w:rsidRPr="00BD717E">
        <w:rPr>
          <w:rFonts w:ascii="Arial" w:hAnsi="Arial" w:cs="Arial"/>
          <w:sz w:val="22"/>
          <w:szCs w:val="22"/>
        </w:rPr>
        <w:t xml:space="preserve"> </w:t>
      </w:r>
      <w:r w:rsidRPr="00803DEC">
        <w:rPr>
          <w:rFonts w:ascii="Arial" w:hAnsi="Arial" w:cs="Arial"/>
          <w:sz w:val="22"/>
          <w:szCs w:val="22"/>
        </w:rPr>
        <w:t>previo acuerdo con el B</w:t>
      </w:r>
      <w:r w:rsidR="000C18C1">
        <w:rPr>
          <w:rFonts w:ascii="Arial" w:hAnsi="Arial" w:cs="Arial"/>
          <w:sz w:val="22"/>
          <w:szCs w:val="22"/>
        </w:rPr>
        <w:t>ID</w:t>
      </w:r>
      <w:r w:rsidRPr="00803DEC">
        <w:rPr>
          <w:rFonts w:ascii="Arial" w:hAnsi="Arial" w:cs="Arial"/>
          <w:sz w:val="22"/>
          <w:szCs w:val="22"/>
        </w:rPr>
        <w:t xml:space="preserve"> Las solicitudes de desembolso deberán ir acompañadas de la lista de </w:t>
      </w:r>
      <w:r w:rsidR="000C18C1">
        <w:rPr>
          <w:rFonts w:ascii="Arial" w:hAnsi="Arial" w:cs="Arial"/>
          <w:sz w:val="22"/>
          <w:szCs w:val="22"/>
        </w:rPr>
        <w:t xml:space="preserve">gastos </w:t>
      </w:r>
      <w:r w:rsidRPr="00803DEC">
        <w:rPr>
          <w:rFonts w:ascii="Arial" w:hAnsi="Arial" w:cs="Arial"/>
          <w:sz w:val="22"/>
          <w:szCs w:val="22"/>
        </w:rPr>
        <w:t xml:space="preserve">elegibles según lo establecido en el presente Reglamento </w:t>
      </w:r>
      <w:r w:rsidR="0021703F" w:rsidRPr="00803DEC">
        <w:rPr>
          <w:rFonts w:ascii="Arial" w:hAnsi="Arial" w:cs="Arial"/>
          <w:sz w:val="22"/>
          <w:szCs w:val="22"/>
        </w:rPr>
        <w:t>Operativo</w:t>
      </w:r>
      <w:r w:rsidRPr="00803DEC">
        <w:rPr>
          <w:rFonts w:ascii="Arial" w:hAnsi="Arial" w:cs="Arial"/>
          <w:sz w:val="22"/>
          <w:szCs w:val="22"/>
        </w:rPr>
        <w:t>.</w:t>
      </w:r>
    </w:p>
    <w:p w14:paraId="61B8F367" w14:textId="7BA531AC" w:rsidR="00CE7D2F" w:rsidRPr="00803DEC" w:rsidRDefault="00CE7D2F" w:rsidP="0061571B">
      <w:pPr>
        <w:pStyle w:val="Paragraph"/>
        <w:ind w:left="720" w:hanging="720"/>
        <w:rPr>
          <w:rFonts w:ascii="Arial" w:hAnsi="Arial" w:cs="Arial"/>
          <w:sz w:val="22"/>
          <w:szCs w:val="22"/>
        </w:rPr>
      </w:pPr>
      <w:r w:rsidRPr="00803DEC">
        <w:rPr>
          <w:rFonts w:ascii="Arial" w:hAnsi="Arial" w:cs="Arial"/>
          <w:b/>
          <w:sz w:val="22"/>
          <w:szCs w:val="22"/>
        </w:rPr>
        <w:t xml:space="preserve">Cuenta </w:t>
      </w:r>
      <w:r w:rsidR="006A5AEC" w:rsidRPr="00803DEC">
        <w:rPr>
          <w:rFonts w:ascii="Arial" w:hAnsi="Arial" w:cs="Arial"/>
          <w:b/>
          <w:sz w:val="22"/>
          <w:szCs w:val="22"/>
        </w:rPr>
        <w:t xml:space="preserve">Giratoria </w:t>
      </w:r>
      <w:r w:rsidRPr="00803DEC">
        <w:rPr>
          <w:rFonts w:ascii="Arial" w:hAnsi="Arial" w:cs="Arial"/>
          <w:b/>
          <w:sz w:val="22"/>
          <w:szCs w:val="22"/>
        </w:rPr>
        <w:t>Especial y Operacional</w:t>
      </w:r>
      <w:r w:rsidRPr="00803DEC">
        <w:rPr>
          <w:rFonts w:ascii="Arial" w:hAnsi="Arial" w:cs="Arial"/>
          <w:sz w:val="22"/>
          <w:szCs w:val="22"/>
        </w:rPr>
        <w:t xml:space="preserve">. </w:t>
      </w:r>
      <w:r w:rsidR="00D276CC" w:rsidRPr="00803DEC">
        <w:rPr>
          <w:rFonts w:ascii="Arial" w:hAnsi="Arial" w:cs="Arial"/>
          <w:sz w:val="22"/>
          <w:szCs w:val="22"/>
        </w:rPr>
        <w:t xml:space="preserve">La </w:t>
      </w:r>
      <w:r w:rsidR="005D137B" w:rsidRPr="00803DEC">
        <w:rPr>
          <w:rFonts w:ascii="Arial" w:hAnsi="Arial" w:cs="Arial"/>
          <w:sz w:val="22"/>
          <w:szCs w:val="22"/>
        </w:rPr>
        <w:t>AFD</w:t>
      </w:r>
      <w:r w:rsidRPr="00803DEC">
        <w:rPr>
          <w:rFonts w:ascii="Arial" w:hAnsi="Arial" w:cs="Arial"/>
          <w:sz w:val="22"/>
          <w:szCs w:val="22"/>
        </w:rPr>
        <w:t xml:space="preserve"> mantendrá una cuenta especial en el Banco Central de</w:t>
      </w:r>
      <w:r w:rsidR="005D137B" w:rsidRPr="00803DEC">
        <w:rPr>
          <w:rFonts w:ascii="Arial" w:hAnsi="Arial" w:cs="Arial"/>
          <w:sz w:val="22"/>
          <w:szCs w:val="22"/>
        </w:rPr>
        <w:t>l Paraguay</w:t>
      </w:r>
      <w:r w:rsidRPr="00803DEC">
        <w:rPr>
          <w:rFonts w:ascii="Arial" w:hAnsi="Arial" w:cs="Arial"/>
          <w:sz w:val="22"/>
          <w:szCs w:val="22"/>
        </w:rPr>
        <w:t xml:space="preserve"> </w:t>
      </w:r>
      <w:r w:rsidR="00D71D14" w:rsidRPr="00803DEC">
        <w:rPr>
          <w:rFonts w:ascii="Arial" w:hAnsi="Arial" w:cs="Arial"/>
          <w:sz w:val="22"/>
          <w:szCs w:val="22"/>
        </w:rPr>
        <w:t xml:space="preserve">para el manejo exclusivo de los recursos del </w:t>
      </w:r>
      <w:r w:rsidR="00136257" w:rsidRPr="00803DEC">
        <w:rPr>
          <w:rFonts w:ascii="Arial" w:hAnsi="Arial" w:cs="Arial"/>
          <w:sz w:val="22"/>
          <w:szCs w:val="22"/>
        </w:rPr>
        <w:t>Programa</w:t>
      </w:r>
      <w:r w:rsidR="00D71D14" w:rsidRPr="00803DEC">
        <w:rPr>
          <w:rFonts w:ascii="Arial" w:hAnsi="Arial" w:cs="Arial"/>
          <w:sz w:val="22"/>
          <w:szCs w:val="22"/>
        </w:rPr>
        <w:t xml:space="preserve">, </w:t>
      </w:r>
      <w:r w:rsidRPr="00803DEC">
        <w:rPr>
          <w:rFonts w:ascii="Arial" w:hAnsi="Arial" w:cs="Arial"/>
          <w:sz w:val="22"/>
          <w:szCs w:val="22"/>
        </w:rPr>
        <w:t xml:space="preserve">desde donde se realizarán los desembolsos correspondientes a </w:t>
      </w:r>
      <w:r w:rsidR="009B6951">
        <w:rPr>
          <w:rFonts w:ascii="Arial" w:hAnsi="Arial" w:cs="Arial"/>
          <w:sz w:val="22"/>
          <w:szCs w:val="22"/>
        </w:rPr>
        <w:t>préstamos a las IFI para gastos elegibles bajo el Programa.</w:t>
      </w:r>
      <w:r w:rsidR="00391D74" w:rsidRPr="00803DEC" w:rsidDel="00391D74">
        <w:rPr>
          <w:rFonts w:ascii="Arial" w:hAnsi="Arial" w:cs="Arial"/>
          <w:sz w:val="22"/>
          <w:szCs w:val="22"/>
        </w:rPr>
        <w:t xml:space="preserve"> </w:t>
      </w:r>
    </w:p>
    <w:p w14:paraId="0F5E9787" w14:textId="77777777" w:rsidR="006A5AEC" w:rsidRPr="00803DEC" w:rsidRDefault="006A5AEC" w:rsidP="006A5AEC">
      <w:pPr>
        <w:pStyle w:val="Paragraph"/>
        <w:ind w:left="720" w:hanging="720"/>
        <w:rPr>
          <w:rFonts w:ascii="Arial" w:hAnsi="Arial" w:cs="Arial"/>
          <w:sz w:val="22"/>
          <w:szCs w:val="22"/>
        </w:rPr>
      </w:pPr>
      <w:r w:rsidRPr="00803DEC">
        <w:rPr>
          <w:rFonts w:ascii="Arial" w:hAnsi="Arial" w:cs="Arial"/>
          <w:b/>
          <w:sz w:val="22"/>
          <w:szCs w:val="22"/>
        </w:rPr>
        <w:t>Sistemas de información.</w:t>
      </w:r>
      <w:r w:rsidR="00D276CC" w:rsidRPr="00803DEC">
        <w:rPr>
          <w:rFonts w:ascii="Arial" w:hAnsi="Arial" w:cs="Arial"/>
          <w:sz w:val="22"/>
          <w:szCs w:val="22"/>
        </w:rPr>
        <w:t xml:space="preserve"> </w:t>
      </w:r>
      <w:r w:rsidR="004A1317">
        <w:rPr>
          <w:rFonts w:ascii="Arial" w:hAnsi="Arial" w:cs="Arial"/>
          <w:sz w:val="22"/>
          <w:szCs w:val="22"/>
        </w:rPr>
        <w:t xml:space="preserve">La </w:t>
      </w:r>
      <w:r w:rsidRPr="00803DEC">
        <w:rPr>
          <w:rFonts w:ascii="Arial" w:hAnsi="Arial" w:cs="Arial"/>
          <w:sz w:val="22"/>
          <w:szCs w:val="22"/>
        </w:rPr>
        <w:t xml:space="preserve">AFD tendrá acceso al sistema integrado de administración de Finanzas (SIAF). Los sistemas nacionales no emiten los informes necesarios para el </w:t>
      </w:r>
      <w:r w:rsidR="00331354">
        <w:rPr>
          <w:rFonts w:ascii="Arial" w:hAnsi="Arial" w:cs="Arial"/>
          <w:sz w:val="22"/>
          <w:szCs w:val="22"/>
        </w:rPr>
        <w:t>BID</w:t>
      </w:r>
      <w:r w:rsidRPr="00803DEC">
        <w:rPr>
          <w:rFonts w:ascii="Arial" w:hAnsi="Arial" w:cs="Arial"/>
          <w:sz w:val="22"/>
          <w:szCs w:val="22"/>
        </w:rPr>
        <w:t xml:space="preserve">, </w:t>
      </w:r>
      <w:r w:rsidR="00CF4951">
        <w:rPr>
          <w:rFonts w:ascii="Arial" w:hAnsi="Arial" w:cs="Arial"/>
          <w:sz w:val="22"/>
          <w:szCs w:val="22"/>
        </w:rPr>
        <w:t>sin embargo, la AFD utilizará sus propios sistemas para ello.</w:t>
      </w:r>
    </w:p>
    <w:p w14:paraId="3AE7D91B" w14:textId="77777777" w:rsidR="00EA1FA0" w:rsidRPr="00803DEC" w:rsidRDefault="00EA1FA0" w:rsidP="0061571B">
      <w:pPr>
        <w:pStyle w:val="Paragraph"/>
        <w:ind w:left="720" w:hanging="720"/>
        <w:rPr>
          <w:rFonts w:ascii="Arial" w:hAnsi="Arial" w:cs="Arial"/>
          <w:sz w:val="22"/>
          <w:szCs w:val="22"/>
        </w:rPr>
      </w:pPr>
      <w:r w:rsidRPr="00803DEC">
        <w:rPr>
          <w:rFonts w:ascii="Arial" w:hAnsi="Arial" w:cs="Arial"/>
          <w:b/>
          <w:sz w:val="22"/>
          <w:szCs w:val="22"/>
        </w:rPr>
        <w:t>Supervisión</w:t>
      </w:r>
      <w:r w:rsidRPr="00803DEC">
        <w:rPr>
          <w:rFonts w:ascii="Arial" w:hAnsi="Arial" w:cs="Arial"/>
          <w:sz w:val="22"/>
          <w:szCs w:val="22"/>
        </w:rPr>
        <w:t xml:space="preserve">. Para el monitoreo financiero del </w:t>
      </w:r>
      <w:r w:rsidR="00136257" w:rsidRPr="00803DEC">
        <w:rPr>
          <w:rFonts w:ascii="Arial" w:hAnsi="Arial" w:cs="Arial"/>
          <w:sz w:val="22"/>
          <w:szCs w:val="22"/>
        </w:rPr>
        <w:t>Programa</w:t>
      </w:r>
      <w:r w:rsidRPr="00803DEC">
        <w:rPr>
          <w:rFonts w:ascii="Arial" w:hAnsi="Arial" w:cs="Arial"/>
          <w:sz w:val="22"/>
          <w:szCs w:val="22"/>
        </w:rPr>
        <w:t xml:space="preserve">, se utilizarán los informes financieros (no auditados) producidos por los sistemas de </w:t>
      </w:r>
      <w:r w:rsidR="00D276CC" w:rsidRPr="00803DEC">
        <w:rPr>
          <w:rFonts w:ascii="Arial" w:hAnsi="Arial" w:cs="Arial"/>
          <w:sz w:val="22"/>
          <w:szCs w:val="22"/>
        </w:rPr>
        <w:t xml:space="preserve">la </w:t>
      </w:r>
      <w:r w:rsidR="00ED6AE3" w:rsidRPr="00803DEC">
        <w:rPr>
          <w:rFonts w:ascii="Arial" w:hAnsi="Arial" w:cs="Arial"/>
          <w:sz w:val="22"/>
          <w:szCs w:val="22"/>
        </w:rPr>
        <w:t>AFD</w:t>
      </w:r>
      <w:r w:rsidRPr="00803DEC">
        <w:rPr>
          <w:rFonts w:ascii="Arial" w:hAnsi="Arial" w:cs="Arial"/>
          <w:sz w:val="22"/>
          <w:szCs w:val="22"/>
        </w:rPr>
        <w:t xml:space="preserve"> y la desagregación necesaria se detallará en las notas correspondientes e información financiera complementaria. Preliminarment</w:t>
      </w:r>
      <w:r w:rsidR="00ED6AE3" w:rsidRPr="00803DEC">
        <w:rPr>
          <w:rFonts w:ascii="Arial" w:hAnsi="Arial" w:cs="Arial"/>
          <w:sz w:val="22"/>
          <w:szCs w:val="22"/>
        </w:rPr>
        <w:t>e, estos informes se requerirán semestralmente</w:t>
      </w:r>
      <w:r w:rsidR="00C44080">
        <w:rPr>
          <w:rFonts w:ascii="Arial" w:hAnsi="Arial" w:cs="Arial"/>
          <w:sz w:val="22"/>
          <w:szCs w:val="22"/>
        </w:rPr>
        <w:t>,</w:t>
      </w:r>
      <w:r w:rsidRPr="00803DEC">
        <w:rPr>
          <w:rFonts w:ascii="Arial" w:hAnsi="Arial" w:cs="Arial"/>
          <w:sz w:val="22"/>
          <w:szCs w:val="22"/>
        </w:rPr>
        <w:t xml:space="preserve"> pudiendo ajustarse la frecuencia posteriormente. Las notas explicativas de la información financiera se diseñarán de manera que sean consistentes con la política y herramientas de monitoreo del BID (Guía de Informes Financieros y Auditoría Externa de las Operaciones Financiadas por el BID). </w:t>
      </w:r>
    </w:p>
    <w:p w14:paraId="6B80AA16" w14:textId="28737B78" w:rsidR="00EA1FA0" w:rsidRPr="00803DEC" w:rsidRDefault="00EA1FA0" w:rsidP="0061571B">
      <w:pPr>
        <w:pStyle w:val="Paragraph"/>
        <w:ind w:left="720" w:hanging="720"/>
        <w:rPr>
          <w:rFonts w:ascii="Arial" w:hAnsi="Arial" w:cs="Arial"/>
          <w:sz w:val="22"/>
          <w:szCs w:val="22"/>
        </w:rPr>
      </w:pPr>
      <w:r w:rsidRPr="00803DEC">
        <w:rPr>
          <w:rFonts w:ascii="Arial" w:hAnsi="Arial" w:cs="Arial"/>
          <w:b/>
          <w:sz w:val="22"/>
          <w:szCs w:val="22"/>
        </w:rPr>
        <w:t xml:space="preserve">Supervisión Fiduciaria del BID. </w:t>
      </w:r>
      <w:r w:rsidRPr="00803DEC">
        <w:rPr>
          <w:rFonts w:ascii="Arial" w:hAnsi="Arial" w:cs="Arial"/>
          <w:sz w:val="22"/>
          <w:szCs w:val="22"/>
        </w:rPr>
        <w:t>El especialista f</w:t>
      </w:r>
      <w:r w:rsidR="00ED6AE3" w:rsidRPr="00803DEC">
        <w:rPr>
          <w:rFonts w:ascii="Arial" w:hAnsi="Arial" w:cs="Arial"/>
          <w:sz w:val="22"/>
          <w:szCs w:val="22"/>
        </w:rPr>
        <w:t>iduciari</w:t>
      </w:r>
      <w:r w:rsidRPr="00803DEC">
        <w:rPr>
          <w:rFonts w:ascii="Arial" w:hAnsi="Arial" w:cs="Arial"/>
          <w:sz w:val="22"/>
          <w:szCs w:val="22"/>
        </w:rPr>
        <w:t xml:space="preserve">o del BID podrá llevar a cabo revisiones “in situ” y realizará revisiones de “escritorio” sobre los estados financieros anuales y finales auditados del Programa. Las visitas de supervisión fiduciaria en gestión financiera incluirán la verificación de los arreglos financieros y contables utilizados para la administración del proyecto y el seguimiento a la implementación de las recomendaciones que pueda emitir el auditor independiente del presente </w:t>
      </w:r>
      <w:r w:rsidR="00136257" w:rsidRPr="00803DEC">
        <w:rPr>
          <w:rFonts w:ascii="Arial" w:hAnsi="Arial" w:cs="Arial"/>
          <w:sz w:val="22"/>
          <w:szCs w:val="22"/>
        </w:rPr>
        <w:t>Programa</w:t>
      </w:r>
      <w:r w:rsidRPr="00803DEC">
        <w:rPr>
          <w:rFonts w:ascii="Arial" w:hAnsi="Arial" w:cs="Arial"/>
          <w:sz w:val="22"/>
          <w:szCs w:val="22"/>
        </w:rPr>
        <w:t>, entre otros.</w:t>
      </w:r>
      <w:r w:rsidR="00E86B4C">
        <w:rPr>
          <w:rFonts w:ascii="Arial" w:hAnsi="Arial" w:cs="Arial"/>
          <w:sz w:val="22"/>
          <w:szCs w:val="22"/>
        </w:rPr>
        <w:t xml:space="preserve"> Asimismo, los auditores extern</w:t>
      </w:r>
      <w:r w:rsidR="00906CDF">
        <w:rPr>
          <w:rFonts w:ascii="Arial" w:hAnsi="Arial" w:cs="Arial"/>
          <w:sz w:val="22"/>
          <w:szCs w:val="22"/>
        </w:rPr>
        <w:t xml:space="preserve">os </w:t>
      </w:r>
      <w:r w:rsidR="00ED6AE3" w:rsidRPr="00803DEC">
        <w:rPr>
          <w:rFonts w:ascii="Arial" w:hAnsi="Arial" w:cs="Arial"/>
          <w:sz w:val="22"/>
          <w:szCs w:val="22"/>
        </w:rPr>
        <w:t>verificará</w:t>
      </w:r>
      <w:r w:rsidR="00906CDF">
        <w:rPr>
          <w:rFonts w:ascii="Arial" w:hAnsi="Arial" w:cs="Arial"/>
          <w:sz w:val="22"/>
          <w:szCs w:val="22"/>
        </w:rPr>
        <w:t>n</w:t>
      </w:r>
      <w:r w:rsidR="00ED6AE3" w:rsidRPr="00803DEC">
        <w:rPr>
          <w:rFonts w:ascii="Arial" w:hAnsi="Arial" w:cs="Arial"/>
          <w:sz w:val="22"/>
          <w:szCs w:val="22"/>
        </w:rPr>
        <w:t xml:space="preserve"> </w:t>
      </w:r>
      <w:r w:rsidRPr="00803DEC">
        <w:rPr>
          <w:rFonts w:ascii="Arial" w:hAnsi="Arial" w:cs="Arial"/>
          <w:sz w:val="22"/>
          <w:szCs w:val="22"/>
        </w:rPr>
        <w:t xml:space="preserve">que los recursos se canalicen a través de </w:t>
      </w:r>
      <w:r w:rsidR="006E32EB">
        <w:rPr>
          <w:rFonts w:ascii="Arial" w:hAnsi="Arial" w:cs="Arial"/>
          <w:sz w:val="22"/>
          <w:szCs w:val="22"/>
        </w:rPr>
        <w:t>las IFI</w:t>
      </w:r>
      <w:r w:rsidRPr="00803DEC">
        <w:rPr>
          <w:rFonts w:ascii="Arial" w:hAnsi="Arial" w:cs="Arial"/>
          <w:sz w:val="22"/>
          <w:szCs w:val="22"/>
        </w:rPr>
        <w:t xml:space="preserve"> a los </w:t>
      </w:r>
      <w:proofErr w:type="spellStart"/>
      <w:r w:rsidR="00302D0C">
        <w:rPr>
          <w:rFonts w:ascii="Arial" w:hAnsi="Arial" w:cs="Arial"/>
          <w:sz w:val="22"/>
          <w:szCs w:val="22"/>
        </w:rPr>
        <w:t>subpresta</w:t>
      </w:r>
      <w:r w:rsidR="00CE455D">
        <w:rPr>
          <w:rFonts w:ascii="Arial" w:hAnsi="Arial" w:cs="Arial"/>
          <w:sz w:val="22"/>
          <w:szCs w:val="22"/>
        </w:rPr>
        <w:t>tarios</w:t>
      </w:r>
      <w:proofErr w:type="spellEnd"/>
      <w:r w:rsidRPr="00803DEC">
        <w:rPr>
          <w:rFonts w:ascii="Arial" w:hAnsi="Arial" w:cs="Arial"/>
          <w:sz w:val="22"/>
          <w:szCs w:val="22"/>
        </w:rPr>
        <w:t xml:space="preserve">, según las condiciones estipuladas en este Reglamento; además, </w:t>
      </w:r>
      <w:r w:rsidR="00BD717E">
        <w:rPr>
          <w:rFonts w:ascii="Arial" w:hAnsi="Arial" w:cs="Arial"/>
          <w:sz w:val="22"/>
          <w:szCs w:val="22"/>
        </w:rPr>
        <w:t xml:space="preserve">podrá </w:t>
      </w:r>
      <w:r w:rsidRPr="00803DEC">
        <w:rPr>
          <w:rFonts w:ascii="Arial" w:hAnsi="Arial" w:cs="Arial"/>
          <w:sz w:val="22"/>
          <w:szCs w:val="22"/>
        </w:rPr>
        <w:t xml:space="preserve">realizar visitas de inspección tanto a las </w:t>
      </w:r>
      <w:r w:rsidR="009A3384">
        <w:rPr>
          <w:rFonts w:ascii="Arial" w:hAnsi="Arial" w:cs="Arial"/>
          <w:sz w:val="22"/>
          <w:szCs w:val="22"/>
        </w:rPr>
        <w:t>IFI</w:t>
      </w:r>
      <w:r w:rsidRPr="00803DEC">
        <w:rPr>
          <w:rFonts w:ascii="Arial" w:hAnsi="Arial" w:cs="Arial"/>
          <w:sz w:val="22"/>
          <w:szCs w:val="22"/>
        </w:rPr>
        <w:t xml:space="preserve">, como a </w:t>
      </w:r>
      <w:proofErr w:type="spellStart"/>
      <w:r w:rsidR="00302D0C">
        <w:rPr>
          <w:rFonts w:ascii="Arial" w:hAnsi="Arial" w:cs="Arial"/>
          <w:sz w:val="22"/>
          <w:szCs w:val="22"/>
        </w:rPr>
        <w:t>subpresta</w:t>
      </w:r>
      <w:r w:rsidR="003F13E4">
        <w:rPr>
          <w:rFonts w:ascii="Arial" w:hAnsi="Arial" w:cs="Arial"/>
          <w:sz w:val="22"/>
          <w:szCs w:val="22"/>
        </w:rPr>
        <w:t>tarios</w:t>
      </w:r>
      <w:proofErr w:type="spellEnd"/>
      <w:r w:rsidR="003F13E4">
        <w:rPr>
          <w:rFonts w:ascii="Arial" w:hAnsi="Arial" w:cs="Arial"/>
          <w:sz w:val="22"/>
          <w:szCs w:val="22"/>
        </w:rPr>
        <w:t>, en coordinación con la AFD</w:t>
      </w:r>
      <w:r w:rsidRPr="00803DEC">
        <w:rPr>
          <w:rFonts w:ascii="Arial" w:hAnsi="Arial" w:cs="Arial"/>
          <w:sz w:val="22"/>
          <w:szCs w:val="22"/>
        </w:rPr>
        <w:t>.</w:t>
      </w:r>
      <w:r w:rsidR="008C58C5">
        <w:rPr>
          <w:rFonts w:ascii="Arial" w:hAnsi="Arial" w:cs="Arial"/>
          <w:sz w:val="22"/>
          <w:szCs w:val="22"/>
        </w:rPr>
        <w:t xml:space="preserve"> </w:t>
      </w:r>
    </w:p>
    <w:p w14:paraId="420A008F" w14:textId="693A4332" w:rsidR="00EA1FA0" w:rsidRPr="00803DEC" w:rsidRDefault="00EA1FA0" w:rsidP="0061571B">
      <w:pPr>
        <w:pStyle w:val="Paragraph"/>
        <w:ind w:left="720" w:hanging="720"/>
        <w:rPr>
          <w:rFonts w:ascii="Arial" w:hAnsi="Arial" w:cs="Arial"/>
          <w:sz w:val="22"/>
          <w:szCs w:val="22"/>
        </w:rPr>
      </w:pPr>
      <w:r w:rsidRPr="00803DEC">
        <w:rPr>
          <w:rFonts w:ascii="Arial" w:hAnsi="Arial" w:cs="Arial"/>
          <w:sz w:val="22"/>
          <w:szCs w:val="22"/>
        </w:rPr>
        <w:lastRenderedPageBreak/>
        <w:t xml:space="preserve">De acuerdo </w:t>
      </w:r>
      <w:r w:rsidR="006E2428">
        <w:rPr>
          <w:rFonts w:ascii="Arial" w:hAnsi="Arial" w:cs="Arial"/>
          <w:sz w:val="22"/>
          <w:szCs w:val="22"/>
        </w:rPr>
        <w:t>con</w:t>
      </w:r>
      <w:r w:rsidR="006E2428" w:rsidRPr="00803DEC">
        <w:rPr>
          <w:rFonts w:ascii="Arial" w:hAnsi="Arial" w:cs="Arial"/>
          <w:sz w:val="22"/>
          <w:szCs w:val="22"/>
        </w:rPr>
        <w:t xml:space="preserve"> </w:t>
      </w:r>
      <w:r w:rsidRPr="00803DEC">
        <w:rPr>
          <w:rFonts w:ascii="Arial" w:hAnsi="Arial" w:cs="Arial"/>
          <w:sz w:val="22"/>
          <w:szCs w:val="22"/>
        </w:rPr>
        <w:t xml:space="preserve">lo establecido en las Normas Generales y en </w:t>
      </w:r>
      <w:r w:rsidR="003F13E4">
        <w:rPr>
          <w:rFonts w:ascii="Arial" w:hAnsi="Arial" w:cs="Arial"/>
          <w:sz w:val="22"/>
          <w:szCs w:val="22"/>
        </w:rPr>
        <w:t xml:space="preserve">el </w:t>
      </w:r>
      <w:r w:rsidRPr="00803DEC">
        <w:rPr>
          <w:rFonts w:ascii="Arial" w:hAnsi="Arial" w:cs="Arial"/>
          <w:sz w:val="22"/>
          <w:szCs w:val="22"/>
        </w:rPr>
        <w:t>Contrato de Préstamo, se permitirá que el BID inspeccione en cualquier momento el estado de ejecución del Programa</w:t>
      </w:r>
      <w:r w:rsidR="008C58C5">
        <w:rPr>
          <w:rFonts w:ascii="Arial" w:hAnsi="Arial" w:cs="Arial"/>
          <w:sz w:val="22"/>
          <w:szCs w:val="22"/>
        </w:rPr>
        <w:t xml:space="preserve"> y verifique el cumplimiento de los requerimientos establecidos para el uso de los recursos del préstamo</w:t>
      </w:r>
      <w:r w:rsidRPr="00803DEC">
        <w:rPr>
          <w:rFonts w:ascii="Arial" w:hAnsi="Arial" w:cs="Arial"/>
          <w:sz w:val="22"/>
          <w:szCs w:val="22"/>
        </w:rPr>
        <w:t>.</w:t>
      </w:r>
    </w:p>
    <w:p w14:paraId="14C43D73" w14:textId="77777777" w:rsidR="00EA1FA0" w:rsidRDefault="00EA1FA0" w:rsidP="0061571B">
      <w:pPr>
        <w:pStyle w:val="Paragraph"/>
        <w:ind w:left="720" w:hanging="720"/>
        <w:rPr>
          <w:rFonts w:ascii="Arial" w:hAnsi="Arial" w:cs="Arial"/>
          <w:sz w:val="22"/>
          <w:szCs w:val="22"/>
        </w:rPr>
      </w:pPr>
      <w:r w:rsidRPr="00803DEC">
        <w:rPr>
          <w:rFonts w:ascii="Arial" w:hAnsi="Arial" w:cs="Arial"/>
          <w:b/>
          <w:sz w:val="22"/>
          <w:szCs w:val="22"/>
        </w:rPr>
        <w:t>Control externo e informes</w:t>
      </w:r>
      <w:r w:rsidRPr="00803DEC">
        <w:rPr>
          <w:rFonts w:ascii="Arial" w:hAnsi="Arial" w:cs="Arial"/>
          <w:sz w:val="22"/>
          <w:szCs w:val="22"/>
        </w:rPr>
        <w:t xml:space="preserve">. El control externo del </w:t>
      </w:r>
      <w:r w:rsidR="00136257" w:rsidRPr="00803DEC">
        <w:rPr>
          <w:rFonts w:ascii="Arial" w:hAnsi="Arial" w:cs="Arial"/>
          <w:sz w:val="22"/>
          <w:szCs w:val="22"/>
        </w:rPr>
        <w:t>Programa</w:t>
      </w:r>
      <w:r w:rsidRPr="00803DEC">
        <w:rPr>
          <w:rFonts w:ascii="Arial" w:hAnsi="Arial" w:cs="Arial"/>
          <w:sz w:val="22"/>
          <w:szCs w:val="22"/>
        </w:rPr>
        <w:t xml:space="preserve"> se encargará a una firma de auditores independientes aceptable </w:t>
      </w:r>
      <w:r w:rsidR="003F13E4">
        <w:rPr>
          <w:rFonts w:ascii="Arial" w:hAnsi="Arial" w:cs="Arial"/>
          <w:sz w:val="22"/>
          <w:szCs w:val="22"/>
        </w:rPr>
        <w:t>para el</w:t>
      </w:r>
      <w:r w:rsidRPr="00803DEC">
        <w:rPr>
          <w:rFonts w:ascii="Arial" w:hAnsi="Arial" w:cs="Arial"/>
          <w:sz w:val="22"/>
          <w:szCs w:val="22"/>
        </w:rPr>
        <w:t xml:space="preserve"> BID. La contratación quedará a cargo de </w:t>
      </w:r>
      <w:r w:rsidR="00D276CC" w:rsidRPr="00803DEC">
        <w:rPr>
          <w:rFonts w:ascii="Arial" w:hAnsi="Arial" w:cs="Arial"/>
          <w:sz w:val="22"/>
          <w:szCs w:val="22"/>
        </w:rPr>
        <w:t xml:space="preserve">la </w:t>
      </w:r>
      <w:r w:rsidR="001F32EE" w:rsidRPr="00803DEC">
        <w:rPr>
          <w:rFonts w:ascii="Arial" w:hAnsi="Arial" w:cs="Arial"/>
          <w:sz w:val="22"/>
          <w:szCs w:val="22"/>
        </w:rPr>
        <w:t>AFD</w:t>
      </w:r>
      <w:r w:rsidRPr="00803DEC">
        <w:rPr>
          <w:rFonts w:ascii="Arial" w:hAnsi="Arial" w:cs="Arial"/>
          <w:sz w:val="22"/>
          <w:szCs w:val="22"/>
        </w:rPr>
        <w:t xml:space="preserve"> y la firma </w:t>
      </w:r>
      <w:r w:rsidR="000126DD">
        <w:rPr>
          <w:rFonts w:ascii="Arial" w:hAnsi="Arial" w:cs="Arial"/>
          <w:sz w:val="22"/>
          <w:szCs w:val="22"/>
        </w:rPr>
        <w:t>será</w:t>
      </w:r>
      <w:r w:rsidRPr="00803DEC">
        <w:rPr>
          <w:rFonts w:ascii="Arial" w:hAnsi="Arial" w:cs="Arial"/>
          <w:sz w:val="22"/>
          <w:szCs w:val="22"/>
        </w:rPr>
        <w:t xml:space="preserve"> la misma que audita los Estados Financieros de la entidad, con miras </w:t>
      </w:r>
      <w:r w:rsidR="00BD717E">
        <w:rPr>
          <w:rFonts w:ascii="Arial" w:hAnsi="Arial" w:cs="Arial"/>
          <w:sz w:val="22"/>
          <w:szCs w:val="22"/>
        </w:rPr>
        <w:t xml:space="preserve">a </w:t>
      </w:r>
      <w:r w:rsidRPr="00803DEC">
        <w:rPr>
          <w:rFonts w:ascii="Arial" w:hAnsi="Arial" w:cs="Arial"/>
          <w:sz w:val="22"/>
          <w:szCs w:val="22"/>
        </w:rPr>
        <w:t>tener una visión integral de control sobre el ejecutor y manejo del Programa</w:t>
      </w:r>
      <w:r w:rsidR="00167F7D">
        <w:rPr>
          <w:rFonts w:ascii="Arial" w:hAnsi="Arial" w:cs="Arial"/>
          <w:sz w:val="22"/>
          <w:szCs w:val="22"/>
        </w:rPr>
        <w:t>, siempre y cuando la firma se incluya en la lista de firmas elegibles para el Banco</w:t>
      </w:r>
      <w:r w:rsidRPr="00803DEC">
        <w:rPr>
          <w:rFonts w:ascii="Arial" w:hAnsi="Arial" w:cs="Arial"/>
          <w:sz w:val="22"/>
          <w:szCs w:val="22"/>
        </w:rPr>
        <w:t xml:space="preserve">. </w:t>
      </w:r>
      <w:r w:rsidR="003F13E4">
        <w:rPr>
          <w:rFonts w:ascii="Arial" w:hAnsi="Arial" w:cs="Arial"/>
          <w:sz w:val="22"/>
          <w:szCs w:val="22"/>
        </w:rPr>
        <w:t xml:space="preserve">El </w:t>
      </w:r>
      <w:r w:rsidRPr="00803DEC">
        <w:rPr>
          <w:rFonts w:ascii="Arial" w:hAnsi="Arial" w:cs="Arial"/>
          <w:sz w:val="22"/>
          <w:szCs w:val="22"/>
        </w:rPr>
        <w:t xml:space="preserve">proceso competitivo </w:t>
      </w:r>
      <w:r w:rsidR="003F13E4">
        <w:rPr>
          <w:rFonts w:ascii="Arial" w:hAnsi="Arial" w:cs="Arial"/>
          <w:sz w:val="22"/>
          <w:szCs w:val="22"/>
        </w:rPr>
        <w:t xml:space="preserve">de contratación </w:t>
      </w:r>
      <w:r w:rsidRPr="00803DEC">
        <w:rPr>
          <w:rFonts w:ascii="Arial" w:hAnsi="Arial" w:cs="Arial"/>
          <w:sz w:val="22"/>
          <w:szCs w:val="22"/>
        </w:rPr>
        <w:t>debe segui</w:t>
      </w:r>
      <w:r w:rsidR="0020032D">
        <w:rPr>
          <w:rFonts w:ascii="Arial" w:hAnsi="Arial" w:cs="Arial"/>
          <w:sz w:val="22"/>
          <w:szCs w:val="22"/>
        </w:rPr>
        <w:t>r</w:t>
      </w:r>
      <w:r w:rsidRPr="00803DEC">
        <w:rPr>
          <w:rFonts w:ascii="Arial" w:hAnsi="Arial" w:cs="Arial"/>
          <w:sz w:val="22"/>
          <w:szCs w:val="22"/>
        </w:rPr>
        <w:t xml:space="preserve"> los lineamientos establecidos en la </w:t>
      </w:r>
      <w:r w:rsidRPr="00803DEC">
        <w:rPr>
          <w:rFonts w:ascii="Arial" w:hAnsi="Arial" w:cs="Arial"/>
          <w:i/>
          <w:sz w:val="22"/>
          <w:szCs w:val="22"/>
        </w:rPr>
        <w:t>Guía AF-200</w:t>
      </w:r>
      <w:r w:rsidRPr="00803DEC">
        <w:rPr>
          <w:rFonts w:ascii="Arial" w:hAnsi="Arial" w:cs="Arial"/>
          <w:sz w:val="22"/>
          <w:szCs w:val="22"/>
        </w:rPr>
        <w:t xml:space="preserve"> del BID. Los términos de referencia deberán ser acordados previamente con el BID, y el proceso de contratación será revisado de manera ex-ante. Los estados financieros anuales se prepararán de conformidad con la Guía de Informes Financieros y Auditoría del BID. Para garantizar la efectividad de la labor de auditoría, la firma responsable deberá estar contratada a más tardar </w:t>
      </w:r>
      <w:r w:rsidR="0020032D">
        <w:rPr>
          <w:rFonts w:ascii="Arial" w:hAnsi="Arial" w:cs="Arial"/>
          <w:sz w:val="22"/>
          <w:szCs w:val="22"/>
        </w:rPr>
        <w:t xml:space="preserve">para </w:t>
      </w:r>
      <w:r w:rsidRPr="00803DEC">
        <w:rPr>
          <w:rFonts w:ascii="Arial" w:hAnsi="Arial" w:cs="Arial"/>
          <w:sz w:val="22"/>
          <w:szCs w:val="22"/>
        </w:rPr>
        <w:t>el mes de septiembre del ejercicio fiscal en ejecución y sujeto a ser auditado.</w:t>
      </w:r>
    </w:p>
    <w:p w14:paraId="477633E7" w14:textId="77777777" w:rsidR="000063CA" w:rsidRDefault="000063CA" w:rsidP="000063CA">
      <w:pPr>
        <w:pStyle w:val="Paragraph"/>
        <w:tabs>
          <w:tab w:val="num" w:pos="720"/>
        </w:tabs>
        <w:ind w:left="720" w:hanging="720"/>
        <w:rPr>
          <w:rFonts w:ascii="Arial" w:hAnsi="Arial" w:cs="Arial"/>
          <w:sz w:val="22"/>
          <w:szCs w:val="22"/>
        </w:rPr>
      </w:pPr>
      <w:r w:rsidRPr="00EF536D">
        <w:rPr>
          <w:rFonts w:ascii="Arial" w:hAnsi="Arial" w:cs="Arial"/>
          <w:b/>
          <w:sz w:val="22"/>
          <w:szCs w:val="22"/>
        </w:rPr>
        <w:t xml:space="preserve">Informe </w:t>
      </w:r>
      <w:r w:rsidR="0020032D">
        <w:rPr>
          <w:rFonts w:ascii="Arial" w:hAnsi="Arial" w:cs="Arial"/>
          <w:b/>
          <w:sz w:val="22"/>
          <w:szCs w:val="22"/>
        </w:rPr>
        <w:t xml:space="preserve">de </w:t>
      </w:r>
      <w:r w:rsidRPr="00EF536D">
        <w:rPr>
          <w:rFonts w:ascii="Arial" w:hAnsi="Arial" w:cs="Arial"/>
          <w:b/>
          <w:sz w:val="22"/>
          <w:szCs w:val="22"/>
        </w:rPr>
        <w:t xml:space="preserve">Auditoría Externa. </w:t>
      </w:r>
      <w:r w:rsidRPr="000063CA">
        <w:rPr>
          <w:rFonts w:ascii="Arial" w:hAnsi="Arial" w:cs="Arial"/>
          <w:sz w:val="22"/>
          <w:szCs w:val="22"/>
        </w:rPr>
        <w:t>El Contrato</w:t>
      </w:r>
      <w:r w:rsidR="00C44080">
        <w:rPr>
          <w:rFonts w:ascii="Arial" w:hAnsi="Arial" w:cs="Arial"/>
          <w:sz w:val="22"/>
          <w:szCs w:val="22"/>
        </w:rPr>
        <w:t xml:space="preserve"> de Préstamo del BID, establece</w:t>
      </w:r>
      <w:r w:rsidRPr="000063CA">
        <w:rPr>
          <w:rFonts w:ascii="Arial" w:hAnsi="Arial" w:cs="Arial"/>
          <w:sz w:val="22"/>
          <w:szCs w:val="22"/>
        </w:rPr>
        <w:t xml:space="preserve"> como una condición la obligatoriedad de realizar una Auditoría Externa anual</w:t>
      </w:r>
      <w:r w:rsidR="0020032D">
        <w:rPr>
          <w:rFonts w:ascii="Arial" w:hAnsi="Arial" w:cs="Arial"/>
          <w:sz w:val="22"/>
          <w:szCs w:val="22"/>
        </w:rPr>
        <w:t>;</w:t>
      </w:r>
      <w:r w:rsidRPr="000063CA">
        <w:rPr>
          <w:rFonts w:ascii="Arial" w:hAnsi="Arial" w:cs="Arial"/>
          <w:sz w:val="22"/>
          <w:szCs w:val="22"/>
        </w:rPr>
        <w:t xml:space="preserve"> el objetivo general es expresar una opinión sobre la razonabilidad de los estados financieros y la elegibilidad de los gastos del Proyecto, de acuerdo con las políticas del Banco.</w:t>
      </w:r>
    </w:p>
    <w:p w14:paraId="1CB1F791" w14:textId="77777777" w:rsidR="000063CA" w:rsidRPr="000063CA" w:rsidRDefault="00C44080" w:rsidP="000063CA">
      <w:pPr>
        <w:pStyle w:val="Paragraph"/>
        <w:tabs>
          <w:tab w:val="num" w:pos="720"/>
        </w:tabs>
        <w:ind w:left="720" w:hanging="720"/>
        <w:rPr>
          <w:rFonts w:ascii="Arial" w:hAnsi="Arial" w:cs="Arial"/>
          <w:sz w:val="22"/>
          <w:szCs w:val="22"/>
        </w:rPr>
      </w:pPr>
      <w:r>
        <w:rPr>
          <w:rFonts w:ascii="Arial" w:hAnsi="Arial" w:cs="Arial"/>
          <w:sz w:val="22"/>
          <w:szCs w:val="22"/>
        </w:rPr>
        <w:t xml:space="preserve">Será responsabilidad de </w:t>
      </w:r>
      <w:r w:rsidR="0020032D">
        <w:rPr>
          <w:rFonts w:ascii="Arial" w:hAnsi="Arial" w:cs="Arial"/>
          <w:sz w:val="22"/>
          <w:szCs w:val="22"/>
        </w:rPr>
        <w:t xml:space="preserve">la </w:t>
      </w:r>
      <w:r w:rsidR="006E2428">
        <w:rPr>
          <w:rFonts w:ascii="Arial" w:hAnsi="Arial" w:cs="Arial"/>
          <w:sz w:val="22"/>
          <w:szCs w:val="22"/>
        </w:rPr>
        <w:t>AFD</w:t>
      </w:r>
      <w:r w:rsidR="000063CA" w:rsidRPr="000063CA">
        <w:rPr>
          <w:rFonts w:ascii="Arial" w:hAnsi="Arial" w:cs="Arial"/>
          <w:sz w:val="22"/>
          <w:szCs w:val="22"/>
        </w:rPr>
        <w:t xml:space="preserve">, llevar adelante el proceso licitatorio para la contratación de la auditoría externa del </w:t>
      </w:r>
      <w:r w:rsidR="00CF78BD" w:rsidRPr="000063CA">
        <w:rPr>
          <w:rFonts w:ascii="Arial" w:hAnsi="Arial" w:cs="Arial"/>
          <w:sz w:val="22"/>
          <w:szCs w:val="22"/>
        </w:rPr>
        <w:t>Pro</w:t>
      </w:r>
      <w:r w:rsidR="00CF78BD">
        <w:rPr>
          <w:rFonts w:ascii="Arial" w:hAnsi="Arial" w:cs="Arial"/>
          <w:sz w:val="22"/>
          <w:szCs w:val="22"/>
        </w:rPr>
        <w:t>grama</w:t>
      </w:r>
      <w:r w:rsidR="00CF78BD" w:rsidRPr="000063CA">
        <w:rPr>
          <w:rFonts w:ascii="Arial" w:hAnsi="Arial" w:cs="Arial"/>
          <w:sz w:val="22"/>
          <w:szCs w:val="22"/>
        </w:rPr>
        <w:t xml:space="preserve"> </w:t>
      </w:r>
      <w:r w:rsidR="000063CA" w:rsidRPr="000063CA">
        <w:rPr>
          <w:rFonts w:ascii="Arial" w:hAnsi="Arial" w:cs="Arial"/>
          <w:sz w:val="22"/>
          <w:szCs w:val="22"/>
        </w:rPr>
        <w:t xml:space="preserve">o en su defecto que sea realizada por la Contraloría General de la República, en base a los documentos establecidos por el </w:t>
      </w:r>
      <w:r w:rsidR="0020032D">
        <w:rPr>
          <w:rFonts w:ascii="Arial" w:hAnsi="Arial" w:cs="Arial"/>
          <w:sz w:val="22"/>
          <w:szCs w:val="22"/>
        </w:rPr>
        <w:t>BID</w:t>
      </w:r>
      <w:r w:rsidR="000063CA" w:rsidRPr="000063CA">
        <w:rPr>
          <w:rFonts w:ascii="Arial" w:hAnsi="Arial" w:cs="Arial"/>
          <w:sz w:val="22"/>
          <w:szCs w:val="22"/>
        </w:rPr>
        <w:t xml:space="preserve">, a fin de que la auditoría se lleve a cabo bajo términos de referencia aceptables para los mismos. Para la contratación de la firma auditora se seguirá lo establecido en las Guías de Informes Financieros y Auditoría Externa de las Operaciones Financiadas por el Banco Interamericano de Desarrollo (Política OP-273-6). </w:t>
      </w:r>
    </w:p>
    <w:p w14:paraId="72733690" w14:textId="77777777" w:rsidR="006E2428" w:rsidRPr="000063CA" w:rsidRDefault="00C44080" w:rsidP="00A86A41">
      <w:pPr>
        <w:pStyle w:val="Paragraph"/>
        <w:tabs>
          <w:tab w:val="num" w:pos="720"/>
        </w:tabs>
        <w:ind w:left="720" w:hanging="720"/>
        <w:rPr>
          <w:rFonts w:ascii="Arial" w:hAnsi="Arial" w:cs="Arial"/>
          <w:sz w:val="22"/>
          <w:szCs w:val="22"/>
        </w:rPr>
      </w:pPr>
      <w:r>
        <w:rPr>
          <w:rFonts w:ascii="Arial" w:hAnsi="Arial" w:cs="Arial"/>
          <w:sz w:val="22"/>
          <w:szCs w:val="22"/>
        </w:rPr>
        <w:t>El plazo de presentación al BID</w:t>
      </w:r>
      <w:r w:rsidR="006E2428" w:rsidRPr="006E2428">
        <w:rPr>
          <w:rFonts w:ascii="Arial" w:hAnsi="Arial" w:cs="Arial"/>
          <w:sz w:val="22"/>
          <w:szCs w:val="22"/>
        </w:rPr>
        <w:t xml:space="preserve"> de los Estados Financi</w:t>
      </w:r>
      <w:r>
        <w:rPr>
          <w:rFonts w:ascii="Arial" w:hAnsi="Arial" w:cs="Arial"/>
          <w:sz w:val="22"/>
          <w:szCs w:val="22"/>
        </w:rPr>
        <w:t>eros auditados anualmente será</w:t>
      </w:r>
      <w:r w:rsidR="006E2428" w:rsidRPr="006E2428">
        <w:rPr>
          <w:rFonts w:ascii="Arial" w:hAnsi="Arial" w:cs="Arial"/>
          <w:sz w:val="22"/>
          <w:szCs w:val="22"/>
        </w:rPr>
        <w:t xml:space="preserve"> de 120 días contados a partir de la fecha de corte acordada entre </w:t>
      </w:r>
      <w:r w:rsidR="006E2428">
        <w:rPr>
          <w:rFonts w:ascii="Arial" w:hAnsi="Arial" w:cs="Arial"/>
          <w:sz w:val="22"/>
          <w:szCs w:val="22"/>
        </w:rPr>
        <w:t xml:space="preserve">la AFD </w:t>
      </w:r>
      <w:r w:rsidR="006E2428" w:rsidRPr="006E2428">
        <w:rPr>
          <w:rFonts w:ascii="Arial" w:hAnsi="Arial" w:cs="Arial"/>
          <w:sz w:val="22"/>
          <w:szCs w:val="22"/>
        </w:rPr>
        <w:t>y el B</w:t>
      </w:r>
      <w:r w:rsidR="002B448A">
        <w:rPr>
          <w:rFonts w:ascii="Arial" w:hAnsi="Arial" w:cs="Arial"/>
          <w:sz w:val="22"/>
          <w:szCs w:val="22"/>
        </w:rPr>
        <w:t>ID</w:t>
      </w:r>
      <w:r w:rsidR="006E2428" w:rsidRPr="006E2428">
        <w:rPr>
          <w:rFonts w:ascii="Arial" w:hAnsi="Arial" w:cs="Arial"/>
          <w:sz w:val="22"/>
          <w:szCs w:val="22"/>
        </w:rPr>
        <w:t xml:space="preserve">. </w:t>
      </w:r>
      <w:r w:rsidR="004D7F0F" w:rsidRPr="006E2428">
        <w:rPr>
          <w:rFonts w:ascii="Arial" w:hAnsi="Arial" w:cs="Arial"/>
          <w:sz w:val="22"/>
          <w:szCs w:val="22"/>
        </w:rPr>
        <w:t>Los Estados Financieros auditados deberán estar firmados por los Auditores Independientes y los funcionarios cuyas firmas se encuentren registradas ante el B</w:t>
      </w:r>
      <w:r w:rsidR="004D7F0F">
        <w:rPr>
          <w:rFonts w:ascii="Arial" w:hAnsi="Arial" w:cs="Arial"/>
          <w:sz w:val="22"/>
          <w:szCs w:val="22"/>
        </w:rPr>
        <w:t>ID</w:t>
      </w:r>
      <w:r w:rsidR="004D7F0F" w:rsidRPr="006E2428">
        <w:rPr>
          <w:rFonts w:ascii="Arial" w:hAnsi="Arial" w:cs="Arial"/>
          <w:sz w:val="22"/>
          <w:szCs w:val="22"/>
        </w:rPr>
        <w:t>.</w:t>
      </w:r>
    </w:p>
    <w:p w14:paraId="49F6B200" w14:textId="77777777" w:rsidR="006E2428" w:rsidRPr="006E2428" w:rsidRDefault="006E2428" w:rsidP="006E2428">
      <w:pPr>
        <w:pStyle w:val="Paragraph"/>
        <w:ind w:left="720" w:hanging="720"/>
        <w:rPr>
          <w:rFonts w:ascii="Arial" w:hAnsi="Arial" w:cs="Arial"/>
          <w:sz w:val="22"/>
          <w:szCs w:val="22"/>
        </w:rPr>
      </w:pPr>
      <w:r w:rsidRPr="006E2428">
        <w:rPr>
          <w:rFonts w:ascii="Arial" w:hAnsi="Arial" w:cs="Arial"/>
          <w:sz w:val="22"/>
          <w:szCs w:val="22"/>
        </w:rPr>
        <w:t xml:space="preserve">El informe </w:t>
      </w:r>
      <w:r w:rsidR="00F70001">
        <w:rPr>
          <w:rFonts w:ascii="Arial" w:hAnsi="Arial" w:cs="Arial"/>
          <w:sz w:val="22"/>
          <w:szCs w:val="22"/>
        </w:rPr>
        <w:t xml:space="preserve">de auditoría </w:t>
      </w:r>
      <w:r w:rsidRPr="006E2428">
        <w:rPr>
          <w:rFonts w:ascii="Arial" w:hAnsi="Arial" w:cs="Arial"/>
          <w:sz w:val="22"/>
          <w:szCs w:val="22"/>
        </w:rPr>
        <w:t>presentado deberá contener el dictamen de lo</w:t>
      </w:r>
      <w:r w:rsidR="00C44080">
        <w:rPr>
          <w:rFonts w:ascii="Arial" w:hAnsi="Arial" w:cs="Arial"/>
          <w:sz w:val="22"/>
          <w:szCs w:val="22"/>
        </w:rPr>
        <w:t>s auditores externos sobre todo</w:t>
      </w:r>
      <w:r w:rsidR="00F70001">
        <w:rPr>
          <w:rFonts w:ascii="Arial" w:hAnsi="Arial" w:cs="Arial"/>
          <w:sz w:val="22"/>
          <w:szCs w:val="22"/>
        </w:rPr>
        <w:t>s</w:t>
      </w:r>
      <w:r w:rsidRPr="006E2428">
        <w:rPr>
          <w:rFonts w:ascii="Arial" w:hAnsi="Arial" w:cs="Arial"/>
          <w:sz w:val="22"/>
          <w:szCs w:val="22"/>
        </w:rPr>
        <w:t xml:space="preserve"> los ingresos y gastos incurridos durante la ejecución del </w:t>
      </w:r>
      <w:r w:rsidR="00F70001">
        <w:rPr>
          <w:rFonts w:ascii="Arial" w:hAnsi="Arial" w:cs="Arial"/>
          <w:sz w:val="22"/>
          <w:szCs w:val="22"/>
        </w:rPr>
        <w:t>P</w:t>
      </w:r>
      <w:r w:rsidRPr="006E2428">
        <w:rPr>
          <w:rFonts w:ascii="Arial" w:hAnsi="Arial" w:cs="Arial"/>
          <w:sz w:val="22"/>
          <w:szCs w:val="22"/>
        </w:rPr>
        <w:t xml:space="preserve">rograma, detallando además la elegibilidad de cada gasto, </w:t>
      </w:r>
      <w:r w:rsidR="00F70001">
        <w:rPr>
          <w:rFonts w:ascii="Arial" w:hAnsi="Arial" w:cs="Arial"/>
          <w:sz w:val="22"/>
          <w:szCs w:val="22"/>
        </w:rPr>
        <w:t>corroborando que los mismos</w:t>
      </w:r>
      <w:r w:rsidRPr="006E2428">
        <w:rPr>
          <w:rFonts w:ascii="Arial" w:hAnsi="Arial" w:cs="Arial"/>
          <w:sz w:val="22"/>
          <w:szCs w:val="22"/>
        </w:rPr>
        <w:t xml:space="preserve"> </w:t>
      </w:r>
      <w:r w:rsidR="00F70001">
        <w:rPr>
          <w:rFonts w:ascii="Arial" w:hAnsi="Arial" w:cs="Arial"/>
          <w:sz w:val="22"/>
          <w:szCs w:val="22"/>
        </w:rPr>
        <w:t xml:space="preserve">fueron </w:t>
      </w:r>
      <w:r w:rsidRPr="006E2428">
        <w:rPr>
          <w:rFonts w:ascii="Arial" w:hAnsi="Arial" w:cs="Arial"/>
          <w:sz w:val="22"/>
          <w:szCs w:val="22"/>
        </w:rPr>
        <w:t xml:space="preserve">realizados con </w:t>
      </w:r>
      <w:r w:rsidR="00F70001">
        <w:rPr>
          <w:rFonts w:ascii="Arial" w:hAnsi="Arial" w:cs="Arial"/>
          <w:sz w:val="22"/>
          <w:szCs w:val="22"/>
        </w:rPr>
        <w:t xml:space="preserve">recursos del Préstamo </w:t>
      </w:r>
      <w:r w:rsidRPr="006E2428">
        <w:rPr>
          <w:rFonts w:ascii="Arial" w:hAnsi="Arial" w:cs="Arial"/>
          <w:sz w:val="22"/>
          <w:szCs w:val="22"/>
        </w:rPr>
        <w:t>y</w:t>
      </w:r>
      <w:r w:rsidR="00F70001">
        <w:rPr>
          <w:rFonts w:ascii="Arial" w:hAnsi="Arial" w:cs="Arial"/>
          <w:sz w:val="22"/>
          <w:szCs w:val="22"/>
        </w:rPr>
        <w:t xml:space="preserve"> </w:t>
      </w:r>
      <w:r w:rsidRPr="006E2428">
        <w:rPr>
          <w:rFonts w:ascii="Arial" w:hAnsi="Arial" w:cs="Arial"/>
          <w:sz w:val="22"/>
          <w:szCs w:val="22"/>
        </w:rPr>
        <w:t xml:space="preserve">se han efectuado conforme a los propósitos especificados en </w:t>
      </w:r>
      <w:r w:rsidR="00F70001">
        <w:rPr>
          <w:rFonts w:ascii="Arial" w:hAnsi="Arial" w:cs="Arial"/>
          <w:sz w:val="22"/>
          <w:szCs w:val="22"/>
        </w:rPr>
        <w:t>el</w:t>
      </w:r>
      <w:r w:rsidRPr="006E2428">
        <w:rPr>
          <w:rFonts w:ascii="Arial" w:hAnsi="Arial" w:cs="Arial"/>
          <w:sz w:val="22"/>
          <w:szCs w:val="22"/>
        </w:rPr>
        <w:t xml:space="preserve"> Contrato de Préstamo. </w:t>
      </w:r>
    </w:p>
    <w:p w14:paraId="18177588" w14:textId="77777777" w:rsidR="006E2428" w:rsidRPr="006E2428" w:rsidRDefault="006E2428" w:rsidP="006E2428">
      <w:pPr>
        <w:pStyle w:val="Paragraph"/>
        <w:ind w:left="720" w:hanging="720"/>
        <w:rPr>
          <w:rFonts w:ascii="Arial" w:hAnsi="Arial" w:cs="Arial"/>
          <w:sz w:val="22"/>
          <w:szCs w:val="22"/>
        </w:rPr>
      </w:pPr>
      <w:r w:rsidRPr="006E2428">
        <w:rPr>
          <w:rFonts w:ascii="Arial" w:hAnsi="Arial" w:cs="Arial"/>
          <w:sz w:val="22"/>
          <w:szCs w:val="22"/>
        </w:rPr>
        <w:t>El informe de auditoría será de acceso público conforme a las normas de acceso a la información del BID.</w:t>
      </w:r>
    </w:p>
    <w:p w14:paraId="5704997A" w14:textId="77777777" w:rsidR="000063CA" w:rsidRPr="00067E85" w:rsidRDefault="006844DC" w:rsidP="006E2428">
      <w:pPr>
        <w:pStyle w:val="Paragraph"/>
        <w:ind w:left="720" w:hanging="720"/>
        <w:rPr>
          <w:rFonts w:ascii="Arial" w:hAnsi="Arial" w:cs="Arial"/>
          <w:sz w:val="22"/>
          <w:szCs w:val="22"/>
        </w:rPr>
      </w:pPr>
      <w:r w:rsidRPr="005C6B5D">
        <w:rPr>
          <w:rFonts w:ascii="Arial" w:hAnsi="Arial" w:cs="Arial"/>
          <w:sz w:val="22"/>
          <w:szCs w:val="22"/>
        </w:rPr>
        <w:t>La AFD contemplará</w:t>
      </w:r>
      <w:r w:rsidR="00067E85" w:rsidRPr="005C6B5D">
        <w:rPr>
          <w:rFonts w:ascii="Arial" w:hAnsi="Arial" w:cs="Arial"/>
          <w:sz w:val="22"/>
          <w:szCs w:val="22"/>
        </w:rPr>
        <w:t>, hasta el vencimiento de</w:t>
      </w:r>
      <w:r w:rsidR="008E5BA5">
        <w:rPr>
          <w:rFonts w:ascii="Arial" w:hAnsi="Arial" w:cs="Arial"/>
          <w:sz w:val="22"/>
          <w:szCs w:val="22"/>
        </w:rPr>
        <w:t>l</w:t>
      </w:r>
      <w:r w:rsidR="00067E85" w:rsidRPr="005C6B5D">
        <w:rPr>
          <w:rFonts w:ascii="Arial" w:hAnsi="Arial" w:cs="Arial"/>
          <w:sz w:val="22"/>
          <w:szCs w:val="22"/>
        </w:rPr>
        <w:t xml:space="preserve"> plazo de desembolsos</w:t>
      </w:r>
      <w:r w:rsidR="004D7F0F">
        <w:rPr>
          <w:rFonts w:ascii="Arial" w:hAnsi="Arial" w:cs="Arial"/>
          <w:sz w:val="22"/>
          <w:szCs w:val="22"/>
        </w:rPr>
        <w:t xml:space="preserve"> del Programa por parte del BID</w:t>
      </w:r>
      <w:r w:rsidR="00067E85" w:rsidRPr="005C6B5D">
        <w:rPr>
          <w:rFonts w:ascii="Arial" w:hAnsi="Arial" w:cs="Arial"/>
          <w:sz w:val="22"/>
          <w:szCs w:val="22"/>
        </w:rPr>
        <w:t>,</w:t>
      </w:r>
      <w:r w:rsidRPr="005C6B5D">
        <w:rPr>
          <w:rFonts w:ascii="Arial" w:hAnsi="Arial" w:cs="Arial"/>
          <w:sz w:val="22"/>
          <w:szCs w:val="22"/>
        </w:rPr>
        <w:t xml:space="preserve"> en su anteproyecto de presupuesto </w:t>
      </w:r>
      <w:r w:rsidR="00331354" w:rsidRPr="005C6B5D">
        <w:rPr>
          <w:rFonts w:ascii="Arial" w:hAnsi="Arial" w:cs="Arial"/>
          <w:sz w:val="22"/>
          <w:szCs w:val="22"/>
        </w:rPr>
        <w:t xml:space="preserve">anual las partidas </w:t>
      </w:r>
      <w:r w:rsidR="00331354" w:rsidRPr="005C6B5D">
        <w:rPr>
          <w:rFonts w:ascii="Arial" w:hAnsi="Arial" w:cs="Arial"/>
          <w:sz w:val="22"/>
          <w:szCs w:val="22"/>
        </w:rPr>
        <w:lastRenderedPageBreak/>
        <w:t>presupuestarias necesarias para la contratación de los servicios de auditoría independiente</w:t>
      </w:r>
    </w:p>
    <w:p w14:paraId="6680CA90" w14:textId="77777777" w:rsidR="008B5427" w:rsidRPr="00803DEC" w:rsidRDefault="008B5427" w:rsidP="005874F7">
      <w:pPr>
        <w:pStyle w:val="Paragraph"/>
        <w:ind w:left="720" w:hanging="720"/>
        <w:rPr>
          <w:rFonts w:ascii="Arial" w:hAnsi="Arial" w:cs="Arial"/>
          <w:sz w:val="22"/>
          <w:szCs w:val="22"/>
        </w:rPr>
      </w:pPr>
      <w:r w:rsidRPr="00803DEC">
        <w:rPr>
          <w:rFonts w:ascii="Arial" w:hAnsi="Arial" w:cs="Arial"/>
          <w:b/>
          <w:sz w:val="22"/>
          <w:szCs w:val="22"/>
        </w:rPr>
        <w:t>Plan de supervisión financiera</w:t>
      </w:r>
      <w:r w:rsidRPr="00803DEC">
        <w:rPr>
          <w:rFonts w:ascii="Arial" w:hAnsi="Arial" w:cs="Arial"/>
          <w:sz w:val="22"/>
          <w:szCs w:val="22"/>
        </w:rPr>
        <w:t xml:space="preserve">. La supervisión financiera podrá ajustarse en función de la ejecución del </w:t>
      </w:r>
      <w:r w:rsidR="00260797">
        <w:rPr>
          <w:rFonts w:ascii="Arial" w:hAnsi="Arial" w:cs="Arial"/>
          <w:sz w:val="22"/>
          <w:szCs w:val="22"/>
        </w:rPr>
        <w:t>Programa</w:t>
      </w:r>
      <w:r w:rsidR="00260797" w:rsidRPr="00803DEC">
        <w:rPr>
          <w:rFonts w:ascii="Arial" w:hAnsi="Arial" w:cs="Arial"/>
          <w:sz w:val="22"/>
          <w:szCs w:val="22"/>
        </w:rPr>
        <w:t xml:space="preserve"> </w:t>
      </w:r>
      <w:r w:rsidRPr="00803DEC">
        <w:rPr>
          <w:rFonts w:ascii="Arial" w:hAnsi="Arial" w:cs="Arial"/>
          <w:sz w:val="22"/>
          <w:szCs w:val="22"/>
        </w:rPr>
        <w:t>y de los informes de auditoría.</w:t>
      </w:r>
    </w:p>
    <w:p w14:paraId="75E7F011" w14:textId="7E8D8C1A" w:rsidR="008B5427" w:rsidRPr="00DE339C" w:rsidRDefault="00DE339C" w:rsidP="001538F7">
      <w:pPr>
        <w:pStyle w:val="Paragraph"/>
        <w:keepNext/>
        <w:numPr>
          <w:ilvl w:val="0"/>
          <w:numId w:val="0"/>
        </w:numPr>
        <w:ind w:left="720"/>
        <w:jc w:val="center"/>
        <w:rPr>
          <w:rFonts w:ascii="Arial" w:hAnsi="Arial" w:cs="Arial"/>
          <w:b/>
          <w:sz w:val="20"/>
        </w:rPr>
      </w:pPr>
      <w:r w:rsidRPr="00DE339C">
        <w:rPr>
          <w:rFonts w:ascii="Arial" w:hAnsi="Arial" w:cs="Arial"/>
          <w:b/>
          <w:sz w:val="20"/>
        </w:rPr>
        <w:t xml:space="preserve">Cuadro </w:t>
      </w:r>
      <w:r w:rsidR="008B5427" w:rsidRPr="00DE339C">
        <w:rPr>
          <w:rFonts w:ascii="Arial" w:hAnsi="Arial" w:cs="Arial"/>
          <w:b/>
          <w:sz w:val="20"/>
        </w:rPr>
        <w:t>2: Plan de supervisión financiera</w:t>
      </w:r>
    </w:p>
    <w:tbl>
      <w:tblPr>
        <w:tblW w:w="6424" w:type="dxa"/>
        <w:jc w:val="center"/>
        <w:tblCellMar>
          <w:left w:w="0" w:type="dxa"/>
          <w:right w:w="0" w:type="dxa"/>
        </w:tblCellMar>
        <w:tblLook w:val="04A0" w:firstRow="1" w:lastRow="0" w:firstColumn="1" w:lastColumn="0" w:noHBand="0" w:noVBand="1"/>
      </w:tblPr>
      <w:tblGrid>
        <w:gridCol w:w="4473"/>
        <w:gridCol w:w="1935"/>
        <w:gridCol w:w="16"/>
      </w:tblGrid>
      <w:tr w:rsidR="004C6885" w:rsidRPr="00DE339C" w14:paraId="6F5B52BA" w14:textId="77777777" w:rsidTr="004C6885">
        <w:trPr>
          <w:trHeight w:val="227"/>
          <w:tblHeader/>
          <w:jc w:val="center"/>
        </w:trPr>
        <w:tc>
          <w:tcPr>
            <w:tcW w:w="4473" w:type="dxa"/>
            <w:vMerge w:val="restart"/>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F1C2BF" w14:textId="77777777" w:rsidR="005874F7" w:rsidRPr="00DE339C" w:rsidRDefault="008B5427" w:rsidP="00C630FA">
            <w:pPr>
              <w:spacing w:before="20" w:after="20"/>
              <w:jc w:val="center"/>
              <w:rPr>
                <w:rFonts w:ascii="Arial" w:hAnsi="Arial"/>
                <w:b/>
                <w:lang w:val="es-ES_tradnl"/>
              </w:rPr>
            </w:pPr>
            <w:r w:rsidRPr="00DE339C">
              <w:rPr>
                <w:rFonts w:ascii="Arial" w:hAnsi="Arial"/>
                <w:b/>
                <w:lang w:val="es-ES_tradnl"/>
              </w:rPr>
              <w:t>Naturaleza/ámbito</w:t>
            </w:r>
          </w:p>
        </w:tc>
        <w:tc>
          <w:tcPr>
            <w:tcW w:w="1935"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C8FBEB" w14:textId="77777777" w:rsidR="005874F7" w:rsidRPr="00DE339C" w:rsidRDefault="008B5427" w:rsidP="00C630FA">
            <w:pPr>
              <w:spacing w:before="20" w:after="20"/>
              <w:jc w:val="center"/>
              <w:rPr>
                <w:rFonts w:ascii="Arial" w:hAnsi="Arial"/>
                <w:b/>
                <w:lang w:val="es-ES_tradnl"/>
              </w:rPr>
            </w:pPr>
            <w:r w:rsidRPr="00DE339C">
              <w:rPr>
                <w:rFonts w:ascii="Arial" w:hAnsi="Arial"/>
                <w:b/>
                <w:lang w:val="es-ES_tradnl"/>
              </w:rPr>
              <w:t xml:space="preserve">Frecuencia </w:t>
            </w:r>
          </w:p>
        </w:tc>
        <w:tc>
          <w:tcPr>
            <w:tcW w:w="16" w:type="dxa"/>
            <w:shd w:val="clear" w:color="auto" w:fill="auto"/>
            <w:vAlign w:val="center"/>
            <w:hideMark/>
          </w:tcPr>
          <w:p w14:paraId="1F753ABE" w14:textId="77777777" w:rsidR="005874F7" w:rsidRPr="00DE339C" w:rsidRDefault="005874F7" w:rsidP="00C630FA">
            <w:pPr>
              <w:rPr>
                <w:rFonts w:ascii="Arial" w:hAnsi="Arial"/>
                <w:b/>
                <w:lang w:val="es-ES_tradnl"/>
              </w:rPr>
            </w:pPr>
          </w:p>
        </w:tc>
      </w:tr>
      <w:tr w:rsidR="005874F7" w:rsidRPr="00DE339C" w14:paraId="4D9AFAD3" w14:textId="77777777" w:rsidTr="004C6885">
        <w:trPr>
          <w:trHeight w:val="247"/>
          <w:tblHeader/>
          <w:jc w:val="center"/>
        </w:trPr>
        <w:tc>
          <w:tcPr>
            <w:tcW w:w="0" w:type="auto"/>
            <w:vMerge/>
            <w:tcBorders>
              <w:top w:val="single" w:sz="8" w:space="0" w:color="auto"/>
              <w:left w:val="single" w:sz="4" w:space="0" w:color="auto"/>
              <w:bottom w:val="single" w:sz="8" w:space="0" w:color="auto"/>
              <w:right w:val="single" w:sz="8" w:space="0" w:color="auto"/>
            </w:tcBorders>
            <w:shd w:val="clear" w:color="auto" w:fill="FFFFFF"/>
            <w:vAlign w:val="center"/>
            <w:hideMark/>
          </w:tcPr>
          <w:p w14:paraId="1D81A342" w14:textId="77777777" w:rsidR="005874F7" w:rsidRPr="00DE339C" w:rsidRDefault="005874F7" w:rsidP="00C630FA">
            <w:pPr>
              <w:rPr>
                <w:rFonts w:ascii="Arial" w:hAnsi="Arial"/>
                <w:b/>
                <w:lang w:val="es-ES_tradnl"/>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1160CDDB" w14:textId="77777777" w:rsidR="005874F7" w:rsidRPr="00DE339C" w:rsidRDefault="005874F7" w:rsidP="00C630FA">
            <w:pPr>
              <w:rPr>
                <w:rFonts w:ascii="Arial" w:hAnsi="Arial"/>
                <w:b/>
                <w:lang w:val="es-ES_tradnl"/>
              </w:rPr>
            </w:pPr>
          </w:p>
        </w:tc>
        <w:tc>
          <w:tcPr>
            <w:tcW w:w="16" w:type="dxa"/>
            <w:vAlign w:val="center"/>
            <w:hideMark/>
          </w:tcPr>
          <w:p w14:paraId="49C60AD9" w14:textId="77777777" w:rsidR="005874F7" w:rsidRPr="00DE339C" w:rsidRDefault="005874F7" w:rsidP="00C630FA">
            <w:pPr>
              <w:rPr>
                <w:rFonts w:ascii="Arial" w:hAnsi="Arial"/>
                <w:lang w:val="es-ES_tradnl"/>
              </w:rPr>
            </w:pPr>
          </w:p>
        </w:tc>
      </w:tr>
      <w:tr w:rsidR="004C6885" w:rsidRPr="00DE339C" w14:paraId="5FA3707C" w14:textId="77777777" w:rsidTr="004C6885">
        <w:trPr>
          <w:trHeight w:val="317"/>
          <w:jc w:val="center"/>
        </w:trPr>
        <w:tc>
          <w:tcPr>
            <w:tcW w:w="4473" w:type="dxa"/>
            <w:tcBorders>
              <w:top w:val="single" w:sz="8" w:space="0" w:color="auto"/>
              <w:left w:val="single" w:sz="4"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D95623E" w14:textId="77777777" w:rsidR="005874F7" w:rsidRPr="00DE339C" w:rsidRDefault="008B5427" w:rsidP="00C630FA">
            <w:pPr>
              <w:spacing w:before="60" w:after="60"/>
              <w:rPr>
                <w:rFonts w:ascii="Arial" w:hAnsi="Arial" w:cs="Arial"/>
                <w:color w:val="000000"/>
                <w:lang w:val="es-ES_tradnl"/>
              </w:rPr>
            </w:pPr>
            <w:r w:rsidRPr="00DE339C">
              <w:rPr>
                <w:rFonts w:ascii="Arial" w:hAnsi="Arial"/>
                <w:color w:val="000000"/>
                <w:lang w:val="es-ES_tradnl"/>
              </w:rPr>
              <w:t>Auditoría financiera y presentación EEFF</w:t>
            </w:r>
          </w:p>
        </w:tc>
        <w:tc>
          <w:tcPr>
            <w:tcW w:w="19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6E6CC72" w14:textId="77777777" w:rsidR="005874F7" w:rsidRPr="00DE339C" w:rsidRDefault="008B5427" w:rsidP="00C630FA">
            <w:pPr>
              <w:spacing w:before="60" w:after="60"/>
              <w:jc w:val="center"/>
              <w:rPr>
                <w:rFonts w:ascii="Arial" w:hAnsi="Arial"/>
                <w:color w:val="000000"/>
                <w:lang w:val="es-ES_tradnl"/>
              </w:rPr>
            </w:pPr>
            <w:r w:rsidRPr="00DE339C">
              <w:rPr>
                <w:rFonts w:ascii="Arial" w:hAnsi="Arial"/>
                <w:color w:val="000000"/>
                <w:lang w:val="es-ES_tradnl"/>
              </w:rPr>
              <w:t>Anual</w:t>
            </w:r>
          </w:p>
        </w:tc>
        <w:tc>
          <w:tcPr>
            <w:tcW w:w="16" w:type="dxa"/>
            <w:shd w:val="clear" w:color="auto" w:fill="auto"/>
            <w:vAlign w:val="center"/>
            <w:hideMark/>
          </w:tcPr>
          <w:p w14:paraId="0F3E2F26" w14:textId="77777777" w:rsidR="005874F7" w:rsidRPr="00DE339C" w:rsidRDefault="005874F7" w:rsidP="00C630FA">
            <w:pPr>
              <w:rPr>
                <w:rFonts w:ascii="Arial" w:hAnsi="Arial"/>
                <w:color w:val="000000"/>
                <w:lang w:val="es-ES_tradnl"/>
              </w:rPr>
            </w:pPr>
          </w:p>
        </w:tc>
      </w:tr>
      <w:tr w:rsidR="004C6885" w:rsidRPr="00DE339C" w14:paraId="35D6FB1B" w14:textId="77777777" w:rsidTr="004C6885">
        <w:trPr>
          <w:trHeight w:val="317"/>
          <w:jc w:val="center"/>
        </w:trPr>
        <w:tc>
          <w:tcPr>
            <w:tcW w:w="4473" w:type="dxa"/>
            <w:tcBorders>
              <w:top w:val="single" w:sz="8" w:space="0" w:color="auto"/>
              <w:left w:val="single" w:sz="4"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C1F4148" w14:textId="77777777" w:rsidR="005874F7" w:rsidRPr="00DE339C" w:rsidRDefault="008B5427" w:rsidP="00C630FA">
            <w:pPr>
              <w:spacing w:before="60" w:after="60"/>
              <w:rPr>
                <w:rFonts w:ascii="Arial" w:hAnsi="Arial"/>
                <w:color w:val="000000"/>
                <w:lang w:val="es-ES_tradnl"/>
              </w:rPr>
            </w:pPr>
            <w:r w:rsidRPr="00DE339C">
              <w:rPr>
                <w:rFonts w:ascii="Arial" w:hAnsi="Arial"/>
                <w:color w:val="000000"/>
                <w:lang w:val="es-ES_tradnl"/>
              </w:rPr>
              <w:t>Revisión de solicitudes de desembolso e informes adjuntos</w:t>
            </w:r>
          </w:p>
        </w:tc>
        <w:tc>
          <w:tcPr>
            <w:tcW w:w="19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61820C6" w14:textId="77777777" w:rsidR="005874F7" w:rsidRPr="00DE339C" w:rsidRDefault="008B5427" w:rsidP="00C630FA">
            <w:pPr>
              <w:spacing w:before="60" w:after="60"/>
              <w:jc w:val="center"/>
              <w:rPr>
                <w:rFonts w:ascii="Arial" w:hAnsi="Arial"/>
                <w:color w:val="000000"/>
                <w:lang w:val="es-ES_tradnl"/>
              </w:rPr>
            </w:pPr>
            <w:r w:rsidRPr="00DE339C">
              <w:rPr>
                <w:rFonts w:ascii="Arial" w:hAnsi="Arial"/>
                <w:color w:val="000000"/>
                <w:lang w:val="es-ES_tradnl"/>
              </w:rPr>
              <w:t>2</w:t>
            </w:r>
            <w:r w:rsidR="006E0AFB" w:rsidRPr="00DE339C">
              <w:rPr>
                <w:rFonts w:ascii="Arial" w:hAnsi="Arial"/>
                <w:color w:val="000000"/>
                <w:lang w:val="es-ES_tradnl"/>
              </w:rPr>
              <w:t xml:space="preserve"> a </w:t>
            </w:r>
            <w:r w:rsidRPr="00DE339C">
              <w:rPr>
                <w:rFonts w:ascii="Arial" w:hAnsi="Arial"/>
                <w:color w:val="000000"/>
                <w:lang w:val="es-ES_tradnl"/>
              </w:rPr>
              <w:t>3 por año</w:t>
            </w:r>
          </w:p>
        </w:tc>
        <w:tc>
          <w:tcPr>
            <w:tcW w:w="16" w:type="dxa"/>
            <w:shd w:val="clear" w:color="auto" w:fill="auto"/>
            <w:vAlign w:val="center"/>
            <w:hideMark/>
          </w:tcPr>
          <w:p w14:paraId="16AE3FEC" w14:textId="77777777" w:rsidR="005874F7" w:rsidRPr="00DE339C" w:rsidRDefault="005874F7" w:rsidP="00C630FA">
            <w:pPr>
              <w:rPr>
                <w:rFonts w:ascii="Arial" w:hAnsi="Arial"/>
                <w:color w:val="000000"/>
                <w:lang w:val="es-ES_tradnl"/>
              </w:rPr>
            </w:pPr>
          </w:p>
        </w:tc>
      </w:tr>
      <w:tr w:rsidR="004C6885" w:rsidRPr="00DE339C" w14:paraId="24A0CEBC" w14:textId="77777777" w:rsidTr="004C6885">
        <w:trPr>
          <w:trHeight w:val="70"/>
          <w:jc w:val="center"/>
        </w:trPr>
        <w:tc>
          <w:tcPr>
            <w:tcW w:w="4473" w:type="dxa"/>
            <w:tcBorders>
              <w:top w:val="single" w:sz="8" w:space="0" w:color="auto"/>
              <w:left w:val="single" w:sz="4"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36C0165" w14:textId="77777777" w:rsidR="005874F7" w:rsidRPr="00DE339C" w:rsidRDefault="008B5427" w:rsidP="00C630FA">
            <w:pPr>
              <w:spacing w:before="60" w:after="60"/>
              <w:rPr>
                <w:rFonts w:ascii="Arial" w:hAnsi="Arial" w:cs="Arial"/>
                <w:color w:val="000000"/>
                <w:lang w:val="es-ES_tradnl"/>
              </w:rPr>
            </w:pPr>
            <w:r w:rsidRPr="00DE339C">
              <w:rPr>
                <w:rFonts w:ascii="Arial" w:hAnsi="Arial"/>
                <w:color w:val="000000"/>
                <w:lang w:val="es-ES_tradnl"/>
              </w:rPr>
              <w:t>Visita de inspección/análisis del entorno de control y control interno en el P</w:t>
            </w:r>
            <w:r w:rsidR="00D13C91" w:rsidRPr="00DE339C">
              <w:rPr>
                <w:rFonts w:ascii="Arial" w:hAnsi="Arial"/>
                <w:color w:val="000000"/>
                <w:lang w:val="es-ES_tradnl"/>
              </w:rPr>
              <w:t xml:space="preserve">lan de </w:t>
            </w:r>
            <w:r w:rsidRPr="00DE339C">
              <w:rPr>
                <w:rFonts w:ascii="Arial" w:hAnsi="Arial"/>
                <w:color w:val="000000"/>
                <w:lang w:val="es-ES_tradnl"/>
              </w:rPr>
              <w:t>M</w:t>
            </w:r>
            <w:r w:rsidR="00D13C91" w:rsidRPr="00DE339C">
              <w:rPr>
                <w:rFonts w:ascii="Arial" w:hAnsi="Arial"/>
                <w:color w:val="000000"/>
                <w:lang w:val="es-ES_tradnl"/>
              </w:rPr>
              <w:t>onitoreo</w:t>
            </w:r>
          </w:p>
        </w:tc>
        <w:tc>
          <w:tcPr>
            <w:tcW w:w="193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17E3737" w14:textId="77777777" w:rsidR="005874F7" w:rsidRPr="00DE339C" w:rsidRDefault="008B5427" w:rsidP="00C630FA">
            <w:pPr>
              <w:spacing w:before="60" w:after="60"/>
              <w:jc w:val="center"/>
              <w:rPr>
                <w:rFonts w:ascii="Arial" w:hAnsi="Arial"/>
                <w:color w:val="000000"/>
                <w:lang w:val="es-ES_tradnl"/>
              </w:rPr>
            </w:pPr>
            <w:r w:rsidRPr="00DE339C">
              <w:rPr>
                <w:rFonts w:ascii="Arial" w:hAnsi="Arial"/>
                <w:color w:val="000000"/>
                <w:lang w:val="es-ES_tradnl"/>
              </w:rPr>
              <w:t>Anual</w:t>
            </w:r>
          </w:p>
        </w:tc>
        <w:tc>
          <w:tcPr>
            <w:tcW w:w="16" w:type="dxa"/>
            <w:shd w:val="clear" w:color="auto" w:fill="auto"/>
            <w:vAlign w:val="center"/>
            <w:hideMark/>
          </w:tcPr>
          <w:p w14:paraId="5219034F" w14:textId="77777777" w:rsidR="005874F7" w:rsidRPr="00DE339C" w:rsidRDefault="005874F7" w:rsidP="00C630FA">
            <w:pPr>
              <w:rPr>
                <w:rFonts w:ascii="Arial" w:hAnsi="Arial"/>
                <w:color w:val="000000"/>
                <w:lang w:val="es-ES_tradnl"/>
              </w:rPr>
            </w:pPr>
          </w:p>
        </w:tc>
      </w:tr>
    </w:tbl>
    <w:p w14:paraId="4827BE64" w14:textId="41CB8C9B" w:rsidR="008070F0" w:rsidRPr="00803DEC" w:rsidRDefault="008070F0" w:rsidP="00885C82">
      <w:pPr>
        <w:pStyle w:val="Chapter"/>
        <w:tabs>
          <w:tab w:val="clear" w:pos="1440"/>
          <w:tab w:val="clear" w:pos="7470"/>
          <w:tab w:val="left" w:pos="270"/>
        </w:tabs>
        <w:spacing w:before="480"/>
        <w:ind w:left="0"/>
        <w:rPr>
          <w:rFonts w:ascii="Arial" w:hAnsi="Arial" w:cs="Arial"/>
          <w:sz w:val="22"/>
          <w:szCs w:val="22"/>
        </w:rPr>
      </w:pPr>
      <w:bookmarkStart w:id="60" w:name="_Toc424822798"/>
      <w:bookmarkStart w:id="61" w:name="_Toc7709976"/>
      <w:r w:rsidRPr="00803DEC">
        <w:rPr>
          <w:rFonts w:ascii="Arial" w:hAnsi="Arial" w:cs="Arial"/>
          <w:sz w:val="22"/>
          <w:szCs w:val="22"/>
        </w:rPr>
        <w:t xml:space="preserve">Modificación </w:t>
      </w:r>
      <w:r w:rsidR="00A565D1" w:rsidRPr="00803DEC">
        <w:rPr>
          <w:rFonts w:ascii="Arial" w:hAnsi="Arial" w:cs="Arial"/>
          <w:sz w:val="22"/>
          <w:szCs w:val="22"/>
        </w:rPr>
        <w:t>de Este</w:t>
      </w:r>
      <w:r w:rsidR="00A565D1">
        <w:rPr>
          <w:rFonts w:ascii="Arial" w:hAnsi="Arial" w:cs="Arial"/>
          <w:sz w:val="22"/>
          <w:szCs w:val="22"/>
        </w:rPr>
        <w:t xml:space="preserve"> reglamento y </w:t>
      </w:r>
      <w:r w:rsidRPr="00803DEC">
        <w:rPr>
          <w:rFonts w:ascii="Arial" w:hAnsi="Arial" w:cs="Arial"/>
          <w:sz w:val="22"/>
          <w:szCs w:val="22"/>
        </w:rPr>
        <w:t>de Disposiciones Legales</w:t>
      </w:r>
      <w:bookmarkEnd w:id="60"/>
      <w:bookmarkEnd w:id="61"/>
    </w:p>
    <w:p w14:paraId="4253C4CB" w14:textId="409E5ED0" w:rsidR="00D57D84" w:rsidRDefault="00885C82" w:rsidP="00885C82">
      <w:pPr>
        <w:pStyle w:val="Paragraph"/>
        <w:numPr>
          <w:ilvl w:val="0"/>
          <w:numId w:val="0"/>
        </w:numPr>
        <w:ind w:left="720" w:hanging="720"/>
        <w:rPr>
          <w:rFonts w:ascii="Arial" w:eastAsia="Batang" w:hAnsi="Arial" w:cs="Arial"/>
          <w:sz w:val="22"/>
          <w:szCs w:val="22"/>
          <w:highlight w:val="yellow"/>
          <w:lang w:eastAsia="es-ES_tradnl"/>
        </w:rPr>
      </w:pPr>
      <w:r>
        <w:rPr>
          <w:rFonts w:ascii="Arial" w:hAnsi="Arial" w:cs="Arial"/>
          <w:sz w:val="22"/>
          <w:szCs w:val="22"/>
        </w:rPr>
        <w:t>10.1</w:t>
      </w:r>
      <w:r>
        <w:rPr>
          <w:rFonts w:ascii="Arial" w:hAnsi="Arial" w:cs="Arial"/>
          <w:sz w:val="22"/>
          <w:szCs w:val="22"/>
        </w:rPr>
        <w:tab/>
      </w:r>
      <w:r w:rsidR="008A4986" w:rsidRPr="008A4986">
        <w:rPr>
          <w:rFonts w:ascii="Arial" w:hAnsi="Arial" w:cs="Arial"/>
          <w:sz w:val="22"/>
          <w:szCs w:val="22"/>
        </w:rPr>
        <w:t xml:space="preserve">La </w:t>
      </w:r>
      <w:r w:rsidR="00C44080" w:rsidRPr="008A4986">
        <w:rPr>
          <w:rFonts w:ascii="Arial" w:hAnsi="Arial" w:cs="Arial"/>
          <w:sz w:val="22"/>
          <w:szCs w:val="22"/>
        </w:rPr>
        <w:t>AFD p</w:t>
      </w:r>
      <w:r w:rsidR="008A4986" w:rsidRPr="008A4986">
        <w:rPr>
          <w:rFonts w:ascii="Arial" w:hAnsi="Arial" w:cs="Arial"/>
          <w:sz w:val="22"/>
          <w:szCs w:val="22"/>
        </w:rPr>
        <w:t>odrá</w:t>
      </w:r>
      <w:r w:rsidR="00C44080" w:rsidRPr="008A4986">
        <w:rPr>
          <w:rFonts w:ascii="Arial" w:hAnsi="Arial" w:cs="Arial"/>
          <w:sz w:val="22"/>
          <w:szCs w:val="22"/>
        </w:rPr>
        <w:t xml:space="preserve"> sugerir</w:t>
      </w:r>
      <w:r w:rsidR="00BD4983" w:rsidRPr="008A4986">
        <w:rPr>
          <w:rFonts w:ascii="Arial" w:hAnsi="Arial" w:cs="Arial"/>
          <w:sz w:val="22"/>
          <w:szCs w:val="22"/>
        </w:rPr>
        <w:t xml:space="preserve"> la modificación del presente ROP </w:t>
      </w:r>
      <w:r w:rsidR="00C44080" w:rsidRPr="008A4986">
        <w:rPr>
          <w:rFonts w:ascii="Arial" w:hAnsi="Arial" w:cs="Arial"/>
          <w:sz w:val="22"/>
          <w:szCs w:val="22"/>
        </w:rPr>
        <w:t>para adaptarlo a</w:t>
      </w:r>
      <w:r w:rsidR="00BD4983" w:rsidRPr="008A4986">
        <w:rPr>
          <w:rFonts w:ascii="Arial" w:hAnsi="Arial" w:cs="Arial"/>
          <w:sz w:val="22"/>
          <w:szCs w:val="22"/>
        </w:rPr>
        <w:t xml:space="preserve"> las nuevas circunstancias o condiciones que puedan estar presentes en el curso de su aplicación. Cualquier modificación del presente ROP se llevará a cabo y será efectiva una vez que </w:t>
      </w:r>
      <w:r w:rsidR="008A4986" w:rsidRPr="008A4986">
        <w:rPr>
          <w:rFonts w:ascii="Arial" w:hAnsi="Arial" w:cs="Arial"/>
          <w:sz w:val="22"/>
          <w:szCs w:val="22"/>
        </w:rPr>
        <w:t>la AFD lo apru</w:t>
      </w:r>
      <w:r w:rsidR="008D73DF">
        <w:rPr>
          <w:rFonts w:ascii="Arial" w:hAnsi="Arial" w:cs="Arial"/>
          <w:sz w:val="22"/>
          <w:szCs w:val="22"/>
        </w:rPr>
        <w:t>e</w:t>
      </w:r>
      <w:r w:rsidR="008A4986" w:rsidRPr="008A4986">
        <w:rPr>
          <w:rFonts w:ascii="Arial" w:hAnsi="Arial" w:cs="Arial"/>
          <w:sz w:val="22"/>
          <w:szCs w:val="22"/>
        </w:rPr>
        <w:t xml:space="preserve">be y </w:t>
      </w:r>
      <w:r w:rsidR="00BD4983" w:rsidRPr="008A4986">
        <w:rPr>
          <w:rFonts w:ascii="Arial" w:hAnsi="Arial" w:cs="Arial"/>
          <w:sz w:val="22"/>
          <w:szCs w:val="22"/>
        </w:rPr>
        <w:t>el BID expres</w:t>
      </w:r>
      <w:r w:rsidR="008A4986" w:rsidRPr="008A4986">
        <w:rPr>
          <w:rFonts w:ascii="Arial" w:hAnsi="Arial" w:cs="Arial"/>
          <w:sz w:val="22"/>
          <w:szCs w:val="22"/>
        </w:rPr>
        <w:t>e</w:t>
      </w:r>
      <w:r w:rsidR="00BD4983" w:rsidRPr="008A4986">
        <w:rPr>
          <w:rFonts w:ascii="Arial" w:hAnsi="Arial" w:cs="Arial"/>
          <w:sz w:val="22"/>
          <w:szCs w:val="22"/>
        </w:rPr>
        <w:t xml:space="preserve"> su no objeción</w:t>
      </w:r>
      <w:r w:rsidR="008A4986" w:rsidRPr="008A4986">
        <w:rPr>
          <w:rFonts w:ascii="Arial" w:hAnsi="Arial" w:cs="Arial"/>
          <w:sz w:val="22"/>
          <w:szCs w:val="22"/>
        </w:rPr>
        <w:t>.</w:t>
      </w:r>
      <w:r w:rsidR="00BD4983" w:rsidRPr="008A4986">
        <w:rPr>
          <w:rFonts w:ascii="Arial" w:hAnsi="Arial" w:cs="Arial"/>
          <w:sz w:val="22"/>
          <w:szCs w:val="22"/>
        </w:rPr>
        <w:t xml:space="preserve"> Si alguna disposición de est</w:t>
      </w:r>
      <w:r w:rsidR="008A4986" w:rsidRPr="008A4986">
        <w:rPr>
          <w:rFonts w:ascii="Arial" w:hAnsi="Arial" w:cs="Arial"/>
          <w:sz w:val="22"/>
          <w:szCs w:val="22"/>
        </w:rPr>
        <w:t>e</w:t>
      </w:r>
      <w:r w:rsidR="00BD4983" w:rsidRPr="008A4986">
        <w:rPr>
          <w:rFonts w:ascii="Arial" w:hAnsi="Arial" w:cs="Arial"/>
          <w:sz w:val="22"/>
          <w:szCs w:val="22"/>
        </w:rPr>
        <w:t xml:space="preserve"> ROP no mantiene consonancia o está en contradicción con </w:t>
      </w:r>
      <w:r w:rsidR="008A4986" w:rsidRPr="008A4986">
        <w:rPr>
          <w:rFonts w:ascii="Arial" w:hAnsi="Arial" w:cs="Arial"/>
          <w:sz w:val="22"/>
          <w:szCs w:val="22"/>
        </w:rPr>
        <w:t>las cláusulas</w:t>
      </w:r>
      <w:r w:rsidR="00BD4983" w:rsidRPr="008A4986">
        <w:rPr>
          <w:rFonts w:ascii="Arial" w:hAnsi="Arial" w:cs="Arial"/>
          <w:sz w:val="22"/>
          <w:szCs w:val="22"/>
        </w:rPr>
        <w:t xml:space="preserve"> del contrato de préstamo con el BID, </w:t>
      </w:r>
      <w:r w:rsidR="008A4986" w:rsidRPr="008A4986">
        <w:rPr>
          <w:rFonts w:ascii="Arial" w:hAnsi="Arial" w:cs="Arial"/>
          <w:sz w:val="22"/>
          <w:szCs w:val="22"/>
        </w:rPr>
        <w:t>éstas últimas prevalecerán.</w:t>
      </w:r>
      <w:r w:rsidR="00A70B63" w:rsidRPr="00945FBF">
        <w:rPr>
          <w:rFonts w:ascii="Arial" w:eastAsia="Batang" w:hAnsi="Arial" w:cs="Arial"/>
          <w:sz w:val="22"/>
          <w:szCs w:val="22"/>
          <w:highlight w:val="yellow"/>
          <w:lang w:eastAsia="es-ES_tradnl"/>
        </w:rPr>
        <w:t xml:space="preserve"> </w:t>
      </w:r>
    </w:p>
    <w:p w14:paraId="16A837B1" w14:textId="18E71CC8" w:rsidR="008F5E45" w:rsidRDefault="008F5E45">
      <w:pPr>
        <w:rPr>
          <w:rFonts w:ascii="Arial" w:eastAsia="Batang" w:hAnsi="Arial" w:cs="Arial"/>
          <w:sz w:val="22"/>
          <w:szCs w:val="22"/>
          <w:highlight w:val="yellow"/>
          <w:lang w:val="es-ES_tradnl" w:eastAsia="es-ES_tradnl"/>
        </w:rPr>
      </w:pPr>
      <w:r>
        <w:rPr>
          <w:rFonts w:ascii="Arial" w:eastAsia="Batang" w:hAnsi="Arial" w:cs="Arial"/>
          <w:sz w:val="22"/>
          <w:szCs w:val="22"/>
          <w:highlight w:val="yellow"/>
          <w:lang w:eastAsia="es-ES_tradnl"/>
        </w:rPr>
        <w:br w:type="page"/>
      </w:r>
    </w:p>
    <w:p w14:paraId="7547DC66" w14:textId="35E94C15" w:rsidR="008F5E45" w:rsidRPr="00152BF3" w:rsidRDefault="008F5E45" w:rsidP="00885C82">
      <w:pPr>
        <w:pStyle w:val="Paragraph"/>
        <w:numPr>
          <w:ilvl w:val="0"/>
          <w:numId w:val="0"/>
        </w:numPr>
        <w:ind w:left="720" w:hanging="720"/>
        <w:rPr>
          <w:rFonts w:ascii="Arial" w:eastAsia="Batang" w:hAnsi="Arial" w:cs="Arial"/>
          <w:b/>
          <w:sz w:val="22"/>
          <w:szCs w:val="22"/>
          <w:lang w:eastAsia="es-ES_tradnl"/>
        </w:rPr>
      </w:pPr>
      <w:r w:rsidRPr="00152BF3">
        <w:rPr>
          <w:rFonts w:ascii="Arial" w:eastAsia="Batang" w:hAnsi="Arial" w:cs="Arial"/>
          <w:b/>
          <w:sz w:val="22"/>
          <w:szCs w:val="22"/>
          <w:lang w:eastAsia="es-ES_tradnl"/>
        </w:rPr>
        <w:lastRenderedPageBreak/>
        <w:t>Anexo 1. Lista de exclusión</w:t>
      </w:r>
    </w:p>
    <w:p w14:paraId="4A9B986E" w14:textId="77777777" w:rsidR="00ED7034" w:rsidRDefault="00ED7034" w:rsidP="00ED7034">
      <w:pPr>
        <w:widowControl w:val="0"/>
        <w:autoSpaceDE w:val="0"/>
        <w:autoSpaceDN w:val="0"/>
        <w:adjustRightInd w:val="0"/>
        <w:ind w:right="-720"/>
        <w:rPr>
          <w:rFonts w:ascii="Arial" w:hAnsi="Arial" w:cs="Arial"/>
          <w:bCs/>
          <w:lang w:val="es-ES"/>
        </w:rPr>
      </w:pPr>
      <w:r w:rsidRPr="00990CD3">
        <w:rPr>
          <w:rFonts w:ascii="Arial" w:hAnsi="Arial" w:cs="Arial"/>
          <w:bCs/>
          <w:lang w:val="es-ES"/>
        </w:rPr>
        <w:t>Los Prestatarios no podrán adquirir créditos que: (i) 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4E337E84" w14:textId="77777777" w:rsidR="00ED7034" w:rsidRPr="00990CD3" w:rsidRDefault="00ED7034" w:rsidP="00ED7034">
      <w:pPr>
        <w:widowControl w:val="0"/>
        <w:autoSpaceDE w:val="0"/>
        <w:autoSpaceDN w:val="0"/>
        <w:adjustRightInd w:val="0"/>
        <w:ind w:right="-720"/>
        <w:rPr>
          <w:rFonts w:ascii="Arial" w:hAnsi="Arial" w:cs="Arial"/>
          <w:bCs/>
          <w:lang w:val="es-ES"/>
        </w:rPr>
      </w:pPr>
    </w:p>
    <w:p w14:paraId="28895D87"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38D5DA23"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Inversión o compraventa especulativa en bienes raíces.</w:t>
      </w:r>
    </w:p>
    <w:p w14:paraId="7F1E3F3C"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Utilización de formas peligrosas o de explotación de trabajo forzado o trabajo infantil.</w:t>
      </w:r>
      <w:r>
        <w:rPr>
          <w:rStyle w:val="FootnoteReference"/>
          <w:rFonts w:cs="Arial"/>
          <w:bCs/>
          <w:lang w:val="es-ES"/>
        </w:rPr>
        <w:footnoteReference w:id="3"/>
      </w:r>
    </w:p>
    <w:p w14:paraId="466CEEC9"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Armas y municiones.</w:t>
      </w:r>
    </w:p>
    <w:p w14:paraId="5C1176F3"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Bebidas alcohólicas, excluyendo vino y cerveza</w:t>
      </w:r>
      <w:r>
        <w:rPr>
          <w:rStyle w:val="FootnoteReference"/>
          <w:rFonts w:cs="Arial"/>
          <w:bCs/>
          <w:lang w:val="es-ES"/>
        </w:rPr>
        <w:footnoteReference w:id="4"/>
      </w:r>
      <w:r w:rsidRPr="00307787">
        <w:rPr>
          <w:rFonts w:ascii="Arial" w:hAnsi="Arial" w:cs="Arial"/>
          <w:bCs/>
          <w:lang w:val="es-ES"/>
        </w:rPr>
        <w:t xml:space="preserve">. </w:t>
      </w:r>
    </w:p>
    <w:p w14:paraId="250D31A1"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Tabaco</w:t>
      </w:r>
      <w:r w:rsidRPr="00307787">
        <w:rPr>
          <w:rFonts w:ascii="Arial" w:hAnsi="Arial" w:cs="Arial"/>
          <w:bCs/>
          <w:vertAlign w:val="superscript"/>
          <w:lang w:val="es-ES"/>
        </w:rPr>
        <w:t>12</w:t>
      </w:r>
      <w:r w:rsidRPr="00307787">
        <w:rPr>
          <w:rFonts w:ascii="Arial" w:hAnsi="Arial" w:cs="Arial"/>
          <w:bCs/>
          <w:lang w:val="es-ES"/>
        </w:rPr>
        <w:t>.</w:t>
      </w:r>
    </w:p>
    <w:p w14:paraId="0635AFCE"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Apuestas, casinos y empresas equivalentes</w:t>
      </w:r>
      <w:r w:rsidRPr="00307787">
        <w:rPr>
          <w:rFonts w:ascii="Arial" w:hAnsi="Arial" w:cs="Arial"/>
          <w:bCs/>
          <w:vertAlign w:val="superscript"/>
          <w:lang w:val="es-ES"/>
        </w:rPr>
        <w:t>12</w:t>
      </w:r>
      <w:r w:rsidRPr="00307787">
        <w:rPr>
          <w:rFonts w:ascii="Arial" w:hAnsi="Arial" w:cs="Arial"/>
          <w:bCs/>
          <w:lang w:val="es-ES"/>
        </w:rPr>
        <w:t>.</w:t>
      </w:r>
    </w:p>
    <w:p w14:paraId="54A61BCB"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Animales o plantas silvestres o productos de animales o plantas silvestres protegidos por la CITES</w:t>
      </w:r>
      <w:r>
        <w:rPr>
          <w:rStyle w:val="FootnoteReference"/>
          <w:rFonts w:cs="Arial"/>
          <w:bCs/>
          <w:lang w:val="es-ES"/>
        </w:rPr>
        <w:footnoteReference w:id="5"/>
      </w:r>
      <w:r w:rsidRPr="00307787">
        <w:rPr>
          <w:rFonts w:ascii="Arial" w:hAnsi="Arial" w:cs="Arial"/>
          <w:bCs/>
          <w:lang w:val="es-ES"/>
        </w:rPr>
        <w:t>.</w:t>
      </w:r>
    </w:p>
    <w:p w14:paraId="0385302A"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Materiales radioactivos.</w:t>
      </w:r>
    </w:p>
    <w:p w14:paraId="27956093"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 xml:space="preserve">Fibras de amianto (asbesto) sin </w:t>
      </w:r>
      <w:proofErr w:type="spellStart"/>
      <w:r w:rsidRPr="00307787">
        <w:rPr>
          <w:rFonts w:ascii="Arial" w:hAnsi="Arial" w:cs="Arial"/>
          <w:bCs/>
          <w:lang w:val="es-ES"/>
        </w:rPr>
        <w:t>aglutinatura</w:t>
      </w:r>
      <w:proofErr w:type="spellEnd"/>
      <w:r w:rsidRPr="00307787">
        <w:rPr>
          <w:rFonts w:ascii="Arial" w:hAnsi="Arial" w:cs="Arial"/>
          <w:bCs/>
          <w:lang w:val="es-ES"/>
        </w:rPr>
        <w:t>. Esto no aplica a la compra y uso de láminas de cemento con amianto (asbesto) en donde el contenido de amianto (asbesto) sea menor del 20%.</w:t>
      </w:r>
    </w:p>
    <w:p w14:paraId="28A6AC6A"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Operaciones madereras comerciales o la compra de equipos de explotación forestal para uso en bosques tropicales húmedos y bosques primarios</w:t>
      </w:r>
      <w:r>
        <w:rPr>
          <w:rStyle w:val="FootnoteReference"/>
          <w:rFonts w:cs="Arial"/>
          <w:bCs/>
          <w:lang w:val="es-ES"/>
        </w:rPr>
        <w:footnoteReference w:id="6"/>
      </w:r>
      <w:r w:rsidRPr="00307787">
        <w:rPr>
          <w:rFonts w:ascii="Arial" w:hAnsi="Arial" w:cs="Arial"/>
          <w:bCs/>
          <w:lang w:val="es-ES"/>
        </w:rPr>
        <w:t xml:space="preserve">. </w:t>
      </w:r>
    </w:p>
    <w:p w14:paraId="1D311D26"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Proyectos u operaciones forestales que no cuentan con una gestión sostenible, proyectos forestales en áreas de alto valor ecológico con la excepción de la preservación y el uso moderado y no extractivo de los recursos forestales.</w:t>
      </w:r>
    </w:p>
    <w:p w14:paraId="00380EF4"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Proyectos que requerirían la eliminación de bosques naturales existentes no degradados, o actividades dentro de, aledañas a, o aguas arriba de hábitats naturales críticos</w:t>
      </w:r>
      <w:r>
        <w:rPr>
          <w:rStyle w:val="FootnoteReference"/>
          <w:rFonts w:cs="Arial"/>
          <w:bCs/>
          <w:lang w:val="es-ES"/>
        </w:rPr>
        <w:footnoteReference w:id="7"/>
      </w:r>
      <w:r w:rsidRPr="00307787">
        <w:rPr>
          <w:rFonts w:ascii="Arial" w:hAnsi="Arial" w:cs="Arial"/>
          <w:bCs/>
          <w:lang w:val="es-ES"/>
        </w:rPr>
        <w:t xml:space="preserve">. </w:t>
      </w:r>
    </w:p>
    <w:p w14:paraId="01A25972"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Introducción de especies invasivas</w:t>
      </w:r>
      <w:r>
        <w:rPr>
          <w:rStyle w:val="FootnoteReference"/>
          <w:rFonts w:cs="Arial"/>
          <w:bCs/>
          <w:lang w:val="es-ES"/>
        </w:rPr>
        <w:footnoteReference w:id="8"/>
      </w:r>
      <w:r w:rsidRPr="00307787">
        <w:rPr>
          <w:rFonts w:ascii="Arial" w:hAnsi="Arial" w:cs="Arial"/>
          <w:bCs/>
          <w:lang w:val="es-ES"/>
        </w:rPr>
        <w:t>.</w:t>
      </w:r>
    </w:p>
    <w:p w14:paraId="4C4E23BC"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lastRenderedPageBreak/>
        <w:t xml:space="preserve">Compuestos que contengan </w:t>
      </w:r>
      <w:proofErr w:type="spellStart"/>
      <w:r w:rsidRPr="00307787">
        <w:rPr>
          <w:rFonts w:ascii="Arial" w:hAnsi="Arial" w:cs="Arial"/>
          <w:bCs/>
          <w:lang w:val="es-ES"/>
        </w:rPr>
        <w:t>policlorinato</w:t>
      </w:r>
      <w:proofErr w:type="spellEnd"/>
      <w:r w:rsidRPr="00307787">
        <w:rPr>
          <w:rFonts w:ascii="Arial" w:hAnsi="Arial" w:cs="Arial"/>
          <w:bCs/>
          <w:lang w:val="es-ES"/>
        </w:rPr>
        <w:t xml:space="preserve"> de bifenilo (PCB)</w:t>
      </w:r>
      <w:r>
        <w:rPr>
          <w:rStyle w:val="FootnoteReference"/>
          <w:rFonts w:cs="Arial"/>
          <w:bCs/>
          <w:lang w:val="es-ES"/>
        </w:rPr>
        <w:footnoteReference w:id="9"/>
      </w:r>
      <w:r w:rsidRPr="00307787">
        <w:rPr>
          <w:rFonts w:ascii="Arial" w:hAnsi="Arial" w:cs="Arial"/>
          <w:bCs/>
          <w:lang w:val="es-ES"/>
        </w:rPr>
        <w:t>.</w:t>
      </w:r>
    </w:p>
    <w:p w14:paraId="6CBDC9C9"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Fármacos sujetos a eliminación gradual o cese obligatorio de producción o prohibición de venta a nivel internacional</w:t>
      </w:r>
      <w:r>
        <w:rPr>
          <w:rStyle w:val="FootnoteReference"/>
          <w:rFonts w:cs="Arial"/>
          <w:bCs/>
          <w:lang w:val="es-ES"/>
        </w:rPr>
        <w:footnoteReference w:id="10"/>
      </w:r>
      <w:r w:rsidRPr="00307787">
        <w:rPr>
          <w:rFonts w:ascii="Arial" w:hAnsi="Arial" w:cs="Arial"/>
          <w:bCs/>
          <w:lang w:val="es-ES"/>
        </w:rPr>
        <w:t>.</w:t>
      </w:r>
    </w:p>
    <w:p w14:paraId="47F3050D"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Pesticidas o herbicidas sujetos a eliminación gradual o cese obligatorio de producción o prohibición de venta a nivel internacional</w:t>
      </w:r>
      <w:r>
        <w:rPr>
          <w:rStyle w:val="FootnoteReference"/>
          <w:rFonts w:cs="Arial"/>
          <w:bCs/>
          <w:lang w:val="es-ES"/>
        </w:rPr>
        <w:footnoteReference w:id="11"/>
      </w:r>
      <w:r w:rsidRPr="00307787">
        <w:rPr>
          <w:rFonts w:ascii="Arial" w:hAnsi="Arial" w:cs="Arial"/>
          <w:bCs/>
          <w:lang w:val="es-ES"/>
        </w:rPr>
        <w:t>.</w:t>
      </w:r>
    </w:p>
    <w:p w14:paraId="5115A641"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 xml:space="preserve">Pesticidas tóxicos según la definición de la Organización Mundial de la Salud (OMS), clases </w:t>
      </w:r>
      <w:proofErr w:type="spellStart"/>
      <w:r w:rsidRPr="00307787">
        <w:rPr>
          <w:rFonts w:ascii="Arial" w:hAnsi="Arial" w:cs="Arial"/>
          <w:bCs/>
          <w:lang w:val="es-ES"/>
        </w:rPr>
        <w:t>Ia</w:t>
      </w:r>
      <w:proofErr w:type="spellEnd"/>
      <w:r w:rsidRPr="00307787">
        <w:rPr>
          <w:rFonts w:ascii="Arial" w:hAnsi="Arial" w:cs="Arial"/>
          <w:bCs/>
          <w:lang w:val="es-ES"/>
        </w:rPr>
        <w:t xml:space="preserve">, </w:t>
      </w:r>
      <w:proofErr w:type="spellStart"/>
      <w:r w:rsidRPr="00307787">
        <w:rPr>
          <w:rFonts w:ascii="Arial" w:hAnsi="Arial" w:cs="Arial"/>
          <w:bCs/>
          <w:lang w:val="es-ES"/>
        </w:rPr>
        <w:t>Ib</w:t>
      </w:r>
      <w:proofErr w:type="spellEnd"/>
      <w:r w:rsidRPr="00307787">
        <w:rPr>
          <w:rFonts w:ascii="Arial" w:hAnsi="Arial" w:cs="Arial"/>
          <w:bCs/>
          <w:lang w:val="es-ES"/>
        </w:rPr>
        <w:t xml:space="preserve"> y II.</w:t>
      </w:r>
    </w:p>
    <w:p w14:paraId="4697DFFC"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Contaminantes orgánicos persistentes (COP)</w:t>
      </w:r>
      <w:r>
        <w:rPr>
          <w:rStyle w:val="FootnoteReference"/>
          <w:rFonts w:cs="Arial"/>
          <w:bCs/>
          <w:lang w:val="es-ES"/>
        </w:rPr>
        <w:footnoteReference w:id="12"/>
      </w:r>
      <w:r w:rsidRPr="00307787">
        <w:rPr>
          <w:rFonts w:ascii="Arial" w:hAnsi="Arial" w:cs="Arial"/>
          <w:bCs/>
          <w:lang w:val="es-ES"/>
        </w:rPr>
        <w:t xml:space="preserve">. </w:t>
      </w:r>
    </w:p>
    <w:p w14:paraId="4B788E41"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ODS sujetos a cese obligatorio de producción o prohibición de venta a nivel internacional</w:t>
      </w:r>
      <w:r>
        <w:rPr>
          <w:rStyle w:val="FootnoteReference"/>
          <w:rFonts w:cs="Arial"/>
          <w:bCs/>
          <w:lang w:val="es-ES"/>
        </w:rPr>
        <w:footnoteReference w:id="13"/>
      </w:r>
      <w:r w:rsidRPr="00307787">
        <w:rPr>
          <w:rFonts w:ascii="Arial" w:hAnsi="Arial" w:cs="Arial"/>
          <w:bCs/>
          <w:lang w:val="es-ES"/>
        </w:rPr>
        <w:t xml:space="preserve">. </w:t>
      </w:r>
    </w:p>
    <w:p w14:paraId="6AF626EE"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Comercio transfronterizo (internacional) de desechos o productos de desechos</w:t>
      </w:r>
      <w:r>
        <w:rPr>
          <w:rStyle w:val="FootnoteReference"/>
          <w:rFonts w:cs="Arial"/>
          <w:bCs/>
          <w:lang w:val="es-ES"/>
        </w:rPr>
        <w:footnoteReference w:id="14"/>
      </w:r>
      <w:r w:rsidRPr="00307787">
        <w:rPr>
          <w:rFonts w:ascii="Arial" w:hAnsi="Arial" w:cs="Arial"/>
          <w:bCs/>
          <w:lang w:val="es-ES"/>
        </w:rPr>
        <w:t>, exceptuando desechos no peligrosos destinados al reciclaje.</w:t>
      </w:r>
    </w:p>
    <w:p w14:paraId="00407811"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Incumplimiento de los principios fundamentales de los trabajadores y de los derechos en el trabajo</w:t>
      </w:r>
      <w:r>
        <w:rPr>
          <w:rStyle w:val="FootnoteReference"/>
          <w:rFonts w:cs="Arial"/>
          <w:bCs/>
          <w:lang w:val="es-ES"/>
        </w:rPr>
        <w:footnoteReference w:id="15"/>
      </w:r>
    </w:p>
    <w:p w14:paraId="444AE48A"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Actividades que impliquen reasentamiento involuntario físico o económico.</w:t>
      </w:r>
    </w:p>
    <w:p w14:paraId="082E5D1A" w14:textId="77777777" w:rsidR="00ED7034"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Actividades dentro de, aledañas a, o aguas arriba de tierras ocupadas por grupos indígenas o grupos vulnerables, incluyendo tierras y cuerpos de agua utilizados para actividades de subsistencia tales como cría de animales, pastos, cacería o pesca o recolección.</w:t>
      </w:r>
    </w:p>
    <w:p w14:paraId="45569F0D" w14:textId="4AD88327" w:rsidR="00822D41" w:rsidRPr="00307787" w:rsidRDefault="00ED7034" w:rsidP="00ED7034">
      <w:pPr>
        <w:pStyle w:val="ListParagraph"/>
        <w:widowControl w:val="0"/>
        <w:numPr>
          <w:ilvl w:val="0"/>
          <w:numId w:val="6"/>
        </w:numPr>
        <w:autoSpaceDE w:val="0"/>
        <w:autoSpaceDN w:val="0"/>
        <w:adjustRightInd w:val="0"/>
        <w:ind w:right="-720"/>
        <w:rPr>
          <w:rFonts w:ascii="Arial" w:hAnsi="Arial" w:cs="Arial"/>
          <w:bCs/>
          <w:lang w:val="es-ES"/>
        </w:rPr>
      </w:pPr>
      <w:r w:rsidRPr="00307787">
        <w:rPr>
          <w:rFonts w:ascii="Arial" w:hAnsi="Arial" w:cs="Arial"/>
          <w:bCs/>
          <w:lang w:val="es-ES"/>
        </w:rPr>
        <w:t>Actividades que puedan dañar sitios culturales o sitios culturales críticos</w:t>
      </w:r>
      <w:r w:rsidR="00822D41">
        <w:rPr>
          <w:rStyle w:val="FootnoteReference"/>
          <w:rFonts w:ascii="Arial" w:hAnsi="Arial" w:cs="Arial"/>
          <w:bCs/>
          <w:lang w:val="es-ES"/>
        </w:rPr>
        <w:footnoteReference w:id="16"/>
      </w:r>
      <w:r w:rsidRPr="00307787">
        <w:rPr>
          <w:rFonts w:ascii="Arial" w:hAnsi="Arial" w:cs="Arial"/>
          <w:bCs/>
          <w:lang w:val="es-ES"/>
        </w:rPr>
        <w:t xml:space="preserve">. </w:t>
      </w:r>
    </w:p>
    <w:p w14:paraId="5218A210" w14:textId="27209F13" w:rsidR="00ED7034" w:rsidRPr="00A442C2" w:rsidRDefault="00ED7034" w:rsidP="00822D41">
      <w:pPr>
        <w:pStyle w:val="ListParagraph"/>
        <w:widowControl w:val="0"/>
        <w:numPr>
          <w:ilvl w:val="0"/>
          <w:numId w:val="6"/>
        </w:numPr>
        <w:autoSpaceDE w:val="0"/>
        <w:autoSpaceDN w:val="0"/>
        <w:adjustRightInd w:val="0"/>
        <w:ind w:right="-720"/>
        <w:rPr>
          <w:rFonts w:ascii="Arial" w:eastAsia="Batang" w:hAnsi="Arial" w:cs="Arial"/>
          <w:sz w:val="22"/>
          <w:szCs w:val="22"/>
          <w:lang w:eastAsia="es-ES_tradnl"/>
        </w:rPr>
      </w:pPr>
      <w:r w:rsidRPr="00A442C2">
        <w:rPr>
          <w:rFonts w:ascii="Arial" w:hAnsi="Arial" w:cs="Arial"/>
          <w:bCs/>
          <w:lang w:val="es-ES"/>
        </w:rPr>
        <w:t>Compañías que tengan demandas ambientales (tales como multas, sanciones, costos de limpieza, costos de respuesta gubernamental, pagos por daños y perjuicios, encarcelación de los principales directivos de la compañía, disminución en el valor de las garantías debido a los daños o pasivos ambientales, etc.) que tienen un efecto adverso importante sobre la capacidad de las compañías para cumplir con sus obligaciones en el marco del acuerdo de financiamiento.</w:t>
      </w:r>
    </w:p>
    <w:p w14:paraId="29835E37" w14:textId="2FC2344E" w:rsidR="00822D41" w:rsidRDefault="00822D41">
      <w:pPr>
        <w:rPr>
          <w:rFonts w:ascii="Arial" w:hAnsi="Arial" w:cs="Arial"/>
          <w:bCs/>
          <w:lang w:val="es-ES"/>
        </w:rPr>
      </w:pPr>
      <w:r>
        <w:rPr>
          <w:rFonts w:ascii="Arial" w:hAnsi="Arial" w:cs="Arial"/>
          <w:bCs/>
          <w:lang w:val="es-ES"/>
        </w:rPr>
        <w:br w:type="page"/>
      </w:r>
    </w:p>
    <w:p w14:paraId="485D6363" w14:textId="77777777" w:rsidR="00822D41" w:rsidRPr="00152BF3" w:rsidRDefault="00822D41" w:rsidP="00152BF3">
      <w:pPr>
        <w:pStyle w:val="ListParagraph"/>
        <w:widowControl w:val="0"/>
        <w:autoSpaceDE w:val="0"/>
        <w:autoSpaceDN w:val="0"/>
        <w:adjustRightInd w:val="0"/>
        <w:ind w:right="-720"/>
        <w:rPr>
          <w:rFonts w:ascii="Arial" w:eastAsia="Batang" w:hAnsi="Arial" w:cs="Arial"/>
          <w:sz w:val="22"/>
          <w:szCs w:val="22"/>
          <w:highlight w:val="yellow"/>
          <w:lang w:eastAsia="es-ES_tradnl"/>
        </w:rPr>
      </w:pPr>
    </w:p>
    <w:p w14:paraId="026EEFA2" w14:textId="4E3D6D48" w:rsidR="008F5E45" w:rsidRPr="00152BF3" w:rsidRDefault="008F5E45" w:rsidP="00885C82">
      <w:pPr>
        <w:pStyle w:val="Paragraph"/>
        <w:numPr>
          <w:ilvl w:val="0"/>
          <w:numId w:val="0"/>
        </w:numPr>
        <w:ind w:left="720" w:hanging="720"/>
        <w:rPr>
          <w:rFonts w:ascii="Arial" w:eastAsia="Batang" w:hAnsi="Arial" w:cs="Arial"/>
          <w:b/>
          <w:sz w:val="22"/>
          <w:szCs w:val="22"/>
          <w:lang w:eastAsia="es-ES_tradnl"/>
        </w:rPr>
      </w:pPr>
      <w:r w:rsidRPr="00152BF3">
        <w:rPr>
          <w:rFonts w:ascii="Arial" w:eastAsia="Batang" w:hAnsi="Arial" w:cs="Arial"/>
          <w:b/>
          <w:sz w:val="22"/>
          <w:szCs w:val="22"/>
          <w:lang w:eastAsia="es-ES_tradnl"/>
        </w:rPr>
        <w:t xml:space="preserve">Anexo 2. Guías ambientales y sociales sectoriales </w:t>
      </w:r>
    </w:p>
    <w:p w14:paraId="41B52BF3" w14:textId="77777777" w:rsidR="00497FDF" w:rsidRPr="00152BF3" w:rsidRDefault="00497FDF">
      <w:pPr>
        <w:rPr>
          <w:rFonts w:ascii="Arial" w:eastAsia="Batang" w:hAnsi="Arial" w:cs="Arial"/>
          <w:sz w:val="22"/>
          <w:szCs w:val="22"/>
          <w:lang w:eastAsia="es-ES_tradnl"/>
        </w:rPr>
      </w:pPr>
    </w:p>
    <w:p w14:paraId="2FEC1FDE" w14:textId="3FF8109A" w:rsidR="00152BF3" w:rsidRDefault="00497FDF" w:rsidP="007038DC">
      <w:pPr>
        <w:jc w:val="both"/>
        <w:rPr>
          <w:rFonts w:ascii="Arial" w:eastAsia="Batang" w:hAnsi="Arial" w:cs="Arial"/>
          <w:sz w:val="22"/>
          <w:szCs w:val="22"/>
          <w:lang w:eastAsia="es-ES_tradnl"/>
        </w:rPr>
      </w:pPr>
      <w:r w:rsidRPr="00152BF3">
        <w:rPr>
          <w:rFonts w:ascii="Arial" w:eastAsia="Batang" w:hAnsi="Arial" w:cs="Arial"/>
          <w:sz w:val="22"/>
          <w:szCs w:val="22"/>
          <w:lang w:eastAsia="es-ES_tradnl"/>
        </w:rPr>
        <w:t xml:space="preserve">Los subpréstamos de </w:t>
      </w:r>
      <w:r w:rsidR="007038DC" w:rsidRPr="00152BF3">
        <w:rPr>
          <w:rFonts w:ascii="Arial" w:eastAsia="Batang" w:hAnsi="Arial" w:cs="Arial"/>
          <w:sz w:val="22"/>
          <w:szCs w:val="22"/>
          <w:lang w:eastAsia="es-ES_tradnl"/>
        </w:rPr>
        <w:t>m</w:t>
      </w:r>
      <w:r w:rsidR="007038DC">
        <w:rPr>
          <w:rFonts w:ascii="Arial" w:eastAsia="Batang" w:hAnsi="Arial" w:cs="Arial"/>
          <w:sz w:val="22"/>
          <w:szCs w:val="22"/>
          <w:lang w:eastAsia="es-ES_tradnl"/>
        </w:rPr>
        <w:t>á</w:t>
      </w:r>
      <w:r w:rsidR="007038DC" w:rsidRPr="00152BF3">
        <w:rPr>
          <w:rFonts w:ascii="Arial" w:eastAsia="Batang" w:hAnsi="Arial" w:cs="Arial"/>
          <w:sz w:val="22"/>
          <w:szCs w:val="22"/>
          <w:lang w:eastAsia="es-ES_tradnl"/>
        </w:rPr>
        <w:t xml:space="preserve">s </w:t>
      </w:r>
      <w:r w:rsidRPr="00152BF3">
        <w:rPr>
          <w:rFonts w:ascii="Arial" w:eastAsia="Batang" w:hAnsi="Arial" w:cs="Arial"/>
          <w:sz w:val="22"/>
          <w:szCs w:val="22"/>
          <w:lang w:eastAsia="es-ES_tradnl"/>
        </w:rPr>
        <w:t xml:space="preserve">de </w:t>
      </w:r>
      <w:r w:rsidR="007038DC">
        <w:rPr>
          <w:rFonts w:ascii="Arial" w:eastAsia="Batang" w:hAnsi="Arial" w:cs="Arial"/>
          <w:sz w:val="22"/>
          <w:szCs w:val="22"/>
          <w:lang w:eastAsia="es-ES_tradnl"/>
        </w:rPr>
        <w:t xml:space="preserve">USD 300 mil o su equivalente en guaraníes </w:t>
      </w:r>
      <w:r w:rsidRPr="00152BF3">
        <w:rPr>
          <w:rFonts w:ascii="Arial" w:eastAsia="Batang" w:hAnsi="Arial" w:cs="Arial"/>
          <w:sz w:val="22"/>
          <w:szCs w:val="22"/>
          <w:lang w:eastAsia="es-ES_tradnl"/>
        </w:rPr>
        <w:t xml:space="preserve">solo podrán ser presentados por </w:t>
      </w:r>
      <w:r w:rsidR="006C290C">
        <w:rPr>
          <w:rFonts w:ascii="Arial" w:eastAsia="Batang" w:hAnsi="Arial" w:cs="Arial"/>
          <w:sz w:val="22"/>
          <w:szCs w:val="22"/>
          <w:lang w:eastAsia="es-ES_tradnl"/>
        </w:rPr>
        <w:t>IFI</w:t>
      </w:r>
      <w:r w:rsidRPr="00152BF3">
        <w:rPr>
          <w:rFonts w:ascii="Arial" w:eastAsia="Batang" w:hAnsi="Arial" w:cs="Arial"/>
          <w:sz w:val="22"/>
          <w:szCs w:val="22"/>
          <w:lang w:eastAsia="es-ES_tradnl"/>
        </w:rPr>
        <w:t xml:space="preserve"> que </w:t>
      </w:r>
      <w:r>
        <w:rPr>
          <w:rFonts w:ascii="Arial" w:eastAsia="Batang" w:hAnsi="Arial" w:cs="Arial"/>
          <w:sz w:val="22"/>
          <w:szCs w:val="22"/>
          <w:lang w:eastAsia="es-ES_tradnl"/>
        </w:rPr>
        <w:t xml:space="preserve">(i) </w:t>
      </w:r>
      <w:r w:rsidRPr="00152BF3">
        <w:rPr>
          <w:rFonts w:ascii="Arial" w:eastAsia="Batang" w:hAnsi="Arial" w:cs="Arial"/>
          <w:sz w:val="22"/>
          <w:szCs w:val="22"/>
          <w:lang w:eastAsia="es-ES_tradnl"/>
        </w:rPr>
        <w:t xml:space="preserve">estén regulados por el </w:t>
      </w:r>
      <w:r w:rsidR="007038DC">
        <w:rPr>
          <w:rFonts w:ascii="Arial" w:eastAsia="Batang" w:hAnsi="Arial" w:cs="Arial"/>
          <w:sz w:val="22"/>
          <w:szCs w:val="22"/>
          <w:lang w:eastAsia="es-ES_tradnl"/>
        </w:rPr>
        <w:t>B</w:t>
      </w:r>
      <w:r w:rsidR="007038DC" w:rsidRPr="00152BF3">
        <w:rPr>
          <w:rFonts w:ascii="Arial" w:eastAsia="Batang" w:hAnsi="Arial" w:cs="Arial"/>
          <w:sz w:val="22"/>
          <w:szCs w:val="22"/>
          <w:lang w:eastAsia="es-ES_tradnl"/>
        </w:rPr>
        <w:t xml:space="preserve">anco </w:t>
      </w:r>
      <w:r w:rsidR="007038DC">
        <w:rPr>
          <w:rFonts w:ascii="Arial" w:eastAsia="Batang" w:hAnsi="Arial" w:cs="Arial"/>
          <w:sz w:val="22"/>
          <w:szCs w:val="22"/>
          <w:lang w:eastAsia="es-ES_tradnl"/>
        </w:rPr>
        <w:t>C</w:t>
      </w:r>
      <w:r w:rsidR="007038DC" w:rsidRPr="00152BF3">
        <w:rPr>
          <w:rFonts w:ascii="Arial" w:eastAsia="Batang" w:hAnsi="Arial" w:cs="Arial"/>
          <w:sz w:val="22"/>
          <w:szCs w:val="22"/>
          <w:lang w:eastAsia="es-ES_tradnl"/>
        </w:rPr>
        <w:t xml:space="preserve">entral </w:t>
      </w:r>
      <w:r w:rsidR="007038DC">
        <w:rPr>
          <w:rFonts w:ascii="Arial" w:eastAsia="Batang" w:hAnsi="Arial" w:cs="Arial"/>
          <w:sz w:val="22"/>
          <w:szCs w:val="22"/>
          <w:lang w:eastAsia="es-ES_tradnl"/>
        </w:rPr>
        <w:t xml:space="preserve">del Paraguay </w:t>
      </w:r>
      <w:r w:rsidRPr="00152BF3">
        <w:rPr>
          <w:rFonts w:ascii="Arial" w:eastAsia="Batang" w:hAnsi="Arial" w:cs="Arial"/>
          <w:sz w:val="22"/>
          <w:szCs w:val="22"/>
          <w:lang w:eastAsia="es-ES_tradnl"/>
        </w:rPr>
        <w:t xml:space="preserve">(o tengan la no-objeción del BID), </w:t>
      </w:r>
      <w:r w:rsidR="002C0DA3">
        <w:rPr>
          <w:rFonts w:ascii="Arial" w:eastAsia="Batang" w:hAnsi="Arial" w:cs="Arial"/>
          <w:sz w:val="22"/>
          <w:szCs w:val="22"/>
          <w:lang w:eastAsia="es-ES_tradnl"/>
        </w:rPr>
        <w:t xml:space="preserve">(ii) </w:t>
      </w:r>
      <w:r w:rsidRPr="00152BF3">
        <w:rPr>
          <w:rFonts w:ascii="Arial" w:eastAsia="Batang" w:hAnsi="Arial" w:cs="Arial"/>
          <w:sz w:val="22"/>
          <w:szCs w:val="22"/>
          <w:lang w:eastAsia="es-ES_tradnl"/>
        </w:rPr>
        <w:t xml:space="preserve">tengan un SARAS implementado en cumplimiento </w:t>
      </w:r>
      <w:r w:rsidR="00AD7B2D">
        <w:rPr>
          <w:rFonts w:ascii="Arial" w:eastAsia="Batang" w:hAnsi="Arial" w:cs="Arial"/>
          <w:sz w:val="22"/>
          <w:szCs w:val="22"/>
          <w:lang w:eastAsia="es-ES_tradnl"/>
        </w:rPr>
        <w:t>c</w:t>
      </w:r>
      <w:r w:rsidRPr="00152BF3">
        <w:rPr>
          <w:rFonts w:ascii="Arial" w:eastAsia="Batang" w:hAnsi="Arial" w:cs="Arial"/>
          <w:sz w:val="22"/>
          <w:szCs w:val="22"/>
          <w:lang w:eastAsia="es-ES_tradnl"/>
        </w:rPr>
        <w:t>on la Resolución 8 del Banco Central</w:t>
      </w:r>
      <w:r>
        <w:rPr>
          <w:rFonts w:ascii="Arial" w:eastAsia="Batang" w:hAnsi="Arial" w:cs="Arial"/>
          <w:sz w:val="22"/>
          <w:szCs w:val="22"/>
          <w:lang w:eastAsia="es-ES_tradnl"/>
        </w:rPr>
        <w:t xml:space="preserve"> (o un SARAS aprobado por el BID)</w:t>
      </w:r>
      <w:r w:rsidRPr="00152BF3">
        <w:rPr>
          <w:rFonts w:ascii="Arial" w:eastAsia="Batang" w:hAnsi="Arial" w:cs="Arial"/>
          <w:sz w:val="22"/>
          <w:szCs w:val="22"/>
          <w:lang w:eastAsia="es-ES_tradnl"/>
        </w:rPr>
        <w:t>,</w:t>
      </w:r>
      <w:r>
        <w:rPr>
          <w:rFonts w:ascii="Arial" w:eastAsia="Batang" w:hAnsi="Arial" w:cs="Arial"/>
          <w:sz w:val="22"/>
          <w:szCs w:val="22"/>
          <w:lang w:eastAsia="es-ES_tradnl"/>
        </w:rPr>
        <w:t xml:space="preserve"> y (iii)</w:t>
      </w:r>
      <w:r w:rsidRPr="00152BF3">
        <w:rPr>
          <w:rFonts w:ascii="Arial" w:eastAsia="Batang" w:hAnsi="Arial" w:cs="Arial"/>
          <w:sz w:val="22"/>
          <w:szCs w:val="22"/>
          <w:lang w:eastAsia="es-ES_tradnl"/>
        </w:rPr>
        <w:t xml:space="preserve"> apliquen </w:t>
      </w:r>
      <w:r>
        <w:rPr>
          <w:rFonts w:ascii="Arial" w:eastAsia="Batang" w:hAnsi="Arial" w:cs="Arial"/>
          <w:sz w:val="22"/>
          <w:szCs w:val="22"/>
          <w:lang w:eastAsia="es-ES_tradnl"/>
        </w:rPr>
        <w:t xml:space="preserve">una </w:t>
      </w:r>
      <w:r w:rsidRPr="00152BF3">
        <w:rPr>
          <w:rFonts w:ascii="Arial" w:eastAsia="Batang" w:hAnsi="Arial" w:cs="Arial"/>
          <w:sz w:val="22"/>
          <w:szCs w:val="22"/>
          <w:lang w:eastAsia="es-ES_tradnl"/>
        </w:rPr>
        <w:t xml:space="preserve">guía ambiental y social para el manejo de la actividad </w:t>
      </w:r>
      <w:r>
        <w:rPr>
          <w:rFonts w:ascii="Arial" w:eastAsia="Batang" w:hAnsi="Arial" w:cs="Arial"/>
          <w:sz w:val="22"/>
          <w:szCs w:val="22"/>
          <w:lang w:eastAsia="es-ES_tradnl"/>
        </w:rPr>
        <w:t>relacionada a los subpréstamos sometidos a financiación (</w:t>
      </w:r>
      <w:r w:rsidR="00152BF3">
        <w:rPr>
          <w:rFonts w:ascii="Arial" w:eastAsia="Batang" w:hAnsi="Arial" w:cs="Arial"/>
          <w:sz w:val="22"/>
          <w:szCs w:val="22"/>
          <w:lang w:eastAsia="es-ES_tradnl"/>
        </w:rPr>
        <w:t xml:space="preserve">sector </w:t>
      </w:r>
      <w:r w:rsidRPr="00152BF3">
        <w:rPr>
          <w:rFonts w:ascii="Arial" w:eastAsia="Batang" w:hAnsi="Arial" w:cs="Arial"/>
          <w:sz w:val="22"/>
          <w:szCs w:val="22"/>
          <w:lang w:eastAsia="es-ES_tradnl"/>
        </w:rPr>
        <w:t>agrícola, ganader</w:t>
      </w:r>
      <w:r w:rsidR="00152BF3">
        <w:rPr>
          <w:rFonts w:ascii="Arial" w:eastAsia="Batang" w:hAnsi="Arial" w:cs="Arial"/>
          <w:sz w:val="22"/>
          <w:szCs w:val="22"/>
          <w:lang w:eastAsia="es-ES_tradnl"/>
        </w:rPr>
        <w:t>o</w:t>
      </w:r>
      <w:r w:rsidRPr="00152BF3">
        <w:rPr>
          <w:rFonts w:ascii="Arial" w:eastAsia="Batang" w:hAnsi="Arial" w:cs="Arial"/>
          <w:sz w:val="22"/>
          <w:szCs w:val="22"/>
          <w:lang w:eastAsia="es-ES_tradnl"/>
        </w:rPr>
        <w:t xml:space="preserve"> </w:t>
      </w:r>
      <w:r w:rsidR="00152BF3">
        <w:rPr>
          <w:rFonts w:ascii="Arial" w:eastAsia="Batang" w:hAnsi="Arial" w:cs="Arial"/>
          <w:sz w:val="22"/>
          <w:szCs w:val="22"/>
          <w:lang w:eastAsia="es-ES_tradnl"/>
        </w:rPr>
        <w:t>y/</w:t>
      </w:r>
      <w:r w:rsidRPr="00152BF3">
        <w:rPr>
          <w:rFonts w:ascii="Arial" w:eastAsia="Batang" w:hAnsi="Arial" w:cs="Arial"/>
          <w:sz w:val="22"/>
          <w:szCs w:val="22"/>
          <w:lang w:eastAsia="es-ES_tradnl"/>
        </w:rPr>
        <w:t>o agro-</w:t>
      </w:r>
      <w:r w:rsidR="00152BF3" w:rsidRPr="00152BF3">
        <w:rPr>
          <w:rFonts w:ascii="Arial" w:eastAsia="Batang" w:hAnsi="Arial" w:cs="Arial"/>
          <w:sz w:val="22"/>
          <w:szCs w:val="22"/>
          <w:lang w:eastAsia="es-ES_tradnl"/>
        </w:rPr>
        <w:t>industrial</w:t>
      </w:r>
      <w:r w:rsidR="00152BF3">
        <w:rPr>
          <w:rFonts w:ascii="Arial" w:eastAsia="Batang" w:hAnsi="Arial" w:cs="Arial"/>
          <w:sz w:val="22"/>
          <w:szCs w:val="22"/>
          <w:lang w:eastAsia="es-ES_tradnl"/>
        </w:rPr>
        <w:t xml:space="preserve">). </w:t>
      </w:r>
      <w:r w:rsidRPr="00152BF3">
        <w:rPr>
          <w:rFonts w:ascii="Arial" w:eastAsia="Batang" w:hAnsi="Arial" w:cs="Arial"/>
          <w:sz w:val="22"/>
          <w:szCs w:val="22"/>
          <w:lang w:eastAsia="es-ES_tradnl"/>
        </w:rPr>
        <w:t xml:space="preserve">  </w:t>
      </w:r>
    </w:p>
    <w:p w14:paraId="6C95046E" w14:textId="77777777" w:rsidR="007038DC" w:rsidRDefault="007038DC" w:rsidP="007038DC">
      <w:pPr>
        <w:jc w:val="both"/>
        <w:rPr>
          <w:rFonts w:ascii="Arial" w:eastAsia="Batang" w:hAnsi="Arial" w:cs="Arial"/>
          <w:sz w:val="22"/>
          <w:szCs w:val="22"/>
          <w:lang w:eastAsia="es-ES_tradnl"/>
        </w:rPr>
      </w:pPr>
    </w:p>
    <w:p w14:paraId="6B4EF97F" w14:textId="5FEFB145" w:rsidR="00152BF3" w:rsidRDefault="00152BF3" w:rsidP="007038DC">
      <w:pPr>
        <w:jc w:val="both"/>
        <w:rPr>
          <w:rFonts w:ascii="Arial" w:eastAsia="Batang" w:hAnsi="Arial" w:cs="Arial"/>
          <w:sz w:val="22"/>
          <w:szCs w:val="22"/>
          <w:lang w:eastAsia="es-ES_tradnl"/>
        </w:rPr>
      </w:pPr>
      <w:r>
        <w:rPr>
          <w:rFonts w:ascii="Arial" w:eastAsia="Batang" w:hAnsi="Arial" w:cs="Arial"/>
          <w:sz w:val="22"/>
          <w:szCs w:val="22"/>
          <w:lang w:eastAsia="es-ES_tradnl"/>
        </w:rPr>
        <w:t>Las guías deberán ser equivalentes a las desarrolladas dentro del marco de la Mesa de Finanzas Sostenibles del Paraguay y que se presentan a continuación</w:t>
      </w:r>
      <w:r w:rsidR="00CD00F4">
        <w:rPr>
          <w:rFonts w:ascii="Arial" w:eastAsia="Batang" w:hAnsi="Arial" w:cs="Arial"/>
          <w:sz w:val="22"/>
          <w:szCs w:val="22"/>
          <w:lang w:eastAsia="es-ES_tradnl"/>
        </w:rPr>
        <w:t>; o a las que podrá desarrollar el Banco Central en el futuro</w:t>
      </w:r>
      <w:r>
        <w:rPr>
          <w:rFonts w:ascii="Arial" w:eastAsia="Batang" w:hAnsi="Arial" w:cs="Arial"/>
          <w:sz w:val="22"/>
          <w:szCs w:val="22"/>
          <w:lang w:eastAsia="es-ES_tradnl"/>
        </w:rPr>
        <w:t>. Si fueran diferentes, deberían obtener la no</w:t>
      </w:r>
      <w:r w:rsidR="00AD7B2D">
        <w:rPr>
          <w:rFonts w:ascii="Arial" w:eastAsia="Batang" w:hAnsi="Arial" w:cs="Arial"/>
          <w:sz w:val="22"/>
          <w:szCs w:val="22"/>
          <w:lang w:eastAsia="es-ES_tradnl"/>
        </w:rPr>
        <w:t>-</w:t>
      </w:r>
      <w:r>
        <w:rPr>
          <w:rFonts w:ascii="Arial" w:eastAsia="Batang" w:hAnsi="Arial" w:cs="Arial"/>
          <w:sz w:val="22"/>
          <w:szCs w:val="22"/>
          <w:lang w:eastAsia="es-ES_tradnl"/>
        </w:rPr>
        <w:t xml:space="preserve">objeción del BID. </w:t>
      </w:r>
    </w:p>
    <w:p w14:paraId="33E2D61C" w14:textId="203CBD33" w:rsidR="00152BF3" w:rsidRDefault="00152BF3" w:rsidP="007038DC">
      <w:pPr>
        <w:jc w:val="both"/>
        <w:rPr>
          <w:rFonts w:ascii="Arial" w:eastAsia="Batang" w:hAnsi="Arial" w:cs="Arial"/>
          <w:sz w:val="22"/>
          <w:szCs w:val="22"/>
          <w:lang w:eastAsia="es-ES_tradnl"/>
        </w:rPr>
      </w:pPr>
    </w:p>
    <w:p w14:paraId="55331CE0" w14:textId="01F69FC1" w:rsidR="00152BF3" w:rsidRDefault="00851F42" w:rsidP="007038DC">
      <w:pPr>
        <w:jc w:val="both"/>
        <w:rPr>
          <w:rFonts w:ascii="Arial" w:eastAsia="Batang" w:hAnsi="Arial" w:cs="Arial"/>
          <w:sz w:val="22"/>
          <w:szCs w:val="22"/>
          <w:lang w:eastAsia="es-ES_tradnl"/>
        </w:rPr>
      </w:pPr>
      <w:hyperlink r:id="rId20" w:history="1">
        <w:r w:rsidR="00152BF3" w:rsidRPr="00B64FCC">
          <w:rPr>
            <w:rStyle w:val="Hyperlink"/>
            <w:rFonts w:ascii="Arial" w:eastAsia="Batang" w:hAnsi="Arial" w:cs="Arial"/>
            <w:sz w:val="22"/>
            <w:szCs w:val="22"/>
            <w:lang w:eastAsia="es-ES_tradnl"/>
          </w:rPr>
          <w:t>Guía ambiental y social para el financiamiento de la actividad agrícola en el Paraguay</w:t>
        </w:r>
      </w:hyperlink>
    </w:p>
    <w:p w14:paraId="510FF5DD" w14:textId="1C0EC09B" w:rsidR="00152BF3" w:rsidRDefault="00152BF3" w:rsidP="007038DC">
      <w:pPr>
        <w:jc w:val="both"/>
        <w:rPr>
          <w:rFonts w:ascii="Arial" w:eastAsia="Batang" w:hAnsi="Arial" w:cs="Arial"/>
          <w:sz w:val="22"/>
          <w:szCs w:val="22"/>
          <w:lang w:eastAsia="es-ES_tradnl"/>
        </w:rPr>
      </w:pPr>
    </w:p>
    <w:p w14:paraId="7A21EE03" w14:textId="65EAFBB0" w:rsidR="00152BF3" w:rsidRDefault="00851F42" w:rsidP="007038DC">
      <w:pPr>
        <w:jc w:val="both"/>
        <w:rPr>
          <w:rFonts w:ascii="Arial" w:eastAsia="Batang" w:hAnsi="Arial" w:cs="Arial"/>
          <w:sz w:val="22"/>
          <w:szCs w:val="22"/>
          <w:lang w:eastAsia="es-ES_tradnl"/>
        </w:rPr>
      </w:pPr>
      <w:hyperlink r:id="rId21" w:history="1">
        <w:r w:rsidR="00152BF3" w:rsidRPr="00B64FCC">
          <w:rPr>
            <w:rStyle w:val="Hyperlink"/>
            <w:rFonts w:ascii="Arial" w:eastAsia="Batang" w:hAnsi="Arial" w:cs="Arial"/>
            <w:sz w:val="22"/>
            <w:szCs w:val="22"/>
            <w:lang w:eastAsia="es-ES_tradnl"/>
          </w:rPr>
          <w:t>Guía ambiental y social para el financiamiento de la actividad agroindustrial en el Paraguay</w:t>
        </w:r>
      </w:hyperlink>
    </w:p>
    <w:p w14:paraId="7CFFBDD1" w14:textId="77777777" w:rsidR="00152BF3" w:rsidRDefault="00152BF3" w:rsidP="007038DC">
      <w:pPr>
        <w:jc w:val="both"/>
        <w:rPr>
          <w:rFonts w:ascii="Arial" w:eastAsia="Batang" w:hAnsi="Arial" w:cs="Arial"/>
          <w:sz w:val="22"/>
          <w:szCs w:val="22"/>
          <w:lang w:eastAsia="es-ES_tradnl"/>
        </w:rPr>
      </w:pPr>
    </w:p>
    <w:p w14:paraId="10D64F7E" w14:textId="63AEC0EF" w:rsidR="00152BF3" w:rsidRDefault="00851F42" w:rsidP="007038DC">
      <w:pPr>
        <w:jc w:val="both"/>
        <w:rPr>
          <w:rFonts w:ascii="Arial" w:eastAsia="Batang" w:hAnsi="Arial" w:cs="Arial"/>
          <w:sz w:val="22"/>
          <w:szCs w:val="22"/>
          <w:lang w:eastAsia="es-ES_tradnl"/>
        </w:rPr>
      </w:pPr>
      <w:hyperlink r:id="rId22" w:history="1">
        <w:r w:rsidR="00152BF3" w:rsidRPr="00B64FCC">
          <w:rPr>
            <w:rStyle w:val="Hyperlink"/>
            <w:rFonts w:ascii="Arial" w:eastAsia="Batang" w:hAnsi="Arial" w:cs="Arial"/>
            <w:sz w:val="22"/>
            <w:szCs w:val="22"/>
            <w:lang w:eastAsia="es-ES_tradnl"/>
          </w:rPr>
          <w:t>Guía ambiental y social para el financiamiento del sector ganadero en el Paraguay</w:t>
        </w:r>
      </w:hyperlink>
    </w:p>
    <w:p w14:paraId="075322E9" w14:textId="1BAF95FE" w:rsidR="00152BF3" w:rsidRPr="00B64FCC" w:rsidRDefault="00152BF3">
      <w:pPr>
        <w:rPr>
          <w:rFonts w:ascii="Arial" w:eastAsia="Batang" w:hAnsi="Arial" w:cs="Arial"/>
          <w:sz w:val="22"/>
          <w:szCs w:val="22"/>
          <w:lang w:val="es-ES_tradnl" w:eastAsia="es-ES_tradnl"/>
        </w:rPr>
      </w:pPr>
    </w:p>
    <w:p w14:paraId="5CE7EF8A" w14:textId="7D6DE5A9" w:rsidR="00152BF3" w:rsidRPr="00B64FCC" w:rsidRDefault="00152BF3">
      <w:pPr>
        <w:rPr>
          <w:rFonts w:ascii="Arial" w:eastAsia="Batang" w:hAnsi="Arial" w:cs="Arial"/>
          <w:sz w:val="22"/>
          <w:szCs w:val="22"/>
          <w:lang w:val="es-ES_tradnl" w:eastAsia="es-ES_tradnl"/>
        </w:rPr>
      </w:pPr>
      <w:r w:rsidRPr="00B64FCC">
        <w:rPr>
          <w:rFonts w:ascii="Arial" w:eastAsia="Batang" w:hAnsi="Arial" w:cs="Arial"/>
          <w:sz w:val="22"/>
          <w:szCs w:val="22"/>
          <w:lang w:val="es-ES_tradnl" w:eastAsia="es-ES_tradnl"/>
        </w:rPr>
        <w:br w:type="page"/>
      </w:r>
    </w:p>
    <w:p w14:paraId="1F7F5EEE" w14:textId="6F2C3D77" w:rsidR="008F5E45" w:rsidRPr="00B64FCC" w:rsidRDefault="008F5E45" w:rsidP="00885C82">
      <w:pPr>
        <w:pStyle w:val="Paragraph"/>
        <w:numPr>
          <w:ilvl w:val="0"/>
          <w:numId w:val="0"/>
        </w:numPr>
        <w:ind w:left="720" w:hanging="720"/>
        <w:rPr>
          <w:rFonts w:ascii="Arial" w:eastAsia="Batang" w:hAnsi="Arial" w:cs="Arial"/>
          <w:b/>
          <w:sz w:val="22"/>
          <w:szCs w:val="22"/>
          <w:lang w:eastAsia="es-ES_tradnl"/>
        </w:rPr>
      </w:pPr>
      <w:r w:rsidRPr="00B64FCC">
        <w:rPr>
          <w:rFonts w:ascii="Arial" w:eastAsia="Batang" w:hAnsi="Arial" w:cs="Arial"/>
          <w:b/>
          <w:sz w:val="22"/>
          <w:szCs w:val="22"/>
          <w:lang w:eastAsia="es-ES_tradnl"/>
        </w:rPr>
        <w:lastRenderedPageBreak/>
        <w:t xml:space="preserve">Anexo 3. Reporte ambiental y social anual </w:t>
      </w:r>
    </w:p>
    <w:p w14:paraId="0F3EF751" w14:textId="6B9182BC" w:rsidR="00822D41" w:rsidRDefault="00822D41" w:rsidP="00885C82">
      <w:pPr>
        <w:pStyle w:val="Paragraph"/>
        <w:numPr>
          <w:ilvl w:val="0"/>
          <w:numId w:val="0"/>
        </w:numPr>
        <w:ind w:left="720" w:hanging="720"/>
        <w:rPr>
          <w:rFonts w:ascii="Arial" w:eastAsia="Batang" w:hAnsi="Arial" w:cs="Arial"/>
          <w:sz w:val="22"/>
          <w:szCs w:val="22"/>
          <w:lang w:eastAsia="es-ES_tradnl"/>
        </w:rPr>
      </w:pPr>
      <w:r w:rsidRPr="00497FDF">
        <w:rPr>
          <w:rFonts w:ascii="Arial" w:eastAsia="Batang" w:hAnsi="Arial" w:cs="Arial"/>
          <w:sz w:val="22"/>
          <w:szCs w:val="22"/>
          <w:lang w:eastAsia="es-ES_tradnl"/>
        </w:rPr>
        <w:t>El reporte anual deberá incluir la información siguiente</w:t>
      </w:r>
      <w:r>
        <w:rPr>
          <w:rFonts w:ascii="Arial" w:eastAsia="Batang" w:hAnsi="Arial" w:cs="Arial"/>
          <w:sz w:val="22"/>
          <w:szCs w:val="22"/>
          <w:lang w:eastAsia="es-ES_tradnl"/>
        </w:rPr>
        <w:t>:</w:t>
      </w:r>
    </w:p>
    <w:p w14:paraId="48515830" w14:textId="1ADBAD5D" w:rsidR="00822D41" w:rsidRDefault="00822D41" w:rsidP="00822D41">
      <w:pPr>
        <w:pStyle w:val="Paragraph"/>
        <w:numPr>
          <w:ilvl w:val="0"/>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Datos de cartera </w:t>
      </w:r>
    </w:p>
    <w:tbl>
      <w:tblPr>
        <w:tblW w:w="11460" w:type="dxa"/>
        <w:jc w:val="center"/>
        <w:tblLook w:val="04A0" w:firstRow="1" w:lastRow="0" w:firstColumn="1" w:lastColumn="0" w:noHBand="0" w:noVBand="1"/>
      </w:tblPr>
      <w:tblGrid>
        <w:gridCol w:w="1437"/>
        <w:gridCol w:w="1420"/>
        <w:gridCol w:w="1600"/>
        <w:gridCol w:w="1077"/>
        <w:gridCol w:w="1077"/>
        <w:gridCol w:w="1600"/>
        <w:gridCol w:w="1600"/>
        <w:gridCol w:w="1920"/>
      </w:tblGrid>
      <w:tr w:rsidR="00822D41" w:rsidRPr="00822D41" w14:paraId="493F3CC4" w14:textId="77777777" w:rsidTr="006C290C">
        <w:trPr>
          <w:trHeight w:val="288"/>
          <w:jc w:val="center"/>
        </w:trPr>
        <w:tc>
          <w:tcPr>
            <w:tcW w:w="4300" w:type="dxa"/>
            <w:gridSpan w:val="3"/>
            <w:tcBorders>
              <w:top w:val="single" w:sz="4" w:space="0" w:color="auto"/>
              <w:left w:val="single" w:sz="4" w:space="0" w:color="auto"/>
              <w:bottom w:val="single" w:sz="4" w:space="0" w:color="auto"/>
              <w:right w:val="nil"/>
            </w:tcBorders>
            <w:shd w:val="clear" w:color="auto" w:fill="auto"/>
            <w:noWrap/>
            <w:vAlign w:val="bottom"/>
            <w:hideMark/>
          </w:tcPr>
          <w:p w14:paraId="366DD838" w14:textId="77777777" w:rsidR="00822D41" w:rsidRPr="00822D41" w:rsidRDefault="00822D41" w:rsidP="00822D41">
            <w:pPr>
              <w:rPr>
                <w:rFonts w:ascii="Arial" w:hAnsi="Arial" w:cs="Arial"/>
                <w:color w:val="000000"/>
                <w:sz w:val="22"/>
                <w:szCs w:val="22"/>
                <w:lang w:val="en-US" w:eastAsia="en-US"/>
              </w:rPr>
            </w:pPr>
            <w:proofErr w:type="spellStart"/>
            <w:r w:rsidRPr="00822D41">
              <w:rPr>
                <w:rFonts w:ascii="Arial" w:hAnsi="Arial" w:cs="Arial"/>
                <w:color w:val="000000"/>
                <w:sz w:val="22"/>
                <w:szCs w:val="22"/>
                <w:lang w:val="en-US" w:eastAsia="en-US"/>
              </w:rPr>
              <w:t>Cifras</w:t>
            </w:r>
            <w:proofErr w:type="spellEnd"/>
            <w:r w:rsidRPr="00822D41">
              <w:rPr>
                <w:rFonts w:ascii="Arial" w:hAnsi="Arial" w:cs="Arial"/>
                <w:color w:val="000000"/>
                <w:sz w:val="22"/>
                <w:szCs w:val="22"/>
                <w:lang w:val="en-US" w:eastAsia="en-US"/>
              </w:rPr>
              <w:t xml:space="preserve"> al sector </w:t>
            </w:r>
            <w:proofErr w:type="spellStart"/>
            <w:r w:rsidRPr="00822D41">
              <w:rPr>
                <w:rFonts w:ascii="Arial" w:hAnsi="Arial" w:cs="Arial"/>
                <w:color w:val="000000"/>
                <w:sz w:val="22"/>
                <w:szCs w:val="22"/>
                <w:lang w:val="en-US" w:eastAsia="en-US"/>
              </w:rPr>
              <w:t>agropecuario</w:t>
            </w:r>
            <w:proofErr w:type="spellEnd"/>
          </w:p>
        </w:tc>
        <w:tc>
          <w:tcPr>
            <w:tcW w:w="1020" w:type="dxa"/>
            <w:tcBorders>
              <w:top w:val="single" w:sz="4" w:space="0" w:color="auto"/>
              <w:left w:val="nil"/>
              <w:bottom w:val="single" w:sz="4" w:space="0" w:color="auto"/>
              <w:right w:val="nil"/>
            </w:tcBorders>
            <w:shd w:val="clear" w:color="auto" w:fill="auto"/>
            <w:noWrap/>
            <w:vAlign w:val="bottom"/>
            <w:hideMark/>
          </w:tcPr>
          <w:p w14:paraId="2F0CB882" w14:textId="77777777" w:rsidR="00822D41" w:rsidRPr="00822D41" w:rsidRDefault="00822D41" w:rsidP="00822D41">
            <w:pPr>
              <w:jc w:val="center"/>
              <w:rPr>
                <w:rFonts w:ascii="Calibri" w:hAnsi="Calibri" w:cs="Calibri"/>
                <w:color w:val="000000"/>
                <w:sz w:val="22"/>
                <w:szCs w:val="22"/>
                <w:lang w:val="en-US" w:eastAsia="en-US"/>
              </w:rPr>
            </w:pPr>
            <w:r w:rsidRPr="00822D41">
              <w:rPr>
                <w:rFonts w:ascii="Calibri" w:hAnsi="Calibri" w:cs="Calibri"/>
                <w:color w:val="000000"/>
                <w:sz w:val="22"/>
                <w:szCs w:val="22"/>
                <w:lang w:val="en-US" w:eastAsia="en-US"/>
              </w:rPr>
              <w:t> </w:t>
            </w:r>
          </w:p>
        </w:tc>
        <w:tc>
          <w:tcPr>
            <w:tcW w:w="1020" w:type="dxa"/>
            <w:tcBorders>
              <w:top w:val="single" w:sz="4" w:space="0" w:color="auto"/>
              <w:left w:val="nil"/>
              <w:bottom w:val="single" w:sz="4" w:space="0" w:color="auto"/>
              <w:right w:val="nil"/>
            </w:tcBorders>
            <w:shd w:val="clear" w:color="auto" w:fill="auto"/>
            <w:noWrap/>
            <w:vAlign w:val="bottom"/>
            <w:hideMark/>
          </w:tcPr>
          <w:p w14:paraId="160F16BD" w14:textId="77777777" w:rsidR="00822D41" w:rsidRPr="00822D41" w:rsidRDefault="00822D41" w:rsidP="00822D41">
            <w:pPr>
              <w:jc w:val="center"/>
              <w:rPr>
                <w:rFonts w:ascii="Calibri" w:hAnsi="Calibri" w:cs="Calibri"/>
                <w:color w:val="000000"/>
                <w:sz w:val="22"/>
                <w:szCs w:val="22"/>
                <w:lang w:val="en-US" w:eastAsia="en-US"/>
              </w:rPr>
            </w:pPr>
            <w:r w:rsidRPr="00822D41">
              <w:rPr>
                <w:rFonts w:ascii="Calibri" w:hAnsi="Calibri" w:cs="Calibri"/>
                <w:color w:val="000000"/>
                <w:sz w:val="22"/>
                <w:szCs w:val="22"/>
                <w:lang w:val="en-US" w:eastAsia="en-US"/>
              </w:rPr>
              <w:t> </w:t>
            </w:r>
          </w:p>
        </w:tc>
        <w:tc>
          <w:tcPr>
            <w:tcW w:w="1600" w:type="dxa"/>
            <w:tcBorders>
              <w:top w:val="single" w:sz="4" w:space="0" w:color="auto"/>
              <w:left w:val="nil"/>
              <w:bottom w:val="single" w:sz="4" w:space="0" w:color="auto"/>
              <w:right w:val="nil"/>
            </w:tcBorders>
            <w:shd w:val="clear" w:color="auto" w:fill="auto"/>
            <w:noWrap/>
            <w:vAlign w:val="bottom"/>
            <w:hideMark/>
          </w:tcPr>
          <w:p w14:paraId="5BE81D63" w14:textId="77777777" w:rsidR="00822D41" w:rsidRPr="00822D41" w:rsidRDefault="00822D41" w:rsidP="00822D41">
            <w:pPr>
              <w:jc w:val="right"/>
              <w:rPr>
                <w:rFonts w:ascii="Calibri" w:hAnsi="Calibri" w:cs="Calibri"/>
                <w:color w:val="000000"/>
                <w:sz w:val="22"/>
                <w:szCs w:val="22"/>
                <w:lang w:val="en-US" w:eastAsia="en-US"/>
              </w:rPr>
            </w:pPr>
            <w:r w:rsidRPr="00822D41">
              <w:rPr>
                <w:rFonts w:ascii="Calibri" w:hAnsi="Calibri" w:cs="Calibri"/>
                <w:color w:val="000000"/>
                <w:sz w:val="22"/>
                <w:szCs w:val="22"/>
                <w:lang w:val="en-US" w:eastAsia="en-US"/>
              </w:rPr>
              <w:t> </w:t>
            </w:r>
          </w:p>
        </w:tc>
        <w:tc>
          <w:tcPr>
            <w:tcW w:w="1600" w:type="dxa"/>
            <w:tcBorders>
              <w:top w:val="single" w:sz="4" w:space="0" w:color="auto"/>
              <w:left w:val="nil"/>
              <w:bottom w:val="single" w:sz="4" w:space="0" w:color="auto"/>
              <w:right w:val="nil"/>
            </w:tcBorders>
            <w:shd w:val="clear" w:color="auto" w:fill="auto"/>
            <w:noWrap/>
            <w:vAlign w:val="bottom"/>
            <w:hideMark/>
          </w:tcPr>
          <w:p w14:paraId="72BC38CD" w14:textId="77777777" w:rsidR="00822D41" w:rsidRPr="00822D41" w:rsidRDefault="00822D41" w:rsidP="00822D41">
            <w:pPr>
              <w:jc w:val="center"/>
              <w:rPr>
                <w:rFonts w:ascii="Calibri" w:hAnsi="Calibri" w:cs="Calibri"/>
                <w:color w:val="000000"/>
                <w:sz w:val="22"/>
                <w:szCs w:val="22"/>
                <w:lang w:val="en-US" w:eastAsia="en-US"/>
              </w:rPr>
            </w:pPr>
            <w:r w:rsidRPr="00822D41">
              <w:rPr>
                <w:rFonts w:ascii="Calibri" w:hAnsi="Calibri" w:cs="Calibri"/>
                <w:color w:val="000000"/>
                <w:sz w:val="22"/>
                <w:szCs w:val="22"/>
                <w:lang w:val="en-US" w:eastAsia="en-US"/>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39DC0882" w14:textId="77777777" w:rsidR="00822D41" w:rsidRPr="00822D41" w:rsidRDefault="00822D41" w:rsidP="00822D41">
            <w:pPr>
              <w:rPr>
                <w:rFonts w:ascii="Calibri" w:hAnsi="Calibri" w:cs="Calibri"/>
                <w:color w:val="000000"/>
                <w:sz w:val="22"/>
                <w:szCs w:val="22"/>
                <w:lang w:val="en-US" w:eastAsia="en-US"/>
              </w:rPr>
            </w:pPr>
            <w:r w:rsidRPr="00822D41">
              <w:rPr>
                <w:rFonts w:ascii="Calibri" w:hAnsi="Calibri" w:cs="Calibri"/>
                <w:color w:val="000000"/>
                <w:sz w:val="22"/>
                <w:szCs w:val="22"/>
                <w:lang w:val="en-US" w:eastAsia="en-US"/>
              </w:rPr>
              <w:t> </w:t>
            </w:r>
          </w:p>
        </w:tc>
      </w:tr>
      <w:tr w:rsidR="00822D41" w:rsidRPr="00822D41" w14:paraId="244D0C27" w14:textId="77777777" w:rsidTr="006C290C">
        <w:trPr>
          <w:trHeight w:val="1212"/>
          <w:jc w:val="center"/>
        </w:trPr>
        <w:tc>
          <w:tcPr>
            <w:tcW w:w="1280" w:type="dxa"/>
            <w:tcBorders>
              <w:top w:val="nil"/>
              <w:left w:val="single" w:sz="4" w:space="0" w:color="auto"/>
              <w:bottom w:val="single" w:sz="4" w:space="0" w:color="auto"/>
              <w:right w:val="single" w:sz="4" w:space="0" w:color="auto"/>
            </w:tcBorders>
            <w:shd w:val="clear" w:color="000000" w:fill="A5A5A5"/>
            <w:vAlign w:val="center"/>
            <w:hideMark/>
          </w:tcPr>
          <w:p w14:paraId="1A0B075E" w14:textId="78024197" w:rsidR="00822D41" w:rsidRPr="00822D41" w:rsidRDefault="006C290C" w:rsidP="00822D41">
            <w:pPr>
              <w:jc w:val="right"/>
              <w:rPr>
                <w:rFonts w:ascii="Arial" w:hAnsi="Arial" w:cs="Arial"/>
                <w:b/>
                <w:bCs/>
                <w:color w:val="000000"/>
                <w:sz w:val="18"/>
                <w:szCs w:val="18"/>
                <w:lang w:val="en-US" w:eastAsia="en-US"/>
              </w:rPr>
            </w:pPr>
            <w:proofErr w:type="spellStart"/>
            <w:r>
              <w:rPr>
                <w:rFonts w:ascii="Arial" w:hAnsi="Arial" w:cs="Arial"/>
                <w:b/>
                <w:bCs/>
                <w:color w:val="000000"/>
                <w:sz w:val="18"/>
                <w:szCs w:val="18"/>
                <w:lang w:val="en-US" w:eastAsia="en-US"/>
              </w:rPr>
              <w:t>Productos</w:t>
            </w:r>
            <w:proofErr w:type="spellEnd"/>
            <w:r w:rsidR="00822D41" w:rsidRPr="00822D41">
              <w:rPr>
                <w:rFonts w:ascii="Arial" w:hAnsi="Arial" w:cs="Arial"/>
                <w:b/>
                <w:bCs/>
                <w:color w:val="000000"/>
                <w:sz w:val="18"/>
                <w:szCs w:val="18"/>
                <w:lang w:val="en-US" w:eastAsia="en-US"/>
              </w:rPr>
              <w:t> </w:t>
            </w:r>
          </w:p>
        </w:tc>
        <w:tc>
          <w:tcPr>
            <w:tcW w:w="1420" w:type="dxa"/>
            <w:tcBorders>
              <w:top w:val="nil"/>
              <w:left w:val="nil"/>
              <w:bottom w:val="single" w:sz="4" w:space="0" w:color="auto"/>
              <w:right w:val="single" w:sz="4" w:space="0" w:color="auto"/>
            </w:tcBorders>
            <w:shd w:val="clear" w:color="000000" w:fill="A5A5A5"/>
            <w:vAlign w:val="center"/>
            <w:hideMark/>
          </w:tcPr>
          <w:p w14:paraId="342664A9" w14:textId="77777777" w:rsidR="00822D41" w:rsidRPr="00822D41" w:rsidRDefault="00822D41" w:rsidP="006C290C">
            <w:pPr>
              <w:jc w:val="center"/>
              <w:rPr>
                <w:rFonts w:ascii="Arial" w:hAnsi="Arial" w:cs="Arial"/>
                <w:b/>
                <w:bCs/>
                <w:color w:val="000000"/>
                <w:sz w:val="18"/>
                <w:szCs w:val="18"/>
                <w:lang w:val="en-US" w:eastAsia="en-US"/>
              </w:rPr>
            </w:pPr>
            <w:proofErr w:type="spellStart"/>
            <w:r w:rsidRPr="00822D41">
              <w:rPr>
                <w:rFonts w:ascii="Arial" w:hAnsi="Arial" w:cs="Arial"/>
                <w:b/>
                <w:bCs/>
                <w:color w:val="000000"/>
                <w:sz w:val="18"/>
                <w:szCs w:val="18"/>
                <w:lang w:val="en-US" w:eastAsia="en-US"/>
              </w:rPr>
              <w:t>Montos</w:t>
            </w:r>
            <w:proofErr w:type="spellEnd"/>
            <w:r w:rsidRPr="00822D41">
              <w:rPr>
                <w:rFonts w:ascii="Arial" w:hAnsi="Arial" w:cs="Arial"/>
                <w:b/>
                <w:bCs/>
                <w:color w:val="000000"/>
                <w:sz w:val="18"/>
                <w:szCs w:val="18"/>
                <w:lang w:val="en-US" w:eastAsia="en-US"/>
              </w:rPr>
              <w:t xml:space="preserve"> (</w:t>
            </w:r>
            <w:proofErr w:type="spellStart"/>
            <w:r w:rsidRPr="00822D41">
              <w:rPr>
                <w:rFonts w:ascii="Arial" w:hAnsi="Arial" w:cs="Arial"/>
                <w:b/>
                <w:bCs/>
                <w:color w:val="000000"/>
                <w:sz w:val="18"/>
                <w:szCs w:val="18"/>
                <w:lang w:val="en-US" w:eastAsia="en-US"/>
              </w:rPr>
              <w:t>en</w:t>
            </w:r>
            <w:proofErr w:type="spellEnd"/>
            <w:r w:rsidRPr="00822D41">
              <w:rPr>
                <w:rFonts w:ascii="Arial" w:hAnsi="Arial" w:cs="Arial"/>
                <w:b/>
                <w:bCs/>
                <w:color w:val="000000"/>
                <w:sz w:val="18"/>
                <w:szCs w:val="18"/>
                <w:lang w:val="en-US" w:eastAsia="en-US"/>
              </w:rPr>
              <w:t xml:space="preserve"> US$)</w:t>
            </w:r>
          </w:p>
        </w:tc>
        <w:tc>
          <w:tcPr>
            <w:tcW w:w="1600" w:type="dxa"/>
            <w:tcBorders>
              <w:top w:val="nil"/>
              <w:left w:val="nil"/>
              <w:bottom w:val="single" w:sz="4" w:space="0" w:color="auto"/>
              <w:right w:val="single" w:sz="4" w:space="0" w:color="auto"/>
            </w:tcBorders>
            <w:shd w:val="clear" w:color="000000" w:fill="A5A5A5"/>
            <w:vAlign w:val="center"/>
            <w:hideMark/>
          </w:tcPr>
          <w:p w14:paraId="3FF0741F" w14:textId="77777777" w:rsidR="00822D41" w:rsidRPr="00497FDF" w:rsidRDefault="00822D41" w:rsidP="006C290C">
            <w:pPr>
              <w:jc w:val="center"/>
              <w:rPr>
                <w:rFonts w:ascii="Arial" w:hAnsi="Arial" w:cs="Arial"/>
                <w:b/>
                <w:bCs/>
                <w:color w:val="000000"/>
                <w:sz w:val="18"/>
                <w:szCs w:val="18"/>
                <w:lang w:val="es-ES_tradnl" w:eastAsia="en-US"/>
              </w:rPr>
            </w:pPr>
            <w:r w:rsidRPr="00497FDF">
              <w:rPr>
                <w:rFonts w:ascii="Arial" w:hAnsi="Arial" w:cs="Arial"/>
                <w:b/>
                <w:bCs/>
                <w:color w:val="000000"/>
                <w:sz w:val="18"/>
                <w:szCs w:val="18"/>
                <w:lang w:val="es-ES_tradnl" w:eastAsia="en-US"/>
              </w:rPr>
              <w:t>% por producto de la cartera total de AFD al sector agropecuario</w:t>
            </w:r>
          </w:p>
        </w:tc>
        <w:tc>
          <w:tcPr>
            <w:tcW w:w="1020" w:type="dxa"/>
            <w:tcBorders>
              <w:top w:val="nil"/>
              <w:left w:val="nil"/>
              <w:bottom w:val="single" w:sz="4" w:space="0" w:color="auto"/>
              <w:right w:val="single" w:sz="4" w:space="0" w:color="auto"/>
            </w:tcBorders>
            <w:shd w:val="clear" w:color="000000" w:fill="A5A5A5"/>
            <w:vAlign w:val="center"/>
            <w:hideMark/>
          </w:tcPr>
          <w:p w14:paraId="06A3A31B" w14:textId="390B1BF7" w:rsidR="00822D41" w:rsidRPr="00822D41" w:rsidRDefault="00822D41" w:rsidP="006C290C">
            <w:pPr>
              <w:jc w:val="center"/>
              <w:rPr>
                <w:rFonts w:ascii="Arial" w:hAnsi="Arial" w:cs="Arial"/>
                <w:b/>
                <w:bCs/>
                <w:color w:val="000000"/>
                <w:sz w:val="18"/>
                <w:szCs w:val="18"/>
                <w:lang w:val="en-US" w:eastAsia="en-US"/>
              </w:rPr>
            </w:pPr>
            <w:proofErr w:type="spellStart"/>
            <w:r w:rsidRPr="00822D41">
              <w:rPr>
                <w:rFonts w:ascii="Arial" w:hAnsi="Arial" w:cs="Arial"/>
                <w:b/>
                <w:bCs/>
                <w:color w:val="000000"/>
                <w:sz w:val="18"/>
                <w:szCs w:val="18"/>
                <w:lang w:val="en-US" w:eastAsia="en-US"/>
              </w:rPr>
              <w:t>Numero</w:t>
            </w:r>
            <w:proofErr w:type="spellEnd"/>
            <w:r w:rsidRPr="00822D41">
              <w:rPr>
                <w:rFonts w:ascii="Arial" w:hAnsi="Arial" w:cs="Arial"/>
                <w:b/>
                <w:bCs/>
                <w:color w:val="000000"/>
                <w:sz w:val="18"/>
                <w:szCs w:val="18"/>
                <w:lang w:val="en-US" w:eastAsia="en-US"/>
              </w:rPr>
              <w:t xml:space="preserve"> de </w:t>
            </w:r>
            <w:proofErr w:type="spellStart"/>
            <w:r w:rsidRPr="00822D41">
              <w:rPr>
                <w:rFonts w:ascii="Arial" w:hAnsi="Arial" w:cs="Arial"/>
                <w:b/>
                <w:bCs/>
                <w:color w:val="000000"/>
                <w:sz w:val="18"/>
                <w:szCs w:val="18"/>
                <w:lang w:val="en-US" w:eastAsia="en-US"/>
              </w:rPr>
              <w:t>proyectos</w:t>
            </w:r>
            <w:proofErr w:type="spellEnd"/>
          </w:p>
        </w:tc>
        <w:tc>
          <w:tcPr>
            <w:tcW w:w="1020" w:type="dxa"/>
            <w:tcBorders>
              <w:top w:val="nil"/>
              <w:left w:val="nil"/>
              <w:bottom w:val="single" w:sz="4" w:space="0" w:color="auto"/>
              <w:right w:val="single" w:sz="4" w:space="0" w:color="auto"/>
            </w:tcBorders>
            <w:shd w:val="clear" w:color="000000" w:fill="A5A5A5"/>
            <w:vAlign w:val="center"/>
            <w:hideMark/>
          </w:tcPr>
          <w:p w14:paraId="4EB4EE1E" w14:textId="77777777" w:rsidR="00822D41" w:rsidRPr="00BD3ACD" w:rsidRDefault="00822D41" w:rsidP="006C290C">
            <w:pPr>
              <w:jc w:val="center"/>
              <w:rPr>
                <w:rFonts w:ascii="Arial" w:hAnsi="Arial" w:cs="Arial"/>
                <w:b/>
                <w:bCs/>
                <w:color w:val="000000"/>
                <w:sz w:val="18"/>
                <w:szCs w:val="18"/>
                <w:lang w:val="es-ES" w:eastAsia="en-US"/>
              </w:rPr>
            </w:pPr>
            <w:proofErr w:type="spellStart"/>
            <w:r w:rsidRPr="00BD3ACD">
              <w:rPr>
                <w:rFonts w:ascii="Arial" w:hAnsi="Arial" w:cs="Arial"/>
                <w:b/>
                <w:bCs/>
                <w:color w:val="000000"/>
                <w:sz w:val="18"/>
                <w:szCs w:val="18"/>
                <w:lang w:val="es-ES" w:eastAsia="en-US"/>
              </w:rPr>
              <w:t>Numero</w:t>
            </w:r>
            <w:proofErr w:type="spellEnd"/>
            <w:r w:rsidRPr="00BD3ACD">
              <w:rPr>
                <w:rFonts w:ascii="Arial" w:hAnsi="Arial" w:cs="Arial"/>
                <w:b/>
                <w:bCs/>
                <w:color w:val="000000"/>
                <w:sz w:val="18"/>
                <w:szCs w:val="18"/>
                <w:lang w:val="es-ES" w:eastAsia="en-US"/>
              </w:rPr>
              <w:t xml:space="preserve"> de proyectos de </w:t>
            </w:r>
            <w:proofErr w:type="spellStart"/>
            <w:r w:rsidRPr="00BD3ACD">
              <w:rPr>
                <w:rFonts w:ascii="Arial" w:hAnsi="Arial" w:cs="Arial"/>
                <w:b/>
                <w:bCs/>
                <w:color w:val="000000"/>
                <w:sz w:val="18"/>
                <w:szCs w:val="18"/>
                <w:lang w:val="es-ES" w:eastAsia="en-US"/>
              </w:rPr>
              <w:t>mas</w:t>
            </w:r>
            <w:proofErr w:type="spellEnd"/>
            <w:r w:rsidRPr="00BD3ACD">
              <w:rPr>
                <w:rFonts w:ascii="Arial" w:hAnsi="Arial" w:cs="Arial"/>
                <w:b/>
                <w:bCs/>
                <w:color w:val="000000"/>
                <w:sz w:val="18"/>
                <w:szCs w:val="18"/>
                <w:lang w:val="es-ES" w:eastAsia="en-US"/>
              </w:rPr>
              <w:t xml:space="preserve"> de 300kUS$</w:t>
            </w:r>
          </w:p>
        </w:tc>
        <w:tc>
          <w:tcPr>
            <w:tcW w:w="1600" w:type="dxa"/>
            <w:tcBorders>
              <w:top w:val="nil"/>
              <w:left w:val="nil"/>
              <w:bottom w:val="single" w:sz="4" w:space="0" w:color="auto"/>
              <w:right w:val="single" w:sz="4" w:space="0" w:color="auto"/>
            </w:tcBorders>
            <w:shd w:val="clear" w:color="000000" w:fill="A5A5A5"/>
            <w:vAlign w:val="center"/>
            <w:hideMark/>
          </w:tcPr>
          <w:p w14:paraId="0E1FCE4B" w14:textId="7EB2CB3C" w:rsidR="00822D41" w:rsidRPr="00497FDF" w:rsidRDefault="00822D41" w:rsidP="006C290C">
            <w:pPr>
              <w:jc w:val="center"/>
              <w:rPr>
                <w:rFonts w:ascii="Arial" w:hAnsi="Arial" w:cs="Arial"/>
                <w:b/>
                <w:bCs/>
                <w:color w:val="000000"/>
                <w:sz w:val="18"/>
                <w:szCs w:val="18"/>
                <w:lang w:val="es-ES_tradnl" w:eastAsia="en-US"/>
              </w:rPr>
            </w:pPr>
            <w:r w:rsidRPr="00497FDF">
              <w:rPr>
                <w:rFonts w:ascii="Arial" w:hAnsi="Arial" w:cs="Arial"/>
                <w:b/>
                <w:bCs/>
                <w:color w:val="000000"/>
                <w:sz w:val="18"/>
                <w:szCs w:val="18"/>
                <w:lang w:val="es-ES_tradnl" w:eastAsia="en-US"/>
              </w:rPr>
              <w:t>Limite por subproyecto [</w:t>
            </w:r>
            <w:r w:rsidR="007038DC" w:rsidRPr="00497FDF">
              <w:rPr>
                <w:rFonts w:ascii="Arial" w:hAnsi="Arial" w:cs="Arial"/>
                <w:b/>
                <w:bCs/>
                <w:color w:val="000000"/>
                <w:sz w:val="18"/>
                <w:szCs w:val="18"/>
                <w:lang w:val="es-ES_tradnl" w:eastAsia="en-US"/>
              </w:rPr>
              <w:t>según</w:t>
            </w:r>
            <w:r w:rsidRPr="00497FDF">
              <w:rPr>
                <w:rFonts w:ascii="Arial" w:hAnsi="Arial" w:cs="Arial"/>
                <w:b/>
                <w:bCs/>
                <w:color w:val="000000"/>
                <w:sz w:val="18"/>
                <w:szCs w:val="18"/>
                <w:lang w:val="es-ES_tradnl" w:eastAsia="en-US"/>
              </w:rPr>
              <w:t xml:space="preserve"> el manual de producto] (en US$)</w:t>
            </w:r>
          </w:p>
        </w:tc>
        <w:tc>
          <w:tcPr>
            <w:tcW w:w="1600" w:type="dxa"/>
            <w:tcBorders>
              <w:top w:val="nil"/>
              <w:left w:val="nil"/>
              <w:bottom w:val="single" w:sz="4" w:space="0" w:color="auto"/>
              <w:right w:val="single" w:sz="4" w:space="0" w:color="auto"/>
            </w:tcBorders>
            <w:shd w:val="clear" w:color="000000" w:fill="A5A5A5"/>
            <w:vAlign w:val="center"/>
            <w:hideMark/>
          </w:tcPr>
          <w:p w14:paraId="7539BB1B" w14:textId="77777777" w:rsidR="00822D41" w:rsidRPr="00497FDF" w:rsidRDefault="00822D41" w:rsidP="006C290C">
            <w:pPr>
              <w:jc w:val="center"/>
              <w:rPr>
                <w:rFonts w:ascii="Arial" w:hAnsi="Arial" w:cs="Arial"/>
                <w:b/>
                <w:bCs/>
                <w:color w:val="000000"/>
                <w:sz w:val="18"/>
                <w:szCs w:val="18"/>
                <w:lang w:val="es-ES_tradnl" w:eastAsia="en-US"/>
              </w:rPr>
            </w:pPr>
            <w:r w:rsidRPr="00497FDF">
              <w:rPr>
                <w:rFonts w:ascii="Arial" w:hAnsi="Arial" w:cs="Arial"/>
                <w:b/>
                <w:bCs/>
                <w:color w:val="000000"/>
                <w:sz w:val="18"/>
                <w:szCs w:val="18"/>
                <w:lang w:val="es-ES_tradnl" w:eastAsia="en-US"/>
              </w:rPr>
              <w:t>Monto promedio por subproyecto (en US$)</w:t>
            </w:r>
          </w:p>
        </w:tc>
        <w:tc>
          <w:tcPr>
            <w:tcW w:w="1920" w:type="dxa"/>
            <w:tcBorders>
              <w:top w:val="nil"/>
              <w:left w:val="nil"/>
              <w:bottom w:val="single" w:sz="4" w:space="0" w:color="auto"/>
              <w:right w:val="single" w:sz="4" w:space="0" w:color="auto"/>
            </w:tcBorders>
            <w:shd w:val="clear" w:color="000000" w:fill="A5A5A5"/>
            <w:vAlign w:val="center"/>
            <w:hideMark/>
          </w:tcPr>
          <w:p w14:paraId="42CBECED" w14:textId="77777777" w:rsidR="00822D41" w:rsidRPr="00BD3ACD" w:rsidRDefault="00822D41" w:rsidP="006C290C">
            <w:pPr>
              <w:jc w:val="center"/>
              <w:rPr>
                <w:rFonts w:ascii="Arial" w:hAnsi="Arial" w:cs="Arial"/>
                <w:b/>
                <w:bCs/>
                <w:color w:val="000000"/>
                <w:sz w:val="18"/>
                <w:szCs w:val="18"/>
                <w:lang w:val="es-ES" w:eastAsia="en-US"/>
              </w:rPr>
            </w:pPr>
            <w:r w:rsidRPr="00BD3ACD">
              <w:rPr>
                <w:rFonts w:ascii="Arial" w:hAnsi="Arial" w:cs="Arial"/>
                <w:b/>
                <w:bCs/>
                <w:color w:val="000000"/>
                <w:sz w:val="18"/>
                <w:szCs w:val="18"/>
                <w:lang w:val="es-ES" w:eastAsia="en-US"/>
              </w:rPr>
              <w:t xml:space="preserve">Monto </w:t>
            </w:r>
            <w:proofErr w:type="spellStart"/>
            <w:r w:rsidRPr="00BD3ACD">
              <w:rPr>
                <w:rFonts w:ascii="Arial" w:hAnsi="Arial" w:cs="Arial"/>
                <w:b/>
                <w:bCs/>
                <w:color w:val="000000"/>
                <w:sz w:val="18"/>
                <w:szCs w:val="18"/>
                <w:lang w:val="es-ES" w:eastAsia="en-US"/>
              </w:rPr>
              <w:t>Maximo</w:t>
            </w:r>
            <w:proofErr w:type="spellEnd"/>
            <w:r w:rsidRPr="00BD3ACD">
              <w:rPr>
                <w:rFonts w:ascii="Arial" w:hAnsi="Arial" w:cs="Arial"/>
                <w:b/>
                <w:bCs/>
                <w:color w:val="000000"/>
                <w:sz w:val="18"/>
                <w:szCs w:val="18"/>
                <w:lang w:val="es-ES" w:eastAsia="en-US"/>
              </w:rPr>
              <w:t xml:space="preserve"> (subproyecto </w:t>
            </w:r>
            <w:proofErr w:type="spellStart"/>
            <w:r w:rsidRPr="00BD3ACD">
              <w:rPr>
                <w:rFonts w:ascii="Arial" w:hAnsi="Arial" w:cs="Arial"/>
                <w:b/>
                <w:bCs/>
                <w:color w:val="000000"/>
                <w:sz w:val="18"/>
                <w:szCs w:val="18"/>
                <w:lang w:val="es-ES" w:eastAsia="en-US"/>
              </w:rPr>
              <w:t>mas</w:t>
            </w:r>
            <w:proofErr w:type="spellEnd"/>
            <w:r w:rsidRPr="00BD3ACD">
              <w:rPr>
                <w:rFonts w:ascii="Arial" w:hAnsi="Arial" w:cs="Arial"/>
                <w:b/>
                <w:bCs/>
                <w:color w:val="000000"/>
                <w:sz w:val="18"/>
                <w:szCs w:val="18"/>
                <w:lang w:val="es-ES" w:eastAsia="en-US"/>
              </w:rPr>
              <w:t xml:space="preserve"> grande financiado)</w:t>
            </w:r>
          </w:p>
        </w:tc>
      </w:tr>
      <w:tr w:rsidR="00822D41" w:rsidRPr="00822D41" w14:paraId="6A7F8763"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AD7F5A8"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FIMAGRO</w:t>
            </w:r>
          </w:p>
        </w:tc>
        <w:tc>
          <w:tcPr>
            <w:tcW w:w="1420" w:type="dxa"/>
            <w:tcBorders>
              <w:top w:val="nil"/>
              <w:left w:val="nil"/>
              <w:bottom w:val="single" w:sz="4" w:space="0" w:color="auto"/>
              <w:right w:val="single" w:sz="4" w:space="0" w:color="auto"/>
            </w:tcBorders>
            <w:shd w:val="clear" w:color="auto" w:fill="auto"/>
            <w:noWrap/>
            <w:vAlign w:val="bottom"/>
            <w:hideMark/>
          </w:tcPr>
          <w:p w14:paraId="09F7FE6F"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9E897FB"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3B1B3FBE"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1F692169"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F337444"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400143F"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6215698F"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52354048"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979C525"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MICREDITO</w:t>
            </w:r>
          </w:p>
        </w:tc>
        <w:tc>
          <w:tcPr>
            <w:tcW w:w="1420" w:type="dxa"/>
            <w:tcBorders>
              <w:top w:val="nil"/>
              <w:left w:val="nil"/>
              <w:bottom w:val="single" w:sz="4" w:space="0" w:color="auto"/>
              <w:right w:val="single" w:sz="4" w:space="0" w:color="auto"/>
            </w:tcBorders>
            <w:shd w:val="clear" w:color="auto" w:fill="auto"/>
            <w:noWrap/>
            <w:vAlign w:val="bottom"/>
            <w:hideMark/>
          </w:tcPr>
          <w:p w14:paraId="0F8CF0A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2CF96387"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766C0D9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000000" w:fill="AEAAAA"/>
            <w:noWrap/>
            <w:vAlign w:val="bottom"/>
            <w:hideMark/>
          </w:tcPr>
          <w:p w14:paraId="2A52CBCD"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xml:space="preserve">               -   </w:t>
            </w:r>
          </w:p>
        </w:tc>
        <w:tc>
          <w:tcPr>
            <w:tcW w:w="1600" w:type="dxa"/>
            <w:tcBorders>
              <w:top w:val="nil"/>
              <w:left w:val="nil"/>
              <w:bottom w:val="single" w:sz="4" w:space="0" w:color="auto"/>
              <w:right w:val="single" w:sz="4" w:space="0" w:color="auto"/>
            </w:tcBorders>
            <w:shd w:val="clear" w:color="auto" w:fill="auto"/>
            <w:noWrap/>
            <w:vAlign w:val="bottom"/>
            <w:hideMark/>
          </w:tcPr>
          <w:p w14:paraId="45613EE1"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EB61B8D"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6B4BB395"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7CE0296D"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EFEC63"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PROCAMPO</w:t>
            </w:r>
          </w:p>
        </w:tc>
        <w:tc>
          <w:tcPr>
            <w:tcW w:w="1420" w:type="dxa"/>
            <w:tcBorders>
              <w:top w:val="nil"/>
              <w:left w:val="nil"/>
              <w:bottom w:val="single" w:sz="4" w:space="0" w:color="auto"/>
              <w:right w:val="single" w:sz="4" w:space="0" w:color="auto"/>
            </w:tcBorders>
            <w:shd w:val="clear" w:color="auto" w:fill="auto"/>
            <w:noWrap/>
            <w:vAlign w:val="bottom"/>
            <w:hideMark/>
          </w:tcPr>
          <w:p w14:paraId="124C70D4"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99126D8"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708BFE4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45A74435"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CF091AD"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116D51"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5B9BA39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7076656C"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EA23CAC"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PROCOOP</w:t>
            </w:r>
          </w:p>
        </w:tc>
        <w:tc>
          <w:tcPr>
            <w:tcW w:w="1420" w:type="dxa"/>
            <w:tcBorders>
              <w:top w:val="nil"/>
              <w:left w:val="nil"/>
              <w:bottom w:val="single" w:sz="4" w:space="0" w:color="auto"/>
              <w:right w:val="single" w:sz="4" w:space="0" w:color="auto"/>
            </w:tcBorders>
            <w:shd w:val="clear" w:color="auto" w:fill="auto"/>
            <w:noWrap/>
            <w:vAlign w:val="bottom"/>
            <w:hideMark/>
          </w:tcPr>
          <w:p w14:paraId="70FE78E9"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6D716818"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32B35ED3"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2649931B"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6F9D2D1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D8246B"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2DFA2551"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76064BC7"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91DC7A4"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PROPYMES</w:t>
            </w:r>
          </w:p>
        </w:tc>
        <w:tc>
          <w:tcPr>
            <w:tcW w:w="1420" w:type="dxa"/>
            <w:tcBorders>
              <w:top w:val="nil"/>
              <w:left w:val="nil"/>
              <w:bottom w:val="single" w:sz="4" w:space="0" w:color="auto"/>
              <w:right w:val="single" w:sz="4" w:space="0" w:color="auto"/>
            </w:tcBorders>
            <w:shd w:val="clear" w:color="auto" w:fill="auto"/>
            <w:noWrap/>
            <w:vAlign w:val="bottom"/>
            <w:hideMark/>
          </w:tcPr>
          <w:p w14:paraId="5680852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818B01"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53BE6AAC"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4B0F22FF"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EBE7AAA"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C748010"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6C61910B"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521BD670" w14:textId="77777777" w:rsidTr="006C290C">
        <w:trPr>
          <w:trHeight w:val="288"/>
          <w:jc w:val="center"/>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A960A00"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PROREGADIO</w:t>
            </w:r>
          </w:p>
        </w:tc>
        <w:tc>
          <w:tcPr>
            <w:tcW w:w="1420" w:type="dxa"/>
            <w:tcBorders>
              <w:top w:val="nil"/>
              <w:left w:val="nil"/>
              <w:bottom w:val="single" w:sz="4" w:space="0" w:color="auto"/>
              <w:right w:val="single" w:sz="4" w:space="0" w:color="auto"/>
            </w:tcBorders>
            <w:shd w:val="clear" w:color="auto" w:fill="auto"/>
            <w:noWrap/>
            <w:vAlign w:val="bottom"/>
            <w:hideMark/>
          </w:tcPr>
          <w:p w14:paraId="190A93D2"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45D58F65"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2CEAE0B2"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49BADFAF"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2124204E"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1F8211D"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271B01AB" w14:textId="77777777" w:rsidR="00822D41" w:rsidRPr="00822D41" w:rsidRDefault="00822D41" w:rsidP="00822D41">
            <w:pPr>
              <w:jc w:val="right"/>
              <w:rPr>
                <w:rFonts w:ascii="Arial" w:hAnsi="Arial" w:cs="Arial"/>
                <w:color w:val="000000"/>
                <w:sz w:val="18"/>
                <w:szCs w:val="18"/>
                <w:lang w:val="en-US" w:eastAsia="en-US"/>
              </w:rPr>
            </w:pPr>
            <w:r w:rsidRPr="00822D41">
              <w:rPr>
                <w:rFonts w:ascii="Arial" w:hAnsi="Arial" w:cs="Arial"/>
                <w:color w:val="000000"/>
                <w:sz w:val="18"/>
                <w:szCs w:val="18"/>
                <w:lang w:val="en-US" w:eastAsia="en-US"/>
              </w:rPr>
              <w:t> </w:t>
            </w:r>
          </w:p>
        </w:tc>
      </w:tr>
      <w:tr w:rsidR="00822D41" w:rsidRPr="00822D41" w14:paraId="44CF5766" w14:textId="77777777" w:rsidTr="006C290C">
        <w:trPr>
          <w:trHeight w:val="480"/>
          <w:jc w:val="center"/>
        </w:trPr>
        <w:tc>
          <w:tcPr>
            <w:tcW w:w="1280" w:type="dxa"/>
            <w:tcBorders>
              <w:top w:val="nil"/>
              <w:left w:val="single" w:sz="4" w:space="0" w:color="auto"/>
              <w:bottom w:val="single" w:sz="4" w:space="0" w:color="auto"/>
              <w:right w:val="single" w:sz="4" w:space="0" w:color="auto"/>
            </w:tcBorders>
            <w:shd w:val="clear" w:color="auto" w:fill="auto"/>
            <w:vAlign w:val="bottom"/>
            <w:hideMark/>
          </w:tcPr>
          <w:p w14:paraId="10FE64F3"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xml:space="preserve">Total Sector </w:t>
            </w:r>
            <w:proofErr w:type="spellStart"/>
            <w:r w:rsidRPr="006C290C">
              <w:rPr>
                <w:rFonts w:ascii="Arial" w:hAnsi="Arial" w:cs="Arial"/>
                <w:b/>
                <w:color w:val="000000"/>
                <w:sz w:val="18"/>
                <w:szCs w:val="18"/>
                <w:lang w:val="en-US" w:eastAsia="en-US"/>
              </w:rPr>
              <w:t>Agropecuario</w:t>
            </w:r>
            <w:proofErr w:type="spellEnd"/>
          </w:p>
        </w:tc>
        <w:tc>
          <w:tcPr>
            <w:tcW w:w="1420" w:type="dxa"/>
            <w:tcBorders>
              <w:top w:val="nil"/>
              <w:left w:val="nil"/>
              <w:bottom w:val="single" w:sz="4" w:space="0" w:color="auto"/>
              <w:right w:val="single" w:sz="4" w:space="0" w:color="auto"/>
            </w:tcBorders>
            <w:shd w:val="clear" w:color="auto" w:fill="auto"/>
            <w:vAlign w:val="bottom"/>
            <w:hideMark/>
          </w:tcPr>
          <w:p w14:paraId="0A738517"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xml:space="preserve">                        -   </w:t>
            </w:r>
          </w:p>
        </w:tc>
        <w:tc>
          <w:tcPr>
            <w:tcW w:w="1600" w:type="dxa"/>
            <w:tcBorders>
              <w:top w:val="nil"/>
              <w:left w:val="nil"/>
              <w:bottom w:val="single" w:sz="4" w:space="0" w:color="auto"/>
              <w:right w:val="single" w:sz="4" w:space="0" w:color="auto"/>
            </w:tcBorders>
            <w:shd w:val="clear" w:color="auto" w:fill="auto"/>
            <w:noWrap/>
            <w:vAlign w:val="bottom"/>
            <w:hideMark/>
          </w:tcPr>
          <w:p w14:paraId="0CC5696C"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w:t>
            </w:r>
          </w:p>
        </w:tc>
        <w:tc>
          <w:tcPr>
            <w:tcW w:w="1020" w:type="dxa"/>
            <w:tcBorders>
              <w:top w:val="nil"/>
              <w:left w:val="nil"/>
              <w:bottom w:val="single" w:sz="4" w:space="0" w:color="auto"/>
              <w:right w:val="single" w:sz="4" w:space="0" w:color="auto"/>
            </w:tcBorders>
            <w:shd w:val="clear" w:color="auto" w:fill="auto"/>
            <w:noWrap/>
            <w:vAlign w:val="bottom"/>
            <w:hideMark/>
          </w:tcPr>
          <w:p w14:paraId="0C6A1234"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xml:space="preserve">               -   </w:t>
            </w:r>
          </w:p>
        </w:tc>
        <w:tc>
          <w:tcPr>
            <w:tcW w:w="1020" w:type="dxa"/>
            <w:tcBorders>
              <w:top w:val="nil"/>
              <w:left w:val="nil"/>
              <w:bottom w:val="single" w:sz="4" w:space="0" w:color="auto"/>
              <w:right w:val="single" w:sz="4" w:space="0" w:color="auto"/>
            </w:tcBorders>
            <w:shd w:val="clear" w:color="auto" w:fill="auto"/>
            <w:noWrap/>
            <w:vAlign w:val="bottom"/>
            <w:hideMark/>
          </w:tcPr>
          <w:p w14:paraId="5C4910AF"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7A11E176"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036E8B"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w:t>
            </w:r>
          </w:p>
        </w:tc>
        <w:tc>
          <w:tcPr>
            <w:tcW w:w="1920" w:type="dxa"/>
            <w:tcBorders>
              <w:top w:val="nil"/>
              <w:left w:val="nil"/>
              <w:bottom w:val="single" w:sz="4" w:space="0" w:color="auto"/>
              <w:right w:val="single" w:sz="4" w:space="0" w:color="auto"/>
            </w:tcBorders>
            <w:shd w:val="clear" w:color="auto" w:fill="auto"/>
            <w:noWrap/>
            <w:vAlign w:val="bottom"/>
            <w:hideMark/>
          </w:tcPr>
          <w:p w14:paraId="6DB49BF1" w14:textId="77777777" w:rsidR="00822D41" w:rsidRPr="006C290C" w:rsidRDefault="00822D41" w:rsidP="00822D41">
            <w:pPr>
              <w:jc w:val="right"/>
              <w:rPr>
                <w:rFonts w:ascii="Arial" w:hAnsi="Arial" w:cs="Arial"/>
                <w:b/>
                <w:color w:val="000000"/>
                <w:sz w:val="18"/>
                <w:szCs w:val="18"/>
                <w:lang w:val="en-US" w:eastAsia="en-US"/>
              </w:rPr>
            </w:pPr>
            <w:r w:rsidRPr="006C290C">
              <w:rPr>
                <w:rFonts w:ascii="Arial" w:hAnsi="Arial" w:cs="Arial"/>
                <w:b/>
                <w:color w:val="000000"/>
                <w:sz w:val="18"/>
                <w:szCs w:val="18"/>
                <w:lang w:val="en-US" w:eastAsia="en-US"/>
              </w:rPr>
              <w:t> </w:t>
            </w:r>
          </w:p>
        </w:tc>
      </w:tr>
    </w:tbl>
    <w:p w14:paraId="214A0A54" w14:textId="78969B81" w:rsidR="00822D41" w:rsidRDefault="00822D41" w:rsidP="00822D41">
      <w:pPr>
        <w:pStyle w:val="Paragraph"/>
        <w:numPr>
          <w:ilvl w:val="0"/>
          <w:numId w:val="0"/>
        </w:numPr>
        <w:ind w:left="1580" w:hanging="1296"/>
        <w:rPr>
          <w:rFonts w:ascii="Arial" w:eastAsia="Batang" w:hAnsi="Arial" w:cs="Arial"/>
          <w:sz w:val="22"/>
          <w:szCs w:val="22"/>
          <w:lang w:eastAsia="es-ES_tradnl"/>
        </w:rPr>
      </w:pPr>
    </w:p>
    <w:p w14:paraId="44D89215" w14:textId="1C7A5700" w:rsidR="00822D41" w:rsidRDefault="00497FDF" w:rsidP="00822D41">
      <w:pPr>
        <w:pStyle w:val="Paragraph"/>
        <w:numPr>
          <w:ilvl w:val="0"/>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Si la </w:t>
      </w:r>
      <w:r w:rsidR="006C290C">
        <w:rPr>
          <w:rFonts w:ascii="Arial" w:eastAsia="Batang" w:hAnsi="Arial" w:cs="Arial"/>
          <w:sz w:val="22"/>
          <w:szCs w:val="22"/>
          <w:lang w:eastAsia="es-ES_tradnl"/>
        </w:rPr>
        <w:t>hubiese</w:t>
      </w:r>
      <w:r>
        <w:rPr>
          <w:rFonts w:ascii="Arial" w:eastAsia="Batang" w:hAnsi="Arial" w:cs="Arial"/>
          <w:sz w:val="22"/>
          <w:szCs w:val="22"/>
          <w:lang w:eastAsia="es-ES_tradnl"/>
        </w:rPr>
        <w:t>, i</w:t>
      </w:r>
      <w:r w:rsidR="00822D41">
        <w:rPr>
          <w:rFonts w:ascii="Arial" w:eastAsia="Batang" w:hAnsi="Arial" w:cs="Arial"/>
          <w:sz w:val="22"/>
          <w:szCs w:val="22"/>
          <w:lang w:eastAsia="es-ES_tradnl"/>
        </w:rPr>
        <w:t>nformación socioambiental relevante sobre la cartera</w:t>
      </w:r>
      <w:r w:rsidR="006C290C">
        <w:rPr>
          <w:rFonts w:ascii="Arial" w:eastAsia="Batang" w:hAnsi="Arial" w:cs="Arial"/>
          <w:sz w:val="22"/>
          <w:szCs w:val="22"/>
          <w:lang w:eastAsia="es-ES_tradnl"/>
        </w:rPr>
        <w:t>:</w:t>
      </w:r>
    </w:p>
    <w:p w14:paraId="5A48DAE9" w14:textId="69BCA2CC" w:rsidR="00822D41" w:rsidRDefault="00822D41" w:rsidP="006C290C">
      <w:pPr>
        <w:pStyle w:val="Paragraph"/>
        <w:numPr>
          <w:ilvl w:val="1"/>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Información </w:t>
      </w:r>
      <w:r w:rsidR="00497FDF">
        <w:rPr>
          <w:rFonts w:ascii="Arial" w:eastAsia="Batang" w:hAnsi="Arial" w:cs="Arial"/>
          <w:sz w:val="22"/>
          <w:szCs w:val="22"/>
          <w:lang w:eastAsia="es-ES_tradnl"/>
        </w:rPr>
        <w:t>recibida por</w:t>
      </w:r>
      <w:r>
        <w:rPr>
          <w:rFonts w:ascii="Arial" w:eastAsia="Batang" w:hAnsi="Arial" w:cs="Arial"/>
          <w:sz w:val="22"/>
          <w:szCs w:val="22"/>
          <w:lang w:eastAsia="es-ES_tradnl"/>
        </w:rPr>
        <w:t xml:space="preserve"> la AFD sobre demandas, multas, incumplimientos </w:t>
      </w:r>
      <w:r w:rsidR="00497FDF">
        <w:rPr>
          <w:rFonts w:ascii="Arial" w:eastAsia="Batang" w:hAnsi="Arial" w:cs="Arial"/>
          <w:sz w:val="22"/>
          <w:szCs w:val="22"/>
          <w:lang w:eastAsia="es-ES_tradnl"/>
        </w:rPr>
        <w:t xml:space="preserve">relacionados a </w:t>
      </w:r>
      <w:proofErr w:type="spellStart"/>
      <w:r w:rsidR="00497FDF">
        <w:rPr>
          <w:rFonts w:ascii="Arial" w:eastAsia="Batang" w:hAnsi="Arial" w:cs="Arial"/>
          <w:sz w:val="22"/>
          <w:szCs w:val="22"/>
          <w:lang w:eastAsia="es-ES_tradnl"/>
        </w:rPr>
        <w:t>subprestamistas</w:t>
      </w:r>
      <w:proofErr w:type="spellEnd"/>
      <w:r w:rsidR="00497FDF">
        <w:rPr>
          <w:rFonts w:ascii="Arial" w:eastAsia="Batang" w:hAnsi="Arial" w:cs="Arial"/>
          <w:sz w:val="22"/>
          <w:szCs w:val="22"/>
          <w:lang w:eastAsia="es-ES_tradnl"/>
        </w:rPr>
        <w:t xml:space="preserve"> o a </w:t>
      </w:r>
      <w:r w:rsidR="006C290C">
        <w:rPr>
          <w:rFonts w:ascii="Arial" w:eastAsia="Batang" w:hAnsi="Arial" w:cs="Arial"/>
          <w:sz w:val="22"/>
          <w:szCs w:val="22"/>
          <w:lang w:eastAsia="es-ES_tradnl"/>
        </w:rPr>
        <w:t>IFI</w:t>
      </w:r>
      <w:r w:rsidR="00497FDF">
        <w:rPr>
          <w:rFonts w:ascii="Arial" w:eastAsia="Batang" w:hAnsi="Arial" w:cs="Arial"/>
          <w:sz w:val="22"/>
          <w:szCs w:val="22"/>
          <w:lang w:eastAsia="es-ES_tradnl"/>
        </w:rPr>
        <w:t xml:space="preserve"> y consecuencias.</w:t>
      </w:r>
    </w:p>
    <w:p w14:paraId="32DFF2AE" w14:textId="04BE6D84" w:rsidR="00497FDF" w:rsidRDefault="00497FDF" w:rsidP="00497FDF">
      <w:pPr>
        <w:pStyle w:val="Paragraph"/>
        <w:numPr>
          <w:ilvl w:val="0"/>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Si la </w:t>
      </w:r>
      <w:r w:rsidR="006C290C">
        <w:rPr>
          <w:rFonts w:ascii="Arial" w:eastAsia="Batang" w:hAnsi="Arial" w:cs="Arial"/>
          <w:sz w:val="22"/>
          <w:szCs w:val="22"/>
          <w:lang w:eastAsia="es-ES_tradnl"/>
        </w:rPr>
        <w:t>hubiese</w:t>
      </w:r>
      <w:r>
        <w:rPr>
          <w:rFonts w:ascii="Arial" w:eastAsia="Batang" w:hAnsi="Arial" w:cs="Arial"/>
          <w:sz w:val="22"/>
          <w:szCs w:val="22"/>
          <w:lang w:eastAsia="es-ES_tradnl"/>
        </w:rPr>
        <w:t>, información relevante sobre el manejo de riesgos socioambientales en la AFD</w:t>
      </w:r>
    </w:p>
    <w:p w14:paraId="09E60AF9" w14:textId="187C08AB" w:rsidR="00497FDF" w:rsidRDefault="00497FDF" w:rsidP="00497FDF">
      <w:pPr>
        <w:pStyle w:val="Paragraph"/>
        <w:numPr>
          <w:ilvl w:val="1"/>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Información sobre recursos humanos, proyecto de cumplimiento con la resolución 8 del </w:t>
      </w:r>
      <w:r w:rsidR="006C290C">
        <w:rPr>
          <w:rFonts w:ascii="Arial" w:eastAsia="Batang" w:hAnsi="Arial" w:cs="Arial"/>
          <w:sz w:val="22"/>
          <w:szCs w:val="22"/>
          <w:lang w:eastAsia="es-ES_tradnl"/>
        </w:rPr>
        <w:t>BCP</w:t>
      </w:r>
      <w:r>
        <w:rPr>
          <w:rFonts w:ascii="Arial" w:eastAsia="Batang" w:hAnsi="Arial" w:cs="Arial"/>
          <w:sz w:val="22"/>
          <w:szCs w:val="22"/>
          <w:lang w:eastAsia="es-ES_tradnl"/>
        </w:rPr>
        <w:t>, o cualquier información adicional relevante.</w:t>
      </w:r>
    </w:p>
    <w:p w14:paraId="220E4D2A" w14:textId="62344CF4" w:rsidR="00497FDF" w:rsidRPr="00497FDF" w:rsidRDefault="00497FDF" w:rsidP="00497FDF">
      <w:pPr>
        <w:pStyle w:val="Paragraph"/>
        <w:numPr>
          <w:ilvl w:val="1"/>
          <w:numId w:val="7"/>
        </w:numPr>
        <w:rPr>
          <w:rFonts w:ascii="Arial" w:eastAsia="Batang" w:hAnsi="Arial" w:cs="Arial"/>
          <w:sz w:val="22"/>
          <w:szCs w:val="22"/>
          <w:lang w:eastAsia="es-ES_tradnl"/>
        </w:rPr>
      </w:pPr>
      <w:r>
        <w:rPr>
          <w:rFonts w:ascii="Arial" w:eastAsia="Batang" w:hAnsi="Arial" w:cs="Arial"/>
          <w:sz w:val="22"/>
          <w:szCs w:val="22"/>
          <w:lang w:eastAsia="es-ES_tradnl"/>
        </w:rPr>
        <w:t xml:space="preserve">Información relevante sobre el marco regulatorio o económico que pueda tener impacto sobre el desempeño socioambiental del programa. </w:t>
      </w:r>
    </w:p>
    <w:sectPr w:rsidR="00497FDF" w:rsidRPr="00497FDF" w:rsidSect="00A70B63">
      <w:type w:val="continuous"/>
      <w:pgSz w:w="12240" w:h="15840"/>
      <w:pgMar w:top="1440" w:right="1800" w:bottom="135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C3DC8" w14:textId="77777777" w:rsidR="00851F42" w:rsidRDefault="00851F42" w:rsidP="00FA548F">
      <w:r>
        <w:separator/>
      </w:r>
    </w:p>
  </w:endnote>
  <w:endnote w:type="continuationSeparator" w:id="0">
    <w:p w14:paraId="1304CCE1" w14:textId="77777777" w:rsidR="00851F42" w:rsidRDefault="00851F42" w:rsidP="00FA548F">
      <w:r>
        <w:continuationSeparator/>
      </w:r>
    </w:p>
  </w:endnote>
  <w:endnote w:type="continuationNotice" w:id="1">
    <w:p w14:paraId="0E14250F" w14:textId="77777777" w:rsidR="00851F42" w:rsidRDefault="00851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8817D" w14:textId="77777777" w:rsidR="00506A08" w:rsidRDefault="00506A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EC8162" w14:textId="77777777" w:rsidR="00506A08" w:rsidRDefault="00506A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EEE8" w14:textId="77777777" w:rsidR="00506A08" w:rsidRPr="00E05AAB" w:rsidRDefault="00506A08">
    <w:pPr>
      <w:pStyle w:val="Footer"/>
      <w:framePr w:wrap="around" w:vAnchor="text" w:hAnchor="margin" w:xAlign="right" w:y="1"/>
      <w:rPr>
        <w:rStyle w:val="PageNumber"/>
        <w:rFonts w:ascii="Arial" w:hAnsi="Arial" w:cs="Arial"/>
        <w:sz w:val="18"/>
        <w:szCs w:val="18"/>
      </w:rPr>
    </w:pPr>
    <w:r w:rsidRPr="00E05AAB">
      <w:rPr>
        <w:rStyle w:val="PageNumber"/>
        <w:rFonts w:ascii="Arial" w:hAnsi="Arial" w:cs="Arial"/>
        <w:sz w:val="18"/>
        <w:szCs w:val="18"/>
      </w:rPr>
      <w:fldChar w:fldCharType="begin"/>
    </w:r>
    <w:r w:rsidRPr="00E05AAB">
      <w:rPr>
        <w:rStyle w:val="PageNumber"/>
        <w:rFonts w:ascii="Arial" w:hAnsi="Arial" w:cs="Arial"/>
        <w:sz w:val="18"/>
        <w:szCs w:val="18"/>
      </w:rPr>
      <w:instrText xml:space="preserve">PAGE  </w:instrText>
    </w:r>
    <w:r w:rsidRPr="00E05AAB">
      <w:rPr>
        <w:rStyle w:val="PageNumber"/>
        <w:rFonts w:ascii="Arial" w:hAnsi="Arial" w:cs="Arial"/>
        <w:sz w:val="18"/>
        <w:szCs w:val="18"/>
      </w:rPr>
      <w:fldChar w:fldCharType="separate"/>
    </w:r>
    <w:r w:rsidR="00592A3A">
      <w:rPr>
        <w:rStyle w:val="PageNumber"/>
        <w:rFonts w:ascii="Arial" w:hAnsi="Arial" w:cs="Arial"/>
        <w:noProof/>
        <w:sz w:val="18"/>
        <w:szCs w:val="18"/>
      </w:rPr>
      <w:t>5</w:t>
    </w:r>
    <w:r w:rsidRPr="00E05AAB">
      <w:rPr>
        <w:rStyle w:val="PageNumber"/>
        <w:rFonts w:ascii="Arial" w:hAnsi="Arial" w:cs="Arial"/>
        <w:sz w:val="18"/>
        <w:szCs w:val="18"/>
      </w:rPr>
      <w:fldChar w:fldCharType="end"/>
    </w:r>
  </w:p>
  <w:p w14:paraId="664B29B3" w14:textId="77777777" w:rsidR="00506A08" w:rsidRDefault="00506A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20F65" w14:textId="77777777" w:rsidR="00851F42" w:rsidRDefault="00851F42" w:rsidP="00FA548F">
      <w:r>
        <w:separator/>
      </w:r>
    </w:p>
  </w:footnote>
  <w:footnote w:type="continuationSeparator" w:id="0">
    <w:p w14:paraId="60B21C6F" w14:textId="77777777" w:rsidR="00851F42" w:rsidRDefault="00851F42" w:rsidP="00FA548F">
      <w:r>
        <w:continuationSeparator/>
      </w:r>
    </w:p>
  </w:footnote>
  <w:footnote w:type="continuationNotice" w:id="1">
    <w:p w14:paraId="25FF8A8D" w14:textId="77777777" w:rsidR="00851F42" w:rsidRDefault="00851F42"/>
  </w:footnote>
  <w:footnote w:id="2">
    <w:p w14:paraId="389CF9EB" w14:textId="5FD16B3A" w:rsidR="006E29F7" w:rsidRPr="007038DC" w:rsidRDefault="006E29F7" w:rsidP="00593385">
      <w:pPr>
        <w:pStyle w:val="FootnoteText"/>
        <w:tabs>
          <w:tab w:val="left" w:pos="270"/>
        </w:tabs>
        <w:spacing w:after="0"/>
        <w:ind w:left="270" w:hanging="270"/>
        <w:rPr>
          <w:rFonts w:ascii="Arial" w:hAnsi="Arial" w:cs="Arial"/>
          <w:sz w:val="18"/>
          <w:szCs w:val="18"/>
          <w:lang w:val="es-419"/>
        </w:rPr>
      </w:pPr>
      <w:r w:rsidRPr="007038DC">
        <w:rPr>
          <w:rStyle w:val="FootnoteReference"/>
          <w:rFonts w:ascii="Arial" w:hAnsi="Arial" w:cs="Arial"/>
          <w:sz w:val="18"/>
          <w:szCs w:val="18"/>
        </w:rPr>
        <w:footnoteRef/>
      </w:r>
      <w:r w:rsidRPr="007038DC">
        <w:rPr>
          <w:rFonts w:ascii="Arial" w:hAnsi="Arial" w:cs="Arial"/>
          <w:sz w:val="18"/>
          <w:szCs w:val="18"/>
        </w:rPr>
        <w:t xml:space="preserve"> </w:t>
      </w:r>
      <w:r w:rsidR="007038DC">
        <w:rPr>
          <w:rFonts w:ascii="Arial" w:hAnsi="Arial" w:cs="Arial"/>
          <w:sz w:val="18"/>
          <w:szCs w:val="18"/>
        </w:rPr>
        <w:tab/>
      </w:r>
      <w:r w:rsidRPr="007038DC">
        <w:rPr>
          <w:rFonts w:ascii="Arial" w:hAnsi="Arial" w:cs="Arial"/>
          <w:sz w:val="18"/>
          <w:szCs w:val="18"/>
        </w:rPr>
        <w:t>Como referencia se cuenta con las guías desarrolladas por la Mesa de Finanzas Sostenibles del Paraguay</w:t>
      </w:r>
      <w:r w:rsidR="008F5E45" w:rsidRPr="007038DC">
        <w:rPr>
          <w:rFonts w:ascii="Arial" w:hAnsi="Arial" w:cs="Arial"/>
          <w:sz w:val="18"/>
          <w:szCs w:val="18"/>
        </w:rPr>
        <w:t xml:space="preserve"> (Ver Anexo 2)</w:t>
      </w:r>
      <w:r w:rsidR="007038DC">
        <w:rPr>
          <w:rFonts w:ascii="Arial" w:hAnsi="Arial" w:cs="Arial"/>
          <w:sz w:val="18"/>
          <w:szCs w:val="18"/>
        </w:rPr>
        <w:t>.</w:t>
      </w:r>
    </w:p>
  </w:footnote>
  <w:footnote w:id="3">
    <w:p w14:paraId="1772AD84" w14:textId="372AD21B"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r w:rsidRPr="00302D0C">
        <w:rPr>
          <w:rFonts w:ascii="Arial" w:hAnsi="Arial" w:cs="Arial"/>
          <w:sz w:val="18"/>
          <w:szCs w:val="18"/>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4">
    <w:p w14:paraId="25775987" w14:textId="00CB2C6E"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r w:rsidRPr="00302D0C">
        <w:rPr>
          <w:rFonts w:ascii="Arial" w:hAnsi="Arial" w:cs="Arial"/>
          <w:sz w:val="18"/>
          <w:szCs w:val="18"/>
          <w:lang w:val="es-ES_tradnl"/>
        </w:rPr>
        <w:t>Esto no se aplica a las compañías en las cuales las operaciones o actividades relacionadas con estos criterios abarquen menos del 10% de su ingreso total anual.</w:t>
      </w:r>
    </w:p>
  </w:footnote>
  <w:footnote w:id="5">
    <w:p w14:paraId="6EB248D6" w14:textId="4998AC5A"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Convención sobre el Comercio Internacional de Especies Amenazadas de Fauna y Flora Silvestres (www.</w:t>
      </w:r>
      <w:r w:rsidR="00994485">
        <w:rPr>
          <w:rFonts w:ascii="Arial" w:hAnsi="Arial" w:cs="Arial"/>
          <w:sz w:val="18"/>
          <w:szCs w:val="18"/>
          <w:lang w:val="es-ES_tradnl"/>
        </w:rPr>
        <w:t>c</w:t>
      </w:r>
      <w:r w:rsidR="00994485" w:rsidRPr="00302D0C">
        <w:rPr>
          <w:rFonts w:ascii="Arial" w:hAnsi="Arial" w:cs="Arial"/>
          <w:sz w:val="18"/>
          <w:szCs w:val="18"/>
          <w:lang w:val="es-ES_tradnl"/>
        </w:rPr>
        <w:t>ites</w:t>
      </w:r>
      <w:r w:rsidRPr="00302D0C">
        <w:rPr>
          <w:rFonts w:ascii="Arial" w:hAnsi="Arial" w:cs="Arial"/>
          <w:sz w:val="18"/>
          <w:szCs w:val="18"/>
          <w:lang w:val="es-ES_tradnl"/>
        </w:rPr>
        <w:t>.org).</w:t>
      </w:r>
    </w:p>
  </w:footnote>
  <w:footnote w:id="6">
    <w:p w14:paraId="48A12DCE" w14:textId="76FB0FAE"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r w:rsidRPr="00302D0C">
        <w:rPr>
          <w:rFonts w:ascii="Arial" w:hAnsi="Arial" w:cs="Arial"/>
          <w:sz w:val="18"/>
          <w:szCs w:val="18"/>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sidRPr="00302D0C">
        <w:rPr>
          <w:rFonts w:ascii="Arial" w:hAnsi="Arial" w:cs="Arial"/>
          <w:sz w:val="18"/>
          <w:szCs w:val="18"/>
          <w:lang w:val="es-ES_tradnl"/>
        </w:rPr>
        <w:t>Mm.</w:t>
      </w:r>
      <w:proofErr w:type="spellEnd"/>
      <w:r w:rsidRPr="00302D0C">
        <w:rPr>
          <w:rFonts w:ascii="Arial" w:hAnsi="Arial" w:cs="Arial"/>
          <w:sz w:val="18"/>
          <w:szCs w:val="18"/>
          <w:lang w:val="es-ES_tradnl"/>
        </w:rPr>
        <w:t xml:space="preserve"> de lluvia por mes durante dos de cada tres años con una temperatura media anual de 240 C o más.</w:t>
      </w:r>
    </w:p>
  </w:footnote>
  <w:footnote w:id="7">
    <w:p w14:paraId="6A671F9C" w14:textId="467B8B04"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r w:rsidRPr="00302D0C">
        <w:rPr>
          <w:rFonts w:ascii="Arial" w:hAnsi="Arial" w:cs="Arial"/>
          <w:sz w:val="18"/>
          <w:szCs w:val="18"/>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w:t>
      </w:r>
      <w:proofErr w:type="spellStart"/>
      <w:r w:rsidRPr="00302D0C">
        <w:rPr>
          <w:rFonts w:ascii="Arial" w:hAnsi="Arial" w:cs="Arial"/>
          <w:sz w:val="18"/>
          <w:szCs w:val="18"/>
          <w:lang w:val="es-ES_tradnl"/>
        </w:rPr>
        <w:t>pais</w:t>
      </w:r>
      <w:proofErr w:type="spellEnd"/>
      <w:r w:rsidRPr="00302D0C">
        <w:rPr>
          <w:rFonts w:ascii="Arial" w:hAnsi="Arial" w:cs="Arial"/>
          <w:sz w:val="18"/>
          <w:szCs w:val="18"/>
          <w:lang w:val="es-ES_tradnl"/>
        </w:rPr>
        <w:t xml:space="preserve">, otras áreas incluyen sitios de patrimonio mundial natural (definidos por la Convención sobre la Protección del Patrimonio Mundial </w:t>
      </w:r>
      <w:bookmarkStart w:id="62" w:name="_Hlk12028818"/>
      <w:r w:rsidR="00204AB6" w:rsidRPr="00204AB6">
        <w:rPr>
          <w:rFonts w:ascii="Arial" w:hAnsi="Arial" w:cs="Arial"/>
          <w:sz w:val="18"/>
          <w:szCs w:val="18"/>
          <w:lang w:val="es-ES_tradnl"/>
        </w:rPr>
        <w:t>http://whc.unesco.org/</w:t>
      </w:r>
      <w:bookmarkEnd w:id="62"/>
      <w:r w:rsidRPr="00302D0C">
        <w:rPr>
          <w:rFonts w:ascii="Arial" w:hAnsi="Arial" w:cs="Arial"/>
          <w:sz w:val="18"/>
          <w:szCs w:val="18"/>
          <w:lang w:val="es-ES_tradnl"/>
        </w:rPr>
        <w:t>), Lista de Parques Nacionales y Áreas Protegidas, de las Naciones Unidas, humedales designados de importancia internacional (definidos por la Convención de RAMSAR. www.rainsar.erg),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8">
    <w:p w14:paraId="11349378" w14:textId="0D742A8A"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r w:rsidRPr="00302D0C">
        <w:rPr>
          <w:rFonts w:ascii="Arial" w:hAnsi="Arial" w:cs="Arial"/>
          <w:sz w:val="18"/>
          <w:szCs w:val="18"/>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9">
    <w:p w14:paraId="290A165F" w14:textId="3C90BAEA"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7038DC">
        <w:rPr>
          <w:rFonts w:ascii="Arial" w:hAnsi="Arial" w:cs="Arial"/>
          <w:sz w:val="18"/>
          <w:szCs w:val="18"/>
          <w:lang w:val="es-ES_tradnl"/>
        </w:rPr>
        <w:tab/>
      </w:r>
      <w:proofErr w:type="spellStart"/>
      <w:r w:rsidRPr="00302D0C">
        <w:rPr>
          <w:rFonts w:ascii="Arial" w:hAnsi="Arial" w:cs="Arial"/>
          <w:sz w:val="18"/>
          <w:szCs w:val="18"/>
          <w:lang w:val="es-ES_tradnl"/>
        </w:rPr>
        <w:t>PCBs</w:t>
      </w:r>
      <w:proofErr w:type="spellEnd"/>
      <w:r w:rsidRPr="00302D0C">
        <w:rPr>
          <w:rFonts w:ascii="Arial" w:hAnsi="Arial" w:cs="Arial"/>
          <w:sz w:val="18"/>
          <w:szCs w:val="18"/>
          <w:lang w:val="es-ES_tradnl"/>
        </w:rPr>
        <w:t xml:space="preserve"> son </w:t>
      </w:r>
      <w:proofErr w:type="spellStart"/>
      <w:r w:rsidRPr="00302D0C">
        <w:rPr>
          <w:rFonts w:ascii="Arial" w:hAnsi="Arial" w:cs="Arial"/>
          <w:sz w:val="18"/>
          <w:szCs w:val="18"/>
          <w:lang w:val="es-ES_tradnl"/>
        </w:rPr>
        <w:t>bifeniles</w:t>
      </w:r>
      <w:proofErr w:type="spellEnd"/>
      <w:r w:rsidRPr="00302D0C">
        <w:rPr>
          <w:rFonts w:ascii="Arial" w:hAnsi="Arial" w:cs="Arial"/>
          <w:sz w:val="18"/>
          <w:szCs w:val="18"/>
          <w:lang w:val="es-ES_tradnl"/>
        </w:rPr>
        <w:t xml:space="preserve"> </w:t>
      </w:r>
      <w:proofErr w:type="spellStart"/>
      <w:r w:rsidRPr="00302D0C">
        <w:rPr>
          <w:rFonts w:ascii="Arial" w:hAnsi="Arial" w:cs="Arial"/>
          <w:sz w:val="18"/>
          <w:szCs w:val="18"/>
          <w:lang w:val="es-ES_tradnl"/>
        </w:rPr>
        <w:t>polielorinados</w:t>
      </w:r>
      <w:proofErr w:type="spellEnd"/>
      <w:r w:rsidRPr="00302D0C">
        <w:rPr>
          <w:rFonts w:ascii="Arial" w:hAnsi="Arial" w:cs="Arial"/>
          <w:sz w:val="18"/>
          <w:szCs w:val="18"/>
          <w:lang w:val="es-ES_tradnl"/>
        </w:rPr>
        <w:t xml:space="preserve"> -un grupo de químicos altamente tóxicos. Los </w:t>
      </w:r>
      <w:proofErr w:type="spellStart"/>
      <w:r w:rsidRPr="00302D0C">
        <w:rPr>
          <w:rFonts w:ascii="Arial" w:hAnsi="Arial" w:cs="Arial"/>
          <w:sz w:val="18"/>
          <w:szCs w:val="18"/>
          <w:lang w:val="es-ES_tradnl"/>
        </w:rPr>
        <w:t>PCBs</w:t>
      </w:r>
      <w:proofErr w:type="spellEnd"/>
      <w:r w:rsidRPr="00302D0C">
        <w:rPr>
          <w:rFonts w:ascii="Arial" w:hAnsi="Arial" w:cs="Arial"/>
          <w:sz w:val="18"/>
          <w:szCs w:val="18"/>
          <w:lang w:val="es-ES_tradnl"/>
        </w:rPr>
        <w:t xml:space="preserve"> son comúnmente hallados en los transformadores eléctricos que emplean aceite, </w:t>
      </w:r>
      <w:proofErr w:type="spellStart"/>
      <w:r w:rsidRPr="00302D0C">
        <w:rPr>
          <w:rFonts w:ascii="Arial" w:hAnsi="Arial" w:cs="Arial"/>
          <w:sz w:val="18"/>
          <w:szCs w:val="18"/>
          <w:lang w:val="es-ES_tradnl"/>
        </w:rPr>
        <w:t>yen</w:t>
      </w:r>
      <w:proofErr w:type="spellEnd"/>
      <w:r w:rsidRPr="00302D0C">
        <w:rPr>
          <w:rFonts w:ascii="Arial" w:hAnsi="Arial" w:cs="Arial"/>
          <w:sz w:val="18"/>
          <w:szCs w:val="18"/>
          <w:lang w:val="es-ES_tradnl"/>
        </w:rPr>
        <w:t xml:space="preserve"> los capacitadores y aditamentos eléctricos construidos entre 1950 y 1985.</w:t>
      </w:r>
    </w:p>
  </w:footnote>
  <w:footnote w:id="10">
    <w:p w14:paraId="030901B3" w14:textId="0433F78F" w:rsidR="00ED7034" w:rsidRPr="00302D0C" w:rsidRDefault="00ED7034" w:rsidP="00593385">
      <w:pPr>
        <w:pStyle w:val="FootnoteText"/>
        <w:tabs>
          <w:tab w:val="left" w:pos="270"/>
        </w:tabs>
        <w:spacing w:after="0"/>
        <w:ind w:left="270" w:hanging="270"/>
        <w:rPr>
          <w:rFonts w:ascii="Arial" w:hAnsi="Arial" w:cs="Arial"/>
          <w:sz w:val="18"/>
          <w:szCs w:val="18"/>
          <w:lang w:val="en-US"/>
        </w:rPr>
      </w:pPr>
      <w:r w:rsidRPr="00302D0C">
        <w:rPr>
          <w:rStyle w:val="FootnoteReference"/>
          <w:rFonts w:ascii="Arial" w:hAnsi="Arial" w:cs="Arial"/>
          <w:sz w:val="18"/>
          <w:szCs w:val="18"/>
        </w:rPr>
        <w:footnoteRef/>
      </w:r>
      <w:r w:rsidRPr="00302D0C">
        <w:rPr>
          <w:rFonts w:ascii="Arial" w:hAnsi="Arial" w:cs="Arial"/>
          <w:sz w:val="18"/>
          <w:szCs w:val="18"/>
          <w:lang w:val="en-US"/>
        </w:rPr>
        <w:t xml:space="preserve"> </w:t>
      </w:r>
      <w:r w:rsidR="007038DC">
        <w:rPr>
          <w:rFonts w:ascii="Arial" w:hAnsi="Arial" w:cs="Arial"/>
          <w:sz w:val="18"/>
          <w:szCs w:val="18"/>
          <w:lang w:val="en-US"/>
        </w:rPr>
        <w:tab/>
      </w:r>
      <w:proofErr w:type="spellStart"/>
      <w:r w:rsidRPr="00302D0C">
        <w:rPr>
          <w:rFonts w:ascii="Arial" w:hAnsi="Arial" w:cs="Arial"/>
          <w:sz w:val="18"/>
          <w:szCs w:val="18"/>
          <w:lang w:val="en-US"/>
        </w:rPr>
        <w:t>Productos</w:t>
      </w:r>
      <w:proofErr w:type="spellEnd"/>
      <w:r w:rsidRPr="00302D0C">
        <w:rPr>
          <w:rFonts w:ascii="Arial" w:hAnsi="Arial" w:cs="Arial"/>
          <w:sz w:val="18"/>
          <w:szCs w:val="18"/>
          <w:lang w:val="en-US"/>
        </w:rPr>
        <w:t xml:space="preserve"> </w:t>
      </w:r>
      <w:proofErr w:type="spellStart"/>
      <w:r w:rsidRPr="00302D0C">
        <w:rPr>
          <w:rFonts w:ascii="Arial" w:hAnsi="Arial" w:cs="Arial"/>
          <w:sz w:val="18"/>
          <w:szCs w:val="18"/>
          <w:lang w:val="en-US"/>
        </w:rPr>
        <w:t>farmacéuticos</w:t>
      </w:r>
      <w:proofErr w:type="spellEnd"/>
      <w:r w:rsidRPr="00302D0C">
        <w:rPr>
          <w:rFonts w:ascii="Arial" w:hAnsi="Arial" w:cs="Arial"/>
          <w:sz w:val="18"/>
          <w:szCs w:val="18"/>
          <w:lang w:val="en-US"/>
        </w:rPr>
        <w:t xml:space="preserve"> </w:t>
      </w:r>
      <w:proofErr w:type="spellStart"/>
      <w:r w:rsidRPr="00302D0C">
        <w:rPr>
          <w:rFonts w:ascii="Arial" w:hAnsi="Arial" w:cs="Arial"/>
          <w:sz w:val="18"/>
          <w:szCs w:val="18"/>
          <w:lang w:val="en-US"/>
        </w:rPr>
        <w:t>incluidos</w:t>
      </w:r>
      <w:proofErr w:type="spellEnd"/>
      <w:r w:rsidRPr="00302D0C">
        <w:rPr>
          <w:rFonts w:ascii="Arial" w:hAnsi="Arial" w:cs="Arial"/>
          <w:sz w:val="18"/>
          <w:szCs w:val="18"/>
          <w:lang w:val="en-US"/>
        </w:rPr>
        <w:t xml:space="preserve"> </w:t>
      </w:r>
      <w:proofErr w:type="spellStart"/>
      <w:r w:rsidRPr="00302D0C">
        <w:rPr>
          <w:rFonts w:ascii="Arial" w:hAnsi="Arial" w:cs="Arial"/>
          <w:sz w:val="18"/>
          <w:szCs w:val="18"/>
          <w:lang w:val="en-US"/>
        </w:rPr>
        <w:t>en</w:t>
      </w:r>
      <w:proofErr w:type="spellEnd"/>
      <w:r w:rsidRPr="00302D0C">
        <w:rPr>
          <w:rFonts w:ascii="Arial" w:hAnsi="Arial" w:cs="Arial"/>
          <w:sz w:val="18"/>
          <w:szCs w:val="18"/>
          <w:lang w:val="en-US"/>
        </w:rPr>
        <w:t xml:space="preserve"> el </w:t>
      </w:r>
      <w:proofErr w:type="spellStart"/>
      <w:r w:rsidRPr="00302D0C">
        <w:rPr>
          <w:rFonts w:ascii="Arial" w:hAnsi="Arial" w:cs="Arial"/>
          <w:sz w:val="18"/>
          <w:szCs w:val="18"/>
          <w:lang w:val="en-US"/>
        </w:rPr>
        <w:t>libro</w:t>
      </w:r>
      <w:proofErr w:type="spellEnd"/>
      <w:r w:rsidRPr="00302D0C">
        <w:rPr>
          <w:rFonts w:ascii="Arial" w:hAnsi="Arial" w:cs="Arial"/>
          <w:sz w:val="18"/>
          <w:szCs w:val="18"/>
          <w:lang w:val="en-US"/>
        </w:rPr>
        <w:t xml:space="preserve"> </w:t>
      </w:r>
      <w:proofErr w:type="spellStart"/>
      <w:r w:rsidRPr="00302D0C">
        <w:rPr>
          <w:rFonts w:ascii="Arial" w:hAnsi="Arial" w:cs="Arial"/>
          <w:sz w:val="18"/>
          <w:szCs w:val="18"/>
          <w:lang w:val="en-US"/>
        </w:rPr>
        <w:t>titulado</w:t>
      </w:r>
      <w:proofErr w:type="spellEnd"/>
      <w:r w:rsidRPr="00302D0C">
        <w:rPr>
          <w:rFonts w:ascii="Arial" w:hAnsi="Arial" w:cs="Arial"/>
          <w:sz w:val="18"/>
          <w:szCs w:val="18"/>
          <w:lang w:val="en-US"/>
        </w:rPr>
        <w:t xml:space="preserve"> United Nations, Banned Products: </w:t>
      </w:r>
      <w:proofErr w:type="spellStart"/>
      <w:r w:rsidRPr="00302D0C">
        <w:rPr>
          <w:rFonts w:ascii="Arial" w:hAnsi="Arial" w:cs="Arial"/>
          <w:sz w:val="18"/>
          <w:szCs w:val="18"/>
          <w:lang w:val="en-US"/>
        </w:rPr>
        <w:t>Consoli</w:t>
      </w:r>
      <w:r w:rsidR="00994485">
        <w:rPr>
          <w:rFonts w:ascii="Arial" w:hAnsi="Arial" w:cs="Arial"/>
          <w:sz w:val="18"/>
          <w:szCs w:val="18"/>
          <w:lang w:val="en-US"/>
        </w:rPr>
        <w:t>d</w:t>
      </w:r>
      <w:r w:rsidRPr="00302D0C">
        <w:rPr>
          <w:rFonts w:ascii="Arial" w:hAnsi="Arial" w:cs="Arial"/>
          <w:sz w:val="18"/>
          <w:szCs w:val="18"/>
          <w:lang w:val="en-US"/>
        </w:rPr>
        <w:t>lated</w:t>
      </w:r>
      <w:proofErr w:type="spellEnd"/>
      <w:r w:rsidRPr="00302D0C">
        <w:rPr>
          <w:rFonts w:ascii="Arial" w:hAnsi="Arial" w:cs="Arial"/>
          <w:sz w:val="18"/>
          <w:szCs w:val="18"/>
          <w:lang w:val="en-US"/>
        </w:rPr>
        <w:t xml:space="preserve"> List of Produc</w:t>
      </w:r>
      <w:r w:rsidR="00994485">
        <w:rPr>
          <w:rFonts w:ascii="Arial" w:hAnsi="Arial" w:cs="Arial"/>
          <w:sz w:val="18"/>
          <w:szCs w:val="18"/>
          <w:lang w:val="en-US"/>
        </w:rPr>
        <w:t>t</w:t>
      </w:r>
      <w:r w:rsidRPr="00302D0C">
        <w:rPr>
          <w:rFonts w:ascii="Arial" w:hAnsi="Arial" w:cs="Arial"/>
          <w:sz w:val="18"/>
          <w:szCs w:val="18"/>
          <w:lang w:val="en-US"/>
        </w:rPr>
        <w:t>s Whose Consumption and/</w:t>
      </w:r>
      <w:r w:rsidR="00994485">
        <w:rPr>
          <w:rFonts w:ascii="Arial" w:hAnsi="Arial" w:cs="Arial"/>
          <w:sz w:val="18"/>
          <w:szCs w:val="18"/>
          <w:lang w:val="en-US"/>
        </w:rPr>
        <w:t>o</w:t>
      </w:r>
      <w:r w:rsidR="00994485" w:rsidRPr="00302D0C">
        <w:rPr>
          <w:rFonts w:ascii="Arial" w:hAnsi="Arial" w:cs="Arial"/>
          <w:sz w:val="18"/>
          <w:szCs w:val="18"/>
          <w:lang w:val="en-US"/>
        </w:rPr>
        <w:t xml:space="preserve">r </w:t>
      </w:r>
      <w:r w:rsidRPr="00302D0C">
        <w:rPr>
          <w:rFonts w:ascii="Arial" w:hAnsi="Arial" w:cs="Arial"/>
          <w:sz w:val="18"/>
          <w:szCs w:val="18"/>
          <w:lang w:val="en-US"/>
        </w:rPr>
        <w:t>Sale Have Been Banned, Withdrawn, Severely Restricted or no, Approved by Governmen</w:t>
      </w:r>
      <w:r w:rsidR="00994485">
        <w:rPr>
          <w:rFonts w:ascii="Arial" w:hAnsi="Arial" w:cs="Arial"/>
          <w:sz w:val="18"/>
          <w:szCs w:val="18"/>
          <w:lang w:val="en-US"/>
        </w:rPr>
        <w:t>t</w:t>
      </w:r>
      <w:r w:rsidRPr="00302D0C">
        <w:rPr>
          <w:rFonts w:ascii="Arial" w:hAnsi="Arial" w:cs="Arial"/>
          <w:sz w:val="18"/>
          <w:szCs w:val="18"/>
          <w:lang w:val="en-US"/>
        </w:rPr>
        <w:t xml:space="preserve">s) </w:t>
      </w:r>
      <w:proofErr w:type="spellStart"/>
      <w:r w:rsidRPr="00302D0C">
        <w:rPr>
          <w:rFonts w:ascii="Arial" w:hAnsi="Arial" w:cs="Arial"/>
          <w:sz w:val="18"/>
          <w:szCs w:val="18"/>
          <w:lang w:val="en-US"/>
        </w:rPr>
        <w:t>última</w:t>
      </w:r>
      <w:proofErr w:type="spellEnd"/>
      <w:r w:rsidRPr="00302D0C">
        <w:rPr>
          <w:rFonts w:ascii="Arial" w:hAnsi="Arial" w:cs="Arial"/>
          <w:sz w:val="18"/>
          <w:szCs w:val="18"/>
          <w:lang w:val="en-US"/>
        </w:rPr>
        <w:t xml:space="preserve"> </w:t>
      </w:r>
      <w:proofErr w:type="spellStart"/>
      <w:r w:rsidRPr="00302D0C">
        <w:rPr>
          <w:rFonts w:ascii="Arial" w:hAnsi="Arial" w:cs="Arial"/>
          <w:sz w:val="18"/>
          <w:szCs w:val="18"/>
          <w:lang w:val="en-US"/>
        </w:rPr>
        <w:t>versión</w:t>
      </w:r>
      <w:proofErr w:type="spellEnd"/>
      <w:r w:rsidRPr="00302D0C">
        <w:rPr>
          <w:rFonts w:ascii="Arial" w:hAnsi="Arial" w:cs="Arial"/>
          <w:sz w:val="18"/>
          <w:szCs w:val="18"/>
          <w:lang w:val="en-US"/>
        </w:rPr>
        <w:t xml:space="preserve"> 2003</w:t>
      </w:r>
    </w:p>
  </w:footnote>
  <w:footnote w:id="11">
    <w:p w14:paraId="0B92D293" w14:textId="54BF839F"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593385">
        <w:rPr>
          <w:rFonts w:ascii="Arial" w:hAnsi="Arial" w:cs="Arial"/>
          <w:sz w:val="18"/>
          <w:szCs w:val="18"/>
          <w:lang w:val="es-ES_tradnl"/>
        </w:rPr>
        <w:tab/>
      </w:r>
      <w:r w:rsidRPr="00302D0C">
        <w:rPr>
          <w:rFonts w:ascii="Arial" w:hAnsi="Arial" w:cs="Arial"/>
          <w:sz w:val="18"/>
          <w:szCs w:val="18"/>
          <w:lang w:val="es-ES_tradnl"/>
        </w:rPr>
        <w:t>Pesticidas y Herbicidas incluidos en el Convenio de Rotterdam (wwi</w:t>
      </w:r>
      <w:r w:rsidR="00204AB6">
        <w:rPr>
          <w:rFonts w:ascii="Arial" w:hAnsi="Arial" w:cs="Arial"/>
          <w:sz w:val="18"/>
          <w:szCs w:val="18"/>
          <w:lang w:val="es-ES_tradnl"/>
        </w:rPr>
        <w:t>.</w:t>
      </w:r>
      <w:r w:rsidRPr="00302D0C">
        <w:rPr>
          <w:rFonts w:ascii="Arial" w:hAnsi="Arial" w:cs="Arial"/>
          <w:sz w:val="18"/>
          <w:szCs w:val="18"/>
          <w:lang w:val="es-ES_tradnl"/>
        </w:rPr>
        <w:t>pic.int) y el Convenio de Estocolmo (</w:t>
      </w:r>
      <w:bookmarkStart w:id="63" w:name="_Hlk12028605"/>
      <w:r w:rsidRPr="00302D0C">
        <w:rPr>
          <w:rFonts w:ascii="Arial" w:hAnsi="Arial" w:cs="Arial"/>
          <w:sz w:val="18"/>
          <w:szCs w:val="18"/>
          <w:lang w:val="es-ES_tradnl"/>
        </w:rPr>
        <w:t>ww</w:t>
      </w:r>
      <w:r w:rsidR="00204AB6">
        <w:rPr>
          <w:rFonts w:ascii="Arial" w:hAnsi="Arial" w:cs="Arial"/>
          <w:sz w:val="18"/>
          <w:szCs w:val="18"/>
          <w:lang w:val="es-ES_tradnl"/>
        </w:rPr>
        <w:t>w.wipo.</w:t>
      </w:r>
      <w:r w:rsidRPr="00302D0C">
        <w:rPr>
          <w:rFonts w:ascii="Arial" w:hAnsi="Arial" w:cs="Arial"/>
          <w:sz w:val="18"/>
          <w:szCs w:val="18"/>
          <w:lang w:val="es-ES_tradnl"/>
        </w:rPr>
        <w:t>int</w:t>
      </w:r>
      <w:bookmarkEnd w:id="63"/>
      <w:r w:rsidRPr="00302D0C">
        <w:rPr>
          <w:rFonts w:ascii="Arial" w:hAnsi="Arial" w:cs="Arial"/>
          <w:sz w:val="18"/>
          <w:szCs w:val="18"/>
          <w:lang w:val="es-ES_tradnl"/>
        </w:rPr>
        <w:t>).</w:t>
      </w:r>
    </w:p>
  </w:footnote>
  <w:footnote w:id="12">
    <w:p w14:paraId="1AA4FAC5" w14:textId="52294533"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593385">
        <w:rPr>
          <w:rFonts w:ascii="Arial" w:hAnsi="Arial" w:cs="Arial"/>
          <w:sz w:val="18"/>
          <w:szCs w:val="18"/>
          <w:lang w:val="es-ES_tradnl"/>
        </w:rPr>
        <w:tab/>
      </w:r>
      <w:r w:rsidRPr="00302D0C">
        <w:rPr>
          <w:rFonts w:ascii="Arial" w:hAnsi="Arial" w:cs="Arial"/>
          <w:sz w:val="18"/>
          <w:szCs w:val="18"/>
          <w:lang w:val="es-ES_tradnl"/>
        </w:rPr>
        <w:t xml:space="preserve">Definidos por el Convenio Internacional sobre la reducción o eliminación de los contaminantes orgánicos persistentes (POP) (septiembre de 1999) e incluyen actualmente los pesticidas </w:t>
      </w:r>
      <w:proofErr w:type="spellStart"/>
      <w:r w:rsidRPr="00302D0C">
        <w:rPr>
          <w:rFonts w:ascii="Arial" w:hAnsi="Arial" w:cs="Arial"/>
          <w:sz w:val="18"/>
          <w:szCs w:val="18"/>
          <w:lang w:val="es-ES_tradnl"/>
        </w:rPr>
        <w:t>aldrina</w:t>
      </w:r>
      <w:proofErr w:type="spellEnd"/>
      <w:r w:rsidRPr="00302D0C">
        <w:rPr>
          <w:rFonts w:ascii="Arial" w:hAnsi="Arial" w:cs="Arial"/>
          <w:sz w:val="18"/>
          <w:szCs w:val="18"/>
          <w:lang w:val="es-ES_tradnl"/>
        </w:rPr>
        <w:t xml:space="preserve">, </w:t>
      </w:r>
      <w:proofErr w:type="spellStart"/>
      <w:r w:rsidRPr="00302D0C">
        <w:rPr>
          <w:rFonts w:ascii="Arial" w:hAnsi="Arial" w:cs="Arial"/>
          <w:sz w:val="18"/>
          <w:szCs w:val="18"/>
          <w:lang w:val="es-ES_tradnl"/>
        </w:rPr>
        <w:t>clordano</w:t>
      </w:r>
      <w:proofErr w:type="spellEnd"/>
      <w:r w:rsidRPr="00302D0C">
        <w:rPr>
          <w:rFonts w:ascii="Arial" w:hAnsi="Arial" w:cs="Arial"/>
          <w:sz w:val="18"/>
          <w:szCs w:val="18"/>
          <w:lang w:val="es-ES_tradnl"/>
        </w:rPr>
        <w:t xml:space="preserve">, </w:t>
      </w:r>
      <w:proofErr w:type="spellStart"/>
      <w:r w:rsidRPr="00302D0C">
        <w:rPr>
          <w:rFonts w:ascii="Arial" w:hAnsi="Arial" w:cs="Arial"/>
          <w:sz w:val="18"/>
          <w:szCs w:val="18"/>
          <w:lang w:val="es-ES_tradnl"/>
        </w:rPr>
        <w:t>dieldrina</w:t>
      </w:r>
      <w:proofErr w:type="spellEnd"/>
      <w:r w:rsidRPr="00302D0C">
        <w:rPr>
          <w:rFonts w:ascii="Arial" w:hAnsi="Arial" w:cs="Arial"/>
          <w:sz w:val="18"/>
          <w:szCs w:val="18"/>
          <w:lang w:val="es-ES_tradnl"/>
        </w:rPr>
        <w:t xml:space="preserve">, endrina, </w:t>
      </w:r>
      <w:proofErr w:type="spellStart"/>
      <w:r w:rsidRPr="00302D0C">
        <w:rPr>
          <w:rFonts w:ascii="Arial" w:hAnsi="Arial" w:cs="Arial"/>
          <w:sz w:val="18"/>
          <w:szCs w:val="18"/>
          <w:lang w:val="es-ES_tradnl"/>
        </w:rPr>
        <w:t>heptacloro</w:t>
      </w:r>
      <w:proofErr w:type="spellEnd"/>
      <w:r w:rsidRPr="00302D0C">
        <w:rPr>
          <w:rFonts w:ascii="Arial" w:hAnsi="Arial" w:cs="Arial"/>
          <w:sz w:val="18"/>
          <w:szCs w:val="18"/>
          <w:lang w:val="es-ES_tradnl"/>
        </w:rPr>
        <w:t xml:space="preserve">, </w:t>
      </w:r>
      <w:proofErr w:type="spellStart"/>
      <w:r w:rsidRPr="00302D0C">
        <w:rPr>
          <w:rFonts w:ascii="Arial" w:hAnsi="Arial" w:cs="Arial"/>
          <w:sz w:val="18"/>
          <w:szCs w:val="18"/>
          <w:lang w:val="es-ES_tradnl"/>
        </w:rPr>
        <w:t>mirex</w:t>
      </w:r>
      <w:proofErr w:type="spellEnd"/>
      <w:r w:rsidRPr="00302D0C">
        <w:rPr>
          <w:rFonts w:ascii="Arial" w:hAnsi="Arial" w:cs="Arial"/>
          <w:sz w:val="18"/>
          <w:szCs w:val="18"/>
          <w:lang w:val="es-ES_tradnl"/>
        </w:rPr>
        <w:t xml:space="preserve"> y </w:t>
      </w:r>
      <w:proofErr w:type="spellStart"/>
      <w:r w:rsidRPr="00302D0C">
        <w:rPr>
          <w:rFonts w:ascii="Arial" w:hAnsi="Arial" w:cs="Arial"/>
          <w:sz w:val="18"/>
          <w:szCs w:val="18"/>
          <w:lang w:val="es-ES_tradnl"/>
        </w:rPr>
        <w:t>toxafeno</w:t>
      </w:r>
      <w:proofErr w:type="spellEnd"/>
      <w:r w:rsidRPr="00302D0C">
        <w:rPr>
          <w:rFonts w:ascii="Arial" w:hAnsi="Arial" w:cs="Arial"/>
          <w:sz w:val="18"/>
          <w:szCs w:val="18"/>
          <w:lang w:val="es-ES_tradnl"/>
        </w:rPr>
        <w:t xml:space="preserve">, así como el compuesto químico industrial </w:t>
      </w:r>
      <w:proofErr w:type="spellStart"/>
      <w:r w:rsidRPr="00302D0C">
        <w:rPr>
          <w:rFonts w:ascii="Arial" w:hAnsi="Arial" w:cs="Arial"/>
          <w:sz w:val="18"/>
          <w:szCs w:val="18"/>
          <w:lang w:val="es-ES_tradnl"/>
        </w:rPr>
        <w:t>clorobenceno</w:t>
      </w:r>
      <w:proofErr w:type="spellEnd"/>
      <w:r w:rsidRPr="00302D0C">
        <w:rPr>
          <w:rFonts w:ascii="Arial" w:hAnsi="Arial" w:cs="Arial"/>
          <w:sz w:val="18"/>
          <w:szCs w:val="18"/>
          <w:lang w:val="es-ES_tradnl"/>
        </w:rPr>
        <w:t xml:space="preserve"> (</w:t>
      </w:r>
      <w:bookmarkStart w:id="64" w:name="_Hlk12028643"/>
      <w:r w:rsidR="00204AB6">
        <w:rPr>
          <w:rFonts w:ascii="Arial" w:hAnsi="Arial" w:cs="Arial"/>
          <w:sz w:val="18"/>
          <w:szCs w:val="18"/>
          <w:lang w:val="es-ES_tradnl"/>
        </w:rPr>
        <w:fldChar w:fldCharType="begin"/>
      </w:r>
      <w:r w:rsidR="00204AB6">
        <w:rPr>
          <w:rFonts w:ascii="Arial" w:hAnsi="Arial" w:cs="Arial"/>
          <w:sz w:val="18"/>
          <w:szCs w:val="18"/>
          <w:lang w:val="es-ES_tradnl"/>
        </w:rPr>
        <w:instrText xml:space="preserve"> HYPERLINK "http://</w:instrText>
      </w:r>
      <w:r w:rsidR="00204AB6" w:rsidRPr="00204AB6">
        <w:rPr>
          <w:rFonts w:ascii="Arial" w:hAnsi="Arial" w:cs="Arial"/>
          <w:sz w:val="18"/>
          <w:szCs w:val="18"/>
          <w:lang w:val="es-ES_tradnl"/>
        </w:rPr>
        <w:instrText>www.pops.int/</w:instrText>
      </w:r>
      <w:r w:rsidR="00204AB6">
        <w:rPr>
          <w:rFonts w:ascii="Arial" w:hAnsi="Arial" w:cs="Arial"/>
          <w:sz w:val="18"/>
          <w:szCs w:val="18"/>
          <w:lang w:val="es-ES_tradnl"/>
        </w:rPr>
        <w:instrText xml:space="preserve">" </w:instrText>
      </w:r>
      <w:r w:rsidR="00204AB6">
        <w:rPr>
          <w:rFonts w:ascii="Arial" w:hAnsi="Arial" w:cs="Arial"/>
          <w:sz w:val="18"/>
          <w:szCs w:val="18"/>
          <w:lang w:val="es-ES_tradnl"/>
        </w:rPr>
        <w:fldChar w:fldCharType="separate"/>
      </w:r>
      <w:bookmarkStart w:id="65" w:name="_Hlk12028952"/>
      <w:r w:rsidR="00204AB6" w:rsidRPr="00086401">
        <w:rPr>
          <w:rStyle w:val="Hyperlink"/>
          <w:rFonts w:ascii="Arial" w:hAnsi="Arial" w:cs="Arial"/>
          <w:sz w:val="18"/>
          <w:szCs w:val="18"/>
          <w:lang w:val="es-ES_tradnl"/>
        </w:rPr>
        <w:t>www.pops.int</w:t>
      </w:r>
      <w:bookmarkEnd w:id="65"/>
      <w:r w:rsidR="00204AB6" w:rsidRPr="00086401">
        <w:rPr>
          <w:rStyle w:val="Hyperlink"/>
          <w:rFonts w:ascii="Arial" w:hAnsi="Arial" w:cs="Arial"/>
          <w:sz w:val="18"/>
          <w:szCs w:val="18"/>
          <w:lang w:val="es-ES_tradnl"/>
        </w:rPr>
        <w:t>/</w:t>
      </w:r>
      <w:r w:rsidR="00204AB6">
        <w:rPr>
          <w:rFonts w:ascii="Arial" w:hAnsi="Arial" w:cs="Arial"/>
          <w:sz w:val="18"/>
          <w:szCs w:val="18"/>
          <w:lang w:val="es-ES_tradnl"/>
        </w:rPr>
        <w:fldChar w:fldCharType="end"/>
      </w:r>
      <w:bookmarkEnd w:id="64"/>
      <w:r w:rsidRPr="00302D0C">
        <w:rPr>
          <w:rFonts w:ascii="Arial" w:hAnsi="Arial" w:cs="Arial"/>
          <w:sz w:val="18"/>
          <w:szCs w:val="18"/>
          <w:lang w:val="es-ES_tradnl"/>
        </w:rPr>
        <w:t>)</w:t>
      </w:r>
    </w:p>
  </w:footnote>
  <w:footnote w:id="13">
    <w:p w14:paraId="463505DD" w14:textId="14509896"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593385">
        <w:rPr>
          <w:rFonts w:ascii="Arial" w:hAnsi="Arial" w:cs="Arial"/>
          <w:sz w:val="18"/>
          <w:szCs w:val="18"/>
          <w:lang w:val="es-ES_tradnl"/>
        </w:rPr>
        <w:tab/>
      </w:r>
      <w:r w:rsidRPr="00302D0C">
        <w:rPr>
          <w:rFonts w:ascii="Arial" w:hAnsi="Arial" w:cs="Arial"/>
          <w:sz w:val="18"/>
          <w:szCs w:val="18"/>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w:t>
      </w:r>
      <w:bookmarkStart w:id="66" w:name="_Hlk12028696"/>
      <w:r w:rsidR="00204AB6" w:rsidRPr="00204AB6">
        <w:rPr>
          <w:rFonts w:ascii="Arial" w:hAnsi="Arial" w:cs="Arial"/>
          <w:sz w:val="18"/>
          <w:szCs w:val="18"/>
          <w:lang w:val="es-ES_tradnl"/>
        </w:rPr>
        <w:t>https://www.undp.org/content/undp/en/home/2030-agenda-for-sustainable-development/planet/environment-and-natural-capital/montreal-protocol.html</w:t>
      </w:r>
      <w:bookmarkEnd w:id="66"/>
      <w:r w:rsidRPr="00302D0C">
        <w:rPr>
          <w:rFonts w:ascii="Arial" w:hAnsi="Arial" w:cs="Arial"/>
          <w:sz w:val="18"/>
          <w:szCs w:val="18"/>
          <w:lang w:val="es-ES_tradnl"/>
        </w:rPr>
        <w:t>).</w:t>
      </w:r>
    </w:p>
  </w:footnote>
  <w:footnote w:id="14">
    <w:p w14:paraId="7B2EC39D" w14:textId="72FA6AE9" w:rsidR="00ED7034" w:rsidRPr="00302D0C" w:rsidRDefault="00ED7034"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593385">
        <w:rPr>
          <w:rFonts w:ascii="Arial" w:hAnsi="Arial" w:cs="Arial"/>
          <w:sz w:val="18"/>
          <w:szCs w:val="18"/>
          <w:lang w:val="es-ES_tradnl"/>
        </w:rPr>
        <w:tab/>
      </w:r>
      <w:r w:rsidRPr="00302D0C">
        <w:rPr>
          <w:rFonts w:ascii="Arial" w:hAnsi="Arial" w:cs="Arial"/>
          <w:sz w:val="18"/>
          <w:szCs w:val="18"/>
          <w:lang w:val="es-ES_tradnl"/>
        </w:rPr>
        <w:t>Definido en el Convenio de Basilea (www.basel.int)</w:t>
      </w:r>
    </w:p>
  </w:footnote>
  <w:footnote w:id="15">
    <w:p w14:paraId="1DB44041" w14:textId="0BE4643C" w:rsidR="00ED7034" w:rsidRPr="00302D0C" w:rsidRDefault="00ED7034" w:rsidP="00593385">
      <w:pPr>
        <w:pStyle w:val="Default"/>
        <w:tabs>
          <w:tab w:val="left" w:pos="270"/>
        </w:tabs>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lang w:val="es-ES_tradnl"/>
        </w:rPr>
        <w:t xml:space="preserve"> </w:t>
      </w:r>
      <w:r w:rsidR="00593385">
        <w:rPr>
          <w:rFonts w:ascii="Arial" w:hAnsi="Arial" w:cs="Arial"/>
          <w:sz w:val="18"/>
          <w:szCs w:val="18"/>
          <w:lang w:val="es-ES_tradnl"/>
        </w:rPr>
        <w:tab/>
      </w:r>
      <w:r w:rsidRPr="00302D0C">
        <w:rPr>
          <w:rFonts w:ascii="Arial" w:hAnsi="Arial" w:cs="Arial"/>
          <w:sz w:val="18"/>
          <w:szCs w:val="18"/>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footnote>
  <w:footnote w:id="16">
    <w:p w14:paraId="3CA5D10F" w14:textId="53E60160" w:rsidR="00822D41" w:rsidRPr="00302D0C" w:rsidRDefault="00822D41" w:rsidP="00593385">
      <w:pPr>
        <w:pStyle w:val="FootnoteText"/>
        <w:tabs>
          <w:tab w:val="left" w:pos="270"/>
        </w:tabs>
        <w:spacing w:after="0"/>
        <w:ind w:left="270" w:hanging="270"/>
        <w:rPr>
          <w:rFonts w:ascii="Arial" w:hAnsi="Arial" w:cs="Arial"/>
          <w:sz w:val="18"/>
          <w:szCs w:val="18"/>
          <w:lang w:val="es-ES_tradnl"/>
        </w:rPr>
      </w:pPr>
      <w:r w:rsidRPr="00302D0C">
        <w:rPr>
          <w:rStyle w:val="FootnoteReference"/>
          <w:rFonts w:ascii="Arial" w:hAnsi="Arial" w:cs="Arial"/>
          <w:sz w:val="18"/>
          <w:szCs w:val="18"/>
        </w:rPr>
        <w:footnoteRef/>
      </w:r>
      <w:r w:rsidRPr="00302D0C">
        <w:rPr>
          <w:rFonts w:ascii="Arial" w:hAnsi="Arial" w:cs="Arial"/>
          <w:sz w:val="18"/>
          <w:szCs w:val="18"/>
        </w:rPr>
        <w:t xml:space="preserve"> </w:t>
      </w:r>
      <w:r w:rsidR="00593385">
        <w:rPr>
          <w:rFonts w:ascii="Arial" w:hAnsi="Arial" w:cs="Arial"/>
          <w:sz w:val="18"/>
          <w:szCs w:val="18"/>
        </w:rPr>
        <w:tab/>
      </w:r>
      <w:r w:rsidRPr="00302D0C">
        <w:rPr>
          <w:rFonts w:ascii="Arial" w:hAnsi="Arial" w:cs="Arial"/>
          <w:color w:val="000000"/>
          <w:sz w:val="18"/>
          <w:szCs w:val="18"/>
          <w:lang w:val="es-ES_tradnl"/>
        </w:rPr>
        <w:t>Sitios culturales críticos incluyen sin limitarse a ello las áreas protegidas (o propuestas oficialmente por el Gobierno para protección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42622" w14:textId="77777777" w:rsidR="00506A08" w:rsidRDefault="00851F42">
    <w:pPr>
      <w:pStyle w:val="Header"/>
      <w:jc w:val="center"/>
      <w:rPr>
        <w:rStyle w:val="PageNumber"/>
      </w:rPr>
    </w:pPr>
    <w:r>
      <w:rPr>
        <w:noProof/>
      </w:rPr>
      <w:pict w14:anchorId="210808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467693" o:spid="_x0000_s2051" type="#_x0000_t136" style="position:absolute;left:0;text-align:left;margin-left:0;margin-top:0;width:487.25pt;height:121.8pt;rotation:315;z-index:-251658240;mso-wrap-edited:f;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506A08">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A017" w14:textId="77777777" w:rsidR="00506A08" w:rsidRDefault="00851F42">
    <w:pPr>
      <w:pStyle w:val="Header"/>
    </w:pPr>
    <w:r>
      <w:rPr>
        <w:noProof/>
      </w:rPr>
      <w:pict w14:anchorId="4C40AB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467694" o:spid="_x0000_s2050" type="#_x0000_t136" style="position:absolute;margin-left:0;margin-top:0;width:487.25pt;height:121.8pt;rotation:315;z-index:-251658239;mso-wrap-edited:f;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A5CBA" w14:textId="77777777" w:rsidR="00506A08" w:rsidRDefault="00851F42">
    <w:pPr>
      <w:pStyle w:val="Header"/>
    </w:pPr>
    <w:r>
      <w:rPr>
        <w:noProof/>
      </w:rPr>
      <w:pict w14:anchorId="6811C6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467692" o:spid="_x0000_s2049" type="#_x0000_t136" style="position:absolute;margin-left:0;margin-top:0;width:487.25pt;height:121.8pt;rotation:315;z-index:-251658238;mso-wrap-edited:f;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E51AA"/>
    <w:multiLevelType w:val="hybridMultilevel"/>
    <w:tmpl w:val="9EC8FA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94635C"/>
    <w:multiLevelType w:val="multilevel"/>
    <w:tmpl w:val="5164E35E"/>
    <w:lvl w:ilvl="0">
      <w:start w:val="1"/>
      <w:numFmt w:val="upperRoman"/>
      <w:lvlRestart w:val="0"/>
      <w:pStyle w:val="Chapter"/>
      <w:lvlText w:val="%1."/>
      <w:lvlJc w:val="center"/>
      <w:pPr>
        <w:tabs>
          <w:tab w:val="num" w:pos="7470"/>
        </w:tabs>
        <w:ind w:left="6822" w:firstLine="288"/>
      </w:pPr>
      <w:rPr>
        <w:b/>
        <w:i w:val="0"/>
      </w:rPr>
    </w:lvl>
    <w:lvl w:ilvl="1">
      <w:start w:val="1"/>
      <w:numFmt w:val="decimal"/>
      <w:pStyle w:val="Paragraph"/>
      <w:isLgl/>
      <w:lvlText w:val="%1.%2"/>
      <w:lvlJc w:val="left"/>
      <w:pPr>
        <w:tabs>
          <w:tab w:val="num" w:pos="1580"/>
        </w:tabs>
        <w:ind w:left="1580" w:hanging="1296"/>
      </w:pPr>
      <w:rPr>
        <w:b w:val="0"/>
      </w:rPr>
    </w:lvl>
    <w:lvl w:ilvl="2">
      <w:start w:val="1"/>
      <w:numFmt w:val="lowerLetter"/>
      <w:pStyle w:val="subpar"/>
      <w:lvlText w:val="%3."/>
      <w:lvlJc w:val="left"/>
      <w:pPr>
        <w:tabs>
          <w:tab w:val="num" w:pos="1242"/>
        </w:tabs>
        <w:ind w:left="1242" w:hanging="432"/>
      </w:pPr>
      <w:rPr>
        <w:strike w:val="0"/>
      </w:rPr>
    </w:lvl>
    <w:lvl w:ilvl="3">
      <w:start w:val="1"/>
      <w:numFmt w:val="bullet"/>
      <w:pStyle w:val="SubSubPar"/>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307F46EE"/>
    <w:multiLevelType w:val="hybridMultilevel"/>
    <w:tmpl w:val="C3367B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ES" w:vendorID="64" w:dllVersion="6" w:nlCheck="1" w:checkStyle="1"/>
  <w:activeWritingStyle w:appName="MSWord" w:lang="es-BO" w:vendorID="64" w:dllVersion="6" w:nlCheck="1" w:checkStyle="1"/>
  <w:activeWritingStyle w:appName="MSWord" w:lang="es-PY"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es-PY" w:vendorID="64" w:dllVersion="0" w:nlCheck="1" w:checkStyle="0"/>
  <w:activeWritingStyle w:appName="MSWord" w:lang="pt-BR" w:vendorID="64" w:dllVersion="0" w:nlCheck="1" w:checkStyle="0"/>
  <w:activeWritingStyle w:appName="MSWord" w:lang="es-BO" w:vendorID="64" w:dllVersion="0" w:nlCheck="1" w:checkStyle="0"/>
  <w:activeWritingStyle w:appName="MSWord" w:lang="es-CO" w:vendorID="64" w:dllVersion="6" w:nlCheck="1" w:checkStyle="1"/>
  <w:activeWritingStyle w:appName="MSWord" w:lang="es-419" w:vendorID="64" w:dllVersion="0" w:nlCheck="1" w:checkStyle="0"/>
  <w:proofState w:spelling="clean"/>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48F"/>
    <w:rsid w:val="0000386D"/>
    <w:rsid w:val="0000389C"/>
    <w:rsid w:val="000063CA"/>
    <w:rsid w:val="00010EF8"/>
    <w:rsid w:val="000126DD"/>
    <w:rsid w:val="00012B1C"/>
    <w:rsid w:val="0001500E"/>
    <w:rsid w:val="00015937"/>
    <w:rsid w:val="00017191"/>
    <w:rsid w:val="00020223"/>
    <w:rsid w:val="00021D87"/>
    <w:rsid w:val="000231E7"/>
    <w:rsid w:val="0002527A"/>
    <w:rsid w:val="00026642"/>
    <w:rsid w:val="00027FD2"/>
    <w:rsid w:val="0003047E"/>
    <w:rsid w:val="0003265D"/>
    <w:rsid w:val="000345AC"/>
    <w:rsid w:val="0003616F"/>
    <w:rsid w:val="000367D0"/>
    <w:rsid w:val="00036D15"/>
    <w:rsid w:val="0004309F"/>
    <w:rsid w:val="00044F52"/>
    <w:rsid w:val="00045048"/>
    <w:rsid w:val="00046C39"/>
    <w:rsid w:val="000529B4"/>
    <w:rsid w:val="00052E7A"/>
    <w:rsid w:val="000539FC"/>
    <w:rsid w:val="00055578"/>
    <w:rsid w:val="00056DC2"/>
    <w:rsid w:val="00062D32"/>
    <w:rsid w:val="00063E59"/>
    <w:rsid w:val="00063F9E"/>
    <w:rsid w:val="000649C4"/>
    <w:rsid w:val="00066A57"/>
    <w:rsid w:val="00067E85"/>
    <w:rsid w:val="000736D5"/>
    <w:rsid w:val="00073954"/>
    <w:rsid w:val="00075A7B"/>
    <w:rsid w:val="00076CE0"/>
    <w:rsid w:val="000772A7"/>
    <w:rsid w:val="0008100D"/>
    <w:rsid w:val="00084827"/>
    <w:rsid w:val="0008526A"/>
    <w:rsid w:val="00090501"/>
    <w:rsid w:val="000930A5"/>
    <w:rsid w:val="00093F42"/>
    <w:rsid w:val="000945A8"/>
    <w:rsid w:val="0009501A"/>
    <w:rsid w:val="000951BD"/>
    <w:rsid w:val="000976B9"/>
    <w:rsid w:val="0009785C"/>
    <w:rsid w:val="00097F77"/>
    <w:rsid w:val="000A51B1"/>
    <w:rsid w:val="000A562D"/>
    <w:rsid w:val="000A5ED8"/>
    <w:rsid w:val="000A6FF7"/>
    <w:rsid w:val="000B0EAB"/>
    <w:rsid w:val="000B331B"/>
    <w:rsid w:val="000B4EB3"/>
    <w:rsid w:val="000B4FA7"/>
    <w:rsid w:val="000B512A"/>
    <w:rsid w:val="000B53C4"/>
    <w:rsid w:val="000B6705"/>
    <w:rsid w:val="000B69F9"/>
    <w:rsid w:val="000C0030"/>
    <w:rsid w:val="000C0E07"/>
    <w:rsid w:val="000C12EC"/>
    <w:rsid w:val="000C175E"/>
    <w:rsid w:val="000C18C1"/>
    <w:rsid w:val="000C4CC7"/>
    <w:rsid w:val="000C6799"/>
    <w:rsid w:val="000D0405"/>
    <w:rsid w:val="000D0FC9"/>
    <w:rsid w:val="000D2828"/>
    <w:rsid w:val="000D2A46"/>
    <w:rsid w:val="000D3A73"/>
    <w:rsid w:val="000D688A"/>
    <w:rsid w:val="000E0437"/>
    <w:rsid w:val="000E0902"/>
    <w:rsid w:val="000E0BC6"/>
    <w:rsid w:val="000E15CB"/>
    <w:rsid w:val="000E1AA7"/>
    <w:rsid w:val="000E21D3"/>
    <w:rsid w:val="000E22F3"/>
    <w:rsid w:val="000E3273"/>
    <w:rsid w:val="000E62AE"/>
    <w:rsid w:val="000E7E61"/>
    <w:rsid w:val="000F2BBA"/>
    <w:rsid w:val="000F4C0C"/>
    <w:rsid w:val="000F566D"/>
    <w:rsid w:val="000F7756"/>
    <w:rsid w:val="001008B9"/>
    <w:rsid w:val="00102C23"/>
    <w:rsid w:val="0010496B"/>
    <w:rsid w:val="00107E28"/>
    <w:rsid w:val="001131D9"/>
    <w:rsid w:val="00113E05"/>
    <w:rsid w:val="00115D75"/>
    <w:rsid w:val="00120031"/>
    <w:rsid w:val="0012024F"/>
    <w:rsid w:val="0012510D"/>
    <w:rsid w:val="001358A5"/>
    <w:rsid w:val="00135D0C"/>
    <w:rsid w:val="00136257"/>
    <w:rsid w:val="00136595"/>
    <w:rsid w:val="001365EA"/>
    <w:rsid w:val="00137F9C"/>
    <w:rsid w:val="00140156"/>
    <w:rsid w:val="00141DFF"/>
    <w:rsid w:val="00142EEB"/>
    <w:rsid w:val="00143E3D"/>
    <w:rsid w:val="0014448E"/>
    <w:rsid w:val="00145462"/>
    <w:rsid w:val="0014597F"/>
    <w:rsid w:val="001465DD"/>
    <w:rsid w:val="00147A53"/>
    <w:rsid w:val="00147C0C"/>
    <w:rsid w:val="00147DFD"/>
    <w:rsid w:val="00152351"/>
    <w:rsid w:val="00152BF3"/>
    <w:rsid w:val="001538F7"/>
    <w:rsid w:val="0015394D"/>
    <w:rsid w:val="00155CB9"/>
    <w:rsid w:val="001569FB"/>
    <w:rsid w:val="00160A39"/>
    <w:rsid w:val="00163258"/>
    <w:rsid w:val="00163A51"/>
    <w:rsid w:val="0016495B"/>
    <w:rsid w:val="00166DE8"/>
    <w:rsid w:val="001670D0"/>
    <w:rsid w:val="00167F7D"/>
    <w:rsid w:val="00173109"/>
    <w:rsid w:val="00173B72"/>
    <w:rsid w:val="001761E5"/>
    <w:rsid w:val="00176FCB"/>
    <w:rsid w:val="001805CC"/>
    <w:rsid w:val="001821F8"/>
    <w:rsid w:val="00187AE9"/>
    <w:rsid w:val="0019116D"/>
    <w:rsid w:val="0019130B"/>
    <w:rsid w:val="00191A18"/>
    <w:rsid w:val="00194065"/>
    <w:rsid w:val="0019470D"/>
    <w:rsid w:val="00197182"/>
    <w:rsid w:val="001A20C7"/>
    <w:rsid w:val="001A2C05"/>
    <w:rsid w:val="001A4E87"/>
    <w:rsid w:val="001A5692"/>
    <w:rsid w:val="001A7254"/>
    <w:rsid w:val="001B0FA9"/>
    <w:rsid w:val="001B2201"/>
    <w:rsid w:val="001B2446"/>
    <w:rsid w:val="001B28FE"/>
    <w:rsid w:val="001B42A5"/>
    <w:rsid w:val="001C092B"/>
    <w:rsid w:val="001C3E04"/>
    <w:rsid w:val="001C568A"/>
    <w:rsid w:val="001C677D"/>
    <w:rsid w:val="001D1D2B"/>
    <w:rsid w:val="001D23AC"/>
    <w:rsid w:val="001D3720"/>
    <w:rsid w:val="001D47B2"/>
    <w:rsid w:val="001D7990"/>
    <w:rsid w:val="001D7FBA"/>
    <w:rsid w:val="001E17AF"/>
    <w:rsid w:val="001E23AC"/>
    <w:rsid w:val="001E39CE"/>
    <w:rsid w:val="001E41E5"/>
    <w:rsid w:val="001E45B6"/>
    <w:rsid w:val="001F32EE"/>
    <w:rsid w:val="001F5C08"/>
    <w:rsid w:val="0020032D"/>
    <w:rsid w:val="002030E3"/>
    <w:rsid w:val="00204AB6"/>
    <w:rsid w:val="0020518C"/>
    <w:rsid w:val="00207C72"/>
    <w:rsid w:val="002120CC"/>
    <w:rsid w:val="002144C6"/>
    <w:rsid w:val="002163F6"/>
    <w:rsid w:val="00216A9B"/>
    <w:rsid w:val="00216E44"/>
    <w:rsid w:val="0021703F"/>
    <w:rsid w:val="0022021B"/>
    <w:rsid w:val="00222BFA"/>
    <w:rsid w:val="00225B8C"/>
    <w:rsid w:val="00231A21"/>
    <w:rsid w:val="002335AF"/>
    <w:rsid w:val="00235780"/>
    <w:rsid w:val="00236AC4"/>
    <w:rsid w:val="00240693"/>
    <w:rsid w:val="00240B8F"/>
    <w:rsid w:val="00241789"/>
    <w:rsid w:val="002422D7"/>
    <w:rsid w:val="002429AB"/>
    <w:rsid w:val="00242D7D"/>
    <w:rsid w:val="00243DBC"/>
    <w:rsid w:val="00244940"/>
    <w:rsid w:val="002450DB"/>
    <w:rsid w:val="002452C5"/>
    <w:rsid w:val="002518C5"/>
    <w:rsid w:val="00251DB4"/>
    <w:rsid w:val="002529D3"/>
    <w:rsid w:val="00252BF4"/>
    <w:rsid w:val="002536D7"/>
    <w:rsid w:val="002553DA"/>
    <w:rsid w:val="00255AA4"/>
    <w:rsid w:val="00260797"/>
    <w:rsid w:val="0026111F"/>
    <w:rsid w:val="0026193F"/>
    <w:rsid w:val="0026614F"/>
    <w:rsid w:val="0027375D"/>
    <w:rsid w:val="00274531"/>
    <w:rsid w:val="0027523D"/>
    <w:rsid w:val="00280113"/>
    <w:rsid w:val="00284DE3"/>
    <w:rsid w:val="00286B12"/>
    <w:rsid w:val="0029493A"/>
    <w:rsid w:val="0029660D"/>
    <w:rsid w:val="00296E81"/>
    <w:rsid w:val="002A0781"/>
    <w:rsid w:val="002A308C"/>
    <w:rsid w:val="002A50B3"/>
    <w:rsid w:val="002A62DE"/>
    <w:rsid w:val="002A71A3"/>
    <w:rsid w:val="002B448A"/>
    <w:rsid w:val="002B77C1"/>
    <w:rsid w:val="002B7B0C"/>
    <w:rsid w:val="002C0DA3"/>
    <w:rsid w:val="002C1A07"/>
    <w:rsid w:val="002C512B"/>
    <w:rsid w:val="002C5C60"/>
    <w:rsid w:val="002C61E2"/>
    <w:rsid w:val="002C69F0"/>
    <w:rsid w:val="002D1422"/>
    <w:rsid w:val="002D2071"/>
    <w:rsid w:val="002D4EE2"/>
    <w:rsid w:val="002D610E"/>
    <w:rsid w:val="002E01F5"/>
    <w:rsid w:val="002E0864"/>
    <w:rsid w:val="002E3A79"/>
    <w:rsid w:val="002E64BF"/>
    <w:rsid w:val="002E6F81"/>
    <w:rsid w:val="002F3F7A"/>
    <w:rsid w:val="002F52A2"/>
    <w:rsid w:val="002F79E9"/>
    <w:rsid w:val="003000D8"/>
    <w:rsid w:val="0030057C"/>
    <w:rsid w:val="00300EF5"/>
    <w:rsid w:val="00300F38"/>
    <w:rsid w:val="003020F2"/>
    <w:rsid w:val="00302D0C"/>
    <w:rsid w:val="00307FDE"/>
    <w:rsid w:val="00312710"/>
    <w:rsid w:val="00312C02"/>
    <w:rsid w:val="0031555F"/>
    <w:rsid w:val="00322F9D"/>
    <w:rsid w:val="00331354"/>
    <w:rsid w:val="00331960"/>
    <w:rsid w:val="003337EF"/>
    <w:rsid w:val="003343BF"/>
    <w:rsid w:val="00334513"/>
    <w:rsid w:val="0033594B"/>
    <w:rsid w:val="00336317"/>
    <w:rsid w:val="00337DF6"/>
    <w:rsid w:val="003403A6"/>
    <w:rsid w:val="00340A20"/>
    <w:rsid w:val="00341659"/>
    <w:rsid w:val="00344FF3"/>
    <w:rsid w:val="00345337"/>
    <w:rsid w:val="00347BE9"/>
    <w:rsid w:val="00350ADF"/>
    <w:rsid w:val="0035254B"/>
    <w:rsid w:val="00354A37"/>
    <w:rsid w:val="00356309"/>
    <w:rsid w:val="003648C7"/>
    <w:rsid w:val="00366496"/>
    <w:rsid w:val="003751D5"/>
    <w:rsid w:val="00375F6C"/>
    <w:rsid w:val="0038073E"/>
    <w:rsid w:val="00381360"/>
    <w:rsid w:val="00381593"/>
    <w:rsid w:val="00382303"/>
    <w:rsid w:val="0038244C"/>
    <w:rsid w:val="0038404E"/>
    <w:rsid w:val="00385478"/>
    <w:rsid w:val="00385648"/>
    <w:rsid w:val="00391D74"/>
    <w:rsid w:val="003A055F"/>
    <w:rsid w:val="003A4975"/>
    <w:rsid w:val="003A65AA"/>
    <w:rsid w:val="003A7210"/>
    <w:rsid w:val="003B3273"/>
    <w:rsid w:val="003B55A5"/>
    <w:rsid w:val="003B7417"/>
    <w:rsid w:val="003B7ED9"/>
    <w:rsid w:val="003C0281"/>
    <w:rsid w:val="003C08B0"/>
    <w:rsid w:val="003C1EDE"/>
    <w:rsid w:val="003C2574"/>
    <w:rsid w:val="003C2A39"/>
    <w:rsid w:val="003C3406"/>
    <w:rsid w:val="003C3F56"/>
    <w:rsid w:val="003C4789"/>
    <w:rsid w:val="003C6913"/>
    <w:rsid w:val="003D0081"/>
    <w:rsid w:val="003D0E79"/>
    <w:rsid w:val="003D7780"/>
    <w:rsid w:val="003E1492"/>
    <w:rsid w:val="003E254F"/>
    <w:rsid w:val="003E3830"/>
    <w:rsid w:val="003E5F08"/>
    <w:rsid w:val="003F024B"/>
    <w:rsid w:val="003F13E4"/>
    <w:rsid w:val="003F1951"/>
    <w:rsid w:val="003F3F9D"/>
    <w:rsid w:val="003F45CC"/>
    <w:rsid w:val="003F75E2"/>
    <w:rsid w:val="004005CE"/>
    <w:rsid w:val="00400DDC"/>
    <w:rsid w:val="00402578"/>
    <w:rsid w:val="004126EB"/>
    <w:rsid w:val="00414B1C"/>
    <w:rsid w:val="00415105"/>
    <w:rsid w:val="004175BF"/>
    <w:rsid w:val="00422C4C"/>
    <w:rsid w:val="00423C54"/>
    <w:rsid w:val="00425239"/>
    <w:rsid w:val="00431660"/>
    <w:rsid w:val="00431EEA"/>
    <w:rsid w:val="00432329"/>
    <w:rsid w:val="00440BCD"/>
    <w:rsid w:val="00441ED6"/>
    <w:rsid w:val="0044256B"/>
    <w:rsid w:val="00444D99"/>
    <w:rsid w:val="0044568B"/>
    <w:rsid w:val="00452377"/>
    <w:rsid w:val="00454839"/>
    <w:rsid w:val="00456851"/>
    <w:rsid w:val="00460D96"/>
    <w:rsid w:val="00460F92"/>
    <w:rsid w:val="00461088"/>
    <w:rsid w:val="00464D20"/>
    <w:rsid w:val="004658F2"/>
    <w:rsid w:val="00465B0C"/>
    <w:rsid w:val="00466657"/>
    <w:rsid w:val="004674D9"/>
    <w:rsid w:val="00467616"/>
    <w:rsid w:val="004679CA"/>
    <w:rsid w:val="00470431"/>
    <w:rsid w:val="004718AC"/>
    <w:rsid w:val="00474BF8"/>
    <w:rsid w:val="0047786D"/>
    <w:rsid w:val="0048040D"/>
    <w:rsid w:val="004827F2"/>
    <w:rsid w:val="00482E8E"/>
    <w:rsid w:val="00486F7F"/>
    <w:rsid w:val="00490510"/>
    <w:rsid w:val="00493B03"/>
    <w:rsid w:val="00494AD0"/>
    <w:rsid w:val="00496448"/>
    <w:rsid w:val="00496791"/>
    <w:rsid w:val="00497FDF"/>
    <w:rsid w:val="004A0072"/>
    <w:rsid w:val="004A0DC1"/>
    <w:rsid w:val="004A1317"/>
    <w:rsid w:val="004A1454"/>
    <w:rsid w:val="004A3885"/>
    <w:rsid w:val="004B15F7"/>
    <w:rsid w:val="004B1802"/>
    <w:rsid w:val="004B183C"/>
    <w:rsid w:val="004B4D67"/>
    <w:rsid w:val="004B72FB"/>
    <w:rsid w:val="004B7882"/>
    <w:rsid w:val="004C0EBE"/>
    <w:rsid w:val="004C224B"/>
    <w:rsid w:val="004C6885"/>
    <w:rsid w:val="004D5060"/>
    <w:rsid w:val="004D59AF"/>
    <w:rsid w:val="004D78A8"/>
    <w:rsid w:val="004D7F0F"/>
    <w:rsid w:val="004E1224"/>
    <w:rsid w:val="004E12D3"/>
    <w:rsid w:val="004E1957"/>
    <w:rsid w:val="004E5FE6"/>
    <w:rsid w:val="004E60E5"/>
    <w:rsid w:val="004F045F"/>
    <w:rsid w:val="004F16B9"/>
    <w:rsid w:val="004F2F76"/>
    <w:rsid w:val="004F460E"/>
    <w:rsid w:val="004F4F99"/>
    <w:rsid w:val="005004DD"/>
    <w:rsid w:val="00500794"/>
    <w:rsid w:val="005019E3"/>
    <w:rsid w:val="00502F49"/>
    <w:rsid w:val="00503066"/>
    <w:rsid w:val="005032B1"/>
    <w:rsid w:val="005063CA"/>
    <w:rsid w:val="005064F4"/>
    <w:rsid w:val="00506A08"/>
    <w:rsid w:val="0051014B"/>
    <w:rsid w:val="005164C3"/>
    <w:rsid w:val="00517EB3"/>
    <w:rsid w:val="00520DD5"/>
    <w:rsid w:val="00522C2C"/>
    <w:rsid w:val="0052620D"/>
    <w:rsid w:val="00530238"/>
    <w:rsid w:val="005303C4"/>
    <w:rsid w:val="00530813"/>
    <w:rsid w:val="0053098A"/>
    <w:rsid w:val="00531232"/>
    <w:rsid w:val="00535BA3"/>
    <w:rsid w:val="00540CEF"/>
    <w:rsid w:val="0054165B"/>
    <w:rsid w:val="00544673"/>
    <w:rsid w:val="0054643D"/>
    <w:rsid w:val="005476B1"/>
    <w:rsid w:val="005509DD"/>
    <w:rsid w:val="00553299"/>
    <w:rsid w:val="00554A86"/>
    <w:rsid w:val="00556A65"/>
    <w:rsid w:val="00562550"/>
    <w:rsid w:val="00562981"/>
    <w:rsid w:val="005636FC"/>
    <w:rsid w:val="0056624E"/>
    <w:rsid w:val="0056679D"/>
    <w:rsid w:val="0056686C"/>
    <w:rsid w:val="00567BF0"/>
    <w:rsid w:val="00567EB9"/>
    <w:rsid w:val="00572892"/>
    <w:rsid w:val="00572A60"/>
    <w:rsid w:val="00572C91"/>
    <w:rsid w:val="00574170"/>
    <w:rsid w:val="00574F14"/>
    <w:rsid w:val="00581738"/>
    <w:rsid w:val="00581C1C"/>
    <w:rsid w:val="00582337"/>
    <w:rsid w:val="00583C58"/>
    <w:rsid w:val="00585345"/>
    <w:rsid w:val="00586357"/>
    <w:rsid w:val="005869B6"/>
    <w:rsid w:val="005874F7"/>
    <w:rsid w:val="00590F18"/>
    <w:rsid w:val="00591D14"/>
    <w:rsid w:val="00592A3A"/>
    <w:rsid w:val="00593385"/>
    <w:rsid w:val="005967B1"/>
    <w:rsid w:val="00596C6B"/>
    <w:rsid w:val="005A06BF"/>
    <w:rsid w:val="005A117D"/>
    <w:rsid w:val="005A1268"/>
    <w:rsid w:val="005A6A11"/>
    <w:rsid w:val="005A6F6A"/>
    <w:rsid w:val="005A79D1"/>
    <w:rsid w:val="005A7B36"/>
    <w:rsid w:val="005B357B"/>
    <w:rsid w:val="005B4609"/>
    <w:rsid w:val="005B5F50"/>
    <w:rsid w:val="005B6232"/>
    <w:rsid w:val="005B6B79"/>
    <w:rsid w:val="005C10B5"/>
    <w:rsid w:val="005C2BD1"/>
    <w:rsid w:val="005C41A4"/>
    <w:rsid w:val="005C6B5D"/>
    <w:rsid w:val="005C6CE3"/>
    <w:rsid w:val="005C74FB"/>
    <w:rsid w:val="005D09B6"/>
    <w:rsid w:val="005D137B"/>
    <w:rsid w:val="005D1A96"/>
    <w:rsid w:val="005D3668"/>
    <w:rsid w:val="005D6AE0"/>
    <w:rsid w:val="005E0BA5"/>
    <w:rsid w:val="005E120E"/>
    <w:rsid w:val="005E1395"/>
    <w:rsid w:val="005E419C"/>
    <w:rsid w:val="005E5078"/>
    <w:rsid w:val="005E529D"/>
    <w:rsid w:val="005E724D"/>
    <w:rsid w:val="005F0944"/>
    <w:rsid w:val="005F3585"/>
    <w:rsid w:val="005F5DDC"/>
    <w:rsid w:val="005F6693"/>
    <w:rsid w:val="005F74A8"/>
    <w:rsid w:val="006003E2"/>
    <w:rsid w:val="0060049E"/>
    <w:rsid w:val="00600F69"/>
    <w:rsid w:val="00601350"/>
    <w:rsid w:val="00601D09"/>
    <w:rsid w:val="00602506"/>
    <w:rsid w:val="006058E0"/>
    <w:rsid w:val="00605936"/>
    <w:rsid w:val="00607300"/>
    <w:rsid w:val="00607400"/>
    <w:rsid w:val="0061571B"/>
    <w:rsid w:val="00620B29"/>
    <w:rsid w:val="006232AC"/>
    <w:rsid w:val="00624EE7"/>
    <w:rsid w:val="00632057"/>
    <w:rsid w:val="006337D7"/>
    <w:rsid w:val="00634BA1"/>
    <w:rsid w:val="006353A9"/>
    <w:rsid w:val="00635BF6"/>
    <w:rsid w:val="00636493"/>
    <w:rsid w:val="00637210"/>
    <w:rsid w:val="00640586"/>
    <w:rsid w:val="006407C4"/>
    <w:rsid w:val="006417FF"/>
    <w:rsid w:val="00645813"/>
    <w:rsid w:val="00645DD1"/>
    <w:rsid w:val="00650B60"/>
    <w:rsid w:val="00651D53"/>
    <w:rsid w:val="00651EC9"/>
    <w:rsid w:val="006530B3"/>
    <w:rsid w:val="00656228"/>
    <w:rsid w:val="0065714F"/>
    <w:rsid w:val="006573CC"/>
    <w:rsid w:val="006609FD"/>
    <w:rsid w:val="00662660"/>
    <w:rsid w:val="00662F50"/>
    <w:rsid w:val="00663CB8"/>
    <w:rsid w:val="0066574D"/>
    <w:rsid w:val="00670807"/>
    <w:rsid w:val="00670DD7"/>
    <w:rsid w:val="00671724"/>
    <w:rsid w:val="0067247C"/>
    <w:rsid w:val="00676FCC"/>
    <w:rsid w:val="00677DC8"/>
    <w:rsid w:val="00680065"/>
    <w:rsid w:val="0068114D"/>
    <w:rsid w:val="00683B27"/>
    <w:rsid w:val="006844DC"/>
    <w:rsid w:val="0068535F"/>
    <w:rsid w:val="0068600B"/>
    <w:rsid w:val="006863B5"/>
    <w:rsid w:val="00690EB0"/>
    <w:rsid w:val="00691DF8"/>
    <w:rsid w:val="006928DE"/>
    <w:rsid w:val="00694486"/>
    <w:rsid w:val="0069653A"/>
    <w:rsid w:val="00696648"/>
    <w:rsid w:val="006A00CF"/>
    <w:rsid w:val="006A20B7"/>
    <w:rsid w:val="006A5AEC"/>
    <w:rsid w:val="006A6FC7"/>
    <w:rsid w:val="006B0DF0"/>
    <w:rsid w:val="006B173B"/>
    <w:rsid w:val="006B1F51"/>
    <w:rsid w:val="006B2366"/>
    <w:rsid w:val="006B24A0"/>
    <w:rsid w:val="006B2B79"/>
    <w:rsid w:val="006B5750"/>
    <w:rsid w:val="006B680D"/>
    <w:rsid w:val="006C053D"/>
    <w:rsid w:val="006C0E2D"/>
    <w:rsid w:val="006C290C"/>
    <w:rsid w:val="006C6B35"/>
    <w:rsid w:val="006C7960"/>
    <w:rsid w:val="006D3E6D"/>
    <w:rsid w:val="006D3EDC"/>
    <w:rsid w:val="006D4667"/>
    <w:rsid w:val="006E0683"/>
    <w:rsid w:val="006E0AFB"/>
    <w:rsid w:val="006E2428"/>
    <w:rsid w:val="006E29F7"/>
    <w:rsid w:val="006E32EB"/>
    <w:rsid w:val="006E4C8B"/>
    <w:rsid w:val="006E55A6"/>
    <w:rsid w:val="006E63F2"/>
    <w:rsid w:val="006E6CE3"/>
    <w:rsid w:val="006F1C8E"/>
    <w:rsid w:val="006F3CB0"/>
    <w:rsid w:val="00701B52"/>
    <w:rsid w:val="007024F8"/>
    <w:rsid w:val="007038DC"/>
    <w:rsid w:val="007069EC"/>
    <w:rsid w:val="007078DD"/>
    <w:rsid w:val="007114DA"/>
    <w:rsid w:val="00714A1E"/>
    <w:rsid w:val="00716E2A"/>
    <w:rsid w:val="00716E8D"/>
    <w:rsid w:val="00721171"/>
    <w:rsid w:val="00733AF0"/>
    <w:rsid w:val="007441CA"/>
    <w:rsid w:val="007502E1"/>
    <w:rsid w:val="00752194"/>
    <w:rsid w:val="007528AA"/>
    <w:rsid w:val="007552A5"/>
    <w:rsid w:val="00755512"/>
    <w:rsid w:val="00756401"/>
    <w:rsid w:val="007600E9"/>
    <w:rsid w:val="0076030C"/>
    <w:rsid w:val="007618FB"/>
    <w:rsid w:val="00761D59"/>
    <w:rsid w:val="007634B3"/>
    <w:rsid w:val="007658C9"/>
    <w:rsid w:val="0076607B"/>
    <w:rsid w:val="007668D0"/>
    <w:rsid w:val="0077044A"/>
    <w:rsid w:val="00773BE9"/>
    <w:rsid w:val="00774569"/>
    <w:rsid w:val="0077497D"/>
    <w:rsid w:val="00780B20"/>
    <w:rsid w:val="00781360"/>
    <w:rsid w:val="0078542D"/>
    <w:rsid w:val="00785B81"/>
    <w:rsid w:val="00786E3C"/>
    <w:rsid w:val="00787314"/>
    <w:rsid w:val="00787737"/>
    <w:rsid w:val="00792470"/>
    <w:rsid w:val="007948F3"/>
    <w:rsid w:val="0079724B"/>
    <w:rsid w:val="007A27E4"/>
    <w:rsid w:val="007A29B8"/>
    <w:rsid w:val="007A31CC"/>
    <w:rsid w:val="007A346B"/>
    <w:rsid w:val="007A3A39"/>
    <w:rsid w:val="007A797F"/>
    <w:rsid w:val="007B0060"/>
    <w:rsid w:val="007B36A9"/>
    <w:rsid w:val="007B3909"/>
    <w:rsid w:val="007B4E10"/>
    <w:rsid w:val="007B5434"/>
    <w:rsid w:val="007B679B"/>
    <w:rsid w:val="007C0977"/>
    <w:rsid w:val="007C0D0B"/>
    <w:rsid w:val="007C2836"/>
    <w:rsid w:val="007C386E"/>
    <w:rsid w:val="007C507B"/>
    <w:rsid w:val="007C6C61"/>
    <w:rsid w:val="007C787D"/>
    <w:rsid w:val="007D29A3"/>
    <w:rsid w:val="007D5316"/>
    <w:rsid w:val="007E4BCE"/>
    <w:rsid w:val="007E7614"/>
    <w:rsid w:val="007F131A"/>
    <w:rsid w:val="007F4B6B"/>
    <w:rsid w:val="007F7D3F"/>
    <w:rsid w:val="00803DEC"/>
    <w:rsid w:val="00805263"/>
    <w:rsid w:val="008070F0"/>
    <w:rsid w:val="00811974"/>
    <w:rsid w:val="0081325B"/>
    <w:rsid w:val="008156CA"/>
    <w:rsid w:val="00815E23"/>
    <w:rsid w:val="008166A7"/>
    <w:rsid w:val="00822D41"/>
    <w:rsid w:val="00824952"/>
    <w:rsid w:val="00825B37"/>
    <w:rsid w:val="008314A3"/>
    <w:rsid w:val="00845DBA"/>
    <w:rsid w:val="0085078C"/>
    <w:rsid w:val="00851F42"/>
    <w:rsid w:val="00852E50"/>
    <w:rsid w:val="00854A66"/>
    <w:rsid w:val="00855D61"/>
    <w:rsid w:val="00863567"/>
    <w:rsid w:val="00863BAC"/>
    <w:rsid w:val="00865054"/>
    <w:rsid w:val="008653D7"/>
    <w:rsid w:val="00866C4C"/>
    <w:rsid w:val="00867555"/>
    <w:rsid w:val="00870A70"/>
    <w:rsid w:val="00871307"/>
    <w:rsid w:val="0087150D"/>
    <w:rsid w:val="00871F8B"/>
    <w:rsid w:val="00872459"/>
    <w:rsid w:val="00872862"/>
    <w:rsid w:val="00875033"/>
    <w:rsid w:val="008752AF"/>
    <w:rsid w:val="008759FE"/>
    <w:rsid w:val="00875EC1"/>
    <w:rsid w:val="00875EDB"/>
    <w:rsid w:val="00876A5F"/>
    <w:rsid w:val="0087734E"/>
    <w:rsid w:val="00882D6C"/>
    <w:rsid w:val="00885C82"/>
    <w:rsid w:val="008930D1"/>
    <w:rsid w:val="008955CE"/>
    <w:rsid w:val="00895C1B"/>
    <w:rsid w:val="00897F88"/>
    <w:rsid w:val="008A007F"/>
    <w:rsid w:val="008A0D48"/>
    <w:rsid w:val="008A386A"/>
    <w:rsid w:val="008A4986"/>
    <w:rsid w:val="008A6311"/>
    <w:rsid w:val="008B02D3"/>
    <w:rsid w:val="008B3EC0"/>
    <w:rsid w:val="008B479A"/>
    <w:rsid w:val="008B5427"/>
    <w:rsid w:val="008B5C9E"/>
    <w:rsid w:val="008C2A65"/>
    <w:rsid w:val="008C58C5"/>
    <w:rsid w:val="008D057C"/>
    <w:rsid w:val="008D2810"/>
    <w:rsid w:val="008D73DF"/>
    <w:rsid w:val="008E0035"/>
    <w:rsid w:val="008E17C0"/>
    <w:rsid w:val="008E1C7B"/>
    <w:rsid w:val="008E1FE5"/>
    <w:rsid w:val="008E2EC1"/>
    <w:rsid w:val="008E39C6"/>
    <w:rsid w:val="008E58E5"/>
    <w:rsid w:val="008E59B1"/>
    <w:rsid w:val="008E5BA5"/>
    <w:rsid w:val="008F09F1"/>
    <w:rsid w:val="008F0B1F"/>
    <w:rsid w:val="008F27E9"/>
    <w:rsid w:val="008F2D0A"/>
    <w:rsid w:val="008F2E88"/>
    <w:rsid w:val="008F5E45"/>
    <w:rsid w:val="008F695D"/>
    <w:rsid w:val="00904C82"/>
    <w:rsid w:val="009054CD"/>
    <w:rsid w:val="00906CDF"/>
    <w:rsid w:val="00907949"/>
    <w:rsid w:val="00910BF2"/>
    <w:rsid w:val="00912F34"/>
    <w:rsid w:val="00912FEF"/>
    <w:rsid w:val="009148C0"/>
    <w:rsid w:val="009150F2"/>
    <w:rsid w:val="00916676"/>
    <w:rsid w:val="00920EBA"/>
    <w:rsid w:val="009231F9"/>
    <w:rsid w:val="00923B95"/>
    <w:rsid w:val="0093093C"/>
    <w:rsid w:val="00934453"/>
    <w:rsid w:val="0093470C"/>
    <w:rsid w:val="00934C4C"/>
    <w:rsid w:val="00943F53"/>
    <w:rsid w:val="00944774"/>
    <w:rsid w:val="00945FBF"/>
    <w:rsid w:val="00951942"/>
    <w:rsid w:val="00952D80"/>
    <w:rsid w:val="00955516"/>
    <w:rsid w:val="00957211"/>
    <w:rsid w:val="00960A3B"/>
    <w:rsid w:val="009619A5"/>
    <w:rsid w:val="00964634"/>
    <w:rsid w:val="0096782C"/>
    <w:rsid w:val="0097390F"/>
    <w:rsid w:val="009746A2"/>
    <w:rsid w:val="00975E64"/>
    <w:rsid w:val="00983E37"/>
    <w:rsid w:val="00984153"/>
    <w:rsid w:val="00984735"/>
    <w:rsid w:val="0098644E"/>
    <w:rsid w:val="00986AE2"/>
    <w:rsid w:val="00987352"/>
    <w:rsid w:val="009903DC"/>
    <w:rsid w:val="00992109"/>
    <w:rsid w:val="00994485"/>
    <w:rsid w:val="00994FA3"/>
    <w:rsid w:val="009977F4"/>
    <w:rsid w:val="009A0647"/>
    <w:rsid w:val="009A0F26"/>
    <w:rsid w:val="009A3384"/>
    <w:rsid w:val="009B1A9E"/>
    <w:rsid w:val="009B3B83"/>
    <w:rsid w:val="009B6951"/>
    <w:rsid w:val="009C0CA3"/>
    <w:rsid w:val="009C19E6"/>
    <w:rsid w:val="009C2A13"/>
    <w:rsid w:val="009C33E0"/>
    <w:rsid w:val="009C35E9"/>
    <w:rsid w:val="009C48A1"/>
    <w:rsid w:val="009C5D2E"/>
    <w:rsid w:val="009C64CE"/>
    <w:rsid w:val="009C6C08"/>
    <w:rsid w:val="009C7AD8"/>
    <w:rsid w:val="009C7BA6"/>
    <w:rsid w:val="009D0160"/>
    <w:rsid w:val="009D0FFB"/>
    <w:rsid w:val="009D105A"/>
    <w:rsid w:val="009D2E9C"/>
    <w:rsid w:val="009D3301"/>
    <w:rsid w:val="009D36F9"/>
    <w:rsid w:val="009D5313"/>
    <w:rsid w:val="009E1A08"/>
    <w:rsid w:val="009E2D3C"/>
    <w:rsid w:val="009E41F2"/>
    <w:rsid w:val="009E61FE"/>
    <w:rsid w:val="009E72B5"/>
    <w:rsid w:val="009F0CFF"/>
    <w:rsid w:val="009F56B1"/>
    <w:rsid w:val="009F6623"/>
    <w:rsid w:val="009F6B19"/>
    <w:rsid w:val="009F72F3"/>
    <w:rsid w:val="00A02C45"/>
    <w:rsid w:val="00A05A74"/>
    <w:rsid w:val="00A05C94"/>
    <w:rsid w:val="00A06E4A"/>
    <w:rsid w:val="00A1094D"/>
    <w:rsid w:val="00A16737"/>
    <w:rsid w:val="00A2181E"/>
    <w:rsid w:val="00A23510"/>
    <w:rsid w:val="00A24EA1"/>
    <w:rsid w:val="00A25DF8"/>
    <w:rsid w:val="00A2695C"/>
    <w:rsid w:val="00A30B52"/>
    <w:rsid w:val="00A33689"/>
    <w:rsid w:val="00A362A4"/>
    <w:rsid w:val="00A36CA4"/>
    <w:rsid w:val="00A408AE"/>
    <w:rsid w:val="00A43594"/>
    <w:rsid w:val="00A43EAA"/>
    <w:rsid w:val="00A442C2"/>
    <w:rsid w:val="00A4528D"/>
    <w:rsid w:val="00A45F28"/>
    <w:rsid w:val="00A5237E"/>
    <w:rsid w:val="00A54996"/>
    <w:rsid w:val="00A55AD3"/>
    <w:rsid w:val="00A565D1"/>
    <w:rsid w:val="00A62A74"/>
    <w:rsid w:val="00A6413F"/>
    <w:rsid w:val="00A64296"/>
    <w:rsid w:val="00A65465"/>
    <w:rsid w:val="00A65EB5"/>
    <w:rsid w:val="00A70B63"/>
    <w:rsid w:val="00A74433"/>
    <w:rsid w:val="00A75820"/>
    <w:rsid w:val="00A80C74"/>
    <w:rsid w:val="00A80F32"/>
    <w:rsid w:val="00A816E6"/>
    <w:rsid w:val="00A82BA8"/>
    <w:rsid w:val="00A84D6F"/>
    <w:rsid w:val="00A86A41"/>
    <w:rsid w:val="00A921F1"/>
    <w:rsid w:val="00A92264"/>
    <w:rsid w:val="00A923B6"/>
    <w:rsid w:val="00A9310D"/>
    <w:rsid w:val="00A9364C"/>
    <w:rsid w:val="00A9574E"/>
    <w:rsid w:val="00A95EB7"/>
    <w:rsid w:val="00AA04D2"/>
    <w:rsid w:val="00AA28B2"/>
    <w:rsid w:val="00AA4C76"/>
    <w:rsid w:val="00AA4D01"/>
    <w:rsid w:val="00AA71A7"/>
    <w:rsid w:val="00AB08D1"/>
    <w:rsid w:val="00AB400A"/>
    <w:rsid w:val="00AB58B0"/>
    <w:rsid w:val="00AB7320"/>
    <w:rsid w:val="00AC428A"/>
    <w:rsid w:val="00AC59DF"/>
    <w:rsid w:val="00AC5D7B"/>
    <w:rsid w:val="00AD4175"/>
    <w:rsid w:val="00AD4F7A"/>
    <w:rsid w:val="00AD61A6"/>
    <w:rsid w:val="00AD7127"/>
    <w:rsid w:val="00AD7B2D"/>
    <w:rsid w:val="00AE0592"/>
    <w:rsid w:val="00AE0F6C"/>
    <w:rsid w:val="00AE3399"/>
    <w:rsid w:val="00AE490C"/>
    <w:rsid w:val="00AE545C"/>
    <w:rsid w:val="00AE7FA7"/>
    <w:rsid w:val="00AF036B"/>
    <w:rsid w:val="00AF0595"/>
    <w:rsid w:val="00AF0DFB"/>
    <w:rsid w:val="00AF13B4"/>
    <w:rsid w:val="00AF18F0"/>
    <w:rsid w:val="00AF29EE"/>
    <w:rsid w:val="00AF44DF"/>
    <w:rsid w:val="00AF5012"/>
    <w:rsid w:val="00AF7043"/>
    <w:rsid w:val="00AF7F8E"/>
    <w:rsid w:val="00B044F1"/>
    <w:rsid w:val="00B05116"/>
    <w:rsid w:val="00B06FBB"/>
    <w:rsid w:val="00B072CE"/>
    <w:rsid w:val="00B1068F"/>
    <w:rsid w:val="00B12432"/>
    <w:rsid w:val="00B1360C"/>
    <w:rsid w:val="00B13D1F"/>
    <w:rsid w:val="00B23F0D"/>
    <w:rsid w:val="00B3024E"/>
    <w:rsid w:val="00B3024F"/>
    <w:rsid w:val="00B30FEA"/>
    <w:rsid w:val="00B350C0"/>
    <w:rsid w:val="00B35434"/>
    <w:rsid w:val="00B3616D"/>
    <w:rsid w:val="00B361FD"/>
    <w:rsid w:val="00B365A6"/>
    <w:rsid w:val="00B37379"/>
    <w:rsid w:val="00B4260D"/>
    <w:rsid w:val="00B43036"/>
    <w:rsid w:val="00B43284"/>
    <w:rsid w:val="00B4419D"/>
    <w:rsid w:val="00B44A4A"/>
    <w:rsid w:val="00B4524D"/>
    <w:rsid w:val="00B47F38"/>
    <w:rsid w:val="00B50744"/>
    <w:rsid w:val="00B50CC3"/>
    <w:rsid w:val="00B513A9"/>
    <w:rsid w:val="00B5163D"/>
    <w:rsid w:val="00B51EFD"/>
    <w:rsid w:val="00B54C59"/>
    <w:rsid w:val="00B558A4"/>
    <w:rsid w:val="00B614FA"/>
    <w:rsid w:val="00B64FCC"/>
    <w:rsid w:val="00B6526E"/>
    <w:rsid w:val="00B66BF6"/>
    <w:rsid w:val="00B703F3"/>
    <w:rsid w:val="00B706DC"/>
    <w:rsid w:val="00B71319"/>
    <w:rsid w:val="00B7286C"/>
    <w:rsid w:val="00B744ED"/>
    <w:rsid w:val="00B75EC8"/>
    <w:rsid w:val="00B77C33"/>
    <w:rsid w:val="00B8022A"/>
    <w:rsid w:val="00B8052D"/>
    <w:rsid w:val="00B812DB"/>
    <w:rsid w:val="00B8206D"/>
    <w:rsid w:val="00B84DCF"/>
    <w:rsid w:val="00B84F06"/>
    <w:rsid w:val="00B85257"/>
    <w:rsid w:val="00B86714"/>
    <w:rsid w:val="00B86DC6"/>
    <w:rsid w:val="00B948F8"/>
    <w:rsid w:val="00B94F52"/>
    <w:rsid w:val="00B95AEC"/>
    <w:rsid w:val="00B96CA7"/>
    <w:rsid w:val="00B9729D"/>
    <w:rsid w:val="00BA081D"/>
    <w:rsid w:val="00BA0B4B"/>
    <w:rsid w:val="00BA1C6A"/>
    <w:rsid w:val="00BA27B8"/>
    <w:rsid w:val="00BA3238"/>
    <w:rsid w:val="00BA58DB"/>
    <w:rsid w:val="00BA74E7"/>
    <w:rsid w:val="00BB0FCE"/>
    <w:rsid w:val="00BB0FFC"/>
    <w:rsid w:val="00BB4787"/>
    <w:rsid w:val="00BB51EC"/>
    <w:rsid w:val="00BC12C0"/>
    <w:rsid w:val="00BC3C82"/>
    <w:rsid w:val="00BD0FB1"/>
    <w:rsid w:val="00BD1094"/>
    <w:rsid w:val="00BD3ACD"/>
    <w:rsid w:val="00BD3C48"/>
    <w:rsid w:val="00BD3D31"/>
    <w:rsid w:val="00BD4983"/>
    <w:rsid w:val="00BD717E"/>
    <w:rsid w:val="00BD7617"/>
    <w:rsid w:val="00BE086E"/>
    <w:rsid w:val="00BE4107"/>
    <w:rsid w:val="00BE7B7B"/>
    <w:rsid w:val="00BF012A"/>
    <w:rsid w:val="00BF08E5"/>
    <w:rsid w:val="00BF0C5B"/>
    <w:rsid w:val="00BF0FCF"/>
    <w:rsid w:val="00BF0FD8"/>
    <w:rsid w:val="00BF3CDF"/>
    <w:rsid w:val="00BF52B9"/>
    <w:rsid w:val="00C00D03"/>
    <w:rsid w:val="00C0188C"/>
    <w:rsid w:val="00C06A91"/>
    <w:rsid w:val="00C07A43"/>
    <w:rsid w:val="00C125C3"/>
    <w:rsid w:val="00C13F95"/>
    <w:rsid w:val="00C15CD9"/>
    <w:rsid w:val="00C15D29"/>
    <w:rsid w:val="00C175C0"/>
    <w:rsid w:val="00C17DF1"/>
    <w:rsid w:val="00C20DB3"/>
    <w:rsid w:val="00C2135E"/>
    <w:rsid w:val="00C217CD"/>
    <w:rsid w:val="00C23AB9"/>
    <w:rsid w:val="00C262CB"/>
    <w:rsid w:val="00C33E7A"/>
    <w:rsid w:val="00C35835"/>
    <w:rsid w:val="00C362AA"/>
    <w:rsid w:val="00C40CE8"/>
    <w:rsid w:val="00C41CE0"/>
    <w:rsid w:val="00C42162"/>
    <w:rsid w:val="00C428B3"/>
    <w:rsid w:val="00C4394C"/>
    <w:rsid w:val="00C44080"/>
    <w:rsid w:val="00C45C19"/>
    <w:rsid w:val="00C45E6D"/>
    <w:rsid w:val="00C4607D"/>
    <w:rsid w:val="00C47BE4"/>
    <w:rsid w:val="00C47C92"/>
    <w:rsid w:val="00C500BD"/>
    <w:rsid w:val="00C50E88"/>
    <w:rsid w:val="00C5566F"/>
    <w:rsid w:val="00C56C01"/>
    <w:rsid w:val="00C60BD4"/>
    <w:rsid w:val="00C61098"/>
    <w:rsid w:val="00C630FA"/>
    <w:rsid w:val="00C64CD0"/>
    <w:rsid w:val="00C66814"/>
    <w:rsid w:val="00C72C60"/>
    <w:rsid w:val="00C72DD0"/>
    <w:rsid w:val="00C80973"/>
    <w:rsid w:val="00C82A8C"/>
    <w:rsid w:val="00C83212"/>
    <w:rsid w:val="00C83689"/>
    <w:rsid w:val="00C900E6"/>
    <w:rsid w:val="00C9221E"/>
    <w:rsid w:val="00C956AE"/>
    <w:rsid w:val="00C95719"/>
    <w:rsid w:val="00CA13F6"/>
    <w:rsid w:val="00CA31AE"/>
    <w:rsid w:val="00CA44EB"/>
    <w:rsid w:val="00CB073A"/>
    <w:rsid w:val="00CB10B5"/>
    <w:rsid w:val="00CB3E13"/>
    <w:rsid w:val="00CB493E"/>
    <w:rsid w:val="00CB70DA"/>
    <w:rsid w:val="00CC0D0C"/>
    <w:rsid w:val="00CC1F40"/>
    <w:rsid w:val="00CC397C"/>
    <w:rsid w:val="00CC4096"/>
    <w:rsid w:val="00CD004A"/>
    <w:rsid w:val="00CD00F4"/>
    <w:rsid w:val="00CD0FC0"/>
    <w:rsid w:val="00CD1CCF"/>
    <w:rsid w:val="00CD2BB8"/>
    <w:rsid w:val="00CD4E98"/>
    <w:rsid w:val="00CE0439"/>
    <w:rsid w:val="00CE31B1"/>
    <w:rsid w:val="00CE455D"/>
    <w:rsid w:val="00CE4CE6"/>
    <w:rsid w:val="00CE6907"/>
    <w:rsid w:val="00CE754D"/>
    <w:rsid w:val="00CE7D2F"/>
    <w:rsid w:val="00CF1701"/>
    <w:rsid w:val="00CF4951"/>
    <w:rsid w:val="00CF63A5"/>
    <w:rsid w:val="00CF6D6D"/>
    <w:rsid w:val="00CF78BD"/>
    <w:rsid w:val="00CF7906"/>
    <w:rsid w:val="00D00B45"/>
    <w:rsid w:val="00D02CEA"/>
    <w:rsid w:val="00D07537"/>
    <w:rsid w:val="00D1099C"/>
    <w:rsid w:val="00D1135C"/>
    <w:rsid w:val="00D13C91"/>
    <w:rsid w:val="00D13CA6"/>
    <w:rsid w:val="00D142A7"/>
    <w:rsid w:val="00D17395"/>
    <w:rsid w:val="00D209C0"/>
    <w:rsid w:val="00D20C02"/>
    <w:rsid w:val="00D22950"/>
    <w:rsid w:val="00D22B9E"/>
    <w:rsid w:val="00D234B1"/>
    <w:rsid w:val="00D24AC8"/>
    <w:rsid w:val="00D24C03"/>
    <w:rsid w:val="00D276CC"/>
    <w:rsid w:val="00D27876"/>
    <w:rsid w:val="00D301EA"/>
    <w:rsid w:val="00D33C08"/>
    <w:rsid w:val="00D35BF5"/>
    <w:rsid w:val="00D367A7"/>
    <w:rsid w:val="00D40A84"/>
    <w:rsid w:val="00D412AC"/>
    <w:rsid w:val="00D42530"/>
    <w:rsid w:val="00D4298B"/>
    <w:rsid w:val="00D44E8B"/>
    <w:rsid w:val="00D45311"/>
    <w:rsid w:val="00D454BF"/>
    <w:rsid w:val="00D4706C"/>
    <w:rsid w:val="00D47946"/>
    <w:rsid w:val="00D52B62"/>
    <w:rsid w:val="00D53D89"/>
    <w:rsid w:val="00D57D84"/>
    <w:rsid w:val="00D60C0C"/>
    <w:rsid w:val="00D65E57"/>
    <w:rsid w:val="00D678EF"/>
    <w:rsid w:val="00D70D87"/>
    <w:rsid w:val="00D716D4"/>
    <w:rsid w:val="00D71D14"/>
    <w:rsid w:val="00D76D41"/>
    <w:rsid w:val="00D76E66"/>
    <w:rsid w:val="00D7747E"/>
    <w:rsid w:val="00D80388"/>
    <w:rsid w:val="00D80585"/>
    <w:rsid w:val="00D8067C"/>
    <w:rsid w:val="00D80723"/>
    <w:rsid w:val="00D84D72"/>
    <w:rsid w:val="00D8730D"/>
    <w:rsid w:val="00D9122A"/>
    <w:rsid w:val="00D92BDA"/>
    <w:rsid w:val="00D95312"/>
    <w:rsid w:val="00D9582C"/>
    <w:rsid w:val="00D96473"/>
    <w:rsid w:val="00D97F8A"/>
    <w:rsid w:val="00DA1A06"/>
    <w:rsid w:val="00DA31D0"/>
    <w:rsid w:val="00DA663E"/>
    <w:rsid w:val="00DA733C"/>
    <w:rsid w:val="00DB57C9"/>
    <w:rsid w:val="00DB5C0C"/>
    <w:rsid w:val="00DB745E"/>
    <w:rsid w:val="00DC221E"/>
    <w:rsid w:val="00DC2F26"/>
    <w:rsid w:val="00DC35D2"/>
    <w:rsid w:val="00DC4929"/>
    <w:rsid w:val="00DC6497"/>
    <w:rsid w:val="00DC71A1"/>
    <w:rsid w:val="00DD0055"/>
    <w:rsid w:val="00DD55AF"/>
    <w:rsid w:val="00DD5F78"/>
    <w:rsid w:val="00DE019E"/>
    <w:rsid w:val="00DE0202"/>
    <w:rsid w:val="00DE11A8"/>
    <w:rsid w:val="00DE1822"/>
    <w:rsid w:val="00DE1944"/>
    <w:rsid w:val="00DE339C"/>
    <w:rsid w:val="00DE3F2F"/>
    <w:rsid w:val="00DE49F5"/>
    <w:rsid w:val="00DE6192"/>
    <w:rsid w:val="00DE73A8"/>
    <w:rsid w:val="00DF23FA"/>
    <w:rsid w:val="00DF26BF"/>
    <w:rsid w:val="00DF4B23"/>
    <w:rsid w:val="00DF5ED2"/>
    <w:rsid w:val="00E05AAB"/>
    <w:rsid w:val="00E0792F"/>
    <w:rsid w:val="00E14775"/>
    <w:rsid w:val="00E15F14"/>
    <w:rsid w:val="00E21AD9"/>
    <w:rsid w:val="00E2286C"/>
    <w:rsid w:val="00E255F4"/>
    <w:rsid w:val="00E31713"/>
    <w:rsid w:val="00E3433B"/>
    <w:rsid w:val="00E3512F"/>
    <w:rsid w:val="00E3724C"/>
    <w:rsid w:val="00E37F5A"/>
    <w:rsid w:val="00E4045C"/>
    <w:rsid w:val="00E41549"/>
    <w:rsid w:val="00E4237E"/>
    <w:rsid w:val="00E435A8"/>
    <w:rsid w:val="00E44F5D"/>
    <w:rsid w:val="00E45293"/>
    <w:rsid w:val="00E50167"/>
    <w:rsid w:val="00E54CC2"/>
    <w:rsid w:val="00E56644"/>
    <w:rsid w:val="00E60223"/>
    <w:rsid w:val="00E614F5"/>
    <w:rsid w:val="00E625AF"/>
    <w:rsid w:val="00E6528B"/>
    <w:rsid w:val="00E704F8"/>
    <w:rsid w:val="00E706BB"/>
    <w:rsid w:val="00E70BC0"/>
    <w:rsid w:val="00E71F91"/>
    <w:rsid w:val="00E7205E"/>
    <w:rsid w:val="00E748BA"/>
    <w:rsid w:val="00E82257"/>
    <w:rsid w:val="00E842C0"/>
    <w:rsid w:val="00E86B4C"/>
    <w:rsid w:val="00E872F2"/>
    <w:rsid w:val="00E87874"/>
    <w:rsid w:val="00E90DE8"/>
    <w:rsid w:val="00E94B28"/>
    <w:rsid w:val="00EA11B5"/>
    <w:rsid w:val="00EA1FA0"/>
    <w:rsid w:val="00EA49C6"/>
    <w:rsid w:val="00EA4B7F"/>
    <w:rsid w:val="00EA4C67"/>
    <w:rsid w:val="00EB361F"/>
    <w:rsid w:val="00EB44C9"/>
    <w:rsid w:val="00EB7EB9"/>
    <w:rsid w:val="00EB7F8C"/>
    <w:rsid w:val="00EC29CD"/>
    <w:rsid w:val="00EC3646"/>
    <w:rsid w:val="00EC572B"/>
    <w:rsid w:val="00EC62F8"/>
    <w:rsid w:val="00EC721B"/>
    <w:rsid w:val="00ED0398"/>
    <w:rsid w:val="00ED458A"/>
    <w:rsid w:val="00ED6AE3"/>
    <w:rsid w:val="00ED7034"/>
    <w:rsid w:val="00EE1FC2"/>
    <w:rsid w:val="00EE5709"/>
    <w:rsid w:val="00EF3019"/>
    <w:rsid w:val="00EF32F1"/>
    <w:rsid w:val="00EF536D"/>
    <w:rsid w:val="00EF6735"/>
    <w:rsid w:val="00F00A19"/>
    <w:rsid w:val="00F020E3"/>
    <w:rsid w:val="00F035EB"/>
    <w:rsid w:val="00F05754"/>
    <w:rsid w:val="00F07C70"/>
    <w:rsid w:val="00F1296B"/>
    <w:rsid w:val="00F12C99"/>
    <w:rsid w:val="00F154B2"/>
    <w:rsid w:val="00F15DCD"/>
    <w:rsid w:val="00F1689C"/>
    <w:rsid w:val="00F16F9E"/>
    <w:rsid w:val="00F176C5"/>
    <w:rsid w:val="00F20033"/>
    <w:rsid w:val="00F216A8"/>
    <w:rsid w:val="00F217DC"/>
    <w:rsid w:val="00F24059"/>
    <w:rsid w:val="00F243A4"/>
    <w:rsid w:val="00F308B5"/>
    <w:rsid w:val="00F32B33"/>
    <w:rsid w:val="00F32CDF"/>
    <w:rsid w:val="00F33F22"/>
    <w:rsid w:val="00F41A55"/>
    <w:rsid w:val="00F43DB1"/>
    <w:rsid w:val="00F44C13"/>
    <w:rsid w:val="00F46927"/>
    <w:rsid w:val="00F50D9A"/>
    <w:rsid w:val="00F53067"/>
    <w:rsid w:val="00F54515"/>
    <w:rsid w:val="00F5482A"/>
    <w:rsid w:val="00F56398"/>
    <w:rsid w:val="00F56608"/>
    <w:rsid w:val="00F57183"/>
    <w:rsid w:val="00F60DB0"/>
    <w:rsid w:val="00F614BA"/>
    <w:rsid w:val="00F61F7A"/>
    <w:rsid w:val="00F62D92"/>
    <w:rsid w:val="00F65E2B"/>
    <w:rsid w:val="00F70001"/>
    <w:rsid w:val="00F71368"/>
    <w:rsid w:val="00F714B0"/>
    <w:rsid w:val="00F71E9A"/>
    <w:rsid w:val="00F71F0A"/>
    <w:rsid w:val="00F721AA"/>
    <w:rsid w:val="00F7283D"/>
    <w:rsid w:val="00F76720"/>
    <w:rsid w:val="00F77E68"/>
    <w:rsid w:val="00F8149A"/>
    <w:rsid w:val="00F83D0C"/>
    <w:rsid w:val="00F84435"/>
    <w:rsid w:val="00F87A50"/>
    <w:rsid w:val="00F9103C"/>
    <w:rsid w:val="00F91787"/>
    <w:rsid w:val="00F9249F"/>
    <w:rsid w:val="00F931EB"/>
    <w:rsid w:val="00F96081"/>
    <w:rsid w:val="00F9642B"/>
    <w:rsid w:val="00F96720"/>
    <w:rsid w:val="00FA0E9E"/>
    <w:rsid w:val="00FA4D9F"/>
    <w:rsid w:val="00FA548F"/>
    <w:rsid w:val="00FA79C7"/>
    <w:rsid w:val="00FB0A26"/>
    <w:rsid w:val="00FB1C69"/>
    <w:rsid w:val="00FB2C71"/>
    <w:rsid w:val="00FB3E55"/>
    <w:rsid w:val="00FB4354"/>
    <w:rsid w:val="00FB4829"/>
    <w:rsid w:val="00FB50E0"/>
    <w:rsid w:val="00FB5649"/>
    <w:rsid w:val="00FB5E02"/>
    <w:rsid w:val="00FB65DF"/>
    <w:rsid w:val="00FB75E7"/>
    <w:rsid w:val="00FB7E0D"/>
    <w:rsid w:val="00FC1592"/>
    <w:rsid w:val="00FC2F79"/>
    <w:rsid w:val="00FC415A"/>
    <w:rsid w:val="00FC4479"/>
    <w:rsid w:val="00FC5240"/>
    <w:rsid w:val="00FC6055"/>
    <w:rsid w:val="00FC655F"/>
    <w:rsid w:val="00FC7271"/>
    <w:rsid w:val="00FC7AC8"/>
    <w:rsid w:val="00FD027C"/>
    <w:rsid w:val="00FD1120"/>
    <w:rsid w:val="00FD2F75"/>
    <w:rsid w:val="00FD3FE5"/>
    <w:rsid w:val="00FD7282"/>
    <w:rsid w:val="00FE4F7E"/>
    <w:rsid w:val="00FE73A5"/>
    <w:rsid w:val="00FF1F50"/>
    <w:rsid w:val="1E240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EB47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4C6885"/>
    <w:pPr>
      <w:keepNext/>
      <w:numPr>
        <w:numId w:val="1"/>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1"/>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1"/>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1"/>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link w:val="NewpageChar"/>
    <w:rsid w:val="00FA548F"/>
    <w:pPr>
      <w:tabs>
        <w:tab w:val="left" w:pos="1440"/>
        <w:tab w:val="left" w:pos="3060"/>
      </w:tabs>
      <w:jc w:val="center"/>
    </w:pPr>
    <w:rPr>
      <w:b/>
      <w:smallCaps/>
      <w:lang w:val="es-ES_tradnl"/>
    </w:rPr>
  </w:style>
  <w:style w:type="paragraph" w:customStyle="1" w:styleId="Chapter">
    <w:name w:val="Chapter"/>
    <w:basedOn w:val="Normal"/>
    <w:next w:val="Normal"/>
    <w:link w:val="ChapterChar"/>
    <w:qFormat/>
    <w:rsid w:val="004C6885"/>
    <w:pPr>
      <w:keepNext/>
      <w:numPr>
        <w:numId w:val="3"/>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4C6885"/>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rsid w:val="00FA548F"/>
    <w:pPr>
      <w:tabs>
        <w:tab w:val="center" w:pos="4320"/>
        <w:tab w:val="right" w:pos="8640"/>
      </w:tabs>
    </w:pPr>
  </w:style>
  <w:style w:type="character" w:customStyle="1" w:styleId="FooterChar">
    <w:name w:val="Footer Char"/>
    <w:link w:val="Footer"/>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f,ft"/>
    <w:basedOn w:val="Normal"/>
    <w:link w:val="FootnoteTextChar"/>
    <w:uiPriority w:val="99"/>
    <w:qFormat/>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f Char,ft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at Char"/>
    <w:basedOn w:val="BodyTextIndent"/>
    <w:link w:val="ParagraphChar"/>
    <w:qFormat/>
    <w:rsid w:val="00CA31AE"/>
    <w:pPr>
      <w:numPr>
        <w:ilvl w:val="1"/>
        <w:numId w:val="3"/>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4C6885"/>
    <w:pPr>
      <w:numPr>
        <w:ilvl w:val="2"/>
      </w:numPr>
      <w:tabs>
        <w:tab w:val="clear" w:pos="5976"/>
        <w:tab w:val="num" w:pos="1872"/>
      </w:tabs>
      <w:ind w:left="1872"/>
    </w:pPr>
  </w:style>
  <w:style w:type="paragraph" w:customStyle="1" w:styleId="Subheading2">
    <w:name w:val="Subheading2"/>
    <w:basedOn w:val="SecHeading"/>
    <w:rsid w:val="004C6885"/>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3"/>
      </w:numPr>
      <w:spacing w:before="120"/>
      <w:jc w:val="both"/>
      <w:outlineLvl w:val="2"/>
    </w:pPr>
    <w:rPr>
      <w:szCs w:val="20"/>
      <w:lang w:val="es-ES_tradnl"/>
    </w:rPr>
  </w:style>
  <w:style w:type="paragraph" w:customStyle="1" w:styleId="SubSubPar">
    <w:name w:val="SubSubPar"/>
    <w:basedOn w:val="subpar"/>
    <w:rsid w:val="004C6885"/>
    <w:pPr>
      <w:numPr>
        <w:ilvl w:val="3"/>
      </w:numPr>
      <w:tabs>
        <w:tab w:val="left" w:pos="0"/>
      </w:tabs>
    </w:pPr>
  </w:style>
  <w:style w:type="paragraph" w:styleId="TOC1">
    <w:name w:val="toc 1"/>
    <w:basedOn w:val="Normal"/>
    <w:next w:val="Normal"/>
    <w:autoRedefine/>
    <w:uiPriority w:val="39"/>
    <w:rsid w:val="009231F9"/>
    <w:pPr>
      <w:tabs>
        <w:tab w:val="right" w:leader="dot" w:pos="8640"/>
        <w:tab w:val="right" w:leader="dot" w:pos="8741"/>
      </w:tabs>
      <w:spacing w:before="240" w:after="240"/>
      <w:ind w:left="547" w:hanging="547"/>
    </w:pPr>
    <w:rPr>
      <w:rFonts w:ascii="Arial" w:hAnsi="Arial" w:cs="Arial"/>
      <w:smallCaps/>
      <w:noProof/>
      <w:sz w:val="22"/>
    </w:rPr>
  </w:style>
  <w:style w:type="paragraph" w:styleId="TOC2">
    <w:name w:val="toc 2"/>
    <w:basedOn w:val="Normal"/>
    <w:next w:val="Normal"/>
    <w:autoRedefine/>
    <w:uiPriority w:val="39"/>
    <w:rsid w:val="00FA548F"/>
    <w:pPr>
      <w:tabs>
        <w:tab w:val="left" w:pos="1152"/>
        <w:tab w:val="right" w:leader="dot" w:pos="8640"/>
        <w:tab w:val="right" w:leader="dot" w:pos="8741"/>
      </w:tabs>
      <w:ind w:left="1166" w:hanging="605"/>
    </w:pPr>
    <w:rPr>
      <w:rFonts w:ascii="Arial" w:hAnsi="Arial" w:cs="Arial"/>
      <w:noProof/>
      <w:sz w:val="22"/>
    </w:rPr>
  </w:style>
  <w:style w:type="paragraph" w:styleId="TOC3">
    <w:name w:val="toc 3"/>
    <w:basedOn w:val="Normal"/>
    <w:next w:val="Normal"/>
    <w:autoRedefine/>
    <w:uiPriority w:val="39"/>
    <w:rsid w:val="004C6885"/>
    <w:pPr>
      <w:tabs>
        <w:tab w:val="left" w:pos="1728"/>
        <w:tab w:val="right" w:leader="dot" w:pos="8640"/>
      </w:tabs>
      <w:ind w:left="1714" w:hanging="562"/>
    </w:pPr>
    <w:rPr>
      <w:rFonts w:ascii="Arial" w:hAnsi="Arial" w:cs="Arial"/>
      <w:noProof/>
      <w:sz w:val="22"/>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fr,Stinking Styles11,Texto de nota al pie"/>
    <w:qFormat/>
    <w:rsid w:val="00FA548F"/>
    <w:rPr>
      <w:vertAlign w:val="superscript"/>
    </w:rPr>
  </w:style>
  <w:style w:type="character" w:styleId="CommentReference">
    <w:name w:val="annotation reference"/>
    <w:uiPriority w:val="99"/>
    <w:rsid w:val="00FA548F"/>
    <w:rPr>
      <w:sz w:val="16"/>
      <w:szCs w:val="16"/>
    </w:rPr>
  </w:style>
  <w:style w:type="paragraph" w:styleId="CommentText">
    <w:name w:val="annotation text"/>
    <w:basedOn w:val="Normal"/>
    <w:link w:val="CommentTextChar"/>
    <w:uiPriority w:val="99"/>
    <w:rsid w:val="00FA548F"/>
    <w:rPr>
      <w:lang w:val="en-US" w:eastAsia="en-US"/>
    </w:rPr>
  </w:style>
  <w:style w:type="character" w:customStyle="1" w:styleId="CommentTextChar">
    <w:name w:val="Comment Text Char"/>
    <w:link w:val="CommentText"/>
    <w:uiPriority w:val="99"/>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nhideWhenUsed/>
    <w:rsid w:val="00FA548F"/>
    <w:rPr>
      <w:rFonts w:ascii="Tahoma" w:hAnsi="Tahoma" w:cs="Tahoma"/>
      <w:sz w:val="16"/>
      <w:szCs w:val="16"/>
    </w:rPr>
  </w:style>
  <w:style w:type="character" w:customStyle="1" w:styleId="BalloonTextChar">
    <w:name w:val="Balloon Text Char"/>
    <w:link w:val="BalloonText"/>
    <w:rsid w:val="00FA548F"/>
    <w:rPr>
      <w:rFonts w:ascii="Tahoma" w:eastAsia="Times New Roman" w:hAnsi="Tahoma" w:cs="Tahoma"/>
      <w:sz w:val="16"/>
      <w:szCs w:val="16"/>
      <w:lang w:val="es-MX" w:eastAsia="es-MX"/>
    </w:rPr>
  </w:style>
  <w:style w:type="character" w:customStyle="1" w:styleId="ParagraphChar">
    <w:name w:val="Paragraph Char"/>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lang w:eastAsia="en-US"/>
    </w:rPr>
  </w:style>
  <w:style w:type="character" w:customStyle="1" w:styleId="Heading2Char">
    <w:name w:val="Heading 2 Char"/>
    <w:link w:val="Heading2"/>
    <w:rsid w:val="005B4609"/>
    <w:rPr>
      <w:rFonts w:ascii="Arial" w:eastAsia="Times New Roman" w:hAnsi="Arial"/>
      <w:b/>
      <w:i/>
      <w:sz w:val="24"/>
      <w:lang w:eastAsia="en-US"/>
    </w:rPr>
  </w:style>
  <w:style w:type="character" w:customStyle="1" w:styleId="Heading3Char">
    <w:name w:val="Heading 3 Char"/>
    <w:link w:val="Heading3"/>
    <w:rsid w:val="005B4609"/>
    <w:rPr>
      <w:rFonts w:ascii="Arial" w:eastAsia="Times New Roman" w:hAnsi="Arial"/>
      <w:sz w:val="24"/>
      <w:lang w:eastAsia="en-US"/>
    </w:rPr>
  </w:style>
  <w:style w:type="character" w:customStyle="1" w:styleId="Heading4Char">
    <w:name w:val="Heading 4 Char"/>
    <w:link w:val="Heading4"/>
    <w:rsid w:val="005B4609"/>
    <w:rPr>
      <w:rFonts w:ascii="Arial" w:eastAsia="Times New Roman" w:hAnsi="Arial"/>
      <w:b/>
      <w:sz w:val="24"/>
      <w:lang w:eastAsia="en-US"/>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uiPriority w:val="99"/>
    <w:unhideWhenUsed/>
    <w:rsid w:val="00544673"/>
    <w:rPr>
      <w:color w:val="0000FF"/>
      <w:u w:val="single"/>
    </w:rPr>
  </w:style>
  <w:style w:type="paragraph" w:styleId="NormalWeb">
    <w:name w:val="Normal (Web)"/>
    <w:basedOn w:val="Normal"/>
    <w:uiPriority w:val="99"/>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2"/>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unhideWhenUsed/>
    <w:rsid w:val="009231F9"/>
    <w:pPr>
      <w:ind w:left="600"/>
    </w:pPr>
  </w:style>
  <w:style w:type="paragraph" w:styleId="ListParagraph">
    <w:name w:val="List Paragraph"/>
    <w:aliases w:val="Bullets,References,Table/Figure Heading,En tête 1,List Paragraph1,IFCL - List Paragraph"/>
    <w:basedOn w:val="Normal"/>
    <w:link w:val="ListParagraphChar"/>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link w:val="TableTitle"/>
    <w:rsid w:val="00CA31AE"/>
    <w:rPr>
      <w:rFonts w:ascii="Times New Roman Bold" w:eastAsia="Times New Roman" w:hAnsi="Times New Roman Bold"/>
      <w:b/>
      <w:spacing w:val="-3"/>
      <w:lang w:val="es-MX" w:eastAsia="es-MX"/>
    </w:rPr>
  </w:style>
  <w:style w:type="character" w:customStyle="1" w:styleId="Heading5Char">
    <w:name w:val="Heading 5 Char"/>
    <w:link w:val="Heading5"/>
    <w:uiPriority w:val="9"/>
    <w:semiHidden/>
    <w:rsid w:val="00CA31AE"/>
    <w:rPr>
      <w:rFonts w:ascii="Cambria" w:eastAsia="Times New Roman" w:hAnsi="Cambria"/>
      <w:color w:val="243F60"/>
      <w:lang w:val="es-MX" w:eastAsia="es-MX"/>
    </w:rPr>
  </w:style>
  <w:style w:type="character" w:customStyle="1" w:styleId="Heading6Char">
    <w:name w:val="Heading 6 Char"/>
    <w:link w:val="Heading6"/>
    <w:uiPriority w:val="9"/>
    <w:semiHidden/>
    <w:rsid w:val="00CA31AE"/>
    <w:rPr>
      <w:rFonts w:ascii="Cambria" w:eastAsia="Times New Roman" w:hAnsi="Cambria"/>
      <w:i/>
      <w:iCs/>
      <w:color w:val="243F60"/>
      <w:lang w:val="es-MX" w:eastAsia="es-MX"/>
    </w:rPr>
  </w:style>
  <w:style w:type="character" w:customStyle="1" w:styleId="Heading7Char">
    <w:name w:val="Heading 7 Char"/>
    <w:link w:val="Heading7"/>
    <w:uiPriority w:val="9"/>
    <w:semiHidden/>
    <w:rsid w:val="00CA31AE"/>
    <w:rPr>
      <w:rFonts w:ascii="Cambria" w:eastAsia="Times New Roman" w:hAnsi="Cambria"/>
      <w:i/>
      <w:iCs/>
      <w:color w:val="404040"/>
      <w:lang w:val="es-MX" w:eastAsia="es-MX"/>
    </w:rPr>
  </w:style>
  <w:style w:type="character" w:customStyle="1" w:styleId="Heading8Char">
    <w:name w:val="Heading 8 Char"/>
    <w:link w:val="Heading8"/>
    <w:uiPriority w:val="9"/>
    <w:semiHidden/>
    <w:rsid w:val="00CA31AE"/>
    <w:rPr>
      <w:rFonts w:ascii="Cambria" w:eastAsia="Times New Roman" w:hAnsi="Cambria"/>
      <w:color w:val="404040"/>
      <w:lang w:val="es-MX" w:eastAsia="es-MX"/>
    </w:rPr>
  </w:style>
  <w:style w:type="character" w:customStyle="1" w:styleId="Heading9Char">
    <w:name w:val="Heading 9 Char"/>
    <w:link w:val="Heading9"/>
    <w:uiPriority w:val="9"/>
    <w:semiHidden/>
    <w:rsid w:val="00CA31AE"/>
    <w:rPr>
      <w:rFonts w:ascii="Cambria" w:eastAsia="Times New Roman" w:hAnsi="Cambria"/>
      <w:i/>
      <w:iCs/>
      <w:color w:val="404040"/>
      <w:lang w:val="es-MX" w:eastAsia="es-MX"/>
    </w:rPr>
  </w:style>
  <w:style w:type="paragraph" w:styleId="HTMLPreformatted">
    <w:name w:val="HTML Preformatted"/>
    <w:basedOn w:val="Normal"/>
    <w:link w:val="HTMLPreformattedChar"/>
    <w:uiPriority w:val="99"/>
    <w:semiHidden/>
    <w:unhideWhenUsed/>
    <w:rsid w:val="00FA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eastAsia="es-ES"/>
    </w:rPr>
  </w:style>
  <w:style w:type="character" w:customStyle="1" w:styleId="HTMLPreformattedChar">
    <w:name w:val="HTML Preformatted Char"/>
    <w:link w:val="HTMLPreformatted"/>
    <w:uiPriority w:val="99"/>
    <w:semiHidden/>
    <w:rsid w:val="00FA79C7"/>
    <w:rPr>
      <w:rFonts w:ascii="Courier New" w:eastAsia="Times New Roman" w:hAnsi="Courier New" w:cs="Courier New"/>
      <w:lang w:val="es-ES" w:eastAsia="es-ES"/>
    </w:rPr>
  </w:style>
  <w:style w:type="character" w:customStyle="1" w:styleId="ChapterChar">
    <w:name w:val="Chapter Char"/>
    <w:link w:val="Chapter"/>
    <w:rsid w:val="00AF0DFB"/>
    <w:rPr>
      <w:rFonts w:ascii="Times New Roman" w:eastAsia="Times New Roman" w:hAnsi="Times New Roman"/>
      <w:b/>
      <w:smallCaps/>
      <w:sz w:val="24"/>
      <w:lang w:val="es-ES_tradnl" w:eastAsia="es-MX"/>
    </w:rPr>
  </w:style>
  <w:style w:type="character" w:customStyle="1" w:styleId="hps">
    <w:name w:val="hps"/>
    <w:rsid w:val="005B357B"/>
  </w:style>
  <w:style w:type="character" w:customStyle="1" w:styleId="atn">
    <w:name w:val="atn"/>
    <w:rsid w:val="005B357B"/>
  </w:style>
  <w:style w:type="character" w:customStyle="1" w:styleId="Mencinsinresolver1">
    <w:name w:val="Mención sin resolver1"/>
    <w:uiPriority w:val="99"/>
    <w:semiHidden/>
    <w:unhideWhenUsed/>
    <w:rsid w:val="00AF13B4"/>
    <w:rPr>
      <w:color w:val="808080"/>
      <w:shd w:val="clear" w:color="auto" w:fill="E6E6E6"/>
    </w:rPr>
  </w:style>
  <w:style w:type="character" w:customStyle="1" w:styleId="ParagraphCar">
    <w:name w:val="Paragraph Car"/>
    <w:rsid w:val="005874F7"/>
    <w:rPr>
      <w:rFonts w:ascii="Times New Roman" w:eastAsia="Times New Roman" w:hAnsi="Times New Roman"/>
      <w:sz w:val="24"/>
      <w:lang w:eastAsia="en-US"/>
    </w:rPr>
  </w:style>
  <w:style w:type="paragraph" w:styleId="TOCHeading">
    <w:name w:val="TOC Heading"/>
    <w:basedOn w:val="Heading1"/>
    <w:next w:val="Normal"/>
    <w:uiPriority w:val="39"/>
    <w:unhideWhenUsed/>
    <w:qFormat/>
    <w:rsid w:val="004C6885"/>
    <w:pPr>
      <w:keepLines/>
      <w:numPr>
        <w:numId w:val="0"/>
      </w:numPr>
      <w:spacing w:after="0" w:line="259" w:lineRule="auto"/>
      <w:outlineLvl w:val="9"/>
    </w:pPr>
    <w:rPr>
      <w:rFonts w:ascii="Calibri Light" w:eastAsia="DengXian Light" w:hAnsi="Calibri Light"/>
      <w:b w:val="0"/>
      <w:color w:val="2F5496"/>
      <w:kern w:val="0"/>
      <w:sz w:val="32"/>
      <w:szCs w:val="32"/>
    </w:rPr>
  </w:style>
  <w:style w:type="paragraph" w:styleId="TOC5">
    <w:name w:val="toc 5"/>
    <w:basedOn w:val="Normal"/>
    <w:next w:val="Normal"/>
    <w:autoRedefine/>
    <w:uiPriority w:val="39"/>
    <w:unhideWhenUsed/>
    <w:rsid w:val="001538F7"/>
    <w:pPr>
      <w:spacing w:after="100" w:line="259" w:lineRule="auto"/>
      <w:ind w:left="880"/>
    </w:pPr>
    <w:rPr>
      <w:rFonts w:ascii="Calibri" w:eastAsia="DengXian" w:hAnsi="Calibri"/>
      <w:sz w:val="22"/>
      <w:szCs w:val="22"/>
      <w:lang w:val="en-US" w:eastAsia="zh-CN"/>
    </w:rPr>
  </w:style>
  <w:style w:type="paragraph" w:styleId="TOC6">
    <w:name w:val="toc 6"/>
    <w:basedOn w:val="Normal"/>
    <w:next w:val="Normal"/>
    <w:autoRedefine/>
    <w:uiPriority w:val="39"/>
    <w:unhideWhenUsed/>
    <w:rsid w:val="001538F7"/>
    <w:pPr>
      <w:spacing w:after="100" w:line="259" w:lineRule="auto"/>
      <w:ind w:left="1100"/>
    </w:pPr>
    <w:rPr>
      <w:rFonts w:ascii="Calibri" w:eastAsia="DengXian" w:hAnsi="Calibri"/>
      <w:sz w:val="22"/>
      <w:szCs w:val="22"/>
      <w:lang w:val="en-US" w:eastAsia="zh-CN"/>
    </w:rPr>
  </w:style>
  <w:style w:type="paragraph" w:styleId="TOC7">
    <w:name w:val="toc 7"/>
    <w:basedOn w:val="Normal"/>
    <w:next w:val="Normal"/>
    <w:autoRedefine/>
    <w:uiPriority w:val="39"/>
    <w:unhideWhenUsed/>
    <w:rsid w:val="001538F7"/>
    <w:pPr>
      <w:spacing w:after="100" w:line="259" w:lineRule="auto"/>
      <w:ind w:left="1320"/>
    </w:pPr>
    <w:rPr>
      <w:rFonts w:ascii="Calibri" w:eastAsia="DengXian" w:hAnsi="Calibri"/>
      <w:sz w:val="22"/>
      <w:szCs w:val="22"/>
      <w:lang w:val="en-US" w:eastAsia="zh-CN"/>
    </w:rPr>
  </w:style>
  <w:style w:type="paragraph" w:styleId="TOC8">
    <w:name w:val="toc 8"/>
    <w:basedOn w:val="Normal"/>
    <w:next w:val="Normal"/>
    <w:autoRedefine/>
    <w:uiPriority w:val="39"/>
    <w:unhideWhenUsed/>
    <w:rsid w:val="001538F7"/>
    <w:pPr>
      <w:spacing w:after="100" w:line="259" w:lineRule="auto"/>
      <w:ind w:left="1540"/>
    </w:pPr>
    <w:rPr>
      <w:rFonts w:ascii="Calibri" w:eastAsia="DengXian" w:hAnsi="Calibri"/>
      <w:sz w:val="22"/>
      <w:szCs w:val="22"/>
      <w:lang w:val="en-US" w:eastAsia="zh-CN"/>
    </w:rPr>
  </w:style>
  <w:style w:type="paragraph" w:styleId="TOC9">
    <w:name w:val="toc 9"/>
    <w:basedOn w:val="Normal"/>
    <w:next w:val="Normal"/>
    <w:autoRedefine/>
    <w:uiPriority w:val="39"/>
    <w:unhideWhenUsed/>
    <w:rsid w:val="001538F7"/>
    <w:pPr>
      <w:spacing w:after="100" w:line="259" w:lineRule="auto"/>
      <w:ind w:left="1760"/>
    </w:pPr>
    <w:rPr>
      <w:rFonts w:ascii="Calibri" w:eastAsia="DengXian" w:hAnsi="Calibri"/>
      <w:sz w:val="22"/>
      <w:szCs w:val="22"/>
      <w:lang w:val="en-US" w:eastAsia="zh-CN"/>
    </w:rPr>
  </w:style>
  <w:style w:type="character" w:customStyle="1" w:styleId="ListParagraphChar">
    <w:name w:val="List Paragraph Char"/>
    <w:aliases w:val="Bullets Char,References Char,Table/Figure Heading Char,En tête 1 Char,List Paragraph1 Char,IFCL - List Paragraph Char"/>
    <w:link w:val="ListParagraph"/>
    <w:uiPriority w:val="34"/>
    <w:locked/>
    <w:rsid w:val="00B54C59"/>
    <w:rPr>
      <w:rFonts w:ascii="Times New Roman" w:eastAsia="Times New Roman" w:hAnsi="Times New Roman"/>
      <w:lang w:val="es-MX" w:eastAsia="es-MX"/>
    </w:rPr>
  </w:style>
  <w:style w:type="table" w:styleId="TableGrid">
    <w:name w:val="Table Grid"/>
    <w:basedOn w:val="TableNormal"/>
    <w:uiPriority w:val="59"/>
    <w:rsid w:val="00B54C59"/>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3384"/>
    <w:rPr>
      <w:rFonts w:ascii="Times New Roman" w:eastAsia="Times New Roman" w:hAnsi="Times New Roman"/>
      <w:lang w:val="es-MX" w:eastAsia="es-MX"/>
    </w:rPr>
  </w:style>
  <w:style w:type="character" w:styleId="FollowedHyperlink">
    <w:name w:val="FollowedHyperlink"/>
    <w:basedOn w:val="DefaultParagraphFont"/>
    <w:uiPriority w:val="99"/>
    <w:semiHidden/>
    <w:unhideWhenUsed/>
    <w:rsid w:val="0015394D"/>
    <w:rPr>
      <w:color w:val="954F72" w:themeColor="followedHyperlink"/>
      <w:u w:val="single"/>
    </w:rPr>
  </w:style>
  <w:style w:type="character" w:customStyle="1" w:styleId="UnresolvedMention1">
    <w:name w:val="Unresolved Mention1"/>
    <w:basedOn w:val="DefaultParagraphFont"/>
    <w:uiPriority w:val="99"/>
    <w:semiHidden/>
    <w:unhideWhenUsed/>
    <w:rsid w:val="00D13CA6"/>
    <w:rPr>
      <w:color w:val="605E5C"/>
      <w:shd w:val="clear" w:color="auto" w:fill="E1DFDD"/>
    </w:rPr>
  </w:style>
  <w:style w:type="character" w:customStyle="1" w:styleId="Mencinsinresolver2">
    <w:name w:val="Mención sin resolver2"/>
    <w:basedOn w:val="DefaultParagraphFont"/>
    <w:uiPriority w:val="99"/>
    <w:semiHidden/>
    <w:unhideWhenUsed/>
    <w:rsid w:val="00556A65"/>
    <w:rPr>
      <w:color w:val="605E5C"/>
      <w:shd w:val="clear" w:color="auto" w:fill="E1DFDD"/>
    </w:rPr>
  </w:style>
  <w:style w:type="character" w:customStyle="1" w:styleId="NewpageChar">
    <w:name w:val="Newpage Char"/>
    <w:basedOn w:val="DefaultParagraphFont"/>
    <w:link w:val="Newpage"/>
    <w:rsid w:val="00191A18"/>
    <w:rPr>
      <w:rFonts w:ascii="Times New Roman" w:eastAsia="Times New Roman" w:hAnsi="Times New Roman"/>
      <w:b/>
      <w:smallCaps/>
      <w:lang w:val="es-ES_tradnl" w:eastAsia="es-MX"/>
    </w:rPr>
  </w:style>
  <w:style w:type="paragraph" w:customStyle="1" w:styleId="Default">
    <w:name w:val="Default"/>
    <w:rsid w:val="00ED7034"/>
    <w:pPr>
      <w:widowControl w:val="0"/>
      <w:autoSpaceDE w:val="0"/>
      <w:autoSpaceDN w:val="0"/>
      <w:adjustRightInd w:val="0"/>
    </w:pPr>
    <w:rPr>
      <w:rFonts w:ascii="Times New Roman" w:eastAsiaTheme="minorEastAsia"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90884">
      <w:bodyDiv w:val="1"/>
      <w:marLeft w:val="0"/>
      <w:marRight w:val="0"/>
      <w:marTop w:val="0"/>
      <w:marBottom w:val="0"/>
      <w:divBdr>
        <w:top w:val="none" w:sz="0" w:space="0" w:color="auto"/>
        <w:left w:val="none" w:sz="0" w:space="0" w:color="auto"/>
        <w:bottom w:val="none" w:sz="0" w:space="0" w:color="auto"/>
        <w:right w:val="none" w:sz="0" w:space="0" w:color="auto"/>
      </w:divBdr>
    </w:div>
    <w:div w:id="146745482">
      <w:bodyDiv w:val="1"/>
      <w:marLeft w:val="0"/>
      <w:marRight w:val="0"/>
      <w:marTop w:val="0"/>
      <w:marBottom w:val="0"/>
      <w:divBdr>
        <w:top w:val="none" w:sz="0" w:space="0" w:color="auto"/>
        <w:left w:val="none" w:sz="0" w:space="0" w:color="auto"/>
        <w:bottom w:val="none" w:sz="0" w:space="0" w:color="auto"/>
        <w:right w:val="none" w:sz="0" w:space="0" w:color="auto"/>
      </w:divBdr>
    </w:div>
    <w:div w:id="321199127">
      <w:bodyDiv w:val="1"/>
      <w:marLeft w:val="0"/>
      <w:marRight w:val="0"/>
      <w:marTop w:val="0"/>
      <w:marBottom w:val="0"/>
      <w:divBdr>
        <w:top w:val="none" w:sz="0" w:space="0" w:color="auto"/>
        <w:left w:val="none" w:sz="0" w:space="0" w:color="auto"/>
        <w:bottom w:val="none" w:sz="0" w:space="0" w:color="auto"/>
        <w:right w:val="none" w:sz="0" w:space="0" w:color="auto"/>
      </w:divBdr>
    </w:div>
    <w:div w:id="757872524">
      <w:bodyDiv w:val="1"/>
      <w:marLeft w:val="0"/>
      <w:marRight w:val="0"/>
      <w:marTop w:val="0"/>
      <w:marBottom w:val="0"/>
      <w:divBdr>
        <w:top w:val="none" w:sz="0" w:space="0" w:color="auto"/>
        <w:left w:val="none" w:sz="0" w:space="0" w:color="auto"/>
        <w:bottom w:val="none" w:sz="0" w:space="0" w:color="auto"/>
        <w:right w:val="none" w:sz="0" w:space="0" w:color="auto"/>
      </w:divBdr>
      <w:divsChild>
        <w:div w:id="1569339300">
          <w:marLeft w:val="547"/>
          <w:marRight w:val="0"/>
          <w:marTop w:val="115"/>
          <w:marBottom w:val="0"/>
          <w:divBdr>
            <w:top w:val="none" w:sz="0" w:space="0" w:color="auto"/>
            <w:left w:val="none" w:sz="0" w:space="0" w:color="auto"/>
            <w:bottom w:val="none" w:sz="0" w:space="0" w:color="auto"/>
            <w:right w:val="none" w:sz="0" w:space="0" w:color="auto"/>
          </w:divBdr>
        </w:div>
      </w:divsChild>
    </w:div>
    <w:div w:id="855122034">
      <w:bodyDiv w:val="1"/>
      <w:marLeft w:val="0"/>
      <w:marRight w:val="0"/>
      <w:marTop w:val="0"/>
      <w:marBottom w:val="0"/>
      <w:divBdr>
        <w:top w:val="none" w:sz="0" w:space="0" w:color="auto"/>
        <w:left w:val="none" w:sz="0" w:space="0" w:color="auto"/>
        <w:bottom w:val="none" w:sz="0" w:space="0" w:color="auto"/>
        <w:right w:val="none" w:sz="0" w:space="0" w:color="auto"/>
      </w:divBdr>
      <w:divsChild>
        <w:div w:id="1332175982">
          <w:marLeft w:val="0"/>
          <w:marRight w:val="0"/>
          <w:marTop w:val="0"/>
          <w:marBottom w:val="0"/>
          <w:divBdr>
            <w:top w:val="none" w:sz="0" w:space="0" w:color="auto"/>
            <w:left w:val="none" w:sz="0" w:space="0" w:color="auto"/>
            <w:bottom w:val="none" w:sz="0" w:space="0" w:color="auto"/>
            <w:right w:val="none" w:sz="0" w:space="0" w:color="auto"/>
          </w:divBdr>
        </w:div>
        <w:div w:id="52628384">
          <w:marLeft w:val="0"/>
          <w:marRight w:val="0"/>
          <w:marTop w:val="0"/>
          <w:marBottom w:val="0"/>
          <w:divBdr>
            <w:top w:val="none" w:sz="0" w:space="0" w:color="auto"/>
            <w:left w:val="none" w:sz="0" w:space="0" w:color="auto"/>
            <w:bottom w:val="none" w:sz="0" w:space="0" w:color="auto"/>
            <w:right w:val="none" w:sz="0" w:space="0" w:color="auto"/>
          </w:divBdr>
        </w:div>
        <w:div w:id="37555066">
          <w:marLeft w:val="0"/>
          <w:marRight w:val="0"/>
          <w:marTop w:val="0"/>
          <w:marBottom w:val="0"/>
          <w:divBdr>
            <w:top w:val="none" w:sz="0" w:space="0" w:color="auto"/>
            <w:left w:val="none" w:sz="0" w:space="0" w:color="auto"/>
            <w:bottom w:val="none" w:sz="0" w:space="0" w:color="auto"/>
            <w:right w:val="none" w:sz="0" w:space="0" w:color="auto"/>
          </w:divBdr>
        </w:div>
        <w:div w:id="1184709420">
          <w:marLeft w:val="0"/>
          <w:marRight w:val="0"/>
          <w:marTop w:val="0"/>
          <w:marBottom w:val="0"/>
          <w:divBdr>
            <w:top w:val="none" w:sz="0" w:space="0" w:color="auto"/>
            <w:left w:val="none" w:sz="0" w:space="0" w:color="auto"/>
            <w:bottom w:val="none" w:sz="0" w:space="0" w:color="auto"/>
            <w:right w:val="none" w:sz="0" w:space="0" w:color="auto"/>
          </w:divBdr>
        </w:div>
        <w:div w:id="419833690">
          <w:marLeft w:val="0"/>
          <w:marRight w:val="0"/>
          <w:marTop w:val="0"/>
          <w:marBottom w:val="0"/>
          <w:divBdr>
            <w:top w:val="none" w:sz="0" w:space="0" w:color="auto"/>
            <w:left w:val="none" w:sz="0" w:space="0" w:color="auto"/>
            <w:bottom w:val="none" w:sz="0" w:space="0" w:color="auto"/>
            <w:right w:val="none" w:sz="0" w:space="0" w:color="auto"/>
          </w:divBdr>
        </w:div>
      </w:divsChild>
    </w:div>
    <w:div w:id="856113542">
      <w:bodyDiv w:val="1"/>
      <w:marLeft w:val="0"/>
      <w:marRight w:val="0"/>
      <w:marTop w:val="0"/>
      <w:marBottom w:val="0"/>
      <w:divBdr>
        <w:top w:val="none" w:sz="0" w:space="0" w:color="auto"/>
        <w:left w:val="none" w:sz="0" w:space="0" w:color="auto"/>
        <w:bottom w:val="none" w:sz="0" w:space="0" w:color="auto"/>
        <w:right w:val="none" w:sz="0" w:space="0" w:color="auto"/>
      </w:divBdr>
      <w:divsChild>
        <w:div w:id="10692482">
          <w:marLeft w:val="1440"/>
          <w:marRight w:val="0"/>
          <w:marTop w:val="86"/>
          <w:marBottom w:val="0"/>
          <w:divBdr>
            <w:top w:val="none" w:sz="0" w:space="0" w:color="auto"/>
            <w:left w:val="none" w:sz="0" w:space="0" w:color="auto"/>
            <w:bottom w:val="none" w:sz="0" w:space="0" w:color="auto"/>
            <w:right w:val="none" w:sz="0" w:space="0" w:color="auto"/>
          </w:divBdr>
        </w:div>
        <w:div w:id="415320196">
          <w:marLeft w:val="1267"/>
          <w:marRight w:val="0"/>
          <w:marTop w:val="86"/>
          <w:marBottom w:val="0"/>
          <w:divBdr>
            <w:top w:val="none" w:sz="0" w:space="0" w:color="auto"/>
            <w:left w:val="none" w:sz="0" w:space="0" w:color="auto"/>
            <w:bottom w:val="none" w:sz="0" w:space="0" w:color="auto"/>
            <w:right w:val="none" w:sz="0" w:space="0" w:color="auto"/>
          </w:divBdr>
        </w:div>
        <w:div w:id="678582442">
          <w:marLeft w:val="547"/>
          <w:marRight w:val="0"/>
          <w:marTop w:val="86"/>
          <w:marBottom w:val="0"/>
          <w:divBdr>
            <w:top w:val="none" w:sz="0" w:space="0" w:color="auto"/>
            <w:left w:val="none" w:sz="0" w:space="0" w:color="auto"/>
            <w:bottom w:val="none" w:sz="0" w:space="0" w:color="auto"/>
            <w:right w:val="none" w:sz="0" w:space="0" w:color="auto"/>
          </w:divBdr>
        </w:div>
        <w:div w:id="739523424">
          <w:marLeft w:val="1267"/>
          <w:marRight w:val="0"/>
          <w:marTop w:val="86"/>
          <w:marBottom w:val="0"/>
          <w:divBdr>
            <w:top w:val="none" w:sz="0" w:space="0" w:color="auto"/>
            <w:left w:val="none" w:sz="0" w:space="0" w:color="auto"/>
            <w:bottom w:val="none" w:sz="0" w:space="0" w:color="auto"/>
            <w:right w:val="none" w:sz="0" w:space="0" w:color="auto"/>
          </w:divBdr>
        </w:div>
        <w:div w:id="830872036">
          <w:marLeft w:val="1267"/>
          <w:marRight w:val="0"/>
          <w:marTop w:val="86"/>
          <w:marBottom w:val="0"/>
          <w:divBdr>
            <w:top w:val="none" w:sz="0" w:space="0" w:color="auto"/>
            <w:left w:val="none" w:sz="0" w:space="0" w:color="auto"/>
            <w:bottom w:val="none" w:sz="0" w:space="0" w:color="auto"/>
            <w:right w:val="none" w:sz="0" w:space="0" w:color="auto"/>
          </w:divBdr>
        </w:div>
        <w:div w:id="868765753">
          <w:marLeft w:val="547"/>
          <w:marRight w:val="0"/>
          <w:marTop w:val="86"/>
          <w:marBottom w:val="0"/>
          <w:divBdr>
            <w:top w:val="none" w:sz="0" w:space="0" w:color="auto"/>
            <w:left w:val="none" w:sz="0" w:space="0" w:color="auto"/>
            <w:bottom w:val="none" w:sz="0" w:space="0" w:color="auto"/>
            <w:right w:val="none" w:sz="0" w:space="0" w:color="auto"/>
          </w:divBdr>
        </w:div>
        <w:div w:id="905652072">
          <w:marLeft w:val="1267"/>
          <w:marRight w:val="0"/>
          <w:marTop w:val="86"/>
          <w:marBottom w:val="0"/>
          <w:divBdr>
            <w:top w:val="none" w:sz="0" w:space="0" w:color="auto"/>
            <w:left w:val="none" w:sz="0" w:space="0" w:color="auto"/>
            <w:bottom w:val="none" w:sz="0" w:space="0" w:color="auto"/>
            <w:right w:val="none" w:sz="0" w:space="0" w:color="auto"/>
          </w:divBdr>
        </w:div>
        <w:div w:id="1402294534">
          <w:marLeft w:val="1440"/>
          <w:marRight w:val="0"/>
          <w:marTop w:val="86"/>
          <w:marBottom w:val="0"/>
          <w:divBdr>
            <w:top w:val="none" w:sz="0" w:space="0" w:color="auto"/>
            <w:left w:val="none" w:sz="0" w:space="0" w:color="auto"/>
            <w:bottom w:val="none" w:sz="0" w:space="0" w:color="auto"/>
            <w:right w:val="none" w:sz="0" w:space="0" w:color="auto"/>
          </w:divBdr>
        </w:div>
        <w:div w:id="1448961746">
          <w:marLeft w:val="1267"/>
          <w:marRight w:val="0"/>
          <w:marTop w:val="86"/>
          <w:marBottom w:val="0"/>
          <w:divBdr>
            <w:top w:val="none" w:sz="0" w:space="0" w:color="auto"/>
            <w:left w:val="none" w:sz="0" w:space="0" w:color="auto"/>
            <w:bottom w:val="none" w:sz="0" w:space="0" w:color="auto"/>
            <w:right w:val="none" w:sz="0" w:space="0" w:color="auto"/>
          </w:divBdr>
        </w:div>
        <w:div w:id="1494761828">
          <w:marLeft w:val="1267"/>
          <w:marRight w:val="0"/>
          <w:marTop w:val="86"/>
          <w:marBottom w:val="0"/>
          <w:divBdr>
            <w:top w:val="none" w:sz="0" w:space="0" w:color="auto"/>
            <w:left w:val="none" w:sz="0" w:space="0" w:color="auto"/>
            <w:bottom w:val="none" w:sz="0" w:space="0" w:color="auto"/>
            <w:right w:val="none" w:sz="0" w:space="0" w:color="auto"/>
          </w:divBdr>
        </w:div>
        <w:div w:id="1750812461">
          <w:marLeft w:val="634"/>
          <w:marRight w:val="0"/>
          <w:marTop w:val="86"/>
          <w:marBottom w:val="0"/>
          <w:divBdr>
            <w:top w:val="none" w:sz="0" w:space="0" w:color="auto"/>
            <w:left w:val="none" w:sz="0" w:space="0" w:color="auto"/>
            <w:bottom w:val="none" w:sz="0" w:space="0" w:color="auto"/>
            <w:right w:val="none" w:sz="0" w:space="0" w:color="auto"/>
          </w:divBdr>
        </w:div>
        <w:div w:id="1990549676">
          <w:marLeft w:val="1267"/>
          <w:marRight w:val="0"/>
          <w:marTop w:val="86"/>
          <w:marBottom w:val="0"/>
          <w:divBdr>
            <w:top w:val="none" w:sz="0" w:space="0" w:color="auto"/>
            <w:left w:val="none" w:sz="0" w:space="0" w:color="auto"/>
            <w:bottom w:val="none" w:sz="0" w:space="0" w:color="auto"/>
            <w:right w:val="none" w:sz="0" w:space="0" w:color="auto"/>
          </w:divBdr>
        </w:div>
        <w:div w:id="2102951490">
          <w:marLeft w:val="1267"/>
          <w:marRight w:val="0"/>
          <w:marTop w:val="86"/>
          <w:marBottom w:val="0"/>
          <w:divBdr>
            <w:top w:val="none" w:sz="0" w:space="0" w:color="auto"/>
            <w:left w:val="none" w:sz="0" w:space="0" w:color="auto"/>
            <w:bottom w:val="none" w:sz="0" w:space="0" w:color="auto"/>
            <w:right w:val="none" w:sz="0" w:space="0" w:color="auto"/>
          </w:divBdr>
        </w:div>
      </w:divsChild>
    </w:div>
    <w:div w:id="1283079316">
      <w:bodyDiv w:val="1"/>
      <w:marLeft w:val="0"/>
      <w:marRight w:val="0"/>
      <w:marTop w:val="0"/>
      <w:marBottom w:val="0"/>
      <w:divBdr>
        <w:top w:val="none" w:sz="0" w:space="0" w:color="auto"/>
        <w:left w:val="none" w:sz="0" w:space="0" w:color="auto"/>
        <w:bottom w:val="none" w:sz="0" w:space="0" w:color="auto"/>
        <w:right w:val="none" w:sz="0" w:space="0" w:color="auto"/>
      </w:divBdr>
    </w:div>
    <w:div w:id="1844319865">
      <w:bodyDiv w:val="1"/>
      <w:marLeft w:val="0"/>
      <w:marRight w:val="0"/>
      <w:marTop w:val="0"/>
      <w:marBottom w:val="0"/>
      <w:divBdr>
        <w:top w:val="none" w:sz="0" w:space="0" w:color="auto"/>
        <w:left w:val="none" w:sz="0" w:space="0" w:color="auto"/>
        <w:bottom w:val="none" w:sz="0" w:space="0" w:color="auto"/>
        <w:right w:val="none" w:sz="0" w:space="0" w:color="auto"/>
      </w:divBdr>
      <w:divsChild>
        <w:div w:id="851722223">
          <w:marLeft w:val="446"/>
          <w:marRight w:val="0"/>
          <w:marTop w:val="96"/>
          <w:marBottom w:val="0"/>
          <w:divBdr>
            <w:top w:val="none" w:sz="0" w:space="0" w:color="auto"/>
            <w:left w:val="none" w:sz="0" w:space="0" w:color="auto"/>
            <w:bottom w:val="none" w:sz="0" w:space="0" w:color="auto"/>
            <w:right w:val="none" w:sz="0" w:space="0" w:color="auto"/>
          </w:divBdr>
        </w:div>
        <w:div w:id="1317298367">
          <w:marLeft w:val="446"/>
          <w:marRight w:val="0"/>
          <w:marTop w:val="96"/>
          <w:marBottom w:val="0"/>
          <w:divBdr>
            <w:top w:val="none" w:sz="0" w:space="0" w:color="auto"/>
            <w:left w:val="none" w:sz="0" w:space="0" w:color="auto"/>
            <w:bottom w:val="none" w:sz="0" w:space="0" w:color="auto"/>
            <w:right w:val="none" w:sz="0" w:space="0" w:color="auto"/>
          </w:divBdr>
        </w:div>
        <w:div w:id="1430390971">
          <w:marLeft w:val="446"/>
          <w:marRight w:val="0"/>
          <w:marTop w:val="96"/>
          <w:marBottom w:val="0"/>
          <w:divBdr>
            <w:top w:val="none" w:sz="0" w:space="0" w:color="auto"/>
            <w:left w:val="none" w:sz="0" w:space="0" w:color="auto"/>
            <w:bottom w:val="none" w:sz="0" w:space="0" w:color="auto"/>
            <w:right w:val="none" w:sz="0" w:space="0" w:color="auto"/>
          </w:divBdr>
        </w:div>
      </w:divsChild>
    </w:div>
    <w:div w:id="1877040715">
      <w:bodyDiv w:val="1"/>
      <w:marLeft w:val="0"/>
      <w:marRight w:val="0"/>
      <w:marTop w:val="0"/>
      <w:marBottom w:val="0"/>
      <w:divBdr>
        <w:top w:val="none" w:sz="0" w:space="0" w:color="auto"/>
        <w:left w:val="none" w:sz="0" w:space="0" w:color="auto"/>
        <w:bottom w:val="none" w:sz="0" w:space="0" w:color="auto"/>
        <w:right w:val="none" w:sz="0" w:space="0" w:color="auto"/>
      </w:divBdr>
    </w:div>
    <w:div w:id="21063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dbdocs.iadb.org/wsdocs/getDocument.aspx?DOCNUM=39734763" TargetMode="External"/><Relationship Id="rId18" Type="http://schemas.openxmlformats.org/officeDocument/2006/relationships/hyperlink" Target="http://idbdocs.iadb.org/wsdocs/getDocument.aspx?DOCNUM=39734825"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https://idbg.sharepoint.com/teams/EZ-PR-LON/PR-L1170/15%20LifeCycle%20Milestones/Guia-Agroindustrial.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idbdocs.iadb.org/wsdocs/getDocument.aspx?DOCNUM=39734811"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idbdocs.iadb.org/wsdocs/getDocument.aspx?DOCNUM=39734804" TargetMode="External"/><Relationship Id="rId20" Type="http://schemas.openxmlformats.org/officeDocument/2006/relationships/hyperlink" Target="https://idbg.sharepoint.com/teams/EZ-PR-LON/PR-L1170/15%20LifeCycle%20Milestones/Guia-Agricol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dbdocs.iadb.org/wsdocs/getDocument.aspx?DOCNUM=39734785"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hyperlink" Target="http://idbdocs.iadb.org/wsdocs/getDocument.aspx?DOCNUM=39734707" TargetMode="External"/><Relationship Id="rId31"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dbdocs.iadb.org/wsdocs/getDocument.aspx?DOCNUM=39734774" TargetMode="External"/><Relationship Id="rId22" Type="http://schemas.openxmlformats.org/officeDocument/2006/relationships/hyperlink" Target="https://idbg.sharepoint.com/teams/EZ-PR-LON/PR-L1170/15%20LifeCycle%20Milestones/guia_ambiental_y_social_para_el_financiamiento_sostenible_del_sector_ganadero.pdf" TargetMode="External"/><Relationship Id="rId27" Type="http://schemas.openxmlformats.org/officeDocument/2006/relationships/customXml" Target="../customXml/item4.xml"/><Relationship Id="rId30"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A892B0A3F72949951A29F81581CBD0" ma:contentTypeVersion="225" ma:contentTypeDescription="A content type to manage public (operations) IDB documents" ma:contentTypeScope="" ma:versionID="bbd3919477113bd80e70101228962172">
  <xsd:schema xmlns:xsd="http://www.w3.org/2001/XMLSchema" xmlns:xs="http://www.w3.org/2001/XMLSchema" xmlns:p="http://schemas.microsoft.com/office/2006/metadata/properties" xmlns:ns2="cdc7663a-08f0-4737-9e8c-148ce897a09c" targetNamespace="http://schemas.microsoft.com/office/2006/metadata/properties" ma:root="true" ma:fieldsID="1515c44793aa74ebefeceb0a0bbefb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EZSHARE-1527470111-9</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Operation_x0020_Type xmlns="cdc7663a-08f0-4737-9e8c-148ce897a09c">LON</Operation_x0020_Type>
    <TaxCatchAll xmlns="cdc7663a-08f0-4737-9e8c-148ce897a09c">
      <Value>52</Value>
      <Value>24</Value>
      <Value>53</Value>
      <Value>29</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PR-L1170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Document_x0020_Language_x0020_IDB xmlns="cdc7663a-08f0-4737-9e8c-148ce897a09c">English</Document_x0020_Language_x0020_IDB>
    <_dlc_DocIdUrl xmlns="cdc7663a-08f0-4737-9e8c-148ce897a09c">
      <Url>https://idbg.sharepoint.com/teams/EZ-PR-LON/PR-L1170/_layouts/15/DocIdRedir.aspx?ID=EZSHARE-1527470111-9</Url>
      <Description>EZSHARE-1527470111-9</Description>
    </_dlc_DocIdUrl>
    <Phase xmlns="cdc7663a-08f0-4737-9e8c-148ce897a09c" xsi:nil="true"/>
    <Other_x0020_Author xmlns="cdc7663a-08f0-4737-9e8c-148ce897a09c">Manuel Fernandini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7F33227-4D7A-4849-A3F9-30EFDD84EC46}">
  <ds:schemaRefs>
    <ds:schemaRef ds:uri="http://schemas.openxmlformats.org/officeDocument/2006/bibliography"/>
  </ds:schemaRefs>
</ds:datastoreItem>
</file>

<file path=customXml/itemProps2.xml><?xml version="1.0" encoding="utf-8"?>
<ds:datastoreItem xmlns:ds="http://schemas.openxmlformats.org/officeDocument/2006/customXml" ds:itemID="{C2167155-2C30-4919-AD77-3E3C17BD8F94}"/>
</file>

<file path=customXml/itemProps3.xml><?xml version="1.0" encoding="utf-8"?>
<ds:datastoreItem xmlns:ds="http://schemas.openxmlformats.org/officeDocument/2006/customXml" ds:itemID="{636A8E96-7C26-4629-AB6E-1CC682966522}"/>
</file>

<file path=customXml/itemProps4.xml><?xml version="1.0" encoding="utf-8"?>
<ds:datastoreItem xmlns:ds="http://schemas.openxmlformats.org/officeDocument/2006/customXml" ds:itemID="{01B8BF5B-8678-4A3E-87B9-64D191C1B9B3}"/>
</file>

<file path=customXml/itemProps5.xml><?xml version="1.0" encoding="utf-8"?>
<ds:datastoreItem xmlns:ds="http://schemas.openxmlformats.org/officeDocument/2006/customXml" ds:itemID="{3E162EB0-6514-467A-B974-1F39F0F0EE9E}"/>
</file>

<file path=customXml/itemProps6.xml><?xml version="1.0" encoding="utf-8"?>
<ds:datastoreItem xmlns:ds="http://schemas.openxmlformats.org/officeDocument/2006/customXml" ds:itemID="{6D9E14CE-15F7-4500-A184-6AAF1EBD42FC}"/>
</file>

<file path=customXml/itemProps7.xml><?xml version="1.0" encoding="utf-8"?>
<ds:datastoreItem xmlns:ds="http://schemas.openxmlformats.org/officeDocument/2006/customXml" ds:itemID="{E86C29FF-0964-448E-AAEA-BA0616146F53}"/>
</file>

<file path=customXml/itemProps8.xml><?xml version="1.0" encoding="utf-8"?>
<ds:datastoreItem xmlns:ds="http://schemas.openxmlformats.org/officeDocument/2006/customXml" ds:itemID="{A12E4299-E04D-4631-8428-56F74A029AB4}"/>
</file>

<file path=docProps/app.xml><?xml version="1.0" encoding="utf-8"?>
<Properties xmlns="http://schemas.openxmlformats.org/officeDocument/2006/extended-properties" xmlns:vt="http://schemas.openxmlformats.org/officeDocument/2006/docPropsVTypes">
  <Template>Normal.dotm</Template>
  <TotalTime>0</TotalTime>
  <Pages>13</Pages>
  <Words>3668</Words>
  <Characters>20910</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24529</CharactersWithSpaces>
  <SharedDoc>false</SharedDoc>
  <HLinks>
    <vt:vector size="42" baseType="variant">
      <vt:variant>
        <vt:i4>7798822</vt:i4>
      </vt:variant>
      <vt:variant>
        <vt:i4>51</vt:i4>
      </vt:variant>
      <vt:variant>
        <vt:i4>0</vt:i4>
      </vt:variant>
      <vt:variant>
        <vt:i4>5</vt:i4>
      </vt:variant>
      <vt:variant>
        <vt:lpwstr>http://idbdocs.iadb.org/wsdocs/getDocument.aspx?DOCNUM=39734707</vt:lpwstr>
      </vt:variant>
      <vt:variant>
        <vt:lpwstr/>
      </vt:variant>
      <vt:variant>
        <vt:i4>7667753</vt:i4>
      </vt:variant>
      <vt:variant>
        <vt:i4>48</vt:i4>
      </vt:variant>
      <vt:variant>
        <vt:i4>0</vt:i4>
      </vt:variant>
      <vt:variant>
        <vt:i4>5</vt:i4>
      </vt:variant>
      <vt:variant>
        <vt:lpwstr>http://idbdocs.iadb.org/wsdocs/getDocument.aspx?DOCNUM=39734825</vt:lpwstr>
      </vt:variant>
      <vt:variant>
        <vt:lpwstr/>
      </vt:variant>
      <vt:variant>
        <vt:i4>7733289</vt:i4>
      </vt:variant>
      <vt:variant>
        <vt:i4>45</vt:i4>
      </vt:variant>
      <vt:variant>
        <vt:i4>0</vt:i4>
      </vt:variant>
      <vt:variant>
        <vt:i4>5</vt:i4>
      </vt:variant>
      <vt:variant>
        <vt:lpwstr>http://idbdocs.iadb.org/wsdocs/getDocument.aspx?DOCNUM=39734811</vt:lpwstr>
      </vt:variant>
      <vt:variant>
        <vt:lpwstr/>
      </vt:variant>
      <vt:variant>
        <vt:i4>7798825</vt:i4>
      </vt:variant>
      <vt:variant>
        <vt:i4>42</vt:i4>
      </vt:variant>
      <vt:variant>
        <vt:i4>0</vt:i4>
      </vt:variant>
      <vt:variant>
        <vt:i4>5</vt:i4>
      </vt:variant>
      <vt:variant>
        <vt:lpwstr>http://idbdocs.iadb.org/wsdocs/getDocument.aspx?DOCNUM=39734804</vt:lpwstr>
      </vt:variant>
      <vt:variant>
        <vt:lpwstr/>
      </vt:variant>
      <vt:variant>
        <vt:i4>8323110</vt:i4>
      </vt:variant>
      <vt:variant>
        <vt:i4>39</vt:i4>
      </vt:variant>
      <vt:variant>
        <vt:i4>0</vt:i4>
      </vt:variant>
      <vt:variant>
        <vt:i4>5</vt:i4>
      </vt:variant>
      <vt:variant>
        <vt:lpwstr>http://idbdocs.iadb.org/wsdocs/getDocument.aspx?DOCNUM=39734785</vt:lpwstr>
      </vt:variant>
      <vt:variant>
        <vt:lpwstr/>
      </vt:variant>
      <vt:variant>
        <vt:i4>7340070</vt:i4>
      </vt:variant>
      <vt:variant>
        <vt:i4>36</vt:i4>
      </vt:variant>
      <vt:variant>
        <vt:i4>0</vt:i4>
      </vt:variant>
      <vt:variant>
        <vt:i4>5</vt:i4>
      </vt:variant>
      <vt:variant>
        <vt:lpwstr>http://idbdocs.iadb.org/wsdocs/getDocument.aspx?DOCNUM=39734774</vt:lpwstr>
      </vt:variant>
      <vt:variant>
        <vt:lpwstr/>
      </vt:variant>
      <vt:variant>
        <vt:i4>7405606</vt:i4>
      </vt:variant>
      <vt:variant>
        <vt:i4>33</vt:i4>
      </vt:variant>
      <vt:variant>
        <vt:i4>0</vt:i4>
      </vt:variant>
      <vt:variant>
        <vt:i4>5</vt:i4>
      </vt:variant>
      <vt:variant>
        <vt:lpwstr>http://idbdocs.iadb.org/wsdocs/getDocument.aspx?DOCNUM=39734763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2019-10-02T17:21:00Z</dcterms:created>
  <dcterms:modified xsi:type="dcterms:W3CDTF">2019-10-02T17:21:00Z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53;#FM-BNK|5f08329b-f2bb-4342-ba75-eb4216b403d4</vt:lpwstr>
  </property>
  <property fmtid="{D5CDD505-2E9C-101B-9397-08002B2CF9AE}" pid="7" name="Country">
    <vt:lpwstr>24;#PR|50282442-27e7-4526-9d04-55bf5da33a10</vt:lpwstr>
  </property>
  <property fmtid="{D5CDD505-2E9C-101B-9397-08002B2CF9AE}" pid="8" name="Fund IDB">
    <vt:lpwstr>29;#ORC|c028a4b2-ad8b-4cf4-9cac-a2ae6a778e23</vt:lpwstr>
  </property>
  <property fmtid="{D5CDD505-2E9C-101B-9397-08002B2CF9AE}" pid="9" name="_dlc_DocIdItemGuid">
    <vt:lpwstr>cc474de7-1d99-401b-90cf-0c2ddac75e23</vt:lpwstr>
  </property>
  <property fmtid="{D5CDD505-2E9C-101B-9397-08002B2CF9AE}" pid="10" name="Sector IDB">
    <vt:lpwstr>52;#FM|75500f29-2419-473a-bcd8-84901ddc2aa7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0x0101001A458A224826124E8B45B1D613300CFC007CA892B0A3F72949951A29F81581CBD0</vt:lpwstr>
  </property>
</Properties>
</file>