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92A88" w14:textId="77777777" w:rsidR="00EB3481" w:rsidRPr="00FD65A9" w:rsidRDefault="00EB3481" w:rsidP="007F5C40">
      <w:pPr>
        <w:spacing w:line="240" w:lineRule="auto"/>
        <w:jc w:val="center"/>
        <w:rPr>
          <w:rFonts w:ascii="Arial" w:hAnsi="Arial" w:cs="Arial"/>
          <w:b/>
          <w:smallCaps/>
          <w:sz w:val="24"/>
          <w:szCs w:val="24"/>
          <w:lang w:val="es-ES"/>
        </w:rPr>
      </w:pPr>
      <w:bookmarkStart w:id="0" w:name="_GoBack"/>
      <w:bookmarkEnd w:id="0"/>
      <w:r w:rsidRPr="00FD65A9">
        <w:rPr>
          <w:rFonts w:ascii="Arial" w:hAnsi="Arial" w:cs="Arial"/>
          <w:b/>
          <w:smallCaps/>
          <w:sz w:val="24"/>
          <w:szCs w:val="24"/>
          <w:lang w:val="es-ES"/>
        </w:rPr>
        <w:t>MATRIZ COMPARATIVA</w:t>
      </w:r>
    </w:p>
    <w:p w14:paraId="55ACE21C" w14:textId="2B57862B" w:rsidR="00F74396" w:rsidRPr="00FD65A9" w:rsidRDefault="007B249E" w:rsidP="00CE2635">
      <w:pPr>
        <w:spacing w:after="120" w:line="240" w:lineRule="auto"/>
        <w:jc w:val="center"/>
        <w:rPr>
          <w:rFonts w:ascii="Arial" w:hAnsi="Arial" w:cs="Arial"/>
          <w:b/>
          <w:smallCaps/>
          <w:sz w:val="20"/>
          <w:szCs w:val="20"/>
          <w:lang w:val="es-ES"/>
        </w:rPr>
      </w:pPr>
      <w:r w:rsidRPr="00FD65A9">
        <w:rPr>
          <w:rFonts w:ascii="Arial" w:hAnsi="Arial" w:cs="Arial"/>
          <w:b/>
          <w:smallCaps/>
          <w:sz w:val="20"/>
          <w:szCs w:val="20"/>
          <w:lang w:val="es-ES"/>
        </w:rPr>
        <w:t xml:space="preserve"> </w:t>
      </w:r>
    </w:p>
    <w:tbl>
      <w:tblPr>
        <w:tblW w:w="13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3614"/>
        <w:gridCol w:w="3856"/>
        <w:gridCol w:w="3425"/>
      </w:tblGrid>
      <w:tr w:rsidR="00AD7AAD" w:rsidRPr="00C57011" w14:paraId="3AED0904" w14:textId="77777777" w:rsidTr="6B4CE3C8">
        <w:trPr>
          <w:trHeight w:val="971"/>
          <w:tblHeader/>
        </w:trPr>
        <w:tc>
          <w:tcPr>
            <w:tcW w:w="23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BDD15F9" w14:textId="77777777" w:rsidR="00AD7AAD" w:rsidRPr="00C57011" w:rsidRDefault="00AD7AAD" w:rsidP="00C57011">
            <w:pPr>
              <w:spacing w:after="40" w:line="240" w:lineRule="auto"/>
              <w:jc w:val="center"/>
              <w:rPr>
                <w:rFonts w:ascii="Arial" w:hAnsi="Arial" w:cs="Arial"/>
                <w:b/>
                <w:sz w:val="20"/>
                <w:szCs w:val="20"/>
                <w:lang w:val="es-ES"/>
              </w:rPr>
            </w:pPr>
            <w:r w:rsidRPr="00C57011">
              <w:rPr>
                <w:rFonts w:ascii="Arial" w:hAnsi="Arial" w:cs="Arial"/>
                <w:b/>
                <w:sz w:val="20"/>
                <w:szCs w:val="20"/>
                <w:lang w:val="es-ES"/>
              </w:rPr>
              <w:t xml:space="preserve">Componente y </w:t>
            </w:r>
            <w:r w:rsidR="00FD65A9" w:rsidRPr="00C57011">
              <w:rPr>
                <w:rFonts w:ascii="Arial" w:hAnsi="Arial" w:cs="Arial"/>
                <w:b/>
                <w:sz w:val="20"/>
                <w:szCs w:val="20"/>
                <w:lang w:val="es-ES"/>
              </w:rPr>
              <w:t>o</w:t>
            </w:r>
            <w:r w:rsidRPr="00C57011">
              <w:rPr>
                <w:rFonts w:ascii="Arial" w:hAnsi="Arial" w:cs="Arial"/>
                <w:b/>
                <w:sz w:val="20"/>
                <w:szCs w:val="20"/>
                <w:lang w:val="es-ES"/>
              </w:rPr>
              <w:t>bjetivo</w:t>
            </w:r>
          </w:p>
        </w:tc>
        <w:tc>
          <w:tcPr>
            <w:tcW w:w="361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0653C1D9" w14:textId="57C2DD96" w:rsidR="00AD7AAD" w:rsidRPr="00C57011" w:rsidRDefault="00F754F4" w:rsidP="6B4CE3C8">
            <w:pPr>
              <w:spacing w:after="40" w:line="240" w:lineRule="auto"/>
              <w:jc w:val="center"/>
              <w:rPr>
                <w:rFonts w:ascii="Arial" w:hAnsi="Arial" w:cs="Arial"/>
                <w:b/>
                <w:bCs/>
                <w:sz w:val="20"/>
                <w:szCs w:val="20"/>
                <w:lang w:val="es-ES"/>
              </w:rPr>
            </w:pPr>
            <w:r>
              <w:rPr>
                <w:rFonts w:ascii="Arial" w:hAnsi="Arial" w:cs="Arial"/>
                <w:b/>
                <w:bCs/>
                <w:sz w:val="20"/>
                <w:szCs w:val="20"/>
                <w:lang w:val="es-ES"/>
              </w:rPr>
              <w:t>Mecanismos</w:t>
            </w:r>
            <w:r w:rsidR="009671BF">
              <w:rPr>
                <w:rFonts w:ascii="Arial" w:hAnsi="Arial" w:cs="Arial"/>
                <w:b/>
                <w:bCs/>
                <w:sz w:val="20"/>
                <w:szCs w:val="20"/>
                <w:lang w:val="es-ES"/>
              </w:rPr>
              <w:t xml:space="preserve"> activadores</w:t>
            </w:r>
            <w:r w:rsidR="6B4CE3C8" w:rsidRPr="6B4CE3C8">
              <w:rPr>
                <w:rFonts w:ascii="Arial" w:hAnsi="Arial" w:cs="Arial"/>
                <w:b/>
                <w:bCs/>
                <w:sz w:val="20"/>
                <w:szCs w:val="20"/>
                <w:lang w:val="es-ES"/>
              </w:rPr>
              <w:t xml:space="preserve"> para la segunda operación </w:t>
            </w:r>
          </w:p>
        </w:tc>
        <w:tc>
          <w:tcPr>
            <w:tcW w:w="38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976C94B" w14:textId="393DBF7A" w:rsidR="00AD7AAD" w:rsidRPr="00C57011" w:rsidRDefault="00AD7AAD" w:rsidP="00C57011">
            <w:pPr>
              <w:spacing w:after="40" w:line="240" w:lineRule="auto"/>
              <w:jc w:val="center"/>
              <w:rPr>
                <w:rFonts w:ascii="Arial" w:hAnsi="Arial" w:cs="Arial"/>
                <w:b/>
                <w:sz w:val="20"/>
                <w:szCs w:val="20"/>
                <w:lang w:val="es-ES"/>
              </w:rPr>
            </w:pPr>
            <w:r w:rsidRPr="00C57011">
              <w:rPr>
                <w:rFonts w:ascii="Arial" w:hAnsi="Arial" w:cs="Arial"/>
                <w:b/>
                <w:sz w:val="20"/>
                <w:szCs w:val="20"/>
                <w:lang w:val="es-ES"/>
              </w:rPr>
              <w:t xml:space="preserve">Condiciones </w:t>
            </w:r>
            <w:r w:rsidR="0051598A">
              <w:rPr>
                <w:rFonts w:ascii="Arial" w:hAnsi="Arial" w:cs="Arial"/>
                <w:b/>
                <w:sz w:val="20"/>
                <w:szCs w:val="20"/>
                <w:lang w:val="es-ES"/>
              </w:rPr>
              <w:t>de Política</w:t>
            </w:r>
          </w:p>
        </w:tc>
        <w:tc>
          <w:tcPr>
            <w:tcW w:w="342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8963129" w14:textId="77777777" w:rsidR="00AD7AAD" w:rsidRPr="00C57011" w:rsidRDefault="001945FB" w:rsidP="00C57011">
            <w:pPr>
              <w:spacing w:after="40" w:line="240" w:lineRule="auto"/>
              <w:jc w:val="center"/>
              <w:rPr>
                <w:rFonts w:ascii="Arial" w:hAnsi="Arial" w:cs="Arial"/>
                <w:b/>
                <w:sz w:val="20"/>
                <w:szCs w:val="20"/>
                <w:lang w:val="es-ES"/>
              </w:rPr>
            </w:pPr>
            <w:r w:rsidRPr="00C57011">
              <w:rPr>
                <w:rFonts w:ascii="Arial" w:hAnsi="Arial" w:cs="Arial"/>
                <w:b/>
                <w:sz w:val="20"/>
                <w:szCs w:val="20"/>
                <w:lang w:val="es-ES"/>
              </w:rPr>
              <w:t>Comentarios</w:t>
            </w:r>
          </w:p>
        </w:tc>
      </w:tr>
      <w:tr w:rsidR="00970BBB" w:rsidRPr="00C57011" w14:paraId="443284E3" w14:textId="77777777" w:rsidTr="6B4CE3C8">
        <w:trPr>
          <w:trHeight w:val="260"/>
        </w:trPr>
        <w:tc>
          <w:tcPr>
            <w:tcW w:w="1323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6E2D11" w14:textId="77777777" w:rsidR="00755A5F" w:rsidRPr="00C57011" w:rsidRDefault="00D82BCE" w:rsidP="00C57011">
            <w:pPr>
              <w:pStyle w:val="ListParagraph"/>
              <w:numPr>
                <w:ilvl w:val="0"/>
                <w:numId w:val="16"/>
              </w:numPr>
              <w:spacing w:after="40" w:line="240" w:lineRule="auto"/>
              <w:contextualSpacing w:val="0"/>
              <w:rPr>
                <w:rFonts w:ascii="Arial" w:hAnsi="Arial" w:cs="Arial"/>
                <w:sz w:val="20"/>
                <w:szCs w:val="20"/>
                <w:lang w:val="es-ES"/>
              </w:rPr>
            </w:pPr>
            <w:r w:rsidRPr="00C57011">
              <w:rPr>
                <w:rFonts w:ascii="Arial" w:hAnsi="Arial" w:cs="Arial"/>
                <w:b/>
                <w:sz w:val="20"/>
                <w:szCs w:val="20"/>
                <w:lang w:val="es-ES"/>
              </w:rPr>
              <w:t>Marco Macroeconómico</w:t>
            </w:r>
          </w:p>
        </w:tc>
      </w:tr>
      <w:tr w:rsidR="00601E37" w:rsidRPr="00C57011" w14:paraId="414C6BA7" w14:textId="77777777" w:rsidTr="6B4CE3C8">
        <w:trPr>
          <w:trHeight w:val="647"/>
        </w:trPr>
        <w:tc>
          <w:tcPr>
            <w:tcW w:w="2335" w:type="dxa"/>
            <w:tcBorders>
              <w:top w:val="single" w:sz="4" w:space="0" w:color="auto"/>
              <w:left w:val="single" w:sz="4" w:space="0" w:color="auto"/>
              <w:bottom w:val="single" w:sz="4" w:space="0" w:color="auto"/>
              <w:right w:val="single" w:sz="4" w:space="0" w:color="auto"/>
            </w:tcBorders>
            <w:hideMark/>
          </w:tcPr>
          <w:p w14:paraId="556725E1" w14:textId="77777777" w:rsidR="00601E37" w:rsidRPr="00C57011" w:rsidRDefault="008F3191" w:rsidP="00C57011">
            <w:pPr>
              <w:spacing w:after="40" w:line="240" w:lineRule="auto"/>
              <w:rPr>
                <w:rFonts w:ascii="Arial" w:hAnsi="Arial" w:cs="Arial"/>
                <w:b/>
                <w:sz w:val="20"/>
                <w:szCs w:val="20"/>
                <w:lang w:val="es-419"/>
              </w:rPr>
            </w:pPr>
            <w:r w:rsidRPr="00C57011">
              <w:rPr>
                <w:rFonts w:ascii="Arial" w:hAnsi="Arial" w:cs="Arial"/>
                <w:sz w:val="20"/>
                <w:szCs w:val="20"/>
                <w:lang w:val="es-ES"/>
              </w:rPr>
              <w:t>1.1. Estabilidad del Marco General de Políticas Macroeconómicas.</w:t>
            </w:r>
          </w:p>
        </w:tc>
        <w:tc>
          <w:tcPr>
            <w:tcW w:w="3614" w:type="dxa"/>
            <w:tcBorders>
              <w:top w:val="single" w:sz="4" w:space="0" w:color="auto"/>
              <w:left w:val="single" w:sz="4" w:space="0" w:color="auto"/>
              <w:bottom w:val="single" w:sz="4" w:space="0" w:color="auto"/>
              <w:right w:val="single" w:sz="4" w:space="0" w:color="auto"/>
            </w:tcBorders>
            <w:hideMark/>
          </w:tcPr>
          <w:p w14:paraId="28C05817" w14:textId="77777777" w:rsidR="00601E37"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1.1.1. Marco macroeconómico estable y conducente al logro de los objetivos del programa y los lineamientos establecidos en la Carta de Política sectorial.</w:t>
            </w:r>
          </w:p>
        </w:tc>
        <w:tc>
          <w:tcPr>
            <w:tcW w:w="3856" w:type="dxa"/>
            <w:tcBorders>
              <w:top w:val="single" w:sz="4" w:space="0" w:color="auto"/>
              <w:left w:val="single" w:sz="4" w:space="0" w:color="auto"/>
              <w:bottom w:val="single" w:sz="4" w:space="0" w:color="auto"/>
              <w:right w:val="single" w:sz="4" w:space="0" w:color="auto"/>
            </w:tcBorders>
          </w:tcPr>
          <w:p w14:paraId="4A2B277B" w14:textId="77777777" w:rsidR="00601E37"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1.1.1. Marco macroeconómico estable y conducente al logro de los objetivos del programa y los lineamientos establecidos en la Carta de Política sectorial.</w:t>
            </w:r>
          </w:p>
        </w:tc>
        <w:tc>
          <w:tcPr>
            <w:tcW w:w="3425" w:type="dxa"/>
            <w:tcBorders>
              <w:top w:val="single" w:sz="4" w:space="0" w:color="auto"/>
              <w:left w:val="single" w:sz="4" w:space="0" w:color="auto"/>
              <w:bottom w:val="single" w:sz="4" w:space="0" w:color="auto"/>
              <w:right w:val="single" w:sz="4" w:space="0" w:color="auto"/>
            </w:tcBorders>
          </w:tcPr>
          <w:p w14:paraId="7E07C7D4" w14:textId="77777777" w:rsidR="00601E37" w:rsidRPr="00C57011" w:rsidRDefault="009C1A5D"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Ningún cambio. </w:t>
            </w:r>
          </w:p>
        </w:tc>
      </w:tr>
      <w:tr w:rsidR="00755A5F" w:rsidRPr="00231637" w14:paraId="6B5A3F22" w14:textId="77777777" w:rsidTr="6B4CE3C8">
        <w:trPr>
          <w:trHeight w:val="215"/>
        </w:trPr>
        <w:tc>
          <w:tcPr>
            <w:tcW w:w="1323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3643D" w14:textId="77777777" w:rsidR="00755A5F" w:rsidRPr="00C57011" w:rsidRDefault="008F3191" w:rsidP="00C57011">
            <w:pPr>
              <w:pStyle w:val="ListParagraph"/>
              <w:numPr>
                <w:ilvl w:val="0"/>
                <w:numId w:val="16"/>
              </w:numPr>
              <w:spacing w:after="40" w:line="240" w:lineRule="auto"/>
              <w:contextualSpacing w:val="0"/>
              <w:rPr>
                <w:rFonts w:ascii="Arial" w:hAnsi="Arial" w:cs="Arial"/>
                <w:b/>
                <w:sz w:val="20"/>
                <w:szCs w:val="20"/>
                <w:lang w:val="es-ES"/>
              </w:rPr>
            </w:pPr>
            <w:r w:rsidRPr="00C57011">
              <w:rPr>
                <w:rFonts w:ascii="Arial" w:hAnsi="Arial" w:cs="Arial"/>
                <w:b/>
                <w:sz w:val="20"/>
                <w:szCs w:val="20"/>
                <w:lang w:val="es-ES"/>
              </w:rPr>
              <w:t>Sostenibilidad financiera y eficiencia en la protección social redistributiva</w:t>
            </w:r>
          </w:p>
        </w:tc>
      </w:tr>
      <w:tr w:rsidR="008F3191" w:rsidRPr="00231637" w14:paraId="5A471B04" w14:textId="77777777" w:rsidTr="6B4CE3C8">
        <w:trPr>
          <w:cantSplit/>
          <w:trHeight w:val="2141"/>
        </w:trPr>
        <w:tc>
          <w:tcPr>
            <w:tcW w:w="2335" w:type="dxa"/>
            <w:vMerge w:val="restart"/>
            <w:tcBorders>
              <w:top w:val="single" w:sz="4" w:space="0" w:color="auto"/>
              <w:left w:val="single" w:sz="4" w:space="0" w:color="auto"/>
              <w:right w:val="single" w:sz="4" w:space="0" w:color="auto"/>
            </w:tcBorders>
          </w:tcPr>
          <w:p w14:paraId="63E6F097" w14:textId="404F1681" w:rsidR="008F3191"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2.1. Fortalecer la sostenibilidad financiera del PBVM</w:t>
            </w:r>
            <w:r w:rsidR="00C102D4">
              <w:rPr>
                <w:rFonts w:ascii="Arial" w:hAnsi="Arial" w:cs="Arial"/>
                <w:sz w:val="20"/>
                <w:szCs w:val="20"/>
                <w:lang w:val="es-ES"/>
              </w:rPr>
              <w:t>.</w:t>
            </w:r>
          </w:p>
        </w:tc>
        <w:tc>
          <w:tcPr>
            <w:tcW w:w="3614" w:type="dxa"/>
            <w:tcBorders>
              <w:top w:val="single" w:sz="4" w:space="0" w:color="auto"/>
              <w:left w:val="single" w:sz="4" w:space="0" w:color="auto"/>
              <w:right w:val="single" w:sz="4" w:space="0" w:color="auto"/>
            </w:tcBorders>
          </w:tcPr>
          <w:p w14:paraId="34229D27" w14:textId="77777777" w:rsidR="008F3191"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2.1.1. Asignación de financiamiento para el PBVM para mantener el número de beneficiarios igual o mayor al año fiscal inmediatamente anterior.</w:t>
            </w:r>
          </w:p>
        </w:tc>
        <w:tc>
          <w:tcPr>
            <w:tcW w:w="3856" w:type="dxa"/>
            <w:tcBorders>
              <w:top w:val="single" w:sz="4" w:space="0" w:color="auto"/>
              <w:left w:val="single" w:sz="4" w:space="0" w:color="auto"/>
              <w:bottom w:val="single" w:sz="4" w:space="0" w:color="auto"/>
              <w:right w:val="single" w:sz="4" w:space="0" w:color="auto"/>
            </w:tcBorders>
          </w:tcPr>
          <w:p w14:paraId="07385E4F" w14:textId="088F6855" w:rsidR="008F3191" w:rsidRPr="00C57011" w:rsidRDefault="6B4CE3C8" w:rsidP="6B4CE3C8">
            <w:pPr>
              <w:spacing w:after="40" w:line="240" w:lineRule="auto"/>
              <w:rPr>
                <w:rFonts w:ascii="Arial" w:hAnsi="Arial" w:cs="Arial"/>
                <w:sz w:val="20"/>
                <w:szCs w:val="20"/>
                <w:lang w:val="es-ES"/>
              </w:rPr>
            </w:pPr>
            <w:r w:rsidRPr="6B4CE3C8">
              <w:rPr>
                <w:rFonts w:ascii="Arial" w:hAnsi="Arial" w:cs="Arial"/>
                <w:sz w:val="20"/>
                <w:szCs w:val="20"/>
                <w:lang w:val="es-ES"/>
              </w:rPr>
              <w:t>2.1.1. Que se haya asignado desde el Fondo de Solidaridad y Protección Social para la Reducción de la Pobreza, el financiamiento para que el PBVM mantenga el mismo número de hogares participantes y meses pagados o supere dicho número en relación con el número de hogares participantes cubiertos por dicho PBVM en el año fiscal 2018.</w:t>
            </w:r>
          </w:p>
        </w:tc>
        <w:tc>
          <w:tcPr>
            <w:tcW w:w="3425" w:type="dxa"/>
            <w:tcBorders>
              <w:top w:val="single" w:sz="4" w:space="0" w:color="auto"/>
              <w:left w:val="single" w:sz="4" w:space="0" w:color="auto"/>
              <w:bottom w:val="single" w:sz="4" w:space="0" w:color="auto"/>
              <w:right w:val="single" w:sz="4" w:space="0" w:color="auto"/>
            </w:tcBorders>
          </w:tcPr>
          <w:p w14:paraId="29067FEB" w14:textId="1BAA560E" w:rsidR="00351B4B" w:rsidRPr="00C57011" w:rsidRDefault="003D728B" w:rsidP="003D728B">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008F3191" w:rsidRPr="00C57011">
              <w:rPr>
                <w:rFonts w:ascii="Arial" w:hAnsi="Arial" w:cs="Arial"/>
                <w:sz w:val="20"/>
                <w:szCs w:val="20"/>
                <w:lang w:val="es-ES"/>
              </w:rPr>
              <w:t xml:space="preserve">Se </w:t>
            </w:r>
            <w:r w:rsidR="0051598A">
              <w:rPr>
                <w:rFonts w:ascii="Arial" w:hAnsi="Arial" w:cs="Arial"/>
                <w:sz w:val="20"/>
                <w:szCs w:val="20"/>
                <w:lang w:val="es-ES"/>
              </w:rPr>
              <w:t xml:space="preserve">precisó </w:t>
            </w:r>
            <w:r w:rsidR="008F3191" w:rsidRPr="00C57011">
              <w:rPr>
                <w:rFonts w:ascii="Arial" w:hAnsi="Arial" w:cs="Arial"/>
                <w:sz w:val="20"/>
                <w:szCs w:val="20"/>
                <w:lang w:val="es-ES"/>
              </w:rPr>
              <w:t>que el programa reconoce Hogares participantes en lugar de beneficiarios individuales</w:t>
            </w:r>
            <w:r w:rsidR="0051598A">
              <w:rPr>
                <w:rFonts w:ascii="Arial" w:hAnsi="Arial" w:cs="Arial"/>
                <w:sz w:val="20"/>
                <w:szCs w:val="20"/>
                <w:lang w:val="es-ES"/>
              </w:rPr>
              <w:t>,</w:t>
            </w:r>
            <w:r>
              <w:rPr>
                <w:rFonts w:ascii="Arial" w:hAnsi="Arial" w:cs="Arial"/>
                <w:sz w:val="20"/>
                <w:szCs w:val="20"/>
                <w:lang w:val="es-ES"/>
              </w:rPr>
              <w:t xml:space="preserve"> s</w:t>
            </w:r>
            <w:r w:rsidR="00351B4B" w:rsidRPr="00C57011">
              <w:rPr>
                <w:rFonts w:ascii="Arial" w:hAnsi="Arial" w:cs="Arial"/>
                <w:sz w:val="20"/>
                <w:szCs w:val="20"/>
                <w:lang w:val="es-ES"/>
              </w:rPr>
              <w:t xml:space="preserve">e especificó la fuente de los recursos y se agregó más detalle en la redacción de la cantidad mínima de hogares a cubrir. </w:t>
            </w:r>
          </w:p>
        </w:tc>
      </w:tr>
      <w:tr w:rsidR="008F3191" w:rsidRPr="00231637" w14:paraId="36D9160B" w14:textId="77777777" w:rsidTr="6B4CE3C8">
        <w:trPr>
          <w:cantSplit/>
          <w:trHeight w:val="1250"/>
        </w:trPr>
        <w:tc>
          <w:tcPr>
            <w:tcW w:w="2335" w:type="dxa"/>
            <w:vMerge/>
          </w:tcPr>
          <w:p w14:paraId="0A37501D" w14:textId="77777777" w:rsidR="008F3191" w:rsidRPr="00C57011" w:rsidRDefault="008F3191" w:rsidP="00C57011">
            <w:pPr>
              <w:spacing w:after="40" w:line="240" w:lineRule="auto"/>
              <w:rPr>
                <w:rFonts w:ascii="Arial" w:hAnsi="Arial" w:cs="Arial"/>
                <w:sz w:val="20"/>
                <w:szCs w:val="20"/>
                <w:lang w:val="es-ES"/>
              </w:rPr>
            </w:pPr>
          </w:p>
        </w:tc>
        <w:tc>
          <w:tcPr>
            <w:tcW w:w="3614" w:type="dxa"/>
            <w:tcBorders>
              <w:top w:val="single" w:sz="4" w:space="0" w:color="auto"/>
              <w:left w:val="single" w:sz="4" w:space="0" w:color="auto"/>
              <w:right w:val="single" w:sz="4" w:space="0" w:color="auto"/>
            </w:tcBorders>
          </w:tcPr>
          <w:p w14:paraId="0D5BCD8D" w14:textId="77777777" w:rsidR="008F3191"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2.1.2. Aprobación de un Acta anual del Comité Técnico asignando un mínimo de 10% de los recursos del Fondo de Solidaridad y Protección Social para la Reducción de la Pobreza para el financiamiento del PBVM.</w:t>
            </w:r>
          </w:p>
        </w:tc>
        <w:tc>
          <w:tcPr>
            <w:tcW w:w="3856" w:type="dxa"/>
            <w:tcBorders>
              <w:top w:val="single" w:sz="4" w:space="0" w:color="auto"/>
              <w:left w:val="single" w:sz="4" w:space="0" w:color="auto"/>
              <w:bottom w:val="single" w:sz="4" w:space="0" w:color="auto"/>
              <w:right w:val="single" w:sz="4" w:space="0" w:color="auto"/>
            </w:tcBorders>
          </w:tcPr>
          <w:p w14:paraId="603C26E4" w14:textId="358FB51A" w:rsidR="008F3191"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2.1.2. Que el Comité Técnico del Fondo de Solidaridad y Protección Social para la Reducción de la Pobreza haya aprobado la asignación de </w:t>
            </w:r>
            <w:r w:rsidR="000A3351" w:rsidRPr="00C57011">
              <w:rPr>
                <w:rFonts w:ascii="Arial" w:hAnsi="Arial" w:cs="Arial"/>
                <w:sz w:val="20"/>
                <w:szCs w:val="20"/>
                <w:lang w:val="es-ES"/>
              </w:rPr>
              <w:t xml:space="preserve">un mínimo de 10% de </w:t>
            </w:r>
            <w:r w:rsidRPr="00C57011">
              <w:rPr>
                <w:rFonts w:ascii="Arial" w:hAnsi="Arial" w:cs="Arial"/>
                <w:sz w:val="20"/>
                <w:szCs w:val="20"/>
                <w:lang w:val="es-ES"/>
              </w:rPr>
              <w:t xml:space="preserve">recursos para el PBVM </w:t>
            </w:r>
            <w:proofErr w:type="gramStart"/>
            <w:r w:rsidRPr="00C57011">
              <w:rPr>
                <w:rFonts w:ascii="Arial" w:hAnsi="Arial" w:cs="Arial"/>
                <w:sz w:val="20"/>
                <w:szCs w:val="20"/>
                <w:lang w:val="es-ES"/>
              </w:rPr>
              <w:t>de acuerdo al</w:t>
            </w:r>
            <w:proofErr w:type="gramEnd"/>
            <w:r w:rsidRPr="00C57011">
              <w:rPr>
                <w:rFonts w:ascii="Arial" w:hAnsi="Arial" w:cs="Arial"/>
                <w:sz w:val="20"/>
                <w:szCs w:val="20"/>
                <w:lang w:val="es-ES"/>
              </w:rPr>
              <w:t xml:space="preserve"> Decreto Ejecutivo 021-2018.</w:t>
            </w:r>
          </w:p>
        </w:tc>
        <w:tc>
          <w:tcPr>
            <w:tcW w:w="3425" w:type="dxa"/>
            <w:tcBorders>
              <w:top w:val="single" w:sz="4" w:space="0" w:color="auto"/>
              <w:left w:val="single" w:sz="4" w:space="0" w:color="auto"/>
              <w:bottom w:val="single" w:sz="4" w:space="0" w:color="auto"/>
              <w:right w:val="single" w:sz="4" w:space="0" w:color="auto"/>
            </w:tcBorders>
          </w:tcPr>
          <w:p w14:paraId="620066C2" w14:textId="3F2D4AD8" w:rsidR="008F3191" w:rsidRPr="00C57011" w:rsidRDefault="003D728B" w:rsidP="00C57011">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00351B4B" w:rsidRPr="00C57011">
              <w:rPr>
                <w:rFonts w:ascii="Arial" w:hAnsi="Arial" w:cs="Arial"/>
                <w:sz w:val="20"/>
                <w:szCs w:val="20"/>
                <w:lang w:val="es-ES"/>
              </w:rPr>
              <w:t xml:space="preserve">Se </w:t>
            </w:r>
            <w:r w:rsidR="0051598A">
              <w:rPr>
                <w:rFonts w:ascii="Arial" w:hAnsi="Arial" w:cs="Arial"/>
                <w:sz w:val="20"/>
                <w:szCs w:val="20"/>
                <w:lang w:val="es-ES"/>
              </w:rPr>
              <w:t>precisó</w:t>
            </w:r>
            <w:r w:rsidR="0051598A" w:rsidRPr="00C57011">
              <w:rPr>
                <w:rFonts w:ascii="Arial" w:hAnsi="Arial" w:cs="Arial"/>
                <w:sz w:val="20"/>
                <w:szCs w:val="20"/>
                <w:lang w:val="es-ES"/>
              </w:rPr>
              <w:t xml:space="preserve"> </w:t>
            </w:r>
            <w:r w:rsidR="00351B4B" w:rsidRPr="00C57011">
              <w:rPr>
                <w:rFonts w:ascii="Arial" w:hAnsi="Arial" w:cs="Arial"/>
                <w:sz w:val="20"/>
                <w:szCs w:val="20"/>
                <w:lang w:val="es-ES"/>
              </w:rPr>
              <w:t xml:space="preserve">la redacción </w:t>
            </w:r>
            <w:r w:rsidR="0051598A">
              <w:rPr>
                <w:rFonts w:ascii="Arial" w:hAnsi="Arial" w:cs="Arial"/>
                <w:sz w:val="20"/>
                <w:szCs w:val="20"/>
                <w:lang w:val="es-ES"/>
              </w:rPr>
              <w:t>para incluir</w:t>
            </w:r>
            <w:r w:rsidR="00351B4B" w:rsidRPr="00C57011">
              <w:rPr>
                <w:rFonts w:ascii="Arial" w:hAnsi="Arial" w:cs="Arial"/>
                <w:sz w:val="20"/>
                <w:szCs w:val="20"/>
                <w:lang w:val="es-ES"/>
              </w:rPr>
              <w:t xml:space="preserve"> el decreto ejecutivo 021-2018 </w:t>
            </w:r>
            <w:r w:rsidR="0051598A">
              <w:rPr>
                <w:rFonts w:ascii="Arial" w:hAnsi="Arial" w:cs="Arial"/>
                <w:sz w:val="20"/>
                <w:szCs w:val="20"/>
                <w:lang w:val="es-ES"/>
              </w:rPr>
              <w:t>por el que se aprobó</w:t>
            </w:r>
            <w:r w:rsidR="00351B4B" w:rsidRPr="00C57011">
              <w:rPr>
                <w:rFonts w:ascii="Arial" w:hAnsi="Arial" w:cs="Arial"/>
                <w:sz w:val="20"/>
                <w:szCs w:val="20"/>
                <w:lang w:val="es-ES"/>
              </w:rPr>
              <w:t xml:space="preserve"> la distribución de fondos del fideicomiso</w:t>
            </w:r>
            <w:r w:rsidR="0051598A">
              <w:rPr>
                <w:rFonts w:ascii="Arial" w:hAnsi="Arial" w:cs="Arial"/>
                <w:sz w:val="20"/>
                <w:szCs w:val="20"/>
                <w:lang w:val="es-ES"/>
              </w:rPr>
              <w:t xml:space="preserve"> en ese porcentaje</w:t>
            </w:r>
            <w:r w:rsidR="00351B4B" w:rsidRPr="00C57011">
              <w:rPr>
                <w:rFonts w:ascii="Arial" w:hAnsi="Arial" w:cs="Arial"/>
                <w:sz w:val="20"/>
                <w:szCs w:val="20"/>
                <w:lang w:val="es-ES"/>
              </w:rPr>
              <w:t xml:space="preserve">.  </w:t>
            </w:r>
          </w:p>
        </w:tc>
      </w:tr>
      <w:tr w:rsidR="002A7128" w:rsidRPr="00231637" w14:paraId="1CE25AE8" w14:textId="77777777" w:rsidTr="6B4CE3C8">
        <w:trPr>
          <w:cantSplit/>
          <w:trHeight w:val="1007"/>
        </w:trPr>
        <w:tc>
          <w:tcPr>
            <w:tcW w:w="2335" w:type="dxa"/>
            <w:tcBorders>
              <w:top w:val="single" w:sz="4" w:space="0" w:color="auto"/>
              <w:left w:val="single" w:sz="4" w:space="0" w:color="auto"/>
              <w:bottom w:val="single" w:sz="4" w:space="0" w:color="auto"/>
              <w:right w:val="single" w:sz="4" w:space="0" w:color="auto"/>
            </w:tcBorders>
          </w:tcPr>
          <w:p w14:paraId="1862A3B2" w14:textId="77777777" w:rsidR="002A7128"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2.2 Unificar los dominios urbano y rural del PBVM para facilitar su gestión operativa.</w:t>
            </w:r>
          </w:p>
        </w:tc>
        <w:tc>
          <w:tcPr>
            <w:tcW w:w="3614" w:type="dxa"/>
            <w:tcBorders>
              <w:left w:val="single" w:sz="4" w:space="0" w:color="auto"/>
              <w:bottom w:val="single" w:sz="4" w:space="0" w:color="auto"/>
              <w:right w:val="single" w:sz="4" w:space="0" w:color="auto"/>
            </w:tcBorders>
          </w:tcPr>
          <w:p w14:paraId="4E0EF595" w14:textId="77777777" w:rsidR="002A7128"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2.2.1. Diseño y aprobación de un nuevo manual operativo del PBVM de acuerdo con las instrucciones aprobadas que unifican los dominios urbano y rural del PBVM.</w:t>
            </w:r>
          </w:p>
        </w:tc>
        <w:tc>
          <w:tcPr>
            <w:tcW w:w="3856" w:type="dxa"/>
            <w:tcBorders>
              <w:top w:val="single" w:sz="4" w:space="0" w:color="auto"/>
              <w:left w:val="single" w:sz="4" w:space="0" w:color="auto"/>
              <w:bottom w:val="single" w:sz="4" w:space="0" w:color="auto"/>
              <w:right w:val="single" w:sz="4" w:space="0" w:color="auto"/>
            </w:tcBorders>
          </w:tcPr>
          <w:p w14:paraId="62E0CE14" w14:textId="77777777" w:rsidR="002A7128" w:rsidRPr="00C57011" w:rsidRDefault="008F3191" w:rsidP="00C57011">
            <w:pPr>
              <w:spacing w:after="40" w:line="240" w:lineRule="auto"/>
              <w:rPr>
                <w:rFonts w:ascii="Arial" w:hAnsi="Arial" w:cs="Arial"/>
                <w:sz w:val="20"/>
                <w:szCs w:val="20"/>
                <w:lang w:val="es-ES"/>
              </w:rPr>
            </w:pPr>
            <w:r w:rsidRPr="00C57011">
              <w:rPr>
                <w:rFonts w:ascii="Arial" w:hAnsi="Arial" w:cs="Arial"/>
                <w:sz w:val="20"/>
                <w:szCs w:val="20"/>
                <w:lang w:val="es-ES"/>
              </w:rPr>
              <w:t>2.2.1. Que se haya diseñado y aprobado un nuevo manual operativo del PBVM que refleje los lineamientos generales para la unificación de los dominios urbano y rural del PBVM, aprobados en la primera operación.</w:t>
            </w:r>
          </w:p>
        </w:tc>
        <w:tc>
          <w:tcPr>
            <w:tcW w:w="3425" w:type="dxa"/>
            <w:tcBorders>
              <w:top w:val="single" w:sz="4" w:space="0" w:color="auto"/>
              <w:left w:val="single" w:sz="4" w:space="0" w:color="auto"/>
              <w:bottom w:val="single" w:sz="4" w:space="0" w:color="auto"/>
              <w:right w:val="single" w:sz="4" w:space="0" w:color="auto"/>
            </w:tcBorders>
          </w:tcPr>
          <w:p w14:paraId="2552CD1B" w14:textId="487F8E32" w:rsidR="002A7128" w:rsidRPr="00C57011" w:rsidRDefault="000B6657" w:rsidP="00C57011">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00351B4B" w:rsidRPr="00C57011">
              <w:rPr>
                <w:rFonts w:ascii="Arial" w:hAnsi="Arial" w:cs="Arial"/>
                <w:sz w:val="20"/>
                <w:szCs w:val="20"/>
                <w:lang w:val="es-ES"/>
              </w:rPr>
              <w:t xml:space="preserve">Se especificó que el manual debe incluir los lineamientos generales para la unificación de los dominios urbano y rural. </w:t>
            </w:r>
          </w:p>
        </w:tc>
      </w:tr>
      <w:tr w:rsidR="002A7128" w:rsidRPr="00231637" w14:paraId="142F1996" w14:textId="77777777" w:rsidTr="6B4CE3C8">
        <w:trPr>
          <w:cantSplit/>
          <w:trHeight w:val="1979"/>
        </w:trPr>
        <w:tc>
          <w:tcPr>
            <w:tcW w:w="2335" w:type="dxa"/>
            <w:tcBorders>
              <w:top w:val="single" w:sz="4" w:space="0" w:color="auto"/>
              <w:left w:val="single" w:sz="4" w:space="0" w:color="auto"/>
              <w:bottom w:val="single" w:sz="4" w:space="0" w:color="auto"/>
              <w:right w:val="single" w:sz="4" w:space="0" w:color="auto"/>
            </w:tcBorders>
          </w:tcPr>
          <w:p w14:paraId="478F1A8F"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lastRenderedPageBreak/>
              <w:t>2.3. Fortalecer la desconcentración operativa del Bono Vida Mejor para optimizar el uso de sus recursos.</w:t>
            </w:r>
          </w:p>
        </w:tc>
        <w:tc>
          <w:tcPr>
            <w:tcW w:w="3614" w:type="dxa"/>
            <w:tcBorders>
              <w:top w:val="single" w:sz="4" w:space="0" w:color="auto"/>
              <w:left w:val="single" w:sz="4" w:space="0" w:color="auto"/>
              <w:right w:val="single" w:sz="4" w:space="0" w:color="auto"/>
            </w:tcBorders>
          </w:tcPr>
          <w:p w14:paraId="447144C1"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2.3.1. Implementación de la estrategia de desconcentración operativa en al menos la mitad de las oficinas de atención a participantes de la Sub-Secretaría de Inclusión Social (SSIS) ubicadas a nivel departamental.</w:t>
            </w:r>
          </w:p>
        </w:tc>
        <w:tc>
          <w:tcPr>
            <w:tcW w:w="3856" w:type="dxa"/>
            <w:tcBorders>
              <w:top w:val="single" w:sz="4" w:space="0" w:color="auto"/>
              <w:left w:val="single" w:sz="4" w:space="0" w:color="auto"/>
              <w:bottom w:val="single" w:sz="4" w:space="0" w:color="auto"/>
              <w:right w:val="single" w:sz="4" w:space="0" w:color="auto"/>
            </w:tcBorders>
          </w:tcPr>
          <w:p w14:paraId="5138A23C"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2.3.1. Que se estén implementando los lineamientos de Atención al Participante en las oficinas de atención a participantes de la Sub-Secretaría de Inclusión Social (SSIS) ubicadas a nivel departamental.</w:t>
            </w:r>
          </w:p>
        </w:tc>
        <w:tc>
          <w:tcPr>
            <w:tcW w:w="3425" w:type="dxa"/>
            <w:tcBorders>
              <w:top w:val="single" w:sz="4" w:space="0" w:color="auto"/>
              <w:left w:val="single" w:sz="4" w:space="0" w:color="auto"/>
              <w:bottom w:val="single" w:sz="4" w:space="0" w:color="auto"/>
              <w:right w:val="single" w:sz="4" w:space="0" w:color="auto"/>
            </w:tcBorders>
          </w:tcPr>
          <w:p w14:paraId="34AAFD85" w14:textId="3486A136" w:rsidR="00927313" w:rsidRPr="00C57011" w:rsidRDefault="00C66F18" w:rsidP="6B4CE3C8">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6B4CE3C8" w:rsidRPr="6B4CE3C8">
              <w:rPr>
                <w:rFonts w:ascii="Arial" w:hAnsi="Arial" w:cs="Arial"/>
                <w:sz w:val="20"/>
                <w:szCs w:val="20"/>
                <w:lang w:val="es-ES"/>
              </w:rPr>
              <w:t xml:space="preserve">Se precisó el nombre de los lineamientos </w:t>
            </w:r>
            <w:r w:rsidR="6B4CE3C8" w:rsidRPr="6B4CE3C8">
              <w:rPr>
                <w:rFonts w:ascii="Arial" w:eastAsia="Arial" w:hAnsi="Arial" w:cs="Arial"/>
                <w:color w:val="000000" w:themeColor="text1"/>
                <w:sz w:val="20"/>
                <w:szCs w:val="20"/>
                <w:lang w:val="es-ES"/>
              </w:rPr>
              <w:t xml:space="preserve">de acuerdo con el aprobado, siendo este </w:t>
            </w:r>
            <w:r w:rsidR="6B4CE3C8" w:rsidRPr="6B4CE3C8">
              <w:rPr>
                <w:rFonts w:ascii="Arial" w:hAnsi="Arial" w:cs="Arial"/>
                <w:sz w:val="20"/>
                <w:szCs w:val="20"/>
                <w:lang w:val="es-ES"/>
              </w:rPr>
              <w:t>"lineamientos de Atención al Participante”.</w:t>
            </w:r>
          </w:p>
          <w:p w14:paraId="215E0C2F"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Y se consideró el universo completo de oficinas debido al nivel de avance en el cumplimiento de la condición.</w:t>
            </w:r>
          </w:p>
        </w:tc>
      </w:tr>
      <w:tr w:rsidR="002A7128" w:rsidRPr="00231637" w14:paraId="6448A342" w14:textId="77777777" w:rsidTr="6B4CE3C8">
        <w:trPr>
          <w:cantSplit/>
          <w:trHeight w:val="1007"/>
        </w:trPr>
        <w:tc>
          <w:tcPr>
            <w:tcW w:w="2335" w:type="dxa"/>
            <w:tcBorders>
              <w:top w:val="single" w:sz="4" w:space="0" w:color="auto"/>
              <w:left w:val="single" w:sz="4" w:space="0" w:color="auto"/>
              <w:right w:val="single" w:sz="4" w:space="0" w:color="auto"/>
            </w:tcBorders>
          </w:tcPr>
          <w:p w14:paraId="269E2D1A"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2.4. Unificar y fortalecer institucionalmente los mecanismos de medición de pobreza y desigualdad en Honduras.</w:t>
            </w:r>
          </w:p>
        </w:tc>
        <w:tc>
          <w:tcPr>
            <w:tcW w:w="3614" w:type="dxa"/>
            <w:tcBorders>
              <w:left w:val="single" w:sz="4" w:space="0" w:color="auto"/>
              <w:bottom w:val="single" w:sz="4" w:space="0" w:color="auto"/>
              <w:right w:val="single" w:sz="4" w:space="0" w:color="auto"/>
            </w:tcBorders>
          </w:tcPr>
          <w:p w14:paraId="6443ED05"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2.4.1. Aprobación e implementación de una metodología actualizada para la medición de la pobreza y desigualdad y publicación formal de resultados por parte de una entidad rectora designada para todos los indicadores de pobreza oficiales.</w:t>
            </w:r>
          </w:p>
        </w:tc>
        <w:tc>
          <w:tcPr>
            <w:tcW w:w="3856" w:type="dxa"/>
            <w:tcBorders>
              <w:top w:val="single" w:sz="4" w:space="0" w:color="auto"/>
              <w:left w:val="single" w:sz="4" w:space="0" w:color="auto"/>
              <w:bottom w:val="single" w:sz="4" w:space="0" w:color="auto"/>
              <w:right w:val="single" w:sz="4" w:space="0" w:color="auto"/>
            </w:tcBorders>
          </w:tcPr>
          <w:p w14:paraId="5B06A859"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2.4.1. Que se haya aprobado la metodología actualizada para la medición de la pobreza y desigualdad y que la Comisión Técnica Permanente haya enviado oficialmente a la Comisión de Alto Nivel los cálculos y recomendaciones basados en dicha metodología.</w:t>
            </w:r>
          </w:p>
        </w:tc>
        <w:tc>
          <w:tcPr>
            <w:tcW w:w="3425" w:type="dxa"/>
            <w:tcBorders>
              <w:top w:val="single" w:sz="4" w:space="0" w:color="auto"/>
              <w:left w:val="single" w:sz="4" w:space="0" w:color="auto"/>
              <w:bottom w:val="single" w:sz="4" w:space="0" w:color="auto"/>
              <w:right w:val="single" w:sz="4" w:space="0" w:color="auto"/>
            </w:tcBorders>
            <w:shd w:val="clear" w:color="auto" w:fill="auto"/>
          </w:tcPr>
          <w:p w14:paraId="56ECA0C1" w14:textId="6A17E354" w:rsidR="002A7128" w:rsidRPr="00C57011" w:rsidRDefault="00DA40D8" w:rsidP="6B4CE3C8">
            <w:pPr>
              <w:spacing w:after="40" w:line="240" w:lineRule="auto"/>
              <w:rPr>
                <w:rFonts w:ascii="Arial" w:hAnsi="Arial" w:cs="Arial"/>
                <w:sz w:val="20"/>
                <w:szCs w:val="20"/>
                <w:lang w:val="es-419"/>
              </w:rPr>
            </w:pPr>
            <w:r>
              <w:rPr>
                <w:rFonts w:ascii="Arial" w:hAnsi="Arial" w:cs="Arial"/>
                <w:sz w:val="20"/>
                <w:szCs w:val="20"/>
                <w:lang w:val="es-ES"/>
              </w:rPr>
              <w:t xml:space="preserve">Modificación. </w:t>
            </w:r>
            <w:r w:rsidR="6B4CE3C8" w:rsidRPr="6B4CE3C8">
              <w:rPr>
                <w:rFonts w:ascii="Arial" w:hAnsi="Arial" w:cs="Arial"/>
                <w:sz w:val="20"/>
                <w:szCs w:val="20"/>
                <w:lang w:val="es-ES"/>
              </w:rPr>
              <w:t xml:space="preserve">Se modificó la condición </w:t>
            </w:r>
            <w:r w:rsidR="6B4CE3C8" w:rsidRPr="6B4CE3C8">
              <w:rPr>
                <w:rFonts w:ascii="Arial" w:eastAsia="Arial" w:hAnsi="Arial" w:cs="Arial"/>
                <w:color w:val="000000" w:themeColor="text1"/>
                <w:sz w:val="20"/>
                <w:szCs w:val="20"/>
                <w:lang w:val="es-ES"/>
              </w:rPr>
              <w:t xml:space="preserve">en relación con la publicación de los resultados para todos los indicadores de pobreza previstas como mecanismo activador, ya que la </w:t>
            </w:r>
            <w:r w:rsidR="00975C73">
              <w:rPr>
                <w:rFonts w:ascii="Arial" w:eastAsia="Arial" w:hAnsi="Arial" w:cs="Arial"/>
                <w:color w:val="000000" w:themeColor="text1"/>
                <w:sz w:val="20"/>
                <w:szCs w:val="20"/>
                <w:lang w:val="es-ES"/>
              </w:rPr>
              <w:t>C</w:t>
            </w:r>
            <w:r w:rsidR="6B4CE3C8" w:rsidRPr="6B4CE3C8">
              <w:rPr>
                <w:rFonts w:ascii="Arial" w:hAnsi="Arial" w:cs="Arial"/>
                <w:sz w:val="20"/>
                <w:szCs w:val="20"/>
                <w:lang w:val="es-ES"/>
              </w:rPr>
              <w:t xml:space="preserve">omisión Técnica de </w:t>
            </w:r>
            <w:r w:rsidR="00975C73">
              <w:rPr>
                <w:rFonts w:ascii="Arial" w:hAnsi="Arial" w:cs="Arial"/>
                <w:sz w:val="20"/>
                <w:szCs w:val="20"/>
                <w:lang w:val="es-ES"/>
              </w:rPr>
              <w:t>M</w:t>
            </w:r>
            <w:r w:rsidR="6B4CE3C8" w:rsidRPr="6B4CE3C8">
              <w:rPr>
                <w:rFonts w:ascii="Arial" w:hAnsi="Arial" w:cs="Arial"/>
                <w:sz w:val="20"/>
                <w:szCs w:val="20"/>
                <w:lang w:val="es-ES"/>
              </w:rPr>
              <w:t>edición de la Pobreza determin</w:t>
            </w:r>
            <w:r w:rsidR="6B4CE3C8" w:rsidRPr="6B4CE3C8">
              <w:rPr>
                <w:rFonts w:ascii="Arial" w:eastAsia="Arial" w:hAnsi="Arial" w:cs="Arial"/>
                <w:sz w:val="20"/>
                <w:szCs w:val="20"/>
                <w:lang w:val="es-ES"/>
              </w:rPr>
              <w:t>ó</w:t>
            </w:r>
            <w:r w:rsidR="6B4CE3C8" w:rsidRPr="6B4CE3C8">
              <w:rPr>
                <w:rFonts w:ascii="Arial" w:hAnsi="Arial" w:cs="Arial"/>
                <w:sz w:val="20"/>
                <w:szCs w:val="20"/>
                <w:lang w:val="es-ES"/>
              </w:rPr>
              <w:t xml:space="preserve"> necesario realizar cambios al cuestionario de la EPHPM. Por lo tanto, si bien los cambios a la metodología pueden ser aprobados en 2019, y definirán la medición de la pobreza para años futuros, las cifras finales dependerán del levantamiento de información de la encuesta en el a</w:t>
            </w:r>
            <w:proofErr w:type="spellStart"/>
            <w:r w:rsidR="6B4CE3C8" w:rsidRPr="6B4CE3C8">
              <w:rPr>
                <w:rFonts w:ascii="Arial" w:hAnsi="Arial" w:cs="Arial"/>
                <w:sz w:val="20"/>
                <w:szCs w:val="20"/>
                <w:lang w:val="es-419"/>
              </w:rPr>
              <w:t>ño</w:t>
            </w:r>
            <w:proofErr w:type="spellEnd"/>
            <w:r w:rsidR="6B4CE3C8" w:rsidRPr="6B4CE3C8">
              <w:rPr>
                <w:rFonts w:ascii="Arial" w:hAnsi="Arial" w:cs="Arial"/>
                <w:sz w:val="20"/>
                <w:szCs w:val="20"/>
                <w:lang w:val="es-419"/>
              </w:rPr>
              <w:t xml:space="preserve"> 2020.</w:t>
            </w:r>
          </w:p>
        </w:tc>
      </w:tr>
      <w:tr w:rsidR="002A7128" w:rsidRPr="00231637" w14:paraId="1162F158" w14:textId="77777777" w:rsidTr="6B4CE3C8">
        <w:trPr>
          <w:cantSplit/>
          <w:trHeight w:val="1889"/>
        </w:trPr>
        <w:tc>
          <w:tcPr>
            <w:tcW w:w="2335" w:type="dxa"/>
            <w:tcBorders>
              <w:left w:val="single" w:sz="4" w:space="0" w:color="auto"/>
              <w:bottom w:val="single" w:sz="4" w:space="0" w:color="auto"/>
              <w:right w:val="single" w:sz="4" w:space="0" w:color="auto"/>
            </w:tcBorders>
            <w:vAlign w:val="center"/>
          </w:tcPr>
          <w:p w14:paraId="455B30BF"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lastRenderedPageBreak/>
              <w:t>2.5. Optimizar la progresividad en la redistribución del gasto público social mediante la actualización de la identificación de potenciales participantes y los criterios geográficos de programas sociales con criterios de selección basado en pobreza monetaria y/o priorización geográfica.</w:t>
            </w:r>
          </w:p>
        </w:tc>
        <w:tc>
          <w:tcPr>
            <w:tcW w:w="3614" w:type="dxa"/>
            <w:tcBorders>
              <w:left w:val="single" w:sz="4" w:space="0" w:color="auto"/>
              <w:bottom w:val="single" w:sz="4" w:space="0" w:color="auto"/>
              <w:right w:val="single" w:sz="4" w:space="0" w:color="auto"/>
            </w:tcBorders>
            <w:shd w:val="clear" w:color="auto" w:fill="auto"/>
          </w:tcPr>
          <w:p w14:paraId="4CAF8FC4"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2.5.1. Ingreso de nuevos participantes de programas sociales de conformidad con el algoritmo de identificación de hogares y los criterios de priorización geográfica actualizados.</w:t>
            </w:r>
          </w:p>
        </w:tc>
        <w:tc>
          <w:tcPr>
            <w:tcW w:w="3856" w:type="dxa"/>
            <w:tcBorders>
              <w:top w:val="single" w:sz="4" w:space="0" w:color="auto"/>
              <w:left w:val="single" w:sz="4" w:space="0" w:color="auto"/>
              <w:bottom w:val="single" w:sz="4" w:space="0" w:color="auto"/>
              <w:right w:val="single" w:sz="4" w:space="0" w:color="auto"/>
            </w:tcBorders>
          </w:tcPr>
          <w:p w14:paraId="178D2A05"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2.5.1. Que la elegibilidad de los hogares para participar de programas sociales haya sido determinada por el nuevo algoritmo aprobado para todos los hogares censados a partir de 2019 y que los levantamientos hayan sido priorizados </w:t>
            </w:r>
            <w:proofErr w:type="gramStart"/>
            <w:r w:rsidRPr="00C57011">
              <w:rPr>
                <w:rFonts w:ascii="Arial" w:hAnsi="Arial" w:cs="Arial"/>
                <w:sz w:val="20"/>
                <w:szCs w:val="20"/>
                <w:lang w:val="es-ES"/>
              </w:rPr>
              <w:t>de acuerdo al</w:t>
            </w:r>
            <w:proofErr w:type="gramEnd"/>
            <w:r w:rsidRPr="00C57011">
              <w:rPr>
                <w:rFonts w:ascii="Arial" w:hAnsi="Arial" w:cs="Arial"/>
                <w:sz w:val="20"/>
                <w:szCs w:val="20"/>
                <w:lang w:val="es-ES"/>
              </w:rPr>
              <w:t xml:space="preserve"> mapa de pobreza por ingresos.</w:t>
            </w:r>
          </w:p>
        </w:tc>
        <w:tc>
          <w:tcPr>
            <w:tcW w:w="3425" w:type="dxa"/>
            <w:tcBorders>
              <w:top w:val="single" w:sz="4" w:space="0" w:color="auto"/>
              <w:left w:val="single" w:sz="4" w:space="0" w:color="auto"/>
              <w:bottom w:val="single" w:sz="4" w:space="0" w:color="auto"/>
              <w:right w:val="single" w:sz="4" w:space="0" w:color="auto"/>
            </w:tcBorders>
          </w:tcPr>
          <w:p w14:paraId="4D6882F3" w14:textId="0AC1D38A" w:rsidR="008A3A96" w:rsidRPr="00C57011" w:rsidRDefault="00BF06F2" w:rsidP="00AF7732">
            <w:pPr>
              <w:spacing w:after="40" w:line="240" w:lineRule="auto"/>
              <w:rPr>
                <w:rFonts w:ascii="Arial" w:hAnsi="Arial" w:cs="Arial"/>
                <w:sz w:val="20"/>
                <w:szCs w:val="20"/>
                <w:lang w:val="es-EC"/>
              </w:rPr>
            </w:pPr>
            <w:r>
              <w:rPr>
                <w:rFonts w:ascii="Arial" w:hAnsi="Arial" w:cs="Arial"/>
                <w:sz w:val="20"/>
                <w:szCs w:val="20"/>
                <w:lang w:val="es-EC"/>
              </w:rPr>
              <w:t xml:space="preserve">Precisión. </w:t>
            </w:r>
            <w:r w:rsidR="008A3A96" w:rsidRPr="00C57011">
              <w:rPr>
                <w:rFonts w:ascii="Arial" w:hAnsi="Arial" w:cs="Arial"/>
                <w:sz w:val="20"/>
                <w:szCs w:val="20"/>
                <w:lang w:val="es-EC"/>
              </w:rPr>
              <w:t>Se especificó que la elegibilidad de los hogares será determinada por el nuevo algoritmo, mediante un proceso que define si el hogar entra o no</w:t>
            </w:r>
            <w:r w:rsidR="00AF7732">
              <w:rPr>
                <w:rFonts w:ascii="Arial" w:hAnsi="Arial" w:cs="Arial"/>
                <w:sz w:val="20"/>
                <w:szCs w:val="20"/>
                <w:lang w:val="es-EC"/>
              </w:rPr>
              <w:t>; t</w:t>
            </w:r>
            <w:r w:rsidR="008A3A96" w:rsidRPr="00C57011">
              <w:rPr>
                <w:rFonts w:ascii="Arial" w:hAnsi="Arial" w:cs="Arial"/>
                <w:sz w:val="20"/>
                <w:szCs w:val="20"/>
                <w:lang w:val="es-EC"/>
              </w:rPr>
              <w:t>ambién se especificó que el criterio de focalización geográfica será determinado por el mapa de pobreza.</w:t>
            </w:r>
          </w:p>
        </w:tc>
      </w:tr>
      <w:tr w:rsidR="00927313" w:rsidRPr="00231637" w14:paraId="5C91AE0B" w14:textId="77777777" w:rsidTr="6B4CE3C8">
        <w:trPr>
          <w:cantSplit/>
          <w:trHeight w:val="283"/>
        </w:trPr>
        <w:tc>
          <w:tcPr>
            <w:tcW w:w="13230" w:type="dxa"/>
            <w:gridSpan w:val="4"/>
            <w:tcBorders>
              <w:left w:val="single" w:sz="4" w:space="0" w:color="auto"/>
              <w:right w:val="single" w:sz="4" w:space="0" w:color="auto"/>
            </w:tcBorders>
            <w:shd w:val="clear" w:color="auto" w:fill="D9D9D9" w:themeFill="background1" w:themeFillShade="D9"/>
            <w:vAlign w:val="center"/>
          </w:tcPr>
          <w:p w14:paraId="3C7977E9" w14:textId="77777777" w:rsidR="00927313" w:rsidRPr="00C57011" w:rsidRDefault="00927313" w:rsidP="00C57011">
            <w:pPr>
              <w:spacing w:after="40" w:line="240" w:lineRule="auto"/>
              <w:rPr>
                <w:rFonts w:ascii="Arial" w:hAnsi="Arial" w:cs="Arial"/>
                <w:b/>
                <w:sz w:val="20"/>
                <w:szCs w:val="20"/>
                <w:lang w:val="es-ES"/>
              </w:rPr>
            </w:pPr>
            <w:r w:rsidRPr="00C57011">
              <w:rPr>
                <w:rFonts w:ascii="Arial" w:hAnsi="Arial" w:cs="Arial"/>
                <w:b/>
                <w:sz w:val="20"/>
                <w:szCs w:val="20"/>
                <w:lang w:val="es-ES"/>
              </w:rPr>
              <w:t>3. Consolidación de la oferta de servicios básicos en protección social redistributiva</w:t>
            </w:r>
          </w:p>
        </w:tc>
      </w:tr>
      <w:tr w:rsidR="002A7128" w:rsidRPr="00231637" w14:paraId="340781CC" w14:textId="77777777" w:rsidTr="6B4CE3C8">
        <w:trPr>
          <w:cantSplit/>
          <w:trHeight w:val="1007"/>
        </w:trPr>
        <w:tc>
          <w:tcPr>
            <w:tcW w:w="2335" w:type="dxa"/>
            <w:tcBorders>
              <w:left w:val="single" w:sz="4" w:space="0" w:color="auto"/>
              <w:right w:val="single" w:sz="4" w:space="0" w:color="auto"/>
            </w:tcBorders>
          </w:tcPr>
          <w:p w14:paraId="0810CE8F"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3.1. Dar sostenibilidad a la provisión de servicios del tercer ciclo de educación básica mediante la incorporación de escuelas tercerizadas en el presupuesto de la Secretaría de Educación (SEDUC).</w:t>
            </w:r>
          </w:p>
        </w:tc>
        <w:tc>
          <w:tcPr>
            <w:tcW w:w="3614" w:type="dxa"/>
            <w:tcBorders>
              <w:left w:val="single" w:sz="4" w:space="0" w:color="auto"/>
              <w:bottom w:val="single" w:sz="4" w:space="0" w:color="auto"/>
              <w:right w:val="single" w:sz="4" w:space="0" w:color="auto"/>
            </w:tcBorders>
            <w:shd w:val="clear" w:color="auto" w:fill="auto"/>
          </w:tcPr>
          <w:p w14:paraId="2B8AAFFE"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3.1.1. Incorporación en el presupuesto de la SEDUC de recursos para contrataciones de maestros en escuelas que dejarán de ser atendidas por el IHER de acuerdo con el Plan Estratégico Institucional 2019-2022 aprobado.</w:t>
            </w:r>
          </w:p>
        </w:tc>
        <w:tc>
          <w:tcPr>
            <w:tcW w:w="3856" w:type="dxa"/>
            <w:tcBorders>
              <w:top w:val="single" w:sz="4" w:space="0" w:color="auto"/>
              <w:left w:val="single" w:sz="4" w:space="0" w:color="auto"/>
              <w:bottom w:val="single" w:sz="4" w:space="0" w:color="auto"/>
              <w:right w:val="single" w:sz="4" w:space="0" w:color="auto"/>
            </w:tcBorders>
          </w:tcPr>
          <w:p w14:paraId="10A7DBCD" w14:textId="77777777" w:rsidR="002A7128"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3.1.1. Que se hayan incorporado en el anteproyecto de ley de presupuesto de ingresos y egresos de la Republica y remitido al congreso los recursos para contrataciones de maestros en escuelas que dejarán de ser atendidas por el IHER de acuerdo con el Plan Estratégico Institucional 2019-2022 aprobado.</w:t>
            </w:r>
          </w:p>
        </w:tc>
        <w:tc>
          <w:tcPr>
            <w:tcW w:w="3425" w:type="dxa"/>
            <w:tcBorders>
              <w:top w:val="single" w:sz="4" w:space="0" w:color="auto"/>
              <w:left w:val="single" w:sz="4" w:space="0" w:color="auto"/>
              <w:bottom w:val="single" w:sz="4" w:space="0" w:color="auto"/>
              <w:right w:val="single" w:sz="4" w:space="0" w:color="auto"/>
            </w:tcBorders>
          </w:tcPr>
          <w:p w14:paraId="07263210" w14:textId="69C79C02" w:rsidR="002A7128" w:rsidRPr="00C57011" w:rsidRDefault="00F8307B" w:rsidP="00C57011">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008A3A96" w:rsidRPr="00C57011">
              <w:rPr>
                <w:rFonts w:ascii="Arial" w:hAnsi="Arial" w:cs="Arial"/>
                <w:sz w:val="20"/>
                <w:szCs w:val="20"/>
                <w:lang w:val="es-ES"/>
              </w:rPr>
              <w:t xml:space="preserve">Se especificó que el presupuesto debe estar incorporado en el </w:t>
            </w:r>
            <w:r w:rsidR="0051598A">
              <w:rPr>
                <w:rFonts w:ascii="Arial" w:hAnsi="Arial" w:cs="Arial"/>
                <w:sz w:val="20"/>
                <w:szCs w:val="20"/>
                <w:lang w:val="es-ES"/>
              </w:rPr>
              <w:t xml:space="preserve">anteproyecto del </w:t>
            </w:r>
            <w:r w:rsidR="008A3A96" w:rsidRPr="00C57011">
              <w:rPr>
                <w:rFonts w:ascii="Arial" w:hAnsi="Arial" w:cs="Arial"/>
                <w:sz w:val="20"/>
                <w:szCs w:val="20"/>
                <w:lang w:val="es-ES"/>
              </w:rPr>
              <w:t xml:space="preserve">Presupuesto de Ingresos y Egresos de la República y que debe haber sido remitido al Congreso Nacional. </w:t>
            </w:r>
          </w:p>
        </w:tc>
      </w:tr>
      <w:tr w:rsidR="00927313" w:rsidRPr="00C57011" w14:paraId="744F984C" w14:textId="77777777" w:rsidTr="00231637">
        <w:trPr>
          <w:cantSplit/>
          <w:trHeight w:val="1007"/>
        </w:trPr>
        <w:tc>
          <w:tcPr>
            <w:tcW w:w="2335" w:type="dxa"/>
            <w:vMerge w:val="restart"/>
            <w:tcBorders>
              <w:left w:val="single" w:sz="4" w:space="0" w:color="auto"/>
              <w:right w:val="single" w:sz="4" w:space="0" w:color="auto"/>
            </w:tcBorders>
          </w:tcPr>
          <w:p w14:paraId="540F6762" w14:textId="77777777" w:rsidR="00927313" w:rsidRPr="00C57011" w:rsidRDefault="00927313">
            <w:pPr>
              <w:spacing w:after="40" w:line="240" w:lineRule="auto"/>
              <w:rPr>
                <w:rFonts w:ascii="Arial" w:hAnsi="Arial" w:cs="Arial"/>
                <w:sz w:val="20"/>
                <w:szCs w:val="20"/>
                <w:lang w:val="es-ES"/>
              </w:rPr>
            </w:pPr>
            <w:r w:rsidRPr="00C57011">
              <w:rPr>
                <w:rFonts w:ascii="Arial" w:hAnsi="Arial" w:cs="Arial"/>
                <w:sz w:val="20"/>
                <w:szCs w:val="20"/>
                <w:lang w:val="es-ES"/>
              </w:rPr>
              <w:t>3.2. Promover la acumulación del capital humano adecuando la oferta educativa para poblaciones vulnerables.</w:t>
            </w:r>
          </w:p>
        </w:tc>
        <w:tc>
          <w:tcPr>
            <w:tcW w:w="3614" w:type="dxa"/>
            <w:tcBorders>
              <w:left w:val="single" w:sz="4" w:space="0" w:color="auto"/>
              <w:bottom w:val="single" w:sz="4" w:space="0" w:color="auto"/>
              <w:right w:val="single" w:sz="4" w:space="0" w:color="auto"/>
            </w:tcBorders>
            <w:shd w:val="clear" w:color="auto" w:fill="auto"/>
          </w:tcPr>
          <w:p w14:paraId="03F9BCB7" w14:textId="77777777" w:rsidR="00927313"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3.2.1. Aprobación de la Política de Educación Inclusiva que contenga las medidas para la incorporación a las escuelas de niños y niñas con </w:t>
            </w:r>
            <w:proofErr w:type="spellStart"/>
            <w:r w:rsidRPr="00C57011">
              <w:rPr>
                <w:rFonts w:ascii="Arial" w:hAnsi="Arial" w:cs="Arial"/>
                <w:sz w:val="20"/>
                <w:szCs w:val="20"/>
                <w:lang w:val="es-ES"/>
              </w:rPr>
              <w:t>extra-edad</w:t>
            </w:r>
            <w:proofErr w:type="spellEnd"/>
            <w:r w:rsidRPr="00C57011">
              <w:rPr>
                <w:rFonts w:ascii="Arial" w:hAnsi="Arial" w:cs="Arial"/>
                <w:sz w:val="20"/>
                <w:szCs w:val="20"/>
                <w:lang w:val="es-ES"/>
              </w:rPr>
              <w:t xml:space="preserve"> o discapacidad y matriculación automática de estudiantes con 6to grado finalizado en 7mo grado.</w:t>
            </w:r>
          </w:p>
        </w:tc>
        <w:tc>
          <w:tcPr>
            <w:tcW w:w="3856" w:type="dxa"/>
            <w:tcBorders>
              <w:top w:val="single" w:sz="4" w:space="0" w:color="auto"/>
              <w:left w:val="single" w:sz="4" w:space="0" w:color="auto"/>
              <w:bottom w:val="single" w:sz="4" w:space="0" w:color="auto"/>
              <w:right w:val="single" w:sz="4" w:space="0" w:color="auto"/>
            </w:tcBorders>
          </w:tcPr>
          <w:p w14:paraId="46B4AFAA" w14:textId="25501FD1" w:rsidR="00927313" w:rsidRPr="00C57011" w:rsidRDefault="00927313"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3.2.1. Que se haya aprobado la Política de Educación Inclusiva que contenga las medidas para la incorporación a las escuelas de niños y niñas con </w:t>
            </w:r>
            <w:proofErr w:type="spellStart"/>
            <w:r w:rsidRPr="00C57011">
              <w:rPr>
                <w:rFonts w:ascii="Arial" w:hAnsi="Arial" w:cs="Arial"/>
                <w:sz w:val="20"/>
                <w:szCs w:val="20"/>
                <w:lang w:val="es-ES"/>
              </w:rPr>
              <w:t>extra-edad</w:t>
            </w:r>
            <w:proofErr w:type="spellEnd"/>
            <w:r w:rsidRPr="00C57011">
              <w:rPr>
                <w:rFonts w:ascii="Arial" w:hAnsi="Arial" w:cs="Arial"/>
                <w:sz w:val="20"/>
                <w:szCs w:val="20"/>
                <w:lang w:val="es-ES"/>
              </w:rPr>
              <w:t xml:space="preserve"> o discapacidad y matriculación automática de estudiantes con 6</w:t>
            </w:r>
            <w:r w:rsidR="004909E6">
              <w:rPr>
                <w:rFonts w:ascii="Arial" w:hAnsi="Arial" w:cs="Arial"/>
                <w:sz w:val="20"/>
                <w:szCs w:val="20"/>
                <w:lang w:val="es-ES"/>
              </w:rPr>
              <w:t>º</w:t>
            </w:r>
            <w:r w:rsidRPr="00C57011">
              <w:rPr>
                <w:rFonts w:ascii="Arial" w:hAnsi="Arial" w:cs="Arial"/>
                <w:sz w:val="20"/>
                <w:szCs w:val="20"/>
                <w:lang w:val="es-ES"/>
              </w:rPr>
              <w:t xml:space="preserve"> grado finalizado en 7</w:t>
            </w:r>
            <w:r w:rsidR="004909E6">
              <w:rPr>
                <w:rFonts w:ascii="Arial" w:hAnsi="Arial" w:cs="Arial"/>
                <w:sz w:val="20"/>
                <w:szCs w:val="20"/>
                <w:lang w:val="es-ES"/>
              </w:rPr>
              <w:t>º</w:t>
            </w:r>
            <w:r w:rsidRPr="00C57011">
              <w:rPr>
                <w:rFonts w:ascii="Arial" w:hAnsi="Arial" w:cs="Arial"/>
                <w:sz w:val="20"/>
                <w:szCs w:val="20"/>
                <w:lang w:val="es-ES"/>
              </w:rPr>
              <w:t xml:space="preserve"> grado.</w:t>
            </w:r>
          </w:p>
        </w:tc>
        <w:tc>
          <w:tcPr>
            <w:tcW w:w="3425" w:type="dxa"/>
            <w:tcBorders>
              <w:top w:val="single" w:sz="4" w:space="0" w:color="auto"/>
              <w:left w:val="single" w:sz="4" w:space="0" w:color="auto"/>
              <w:bottom w:val="single" w:sz="4" w:space="0" w:color="auto"/>
              <w:right w:val="single" w:sz="4" w:space="0" w:color="auto"/>
            </w:tcBorders>
          </w:tcPr>
          <w:p w14:paraId="7B90B044" w14:textId="77777777" w:rsidR="00927313" w:rsidRPr="00C57011" w:rsidRDefault="008A3A96"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Ningún cambio. </w:t>
            </w:r>
          </w:p>
        </w:tc>
      </w:tr>
      <w:tr w:rsidR="00927313" w:rsidRPr="00231637" w14:paraId="20975128" w14:textId="77777777" w:rsidTr="6B4CE3C8">
        <w:trPr>
          <w:cantSplit/>
          <w:trHeight w:val="341"/>
        </w:trPr>
        <w:tc>
          <w:tcPr>
            <w:tcW w:w="2335" w:type="dxa"/>
            <w:vMerge/>
            <w:vAlign w:val="center"/>
          </w:tcPr>
          <w:p w14:paraId="02EB378F" w14:textId="77777777" w:rsidR="00927313" w:rsidRPr="00C57011" w:rsidRDefault="00927313" w:rsidP="00C57011">
            <w:pPr>
              <w:pStyle w:val="ListParagraph"/>
              <w:spacing w:after="40" w:line="240" w:lineRule="auto"/>
              <w:contextualSpacing w:val="0"/>
              <w:rPr>
                <w:rFonts w:ascii="Arial" w:hAnsi="Arial" w:cs="Arial"/>
                <w:b/>
                <w:sz w:val="20"/>
                <w:szCs w:val="20"/>
                <w:lang w:val="es-ES"/>
              </w:rPr>
            </w:pPr>
          </w:p>
        </w:tc>
        <w:tc>
          <w:tcPr>
            <w:tcW w:w="3614" w:type="dxa"/>
            <w:tcBorders>
              <w:left w:val="single" w:sz="4" w:space="0" w:color="auto"/>
              <w:right w:val="single" w:sz="4" w:space="0" w:color="auto"/>
            </w:tcBorders>
            <w:shd w:val="clear" w:color="auto" w:fill="auto"/>
          </w:tcPr>
          <w:p w14:paraId="14270530" w14:textId="77777777" w:rsidR="00927313"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t>3.2.2. Ingreso de estudiantes a centros de educación básica sin el requisito de haber cursado educación prebásica.</w:t>
            </w:r>
          </w:p>
        </w:tc>
        <w:tc>
          <w:tcPr>
            <w:tcW w:w="3856" w:type="dxa"/>
            <w:tcBorders>
              <w:left w:val="single" w:sz="4" w:space="0" w:color="auto"/>
              <w:right w:val="single" w:sz="4" w:space="0" w:color="auto"/>
            </w:tcBorders>
            <w:shd w:val="clear" w:color="auto" w:fill="auto"/>
            <w:vAlign w:val="center"/>
          </w:tcPr>
          <w:p w14:paraId="0CF87DFE" w14:textId="29B8DCE8" w:rsidR="00927313"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t>3.2.2. Que haya</w:t>
            </w:r>
            <w:r w:rsidR="0051598A">
              <w:rPr>
                <w:rFonts w:ascii="Arial" w:hAnsi="Arial" w:cs="Arial"/>
                <w:sz w:val="20"/>
                <w:szCs w:val="20"/>
                <w:lang w:val="es-ES"/>
              </w:rPr>
              <w:t>n</w:t>
            </w:r>
            <w:r w:rsidRPr="00C57011">
              <w:rPr>
                <w:rFonts w:ascii="Arial" w:hAnsi="Arial" w:cs="Arial"/>
                <w:sz w:val="20"/>
                <w:szCs w:val="20"/>
                <w:lang w:val="es-ES"/>
              </w:rPr>
              <w:t xml:space="preserve"> ingresado estudiantes a centros de educación básica sin el requisito de haber cursado educación prebásica, en cumplimiento con los lineamientos aprobados por la SEDUC.</w:t>
            </w:r>
          </w:p>
        </w:tc>
        <w:tc>
          <w:tcPr>
            <w:tcW w:w="3425" w:type="dxa"/>
            <w:tcBorders>
              <w:left w:val="single" w:sz="4" w:space="0" w:color="auto"/>
              <w:right w:val="single" w:sz="4" w:space="0" w:color="auto"/>
            </w:tcBorders>
            <w:shd w:val="clear" w:color="auto" w:fill="auto"/>
          </w:tcPr>
          <w:p w14:paraId="37EB7C00" w14:textId="479D1271" w:rsidR="00927313" w:rsidRPr="00C57011" w:rsidRDefault="0024335E" w:rsidP="00C57011">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008A3A96" w:rsidRPr="00C57011">
              <w:rPr>
                <w:rFonts w:ascii="Arial" w:hAnsi="Arial" w:cs="Arial"/>
                <w:sz w:val="20"/>
                <w:szCs w:val="20"/>
                <w:lang w:val="es-ES"/>
              </w:rPr>
              <w:t xml:space="preserve">Se especificó que el ingreso de </w:t>
            </w:r>
            <w:r w:rsidR="0051598A">
              <w:rPr>
                <w:rFonts w:ascii="Arial" w:hAnsi="Arial" w:cs="Arial"/>
                <w:sz w:val="20"/>
                <w:szCs w:val="20"/>
                <w:lang w:val="es-ES"/>
              </w:rPr>
              <w:t>estudiantes es en cumplimiento</w:t>
            </w:r>
            <w:r w:rsidR="008A3A96" w:rsidRPr="00C57011">
              <w:rPr>
                <w:rFonts w:ascii="Arial" w:hAnsi="Arial" w:cs="Arial"/>
                <w:sz w:val="20"/>
                <w:szCs w:val="20"/>
                <w:lang w:val="es-ES"/>
              </w:rPr>
              <w:t xml:space="preserve"> con los lineamientos aprobados por la SEDUC. </w:t>
            </w:r>
          </w:p>
        </w:tc>
      </w:tr>
      <w:tr w:rsidR="002A7128" w:rsidRPr="00231637" w14:paraId="4B1C69B4" w14:textId="77777777" w:rsidTr="6B4CE3C8">
        <w:trPr>
          <w:cantSplit/>
          <w:trHeight w:val="1718"/>
        </w:trPr>
        <w:tc>
          <w:tcPr>
            <w:tcW w:w="2335" w:type="dxa"/>
            <w:tcBorders>
              <w:top w:val="single" w:sz="4" w:space="0" w:color="auto"/>
              <w:left w:val="single" w:sz="4" w:space="0" w:color="auto"/>
              <w:bottom w:val="single" w:sz="4" w:space="0" w:color="auto"/>
              <w:right w:val="single" w:sz="4" w:space="0" w:color="auto"/>
            </w:tcBorders>
          </w:tcPr>
          <w:p w14:paraId="0FA62512" w14:textId="77777777" w:rsidR="002A7128"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t>3.3. Garantizar la sostenibilidad del Modelo de Gestión Descentralizada en salud.</w:t>
            </w:r>
          </w:p>
        </w:tc>
        <w:tc>
          <w:tcPr>
            <w:tcW w:w="3614" w:type="dxa"/>
            <w:tcBorders>
              <w:top w:val="single" w:sz="4" w:space="0" w:color="auto"/>
              <w:left w:val="single" w:sz="4" w:space="0" w:color="auto"/>
              <w:bottom w:val="single" w:sz="4" w:space="0" w:color="auto"/>
              <w:right w:val="single" w:sz="4" w:space="0" w:color="auto"/>
            </w:tcBorders>
            <w:shd w:val="clear" w:color="auto" w:fill="auto"/>
          </w:tcPr>
          <w:p w14:paraId="55CA2442" w14:textId="77777777" w:rsidR="002A7128"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t>3.3.1. Suscripción de nuevos convenios para la contratación de gestores de conformidad con la directriz aprobada para mejorar la implementación del MGD.</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30BCB6B1" w14:textId="77777777" w:rsidR="003E7153"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3.3.1. Que la implementación del Modelo de Gestión Descentralizada en Salud se haya institucionalizado mediante: </w:t>
            </w:r>
          </w:p>
          <w:p w14:paraId="5E40071D" w14:textId="4CB75655" w:rsidR="003E7153" w:rsidRPr="00C57011" w:rsidRDefault="6B4CE3C8" w:rsidP="6B4CE3C8">
            <w:pPr>
              <w:spacing w:after="40" w:line="240" w:lineRule="auto"/>
              <w:rPr>
                <w:rFonts w:ascii="Arial" w:hAnsi="Arial" w:cs="Arial"/>
                <w:sz w:val="20"/>
                <w:szCs w:val="20"/>
                <w:lang w:val="es-ES"/>
              </w:rPr>
            </w:pPr>
            <w:r w:rsidRPr="6B4CE3C8">
              <w:rPr>
                <w:rFonts w:ascii="Arial" w:hAnsi="Arial" w:cs="Arial"/>
                <w:sz w:val="20"/>
                <w:szCs w:val="20"/>
                <w:lang w:val="es-ES"/>
              </w:rPr>
              <w:t xml:space="preserve">-La aprobación de la normativa de selección de </w:t>
            </w:r>
            <w:r w:rsidR="006B5C72">
              <w:rPr>
                <w:rFonts w:ascii="Arial" w:hAnsi="Arial" w:cs="Arial"/>
                <w:sz w:val="20"/>
                <w:szCs w:val="20"/>
                <w:lang w:val="es-ES"/>
              </w:rPr>
              <w:t>g</w:t>
            </w:r>
            <w:r w:rsidRPr="6B4CE3C8">
              <w:rPr>
                <w:rFonts w:ascii="Arial" w:hAnsi="Arial" w:cs="Arial"/>
                <w:sz w:val="20"/>
                <w:szCs w:val="20"/>
                <w:lang w:val="es-ES"/>
              </w:rPr>
              <w:t xml:space="preserve">estores descentralizados por </w:t>
            </w:r>
            <w:r w:rsidR="006B5C72">
              <w:rPr>
                <w:rFonts w:ascii="Arial" w:hAnsi="Arial" w:cs="Arial"/>
                <w:sz w:val="20"/>
                <w:szCs w:val="20"/>
                <w:lang w:val="es-ES"/>
              </w:rPr>
              <w:t>a</w:t>
            </w:r>
            <w:r w:rsidRPr="6B4CE3C8">
              <w:rPr>
                <w:rFonts w:ascii="Arial" w:hAnsi="Arial" w:cs="Arial"/>
                <w:sz w:val="20"/>
                <w:szCs w:val="20"/>
                <w:lang w:val="es-ES"/>
              </w:rPr>
              <w:t xml:space="preserve">cuerdo </w:t>
            </w:r>
            <w:r w:rsidR="006B5C72">
              <w:rPr>
                <w:rFonts w:ascii="Arial" w:hAnsi="Arial" w:cs="Arial"/>
                <w:sz w:val="20"/>
                <w:szCs w:val="20"/>
                <w:lang w:val="es-ES"/>
              </w:rPr>
              <w:t>m</w:t>
            </w:r>
            <w:r w:rsidRPr="6B4CE3C8">
              <w:rPr>
                <w:rFonts w:ascii="Arial" w:hAnsi="Arial" w:cs="Arial"/>
                <w:sz w:val="20"/>
                <w:szCs w:val="20"/>
                <w:lang w:val="es-ES"/>
              </w:rPr>
              <w:t xml:space="preserve">inisterial. </w:t>
            </w:r>
          </w:p>
          <w:p w14:paraId="11281454" w14:textId="476ABE6B" w:rsidR="003E7153" w:rsidRPr="00C57011" w:rsidRDefault="6B4CE3C8" w:rsidP="6B4CE3C8">
            <w:pPr>
              <w:spacing w:after="40" w:line="240" w:lineRule="auto"/>
              <w:rPr>
                <w:rFonts w:ascii="Arial" w:hAnsi="Arial" w:cs="Arial"/>
                <w:sz w:val="20"/>
                <w:szCs w:val="20"/>
                <w:lang w:val="es-ES"/>
              </w:rPr>
            </w:pPr>
            <w:r w:rsidRPr="6B4CE3C8">
              <w:rPr>
                <w:rFonts w:ascii="Arial" w:hAnsi="Arial" w:cs="Arial"/>
                <w:sz w:val="20"/>
                <w:szCs w:val="20"/>
                <w:lang w:val="es-ES"/>
              </w:rPr>
              <w:t xml:space="preserve">-La certificación de al menos </w:t>
            </w:r>
            <w:r w:rsidR="006B5C72">
              <w:rPr>
                <w:rFonts w:ascii="Arial" w:hAnsi="Arial" w:cs="Arial"/>
                <w:sz w:val="20"/>
                <w:szCs w:val="20"/>
                <w:lang w:val="es-ES"/>
              </w:rPr>
              <w:t>cinco</w:t>
            </w:r>
            <w:r w:rsidRPr="6B4CE3C8">
              <w:rPr>
                <w:rFonts w:ascii="Arial" w:hAnsi="Arial" w:cs="Arial"/>
                <w:sz w:val="20"/>
                <w:szCs w:val="20"/>
                <w:lang w:val="es-ES"/>
              </w:rPr>
              <w:t xml:space="preserve"> </w:t>
            </w:r>
            <w:r w:rsidR="006B5C72">
              <w:rPr>
                <w:rFonts w:ascii="Arial" w:hAnsi="Arial" w:cs="Arial"/>
                <w:sz w:val="20"/>
                <w:szCs w:val="20"/>
                <w:lang w:val="es-ES"/>
              </w:rPr>
              <w:t>g</w:t>
            </w:r>
            <w:r w:rsidRPr="6B4CE3C8">
              <w:rPr>
                <w:rFonts w:ascii="Arial" w:hAnsi="Arial" w:cs="Arial"/>
                <w:sz w:val="20"/>
                <w:szCs w:val="20"/>
                <w:lang w:val="es-ES"/>
              </w:rPr>
              <w:t>estores descentralizados de acuerdo con los mecanismos aprobados de Certificación de Gestores.</w:t>
            </w:r>
          </w:p>
          <w:p w14:paraId="1BE247FD" w14:textId="5D338588" w:rsidR="002A7128" w:rsidRPr="00C57011" w:rsidRDefault="6B4CE3C8" w:rsidP="6B4CE3C8">
            <w:pPr>
              <w:spacing w:after="40" w:line="240" w:lineRule="auto"/>
              <w:rPr>
                <w:rFonts w:ascii="Arial" w:hAnsi="Arial" w:cs="Arial"/>
                <w:sz w:val="20"/>
                <w:szCs w:val="20"/>
                <w:lang w:val="es-ES"/>
              </w:rPr>
            </w:pPr>
            <w:r w:rsidRPr="6B4CE3C8">
              <w:rPr>
                <w:rFonts w:ascii="Arial" w:eastAsia="Arial" w:hAnsi="Arial" w:cs="Arial"/>
                <w:color w:val="000000" w:themeColor="text1"/>
                <w:sz w:val="20"/>
                <w:szCs w:val="20"/>
                <w:lang w:val="es-ES"/>
              </w:rPr>
              <w:t xml:space="preserve">-La generación de información nominalizada de la población cubierta con el MGD en el </w:t>
            </w:r>
            <w:r w:rsidRPr="6B4CE3C8">
              <w:rPr>
                <w:rFonts w:ascii="Arial" w:hAnsi="Arial" w:cs="Arial"/>
                <w:sz w:val="20"/>
                <w:szCs w:val="20"/>
                <w:lang w:val="es-ES"/>
              </w:rPr>
              <w:t>20% de los gestores descentralizados.</w:t>
            </w:r>
          </w:p>
        </w:tc>
        <w:tc>
          <w:tcPr>
            <w:tcW w:w="3425" w:type="dxa"/>
            <w:tcBorders>
              <w:top w:val="single" w:sz="4" w:space="0" w:color="auto"/>
              <w:left w:val="single" w:sz="4" w:space="0" w:color="auto"/>
              <w:bottom w:val="single" w:sz="4" w:space="0" w:color="auto"/>
              <w:right w:val="single" w:sz="4" w:space="0" w:color="auto"/>
            </w:tcBorders>
          </w:tcPr>
          <w:p w14:paraId="33763187" w14:textId="6FEB081F" w:rsidR="002A7128" w:rsidRPr="00C57011" w:rsidRDefault="00DB43BA" w:rsidP="6B4CE3C8">
            <w:pPr>
              <w:spacing w:after="40" w:line="240" w:lineRule="auto"/>
              <w:rPr>
                <w:rFonts w:ascii="Arial" w:hAnsi="Arial" w:cs="Arial"/>
                <w:sz w:val="20"/>
                <w:szCs w:val="20"/>
                <w:lang w:val="es-ES"/>
              </w:rPr>
            </w:pPr>
            <w:r>
              <w:rPr>
                <w:rFonts w:ascii="Arial" w:hAnsi="Arial" w:cs="Arial"/>
                <w:sz w:val="20"/>
                <w:szCs w:val="20"/>
                <w:lang w:val="es-ES"/>
              </w:rPr>
              <w:t xml:space="preserve">Modificación por ampliación de alcance. </w:t>
            </w:r>
            <w:r w:rsidR="6B4CE3C8" w:rsidRPr="6B4CE3C8">
              <w:rPr>
                <w:rFonts w:ascii="Arial" w:hAnsi="Arial" w:cs="Arial"/>
                <w:sz w:val="20"/>
                <w:szCs w:val="20"/>
                <w:lang w:val="es-ES"/>
              </w:rPr>
              <w:t xml:space="preserve">Debido a que los convenios ya se encuentran firmados y en su mayoría cumplen con los criterios aprobados, se acordaron condiciones correspondientes a un mayor avance en la implementación de la directriz en comparación con lo originalmente acordado. </w:t>
            </w:r>
          </w:p>
        </w:tc>
      </w:tr>
      <w:tr w:rsidR="003E7153" w:rsidRPr="00231637" w14:paraId="6F1238E1" w14:textId="77777777" w:rsidTr="6B4CE3C8">
        <w:trPr>
          <w:cantSplit/>
          <w:trHeight w:val="161"/>
        </w:trPr>
        <w:tc>
          <w:tcPr>
            <w:tcW w:w="13230" w:type="dxa"/>
            <w:gridSpan w:val="4"/>
            <w:tcBorders>
              <w:top w:val="single" w:sz="4" w:space="0" w:color="auto"/>
              <w:left w:val="single" w:sz="4" w:space="0" w:color="auto"/>
              <w:right w:val="single" w:sz="4" w:space="0" w:color="auto"/>
            </w:tcBorders>
            <w:shd w:val="clear" w:color="auto" w:fill="BFBFBF" w:themeFill="background1" w:themeFillShade="BF"/>
            <w:vAlign w:val="center"/>
          </w:tcPr>
          <w:p w14:paraId="3237C35C" w14:textId="77777777" w:rsidR="003E7153" w:rsidRPr="00C57011" w:rsidRDefault="003E7153" w:rsidP="00C57011">
            <w:pPr>
              <w:spacing w:after="40" w:line="240" w:lineRule="auto"/>
              <w:rPr>
                <w:rFonts w:ascii="Arial" w:hAnsi="Arial" w:cs="Arial"/>
                <w:b/>
                <w:sz w:val="20"/>
                <w:szCs w:val="20"/>
                <w:lang w:val="es-ES"/>
              </w:rPr>
            </w:pPr>
            <w:r w:rsidRPr="00C57011">
              <w:rPr>
                <w:rFonts w:ascii="Arial" w:hAnsi="Arial" w:cs="Arial"/>
                <w:b/>
                <w:sz w:val="20"/>
                <w:szCs w:val="20"/>
                <w:lang w:val="es-ES"/>
              </w:rPr>
              <w:t xml:space="preserve">4. </w:t>
            </w:r>
            <w:r w:rsidRPr="00C57011">
              <w:rPr>
                <w:rFonts w:ascii="Arial" w:hAnsi="Arial" w:cs="Arial"/>
                <w:b/>
                <w:sz w:val="20"/>
                <w:szCs w:val="20"/>
                <w:lang w:val="es-ES_tradnl"/>
              </w:rPr>
              <w:t>Sostenibilidad en la coordinación institucional del sector social</w:t>
            </w:r>
          </w:p>
        </w:tc>
      </w:tr>
      <w:tr w:rsidR="003E7153" w:rsidRPr="00231637" w14:paraId="12826576" w14:textId="77777777" w:rsidTr="6B4CE3C8">
        <w:trPr>
          <w:cantSplit/>
          <w:trHeight w:val="430"/>
        </w:trPr>
        <w:tc>
          <w:tcPr>
            <w:tcW w:w="2335" w:type="dxa"/>
            <w:tcBorders>
              <w:top w:val="single" w:sz="4" w:space="0" w:color="auto"/>
              <w:left w:val="single" w:sz="4" w:space="0" w:color="auto"/>
              <w:right w:val="single" w:sz="4" w:space="0" w:color="auto"/>
            </w:tcBorders>
          </w:tcPr>
          <w:p w14:paraId="74C9653F" w14:textId="77777777" w:rsidR="003E7153" w:rsidRPr="00C57011" w:rsidRDefault="003E7153" w:rsidP="00C57011">
            <w:pPr>
              <w:spacing w:after="40" w:line="240" w:lineRule="auto"/>
              <w:rPr>
                <w:rFonts w:ascii="Arial" w:hAnsi="Arial" w:cs="Arial"/>
                <w:sz w:val="20"/>
                <w:szCs w:val="20"/>
                <w:lang w:val="es-ES_tradnl"/>
              </w:rPr>
            </w:pPr>
            <w:r w:rsidRPr="00C57011">
              <w:rPr>
                <w:rFonts w:ascii="Arial" w:hAnsi="Arial" w:cs="Arial"/>
                <w:sz w:val="20"/>
                <w:szCs w:val="20"/>
                <w:lang w:val="es-ES_tradnl"/>
              </w:rPr>
              <w:t>4.1. Fortalecimiento de la gestión del sector social por medio del intercambio y acceso a la información para el monitoreo y seguimiento del cumplimiento de metas.</w:t>
            </w:r>
          </w:p>
        </w:tc>
        <w:tc>
          <w:tcPr>
            <w:tcW w:w="3614" w:type="dxa"/>
            <w:tcBorders>
              <w:top w:val="single" w:sz="4" w:space="0" w:color="auto"/>
              <w:left w:val="single" w:sz="4" w:space="0" w:color="auto"/>
              <w:bottom w:val="single" w:sz="4" w:space="0" w:color="auto"/>
              <w:right w:val="single" w:sz="4" w:space="0" w:color="auto"/>
            </w:tcBorders>
            <w:shd w:val="clear" w:color="auto" w:fill="auto"/>
          </w:tcPr>
          <w:p w14:paraId="0C2AC4E4" w14:textId="77777777" w:rsidR="003E7153"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t>4.1.1. Suscripción de por lo menos tres (3) convenios entre las instituciones del Estado en el sector social para compartir información de acuerdo con los términos y condiciones para el intercambio de información emitidos por el Instituto de Acceso a la Información Pública.</w:t>
            </w:r>
          </w:p>
        </w:tc>
        <w:tc>
          <w:tcPr>
            <w:tcW w:w="3856" w:type="dxa"/>
            <w:tcBorders>
              <w:top w:val="single" w:sz="4" w:space="0" w:color="auto"/>
              <w:left w:val="single" w:sz="4" w:space="0" w:color="auto"/>
              <w:bottom w:val="single" w:sz="4" w:space="0" w:color="auto"/>
              <w:right w:val="single" w:sz="4" w:space="0" w:color="auto"/>
            </w:tcBorders>
            <w:shd w:val="clear" w:color="auto" w:fill="auto"/>
          </w:tcPr>
          <w:p w14:paraId="56CFDA61" w14:textId="77777777" w:rsidR="003E7153"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t>4.1.1. Que se hayan suscrito por lo menos tres (3) acuerdo entre las instituciones del Estado en el sector social para compartir información de acuerdo con los términos y condiciones para el intercambio de información emitidos por el Instituto de Acceso a la Información Pública.</w:t>
            </w:r>
          </w:p>
        </w:tc>
        <w:tc>
          <w:tcPr>
            <w:tcW w:w="3425" w:type="dxa"/>
            <w:tcBorders>
              <w:top w:val="single" w:sz="4" w:space="0" w:color="auto"/>
              <w:left w:val="single" w:sz="4" w:space="0" w:color="auto"/>
              <w:bottom w:val="single" w:sz="4" w:space="0" w:color="auto"/>
              <w:right w:val="single" w:sz="4" w:space="0" w:color="auto"/>
            </w:tcBorders>
          </w:tcPr>
          <w:p w14:paraId="740541A1" w14:textId="7130CE0F" w:rsidR="003E7153" w:rsidRPr="00C57011" w:rsidRDefault="00843207" w:rsidP="00C57011">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008A3A96" w:rsidRPr="00C57011">
              <w:rPr>
                <w:rFonts w:ascii="Arial" w:hAnsi="Arial" w:cs="Arial"/>
                <w:sz w:val="20"/>
                <w:szCs w:val="20"/>
                <w:lang w:val="es-ES"/>
              </w:rPr>
              <w:t xml:space="preserve">Se sustituyó la palabra convenio por acuerdo. </w:t>
            </w:r>
          </w:p>
        </w:tc>
      </w:tr>
      <w:tr w:rsidR="003E7153" w:rsidRPr="00231637" w14:paraId="34BDD9DE" w14:textId="77777777" w:rsidTr="6B4CE3C8">
        <w:trPr>
          <w:cantSplit/>
          <w:trHeight w:val="1889"/>
        </w:trPr>
        <w:tc>
          <w:tcPr>
            <w:tcW w:w="2335" w:type="dxa"/>
            <w:tcBorders>
              <w:left w:val="single" w:sz="4" w:space="0" w:color="auto"/>
              <w:right w:val="single" w:sz="4" w:space="0" w:color="auto"/>
            </w:tcBorders>
          </w:tcPr>
          <w:p w14:paraId="5D681204" w14:textId="77777777" w:rsidR="003E7153" w:rsidRPr="00C57011" w:rsidRDefault="003E7153" w:rsidP="00C57011">
            <w:pPr>
              <w:spacing w:after="40" w:line="240" w:lineRule="auto"/>
              <w:rPr>
                <w:rFonts w:ascii="Arial" w:hAnsi="Arial" w:cs="Arial"/>
                <w:sz w:val="20"/>
                <w:szCs w:val="20"/>
                <w:lang w:val="es-ES"/>
              </w:rPr>
            </w:pPr>
            <w:r w:rsidRPr="00C57011">
              <w:rPr>
                <w:rFonts w:ascii="Arial" w:hAnsi="Arial" w:cs="Arial"/>
                <w:sz w:val="20"/>
                <w:szCs w:val="20"/>
                <w:lang w:val="es-ES"/>
              </w:rPr>
              <w:lastRenderedPageBreak/>
              <w:t>4.2. Mejorar la gestión de información nominal de la SESAL para el monitoreo y seguimiento de los objetivos del sector.</w:t>
            </w:r>
          </w:p>
        </w:tc>
        <w:tc>
          <w:tcPr>
            <w:tcW w:w="3614" w:type="dxa"/>
            <w:tcBorders>
              <w:top w:val="single" w:sz="4" w:space="0" w:color="auto"/>
              <w:left w:val="single" w:sz="4" w:space="0" w:color="auto"/>
              <w:bottom w:val="single" w:sz="4" w:space="0" w:color="auto"/>
              <w:right w:val="single" w:sz="4" w:space="0" w:color="auto"/>
            </w:tcBorders>
          </w:tcPr>
          <w:p w14:paraId="4A4B227E" w14:textId="043437C1" w:rsidR="003E7153" w:rsidRPr="00C57011" w:rsidRDefault="6B4CE3C8" w:rsidP="6B4CE3C8">
            <w:pPr>
              <w:spacing w:after="40" w:line="240" w:lineRule="auto"/>
              <w:rPr>
                <w:rFonts w:ascii="Arial" w:hAnsi="Arial" w:cs="Arial"/>
                <w:sz w:val="20"/>
                <w:szCs w:val="20"/>
                <w:lang w:val="es-ES"/>
              </w:rPr>
            </w:pPr>
            <w:r w:rsidRPr="6B4CE3C8">
              <w:rPr>
                <w:rFonts w:ascii="Arial" w:hAnsi="Arial" w:cs="Arial"/>
                <w:sz w:val="20"/>
                <w:szCs w:val="20"/>
                <w:lang w:val="es-ES"/>
              </w:rPr>
              <w:t>4.2.1. Aprobación de acta de Comité Técnico del PBVM con verificación de corresponsabilidades de salud utilizando la información del Sistema Nominal de Vacunación (SINOVA) validada por intercambio de registros entre el RNP y la Unidad de Gestión de la Información (UGI) de la SESAL.</w:t>
            </w:r>
          </w:p>
        </w:tc>
        <w:tc>
          <w:tcPr>
            <w:tcW w:w="3856" w:type="dxa"/>
            <w:tcBorders>
              <w:top w:val="single" w:sz="4" w:space="0" w:color="auto"/>
              <w:left w:val="single" w:sz="4" w:space="0" w:color="auto"/>
              <w:bottom w:val="single" w:sz="4" w:space="0" w:color="auto"/>
              <w:right w:val="single" w:sz="4" w:space="0" w:color="auto"/>
            </w:tcBorders>
          </w:tcPr>
          <w:p w14:paraId="35639375" w14:textId="1474BD83" w:rsidR="003E7153" w:rsidRPr="00C57011" w:rsidRDefault="6B4CE3C8" w:rsidP="6B4CE3C8">
            <w:pPr>
              <w:spacing w:after="40" w:line="240" w:lineRule="auto"/>
              <w:rPr>
                <w:rFonts w:ascii="Arial" w:hAnsi="Arial" w:cs="Arial"/>
                <w:sz w:val="20"/>
                <w:szCs w:val="20"/>
                <w:lang w:val="es-ES"/>
              </w:rPr>
            </w:pPr>
            <w:r w:rsidRPr="6B4CE3C8">
              <w:rPr>
                <w:rFonts w:ascii="Arial" w:hAnsi="Arial" w:cs="Arial"/>
                <w:sz w:val="20"/>
                <w:szCs w:val="20"/>
                <w:lang w:val="es-ES"/>
              </w:rPr>
              <w:t xml:space="preserve">4.2.1. Que el Comité Técnico del PBVM haya aprobado la verificación de corresponsabilidades de salud utilizando la información del Sistema Nominal de Vacunación (SINOVA) validada por intercambio de registros entre el RNP y la Unidad de Gestión de la Información (UGI) de la SESAL </w:t>
            </w:r>
            <w:proofErr w:type="gramStart"/>
            <w:r w:rsidRPr="6B4CE3C8">
              <w:rPr>
                <w:rFonts w:ascii="Arial" w:hAnsi="Arial" w:cs="Arial"/>
                <w:sz w:val="20"/>
                <w:szCs w:val="20"/>
                <w:lang w:val="es-ES"/>
              </w:rPr>
              <w:t>de acuerdo al</w:t>
            </w:r>
            <w:proofErr w:type="gramEnd"/>
            <w:r w:rsidRPr="6B4CE3C8">
              <w:rPr>
                <w:rFonts w:ascii="Arial" w:hAnsi="Arial" w:cs="Arial"/>
                <w:sz w:val="20"/>
                <w:szCs w:val="20"/>
                <w:lang w:val="es-ES"/>
              </w:rPr>
              <w:t xml:space="preserve"> convenio firmado entre SESAL y RNP.</w:t>
            </w:r>
          </w:p>
        </w:tc>
        <w:tc>
          <w:tcPr>
            <w:tcW w:w="3425" w:type="dxa"/>
            <w:tcBorders>
              <w:top w:val="single" w:sz="4" w:space="0" w:color="auto"/>
              <w:left w:val="single" w:sz="4" w:space="0" w:color="auto"/>
              <w:bottom w:val="single" w:sz="4" w:space="0" w:color="auto"/>
              <w:right w:val="single" w:sz="4" w:space="0" w:color="auto"/>
            </w:tcBorders>
          </w:tcPr>
          <w:p w14:paraId="5D9FA41C" w14:textId="136E1C17" w:rsidR="003E7153" w:rsidRPr="00C57011" w:rsidRDefault="00843207" w:rsidP="00C57011">
            <w:pPr>
              <w:spacing w:after="40" w:line="240" w:lineRule="auto"/>
              <w:rPr>
                <w:rFonts w:ascii="Arial" w:hAnsi="Arial" w:cs="Arial"/>
                <w:sz w:val="20"/>
                <w:szCs w:val="20"/>
                <w:lang w:val="es-ES"/>
              </w:rPr>
            </w:pPr>
            <w:r>
              <w:rPr>
                <w:rFonts w:ascii="Arial" w:hAnsi="Arial" w:cs="Arial"/>
                <w:sz w:val="20"/>
                <w:szCs w:val="20"/>
                <w:lang w:val="es-ES"/>
              </w:rPr>
              <w:t xml:space="preserve">Precisión. </w:t>
            </w:r>
            <w:r w:rsidR="00B90AF9" w:rsidRPr="00C57011">
              <w:rPr>
                <w:rFonts w:ascii="Arial" w:hAnsi="Arial" w:cs="Arial"/>
                <w:sz w:val="20"/>
                <w:szCs w:val="20"/>
                <w:lang w:val="es-ES"/>
              </w:rPr>
              <w:t xml:space="preserve">Se especificó que el intercambio de información debe ser </w:t>
            </w:r>
            <w:proofErr w:type="gramStart"/>
            <w:r w:rsidR="00B90AF9" w:rsidRPr="00C57011">
              <w:rPr>
                <w:rFonts w:ascii="Arial" w:hAnsi="Arial" w:cs="Arial"/>
                <w:sz w:val="20"/>
                <w:szCs w:val="20"/>
                <w:lang w:val="es-ES"/>
              </w:rPr>
              <w:t>de acuerdo al</w:t>
            </w:r>
            <w:proofErr w:type="gramEnd"/>
            <w:r w:rsidR="00B90AF9" w:rsidRPr="00C57011">
              <w:rPr>
                <w:rFonts w:ascii="Arial" w:hAnsi="Arial" w:cs="Arial"/>
                <w:sz w:val="20"/>
                <w:szCs w:val="20"/>
                <w:lang w:val="es-ES"/>
              </w:rPr>
              <w:t xml:space="preserve"> convenio firmado entre SESAL y RNP.</w:t>
            </w:r>
          </w:p>
        </w:tc>
      </w:tr>
      <w:tr w:rsidR="008A3A96" w:rsidRPr="00231637" w14:paraId="01DFAABA" w14:textId="77777777" w:rsidTr="6B4CE3C8">
        <w:trPr>
          <w:cantSplit/>
          <w:trHeight w:val="1889"/>
        </w:trPr>
        <w:tc>
          <w:tcPr>
            <w:tcW w:w="2335" w:type="dxa"/>
            <w:tcBorders>
              <w:left w:val="single" w:sz="4" w:space="0" w:color="auto"/>
              <w:right w:val="single" w:sz="4" w:space="0" w:color="auto"/>
            </w:tcBorders>
          </w:tcPr>
          <w:p w14:paraId="314352F9" w14:textId="77777777" w:rsidR="008A3A96" w:rsidRPr="00C57011" w:rsidRDefault="008A3A96" w:rsidP="00C57011">
            <w:pPr>
              <w:spacing w:after="40" w:line="240" w:lineRule="auto"/>
              <w:rPr>
                <w:rFonts w:ascii="Arial" w:hAnsi="Arial" w:cs="Arial"/>
                <w:sz w:val="20"/>
                <w:szCs w:val="20"/>
                <w:lang w:val="es-ES"/>
              </w:rPr>
            </w:pPr>
            <w:r w:rsidRPr="00C57011">
              <w:rPr>
                <w:rFonts w:ascii="Arial" w:hAnsi="Arial" w:cs="Arial"/>
                <w:sz w:val="20"/>
                <w:szCs w:val="20"/>
                <w:lang w:val="es-ES"/>
              </w:rPr>
              <w:t>4.3. Modernización de la gestión de la información de la SESAL con énfasis en la primera infancia.</w:t>
            </w:r>
          </w:p>
          <w:p w14:paraId="6A05A809" w14:textId="77777777" w:rsidR="008A3A96" w:rsidRPr="00C57011" w:rsidRDefault="008A3A96" w:rsidP="00C57011">
            <w:pPr>
              <w:spacing w:after="40" w:line="240" w:lineRule="auto"/>
              <w:rPr>
                <w:rFonts w:ascii="Arial" w:hAnsi="Arial" w:cs="Arial"/>
                <w:sz w:val="20"/>
                <w:szCs w:val="20"/>
                <w:lang w:val="es-ES"/>
              </w:rPr>
            </w:pPr>
          </w:p>
        </w:tc>
        <w:tc>
          <w:tcPr>
            <w:tcW w:w="3614" w:type="dxa"/>
            <w:tcBorders>
              <w:top w:val="single" w:sz="4" w:space="0" w:color="auto"/>
              <w:left w:val="single" w:sz="4" w:space="0" w:color="auto"/>
              <w:bottom w:val="single" w:sz="4" w:space="0" w:color="auto"/>
              <w:right w:val="single" w:sz="4" w:space="0" w:color="auto"/>
            </w:tcBorders>
          </w:tcPr>
          <w:p w14:paraId="74B6CB45" w14:textId="77777777" w:rsidR="008A3A96" w:rsidRPr="00C57011" w:rsidRDefault="008A3A96" w:rsidP="00C57011">
            <w:pPr>
              <w:autoSpaceDE w:val="0"/>
              <w:autoSpaceDN w:val="0"/>
              <w:adjustRightInd w:val="0"/>
              <w:spacing w:after="40" w:line="240" w:lineRule="auto"/>
              <w:rPr>
                <w:rFonts w:ascii="Arial" w:hAnsi="Arial" w:cs="Arial"/>
                <w:sz w:val="20"/>
                <w:szCs w:val="20"/>
                <w:lang w:val="es-ES_tradnl"/>
              </w:rPr>
            </w:pPr>
            <w:r w:rsidRPr="00C57011">
              <w:rPr>
                <w:rFonts w:ascii="Arial" w:hAnsi="Arial" w:cs="Arial"/>
                <w:sz w:val="20"/>
                <w:szCs w:val="20"/>
                <w:lang w:val="es-ES_tradnl"/>
              </w:rPr>
              <w:t>4.3.1. Instauración y operación de la nueva tecnología de inteligencia artificial para la captura digital del SINOVA en todos los centros de acopio territoriales (municipales, departamentales y de mancomunidades) de la SESAL.</w:t>
            </w:r>
          </w:p>
          <w:p w14:paraId="5A39BBE3" w14:textId="77777777" w:rsidR="008A3A96" w:rsidRPr="00C57011" w:rsidRDefault="008A3A96" w:rsidP="00C57011">
            <w:pPr>
              <w:autoSpaceDE w:val="0"/>
              <w:autoSpaceDN w:val="0"/>
              <w:adjustRightInd w:val="0"/>
              <w:spacing w:after="40" w:line="240" w:lineRule="auto"/>
              <w:rPr>
                <w:rFonts w:ascii="Arial" w:hAnsi="Arial" w:cs="Arial"/>
                <w:sz w:val="20"/>
                <w:szCs w:val="20"/>
                <w:lang w:val="es-ES_tradnl"/>
              </w:rPr>
            </w:pPr>
          </w:p>
        </w:tc>
        <w:tc>
          <w:tcPr>
            <w:tcW w:w="3856" w:type="dxa"/>
            <w:tcBorders>
              <w:top w:val="single" w:sz="4" w:space="0" w:color="auto"/>
              <w:left w:val="single" w:sz="4" w:space="0" w:color="auto"/>
              <w:bottom w:val="single" w:sz="4" w:space="0" w:color="auto"/>
              <w:right w:val="single" w:sz="4" w:space="0" w:color="auto"/>
            </w:tcBorders>
          </w:tcPr>
          <w:p w14:paraId="6E493285" w14:textId="3AF0E7E4" w:rsidR="008A3A96" w:rsidRPr="00C57011" w:rsidRDefault="008A3A96" w:rsidP="00C57011">
            <w:pPr>
              <w:spacing w:after="40" w:line="240" w:lineRule="auto"/>
              <w:rPr>
                <w:rFonts w:ascii="Arial" w:hAnsi="Arial" w:cs="Arial"/>
                <w:sz w:val="20"/>
                <w:szCs w:val="20"/>
                <w:lang w:val="es-ES"/>
              </w:rPr>
            </w:pPr>
            <w:r w:rsidRPr="00C57011">
              <w:rPr>
                <w:rFonts w:ascii="Arial" w:hAnsi="Arial" w:cs="Arial"/>
                <w:sz w:val="20"/>
                <w:szCs w:val="20"/>
                <w:lang w:val="es-ES"/>
              </w:rPr>
              <w:t>4.3.1. Que se haya instaurado y esté operando la nueva tecnología de inteligencia artificial para la captura digital del SINOVA en al menos 27</w:t>
            </w:r>
            <w:r w:rsidR="00385FAF">
              <w:rPr>
                <w:rFonts w:ascii="Arial" w:hAnsi="Arial" w:cs="Arial"/>
                <w:sz w:val="20"/>
                <w:szCs w:val="20"/>
                <w:lang w:val="es-ES"/>
              </w:rPr>
              <w:t> </w:t>
            </w:r>
            <w:r w:rsidRPr="00C57011">
              <w:rPr>
                <w:rFonts w:ascii="Arial" w:hAnsi="Arial" w:cs="Arial"/>
                <w:sz w:val="20"/>
                <w:szCs w:val="20"/>
                <w:lang w:val="es-ES"/>
              </w:rPr>
              <w:t>centros de acopio de información de la SESAL.</w:t>
            </w:r>
          </w:p>
        </w:tc>
        <w:tc>
          <w:tcPr>
            <w:tcW w:w="3425" w:type="dxa"/>
            <w:tcBorders>
              <w:top w:val="single" w:sz="4" w:space="0" w:color="auto"/>
              <w:left w:val="single" w:sz="4" w:space="0" w:color="auto"/>
              <w:bottom w:val="single" w:sz="4" w:space="0" w:color="auto"/>
              <w:right w:val="single" w:sz="4" w:space="0" w:color="auto"/>
            </w:tcBorders>
          </w:tcPr>
          <w:p w14:paraId="121C12AF" w14:textId="29C60214" w:rsidR="004C761C" w:rsidRPr="00C57011" w:rsidRDefault="00E674E9" w:rsidP="6B4CE3C8">
            <w:pPr>
              <w:spacing w:after="40" w:line="240" w:lineRule="auto"/>
              <w:rPr>
                <w:rFonts w:ascii="Arial" w:hAnsi="Arial" w:cs="Arial"/>
                <w:sz w:val="20"/>
                <w:szCs w:val="20"/>
                <w:lang w:val="es-ES"/>
              </w:rPr>
            </w:pPr>
            <w:r>
              <w:rPr>
                <w:rFonts w:ascii="Arial" w:eastAsia="Arial" w:hAnsi="Arial" w:cs="Arial"/>
                <w:sz w:val="20"/>
                <w:szCs w:val="20"/>
                <w:lang w:val="es-ES"/>
              </w:rPr>
              <w:t>Modificación.</w:t>
            </w:r>
            <w:r w:rsidRPr="6B4CE3C8">
              <w:rPr>
                <w:rFonts w:ascii="Arial" w:eastAsia="Arial" w:hAnsi="Arial" w:cs="Arial"/>
                <w:sz w:val="20"/>
                <w:szCs w:val="20"/>
                <w:lang w:val="es-ES"/>
              </w:rPr>
              <w:t xml:space="preserve"> </w:t>
            </w:r>
            <w:r w:rsidR="6B4CE3C8" w:rsidRPr="6B4CE3C8">
              <w:rPr>
                <w:rFonts w:ascii="Arial" w:eastAsia="Arial" w:hAnsi="Arial" w:cs="Arial"/>
                <w:sz w:val="20"/>
                <w:szCs w:val="20"/>
                <w:lang w:val="es-ES"/>
              </w:rPr>
              <w:t>Si bien se había previsto la instauración y operación de la nueva tecnología en todos los centros de acopio territoriales de la SESAL, s</w:t>
            </w:r>
            <w:r w:rsidR="6B4CE3C8" w:rsidRPr="6B4CE3C8">
              <w:rPr>
                <w:rFonts w:ascii="Arial" w:hAnsi="Arial" w:cs="Arial"/>
                <w:sz w:val="20"/>
                <w:szCs w:val="20"/>
                <w:lang w:val="es-ES"/>
              </w:rPr>
              <w:t xml:space="preserve">e especificó que la nueva tecnología debe estar operando en 27 centros de acopio de la SESAL. Esto debido a que </w:t>
            </w:r>
            <w:r w:rsidR="6B4CE3C8" w:rsidRPr="6B4CE3C8">
              <w:rPr>
                <w:rFonts w:ascii="Arial" w:eastAsia="Arial" w:hAnsi="Arial" w:cs="Arial"/>
                <w:sz w:val="20"/>
                <w:szCs w:val="20"/>
                <w:lang w:val="es-ES"/>
              </w:rPr>
              <w:t xml:space="preserve">el PAI solicitó una vacuna adicional que requirió que se hicieran ajustes adicionales a la herramienta, razón por la cual el pilotaje de retrasó. </w:t>
            </w:r>
            <w:r w:rsidR="6B4CE3C8" w:rsidRPr="6B4CE3C8">
              <w:rPr>
                <w:rFonts w:ascii="Arial" w:hAnsi="Arial" w:cs="Arial"/>
                <w:sz w:val="20"/>
                <w:szCs w:val="20"/>
                <w:lang w:val="es-ES"/>
              </w:rPr>
              <w:t>La nueva versión de la aplicación será implementada en todos los centros de Francisco Morazán.</w:t>
            </w:r>
            <w:r w:rsidR="00C914BD">
              <w:rPr>
                <w:rFonts w:ascii="Arial" w:hAnsi="Arial" w:cs="Arial"/>
                <w:sz w:val="20"/>
                <w:szCs w:val="20"/>
                <w:lang w:val="es-ES"/>
              </w:rPr>
              <w:t xml:space="preserve"> </w:t>
            </w:r>
            <w:r w:rsidR="00C914BD" w:rsidRPr="00600109">
              <w:rPr>
                <w:rFonts w:ascii="Arial" w:hAnsi="Arial" w:cs="Arial"/>
                <w:sz w:val="20"/>
                <w:szCs w:val="20"/>
                <w:lang w:val="es-ES"/>
              </w:rPr>
              <w:t xml:space="preserve">Vale la pena mencionar que durante la primera operación se consideró que el mecanismo desencadenante podría variar </w:t>
            </w:r>
            <w:proofErr w:type="gramStart"/>
            <w:r w:rsidR="00C914BD" w:rsidRPr="00600109">
              <w:rPr>
                <w:rFonts w:ascii="Arial" w:hAnsi="Arial" w:cs="Arial"/>
                <w:sz w:val="20"/>
                <w:szCs w:val="20"/>
                <w:lang w:val="es-ES"/>
              </w:rPr>
              <w:t>de acuerdo al</w:t>
            </w:r>
            <w:proofErr w:type="gramEnd"/>
            <w:r w:rsidR="00C914BD" w:rsidRPr="00600109">
              <w:rPr>
                <w:rFonts w:ascii="Arial" w:hAnsi="Arial" w:cs="Arial"/>
                <w:sz w:val="20"/>
                <w:szCs w:val="20"/>
                <w:lang w:val="es-ES"/>
              </w:rPr>
              <w:t xml:space="preserve"> resultado del piloto y la implementación a nivel nacional está respaldada por un plan de implementación aprobado por Acuerdo Ministerial y publicado en gaceta como parte de la primera operación de la serie.</w:t>
            </w:r>
          </w:p>
        </w:tc>
      </w:tr>
      <w:tr w:rsidR="008A3A96" w:rsidRPr="00231637" w14:paraId="558CFCB5" w14:textId="77777777" w:rsidTr="6B4CE3C8">
        <w:trPr>
          <w:cantSplit/>
          <w:trHeight w:val="1889"/>
        </w:trPr>
        <w:tc>
          <w:tcPr>
            <w:tcW w:w="2335" w:type="dxa"/>
            <w:tcBorders>
              <w:left w:val="single" w:sz="4" w:space="0" w:color="auto"/>
              <w:right w:val="single" w:sz="4" w:space="0" w:color="auto"/>
            </w:tcBorders>
          </w:tcPr>
          <w:p w14:paraId="6380FBF5" w14:textId="77777777" w:rsidR="008A3A96" w:rsidRPr="00C57011" w:rsidRDefault="008A3A96" w:rsidP="00C57011">
            <w:pPr>
              <w:spacing w:after="40" w:line="240" w:lineRule="auto"/>
              <w:rPr>
                <w:rFonts w:ascii="Arial" w:hAnsi="Arial" w:cs="Arial"/>
                <w:sz w:val="20"/>
                <w:szCs w:val="20"/>
                <w:lang w:val="es-ES"/>
              </w:rPr>
            </w:pPr>
            <w:r w:rsidRPr="00C57011">
              <w:rPr>
                <w:rFonts w:ascii="Arial" w:hAnsi="Arial" w:cs="Arial"/>
                <w:sz w:val="20"/>
                <w:szCs w:val="20"/>
                <w:lang w:val="es-ES"/>
              </w:rPr>
              <w:lastRenderedPageBreak/>
              <w:t xml:space="preserve">4.4. </w:t>
            </w:r>
            <w:r w:rsidR="00C57011">
              <w:rPr>
                <w:rFonts w:ascii="Arial" w:hAnsi="Arial" w:cs="Arial"/>
                <w:sz w:val="20"/>
                <w:szCs w:val="20"/>
                <w:lang w:val="es-ES"/>
              </w:rPr>
              <w:t>I</w:t>
            </w:r>
            <w:r w:rsidRPr="00C57011">
              <w:rPr>
                <w:rFonts w:ascii="Arial" w:hAnsi="Arial" w:cs="Arial"/>
                <w:sz w:val="20"/>
                <w:szCs w:val="20"/>
                <w:lang w:val="es-ES"/>
              </w:rPr>
              <w:t>nstitucionalización del Sistema de Administración de Centros Educativos (SACE) para el monitoreo y seguimiento de metas en el sector educativo.</w:t>
            </w:r>
          </w:p>
        </w:tc>
        <w:tc>
          <w:tcPr>
            <w:tcW w:w="3614" w:type="dxa"/>
            <w:tcBorders>
              <w:top w:val="single" w:sz="4" w:space="0" w:color="auto"/>
              <w:left w:val="single" w:sz="4" w:space="0" w:color="auto"/>
              <w:bottom w:val="single" w:sz="4" w:space="0" w:color="auto"/>
              <w:right w:val="single" w:sz="4" w:space="0" w:color="auto"/>
            </w:tcBorders>
          </w:tcPr>
          <w:p w14:paraId="3CAA1C1D" w14:textId="77777777" w:rsidR="008A3A96" w:rsidRPr="00C57011" w:rsidRDefault="008A3A96" w:rsidP="00C57011">
            <w:pPr>
              <w:autoSpaceDE w:val="0"/>
              <w:autoSpaceDN w:val="0"/>
              <w:adjustRightInd w:val="0"/>
              <w:spacing w:after="40" w:line="240" w:lineRule="auto"/>
              <w:rPr>
                <w:rFonts w:ascii="Arial" w:hAnsi="Arial" w:cs="Arial"/>
                <w:sz w:val="20"/>
                <w:szCs w:val="20"/>
                <w:lang w:val="es-ES_tradnl"/>
              </w:rPr>
            </w:pPr>
            <w:r w:rsidRPr="00C57011">
              <w:rPr>
                <w:rFonts w:ascii="Arial" w:hAnsi="Arial" w:cs="Arial"/>
                <w:sz w:val="20"/>
                <w:szCs w:val="20"/>
                <w:lang w:val="es-ES_tradnl"/>
              </w:rPr>
              <w:t>4.4.1. Todas las direcciones departamentales (18) del país y al menos 35 unidades centrales acceden al SACE para consultar información a través de acceso en línea de usuarios aprobados.</w:t>
            </w:r>
          </w:p>
          <w:p w14:paraId="41C8F396" w14:textId="77777777" w:rsidR="008A3A96" w:rsidRPr="00C57011" w:rsidRDefault="008A3A96" w:rsidP="00C57011">
            <w:pPr>
              <w:autoSpaceDE w:val="0"/>
              <w:autoSpaceDN w:val="0"/>
              <w:adjustRightInd w:val="0"/>
              <w:spacing w:after="40" w:line="240" w:lineRule="auto"/>
              <w:rPr>
                <w:rFonts w:ascii="Arial" w:hAnsi="Arial" w:cs="Arial"/>
                <w:sz w:val="20"/>
                <w:szCs w:val="20"/>
                <w:lang w:val="es-ES_tradnl"/>
              </w:rPr>
            </w:pPr>
          </w:p>
        </w:tc>
        <w:tc>
          <w:tcPr>
            <w:tcW w:w="3856" w:type="dxa"/>
            <w:tcBorders>
              <w:top w:val="single" w:sz="4" w:space="0" w:color="auto"/>
              <w:left w:val="single" w:sz="4" w:space="0" w:color="auto"/>
              <w:bottom w:val="single" w:sz="4" w:space="0" w:color="auto"/>
              <w:right w:val="single" w:sz="4" w:space="0" w:color="auto"/>
            </w:tcBorders>
          </w:tcPr>
          <w:p w14:paraId="35257924" w14:textId="77777777" w:rsidR="008A3A96" w:rsidRPr="00C57011" w:rsidRDefault="008A3A96" w:rsidP="00C57011">
            <w:pPr>
              <w:spacing w:after="40" w:line="240" w:lineRule="auto"/>
              <w:rPr>
                <w:rFonts w:ascii="Arial" w:hAnsi="Arial" w:cs="Arial"/>
                <w:sz w:val="20"/>
                <w:szCs w:val="20"/>
                <w:lang w:val="es-ES"/>
              </w:rPr>
            </w:pPr>
            <w:r w:rsidRPr="00C57011">
              <w:rPr>
                <w:rFonts w:ascii="Arial" w:hAnsi="Arial" w:cs="Arial"/>
                <w:sz w:val="20"/>
                <w:szCs w:val="20"/>
                <w:lang w:val="es-ES"/>
              </w:rPr>
              <w:t xml:space="preserve">4.4.1. Que todas las direcciones departamentales (18) del país y al menos 35 unidades centrales, 100 direcciones municipales y 8 distritales estén accediendo al SACE para consultar información a través de </w:t>
            </w:r>
            <w:r w:rsidRPr="00C57011">
              <w:rPr>
                <w:rFonts w:ascii="Arial" w:hAnsi="Arial" w:cs="Arial"/>
                <w:sz w:val="20"/>
                <w:szCs w:val="20"/>
                <w:lang w:val="es-ES_tradnl"/>
              </w:rPr>
              <w:t>acceso en línea de usuarios aprobados.</w:t>
            </w:r>
          </w:p>
        </w:tc>
        <w:tc>
          <w:tcPr>
            <w:tcW w:w="3425" w:type="dxa"/>
            <w:tcBorders>
              <w:top w:val="single" w:sz="4" w:space="0" w:color="auto"/>
              <w:left w:val="single" w:sz="4" w:space="0" w:color="auto"/>
              <w:bottom w:val="single" w:sz="4" w:space="0" w:color="auto"/>
              <w:right w:val="single" w:sz="4" w:space="0" w:color="auto"/>
            </w:tcBorders>
          </w:tcPr>
          <w:p w14:paraId="2C0C0223" w14:textId="5C8DABCC" w:rsidR="008A3A96" w:rsidRPr="00C57011" w:rsidRDefault="002F1A8C" w:rsidP="00C57011">
            <w:pPr>
              <w:spacing w:after="40" w:line="240" w:lineRule="auto"/>
              <w:rPr>
                <w:rFonts w:ascii="Arial" w:hAnsi="Arial" w:cs="Arial"/>
                <w:sz w:val="20"/>
                <w:szCs w:val="20"/>
                <w:lang w:val="es-ES"/>
              </w:rPr>
            </w:pPr>
            <w:r>
              <w:rPr>
                <w:rFonts w:ascii="Arial" w:hAnsi="Arial" w:cs="Arial"/>
                <w:sz w:val="20"/>
                <w:szCs w:val="20"/>
                <w:lang w:val="es-ES"/>
              </w:rPr>
              <w:t xml:space="preserve">Modificación. </w:t>
            </w:r>
            <w:r w:rsidR="00B90AF9" w:rsidRPr="00C57011">
              <w:rPr>
                <w:rFonts w:ascii="Arial" w:hAnsi="Arial" w:cs="Arial"/>
                <w:sz w:val="20"/>
                <w:szCs w:val="20"/>
                <w:lang w:val="es-ES"/>
              </w:rPr>
              <w:t xml:space="preserve">Se agregaron 100 direcciones municipales y </w:t>
            </w:r>
            <w:r w:rsidR="00385FAF">
              <w:rPr>
                <w:rFonts w:ascii="Arial" w:hAnsi="Arial" w:cs="Arial"/>
                <w:sz w:val="20"/>
                <w:szCs w:val="20"/>
                <w:lang w:val="es-ES"/>
              </w:rPr>
              <w:t>ocho</w:t>
            </w:r>
            <w:r w:rsidR="00B90AF9" w:rsidRPr="00C57011">
              <w:rPr>
                <w:rFonts w:ascii="Arial" w:hAnsi="Arial" w:cs="Arial"/>
                <w:sz w:val="20"/>
                <w:szCs w:val="20"/>
                <w:lang w:val="es-ES"/>
              </w:rPr>
              <w:t xml:space="preserve"> distritales. </w:t>
            </w:r>
          </w:p>
        </w:tc>
      </w:tr>
    </w:tbl>
    <w:p w14:paraId="72A3D3EC" w14:textId="77777777" w:rsidR="00AD7AAD" w:rsidRPr="00C57011" w:rsidRDefault="00AD7AAD" w:rsidP="00C57011">
      <w:pPr>
        <w:spacing w:after="40" w:line="240" w:lineRule="auto"/>
        <w:rPr>
          <w:rFonts w:ascii="Arial" w:hAnsi="Arial" w:cs="Arial"/>
          <w:sz w:val="20"/>
          <w:szCs w:val="20"/>
          <w:lang w:val="es-ES"/>
        </w:rPr>
      </w:pPr>
    </w:p>
    <w:sectPr w:rsidR="00AD7AAD" w:rsidRPr="00C57011" w:rsidSect="00E324BF">
      <w:headerReference w:type="even" r:id="rId13"/>
      <w:headerReference w:type="default" r:id="rId1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37AA6" w14:textId="77777777" w:rsidR="003E57BA" w:rsidRDefault="003E57BA" w:rsidP="002E5FA7">
      <w:pPr>
        <w:spacing w:after="0" w:line="240" w:lineRule="auto"/>
      </w:pPr>
      <w:r>
        <w:separator/>
      </w:r>
    </w:p>
  </w:endnote>
  <w:endnote w:type="continuationSeparator" w:id="0">
    <w:p w14:paraId="070EA9CE" w14:textId="77777777" w:rsidR="003E57BA" w:rsidRDefault="003E57BA" w:rsidP="002E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FE00C" w14:textId="77777777" w:rsidR="003E57BA" w:rsidRDefault="003E57BA" w:rsidP="002E5FA7">
      <w:pPr>
        <w:spacing w:after="0" w:line="240" w:lineRule="auto"/>
      </w:pPr>
      <w:r>
        <w:separator/>
      </w:r>
    </w:p>
  </w:footnote>
  <w:footnote w:type="continuationSeparator" w:id="0">
    <w:p w14:paraId="0A3B5DAE" w14:textId="77777777" w:rsidR="003E57BA" w:rsidRDefault="003E57BA" w:rsidP="002E5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12985075"/>
      <w:docPartObj>
        <w:docPartGallery w:val="Page Numbers (Top of Page)"/>
        <w:docPartUnique/>
      </w:docPartObj>
    </w:sdtPr>
    <w:sdtEndPr/>
    <w:sdtContent>
      <w:p w14:paraId="21DEF4FC" w14:textId="77777777" w:rsidR="00E324BF" w:rsidRPr="00E324BF" w:rsidRDefault="00E324BF" w:rsidP="00E324BF">
        <w:pPr>
          <w:pStyle w:val="Header"/>
          <w:tabs>
            <w:tab w:val="clear" w:pos="4680"/>
            <w:tab w:val="clear" w:pos="9360"/>
            <w:tab w:val="left" w:pos="2412"/>
          </w:tabs>
          <w:rPr>
            <w:rFonts w:ascii="Arial" w:hAnsi="Arial" w:cs="Arial"/>
            <w:sz w:val="18"/>
            <w:szCs w:val="18"/>
            <w:lang w:val="es-ES"/>
          </w:rPr>
        </w:pPr>
        <w:r w:rsidRPr="00E324BF">
          <w:rPr>
            <w:rFonts w:ascii="Arial" w:hAnsi="Arial" w:cs="Arial"/>
            <w:sz w:val="18"/>
            <w:szCs w:val="18"/>
            <w:lang w:val="es-ES"/>
          </w:rPr>
          <w:t>EEO#1</w:t>
        </w:r>
        <w:r w:rsidR="00C57011">
          <w:rPr>
            <w:rFonts w:ascii="Arial" w:hAnsi="Arial" w:cs="Arial"/>
            <w:sz w:val="18"/>
            <w:szCs w:val="18"/>
            <w:lang w:val="es-ES"/>
          </w:rPr>
          <w:t xml:space="preserve"> – HO-L1204</w:t>
        </w:r>
      </w:p>
      <w:p w14:paraId="7219F154" w14:textId="77777777" w:rsidR="00E324BF" w:rsidRPr="00E324BF" w:rsidRDefault="00E324BF" w:rsidP="00E324BF">
        <w:pPr>
          <w:pStyle w:val="Header"/>
          <w:rPr>
            <w:rFonts w:ascii="Arial" w:hAnsi="Arial" w:cs="Arial"/>
            <w:sz w:val="18"/>
            <w:szCs w:val="18"/>
            <w:lang w:val="pt-BR"/>
          </w:rPr>
        </w:pPr>
        <w:r w:rsidRPr="00E324BF">
          <w:rPr>
            <w:rFonts w:ascii="Arial" w:hAnsi="Arial" w:cs="Arial"/>
            <w:sz w:val="18"/>
            <w:szCs w:val="18"/>
            <w:lang w:val="pt-BR"/>
          </w:rPr>
          <w:t xml:space="preserve">Página </w:t>
        </w:r>
        <w:r w:rsidRPr="00E324BF">
          <w:rPr>
            <w:rFonts w:ascii="Arial" w:hAnsi="Arial" w:cs="Arial"/>
            <w:bCs/>
            <w:sz w:val="18"/>
            <w:szCs w:val="18"/>
          </w:rPr>
          <w:fldChar w:fldCharType="begin"/>
        </w:r>
        <w:r w:rsidRPr="00E324BF">
          <w:rPr>
            <w:rFonts w:ascii="Arial" w:hAnsi="Arial" w:cs="Arial"/>
            <w:bCs/>
            <w:sz w:val="18"/>
            <w:szCs w:val="18"/>
            <w:lang w:val="pt-BR"/>
          </w:rPr>
          <w:instrText xml:space="preserve"> PAGE </w:instrText>
        </w:r>
        <w:r w:rsidRPr="00E324BF">
          <w:rPr>
            <w:rFonts w:ascii="Arial" w:hAnsi="Arial" w:cs="Arial"/>
            <w:bCs/>
            <w:sz w:val="18"/>
            <w:szCs w:val="18"/>
          </w:rPr>
          <w:fldChar w:fldCharType="separate"/>
        </w:r>
        <w:r w:rsidRPr="008F3191">
          <w:rPr>
            <w:rFonts w:ascii="Arial" w:hAnsi="Arial" w:cs="Arial"/>
            <w:bCs/>
            <w:sz w:val="18"/>
            <w:szCs w:val="18"/>
            <w:lang w:val="es-HN"/>
          </w:rPr>
          <w:t>1</w:t>
        </w:r>
        <w:r w:rsidRPr="00E324BF">
          <w:rPr>
            <w:rFonts w:ascii="Arial" w:hAnsi="Arial" w:cs="Arial"/>
            <w:bCs/>
            <w:sz w:val="18"/>
            <w:szCs w:val="18"/>
          </w:rPr>
          <w:fldChar w:fldCharType="end"/>
        </w:r>
        <w:r w:rsidRPr="00E324BF">
          <w:rPr>
            <w:rFonts w:ascii="Arial" w:hAnsi="Arial" w:cs="Arial"/>
            <w:sz w:val="18"/>
            <w:szCs w:val="18"/>
            <w:lang w:val="pt-BR"/>
          </w:rPr>
          <w:t xml:space="preserve"> de </w:t>
        </w:r>
        <w:r w:rsidRPr="00E324BF">
          <w:rPr>
            <w:rFonts w:ascii="Arial" w:hAnsi="Arial" w:cs="Arial"/>
            <w:bCs/>
            <w:sz w:val="18"/>
            <w:szCs w:val="18"/>
          </w:rPr>
          <w:fldChar w:fldCharType="begin"/>
        </w:r>
        <w:r w:rsidRPr="00E324BF">
          <w:rPr>
            <w:rFonts w:ascii="Arial" w:hAnsi="Arial" w:cs="Arial"/>
            <w:bCs/>
            <w:sz w:val="18"/>
            <w:szCs w:val="18"/>
            <w:lang w:val="pt-BR"/>
          </w:rPr>
          <w:instrText xml:space="preserve"> NUMPAGES  </w:instrText>
        </w:r>
        <w:r w:rsidRPr="00E324BF">
          <w:rPr>
            <w:rFonts w:ascii="Arial" w:hAnsi="Arial" w:cs="Arial"/>
            <w:bCs/>
            <w:sz w:val="18"/>
            <w:szCs w:val="18"/>
          </w:rPr>
          <w:fldChar w:fldCharType="separate"/>
        </w:r>
        <w:r w:rsidRPr="008F3191">
          <w:rPr>
            <w:rFonts w:ascii="Arial" w:hAnsi="Arial" w:cs="Arial"/>
            <w:bCs/>
            <w:sz w:val="18"/>
            <w:szCs w:val="18"/>
            <w:lang w:val="es-HN"/>
          </w:rPr>
          <w:t>5</w:t>
        </w:r>
        <w:r w:rsidRPr="00E324BF">
          <w:rPr>
            <w:rFonts w:ascii="Arial" w:hAnsi="Arial" w:cs="Arial"/>
            <w:bCs/>
            <w:sz w:val="18"/>
            <w:szCs w:val="18"/>
          </w:rPr>
          <w:fldChar w:fldCharType="end"/>
        </w:r>
      </w:p>
    </w:sdtContent>
  </w:sdt>
  <w:p w14:paraId="0D0B940D" w14:textId="77777777" w:rsidR="00E8133A" w:rsidRPr="008F3191" w:rsidRDefault="00E8133A" w:rsidP="00E324BF">
    <w:pPr>
      <w:pStyle w:val="Header"/>
      <w:rPr>
        <w:lang w:val="es-H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B09D3" w14:textId="77777777" w:rsidR="00C57011" w:rsidRPr="00C57011" w:rsidRDefault="00C57011" w:rsidP="00C57011">
    <w:pPr>
      <w:pStyle w:val="Header"/>
      <w:jc w:val="right"/>
      <w:rPr>
        <w:rFonts w:ascii="Arial" w:hAnsi="Arial" w:cs="Arial"/>
        <w:sz w:val="18"/>
        <w:szCs w:val="18"/>
        <w:lang w:val="es-ES"/>
      </w:rPr>
    </w:pPr>
    <w:r w:rsidRPr="00C57011">
      <w:rPr>
        <w:rFonts w:ascii="Arial" w:hAnsi="Arial" w:cs="Arial"/>
        <w:sz w:val="18"/>
        <w:szCs w:val="18"/>
        <w:lang w:val="es-ES"/>
      </w:rPr>
      <w:t>EEO#1 – HO-L1204</w:t>
    </w:r>
  </w:p>
  <w:p w14:paraId="7CAECE06" w14:textId="77777777" w:rsidR="002E5FA7" w:rsidRPr="007F5C40" w:rsidRDefault="00C57011" w:rsidP="00C57011">
    <w:pPr>
      <w:pStyle w:val="Header"/>
      <w:jc w:val="right"/>
      <w:rPr>
        <w:lang w:val="pt-BR"/>
      </w:rPr>
    </w:pPr>
    <w:r w:rsidRPr="00C57011">
      <w:rPr>
        <w:rFonts w:ascii="Arial" w:hAnsi="Arial" w:cs="Arial"/>
        <w:sz w:val="18"/>
        <w:szCs w:val="18"/>
        <w:lang w:val="es-ES"/>
      </w:rPr>
      <w:t xml:space="preserve">Página 4 de </w:t>
    </w:r>
    <w:r>
      <w:rPr>
        <w:rFonts w:ascii="Arial" w:hAnsi="Arial" w:cs="Arial"/>
        <w:sz w:val="18"/>
        <w:szCs w:val="18"/>
        <w:lang w:val="es-E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184D"/>
    <w:multiLevelType w:val="multilevel"/>
    <w:tmpl w:val="2CBA390C"/>
    <w:lvl w:ilvl="0">
      <w:start w:val="1"/>
      <w:numFmt w:val="upperRoman"/>
      <w:lvlText w:val="Article %1."/>
      <w:lvlJc w:val="left"/>
      <w:pPr>
        <w:ind w:left="0" w:firstLine="0"/>
      </w:pPr>
    </w:lvl>
    <w:lvl w:ilvl="1">
      <w:start w:val="1"/>
      <w:numFmt w:val="decima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15:restartNumberingAfterBreak="0">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23231F9B"/>
    <w:multiLevelType w:val="hybridMultilevel"/>
    <w:tmpl w:val="4EAC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25DFE"/>
    <w:multiLevelType w:val="multilevel"/>
    <w:tmpl w:val="5CA80F24"/>
    <w:lvl w:ilvl="0">
      <w:start w:val="1"/>
      <w:numFmt w:val="none"/>
      <w:lvlRestart w:val="0"/>
      <w:suff w:val="nothing"/>
      <w:lvlText w:val=""/>
      <w:lvlJc w:val="left"/>
      <w:pPr>
        <w:ind w:left="720" w:hanging="720"/>
      </w:pPr>
    </w:lvl>
    <w:lvl w:ilvl="1">
      <w:start w:val="1"/>
      <w:numFmt w:val="decima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25920B9F"/>
    <w:multiLevelType w:val="hybridMultilevel"/>
    <w:tmpl w:val="9A3A3466"/>
    <w:lvl w:ilvl="0" w:tplc="7640D0A2">
      <w:start w:val="1"/>
      <w:numFmt w:val="decimal"/>
      <w:pStyle w:val="FirstHeading"/>
      <w:lvlText w:val="%1."/>
      <w:lvlJc w:val="left"/>
      <w:pPr>
        <w:tabs>
          <w:tab w:val="num" w:pos="360"/>
        </w:tabs>
        <w:ind w:left="36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7" w15:restartNumberingAfterBreak="0">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F113071"/>
    <w:multiLevelType w:val="hybridMultilevel"/>
    <w:tmpl w:val="27E2687A"/>
    <w:lvl w:ilvl="0" w:tplc="AE020D2A">
      <w:start w:val="1"/>
      <w:numFmt w:val="bullet"/>
      <w:lvlText w:val=""/>
      <w:lvlJc w:val="left"/>
      <w:pPr>
        <w:ind w:left="720" w:hanging="360"/>
      </w:pPr>
      <w:rPr>
        <w:rFonts w:ascii="Symbol" w:hAnsi="Symbol" w:hint="default"/>
      </w:rPr>
    </w:lvl>
    <w:lvl w:ilvl="1" w:tplc="69D440C4">
      <w:start w:val="1"/>
      <w:numFmt w:val="bullet"/>
      <w:lvlText w:val="o"/>
      <w:lvlJc w:val="left"/>
      <w:pPr>
        <w:ind w:left="1440" w:hanging="360"/>
      </w:pPr>
      <w:rPr>
        <w:rFonts w:ascii="Courier New" w:hAnsi="Courier New" w:hint="default"/>
      </w:rPr>
    </w:lvl>
    <w:lvl w:ilvl="2" w:tplc="F098B884">
      <w:start w:val="1"/>
      <w:numFmt w:val="bullet"/>
      <w:lvlText w:val=""/>
      <w:lvlJc w:val="left"/>
      <w:pPr>
        <w:ind w:left="2160" w:hanging="360"/>
      </w:pPr>
      <w:rPr>
        <w:rFonts w:ascii="Wingdings" w:hAnsi="Wingdings" w:hint="default"/>
      </w:rPr>
    </w:lvl>
    <w:lvl w:ilvl="3" w:tplc="1F50955A">
      <w:start w:val="1"/>
      <w:numFmt w:val="bullet"/>
      <w:lvlText w:val=""/>
      <w:lvlJc w:val="left"/>
      <w:pPr>
        <w:ind w:left="2880" w:hanging="360"/>
      </w:pPr>
      <w:rPr>
        <w:rFonts w:ascii="Symbol" w:hAnsi="Symbol" w:hint="default"/>
      </w:rPr>
    </w:lvl>
    <w:lvl w:ilvl="4" w:tplc="33EEACC0">
      <w:start w:val="1"/>
      <w:numFmt w:val="bullet"/>
      <w:lvlText w:val="o"/>
      <w:lvlJc w:val="left"/>
      <w:pPr>
        <w:ind w:left="3600" w:hanging="360"/>
      </w:pPr>
      <w:rPr>
        <w:rFonts w:ascii="Courier New" w:hAnsi="Courier New" w:hint="default"/>
      </w:rPr>
    </w:lvl>
    <w:lvl w:ilvl="5" w:tplc="E5DCB34C">
      <w:start w:val="1"/>
      <w:numFmt w:val="bullet"/>
      <w:lvlText w:val=""/>
      <w:lvlJc w:val="left"/>
      <w:pPr>
        <w:ind w:left="4320" w:hanging="360"/>
      </w:pPr>
      <w:rPr>
        <w:rFonts w:ascii="Wingdings" w:hAnsi="Wingdings" w:hint="default"/>
      </w:rPr>
    </w:lvl>
    <w:lvl w:ilvl="6" w:tplc="12049CEA">
      <w:start w:val="1"/>
      <w:numFmt w:val="bullet"/>
      <w:lvlText w:val=""/>
      <w:lvlJc w:val="left"/>
      <w:pPr>
        <w:ind w:left="5040" w:hanging="360"/>
      </w:pPr>
      <w:rPr>
        <w:rFonts w:ascii="Symbol" w:hAnsi="Symbol" w:hint="default"/>
      </w:rPr>
    </w:lvl>
    <w:lvl w:ilvl="7" w:tplc="3EDC00E8">
      <w:start w:val="1"/>
      <w:numFmt w:val="bullet"/>
      <w:lvlText w:val="o"/>
      <w:lvlJc w:val="left"/>
      <w:pPr>
        <w:ind w:left="5760" w:hanging="360"/>
      </w:pPr>
      <w:rPr>
        <w:rFonts w:ascii="Courier New" w:hAnsi="Courier New" w:hint="default"/>
      </w:rPr>
    </w:lvl>
    <w:lvl w:ilvl="8" w:tplc="17BE4812">
      <w:start w:val="1"/>
      <w:numFmt w:val="bullet"/>
      <w:lvlText w:val=""/>
      <w:lvlJc w:val="left"/>
      <w:pPr>
        <w:ind w:left="6480" w:hanging="360"/>
      </w:pPr>
      <w:rPr>
        <w:rFonts w:ascii="Wingdings" w:hAnsi="Wingdings" w:hint="default"/>
      </w:rPr>
    </w:lvl>
  </w:abstractNum>
  <w:abstractNum w:abstractNumId="9" w15:restartNumberingAfterBreak="0">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8A0273"/>
    <w:multiLevelType w:val="hybridMultilevel"/>
    <w:tmpl w:val="A5EE4612"/>
    <w:lvl w:ilvl="0" w:tplc="4B5A518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43487D"/>
    <w:multiLevelType w:val="hybridMultilevel"/>
    <w:tmpl w:val="660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10"/>
  </w:num>
  <w:num w:numId="6">
    <w:abstractNumId w:val="9"/>
  </w:num>
  <w:num w:numId="7">
    <w:abstractNumId w:val="16"/>
  </w:num>
  <w:num w:numId="8">
    <w:abstractNumId w:val="7"/>
  </w:num>
  <w:num w:numId="9">
    <w:abstractNumId w:val="15"/>
  </w:num>
  <w:num w:numId="10">
    <w:abstractNumId w:val="0"/>
  </w:num>
  <w:num w:numId="11">
    <w:abstractNumId w:val="4"/>
  </w:num>
  <w:num w:numId="12">
    <w:abstractNumId w:val="2"/>
  </w:num>
  <w:num w:numId="13">
    <w:abstractNumId w:val="14"/>
  </w:num>
  <w:num w:numId="14">
    <w:abstractNumId w:val="6"/>
  </w:num>
  <w:num w:numId="15">
    <w:abstractNumId w:val="11"/>
  </w:num>
  <w:num w:numId="16">
    <w:abstractNumId w:val="13"/>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2D5"/>
    <w:rsid w:val="0000218D"/>
    <w:rsid w:val="000165B5"/>
    <w:rsid w:val="00020FFC"/>
    <w:rsid w:val="000376E1"/>
    <w:rsid w:val="00037A7E"/>
    <w:rsid w:val="00062633"/>
    <w:rsid w:val="000628EA"/>
    <w:rsid w:val="000812B7"/>
    <w:rsid w:val="000875C5"/>
    <w:rsid w:val="00090403"/>
    <w:rsid w:val="000A3351"/>
    <w:rsid w:val="000B6657"/>
    <w:rsid w:val="000C5AAD"/>
    <w:rsid w:val="000D0DD9"/>
    <w:rsid w:val="000D2487"/>
    <w:rsid w:val="000D462B"/>
    <w:rsid w:val="000E5B65"/>
    <w:rsid w:val="00101403"/>
    <w:rsid w:val="001257B7"/>
    <w:rsid w:val="00131D8C"/>
    <w:rsid w:val="0013238F"/>
    <w:rsid w:val="00137DAB"/>
    <w:rsid w:val="001540D1"/>
    <w:rsid w:val="00154794"/>
    <w:rsid w:val="00156F9F"/>
    <w:rsid w:val="0016605A"/>
    <w:rsid w:val="00170637"/>
    <w:rsid w:val="00170BB3"/>
    <w:rsid w:val="001869E7"/>
    <w:rsid w:val="001945FB"/>
    <w:rsid w:val="00197DF1"/>
    <w:rsid w:val="001A67DB"/>
    <w:rsid w:val="001B50B8"/>
    <w:rsid w:val="001C28C8"/>
    <w:rsid w:val="001C7B9C"/>
    <w:rsid w:val="001D0A60"/>
    <w:rsid w:val="001D5BCC"/>
    <w:rsid w:val="001E4BA2"/>
    <w:rsid w:val="001F0395"/>
    <w:rsid w:val="001F5072"/>
    <w:rsid w:val="002000B7"/>
    <w:rsid w:val="00203128"/>
    <w:rsid w:val="00212CD1"/>
    <w:rsid w:val="002167C7"/>
    <w:rsid w:val="0021797F"/>
    <w:rsid w:val="0023093A"/>
    <w:rsid w:val="00231637"/>
    <w:rsid w:val="0024335E"/>
    <w:rsid w:val="002752AE"/>
    <w:rsid w:val="00285568"/>
    <w:rsid w:val="002873B7"/>
    <w:rsid w:val="0029174C"/>
    <w:rsid w:val="00293DA9"/>
    <w:rsid w:val="00297D97"/>
    <w:rsid w:val="002A5894"/>
    <w:rsid w:val="002A7128"/>
    <w:rsid w:val="002C5687"/>
    <w:rsid w:val="002D778B"/>
    <w:rsid w:val="002E5FA7"/>
    <w:rsid w:val="002F1A8C"/>
    <w:rsid w:val="002F2232"/>
    <w:rsid w:val="00302E79"/>
    <w:rsid w:val="00304455"/>
    <w:rsid w:val="00313582"/>
    <w:rsid w:val="00330415"/>
    <w:rsid w:val="00334CA9"/>
    <w:rsid w:val="003400B1"/>
    <w:rsid w:val="003517EB"/>
    <w:rsid w:val="00351B4B"/>
    <w:rsid w:val="003534B8"/>
    <w:rsid w:val="00357DB5"/>
    <w:rsid w:val="00357F1E"/>
    <w:rsid w:val="00383418"/>
    <w:rsid w:val="00385FAF"/>
    <w:rsid w:val="003B1AA8"/>
    <w:rsid w:val="003B3C75"/>
    <w:rsid w:val="003D252E"/>
    <w:rsid w:val="003D728B"/>
    <w:rsid w:val="003D7DCE"/>
    <w:rsid w:val="003D7E19"/>
    <w:rsid w:val="003E57BA"/>
    <w:rsid w:val="003E7153"/>
    <w:rsid w:val="003F4481"/>
    <w:rsid w:val="003F5068"/>
    <w:rsid w:val="003F6EBC"/>
    <w:rsid w:val="004252D5"/>
    <w:rsid w:val="004518B1"/>
    <w:rsid w:val="00457EBF"/>
    <w:rsid w:val="0046548B"/>
    <w:rsid w:val="00476A13"/>
    <w:rsid w:val="00480586"/>
    <w:rsid w:val="004909E6"/>
    <w:rsid w:val="00492918"/>
    <w:rsid w:val="0049611B"/>
    <w:rsid w:val="00496667"/>
    <w:rsid w:val="004C0268"/>
    <w:rsid w:val="004C761C"/>
    <w:rsid w:val="004E4EDF"/>
    <w:rsid w:val="004F4A34"/>
    <w:rsid w:val="005127A8"/>
    <w:rsid w:val="0051598A"/>
    <w:rsid w:val="005231B9"/>
    <w:rsid w:val="00547457"/>
    <w:rsid w:val="00550139"/>
    <w:rsid w:val="005614B2"/>
    <w:rsid w:val="00567E9B"/>
    <w:rsid w:val="00574B0A"/>
    <w:rsid w:val="00581677"/>
    <w:rsid w:val="00582D1F"/>
    <w:rsid w:val="00591392"/>
    <w:rsid w:val="00594AF0"/>
    <w:rsid w:val="005A0243"/>
    <w:rsid w:val="005A106C"/>
    <w:rsid w:val="005A3250"/>
    <w:rsid w:val="005D2D27"/>
    <w:rsid w:val="005D3E11"/>
    <w:rsid w:val="005D5881"/>
    <w:rsid w:val="005E0CA2"/>
    <w:rsid w:val="005E2217"/>
    <w:rsid w:val="005E30DF"/>
    <w:rsid w:val="005E6A3E"/>
    <w:rsid w:val="005F5D70"/>
    <w:rsid w:val="00601E37"/>
    <w:rsid w:val="00620FD8"/>
    <w:rsid w:val="0065387E"/>
    <w:rsid w:val="00660413"/>
    <w:rsid w:val="00664B49"/>
    <w:rsid w:val="00687242"/>
    <w:rsid w:val="006A619E"/>
    <w:rsid w:val="006B5C72"/>
    <w:rsid w:val="006C0710"/>
    <w:rsid w:val="006C5297"/>
    <w:rsid w:val="006C7A13"/>
    <w:rsid w:val="006D6D1C"/>
    <w:rsid w:val="006E2591"/>
    <w:rsid w:val="006F16C4"/>
    <w:rsid w:val="006F5AEC"/>
    <w:rsid w:val="007002A4"/>
    <w:rsid w:val="00705049"/>
    <w:rsid w:val="007062F8"/>
    <w:rsid w:val="00724361"/>
    <w:rsid w:val="00725A19"/>
    <w:rsid w:val="0073073E"/>
    <w:rsid w:val="0073552F"/>
    <w:rsid w:val="007401EC"/>
    <w:rsid w:val="00746B4A"/>
    <w:rsid w:val="0075094E"/>
    <w:rsid w:val="00755A5F"/>
    <w:rsid w:val="00770221"/>
    <w:rsid w:val="00776A94"/>
    <w:rsid w:val="007958BC"/>
    <w:rsid w:val="007A1AC9"/>
    <w:rsid w:val="007A7191"/>
    <w:rsid w:val="007B249E"/>
    <w:rsid w:val="007B2E89"/>
    <w:rsid w:val="007B3147"/>
    <w:rsid w:val="007C11B8"/>
    <w:rsid w:val="007D25BF"/>
    <w:rsid w:val="007D4DBA"/>
    <w:rsid w:val="007E00CD"/>
    <w:rsid w:val="007E7FA3"/>
    <w:rsid w:val="007F0AA5"/>
    <w:rsid w:val="007F5C40"/>
    <w:rsid w:val="007F61B9"/>
    <w:rsid w:val="00805246"/>
    <w:rsid w:val="00805AA8"/>
    <w:rsid w:val="00806203"/>
    <w:rsid w:val="00807A38"/>
    <w:rsid w:val="008165E0"/>
    <w:rsid w:val="00843207"/>
    <w:rsid w:val="0084390F"/>
    <w:rsid w:val="0085483C"/>
    <w:rsid w:val="00855261"/>
    <w:rsid w:val="00874A47"/>
    <w:rsid w:val="00886E0B"/>
    <w:rsid w:val="008A3A96"/>
    <w:rsid w:val="008A3AAD"/>
    <w:rsid w:val="008A3B8D"/>
    <w:rsid w:val="008C0DF6"/>
    <w:rsid w:val="008C48A3"/>
    <w:rsid w:val="008C5986"/>
    <w:rsid w:val="008F3191"/>
    <w:rsid w:val="008F7F08"/>
    <w:rsid w:val="00910EAF"/>
    <w:rsid w:val="0091348D"/>
    <w:rsid w:val="00927313"/>
    <w:rsid w:val="009428D7"/>
    <w:rsid w:val="00944BEC"/>
    <w:rsid w:val="00944E88"/>
    <w:rsid w:val="009563C2"/>
    <w:rsid w:val="009608D7"/>
    <w:rsid w:val="009671BF"/>
    <w:rsid w:val="00970BBB"/>
    <w:rsid w:val="00975C73"/>
    <w:rsid w:val="00982DEC"/>
    <w:rsid w:val="009C09D8"/>
    <w:rsid w:val="009C1A5D"/>
    <w:rsid w:val="009C1BB0"/>
    <w:rsid w:val="009C4300"/>
    <w:rsid w:val="009C4BBC"/>
    <w:rsid w:val="009F0424"/>
    <w:rsid w:val="00A0275F"/>
    <w:rsid w:val="00A13407"/>
    <w:rsid w:val="00A206E9"/>
    <w:rsid w:val="00A21A9E"/>
    <w:rsid w:val="00A33F92"/>
    <w:rsid w:val="00A408E3"/>
    <w:rsid w:val="00A608D1"/>
    <w:rsid w:val="00A6321D"/>
    <w:rsid w:val="00A80512"/>
    <w:rsid w:val="00A83166"/>
    <w:rsid w:val="00A913D1"/>
    <w:rsid w:val="00A92C8B"/>
    <w:rsid w:val="00A97225"/>
    <w:rsid w:val="00AB2C1F"/>
    <w:rsid w:val="00AC7A6A"/>
    <w:rsid w:val="00AD7AAD"/>
    <w:rsid w:val="00AE0F14"/>
    <w:rsid w:val="00AE14ED"/>
    <w:rsid w:val="00AE789C"/>
    <w:rsid w:val="00AF7732"/>
    <w:rsid w:val="00B00720"/>
    <w:rsid w:val="00B00C3F"/>
    <w:rsid w:val="00B17979"/>
    <w:rsid w:val="00B26DAF"/>
    <w:rsid w:val="00B374A8"/>
    <w:rsid w:val="00B46EAC"/>
    <w:rsid w:val="00B473E9"/>
    <w:rsid w:val="00B64450"/>
    <w:rsid w:val="00B90AF9"/>
    <w:rsid w:val="00B97F71"/>
    <w:rsid w:val="00BB68C6"/>
    <w:rsid w:val="00BC2ED0"/>
    <w:rsid w:val="00BC3BA3"/>
    <w:rsid w:val="00BC7B93"/>
    <w:rsid w:val="00BE7378"/>
    <w:rsid w:val="00BF06F2"/>
    <w:rsid w:val="00BF7926"/>
    <w:rsid w:val="00C0415C"/>
    <w:rsid w:val="00C04AF6"/>
    <w:rsid w:val="00C102D4"/>
    <w:rsid w:val="00C127B0"/>
    <w:rsid w:val="00C26C9C"/>
    <w:rsid w:val="00C32C58"/>
    <w:rsid w:val="00C35F61"/>
    <w:rsid w:val="00C51812"/>
    <w:rsid w:val="00C5345E"/>
    <w:rsid w:val="00C57011"/>
    <w:rsid w:val="00C6418A"/>
    <w:rsid w:val="00C66F18"/>
    <w:rsid w:val="00C70EE3"/>
    <w:rsid w:val="00C76990"/>
    <w:rsid w:val="00C771DF"/>
    <w:rsid w:val="00C82A2D"/>
    <w:rsid w:val="00C914BD"/>
    <w:rsid w:val="00CB1C31"/>
    <w:rsid w:val="00CC1521"/>
    <w:rsid w:val="00CE2635"/>
    <w:rsid w:val="00D03467"/>
    <w:rsid w:val="00D037B9"/>
    <w:rsid w:val="00D1079B"/>
    <w:rsid w:val="00D24970"/>
    <w:rsid w:val="00D32601"/>
    <w:rsid w:val="00D327CA"/>
    <w:rsid w:val="00D47677"/>
    <w:rsid w:val="00D5398F"/>
    <w:rsid w:val="00D57AD5"/>
    <w:rsid w:val="00D57AD9"/>
    <w:rsid w:val="00D64D9B"/>
    <w:rsid w:val="00D730CA"/>
    <w:rsid w:val="00D82BCE"/>
    <w:rsid w:val="00D8650F"/>
    <w:rsid w:val="00DA2460"/>
    <w:rsid w:val="00DA3579"/>
    <w:rsid w:val="00DA40D8"/>
    <w:rsid w:val="00DA7B9E"/>
    <w:rsid w:val="00DB049F"/>
    <w:rsid w:val="00DB43BA"/>
    <w:rsid w:val="00DB4811"/>
    <w:rsid w:val="00DC6B3E"/>
    <w:rsid w:val="00DC7E36"/>
    <w:rsid w:val="00DE56BF"/>
    <w:rsid w:val="00E03A90"/>
    <w:rsid w:val="00E24085"/>
    <w:rsid w:val="00E273E5"/>
    <w:rsid w:val="00E324BF"/>
    <w:rsid w:val="00E36737"/>
    <w:rsid w:val="00E4764F"/>
    <w:rsid w:val="00E66782"/>
    <w:rsid w:val="00E674E9"/>
    <w:rsid w:val="00E8133A"/>
    <w:rsid w:val="00E820C4"/>
    <w:rsid w:val="00E96FD0"/>
    <w:rsid w:val="00EB3481"/>
    <w:rsid w:val="00EB57D0"/>
    <w:rsid w:val="00ED6741"/>
    <w:rsid w:val="00EE76D1"/>
    <w:rsid w:val="00EF22CE"/>
    <w:rsid w:val="00F11488"/>
    <w:rsid w:val="00F14152"/>
    <w:rsid w:val="00F14A63"/>
    <w:rsid w:val="00F212E1"/>
    <w:rsid w:val="00F27000"/>
    <w:rsid w:val="00F34673"/>
    <w:rsid w:val="00F35E14"/>
    <w:rsid w:val="00F37155"/>
    <w:rsid w:val="00F4704A"/>
    <w:rsid w:val="00F50683"/>
    <w:rsid w:val="00F50715"/>
    <w:rsid w:val="00F511FC"/>
    <w:rsid w:val="00F53148"/>
    <w:rsid w:val="00F53488"/>
    <w:rsid w:val="00F56CC0"/>
    <w:rsid w:val="00F60FC4"/>
    <w:rsid w:val="00F610EA"/>
    <w:rsid w:val="00F74396"/>
    <w:rsid w:val="00F754F4"/>
    <w:rsid w:val="00F76ECE"/>
    <w:rsid w:val="00F803E9"/>
    <w:rsid w:val="00F8307B"/>
    <w:rsid w:val="00F83C76"/>
    <w:rsid w:val="00FA508D"/>
    <w:rsid w:val="00FB4BC4"/>
    <w:rsid w:val="00FB746B"/>
    <w:rsid w:val="00FC0578"/>
    <w:rsid w:val="00FC38CF"/>
    <w:rsid w:val="00FC4F91"/>
    <w:rsid w:val="00FD36AD"/>
    <w:rsid w:val="00FD4163"/>
    <w:rsid w:val="00FD65A9"/>
    <w:rsid w:val="00FF1E76"/>
    <w:rsid w:val="00FF5BA1"/>
    <w:rsid w:val="6B4CE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69C0C"/>
  <w15:docId w15:val="{D0E432ED-647E-4CAA-93D2-D21F7613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6"/>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2"/>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basedOn w:val="BodyTextIndent"/>
    <w:link w:val="ParagraphChar"/>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7F5C40"/>
    <w:rPr>
      <w:rFonts w:ascii="Times New Roman" w:hAnsi="Times New Roman" w:cs="Times New Roman"/>
      <w:spacing w:val="-3"/>
      <w:sz w:val="20"/>
      <w:szCs w:val="20"/>
    </w:rPr>
  </w:style>
  <w:style w:type="paragraph" w:customStyle="1" w:styleId="Default">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eastAsia="Calibri"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85139">
      <w:bodyDiv w:val="1"/>
      <w:marLeft w:val="0"/>
      <w:marRight w:val="0"/>
      <w:marTop w:val="0"/>
      <w:marBottom w:val="0"/>
      <w:divBdr>
        <w:top w:val="none" w:sz="0" w:space="0" w:color="auto"/>
        <w:left w:val="none" w:sz="0" w:space="0" w:color="auto"/>
        <w:bottom w:val="none" w:sz="0" w:space="0" w:color="auto"/>
        <w:right w:val="none" w:sz="0" w:space="0" w:color="auto"/>
      </w:divBdr>
    </w:div>
    <w:div w:id="942609471">
      <w:bodyDiv w:val="1"/>
      <w:marLeft w:val="0"/>
      <w:marRight w:val="0"/>
      <w:marTop w:val="0"/>
      <w:marBottom w:val="0"/>
      <w:divBdr>
        <w:top w:val="none" w:sz="0" w:space="0" w:color="auto"/>
        <w:left w:val="none" w:sz="0" w:space="0" w:color="auto"/>
        <w:bottom w:val="none" w:sz="0" w:space="0" w:color="auto"/>
        <w:right w:val="none" w:sz="0" w:space="0" w:color="auto"/>
      </w:divBdr>
    </w:div>
    <w:div w:id="15321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ustomXml" Target="../customXml/item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SCL/SPH</Division_x0020_or_x0020_Unit>
    <Other_x0020_Author xmlns="cdc7663a-08f0-4737-9e8c-148ce897a09c" xsi:nil="true"/>
    <IDBDocs_x0020_Number xmlns="cdc7663a-08f0-4737-9e8c-148ce897a09c" xsi:nil="true"/>
    <Document_x0020_Author xmlns="cdc7663a-08f0-4737-9e8c-148ce897a09c">Silveira, Sheyla</Document_x0020_Author>
    <Operation_x0020_Type xmlns="cdc7663a-08f0-4737-9e8c-148ce897a09c">Loan Operation</Operation_x0020_Type>
    <TaxCatchAll xmlns="cdc7663a-08f0-4737-9e8c-148ce897a09c">
      <Value>11</Value>
      <Value>26</Value>
      <Value>25</Value>
      <Value>69</Value>
      <Value>30</Value>
    </TaxCatchAll>
    <Fiscal_x0020_Year_x0020_IDB xmlns="cdc7663a-08f0-4737-9e8c-148ce897a09c">2019</Fiscal_x0020_Year_x0020_IDB>
    <Project_x0020_Number xmlns="cdc7663a-08f0-4737-9e8c-148ce897a09c">HO-L1204</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EZSHARE-1530740237-3</_dlc_DocId>
    <_dlc_DocIdUrl xmlns="cdc7663a-08f0-4737-9e8c-148ce897a09c">
      <Url>https://idbg.sharepoint.com/teams/EZ-HO-LON/HO-L1204/_layouts/15/DocIdRedir.aspx?ID=EZSHARE-1530740237-3</Url>
      <Description>EZSHARE-1530740237-3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6BC939DFC1ADB24EB79283FF02326AB7" ma:contentTypeVersion="1119" ma:contentTypeDescription="The base project type from which other project content types inherit their information." ma:contentTypeScope="" ma:versionID="8c075d329fe4c33035b2b1c9a01b7591">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6BC939DFC1ADB24EB79283FF02326AB7" ma:contentTypeVersion="2327" ma:contentTypeDescription="The base project type from which other project content types inherit their information." ma:contentTypeScope="" ma:versionID="1cc45d414c2e0ef32c115d62cb01b8fd">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EEC06E2FFF5F48AD4A2AE53CE0A145" ma:contentTypeVersion="2439" ma:contentTypeDescription="A content type to manage public (operations) IDB documents" ma:contentTypeScope="" ma:versionID="0481e68a63379b6edd5e1332e79ab46b">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D371FF6-3C54-4DA0-AE12-BCEEE851A12B}">
  <ds:schemaRefs>
    <ds:schemaRef ds:uri="http://schemas.microsoft.com/sharepoint/v3/contenttype/forms"/>
  </ds:schemaRefs>
</ds:datastoreItem>
</file>

<file path=customXml/itemProps2.xml><?xml version="1.0" encoding="utf-8"?>
<ds:datastoreItem xmlns:ds="http://schemas.openxmlformats.org/officeDocument/2006/customXml" ds:itemID="{368EBC20-9E3B-4105-BA58-5014CDEA8381}">
  <ds:schemaRefs>
    <ds:schemaRef ds:uri="http://schemas.microsoft.com/sharepoint/events"/>
  </ds:schemaRefs>
</ds:datastoreItem>
</file>

<file path=customXml/itemProps3.xml><?xml version="1.0" encoding="utf-8"?>
<ds:datastoreItem xmlns:ds="http://schemas.openxmlformats.org/officeDocument/2006/customXml" ds:itemID="{D92A2C78-AE92-4765-B0BD-4EAB1DDFFF1C}">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A190485B-CC64-42E3-96C7-72C1E4927EEF}"/>
</file>

<file path=customXml/itemProps5.xml><?xml version="1.0" encoding="utf-8"?>
<ds:datastoreItem xmlns:ds="http://schemas.openxmlformats.org/officeDocument/2006/customXml" ds:itemID="{6FB8242F-71FE-47FD-AB80-057EBE37BC69}"/>
</file>

<file path=customXml/itemProps6.xml><?xml version="1.0" encoding="utf-8"?>
<ds:datastoreItem xmlns:ds="http://schemas.openxmlformats.org/officeDocument/2006/customXml" ds:itemID="{07315F11-FD2F-4A57-92E8-B085F3CAFF6A}">
  <ds:schemaRefs>
    <ds:schemaRef ds:uri="http://schemas.openxmlformats.org/officeDocument/2006/bibliography"/>
  </ds:schemaRefs>
</ds:datastoreItem>
</file>

<file path=customXml/itemProps7.xml><?xml version="1.0" encoding="utf-8"?>
<ds:datastoreItem xmlns:ds="http://schemas.openxmlformats.org/officeDocument/2006/customXml" ds:itemID="{251BE43D-9868-448C-BDC2-6603EE3965CE}"/>
</file>

<file path=customXml/itemProps8.xml><?xml version="1.0" encoding="utf-8"?>
<ds:datastoreItem xmlns:ds="http://schemas.openxmlformats.org/officeDocument/2006/customXml" ds:itemID="{0558B7CD-27E3-405A-BADC-8DEB75A90B1E}"/>
</file>

<file path=customXml/itemProps9.xml><?xml version="1.0" encoding="utf-8"?>
<ds:datastoreItem xmlns:ds="http://schemas.openxmlformats.org/officeDocument/2006/customXml" ds:itemID="{385E790A-362E-4EB8-8B34-8F8E7DF82607}"/>
</file>

<file path=docProps/app.xml><?xml version="1.0" encoding="utf-8"?>
<Properties xmlns="http://schemas.openxmlformats.org/officeDocument/2006/extended-properties" xmlns:vt="http://schemas.openxmlformats.org/officeDocument/2006/docPropsVTypes">
  <Template>Normal.dotm</Template>
  <TotalTime>0</TotalTime>
  <Pages>6</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LP enlace Matriz comparativa</vt:lpstr>
    </vt:vector>
  </TitlesOfParts>
  <Company>Inter-American Development Bank</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Matriz comparativa</dc:title>
  <dc:creator>Inter-American Development Bank</dc:creator>
  <cp:keywords/>
  <cp:lastModifiedBy>Aguilar Blandon, Maria Alejandra</cp:lastModifiedBy>
  <cp:revision>2</cp:revision>
  <cp:lastPrinted>2015-02-11T22:03:00Z</cp:lastPrinted>
  <dcterms:created xsi:type="dcterms:W3CDTF">2019-06-26T16:37:00Z</dcterms:created>
  <dcterms:modified xsi:type="dcterms:W3CDTF">2019-06-26T16:37:00Z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69;#POVERTY ALLEVIATION|c99b9e13-7d25-4ef5-800d-099d9545c397</vt:lpwstr>
  </property>
  <property fmtid="{D5CDD505-2E9C-101B-9397-08002B2CF9AE}" pid="8" name="Country">
    <vt:lpwstr>26;#Honduras|0dd9f989-602d-4742-8212-5c1b8b0b74d5</vt:lpwstr>
  </property>
  <property fmtid="{D5CDD505-2E9C-101B-9397-08002B2CF9AE}" pid="9" name="Fund IDB">
    <vt:lpwstr>25;#BLD|60acb4c1-0ef3-40ba-9d70-f741cd9e6c23</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30;#SOCIAL INVESTMENT|3f908695-d5b5-49f6-941f-76876b39564f</vt:lpwstr>
  </property>
  <property fmtid="{D5CDD505-2E9C-101B-9397-08002B2CF9AE}" pid="14" name="Function Operations IDB">
    <vt:lpwstr>11;#IDBDocs|cca77002-e150-4b2d-ab1f-1d7a7cdcae16</vt:lpwstr>
  </property>
  <property fmtid="{D5CDD505-2E9C-101B-9397-08002B2CF9AE}" pid="15" name="_dlc_DocIdItemGuid">
    <vt:lpwstr>a38860e6-d021-4b69-b57c-0810bb04904f</vt:lpwstr>
  </property>
  <property fmtid="{D5CDD505-2E9C-101B-9397-08002B2CF9AE}" pid="16" name="ContentTypeId">
    <vt:lpwstr>0x0101001A458A224826124E8B45B1D613300CFC0072EEC06E2FFF5F48AD4A2AE53CE0A145</vt:lpwstr>
  </property>
</Properties>
</file>