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E5E94" w14:textId="0B4E2583" w:rsidR="0051660A" w:rsidRPr="00E96393" w:rsidRDefault="004406CA" w:rsidP="00E96393">
      <w:pPr>
        <w:jc w:val="center"/>
        <w:rPr>
          <w:rFonts w:ascii="Arial Bold" w:hAnsi="Arial Bold" w:cs="Arial"/>
          <w:b/>
          <w:smallCaps/>
          <w:sz w:val="24"/>
          <w:szCs w:val="24"/>
          <w:lang w:val="es-419"/>
        </w:rPr>
      </w:pPr>
      <w:r w:rsidRPr="00E96393">
        <w:rPr>
          <w:rFonts w:ascii="Arial Bold" w:hAnsi="Arial Bold" w:cs="Arial"/>
          <w:b/>
          <w:smallCaps/>
          <w:sz w:val="24"/>
          <w:szCs w:val="24"/>
          <w:lang w:val="es-419"/>
        </w:rPr>
        <w:t>M</w:t>
      </w:r>
      <w:r w:rsidR="00E96393" w:rsidRPr="00E96393">
        <w:rPr>
          <w:rFonts w:ascii="Arial Bold" w:hAnsi="Arial Bold" w:cs="Arial"/>
          <w:b/>
          <w:smallCaps/>
          <w:sz w:val="24"/>
          <w:szCs w:val="24"/>
          <w:lang w:val="es-419"/>
        </w:rPr>
        <w:t>atriz de Medios de Verificación</w:t>
      </w:r>
    </w:p>
    <w:tbl>
      <w:tblPr>
        <w:tblStyle w:val="TableGrid"/>
        <w:tblW w:w="13690" w:type="dxa"/>
        <w:jc w:val="center"/>
        <w:tblLook w:val="04A0" w:firstRow="1" w:lastRow="0" w:firstColumn="1" w:lastColumn="0" w:noHBand="0" w:noVBand="1"/>
      </w:tblPr>
      <w:tblGrid>
        <w:gridCol w:w="2515"/>
        <w:gridCol w:w="3933"/>
        <w:gridCol w:w="5337"/>
        <w:gridCol w:w="1899"/>
        <w:gridCol w:w="6"/>
      </w:tblGrid>
      <w:tr w:rsidR="004060B6" w:rsidRPr="007752CD" w14:paraId="1B923706" w14:textId="77777777" w:rsidTr="000A5241">
        <w:trPr>
          <w:gridAfter w:val="1"/>
          <w:wAfter w:w="6" w:type="dxa"/>
          <w:trHeight w:val="557"/>
          <w:tblHeader/>
          <w:jc w:val="center"/>
        </w:trPr>
        <w:tc>
          <w:tcPr>
            <w:tcW w:w="2515" w:type="dxa"/>
            <w:shd w:val="clear" w:color="auto" w:fill="C6D9F1" w:themeFill="text2" w:themeFillTint="33"/>
            <w:vAlign w:val="center"/>
          </w:tcPr>
          <w:p w14:paraId="436F1122" w14:textId="5DB74CBB" w:rsidR="004060B6" w:rsidRPr="007752CD" w:rsidRDefault="004060B6" w:rsidP="001C1B52">
            <w:pPr>
              <w:jc w:val="center"/>
              <w:rPr>
                <w:rFonts w:ascii="Arial Bold" w:hAnsi="Arial Bold" w:cs="Arial"/>
                <w:smallCaps/>
                <w:sz w:val="20"/>
                <w:szCs w:val="20"/>
                <w:lang w:val="es-419"/>
              </w:rPr>
            </w:pPr>
            <w:r w:rsidRPr="007752CD">
              <w:rPr>
                <w:rFonts w:ascii="Arial Bold" w:hAnsi="Arial Bold" w:cs="Arial"/>
                <w:b/>
                <w:smallCaps/>
                <w:sz w:val="20"/>
                <w:szCs w:val="20"/>
                <w:lang w:val="es-419"/>
              </w:rPr>
              <w:t xml:space="preserve">Componente y </w:t>
            </w:r>
            <w:r w:rsidR="007752CD" w:rsidRPr="007752CD">
              <w:rPr>
                <w:rFonts w:ascii="Arial Bold" w:hAnsi="Arial Bold" w:cs="Arial"/>
                <w:b/>
                <w:smallCaps/>
                <w:sz w:val="20"/>
                <w:szCs w:val="20"/>
                <w:lang w:val="es-419"/>
              </w:rPr>
              <w:t>O</w:t>
            </w:r>
            <w:r w:rsidRPr="007752CD">
              <w:rPr>
                <w:rFonts w:ascii="Arial Bold" w:hAnsi="Arial Bold" w:cs="Arial"/>
                <w:b/>
                <w:smallCaps/>
                <w:sz w:val="20"/>
                <w:szCs w:val="20"/>
                <w:lang w:val="es-419"/>
              </w:rPr>
              <w:t xml:space="preserve">bjetivo </w:t>
            </w:r>
            <w:r w:rsidR="007752CD" w:rsidRPr="007752CD">
              <w:rPr>
                <w:rFonts w:ascii="Arial Bold" w:hAnsi="Arial Bold" w:cs="Arial"/>
                <w:b/>
                <w:smallCaps/>
                <w:sz w:val="20"/>
                <w:szCs w:val="20"/>
                <w:lang w:val="es-419"/>
              </w:rPr>
              <w:t>E</w:t>
            </w:r>
            <w:r w:rsidR="00D846A4" w:rsidRPr="007752CD">
              <w:rPr>
                <w:rFonts w:ascii="Arial Bold" w:hAnsi="Arial Bold" w:cs="Arial"/>
                <w:b/>
                <w:smallCaps/>
                <w:sz w:val="20"/>
                <w:szCs w:val="20"/>
                <w:lang w:val="es-419"/>
              </w:rPr>
              <w:t>specífico</w:t>
            </w:r>
          </w:p>
        </w:tc>
        <w:tc>
          <w:tcPr>
            <w:tcW w:w="3933" w:type="dxa"/>
            <w:shd w:val="clear" w:color="auto" w:fill="C6D9F1" w:themeFill="text2" w:themeFillTint="33"/>
            <w:vAlign w:val="center"/>
          </w:tcPr>
          <w:p w14:paraId="4357A8E5" w14:textId="3B840883" w:rsidR="004E0B6D" w:rsidRPr="007752CD" w:rsidRDefault="004060B6" w:rsidP="001C1B52">
            <w:pPr>
              <w:jc w:val="center"/>
              <w:rPr>
                <w:rFonts w:ascii="Arial Bold" w:hAnsi="Arial Bold" w:cs="Arial"/>
                <w:b/>
                <w:smallCaps/>
                <w:sz w:val="20"/>
                <w:szCs w:val="20"/>
                <w:lang w:val="es-419"/>
              </w:rPr>
            </w:pPr>
            <w:r w:rsidRPr="007752CD">
              <w:rPr>
                <w:rFonts w:ascii="Arial Bold" w:hAnsi="Arial Bold" w:cs="Arial"/>
                <w:b/>
                <w:smallCaps/>
                <w:sz w:val="20"/>
                <w:szCs w:val="20"/>
                <w:lang w:val="es-419"/>
              </w:rPr>
              <w:t xml:space="preserve">Condiciones de </w:t>
            </w:r>
            <w:r w:rsidR="007752CD" w:rsidRPr="007752CD">
              <w:rPr>
                <w:rFonts w:ascii="Arial Bold" w:hAnsi="Arial Bold" w:cs="Arial"/>
                <w:b/>
                <w:smallCaps/>
                <w:sz w:val="20"/>
                <w:szCs w:val="20"/>
                <w:lang w:val="es-419"/>
              </w:rPr>
              <w:t>P</w:t>
            </w:r>
            <w:r w:rsidRPr="007752CD">
              <w:rPr>
                <w:rFonts w:ascii="Arial Bold" w:hAnsi="Arial Bold" w:cs="Arial"/>
                <w:b/>
                <w:smallCaps/>
                <w:sz w:val="20"/>
                <w:szCs w:val="20"/>
                <w:lang w:val="es-419"/>
              </w:rPr>
              <w:t xml:space="preserve">olítica </w:t>
            </w:r>
          </w:p>
          <w:p w14:paraId="16F11621" w14:textId="1A302066" w:rsidR="004060B6" w:rsidRPr="007752CD" w:rsidRDefault="004060B6" w:rsidP="001C1B52">
            <w:pPr>
              <w:jc w:val="center"/>
              <w:rPr>
                <w:rFonts w:ascii="Arial Bold" w:hAnsi="Arial Bold" w:cs="Arial"/>
                <w:smallCaps/>
                <w:sz w:val="20"/>
                <w:szCs w:val="20"/>
                <w:lang w:val="es-419"/>
              </w:rPr>
            </w:pPr>
            <w:r w:rsidRPr="007752CD">
              <w:rPr>
                <w:rFonts w:ascii="Arial Bold" w:hAnsi="Arial Bold" w:cs="Arial"/>
                <w:b/>
                <w:smallCaps/>
                <w:sz w:val="20"/>
                <w:szCs w:val="20"/>
                <w:lang w:val="es-419"/>
              </w:rPr>
              <w:t>Programático I</w:t>
            </w:r>
            <w:r w:rsidR="00F7248B" w:rsidRPr="007752CD">
              <w:rPr>
                <w:rFonts w:ascii="Arial Bold" w:hAnsi="Arial Bold" w:cs="Arial"/>
                <w:b/>
                <w:smallCaps/>
                <w:sz w:val="20"/>
                <w:szCs w:val="20"/>
                <w:lang w:val="es-419"/>
              </w:rPr>
              <w:t>I</w:t>
            </w:r>
            <w:r w:rsidRPr="007752CD">
              <w:rPr>
                <w:rFonts w:ascii="Arial Bold" w:hAnsi="Arial Bold" w:cs="Arial"/>
                <w:b/>
                <w:smallCaps/>
                <w:sz w:val="20"/>
                <w:szCs w:val="20"/>
                <w:lang w:val="es-419"/>
              </w:rPr>
              <w:t xml:space="preserve"> (201</w:t>
            </w:r>
            <w:r w:rsidR="00F7248B" w:rsidRPr="007752CD">
              <w:rPr>
                <w:rFonts w:ascii="Arial Bold" w:hAnsi="Arial Bold" w:cs="Arial"/>
                <w:b/>
                <w:smallCaps/>
                <w:sz w:val="20"/>
                <w:szCs w:val="20"/>
                <w:lang w:val="es-419"/>
              </w:rPr>
              <w:t>9</w:t>
            </w:r>
            <w:r w:rsidRPr="007752CD">
              <w:rPr>
                <w:rFonts w:ascii="Arial Bold" w:hAnsi="Arial Bold" w:cs="Arial"/>
                <w:b/>
                <w:smallCaps/>
                <w:sz w:val="20"/>
                <w:szCs w:val="20"/>
                <w:lang w:val="es-419"/>
              </w:rPr>
              <w:t>)</w:t>
            </w:r>
          </w:p>
        </w:tc>
        <w:tc>
          <w:tcPr>
            <w:tcW w:w="5337" w:type="dxa"/>
            <w:shd w:val="clear" w:color="auto" w:fill="C6D9F1" w:themeFill="text2" w:themeFillTint="33"/>
            <w:vAlign w:val="center"/>
          </w:tcPr>
          <w:p w14:paraId="39EA9C1F" w14:textId="77777777" w:rsidR="004060B6" w:rsidRPr="007752CD" w:rsidRDefault="004060B6" w:rsidP="00A00B5B">
            <w:pPr>
              <w:jc w:val="center"/>
              <w:rPr>
                <w:rFonts w:ascii="Arial Bold" w:hAnsi="Arial Bold" w:cs="Arial"/>
                <w:smallCaps/>
                <w:sz w:val="20"/>
                <w:szCs w:val="20"/>
                <w:lang w:val="es-419"/>
              </w:rPr>
            </w:pPr>
            <w:r w:rsidRPr="007752CD">
              <w:rPr>
                <w:rFonts w:ascii="Arial Bold" w:hAnsi="Arial Bold" w:cs="Arial"/>
                <w:b/>
                <w:smallCaps/>
                <w:sz w:val="20"/>
                <w:szCs w:val="20"/>
                <w:lang w:val="es-419"/>
              </w:rPr>
              <w:t>Medio de Verificación</w:t>
            </w:r>
          </w:p>
        </w:tc>
        <w:tc>
          <w:tcPr>
            <w:tcW w:w="1899" w:type="dxa"/>
            <w:shd w:val="clear" w:color="auto" w:fill="C6D9F1" w:themeFill="text2" w:themeFillTint="33"/>
          </w:tcPr>
          <w:p w14:paraId="78742A93" w14:textId="77777777" w:rsidR="004060B6" w:rsidRPr="007752CD" w:rsidRDefault="004060B6" w:rsidP="00A00B5B">
            <w:pPr>
              <w:jc w:val="center"/>
              <w:rPr>
                <w:rFonts w:ascii="Arial Bold" w:hAnsi="Arial Bold" w:cs="Arial"/>
                <w:b/>
                <w:smallCaps/>
                <w:sz w:val="20"/>
                <w:szCs w:val="20"/>
                <w:lang w:val="es-419"/>
              </w:rPr>
            </w:pPr>
            <w:r w:rsidRPr="007752CD">
              <w:rPr>
                <w:rFonts w:ascii="Arial Bold" w:hAnsi="Arial Bold" w:cs="Arial"/>
                <w:b/>
                <w:smallCaps/>
                <w:sz w:val="20"/>
                <w:szCs w:val="20"/>
                <w:lang w:val="es-419"/>
              </w:rPr>
              <w:t>Entidad Responsable</w:t>
            </w:r>
          </w:p>
        </w:tc>
      </w:tr>
      <w:tr w:rsidR="00D846A4" w:rsidRPr="00D846A4" w14:paraId="2D8AB393" w14:textId="77777777" w:rsidTr="00D846A4">
        <w:trPr>
          <w:gridAfter w:val="1"/>
          <w:wAfter w:w="6" w:type="dxa"/>
          <w:trHeight w:val="368"/>
          <w:jc w:val="center"/>
        </w:trPr>
        <w:tc>
          <w:tcPr>
            <w:tcW w:w="13684" w:type="dxa"/>
            <w:gridSpan w:val="4"/>
            <w:shd w:val="clear" w:color="auto" w:fill="D9D9D9" w:themeFill="background1" w:themeFillShade="D9"/>
            <w:vAlign w:val="center"/>
          </w:tcPr>
          <w:p w14:paraId="5F6E8254" w14:textId="04C5D6C3" w:rsidR="00D846A4" w:rsidRPr="00D846A4" w:rsidRDefault="00D846A4" w:rsidP="00A00B5B">
            <w:pPr>
              <w:jc w:val="both"/>
              <w:rPr>
                <w:rFonts w:ascii="Arial" w:hAnsi="Arial" w:cs="Arial"/>
                <w:b/>
                <w:sz w:val="20"/>
                <w:szCs w:val="20"/>
                <w:lang w:val="es-419"/>
              </w:rPr>
            </w:pPr>
            <w:r w:rsidRPr="00D846A4">
              <w:rPr>
                <w:rFonts w:ascii="Arial" w:hAnsi="Arial" w:cs="Arial"/>
                <w:b/>
                <w:sz w:val="20"/>
                <w:szCs w:val="20"/>
                <w:lang w:val="es-419"/>
              </w:rPr>
              <w:t>Componente 1. Marco macroeconómico</w:t>
            </w:r>
          </w:p>
        </w:tc>
      </w:tr>
      <w:tr w:rsidR="004060B6" w:rsidRPr="00D846A4" w14:paraId="17C1F413" w14:textId="77777777" w:rsidTr="009D4080">
        <w:trPr>
          <w:gridAfter w:val="1"/>
          <w:wAfter w:w="6" w:type="dxa"/>
          <w:jc w:val="center"/>
        </w:trPr>
        <w:tc>
          <w:tcPr>
            <w:tcW w:w="2515" w:type="dxa"/>
            <w:shd w:val="clear" w:color="auto" w:fill="FFFFFF" w:themeFill="background1"/>
            <w:vAlign w:val="center"/>
          </w:tcPr>
          <w:p w14:paraId="5355B121" w14:textId="77777777" w:rsidR="004060B6" w:rsidRPr="00D846A4" w:rsidRDefault="004060B6" w:rsidP="00830C91">
            <w:pPr>
              <w:jc w:val="both"/>
              <w:rPr>
                <w:rFonts w:ascii="Arial" w:hAnsi="Arial" w:cs="Arial"/>
                <w:sz w:val="20"/>
                <w:szCs w:val="20"/>
                <w:lang w:val="es-419"/>
              </w:rPr>
            </w:pPr>
            <w:r w:rsidRPr="00D846A4">
              <w:rPr>
                <w:rFonts w:ascii="Arial" w:hAnsi="Arial" w:cs="Arial"/>
                <w:sz w:val="20"/>
                <w:szCs w:val="20"/>
                <w:lang w:val="es-419"/>
              </w:rPr>
              <w:t xml:space="preserve">1. </w:t>
            </w:r>
            <w:r w:rsidRPr="00D846A4">
              <w:rPr>
                <w:rFonts w:ascii="Arial" w:hAnsi="Arial" w:cs="Arial"/>
                <w:b/>
                <w:sz w:val="20"/>
                <w:szCs w:val="20"/>
                <w:lang w:val="es-419"/>
              </w:rPr>
              <w:t>Estabilidad del Marco General de Políticas Macroeconómicas.</w:t>
            </w:r>
          </w:p>
        </w:tc>
        <w:tc>
          <w:tcPr>
            <w:tcW w:w="3933" w:type="dxa"/>
            <w:shd w:val="clear" w:color="auto" w:fill="FFFFFF" w:themeFill="background1"/>
          </w:tcPr>
          <w:p w14:paraId="19791190" w14:textId="77777777" w:rsidR="004060B6" w:rsidRPr="00D846A4" w:rsidRDefault="004060B6" w:rsidP="00A00B5B">
            <w:pPr>
              <w:spacing w:after="120"/>
              <w:jc w:val="both"/>
              <w:rPr>
                <w:rFonts w:ascii="Arial" w:hAnsi="Arial" w:cs="Arial"/>
                <w:sz w:val="20"/>
                <w:szCs w:val="20"/>
                <w:lang w:val="es-419"/>
              </w:rPr>
            </w:pPr>
            <w:r w:rsidRPr="00D846A4">
              <w:rPr>
                <w:rFonts w:ascii="Arial" w:hAnsi="Arial" w:cs="Arial"/>
                <w:sz w:val="20"/>
                <w:szCs w:val="20"/>
                <w:lang w:val="es-419"/>
              </w:rPr>
              <w:t>1.1 Que se mantenga un marco macroeconómico estable y conducente al logro de los objetivos del programa y los lineamientos establecidos en la Carta de Política sectorial.</w:t>
            </w:r>
          </w:p>
        </w:tc>
        <w:tc>
          <w:tcPr>
            <w:tcW w:w="5337" w:type="dxa"/>
            <w:shd w:val="clear" w:color="auto" w:fill="FFFFFF" w:themeFill="background1"/>
          </w:tcPr>
          <w:p w14:paraId="54A37B3B" w14:textId="2809C2C6" w:rsidR="004060B6" w:rsidRPr="00D846A4" w:rsidRDefault="004060B6" w:rsidP="00A00B5B">
            <w:pPr>
              <w:jc w:val="both"/>
              <w:rPr>
                <w:rFonts w:ascii="Arial" w:hAnsi="Arial" w:cs="Arial"/>
                <w:sz w:val="20"/>
                <w:szCs w:val="20"/>
                <w:lang w:val="es-419"/>
              </w:rPr>
            </w:pPr>
            <w:r w:rsidRPr="00D846A4">
              <w:rPr>
                <w:rFonts w:ascii="Arial" w:hAnsi="Arial" w:cs="Arial"/>
                <w:sz w:val="20"/>
                <w:szCs w:val="20"/>
                <w:lang w:val="es-419"/>
              </w:rPr>
              <w:t>1.1 Evaluación Independiente de Condiciones Macroeconómicas (IAMC, por su</w:t>
            </w:r>
            <w:r w:rsidR="00C46191" w:rsidRPr="00D846A4">
              <w:rPr>
                <w:rFonts w:ascii="Arial" w:hAnsi="Arial" w:cs="Arial"/>
                <w:sz w:val="20"/>
                <w:szCs w:val="20"/>
                <w:lang w:val="es-419"/>
              </w:rPr>
              <w:t>s</w:t>
            </w:r>
            <w:r w:rsidRPr="00D846A4">
              <w:rPr>
                <w:rFonts w:ascii="Arial" w:hAnsi="Arial" w:cs="Arial"/>
                <w:sz w:val="20"/>
                <w:szCs w:val="20"/>
                <w:lang w:val="es-419"/>
              </w:rPr>
              <w:t xml:space="preserve"> siglas en inglés) vigente al momento del desembolso.</w:t>
            </w:r>
          </w:p>
        </w:tc>
        <w:tc>
          <w:tcPr>
            <w:tcW w:w="1899" w:type="dxa"/>
            <w:shd w:val="clear" w:color="auto" w:fill="FFFFFF" w:themeFill="background1"/>
          </w:tcPr>
          <w:p w14:paraId="1EBB6FEF" w14:textId="77777777" w:rsidR="004060B6" w:rsidRPr="00D846A4" w:rsidRDefault="004060B6" w:rsidP="00A00B5B">
            <w:pPr>
              <w:jc w:val="both"/>
              <w:rPr>
                <w:rFonts w:ascii="Arial" w:hAnsi="Arial" w:cs="Arial"/>
                <w:sz w:val="20"/>
                <w:szCs w:val="20"/>
                <w:lang w:val="es-419"/>
              </w:rPr>
            </w:pPr>
            <w:r w:rsidRPr="00D846A4">
              <w:rPr>
                <w:rFonts w:ascii="Arial" w:hAnsi="Arial" w:cs="Arial"/>
                <w:sz w:val="20"/>
                <w:szCs w:val="20"/>
                <w:lang w:val="es-419"/>
              </w:rPr>
              <w:t>BID-SEFIN</w:t>
            </w:r>
          </w:p>
        </w:tc>
      </w:tr>
      <w:tr w:rsidR="00EC7DAB" w:rsidRPr="00A432C9" w14:paraId="5ABC400A" w14:textId="77777777" w:rsidTr="00D846A4">
        <w:trPr>
          <w:trHeight w:val="323"/>
          <w:jc w:val="center"/>
        </w:trPr>
        <w:tc>
          <w:tcPr>
            <w:tcW w:w="11785" w:type="dxa"/>
            <w:gridSpan w:val="3"/>
            <w:shd w:val="clear" w:color="auto" w:fill="D9D9D9" w:themeFill="background1" w:themeFillShade="D9"/>
            <w:vAlign w:val="center"/>
          </w:tcPr>
          <w:p w14:paraId="5CFFFF4D" w14:textId="646D7858" w:rsidR="00EC7DAB" w:rsidRPr="00D846A4" w:rsidRDefault="00EC7DAB" w:rsidP="00B553F7">
            <w:pPr>
              <w:rPr>
                <w:rFonts w:ascii="Arial" w:hAnsi="Arial" w:cs="Arial"/>
                <w:b/>
                <w:sz w:val="20"/>
                <w:szCs w:val="20"/>
                <w:lang w:val="es-419"/>
              </w:rPr>
            </w:pPr>
            <w:r w:rsidRPr="00D846A4">
              <w:rPr>
                <w:rFonts w:ascii="Arial" w:hAnsi="Arial" w:cs="Arial"/>
                <w:b/>
                <w:sz w:val="20"/>
                <w:szCs w:val="20"/>
                <w:lang w:val="es-419"/>
              </w:rPr>
              <w:t>Componente 2. Sostenibilidad financiera y eficiencia en la protección social redistributiva</w:t>
            </w:r>
          </w:p>
        </w:tc>
        <w:tc>
          <w:tcPr>
            <w:tcW w:w="1905" w:type="dxa"/>
            <w:gridSpan w:val="2"/>
            <w:shd w:val="clear" w:color="auto" w:fill="D9D9D9" w:themeFill="background1" w:themeFillShade="D9"/>
          </w:tcPr>
          <w:p w14:paraId="63F21FD6" w14:textId="77777777" w:rsidR="00EC7DAB" w:rsidRPr="00D846A4" w:rsidRDefault="00EC7DAB" w:rsidP="00A00B5B">
            <w:pPr>
              <w:jc w:val="both"/>
              <w:rPr>
                <w:rFonts w:ascii="Arial" w:hAnsi="Arial" w:cs="Arial"/>
                <w:sz w:val="20"/>
                <w:szCs w:val="20"/>
                <w:lang w:val="es-419"/>
              </w:rPr>
            </w:pPr>
          </w:p>
        </w:tc>
      </w:tr>
      <w:tr w:rsidR="00D41372" w:rsidRPr="00D846A4" w14:paraId="4A7D3567" w14:textId="77777777" w:rsidTr="009D4080">
        <w:trPr>
          <w:gridAfter w:val="1"/>
          <w:wAfter w:w="6" w:type="dxa"/>
          <w:jc w:val="center"/>
        </w:trPr>
        <w:tc>
          <w:tcPr>
            <w:tcW w:w="2515" w:type="dxa"/>
            <w:shd w:val="clear" w:color="auto" w:fill="FFFFFF" w:themeFill="background1"/>
            <w:vAlign w:val="center"/>
          </w:tcPr>
          <w:p w14:paraId="707F8A34" w14:textId="77777777" w:rsidR="00D41372" w:rsidRPr="00D846A4" w:rsidRDefault="00D41372" w:rsidP="00B25EDB">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2.1 Fortalecer la sostenibilidad financiera del programa Bono Vida Mejor.</w:t>
            </w:r>
          </w:p>
          <w:p w14:paraId="1899261E" w14:textId="77777777" w:rsidR="00D41372" w:rsidRPr="00D846A4" w:rsidRDefault="00D41372" w:rsidP="00D41372">
            <w:pPr>
              <w:rPr>
                <w:rFonts w:ascii="Arial" w:hAnsi="Arial" w:cs="Arial"/>
                <w:b/>
                <w:sz w:val="20"/>
                <w:szCs w:val="20"/>
                <w:lang w:val="es-419"/>
              </w:rPr>
            </w:pPr>
          </w:p>
        </w:tc>
        <w:tc>
          <w:tcPr>
            <w:tcW w:w="3933" w:type="dxa"/>
            <w:shd w:val="clear" w:color="auto" w:fill="FFFFFF" w:themeFill="background1"/>
          </w:tcPr>
          <w:p w14:paraId="46580937" w14:textId="59B1E68F" w:rsidR="00D41372" w:rsidRPr="00D846A4" w:rsidRDefault="00D41372" w:rsidP="00BF42FA">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2.1.1. Que se haya asignado desde Fondo de Solidaridad y Protección Social para la Reducción de la Pobreza, el financiamiento para que el PBVM mantenga el mismo número de hogares participantes y meses pagados o supere dicho número en relación con el número de hogares participantes cubiertos por dicho PBVM en el año fiscal 2018</w:t>
            </w:r>
            <w:r w:rsidRPr="00D846A4">
              <w:rPr>
                <w:rStyle w:val="FootnoteReference"/>
                <w:rFonts w:ascii="Arial" w:hAnsi="Arial" w:cs="Arial"/>
                <w:sz w:val="20"/>
                <w:szCs w:val="20"/>
                <w:lang w:val="es-419"/>
              </w:rPr>
              <w:footnoteReference w:id="1"/>
            </w:r>
            <w:r w:rsidR="00BF42FA">
              <w:rPr>
                <w:rFonts w:ascii="Arial" w:hAnsi="Arial" w:cs="Arial"/>
                <w:sz w:val="20"/>
                <w:szCs w:val="20"/>
                <w:lang w:val="es-419"/>
              </w:rPr>
              <w:t>.</w:t>
            </w:r>
          </w:p>
        </w:tc>
        <w:tc>
          <w:tcPr>
            <w:tcW w:w="5337" w:type="dxa"/>
            <w:shd w:val="clear" w:color="auto" w:fill="FFFFFF" w:themeFill="background1"/>
          </w:tcPr>
          <w:p w14:paraId="3A666549" w14:textId="6F6EBC7C" w:rsidR="00D41372" w:rsidRPr="00D846A4" w:rsidRDefault="00EC7DAB" w:rsidP="00A00B5B">
            <w:pPr>
              <w:jc w:val="both"/>
              <w:rPr>
                <w:rFonts w:ascii="Arial" w:hAnsi="Arial" w:cs="Arial"/>
                <w:sz w:val="20"/>
                <w:szCs w:val="20"/>
                <w:lang w:val="es-419"/>
              </w:rPr>
            </w:pPr>
            <w:r w:rsidRPr="00D846A4">
              <w:rPr>
                <w:rFonts w:ascii="Arial" w:hAnsi="Arial" w:cs="Arial"/>
                <w:sz w:val="20"/>
                <w:szCs w:val="20"/>
                <w:lang w:val="es-419"/>
              </w:rPr>
              <w:t xml:space="preserve">2.1.1. </w:t>
            </w:r>
            <w:r w:rsidR="00D41372" w:rsidRPr="00D846A4">
              <w:rPr>
                <w:rFonts w:ascii="Arial" w:hAnsi="Arial" w:cs="Arial"/>
                <w:sz w:val="20"/>
                <w:szCs w:val="20"/>
                <w:lang w:val="es-419"/>
              </w:rPr>
              <w:t xml:space="preserve">Informe de SSIS sobre el </w:t>
            </w:r>
            <w:r w:rsidR="00456B98" w:rsidRPr="00D846A4">
              <w:rPr>
                <w:rFonts w:ascii="Arial" w:hAnsi="Arial" w:cs="Arial"/>
                <w:sz w:val="20"/>
                <w:szCs w:val="20"/>
                <w:lang w:val="es-419"/>
              </w:rPr>
              <w:t>número</w:t>
            </w:r>
            <w:r w:rsidR="00D41372" w:rsidRPr="00D846A4">
              <w:rPr>
                <w:rFonts w:ascii="Arial" w:hAnsi="Arial" w:cs="Arial"/>
                <w:sz w:val="20"/>
                <w:szCs w:val="20"/>
                <w:lang w:val="es-419"/>
              </w:rPr>
              <w:t xml:space="preserve"> de hogares participantes, incluyendo hogares rurales y urbanos del PBVM en el año 2018; el cálculo del monto transferido al PBVM para el año 2019; concluyendo que existe el financiamiento suficiente para mantener el </w:t>
            </w:r>
            <w:r w:rsidR="00456B98" w:rsidRPr="00D846A4">
              <w:rPr>
                <w:rFonts w:ascii="Arial" w:hAnsi="Arial" w:cs="Arial"/>
                <w:sz w:val="20"/>
                <w:szCs w:val="20"/>
                <w:lang w:val="es-419"/>
              </w:rPr>
              <w:t>número</w:t>
            </w:r>
            <w:r w:rsidR="00D41372" w:rsidRPr="00D846A4">
              <w:rPr>
                <w:rFonts w:ascii="Arial" w:hAnsi="Arial" w:cs="Arial"/>
                <w:sz w:val="20"/>
                <w:szCs w:val="20"/>
                <w:lang w:val="es-419"/>
              </w:rPr>
              <w:t xml:space="preserve"> de hogares participantes y al menos el </w:t>
            </w:r>
            <w:r w:rsidR="00456B98" w:rsidRPr="00D846A4">
              <w:rPr>
                <w:rFonts w:ascii="Arial" w:hAnsi="Arial" w:cs="Arial"/>
                <w:sz w:val="20"/>
                <w:szCs w:val="20"/>
                <w:lang w:val="es-419"/>
              </w:rPr>
              <w:t>número</w:t>
            </w:r>
            <w:r w:rsidR="00D41372" w:rsidRPr="00D846A4">
              <w:rPr>
                <w:rFonts w:ascii="Arial" w:hAnsi="Arial" w:cs="Arial"/>
                <w:sz w:val="20"/>
                <w:szCs w:val="20"/>
                <w:lang w:val="es-419"/>
              </w:rPr>
              <w:t xml:space="preserve"> de meses pagados. El informe adjuntará: (i) </w:t>
            </w:r>
            <w:r w:rsidR="001B3BD0">
              <w:rPr>
                <w:rFonts w:ascii="Arial" w:hAnsi="Arial" w:cs="Arial"/>
                <w:sz w:val="20"/>
                <w:szCs w:val="20"/>
                <w:lang w:val="es-419"/>
              </w:rPr>
              <w:t>m</w:t>
            </w:r>
            <w:r w:rsidR="00D41372" w:rsidRPr="00D846A4">
              <w:rPr>
                <w:rFonts w:ascii="Arial" w:hAnsi="Arial" w:cs="Arial"/>
                <w:sz w:val="20"/>
                <w:szCs w:val="20"/>
                <w:lang w:val="es-419"/>
              </w:rPr>
              <w:t xml:space="preserve">onto </w:t>
            </w:r>
            <w:r w:rsidR="00456B98" w:rsidRPr="00D846A4">
              <w:rPr>
                <w:rFonts w:ascii="Arial" w:hAnsi="Arial" w:cs="Arial"/>
                <w:sz w:val="20"/>
                <w:szCs w:val="20"/>
                <w:lang w:val="es-419"/>
              </w:rPr>
              <w:t>transferido en</w:t>
            </w:r>
            <w:r w:rsidR="00D41372" w:rsidRPr="00D846A4">
              <w:rPr>
                <w:rFonts w:ascii="Arial" w:hAnsi="Arial" w:cs="Arial"/>
                <w:sz w:val="20"/>
                <w:szCs w:val="20"/>
                <w:lang w:val="es-419"/>
              </w:rPr>
              <w:t xml:space="preserve"> Lempiras del Fondo de Solidaridad y Protección Social asignadas al PBVM; y (</w:t>
            </w:r>
            <w:proofErr w:type="spellStart"/>
            <w:r w:rsidR="00D41372" w:rsidRPr="00D846A4">
              <w:rPr>
                <w:rFonts w:ascii="Arial" w:hAnsi="Arial" w:cs="Arial"/>
                <w:sz w:val="20"/>
                <w:szCs w:val="20"/>
                <w:lang w:val="es-419"/>
              </w:rPr>
              <w:t>ii</w:t>
            </w:r>
            <w:proofErr w:type="spellEnd"/>
            <w:r w:rsidR="00D41372" w:rsidRPr="00D846A4">
              <w:rPr>
                <w:rFonts w:ascii="Arial" w:hAnsi="Arial" w:cs="Arial"/>
                <w:sz w:val="20"/>
                <w:szCs w:val="20"/>
                <w:lang w:val="es-419"/>
              </w:rPr>
              <w:t>) resumen de planillas de pago a participantes con número de hogares urbanos y rurales.</w:t>
            </w:r>
          </w:p>
        </w:tc>
        <w:tc>
          <w:tcPr>
            <w:tcW w:w="1899" w:type="dxa"/>
            <w:shd w:val="clear" w:color="auto" w:fill="FFFFFF" w:themeFill="background1"/>
          </w:tcPr>
          <w:p w14:paraId="0548875A" w14:textId="58D225E8" w:rsidR="00D41372" w:rsidRPr="00D846A4" w:rsidRDefault="000A5B76" w:rsidP="00A00B5B">
            <w:pPr>
              <w:jc w:val="both"/>
              <w:rPr>
                <w:rFonts w:ascii="Arial" w:hAnsi="Arial" w:cs="Arial"/>
                <w:sz w:val="20"/>
                <w:szCs w:val="20"/>
                <w:lang w:val="es-419"/>
              </w:rPr>
            </w:pPr>
            <w:r w:rsidRPr="00D846A4">
              <w:rPr>
                <w:rFonts w:ascii="Arial" w:hAnsi="Arial" w:cs="Arial"/>
                <w:sz w:val="20"/>
                <w:szCs w:val="20"/>
                <w:lang w:val="es-419"/>
              </w:rPr>
              <w:t>SSIS/SEFIN</w:t>
            </w:r>
          </w:p>
        </w:tc>
      </w:tr>
      <w:tr w:rsidR="00C1151A" w:rsidRPr="00D846A4" w14:paraId="63A86D83" w14:textId="77777777" w:rsidTr="009D4080">
        <w:trPr>
          <w:gridAfter w:val="1"/>
          <w:wAfter w:w="6" w:type="dxa"/>
          <w:trHeight w:val="1502"/>
          <w:jc w:val="center"/>
        </w:trPr>
        <w:tc>
          <w:tcPr>
            <w:tcW w:w="2515" w:type="dxa"/>
            <w:shd w:val="clear" w:color="auto" w:fill="FFFFFF" w:themeFill="background1"/>
          </w:tcPr>
          <w:p w14:paraId="756C6DD5" w14:textId="77777777" w:rsidR="00C1151A" w:rsidRPr="00D846A4" w:rsidRDefault="00C1151A" w:rsidP="00DB68AC">
            <w:pPr>
              <w:rPr>
                <w:rFonts w:ascii="Arial" w:hAnsi="Arial" w:cs="Arial"/>
                <w:sz w:val="20"/>
                <w:szCs w:val="20"/>
                <w:lang w:val="es-419"/>
              </w:rPr>
            </w:pPr>
          </w:p>
        </w:tc>
        <w:tc>
          <w:tcPr>
            <w:tcW w:w="3933" w:type="dxa"/>
            <w:shd w:val="clear" w:color="auto" w:fill="FFFFFF" w:themeFill="background1"/>
          </w:tcPr>
          <w:p w14:paraId="5BBE79DD" w14:textId="65B3365A" w:rsidR="00C1151A" w:rsidRPr="00D846A4" w:rsidRDefault="00C1151A" w:rsidP="00456B98">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xml:space="preserve">2.1.2. Que el Comité Técnico del Fondo de Solidaridad y Protección Social para la Reducción de la Pobreza haya aprobado la </w:t>
            </w:r>
            <w:r w:rsidR="00456B98" w:rsidRPr="00D846A4">
              <w:rPr>
                <w:rFonts w:ascii="Arial" w:hAnsi="Arial" w:cs="Arial"/>
                <w:sz w:val="20"/>
                <w:szCs w:val="20"/>
                <w:lang w:val="es-419"/>
              </w:rPr>
              <w:t>asignación</w:t>
            </w:r>
            <w:r w:rsidRPr="00D846A4">
              <w:rPr>
                <w:rFonts w:ascii="Arial" w:hAnsi="Arial" w:cs="Arial"/>
                <w:sz w:val="20"/>
                <w:szCs w:val="20"/>
                <w:lang w:val="es-419"/>
              </w:rPr>
              <w:t xml:space="preserve"> de </w:t>
            </w:r>
            <w:r w:rsidR="00B11E59">
              <w:rPr>
                <w:rFonts w:ascii="Arial" w:hAnsi="Arial" w:cs="Arial"/>
                <w:sz w:val="20"/>
                <w:szCs w:val="20"/>
                <w:lang w:val="es-ES"/>
              </w:rPr>
              <w:t xml:space="preserve">un mínimo de 10% de </w:t>
            </w:r>
            <w:r w:rsidRPr="00D846A4">
              <w:rPr>
                <w:rFonts w:ascii="Arial" w:hAnsi="Arial" w:cs="Arial"/>
                <w:sz w:val="20"/>
                <w:szCs w:val="20"/>
                <w:lang w:val="es-419"/>
              </w:rPr>
              <w:t xml:space="preserve">recursos para el PBVM </w:t>
            </w:r>
            <w:proofErr w:type="gramStart"/>
            <w:r w:rsidRPr="00D846A4">
              <w:rPr>
                <w:rFonts w:ascii="Arial" w:hAnsi="Arial" w:cs="Arial"/>
                <w:sz w:val="20"/>
                <w:szCs w:val="20"/>
                <w:lang w:val="es-419"/>
              </w:rPr>
              <w:t>de acuerdo al</w:t>
            </w:r>
            <w:proofErr w:type="gramEnd"/>
            <w:r w:rsidRPr="00D846A4">
              <w:rPr>
                <w:rFonts w:ascii="Arial" w:hAnsi="Arial" w:cs="Arial"/>
                <w:sz w:val="20"/>
                <w:szCs w:val="20"/>
                <w:lang w:val="es-419"/>
              </w:rPr>
              <w:t xml:space="preserve"> Decreto Ejecutivo 021-2018.</w:t>
            </w:r>
          </w:p>
        </w:tc>
        <w:tc>
          <w:tcPr>
            <w:tcW w:w="5337" w:type="dxa"/>
            <w:shd w:val="clear" w:color="auto" w:fill="FFFFFF" w:themeFill="background1"/>
          </w:tcPr>
          <w:p w14:paraId="35560C4C" w14:textId="4FBC0CE9" w:rsidR="00C1151A" w:rsidRPr="00D846A4" w:rsidRDefault="007D5FA9" w:rsidP="00456B98">
            <w:pPr>
              <w:autoSpaceDE w:val="0"/>
              <w:autoSpaceDN w:val="0"/>
              <w:adjustRightInd w:val="0"/>
              <w:spacing w:before="120" w:after="120"/>
              <w:ind w:left="-42"/>
              <w:rPr>
                <w:rFonts w:ascii="Arial" w:hAnsi="Arial" w:cs="Arial"/>
                <w:sz w:val="20"/>
                <w:szCs w:val="20"/>
                <w:lang w:val="es-419"/>
              </w:rPr>
            </w:pPr>
            <w:r>
              <w:rPr>
                <w:rFonts w:ascii="Arial" w:hAnsi="Arial" w:cs="Arial"/>
                <w:sz w:val="20"/>
                <w:szCs w:val="20"/>
                <w:lang w:val="es-419"/>
              </w:rPr>
              <w:t>2.1.2</w:t>
            </w:r>
            <w:r w:rsidR="004F3267">
              <w:rPr>
                <w:rFonts w:ascii="Arial" w:hAnsi="Arial" w:cs="Arial"/>
                <w:sz w:val="20"/>
                <w:szCs w:val="20"/>
                <w:lang w:val="es-419"/>
              </w:rPr>
              <w:t>.</w:t>
            </w:r>
            <w:r>
              <w:rPr>
                <w:rFonts w:ascii="Arial" w:hAnsi="Arial" w:cs="Arial"/>
                <w:sz w:val="20"/>
                <w:szCs w:val="20"/>
                <w:lang w:val="es-419"/>
              </w:rPr>
              <w:t xml:space="preserve"> </w:t>
            </w:r>
            <w:r w:rsidR="00C1151A" w:rsidRPr="00D846A4">
              <w:rPr>
                <w:rFonts w:ascii="Arial" w:hAnsi="Arial" w:cs="Arial"/>
                <w:sz w:val="20"/>
                <w:szCs w:val="20"/>
                <w:lang w:val="es-419"/>
              </w:rPr>
              <w:t xml:space="preserve">Actas de Comité Técnico </w:t>
            </w:r>
            <w:r w:rsidR="00EA36B4" w:rsidRPr="00EA36B4">
              <w:rPr>
                <w:rFonts w:ascii="Arial" w:hAnsi="Arial" w:cs="Arial"/>
                <w:sz w:val="20"/>
                <w:szCs w:val="20"/>
                <w:lang w:val="es-419"/>
              </w:rPr>
              <w:t xml:space="preserve">del Fondo de Solidaridad y Protección Social para la Reducción de la Pobreza </w:t>
            </w:r>
            <w:r w:rsidR="00C1151A" w:rsidRPr="00D846A4">
              <w:rPr>
                <w:rFonts w:ascii="Arial" w:hAnsi="Arial" w:cs="Arial"/>
                <w:sz w:val="20"/>
                <w:szCs w:val="20"/>
                <w:lang w:val="es-419"/>
              </w:rPr>
              <w:t xml:space="preserve">donde se aprueba la </w:t>
            </w:r>
            <w:r w:rsidR="00456B98" w:rsidRPr="00D846A4">
              <w:rPr>
                <w:rFonts w:ascii="Arial" w:hAnsi="Arial" w:cs="Arial"/>
                <w:sz w:val="20"/>
                <w:szCs w:val="20"/>
                <w:lang w:val="es-419"/>
              </w:rPr>
              <w:t>asignación de</w:t>
            </w:r>
            <w:r w:rsidR="00C1151A" w:rsidRPr="00D846A4">
              <w:rPr>
                <w:rFonts w:ascii="Arial" w:hAnsi="Arial" w:cs="Arial"/>
                <w:sz w:val="20"/>
                <w:szCs w:val="20"/>
                <w:lang w:val="es-419"/>
              </w:rPr>
              <w:t xml:space="preserve"> recursos al PBVM. Dichos recursos deberán sumar al menos el 10% de los recursos de dicho Fondo.</w:t>
            </w:r>
          </w:p>
        </w:tc>
        <w:tc>
          <w:tcPr>
            <w:tcW w:w="1899" w:type="dxa"/>
            <w:shd w:val="clear" w:color="auto" w:fill="FFFFFF" w:themeFill="background1"/>
          </w:tcPr>
          <w:p w14:paraId="4122807F" w14:textId="02AABACD" w:rsidR="00C1151A" w:rsidRPr="00D846A4" w:rsidRDefault="00C1151A" w:rsidP="005B2A4B">
            <w:pPr>
              <w:jc w:val="both"/>
              <w:rPr>
                <w:rFonts w:ascii="Arial" w:hAnsi="Arial" w:cs="Arial"/>
                <w:sz w:val="20"/>
                <w:szCs w:val="20"/>
                <w:lang w:val="es-419"/>
              </w:rPr>
            </w:pPr>
            <w:r w:rsidRPr="00D846A4">
              <w:rPr>
                <w:rFonts w:ascii="Arial" w:hAnsi="Arial" w:cs="Arial"/>
                <w:sz w:val="20"/>
                <w:szCs w:val="20"/>
                <w:lang w:val="es-419"/>
              </w:rPr>
              <w:t>SSIS/SEFIN</w:t>
            </w:r>
          </w:p>
        </w:tc>
      </w:tr>
      <w:tr w:rsidR="00DB68AC" w:rsidRPr="00D846A4" w14:paraId="3884E13B" w14:textId="77777777" w:rsidTr="009D4080">
        <w:trPr>
          <w:gridAfter w:val="1"/>
          <w:wAfter w:w="6" w:type="dxa"/>
          <w:trHeight w:val="3374"/>
          <w:jc w:val="center"/>
        </w:trPr>
        <w:tc>
          <w:tcPr>
            <w:tcW w:w="2515" w:type="dxa"/>
            <w:shd w:val="clear" w:color="auto" w:fill="FFFFFF" w:themeFill="background1"/>
          </w:tcPr>
          <w:p w14:paraId="29CACB9A" w14:textId="77777777" w:rsidR="00DB68AC" w:rsidRPr="00D846A4" w:rsidRDefault="00DB68AC" w:rsidP="00DB68AC">
            <w:pPr>
              <w:rPr>
                <w:rFonts w:ascii="Arial" w:hAnsi="Arial" w:cs="Arial"/>
                <w:b/>
                <w:sz w:val="20"/>
                <w:szCs w:val="20"/>
                <w:lang w:val="es-419"/>
              </w:rPr>
            </w:pPr>
            <w:r w:rsidRPr="00D846A4">
              <w:rPr>
                <w:rFonts w:ascii="Arial" w:hAnsi="Arial" w:cs="Arial"/>
                <w:sz w:val="20"/>
                <w:szCs w:val="20"/>
                <w:lang w:val="es-419"/>
              </w:rPr>
              <w:lastRenderedPageBreak/>
              <w:t>2.2 Unificar los dominios urbano y rural del programa Bono Vida Mejor para facilitar su gestión operativa.</w:t>
            </w:r>
            <w:r w:rsidRPr="00D846A4" w:rsidDel="00DF4F50">
              <w:rPr>
                <w:rFonts w:ascii="Arial" w:hAnsi="Arial" w:cs="Arial"/>
                <w:b/>
                <w:sz w:val="20"/>
                <w:szCs w:val="20"/>
                <w:lang w:val="es-419"/>
              </w:rPr>
              <w:t xml:space="preserve"> </w:t>
            </w:r>
          </w:p>
          <w:p w14:paraId="2B5A8A95" w14:textId="77777777" w:rsidR="00DB68AC" w:rsidRPr="00D846A4" w:rsidRDefault="00DB68AC" w:rsidP="005B2A4B">
            <w:pPr>
              <w:rPr>
                <w:rFonts w:ascii="Arial" w:hAnsi="Arial" w:cs="Arial"/>
                <w:b/>
                <w:sz w:val="20"/>
                <w:szCs w:val="20"/>
                <w:lang w:val="es-419"/>
              </w:rPr>
            </w:pPr>
          </w:p>
        </w:tc>
        <w:tc>
          <w:tcPr>
            <w:tcW w:w="3933" w:type="dxa"/>
            <w:shd w:val="clear" w:color="auto" w:fill="FFFFFF" w:themeFill="background1"/>
          </w:tcPr>
          <w:p w14:paraId="0327C145" w14:textId="48AC8011" w:rsidR="00C1151A" w:rsidRPr="00D846A4" w:rsidRDefault="00C1151A" w:rsidP="00C1151A">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2.2.1. Que se haya diseñado y aprobado un nuevo manual operativo del PBVM que refleje los lineamientos generales para la unificación de los dominios urbano y rural del PBVM, aprobados en la primera operación</w:t>
            </w:r>
          </w:p>
          <w:p w14:paraId="4B83348B" w14:textId="77777777" w:rsidR="00DB68AC" w:rsidRPr="00D846A4" w:rsidRDefault="00DB68AC" w:rsidP="006350DA">
            <w:pPr>
              <w:jc w:val="both"/>
              <w:rPr>
                <w:rFonts w:ascii="Arial" w:hAnsi="Arial" w:cs="Arial"/>
                <w:sz w:val="20"/>
                <w:szCs w:val="20"/>
                <w:highlight w:val="yellow"/>
                <w:lang w:val="es-419"/>
              </w:rPr>
            </w:pPr>
          </w:p>
        </w:tc>
        <w:tc>
          <w:tcPr>
            <w:tcW w:w="5337" w:type="dxa"/>
            <w:shd w:val="clear" w:color="auto" w:fill="FFFFFF" w:themeFill="background1"/>
          </w:tcPr>
          <w:p w14:paraId="04B4DB01" w14:textId="4A118D6F" w:rsidR="00C1151A" w:rsidRPr="00D846A4" w:rsidRDefault="00C1151A" w:rsidP="00C1151A">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2.2.1. Manual Operativo del PBVM aprobado por Comité Técnico</w:t>
            </w:r>
            <w:r w:rsidR="00BF42FA">
              <w:rPr>
                <w:rFonts w:ascii="Arial" w:hAnsi="Arial" w:cs="Arial"/>
                <w:sz w:val="20"/>
                <w:szCs w:val="20"/>
                <w:lang w:val="es-419"/>
              </w:rPr>
              <w:t xml:space="preserve"> </w:t>
            </w:r>
            <w:r w:rsidRPr="00D846A4">
              <w:rPr>
                <w:rFonts w:ascii="Arial" w:hAnsi="Arial" w:cs="Arial"/>
                <w:sz w:val="20"/>
                <w:szCs w:val="20"/>
                <w:lang w:val="es-419"/>
              </w:rPr>
              <w:t>que refleje los lineamientos generales aprobados para la unificación de los dominios urbano y rural del PBVM</w:t>
            </w:r>
            <w:r w:rsidRPr="00D846A4" w:rsidDel="00241DF8">
              <w:rPr>
                <w:rFonts w:ascii="Arial" w:hAnsi="Arial" w:cs="Arial"/>
                <w:sz w:val="20"/>
                <w:szCs w:val="20"/>
                <w:lang w:val="es-419"/>
              </w:rPr>
              <w:t xml:space="preserve"> </w:t>
            </w:r>
            <w:r w:rsidRPr="00D846A4">
              <w:rPr>
                <w:rFonts w:ascii="Arial" w:hAnsi="Arial" w:cs="Arial"/>
                <w:sz w:val="20"/>
                <w:szCs w:val="20"/>
                <w:lang w:val="es-419"/>
              </w:rPr>
              <w:t>incluyendo unificación de:</w:t>
            </w:r>
          </w:p>
          <w:p w14:paraId="29425804" w14:textId="77777777" w:rsidR="00C1151A" w:rsidRPr="00D846A4" w:rsidRDefault="00C1151A" w:rsidP="00C1151A">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-El proceso de emisión de planillas.</w:t>
            </w:r>
          </w:p>
          <w:p w14:paraId="713750D1" w14:textId="6678C4EF" w:rsidR="00C1151A" w:rsidRPr="00D846A4" w:rsidRDefault="00C1151A" w:rsidP="00C1151A">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 Proceso de convocatorias y entrega de Transferencias Monetarias Condicionadas (la entrega puede variar </w:t>
            </w:r>
            <w:proofErr w:type="gramStart"/>
            <w:r w:rsidRPr="00D846A4">
              <w:rPr>
                <w:rFonts w:ascii="Arial" w:hAnsi="Arial" w:cs="Arial"/>
                <w:sz w:val="20"/>
                <w:szCs w:val="20"/>
                <w:lang w:val="es-419"/>
              </w:rPr>
              <w:t>de acuerdo a</w:t>
            </w:r>
            <w:proofErr w:type="gramEnd"/>
            <w:r w:rsidRPr="00D846A4">
              <w:rPr>
                <w:rFonts w:ascii="Arial" w:hAnsi="Arial" w:cs="Arial"/>
                <w:sz w:val="20"/>
                <w:szCs w:val="20"/>
                <w:lang w:val="es-419"/>
              </w:rPr>
              <w:t xml:space="preserve"> la oferta de mecanismos de pago en cada </w:t>
            </w:r>
            <w:r w:rsidR="00456B98" w:rsidRPr="00D846A4">
              <w:rPr>
                <w:rFonts w:ascii="Arial" w:hAnsi="Arial" w:cs="Arial"/>
                <w:sz w:val="20"/>
                <w:szCs w:val="20"/>
                <w:lang w:val="es-419"/>
              </w:rPr>
              <w:t>área</w:t>
            </w:r>
            <w:r w:rsidRPr="00D846A4">
              <w:rPr>
                <w:rFonts w:ascii="Arial" w:hAnsi="Arial" w:cs="Arial"/>
                <w:sz w:val="20"/>
                <w:szCs w:val="20"/>
                <w:lang w:val="es-419"/>
              </w:rPr>
              <w:t xml:space="preserve">). </w:t>
            </w:r>
          </w:p>
          <w:p w14:paraId="7224559D" w14:textId="77777777" w:rsidR="00C1151A" w:rsidRPr="00D846A4" w:rsidRDefault="00C1151A" w:rsidP="00C1151A">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Proceso de seguimiento y registro de corresponsabilidades en el componente de educación.</w:t>
            </w:r>
          </w:p>
          <w:p w14:paraId="03839E1A" w14:textId="2F62DA59" w:rsidR="00DB68AC" w:rsidRPr="00D846A4" w:rsidRDefault="00C1151A" w:rsidP="00B553F7">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xml:space="preserve">-Esquema de simplificación operativa de </w:t>
            </w:r>
            <w:r w:rsidR="00456B98" w:rsidRPr="00D846A4">
              <w:rPr>
                <w:rFonts w:ascii="Arial" w:hAnsi="Arial" w:cs="Arial"/>
                <w:sz w:val="20"/>
                <w:szCs w:val="20"/>
                <w:lang w:val="es-419"/>
              </w:rPr>
              <w:t>actualización</w:t>
            </w:r>
            <w:r w:rsidRPr="00D846A4">
              <w:rPr>
                <w:rFonts w:ascii="Arial" w:hAnsi="Arial" w:cs="Arial"/>
                <w:sz w:val="20"/>
                <w:szCs w:val="20"/>
                <w:lang w:val="es-419"/>
              </w:rPr>
              <w:t xml:space="preserve"> de </w:t>
            </w:r>
            <w:r w:rsidR="00456B98" w:rsidRPr="00D846A4">
              <w:rPr>
                <w:rFonts w:ascii="Arial" w:hAnsi="Arial" w:cs="Arial"/>
                <w:sz w:val="20"/>
                <w:szCs w:val="20"/>
                <w:lang w:val="es-419"/>
              </w:rPr>
              <w:t>información</w:t>
            </w:r>
            <w:r w:rsidRPr="00D846A4">
              <w:rPr>
                <w:rFonts w:ascii="Arial" w:hAnsi="Arial" w:cs="Arial"/>
                <w:sz w:val="20"/>
                <w:szCs w:val="20"/>
                <w:lang w:val="es-419"/>
              </w:rPr>
              <w:t xml:space="preserve"> </w:t>
            </w:r>
            <w:r w:rsidR="00456B98" w:rsidRPr="00D846A4">
              <w:rPr>
                <w:rFonts w:ascii="Arial" w:hAnsi="Arial" w:cs="Arial"/>
                <w:sz w:val="20"/>
                <w:szCs w:val="20"/>
                <w:lang w:val="es-419"/>
              </w:rPr>
              <w:t>demográfica</w:t>
            </w:r>
            <w:r w:rsidRPr="00D846A4">
              <w:rPr>
                <w:rFonts w:ascii="Arial" w:hAnsi="Arial" w:cs="Arial"/>
                <w:sz w:val="20"/>
                <w:szCs w:val="20"/>
                <w:lang w:val="es-419"/>
              </w:rPr>
              <w:t xml:space="preserve"> de hogares (priorizando el proceso de </w:t>
            </w:r>
            <w:r w:rsidR="00456B98" w:rsidRPr="00D846A4">
              <w:rPr>
                <w:rFonts w:ascii="Arial" w:hAnsi="Arial" w:cs="Arial"/>
                <w:sz w:val="20"/>
                <w:szCs w:val="20"/>
                <w:lang w:val="es-419"/>
              </w:rPr>
              <w:t>incorporación</w:t>
            </w:r>
            <w:r w:rsidRPr="00D846A4">
              <w:rPr>
                <w:rFonts w:ascii="Arial" w:hAnsi="Arial" w:cs="Arial"/>
                <w:sz w:val="20"/>
                <w:szCs w:val="20"/>
                <w:lang w:val="es-419"/>
              </w:rPr>
              <w:t xml:space="preserve"> de niños de hogares ya existentes). </w:t>
            </w:r>
          </w:p>
        </w:tc>
        <w:tc>
          <w:tcPr>
            <w:tcW w:w="1899" w:type="dxa"/>
            <w:shd w:val="clear" w:color="auto" w:fill="FFFFFF" w:themeFill="background1"/>
          </w:tcPr>
          <w:p w14:paraId="6B550A9C" w14:textId="0B661E47" w:rsidR="00DB68AC" w:rsidRPr="00D846A4" w:rsidRDefault="00C1151A" w:rsidP="005B2A4B">
            <w:pPr>
              <w:jc w:val="both"/>
              <w:rPr>
                <w:rFonts w:ascii="Arial" w:hAnsi="Arial" w:cs="Arial"/>
                <w:sz w:val="20"/>
                <w:szCs w:val="20"/>
                <w:lang w:val="es-419"/>
              </w:rPr>
            </w:pPr>
            <w:r w:rsidRPr="00D846A4">
              <w:rPr>
                <w:rFonts w:ascii="Arial" w:hAnsi="Arial" w:cs="Arial"/>
                <w:sz w:val="20"/>
                <w:szCs w:val="20"/>
                <w:lang w:val="es-419"/>
              </w:rPr>
              <w:t>SSIS</w:t>
            </w:r>
          </w:p>
        </w:tc>
      </w:tr>
      <w:tr w:rsidR="00277390" w:rsidRPr="00D846A4" w14:paraId="05C8F600" w14:textId="77777777" w:rsidTr="009D4080">
        <w:trPr>
          <w:gridAfter w:val="1"/>
          <w:wAfter w:w="6" w:type="dxa"/>
          <w:trHeight w:val="3122"/>
          <w:jc w:val="center"/>
        </w:trPr>
        <w:tc>
          <w:tcPr>
            <w:tcW w:w="2515" w:type="dxa"/>
            <w:shd w:val="clear" w:color="auto" w:fill="FFFFFF" w:themeFill="background1"/>
          </w:tcPr>
          <w:p w14:paraId="4A7C2830" w14:textId="3528F5F1" w:rsidR="00277390" w:rsidRPr="00D846A4" w:rsidRDefault="003D1A96" w:rsidP="00DB68AC">
            <w:pPr>
              <w:rPr>
                <w:rFonts w:ascii="Arial" w:hAnsi="Arial" w:cs="Arial"/>
                <w:sz w:val="20"/>
                <w:szCs w:val="20"/>
                <w:lang w:val="es-419"/>
              </w:rPr>
            </w:pPr>
            <w:r w:rsidRPr="00D846A4">
              <w:rPr>
                <w:rFonts w:ascii="Arial" w:hAnsi="Arial" w:cs="Arial"/>
                <w:sz w:val="20"/>
                <w:szCs w:val="20"/>
                <w:lang w:val="es-419"/>
              </w:rPr>
              <w:t>2.3 Fortalecer la desconcentración operativa del Bono Vida Mejor para optimizar el uso de sus recursos.</w:t>
            </w:r>
          </w:p>
        </w:tc>
        <w:tc>
          <w:tcPr>
            <w:tcW w:w="3933" w:type="dxa"/>
            <w:shd w:val="clear" w:color="auto" w:fill="FFFFFF" w:themeFill="background1"/>
          </w:tcPr>
          <w:p w14:paraId="181E8E1C" w14:textId="5B6A9623" w:rsidR="00277390" w:rsidRPr="00D846A4" w:rsidRDefault="00277390" w:rsidP="00B553F7">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xml:space="preserve">2.3.1. Que se </w:t>
            </w:r>
            <w:r w:rsidR="00456B98" w:rsidRPr="00D846A4">
              <w:rPr>
                <w:rFonts w:ascii="Arial" w:hAnsi="Arial" w:cs="Arial"/>
                <w:sz w:val="20"/>
                <w:szCs w:val="20"/>
                <w:lang w:val="es-419"/>
              </w:rPr>
              <w:t>estén</w:t>
            </w:r>
            <w:r w:rsidRPr="00D846A4">
              <w:rPr>
                <w:rFonts w:ascii="Arial" w:hAnsi="Arial" w:cs="Arial"/>
                <w:sz w:val="20"/>
                <w:szCs w:val="20"/>
                <w:lang w:val="es-419"/>
              </w:rPr>
              <w:t xml:space="preserve"> implementando los lineamientos de Atención al Participante en las oficinas de atención a participantes de la Sub-Secretaría de Inclusión Social (SSIS) ubicadas a nivel departamental.</w:t>
            </w:r>
          </w:p>
        </w:tc>
        <w:tc>
          <w:tcPr>
            <w:tcW w:w="5337" w:type="dxa"/>
            <w:shd w:val="clear" w:color="auto" w:fill="FFFFFF" w:themeFill="background1"/>
          </w:tcPr>
          <w:p w14:paraId="673E8563" w14:textId="7E5F4924" w:rsidR="00277390" w:rsidRPr="00D846A4" w:rsidRDefault="00277390" w:rsidP="00B553F7">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xml:space="preserve">2.3.1. Informe de la SSIS sobre la implementación de los lineamientos de Atención al Participante en 16 oficinas de atención al participante, mediante evidencia de la </w:t>
            </w:r>
            <w:r w:rsidR="00456B98" w:rsidRPr="00D846A4">
              <w:rPr>
                <w:rFonts w:ascii="Arial" w:hAnsi="Arial" w:cs="Arial"/>
                <w:sz w:val="20"/>
                <w:szCs w:val="20"/>
                <w:lang w:val="es-419"/>
              </w:rPr>
              <w:t>resolución</w:t>
            </w:r>
            <w:r w:rsidRPr="00D846A4">
              <w:rPr>
                <w:rFonts w:ascii="Arial" w:hAnsi="Arial" w:cs="Arial"/>
                <w:sz w:val="20"/>
                <w:szCs w:val="20"/>
                <w:lang w:val="es-419"/>
              </w:rPr>
              <w:t xml:space="preserve"> de al menos 30% de los casos presentados en cada oficina (considerando las oficinas en las que se presentan al menos 10 casos y los casos presentados en los tres meses anteriores a la generación del informe).</w:t>
            </w:r>
          </w:p>
        </w:tc>
        <w:tc>
          <w:tcPr>
            <w:tcW w:w="1899" w:type="dxa"/>
            <w:shd w:val="clear" w:color="auto" w:fill="FFFFFF" w:themeFill="background1"/>
          </w:tcPr>
          <w:p w14:paraId="6490102A" w14:textId="0B968C8A" w:rsidR="00277390" w:rsidRPr="00D846A4" w:rsidRDefault="00E5057E" w:rsidP="005B2A4B">
            <w:pPr>
              <w:jc w:val="both"/>
              <w:rPr>
                <w:rFonts w:ascii="Arial" w:hAnsi="Arial" w:cs="Arial"/>
                <w:sz w:val="20"/>
                <w:szCs w:val="20"/>
                <w:lang w:val="es-419"/>
              </w:rPr>
            </w:pPr>
            <w:r w:rsidRPr="00D846A4">
              <w:rPr>
                <w:rFonts w:ascii="Arial" w:hAnsi="Arial" w:cs="Arial"/>
                <w:sz w:val="20"/>
                <w:szCs w:val="20"/>
                <w:lang w:val="es-419"/>
              </w:rPr>
              <w:t>SSIS</w:t>
            </w:r>
          </w:p>
        </w:tc>
      </w:tr>
      <w:tr w:rsidR="00865CEC" w:rsidRPr="00D846A4" w14:paraId="6386F725" w14:textId="77777777" w:rsidTr="009D4080">
        <w:trPr>
          <w:gridAfter w:val="1"/>
          <w:wAfter w:w="6" w:type="dxa"/>
          <w:trHeight w:val="3842"/>
          <w:jc w:val="center"/>
        </w:trPr>
        <w:tc>
          <w:tcPr>
            <w:tcW w:w="2515" w:type="dxa"/>
            <w:shd w:val="clear" w:color="auto" w:fill="FFFFFF" w:themeFill="background1"/>
          </w:tcPr>
          <w:p w14:paraId="5FDF024C" w14:textId="77777777" w:rsidR="00865CEC" w:rsidRPr="00D846A4" w:rsidRDefault="00865CEC" w:rsidP="00865CEC">
            <w:pPr>
              <w:rPr>
                <w:rFonts w:ascii="Arial" w:hAnsi="Arial" w:cs="Arial"/>
                <w:sz w:val="20"/>
                <w:szCs w:val="20"/>
                <w:lang w:val="es-419"/>
              </w:rPr>
            </w:pPr>
            <w:r w:rsidRPr="00D846A4">
              <w:rPr>
                <w:rFonts w:ascii="Arial" w:hAnsi="Arial" w:cs="Arial"/>
                <w:sz w:val="20"/>
                <w:szCs w:val="20"/>
                <w:lang w:val="es-419"/>
              </w:rPr>
              <w:lastRenderedPageBreak/>
              <w:t>2.4 Unificar institucionalmente y fortalecer los mecanismos de medición de pobreza y desigualdad en Honduras.</w:t>
            </w:r>
          </w:p>
          <w:p w14:paraId="38E730CF" w14:textId="77777777" w:rsidR="00865CEC" w:rsidRPr="00D846A4" w:rsidRDefault="00865CEC" w:rsidP="003D1A96">
            <w:pPr>
              <w:rPr>
                <w:rFonts w:ascii="Arial" w:hAnsi="Arial" w:cs="Arial"/>
                <w:sz w:val="20"/>
                <w:szCs w:val="20"/>
                <w:lang w:val="es-419"/>
              </w:rPr>
            </w:pPr>
          </w:p>
        </w:tc>
        <w:tc>
          <w:tcPr>
            <w:tcW w:w="3933" w:type="dxa"/>
            <w:shd w:val="clear" w:color="auto" w:fill="FFFFFF" w:themeFill="background1"/>
          </w:tcPr>
          <w:p w14:paraId="0C6AF864" w14:textId="1F7D9030" w:rsidR="00865CEC" w:rsidRPr="0021495C" w:rsidRDefault="00865CEC" w:rsidP="00865CEC">
            <w:pPr>
              <w:autoSpaceDE w:val="0"/>
              <w:autoSpaceDN w:val="0"/>
              <w:adjustRightInd w:val="0"/>
              <w:spacing w:before="120" w:after="120"/>
              <w:ind w:left="-42"/>
              <w:rPr>
                <w:rFonts w:ascii="Arial" w:hAnsi="Arial" w:cs="Arial"/>
                <w:sz w:val="20"/>
                <w:szCs w:val="20"/>
                <w:lang w:val="es-419"/>
              </w:rPr>
            </w:pPr>
            <w:r w:rsidRPr="0021495C">
              <w:rPr>
                <w:rFonts w:ascii="Arial" w:hAnsi="Arial" w:cs="Arial"/>
                <w:sz w:val="20"/>
                <w:szCs w:val="20"/>
                <w:lang w:val="es-419"/>
              </w:rPr>
              <w:t xml:space="preserve">2.4.1. Que se haya aprobado la metodología actualizada para la medición de la pobreza y desigualdad y que la </w:t>
            </w:r>
            <w:r w:rsidR="00456B98" w:rsidRPr="0021495C">
              <w:rPr>
                <w:rFonts w:ascii="Arial" w:hAnsi="Arial" w:cs="Arial"/>
                <w:sz w:val="20"/>
                <w:szCs w:val="20"/>
                <w:lang w:val="es-419"/>
              </w:rPr>
              <w:t>Comisión</w:t>
            </w:r>
            <w:r w:rsidRPr="0021495C">
              <w:rPr>
                <w:rFonts w:ascii="Arial" w:hAnsi="Arial" w:cs="Arial"/>
                <w:sz w:val="20"/>
                <w:szCs w:val="20"/>
                <w:lang w:val="es-419"/>
              </w:rPr>
              <w:t xml:space="preserve"> </w:t>
            </w:r>
            <w:r w:rsidR="00456B98" w:rsidRPr="0021495C">
              <w:rPr>
                <w:rFonts w:ascii="Arial" w:hAnsi="Arial" w:cs="Arial"/>
                <w:sz w:val="20"/>
                <w:szCs w:val="20"/>
                <w:lang w:val="es-419"/>
              </w:rPr>
              <w:t>Técnica</w:t>
            </w:r>
            <w:r w:rsidRPr="0021495C">
              <w:rPr>
                <w:rFonts w:ascii="Arial" w:hAnsi="Arial" w:cs="Arial"/>
                <w:sz w:val="20"/>
                <w:szCs w:val="20"/>
                <w:lang w:val="es-419"/>
              </w:rPr>
              <w:t xml:space="preserve"> Permanente haya enviado oficialmente a la </w:t>
            </w:r>
            <w:r w:rsidR="00456B98" w:rsidRPr="0021495C">
              <w:rPr>
                <w:rFonts w:ascii="Arial" w:hAnsi="Arial" w:cs="Arial"/>
                <w:sz w:val="20"/>
                <w:szCs w:val="20"/>
                <w:lang w:val="es-419"/>
              </w:rPr>
              <w:t>Comisión</w:t>
            </w:r>
            <w:r w:rsidRPr="0021495C">
              <w:rPr>
                <w:rFonts w:ascii="Arial" w:hAnsi="Arial" w:cs="Arial"/>
                <w:sz w:val="20"/>
                <w:szCs w:val="20"/>
                <w:lang w:val="es-419"/>
              </w:rPr>
              <w:t xml:space="preserve"> de Alto Nivel los </w:t>
            </w:r>
            <w:r w:rsidR="00456B98" w:rsidRPr="0021495C">
              <w:rPr>
                <w:rFonts w:ascii="Arial" w:hAnsi="Arial" w:cs="Arial"/>
                <w:sz w:val="20"/>
                <w:szCs w:val="20"/>
                <w:lang w:val="es-419"/>
              </w:rPr>
              <w:t>cálculos</w:t>
            </w:r>
            <w:r w:rsidRPr="0021495C">
              <w:rPr>
                <w:rFonts w:ascii="Arial" w:hAnsi="Arial" w:cs="Arial"/>
                <w:sz w:val="20"/>
                <w:szCs w:val="20"/>
                <w:lang w:val="es-419"/>
              </w:rPr>
              <w:t xml:space="preserve"> y recomendaciones basados en dicha </w:t>
            </w:r>
            <w:r w:rsidR="00456B98" w:rsidRPr="0021495C">
              <w:rPr>
                <w:rFonts w:ascii="Arial" w:hAnsi="Arial" w:cs="Arial"/>
                <w:sz w:val="20"/>
                <w:szCs w:val="20"/>
                <w:lang w:val="es-419"/>
              </w:rPr>
              <w:t>metodología</w:t>
            </w:r>
            <w:r w:rsidRPr="0021495C">
              <w:rPr>
                <w:rFonts w:ascii="Arial" w:hAnsi="Arial" w:cs="Arial"/>
                <w:sz w:val="20"/>
                <w:szCs w:val="20"/>
                <w:lang w:val="es-419"/>
              </w:rPr>
              <w:t>.</w:t>
            </w:r>
          </w:p>
          <w:p w14:paraId="18483D6F" w14:textId="77777777" w:rsidR="00865CEC" w:rsidRPr="0021495C" w:rsidRDefault="00865CEC" w:rsidP="00277390">
            <w:pPr>
              <w:autoSpaceDE w:val="0"/>
              <w:autoSpaceDN w:val="0"/>
              <w:adjustRightInd w:val="0"/>
              <w:spacing w:before="120" w:after="120"/>
              <w:ind w:left="-42"/>
              <w:rPr>
                <w:rFonts w:ascii="Arial" w:hAnsi="Arial" w:cs="Arial"/>
                <w:sz w:val="20"/>
                <w:szCs w:val="20"/>
                <w:lang w:val="es-419"/>
              </w:rPr>
            </w:pPr>
          </w:p>
        </w:tc>
        <w:tc>
          <w:tcPr>
            <w:tcW w:w="5337" w:type="dxa"/>
            <w:shd w:val="clear" w:color="auto" w:fill="FFFFFF" w:themeFill="background1"/>
          </w:tcPr>
          <w:p w14:paraId="30981834" w14:textId="2E3ADA98" w:rsidR="00865CEC" w:rsidRPr="0021495C" w:rsidRDefault="00865CEC" w:rsidP="00865CEC">
            <w:pPr>
              <w:autoSpaceDE w:val="0"/>
              <w:autoSpaceDN w:val="0"/>
              <w:adjustRightInd w:val="0"/>
              <w:spacing w:before="120" w:after="120"/>
              <w:ind w:left="-42"/>
              <w:rPr>
                <w:rFonts w:ascii="Arial" w:hAnsi="Arial" w:cs="Arial"/>
                <w:sz w:val="20"/>
                <w:szCs w:val="20"/>
                <w:lang w:val="es-419"/>
              </w:rPr>
            </w:pPr>
            <w:r w:rsidRPr="0021495C">
              <w:rPr>
                <w:rFonts w:ascii="Arial" w:hAnsi="Arial" w:cs="Arial"/>
                <w:sz w:val="20"/>
                <w:szCs w:val="20"/>
                <w:lang w:val="es-419"/>
              </w:rPr>
              <w:t>2.4.1</w:t>
            </w:r>
            <w:r w:rsidR="007B6A78" w:rsidRPr="0021495C">
              <w:rPr>
                <w:rFonts w:ascii="Arial" w:hAnsi="Arial" w:cs="Arial"/>
                <w:sz w:val="20"/>
                <w:szCs w:val="20"/>
                <w:lang w:val="es-419"/>
              </w:rPr>
              <w:t xml:space="preserve"> Acta de Comisión  de Alto Nivel de </w:t>
            </w:r>
            <w:r w:rsidRPr="0021495C">
              <w:rPr>
                <w:rFonts w:ascii="Arial" w:hAnsi="Arial" w:cs="Arial"/>
                <w:sz w:val="20"/>
                <w:szCs w:val="20"/>
                <w:lang w:val="es-419"/>
              </w:rPr>
              <w:t>Medición de Pobreza aprobando</w:t>
            </w:r>
            <w:r w:rsidR="004C7852">
              <w:rPr>
                <w:rFonts w:ascii="Arial" w:hAnsi="Arial" w:cs="Arial"/>
                <w:sz w:val="20"/>
                <w:szCs w:val="20"/>
                <w:lang w:val="es-ES_tradnl"/>
              </w:rPr>
              <w:t xml:space="preserve"> la metodología actualizada, que incluye</w:t>
            </w:r>
            <w:r w:rsidRPr="0021495C">
              <w:rPr>
                <w:rFonts w:ascii="Arial" w:hAnsi="Arial" w:cs="Arial"/>
                <w:sz w:val="20"/>
                <w:szCs w:val="20"/>
                <w:lang w:val="es-419"/>
              </w:rPr>
              <w:t xml:space="preserve">: (i) la metodología que estima la </w:t>
            </w:r>
            <w:r w:rsidR="00456B98" w:rsidRPr="0021495C">
              <w:rPr>
                <w:rFonts w:ascii="Arial" w:hAnsi="Arial" w:cs="Arial"/>
                <w:sz w:val="20"/>
                <w:szCs w:val="20"/>
                <w:lang w:val="es-419"/>
              </w:rPr>
              <w:t>línea</w:t>
            </w:r>
            <w:r w:rsidRPr="0021495C">
              <w:rPr>
                <w:rFonts w:ascii="Arial" w:hAnsi="Arial" w:cs="Arial"/>
                <w:sz w:val="20"/>
                <w:szCs w:val="20"/>
                <w:lang w:val="es-419"/>
              </w:rPr>
              <w:t xml:space="preserve"> de pobreza extrema y moderada actualizada con base en ENIGH1998 (o ultima ENIGH disponible) y actualizada con </w:t>
            </w:r>
            <w:r w:rsidR="00456B98" w:rsidRPr="0021495C">
              <w:rPr>
                <w:rFonts w:ascii="Arial" w:hAnsi="Arial" w:cs="Arial"/>
                <w:sz w:val="20"/>
                <w:szCs w:val="20"/>
                <w:lang w:val="es-419"/>
              </w:rPr>
              <w:t>inflación</w:t>
            </w:r>
            <w:r w:rsidRPr="0021495C">
              <w:rPr>
                <w:rFonts w:ascii="Arial" w:hAnsi="Arial" w:cs="Arial"/>
                <w:sz w:val="20"/>
                <w:szCs w:val="20"/>
                <w:lang w:val="es-419"/>
              </w:rPr>
              <w:t xml:space="preserve"> del Banco Central hasta 2018</w:t>
            </w:r>
            <w:r w:rsidR="0021495C">
              <w:rPr>
                <w:rFonts w:ascii="Arial" w:hAnsi="Arial" w:cs="Arial"/>
                <w:sz w:val="20"/>
                <w:szCs w:val="20"/>
                <w:lang w:val="es-419"/>
              </w:rPr>
              <w:t>;</w:t>
            </w:r>
            <w:r w:rsidRPr="0021495C">
              <w:rPr>
                <w:rFonts w:ascii="Arial" w:hAnsi="Arial" w:cs="Arial"/>
                <w:sz w:val="20"/>
                <w:szCs w:val="20"/>
                <w:lang w:val="es-419"/>
              </w:rPr>
              <w:t xml:space="preserve"> (</w:t>
            </w:r>
            <w:proofErr w:type="spellStart"/>
            <w:r w:rsidRPr="0021495C">
              <w:rPr>
                <w:rFonts w:ascii="Arial" w:hAnsi="Arial" w:cs="Arial"/>
                <w:sz w:val="20"/>
                <w:szCs w:val="20"/>
                <w:lang w:val="es-419"/>
              </w:rPr>
              <w:t>ii</w:t>
            </w:r>
            <w:proofErr w:type="spellEnd"/>
            <w:r w:rsidRPr="0021495C">
              <w:rPr>
                <w:rFonts w:ascii="Arial" w:hAnsi="Arial" w:cs="Arial"/>
                <w:sz w:val="20"/>
                <w:szCs w:val="20"/>
                <w:lang w:val="es-419"/>
              </w:rPr>
              <w:t xml:space="preserve">) la </w:t>
            </w:r>
            <w:r w:rsidR="00456B98" w:rsidRPr="0021495C">
              <w:rPr>
                <w:rFonts w:ascii="Arial" w:hAnsi="Arial" w:cs="Arial"/>
                <w:sz w:val="20"/>
                <w:szCs w:val="20"/>
                <w:lang w:val="es-419"/>
              </w:rPr>
              <w:t>decisión</w:t>
            </w:r>
            <w:r w:rsidRPr="0021495C">
              <w:rPr>
                <w:rFonts w:ascii="Arial" w:hAnsi="Arial" w:cs="Arial"/>
                <w:sz w:val="20"/>
                <w:szCs w:val="20"/>
                <w:lang w:val="es-419"/>
              </w:rPr>
              <w:t xml:space="preserve"> de Incluir la pregunta de renta imputada en la encuesta EPHPM y en el agregado de ingresos</w:t>
            </w:r>
            <w:r w:rsidR="0021495C">
              <w:rPr>
                <w:rFonts w:ascii="Arial" w:hAnsi="Arial" w:cs="Arial"/>
                <w:sz w:val="20"/>
                <w:szCs w:val="20"/>
                <w:lang w:val="es-419"/>
              </w:rPr>
              <w:t>;</w:t>
            </w:r>
            <w:r w:rsidRPr="0021495C">
              <w:rPr>
                <w:rFonts w:ascii="Arial" w:hAnsi="Arial" w:cs="Arial"/>
                <w:sz w:val="20"/>
                <w:szCs w:val="20"/>
                <w:lang w:val="es-419"/>
              </w:rPr>
              <w:t xml:space="preserve"> (</w:t>
            </w:r>
            <w:proofErr w:type="spellStart"/>
            <w:r w:rsidRPr="0021495C">
              <w:rPr>
                <w:rFonts w:ascii="Arial" w:hAnsi="Arial" w:cs="Arial"/>
                <w:sz w:val="20"/>
                <w:szCs w:val="20"/>
                <w:lang w:val="es-419"/>
              </w:rPr>
              <w:t>iii</w:t>
            </w:r>
            <w:proofErr w:type="spellEnd"/>
            <w:r w:rsidRPr="0021495C">
              <w:rPr>
                <w:rFonts w:ascii="Arial" w:hAnsi="Arial" w:cs="Arial"/>
                <w:sz w:val="20"/>
                <w:szCs w:val="20"/>
                <w:lang w:val="es-419"/>
              </w:rPr>
              <w:t xml:space="preserve">) la decisión del </w:t>
            </w:r>
            <w:r w:rsidR="00456B98" w:rsidRPr="0021495C">
              <w:rPr>
                <w:rFonts w:ascii="Arial" w:hAnsi="Arial" w:cs="Arial"/>
                <w:sz w:val="20"/>
                <w:szCs w:val="20"/>
                <w:lang w:val="es-419"/>
              </w:rPr>
              <w:t>módulo</w:t>
            </w:r>
            <w:r w:rsidRPr="0021495C">
              <w:rPr>
                <w:rFonts w:ascii="Arial" w:hAnsi="Arial" w:cs="Arial"/>
                <w:sz w:val="20"/>
                <w:szCs w:val="20"/>
                <w:lang w:val="es-419"/>
              </w:rPr>
              <w:t xml:space="preserve"> modificado de ingreso independiente en la EHPM</w:t>
            </w:r>
            <w:r w:rsidR="00456B98" w:rsidRPr="0021495C">
              <w:rPr>
                <w:rFonts w:ascii="Arial" w:hAnsi="Arial" w:cs="Arial"/>
                <w:sz w:val="20"/>
                <w:szCs w:val="20"/>
                <w:lang w:val="es-419"/>
              </w:rPr>
              <w:t>;</w:t>
            </w:r>
            <w:r w:rsidRPr="0021495C">
              <w:rPr>
                <w:rFonts w:ascii="Arial" w:hAnsi="Arial" w:cs="Arial"/>
                <w:sz w:val="20"/>
                <w:szCs w:val="20"/>
                <w:lang w:val="es-419"/>
              </w:rPr>
              <w:t xml:space="preserve"> </w:t>
            </w:r>
            <w:r w:rsidR="0021495C">
              <w:rPr>
                <w:rFonts w:ascii="Arial" w:hAnsi="Arial" w:cs="Arial"/>
                <w:sz w:val="20"/>
                <w:szCs w:val="20"/>
                <w:lang w:val="es-419"/>
              </w:rPr>
              <w:t xml:space="preserve">y </w:t>
            </w:r>
            <w:r w:rsidRPr="0021495C">
              <w:rPr>
                <w:rFonts w:ascii="Arial" w:hAnsi="Arial" w:cs="Arial"/>
                <w:sz w:val="20"/>
                <w:szCs w:val="20"/>
                <w:lang w:val="es-419"/>
              </w:rPr>
              <w:t>(</w:t>
            </w:r>
            <w:proofErr w:type="spellStart"/>
            <w:r w:rsidRPr="0021495C">
              <w:rPr>
                <w:rFonts w:ascii="Arial" w:hAnsi="Arial" w:cs="Arial"/>
                <w:sz w:val="20"/>
                <w:szCs w:val="20"/>
                <w:lang w:val="es-419"/>
              </w:rPr>
              <w:t>iv</w:t>
            </w:r>
            <w:proofErr w:type="spellEnd"/>
            <w:r w:rsidRPr="0021495C">
              <w:rPr>
                <w:rFonts w:ascii="Arial" w:hAnsi="Arial" w:cs="Arial"/>
                <w:sz w:val="20"/>
                <w:szCs w:val="20"/>
                <w:lang w:val="es-419"/>
              </w:rPr>
              <w:t xml:space="preserve">) anexo de </w:t>
            </w:r>
            <w:r w:rsidR="00456B98" w:rsidRPr="0021495C">
              <w:rPr>
                <w:rFonts w:ascii="Arial" w:hAnsi="Arial" w:cs="Arial"/>
                <w:sz w:val="20"/>
                <w:szCs w:val="20"/>
                <w:lang w:val="es-419"/>
              </w:rPr>
              <w:t>documentación</w:t>
            </w:r>
            <w:r w:rsidRPr="0021495C">
              <w:rPr>
                <w:rFonts w:ascii="Arial" w:hAnsi="Arial" w:cs="Arial"/>
                <w:sz w:val="20"/>
                <w:szCs w:val="20"/>
                <w:lang w:val="es-419"/>
              </w:rPr>
              <w:t xml:space="preserve"> de todos los </w:t>
            </w:r>
            <w:r w:rsidR="00456B98" w:rsidRPr="0021495C">
              <w:rPr>
                <w:rFonts w:ascii="Arial" w:hAnsi="Arial" w:cs="Arial"/>
                <w:sz w:val="20"/>
                <w:szCs w:val="20"/>
                <w:lang w:val="es-419"/>
              </w:rPr>
              <w:t>ajustes</w:t>
            </w:r>
            <w:r w:rsidRPr="0021495C">
              <w:rPr>
                <w:rFonts w:ascii="Arial" w:hAnsi="Arial" w:cs="Arial"/>
                <w:sz w:val="20"/>
                <w:szCs w:val="20"/>
                <w:lang w:val="es-419"/>
              </w:rPr>
              <w:t xml:space="preserve"> realizados a la </w:t>
            </w:r>
            <w:r w:rsidR="00456B98" w:rsidRPr="0021495C">
              <w:rPr>
                <w:rFonts w:ascii="Arial" w:hAnsi="Arial" w:cs="Arial"/>
                <w:sz w:val="20"/>
                <w:szCs w:val="20"/>
                <w:lang w:val="es-419"/>
              </w:rPr>
              <w:t>metodología</w:t>
            </w:r>
            <w:r w:rsidRPr="0021495C">
              <w:rPr>
                <w:rFonts w:ascii="Arial" w:hAnsi="Arial" w:cs="Arial"/>
                <w:sz w:val="20"/>
                <w:szCs w:val="20"/>
                <w:lang w:val="es-419"/>
              </w:rPr>
              <w:t>.</w:t>
            </w:r>
          </w:p>
          <w:p w14:paraId="266982B3" w14:textId="263CD07B" w:rsidR="00865CEC" w:rsidRPr="0021495C" w:rsidRDefault="00456B98" w:rsidP="00B553F7">
            <w:pPr>
              <w:jc w:val="both"/>
              <w:rPr>
                <w:rFonts w:ascii="Arial" w:hAnsi="Arial" w:cs="Arial"/>
                <w:sz w:val="20"/>
                <w:szCs w:val="20"/>
                <w:lang w:val="es-419"/>
              </w:rPr>
            </w:pPr>
            <w:r w:rsidRPr="0021495C">
              <w:rPr>
                <w:rFonts w:ascii="Arial" w:hAnsi="Arial" w:cs="Arial"/>
                <w:sz w:val="20"/>
                <w:szCs w:val="20"/>
                <w:lang w:val="es-419"/>
              </w:rPr>
              <w:t>Cálculos</w:t>
            </w:r>
            <w:r w:rsidR="00865CEC" w:rsidRPr="0021495C">
              <w:rPr>
                <w:rFonts w:ascii="Arial" w:hAnsi="Arial" w:cs="Arial"/>
                <w:sz w:val="20"/>
                <w:szCs w:val="20"/>
                <w:lang w:val="es-419"/>
              </w:rPr>
              <w:t xml:space="preserve"> basados en </w:t>
            </w:r>
            <w:r w:rsidRPr="0021495C">
              <w:rPr>
                <w:rFonts w:ascii="Arial" w:hAnsi="Arial" w:cs="Arial"/>
                <w:sz w:val="20"/>
                <w:szCs w:val="20"/>
                <w:lang w:val="es-419"/>
              </w:rPr>
              <w:t>metodología</w:t>
            </w:r>
            <w:r w:rsidR="00865CEC" w:rsidRPr="0021495C">
              <w:rPr>
                <w:rFonts w:ascii="Arial" w:hAnsi="Arial" w:cs="Arial"/>
                <w:sz w:val="20"/>
                <w:szCs w:val="20"/>
                <w:lang w:val="es-419"/>
              </w:rPr>
              <w:t xml:space="preserve"> nueva para al menos 2014-2018 presentados a </w:t>
            </w:r>
            <w:r w:rsidRPr="0021495C">
              <w:rPr>
                <w:rFonts w:ascii="Arial" w:hAnsi="Arial" w:cs="Arial"/>
                <w:sz w:val="20"/>
                <w:szCs w:val="20"/>
                <w:lang w:val="es-419"/>
              </w:rPr>
              <w:t>Comisión</w:t>
            </w:r>
            <w:r w:rsidR="00865CEC" w:rsidRPr="0021495C">
              <w:rPr>
                <w:rFonts w:ascii="Arial" w:hAnsi="Arial" w:cs="Arial"/>
                <w:sz w:val="20"/>
                <w:szCs w:val="20"/>
                <w:lang w:val="es-419"/>
              </w:rPr>
              <w:t xml:space="preserve"> de Alto Nivel para determinar estrategia de publicación de nuevas cifras oficiales. </w:t>
            </w:r>
          </w:p>
        </w:tc>
        <w:tc>
          <w:tcPr>
            <w:tcW w:w="1899" w:type="dxa"/>
            <w:shd w:val="clear" w:color="auto" w:fill="FFFFFF" w:themeFill="background1"/>
          </w:tcPr>
          <w:p w14:paraId="38C7C96C" w14:textId="794398D5" w:rsidR="00865CEC" w:rsidRPr="00D846A4" w:rsidRDefault="008D1001" w:rsidP="005B2A4B">
            <w:pPr>
              <w:jc w:val="both"/>
              <w:rPr>
                <w:rFonts w:ascii="Arial" w:hAnsi="Arial" w:cs="Arial"/>
                <w:sz w:val="20"/>
                <w:szCs w:val="20"/>
                <w:lang w:val="es-419"/>
              </w:rPr>
            </w:pPr>
            <w:r w:rsidRPr="00D846A4">
              <w:rPr>
                <w:rFonts w:ascii="Arial" w:hAnsi="Arial" w:cs="Arial"/>
                <w:sz w:val="20"/>
                <w:szCs w:val="20"/>
                <w:lang w:val="es-419"/>
              </w:rPr>
              <w:t>SCGG</w:t>
            </w:r>
          </w:p>
        </w:tc>
      </w:tr>
      <w:tr w:rsidR="005B2A4B" w:rsidRPr="00D846A4" w14:paraId="486ABC70" w14:textId="77777777" w:rsidTr="009D4080">
        <w:trPr>
          <w:gridAfter w:val="1"/>
          <w:wAfter w:w="6" w:type="dxa"/>
          <w:trHeight w:val="3050"/>
          <w:jc w:val="center"/>
        </w:trPr>
        <w:tc>
          <w:tcPr>
            <w:tcW w:w="2515" w:type="dxa"/>
            <w:shd w:val="clear" w:color="auto" w:fill="FFFFFF" w:themeFill="background1"/>
          </w:tcPr>
          <w:p w14:paraId="70C7E6A2" w14:textId="6E10A39A" w:rsidR="005B2A4B" w:rsidRPr="00D846A4" w:rsidRDefault="001D49FF" w:rsidP="005B2A4B">
            <w:pPr>
              <w:rPr>
                <w:rFonts w:ascii="Arial" w:hAnsi="Arial" w:cs="Arial"/>
                <w:sz w:val="20"/>
                <w:szCs w:val="20"/>
                <w:lang w:val="es-419"/>
              </w:rPr>
            </w:pPr>
            <w:r w:rsidRPr="00D846A4">
              <w:rPr>
                <w:rFonts w:ascii="Arial" w:hAnsi="Arial" w:cs="Arial"/>
                <w:sz w:val="20"/>
                <w:szCs w:val="20"/>
                <w:lang w:val="es-419"/>
              </w:rPr>
              <w:t xml:space="preserve">2.5 </w:t>
            </w:r>
            <w:r w:rsidR="005B2A4B" w:rsidRPr="00D846A4">
              <w:rPr>
                <w:rFonts w:ascii="Arial" w:hAnsi="Arial" w:cs="Arial"/>
                <w:sz w:val="20"/>
                <w:szCs w:val="20"/>
                <w:lang w:val="es-419"/>
              </w:rPr>
              <w:t>Optimizar la progresividad en la redistribución del gasto público social mediante la actualización de la identificación de potenciales participantes y los criterios geográficos de programas sociales con criterios de selección basado en pobreza monetaria y/o priorización geográfica.</w:t>
            </w:r>
          </w:p>
        </w:tc>
        <w:tc>
          <w:tcPr>
            <w:tcW w:w="3933" w:type="dxa"/>
            <w:shd w:val="clear" w:color="auto" w:fill="FFFFFF" w:themeFill="background1"/>
          </w:tcPr>
          <w:p w14:paraId="6B3EDC66" w14:textId="77777777" w:rsidR="00055A10" w:rsidRPr="00D846A4" w:rsidRDefault="00055A10" w:rsidP="00055A10">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 xml:space="preserve">2.5.1. Que la elegibilidad de los hogares para participar de programas sociales haya sido determinada por el nuevo algoritmo aprobado para todos los hogares censados a partir de 2019 y que los levantamientos hayan sido priorizados </w:t>
            </w:r>
            <w:proofErr w:type="gramStart"/>
            <w:r w:rsidRPr="00D846A4">
              <w:rPr>
                <w:rFonts w:ascii="Arial" w:hAnsi="Arial" w:cs="Arial"/>
                <w:sz w:val="20"/>
                <w:szCs w:val="20"/>
                <w:lang w:val="es-419"/>
              </w:rPr>
              <w:t>de acuerdo al</w:t>
            </w:r>
            <w:proofErr w:type="gramEnd"/>
            <w:r w:rsidRPr="00D846A4">
              <w:rPr>
                <w:rFonts w:ascii="Arial" w:hAnsi="Arial" w:cs="Arial"/>
                <w:sz w:val="20"/>
                <w:szCs w:val="20"/>
                <w:lang w:val="es-419"/>
              </w:rPr>
              <w:t xml:space="preserve"> mapa de pobreza por ingresos.</w:t>
            </w:r>
          </w:p>
          <w:p w14:paraId="1351A44C" w14:textId="503846BA" w:rsidR="00111767" w:rsidRPr="00D846A4" w:rsidRDefault="00111767" w:rsidP="00864DD0">
            <w:pPr>
              <w:autoSpaceDE w:val="0"/>
              <w:autoSpaceDN w:val="0"/>
              <w:adjustRightInd w:val="0"/>
              <w:spacing w:before="120" w:after="120"/>
              <w:ind w:left="-42"/>
              <w:rPr>
                <w:rFonts w:ascii="Arial" w:hAnsi="Arial" w:cs="Arial"/>
                <w:sz w:val="20"/>
                <w:szCs w:val="20"/>
                <w:lang w:val="es-419"/>
              </w:rPr>
            </w:pPr>
          </w:p>
        </w:tc>
        <w:tc>
          <w:tcPr>
            <w:tcW w:w="5337" w:type="dxa"/>
            <w:shd w:val="clear" w:color="auto" w:fill="FFFFFF" w:themeFill="background1"/>
          </w:tcPr>
          <w:p w14:paraId="70540830" w14:textId="5C51C824" w:rsidR="00E347BC" w:rsidRPr="00D846A4" w:rsidRDefault="00E347BC" w:rsidP="00E347BC">
            <w:pPr>
              <w:autoSpaceDE w:val="0"/>
              <w:autoSpaceDN w:val="0"/>
              <w:adjustRightInd w:val="0"/>
              <w:spacing w:before="120" w:after="120"/>
              <w:ind w:left="-42"/>
              <w:rPr>
                <w:rFonts w:ascii="Arial" w:hAnsi="Arial" w:cs="Arial"/>
                <w:sz w:val="20"/>
                <w:szCs w:val="20"/>
                <w:lang w:val="es-419"/>
              </w:rPr>
            </w:pPr>
            <w:r w:rsidRPr="00D846A4">
              <w:rPr>
                <w:rFonts w:ascii="Arial" w:hAnsi="Arial" w:cs="Arial"/>
                <w:sz w:val="20"/>
                <w:szCs w:val="20"/>
                <w:lang w:val="es-419"/>
              </w:rPr>
              <w:t>2.5.1. Oficio de CENISS verificando el 70% de hogares censados</w:t>
            </w:r>
            <w:r w:rsidR="00BB3881">
              <w:rPr>
                <w:rStyle w:val="FootnoteReference"/>
                <w:rFonts w:ascii="Arial" w:hAnsi="Arial" w:cs="Arial"/>
                <w:sz w:val="20"/>
                <w:szCs w:val="20"/>
                <w:lang w:val="es-419"/>
              </w:rPr>
              <w:footnoteReference w:id="2"/>
            </w:r>
            <w:r w:rsidRPr="00D846A4">
              <w:rPr>
                <w:rFonts w:ascii="Arial" w:hAnsi="Arial" w:cs="Arial"/>
                <w:sz w:val="20"/>
                <w:szCs w:val="20"/>
                <w:lang w:val="es-419"/>
              </w:rPr>
              <w:t xml:space="preserve"> (aproximadamente 800 mil hogares) y con umbral de pobreza calculado con el nuevo algoritmo por departamento como porcentaje de hogares pobres en </w:t>
            </w:r>
            <w:r w:rsidR="00456B98" w:rsidRPr="00D846A4">
              <w:rPr>
                <w:rFonts w:ascii="Arial" w:hAnsi="Arial" w:cs="Arial"/>
                <w:sz w:val="20"/>
                <w:szCs w:val="20"/>
                <w:lang w:val="es-419"/>
              </w:rPr>
              <w:t>relación</w:t>
            </w:r>
            <w:r w:rsidRPr="00D846A4">
              <w:rPr>
                <w:rFonts w:ascii="Arial" w:hAnsi="Arial" w:cs="Arial"/>
                <w:sz w:val="20"/>
                <w:szCs w:val="20"/>
                <w:lang w:val="es-419"/>
              </w:rPr>
              <w:t xml:space="preserve"> con la tabla correspondiente del POD. El umbral calculado determina la elegibilidad de hogares para participar de programas sociales. </w:t>
            </w:r>
          </w:p>
          <w:p w14:paraId="70E8E7F0" w14:textId="099ACED1" w:rsidR="00F61901" w:rsidRPr="00D846A4" w:rsidRDefault="00F61901" w:rsidP="008147ED">
            <w:pPr>
              <w:jc w:val="both"/>
              <w:rPr>
                <w:rFonts w:ascii="Arial" w:hAnsi="Arial" w:cs="Arial"/>
                <w:sz w:val="20"/>
                <w:szCs w:val="20"/>
                <w:lang w:val="es-419"/>
              </w:rPr>
            </w:pPr>
          </w:p>
        </w:tc>
        <w:tc>
          <w:tcPr>
            <w:tcW w:w="1899" w:type="dxa"/>
            <w:shd w:val="clear" w:color="auto" w:fill="FFFFFF" w:themeFill="background1"/>
          </w:tcPr>
          <w:p w14:paraId="7AD82C8A" w14:textId="77777777" w:rsidR="004406CA" w:rsidRPr="00D846A4" w:rsidRDefault="004406CA" w:rsidP="005B2A4B">
            <w:pPr>
              <w:jc w:val="both"/>
              <w:rPr>
                <w:rFonts w:ascii="Arial" w:hAnsi="Arial" w:cs="Arial"/>
                <w:sz w:val="20"/>
                <w:szCs w:val="20"/>
                <w:lang w:val="es-419"/>
              </w:rPr>
            </w:pPr>
            <w:r w:rsidRPr="00D846A4">
              <w:rPr>
                <w:rFonts w:ascii="Arial" w:hAnsi="Arial" w:cs="Arial"/>
                <w:sz w:val="20"/>
                <w:szCs w:val="20"/>
                <w:lang w:val="es-419"/>
              </w:rPr>
              <w:t>SEDIS-SCGG</w:t>
            </w:r>
          </w:p>
          <w:p w14:paraId="69760684" w14:textId="6565382C" w:rsidR="004406CA" w:rsidRPr="00D846A4" w:rsidRDefault="004406CA" w:rsidP="005B2A4B">
            <w:pPr>
              <w:jc w:val="both"/>
              <w:rPr>
                <w:rFonts w:ascii="Arial" w:hAnsi="Arial" w:cs="Arial"/>
                <w:sz w:val="20"/>
                <w:szCs w:val="20"/>
                <w:lang w:val="es-419"/>
              </w:rPr>
            </w:pPr>
          </w:p>
          <w:p w14:paraId="7728DCA1" w14:textId="75A4F4DC" w:rsidR="008D1001" w:rsidRPr="00D846A4" w:rsidRDefault="008D1001" w:rsidP="005B2A4B">
            <w:pPr>
              <w:jc w:val="both"/>
              <w:rPr>
                <w:rFonts w:ascii="Arial" w:hAnsi="Arial" w:cs="Arial"/>
                <w:sz w:val="20"/>
                <w:szCs w:val="20"/>
                <w:lang w:val="es-419"/>
              </w:rPr>
            </w:pPr>
          </w:p>
          <w:p w14:paraId="774DE4DB" w14:textId="77777777" w:rsidR="004406CA" w:rsidRPr="00D846A4" w:rsidRDefault="004406CA" w:rsidP="005B2A4B">
            <w:pPr>
              <w:jc w:val="both"/>
              <w:rPr>
                <w:rFonts w:ascii="Arial" w:hAnsi="Arial" w:cs="Arial"/>
                <w:sz w:val="20"/>
                <w:szCs w:val="20"/>
                <w:lang w:val="es-419"/>
              </w:rPr>
            </w:pPr>
          </w:p>
          <w:p w14:paraId="56469AC3" w14:textId="77777777" w:rsidR="004406CA" w:rsidRPr="00D846A4" w:rsidRDefault="004406CA" w:rsidP="005B2A4B">
            <w:pPr>
              <w:jc w:val="both"/>
              <w:rPr>
                <w:rFonts w:ascii="Arial" w:hAnsi="Arial" w:cs="Arial"/>
                <w:sz w:val="20"/>
                <w:szCs w:val="20"/>
                <w:lang w:val="es-419"/>
              </w:rPr>
            </w:pPr>
          </w:p>
          <w:p w14:paraId="6F63D772" w14:textId="77777777" w:rsidR="004406CA" w:rsidRPr="00D846A4" w:rsidRDefault="004406CA" w:rsidP="005B2A4B">
            <w:pPr>
              <w:jc w:val="both"/>
              <w:rPr>
                <w:rFonts w:ascii="Arial" w:hAnsi="Arial" w:cs="Arial"/>
                <w:sz w:val="20"/>
                <w:szCs w:val="20"/>
                <w:lang w:val="es-419"/>
              </w:rPr>
            </w:pPr>
          </w:p>
          <w:p w14:paraId="56B066F6" w14:textId="6B4F145A" w:rsidR="004406CA" w:rsidRPr="00D846A4" w:rsidRDefault="004406CA" w:rsidP="005B2A4B">
            <w:pPr>
              <w:jc w:val="both"/>
              <w:rPr>
                <w:rFonts w:ascii="Arial" w:hAnsi="Arial" w:cs="Arial"/>
                <w:sz w:val="20"/>
                <w:szCs w:val="20"/>
                <w:lang w:val="es-419"/>
              </w:rPr>
            </w:pPr>
            <w:r w:rsidRPr="00D846A4">
              <w:rPr>
                <w:rFonts w:ascii="Arial" w:hAnsi="Arial" w:cs="Arial"/>
                <w:sz w:val="20"/>
                <w:szCs w:val="20"/>
                <w:lang w:val="es-419"/>
              </w:rPr>
              <w:t>SCGG</w:t>
            </w:r>
          </w:p>
        </w:tc>
      </w:tr>
      <w:tr w:rsidR="00864DD0" w:rsidRPr="00A432C9" w14:paraId="51C30244" w14:textId="77777777" w:rsidTr="00D846A4">
        <w:trPr>
          <w:jc w:val="center"/>
        </w:trPr>
        <w:tc>
          <w:tcPr>
            <w:tcW w:w="13690" w:type="dxa"/>
            <w:gridSpan w:val="5"/>
            <w:shd w:val="clear" w:color="auto" w:fill="D9D9D9" w:themeFill="background1" w:themeFillShade="D9"/>
          </w:tcPr>
          <w:p w14:paraId="2D347D98" w14:textId="7267395D" w:rsidR="00864DD0" w:rsidRPr="00D846A4" w:rsidRDefault="00864DD0" w:rsidP="009D4080">
            <w:pPr>
              <w:spacing w:before="60" w:after="60"/>
              <w:rPr>
                <w:rFonts w:ascii="Arial" w:hAnsi="Arial" w:cs="Arial"/>
                <w:sz w:val="20"/>
                <w:szCs w:val="20"/>
                <w:lang w:val="es-419"/>
              </w:rPr>
            </w:pPr>
            <w:r w:rsidRPr="00D846A4">
              <w:rPr>
                <w:rFonts w:ascii="Arial" w:hAnsi="Arial" w:cs="Arial"/>
                <w:b/>
                <w:sz w:val="20"/>
                <w:szCs w:val="20"/>
                <w:lang w:val="es-419"/>
              </w:rPr>
              <w:t xml:space="preserve">Componente 3. </w:t>
            </w:r>
            <w:r w:rsidR="00B43936" w:rsidRPr="00B43936">
              <w:rPr>
                <w:rFonts w:ascii="Arial" w:hAnsi="Arial" w:cs="Arial"/>
                <w:b/>
                <w:sz w:val="20"/>
                <w:szCs w:val="20"/>
                <w:lang w:val="es-419"/>
              </w:rPr>
              <w:t>Consolidación de la oferta de servicios básicos en protección social redistributiva</w:t>
            </w:r>
          </w:p>
        </w:tc>
      </w:tr>
      <w:tr w:rsidR="008A4C64" w:rsidRPr="00D846A4" w14:paraId="4E8246F2" w14:textId="77777777" w:rsidTr="009D4080">
        <w:trPr>
          <w:gridAfter w:val="1"/>
          <w:wAfter w:w="6" w:type="dxa"/>
          <w:jc w:val="center"/>
        </w:trPr>
        <w:tc>
          <w:tcPr>
            <w:tcW w:w="2515" w:type="dxa"/>
          </w:tcPr>
          <w:p w14:paraId="54081378" w14:textId="000D7B74" w:rsidR="008A4C64" w:rsidRPr="00D846A4" w:rsidRDefault="008A4C64" w:rsidP="005B2A4B">
            <w:pPr>
              <w:rPr>
                <w:rFonts w:ascii="Arial" w:hAnsi="Arial" w:cs="Arial"/>
                <w:sz w:val="20"/>
                <w:szCs w:val="20"/>
                <w:lang w:val="es-419"/>
              </w:rPr>
            </w:pPr>
            <w:r w:rsidRPr="00D846A4">
              <w:rPr>
                <w:rFonts w:ascii="Arial" w:hAnsi="Arial" w:cs="Arial"/>
                <w:sz w:val="20"/>
                <w:szCs w:val="20"/>
                <w:lang w:val="es-419"/>
              </w:rPr>
              <w:t xml:space="preserve">3.1 Dar sostenibilidad a la provisión de servicios del tercer ciclo de </w:t>
            </w:r>
            <w:r w:rsidRPr="00D846A4">
              <w:rPr>
                <w:rFonts w:ascii="Arial" w:hAnsi="Arial" w:cs="Arial"/>
                <w:sz w:val="20"/>
                <w:szCs w:val="20"/>
                <w:lang w:val="es-419"/>
              </w:rPr>
              <w:lastRenderedPageBreak/>
              <w:t>educación básica mediante la incorporación de escuelas tercerizadas en el presupuesto de la Secretaría de Educación.</w:t>
            </w:r>
          </w:p>
        </w:tc>
        <w:tc>
          <w:tcPr>
            <w:tcW w:w="3933" w:type="dxa"/>
          </w:tcPr>
          <w:p w14:paraId="54DFC563" w14:textId="2045B735" w:rsidR="008A4C64" w:rsidRPr="00D846A4" w:rsidRDefault="008A4C64" w:rsidP="009D4080">
            <w:pPr>
              <w:spacing w:after="20"/>
              <w:jc w:val="both"/>
              <w:rPr>
                <w:rFonts w:ascii="Arial" w:hAnsi="Arial" w:cs="Arial"/>
                <w:sz w:val="20"/>
                <w:szCs w:val="20"/>
                <w:lang w:val="es-419"/>
              </w:rPr>
            </w:pPr>
            <w:r w:rsidRPr="00D846A4">
              <w:rPr>
                <w:rFonts w:ascii="Arial" w:hAnsi="Arial" w:cs="Arial"/>
                <w:sz w:val="20"/>
                <w:szCs w:val="20"/>
                <w:lang w:val="es-419"/>
              </w:rPr>
              <w:lastRenderedPageBreak/>
              <w:t xml:space="preserve">3.1.1. Que se hayan incorporado en el anteproyecto de ley de presupuesto de ingresos y egresos de la Republica y </w:t>
            </w:r>
            <w:r w:rsidRPr="00D846A4">
              <w:rPr>
                <w:rFonts w:ascii="Arial" w:hAnsi="Arial" w:cs="Arial"/>
                <w:sz w:val="20"/>
                <w:szCs w:val="20"/>
                <w:lang w:val="es-419"/>
              </w:rPr>
              <w:lastRenderedPageBreak/>
              <w:t>remitido al congreso los recursos para contrataciones de maestros en escuelas que dejarán de ser atendidas por el IHER de acuerdo con el Plan Estratégico Institucional 2019-2022 aprobado.</w:t>
            </w:r>
          </w:p>
        </w:tc>
        <w:tc>
          <w:tcPr>
            <w:tcW w:w="5337" w:type="dxa"/>
          </w:tcPr>
          <w:p w14:paraId="0F278805" w14:textId="618EE964" w:rsidR="008A4C64" w:rsidRPr="00D846A4" w:rsidRDefault="008A4C64" w:rsidP="008A4C64">
            <w:pPr>
              <w:rPr>
                <w:rFonts w:ascii="Arial" w:hAnsi="Arial" w:cs="Arial"/>
                <w:sz w:val="20"/>
                <w:szCs w:val="20"/>
                <w:lang w:val="es-419"/>
              </w:rPr>
            </w:pPr>
            <w:r w:rsidRPr="00D846A4">
              <w:rPr>
                <w:rFonts w:ascii="Arial" w:hAnsi="Arial" w:cs="Arial"/>
                <w:sz w:val="20"/>
                <w:szCs w:val="20"/>
                <w:lang w:val="es-419"/>
              </w:rPr>
              <w:lastRenderedPageBreak/>
              <w:t xml:space="preserve">3.1.1. Oficio de SEFIN indicando enlace al Anteproyecto de Ingresos y Egresos publicado en página web de SEFIN, que incluya un total de al menos 32.420.000 de </w:t>
            </w:r>
            <w:r w:rsidRPr="00D846A4">
              <w:rPr>
                <w:rFonts w:ascii="Arial" w:hAnsi="Arial" w:cs="Arial"/>
                <w:sz w:val="20"/>
                <w:szCs w:val="20"/>
                <w:lang w:val="es-419"/>
              </w:rPr>
              <w:lastRenderedPageBreak/>
              <w:t xml:space="preserve">Lempiras para financiar 156 docentes en 2020 en una </w:t>
            </w:r>
            <w:r w:rsidR="00456B98" w:rsidRPr="00D846A4">
              <w:rPr>
                <w:rFonts w:ascii="Arial" w:hAnsi="Arial" w:cs="Arial"/>
                <w:sz w:val="20"/>
                <w:szCs w:val="20"/>
                <w:lang w:val="es-419"/>
              </w:rPr>
              <w:t>línea</w:t>
            </w:r>
            <w:r w:rsidRPr="00D846A4">
              <w:rPr>
                <w:rFonts w:ascii="Arial" w:hAnsi="Arial" w:cs="Arial"/>
                <w:sz w:val="20"/>
                <w:szCs w:val="20"/>
                <w:lang w:val="es-419"/>
              </w:rPr>
              <w:t xml:space="preserve"> de presupuesto identificada de acuerdo con lo establecido en el Plan </w:t>
            </w:r>
            <w:r w:rsidR="00456B98" w:rsidRPr="00D846A4">
              <w:rPr>
                <w:rFonts w:ascii="Arial" w:hAnsi="Arial" w:cs="Arial"/>
                <w:sz w:val="20"/>
                <w:szCs w:val="20"/>
                <w:lang w:val="es-419"/>
              </w:rPr>
              <w:t>Estratégico</w:t>
            </w:r>
            <w:r w:rsidRPr="00D846A4">
              <w:rPr>
                <w:rFonts w:ascii="Arial" w:hAnsi="Arial" w:cs="Arial"/>
                <w:sz w:val="20"/>
                <w:szCs w:val="20"/>
                <w:lang w:val="es-419"/>
              </w:rPr>
              <w:t xml:space="preserve"> Institucional</w:t>
            </w:r>
          </w:p>
          <w:p w14:paraId="27A44095" w14:textId="77777777" w:rsidR="008A4C64" w:rsidRPr="00D846A4" w:rsidRDefault="008A4C64" w:rsidP="005B2A4B">
            <w:pPr>
              <w:rPr>
                <w:rFonts w:ascii="Arial" w:hAnsi="Arial" w:cs="Arial"/>
                <w:sz w:val="20"/>
                <w:szCs w:val="20"/>
                <w:lang w:val="es-419"/>
              </w:rPr>
            </w:pPr>
          </w:p>
        </w:tc>
        <w:tc>
          <w:tcPr>
            <w:tcW w:w="1899" w:type="dxa"/>
          </w:tcPr>
          <w:p w14:paraId="6A73A6CA" w14:textId="658D99B9" w:rsidR="008A4C64" w:rsidRPr="00D846A4" w:rsidRDefault="00E95963" w:rsidP="008A4C64">
            <w:pPr>
              <w:jc w:val="both"/>
              <w:rPr>
                <w:rFonts w:ascii="Arial" w:hAnsi="Arial" w:cs="Arial"/>
                <w:sz w:val="20"/>
                <w:szCs w:val="20"/>
                <w:lang w:val="es-419"/>
              </w:rPr>
            </w:pPr>
            <w:r>
              <w:rPr>
                <w:rFonts w:ascii="Arial" w:hAnsi="Arial" w:cs="Arial"/>
                <w:sz w:val="20"/>
                <w:szCs w:val="20"/>
                <w:lang w:val="es-419"/>
              </w:rPr>
              <w:lastRenderedPageBreak/>
              <w:t>SEFIN</w:t>
            </w:r>
          </w:p>
          <w:p w14:paraId="634E50E5" w14:textId="77777777" w:rsidR="008A4C64" w:rsidRPr="00D846A4" w:rsidRDefault="008A4C64" w:rsidP="005B2A4B">
            <w:pPr>
              <w:jc w:val="both"/>
              <w:rPr>
                <w:rFonts w:ascii="Arial" w:hAnsi="Arial" w:cs="Arial"/>
                <w:sz w:val="20"/>
                <w:szCs w:val="20"/>
                <w:lang w:val="es-419"/>
              </w:rPr>
            </w:pPr>
          </w:p>
        </w:tc>
      </w:tr>
      <w:tr w:rsidR="008A4C64" w:rsidRPr="00D846A4" w14:paraId="5BA891A7" w14:textId="77777777" w:rsidTr="009D4080">
        <w:trPr>
          <w:gridAfter w:val="1"/>
          <w:wAfter w:w="6" w:type="dxa"/>
          <w:jc w:val="center"/>
        </w:trPr>
        <w:tc>
          <w:tcPr>
            <w:tcW w:w="2515" w:type="dxa"/>
          </w:tcPr>
          <w:p w14:paraId="2D23A447" w14:textId="77777777" w:rsidR="00A87822" w:rsidRPr="00D846A4" w:rsidRDefault="00A87822" w:rsidP="00A87822">
            <w:pPr>
              <w:rPr>
                <w:rFonts w:ascii="Arial" w:hAnsi="Arial" w:cs="Arial"/>
                <w:sz w:val="20"/>
                <w:szCs w:val="20"/>
                <w:lang w:val="es-419"/>
              </w:rPr>
            </w:pPr>
            <w:r w:rsidRPr="00D846A4">
              <w:rPr>
                <w:rFonts w:ascii="Arial" w:hAnsi="Arial" w:cs="Arial"/>
                <w:sz w:val="20"/>
                <w:szCs w:val="20"/>
                <w:lang w:val="es-419"/>
              </w:rPr>
              <w:t>3.2 Promover la acumulación del capital humano adecuando la oferta educativa para poblaciones vulnerables.</w:t>
            </w:r>
          </w:p>
          <w:p w14:paraId="57B30803" w14:textId="77777777" w:rsidR="008A4C64" w:rsidRPr="00D846A4" w:rsidRDefault="008A4C64" w:rsidP="008A4C64">
            <w:pPr>
              <w:rPr>
                <w:rFonts w:ascii="Arial" w:hAnsi="Arial" w:cs="Arial"/>
                <w:sz w:val="20"/>
                <w:szCs w:val="20"/>
                <w:lang w:val="es-419"/>
              </w:rPr>
            </w:pPr>
          </w:p>
        </w:tc>
        <w:tc>
          <w:tcPr>
            <w:tcW w:w="3933" w:type="dxa"/>
          </w:tcPr>
          <w:p w14:paraId="0A47517B" w14:textId="6FA98386" w:rsidR="008A4C64" w:rsidRPr="00D846A4" w:rsidRDefault="00A87822" w:rsidP="009D4080">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3.2.1. Que se haya </w:t>
            </w:r>
            <w:r w:rsidR="00456B98" w:rsidRPr="00D846A4">
              <w:rPr>
                <w:rFonts w:ascii="Arial" w:hAnsi="Arial" w:cs="Arial"/>
                <w:sz w:val="20"/>
                <w:szCs w:val="20"/>
                <w:lang w:val="es-419"/>
              </w:rPr>
              <w:t>aprobado la</w:t>
            </w:r>
            <w:r w:rsidRPr="00D846A4">
              <w:rPr>
                <w:rFonts w:ascii="Arial" w:hAnsi="Arial" w:cs="Arial"/>
                <w:sz w:val="20"/>
                <w:szCs w:val="20"/>
                <w:lang w:val="es-419"/>
              </w:rPr>
              <w:t xml:space="preserve"> Política de Educación Inclusiva que contenga las </w:t>
            </w:r>
            <w:r w:rsidR="00456B98" w:rsidRPr="00D846A4">
              <w:rPr>
                <w:rFonts w:ascii="Arial" w:hAnsi="Arial" w:cs="Arial"/>
                <w:sz w:val="20"/>
                <w:szCs w:val="20"/>
                <w:lang w:val="es-419"/>
              </w:rPr>
              <w:t>medidas para</w:t>
            </w:r>
            <w:r w:rsidRPr="00D846A4">
              <w:rPr>
                <w:rFonts w:ascii="Arial" w:hAnsi="Arial" w:cs="Arial"/>
                <w:sz w:val="20"/>
                <w:szCs w:val="20"/>
                <w:lang w:val="es-419"/>
              </w:rPr>
              <w:t xml:space="preserve"> la incorporación a las escuelas de niños y niñas con </w:t>
            </w:r>
            <w:proofErr w:type="spellStart"/>
            <w:r w:rsidRPr="00D846A4">
              <w:rPr>
                <w:rFonts w:ascii="Arial" w:hAnsi="Arial" w:cs="Arial"/>
                <w:sz w:val="20"/>
                <w:szCs w:val="20"/>
                <w:lang w:val="es-419"/>
              </w:rPr>
              <w:t>extra-edad</w:t>
            </w:r>
            <w:proofErr w:type="spellEnd"/>
            <w:r w:rsidRPr="00D846A4">
              <w:rPr>
                <w:rFonts w:ascii="Arial" w:hAnsi="Arial" w:cs="Arial"/>
                <w:sz w:val="20"/>
                <w:szCs w:val="20"/>
                <w:lang w:val="es-419"/>
              </w:rPr>
              <w:t xml:space="preserve"> o discapacidad y matriculación automática de estudiantes con 6to grado finalizado en 7mo grado.</w:t>
            </w:r>
          </w:p>
        </w:tc>
        <w:tc>
          <w:tcPr>
            <w:tcW w:w="5337" w:type="dxa"/>
          </w:tcPr>
          <w:p w14:paraId="05008C67" w14:textId="7374C85A" w:rsidR="00A87822" w:rsidRPr="00D846A4" w:rsidRDefault="00A87822" w:rsidP="00A87822">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3.2.1. </w:t>
            </w:r>
            <w:r w:rsidR="00736BD2" w:rsidRPr="006C1D8C">
              <w:rPr>
                <w:rFonts w:ascii="Arial" w:hAnsi="Arial" w:cs="Arial"/>
                <w:sz w:val="20"/>
                <w:szCs w:val="20"/>
                <w:lang w:val="es-419"/>
              </w:rPr>
              <w:t>Decreto Ejecutivo de Estado</w:t>
            </w:r>
            <w:r w:rsidR="00736BD2">
              <w:rPr>
                <w:rFonts w:ascii="Arial" w:hAnsi="Arial" w:cs="Arial"/>
                <w:sz w:val="20"/>
                <w:szCs w:val="20"/>
                <w:lang w:val="es-419"/>
              </w:rPr>
              <w:t xml:space="preserve"> aprobando la</w:t>
            </w:r>
            <w:r w:rsidR="00736BD2" w:rsidRPr="00D846A4">
              <w:rPr>
                <w:rFonts w:ascii="Arial" w:hAnsi="Arial" w:cs="Arial"/>
                <w:sz w:val="20"/>
                <w:szCs w:val="20"/>
                <w:lang w:val="es-419"/>
              </w:rPr>
              <w:t xml:space="preserve"> </w:t>
            </w:r>
            <w:r w:rsidRPr="00D846A4">
              <w:rPr>
                <w:rFonts w:ascii="Arial" w:hAnsi="Arial" w:cs="Arial"/>
                <w:sz w:val="20"/>
                <w:szCs w:val="20"/>
                <w:lang w:val="es-419"/>
              </w:rPr>
              <w:t xml:space="preserve">Política de Educación Inclusiva aprobada por parte del Consejo Nacional de Educación. </w:t>
            </w:r>
          </w:p>
          <w:p w14:paraId="6D0D8EDB" w14:textId="77777777" w:rsidR="008A4C64" w:rsidRPr="00D846A4" w:rsidRDefault="008A4C64" w:rsidP="008A4C64">
            <w:pPr>
              <w:rPr>
                <w:rFonts w:ascii="Arial" w:hAnsi="Arial" w:cs="Arial"/>
                <w:sz w:val="20"/>
                <w:szCs w:val="20"/>
                <w:lang w:val="es-419"/>
              </w:rPr>
            </w:pPr>
          </w:p>
        </w:tc>
        <w:tc>
          <w:tcPr>
            <w:tcW w:w="1899" w:type="dxa"/>
          </w:tcPr>
          <w:p w14:paraId="3C2E6A16" w14:textId="5FB27FEB" w:rsidR="008A4C64" w:rsidRPr="00D846A4" w:rsidRDefault="00AA1C96" w:rsidP="008A4C64">
            <w:pPr>
              <w:jc w:val="both"/>
              <w:rPr>
                <w:rFonts w:ascii="Arial" w:hAnsi="Arial" w:cs="Arial"/>
                <w:sz w:val="20"/>
                <w:szCs w:val="20"/>
                <w:lang w:val="es-419"/>
              </w:rPr>
            </w:pPr>
            <w:r w:rsidRPr="00D846A4">
              <w:rPr>
                <w:rFonts w:ascii="Arial" w:hAnsi="Arial" w:cs="Arial"/>
                <w:sz w:val="20"/>
                <w:szCs w:val="20"/>
                <w:lang w:val="es-419"/>
              </w:rPr>
              <w:t>SEDUC</w:t>
            </w:r>
          </w:p>
        </w:tc>
      </w:tr>
      <w:tr w:rsidR="000170A2" w:rsidRPr="00D846A4" w14:paraId="35AEDBE4" w14:textId="77777777" w:rsidTr="009D4080">
        <w:trPr>
          <w:gridAfter w:val="1"/>
          <w:wAfter w:w="6" w:type="dxa"/>
          <w:jc w:val="center"/>
        </w:trPr>
        <w:tc>
          <w:tcPr>
            <w:tcW w:w="2515" w:type="dxa"/>
          </w:tcPr>
          <w:p w14:paraId="5608E13B" w14:textId="77777777" w:rsidR="000170A2" w:rsidRPr="00D846A4" w:rsidRDefault="000170A2" w:rsidP="00A87822">
            <w:pPr>
              <w:rPr>
                <w:rFonts w:ascii="Arial" w:hAnsi="Arial" w:cs="Arial"/>
                <w:sz w:val="20"/>
                <w:szCs w:val="20"/>
                <w:lang w:val="es-419"/>
              </w:rPr>
            </w:pPr>
          </w:p>
        </w:tc>
        <w:tc>
          <w:tcPr>
            <w:tcW w:w="3933" w:type="dxa"/>
          </w:tcPr>
          <w:p w14:paraId="2DB57192" w14:textId="1FC6E832" w:rsidR="000170A2" w:rsidRPr="00D846A4" w:rsidRDefault="009A3615" w:rsidP="00A87822">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3.2.2. Que haya</w:t>
            </w:r>
            <w:r w:rsidR="00EA6EC2">
              <w:rPr>
                <w:rFonts w:ascii="Arial" w:hAnsi="Arial" w:cs="Arial"/>
                <w:sz w:val="20"/>
                <w:szCs w:val="20"/>
                <w:lang w:val="es-419"/>
              </w:rPr>
              <w:t>n</w:t>
            </w:r>
            <w:r w:rsidRPr="00D846A4">
              <w:rPr>
                <w:rFonts w:ascii="Arial" w:hAnsi="Arial" w:cs="Arial"/>
                <w:sz w:val="20"/>
                <w:szCs w:val="20"/>
                <w:lang w:val="es-419"/>
              </w:rPr>
              <w:t xml:space="preserve"> ingresado estudiantes a centros de educación básica sin el requisito de haber cursado educación prebásica, en cumplimiento con los lineamientos aprobados por la SEDUC.</w:t>
            </w:r>
          </w:p>
        </w:tc>
        <w:tc>
          <w:tcPr>
            <w:tcW w:w="5337" w:type="dxa"/>
          </w:tcPr>
          <w:p w14:paraId="4DF1B340" w14:textId="77777777" w:rsidR="00D95EFB" w:rsidRPr="00D846A4" w:rsidRDefault="00D95EFB" w:rsidP="00D95EFB">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3.2.2. Informe de SACE que contenga el porcentaje de niños en el sistema que están en primer grado y que no tuvieron que cursar prebásica.</w:t>
            </w:r>
          </w:p>
          <w:p w14:paraId="24D2BF6A" w14:textId="77777777" w:rsidR="000170A2" w:rsidRPr="00D846A4" w:rsidRDefault="000170A2" w:rsidP="00A87822">
            <w:pPr>
              <w:autoSpaceDE w:val="0"/>
              <w:autoSpaceDN w:val="0"/>
              <w:adjustRightInd w:val="0"/>
              <w:spacing w:before="120" w:after="120"/>
              <w:rPr>
                <w:rFonts w:ascii="Arial" w:hAnsi="Arial" w:cs="Arial"/>
                <w:sz w:val="20"/>
                <w:szCs w:val="20"/>
                <w:lang w:val="es-419"/>
              </w:rPr>
            </w:pPr>
          </w:p>
        </w:tc>
        <w:tc>
          <w:tcPr>
            <w:tcW w:w="1899" w:type="dxa"/>
          </w:tcPr>
          <w:p w14:paraId="44060306" w14:textId="0B824032" w:rsidR="000170A2" w:rsidRPr="00D846A4" w:rsidRDefault="000B5C7B" w:rsidP="008A4C64">
            <w:pPr>
              <w:jc w:val="both"/>
              <w:rPr>
                <w:rFonts w:ascii="Arial" w:hAnsi="Arial" w:cs="Arial"/>
                <w:sz w:val="20"/>
                <w:szCs w:val="20"/>
                <w:lang w:val="es-419"/>
              </w:rPr>
            </w:pPr>
            <w:r w:rsidRPr="00D846A4">
              <w:rPr>
                <w:rFonts w:ascii="Arial" w:hAnsi="Arial" w:cs="Arial"/>
                <w:sz w:val="20"/>
                <w:szCs w:val="20"/>
                <w:lang w:val="es-419"/>
              </w:rPr>
              <w:t>SEDUC</w:t>
            </w:r>
          </w:p>
        </w:tc>
      </w:tr>
      <w:tr w:rsidR="008B7146" w:rsidRPr="00D846A4" w14:paraId="087FF351" w14:textId="77777777" w:rsidTr="00D846A4">
        <w:trPr>
          <w:gridAfter w:val="1"/>
          <w:wAfter w:w="6" w:type="dxa"/>
          <w:trHeight w:val="3113"/>
          <w:jc w:val="center"/>
        </w:trPr>
        <w:tc>
          <w:tcPr>
            <w:tcW w:w="2515" w:type="dxa"/>
          </w:tcPr>
          <w:p w14:paraId="759CA4C8" w14:textId="77777777" w:rsidR="008B7146" w:rsidRPr="00D846A4" w:rsidRDefault="008B7146" w:rsidP="008B7146">
            <w:pPr>
              <w:rPr>
                <w:rFonts w:ascii="Arial" w:hAnsi="Arial" w:cs="Arial"/>
                <w:sz w:val="20"/>
                <w:szCs w:val="20"/>
                <w:lang w:val="es-419"/>
              </w:rPr>
            </w:pPr>
            <w:r w:rsidRPr="00D846A4">
              <w:rPr>
                <w:rFonts w:ascii="Arial" w:hAnsi="Arial" w:cs="Arial"/>
                <w:sz w:val="20"/>
                <w:szCs w:val="20"/>
                <w:lang w:val="es-419"/>
              </w:rPr>
              <w:t>3.3 Garantizar la sostenibilidad del Modelo de Gestión Descentralizada en salud.</w:t>
            </w:r>
          </w:p>
          <w:p w14:paraId="793FAEE6" w14:textId="77777777" w:rsidR="008B7146" w:rsidRPr="00D846A4" w:rsidRDefault="008B7146" w:rsidP="005B2A4B">
            <w:pPr>
              <w:rPr>
                <w:rFonts w:ascii="Arial" w:hAnsi="Arial" w:cs="Arial"/>
                <w:sz w:val="20"/>
                <w:szCs w:val="20"/>
                <w:lang w:val="es-419"/>
              </w:rPr>
            </w:pPr>
          </w:p>
        </w:tc>
        <w:tc>
          <w:tcPr>
            <w:tcW w:w="3933" w:type="dxa"/>
          </w:tcPr>
          <w:p w14:paraId="15BF83BD" w14:textId="77777777" w:rsidR="008B7146" w:rsidRPr="00D846A4" w:rsidRDefault="008B7146" w:rsidP="008B7146">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3.3.1. Que la implementación del Modelo de Gestión Descentralizada en Salud se haya institucionalizado mediante: </w:t>
            </w:r>
          </w:p>
          <w:p w14:paraId="170291AA" w14:textId="77777777" w:rsidR="00A6660B" w:rsidRPr="00D846A4" w:rsidRDefault="00A6660B" w:rsidP="00A6660B">
            <w:pPr>
              <w:autoSpaceDE w:val="0"/>
              <w:autoSpaceDN w:val="0"/>
              <w:adjustRightInd w:val="0"/>
              <w:spacing w:before="120" w:after="120"/>
              <w:rPr>
                <w:rFonts w:ascii="Arial" w:hAnsi="Arial" w:cs="Arial"/>
                <w:sz w:val="20"/>
                <w:szCs w:val="20"/>
                <w:lang w:val="es-419"/>
              </w:rPr>
            </w:pPr>
            <w:r>
              <w:rPr>
                <w:rStyle w:val="normaltextrun1"/>
                <w:rFonts w:ascii="Arial" w:hAnsi="Arial" w:cs="Arial"/>
                <w:sz w:val="20"/>
                <w:szCs w:val="20"/>
                <w:lang w:val="es-ES"/>
              </w:rPr>
              <w:t>-La aprobación de la n</w:t>
            </w:r>
            <w:proofErr w:type="spellStart"/>
            <w:r w:rsidRPr="00D846A4">
              <w:rPr>
                <w:rFonts w:ascii="Arial" w:hAnsi="Arial" w:cs="Arial"/>
                <w:sz w:val="20"/>
                <w:szCs w:val="20"/>
                <w:lang w:val="es-419"/>
              </w:rPr>
              <w:t>ormativa</w:t>
            </w:r>
            <w:proofErr w:type="spellEnd"/>
            <w:r w:rsidRPr="00D846A4">
              <w:rPr>
                <w:rFonts w:ascii="Arial" w:hAnsi="Arial" w:cs="Arial"/>
                <w:sz w:val="20"/>
                <w:szCs w:val="20"/>
                <w:lang w:val="es-419"/>
              </w:rPr>
              <w:t xml:space="preserve"> de selección de Gestores descentralizados aprobados por Acuerdo Ministerial. </w:t>
            </w:r>
          </w:p>
          <w:p w14:paraId="589AE925" w14:textId="77777777" w:rsidR="00A6660B" w:rsidRPr="00D846A4" w:rsidRDefault="00A6660B" w:rsidP="00A6660B">
            <w:pPr>
              <w:autoSpaceDE w:val="0"/>
              <w:autoSpaceDN w:val="0"/>
              <w:adjustRightInd w:val="0"/>
              <w:spacing w:before="120" w:after="120"/>
              <w:rPr>
                <w:rFonts w:ascii="Arial" w:hAnsi="Arial" w:cs="Arial"/>
                <w:sz w:val="20"/>
                <w:szCs w:val="20"/>
                <w:lang w:val="es-419"/>
              </w:rPr>
            </w:pPr>
            <w:r>
              <w:rPr>
                <w:rFonts w:ascii="Arial" w:hAnsi="Arial" w:cs="Arial"/>
                <w:sz w:val="20"/>
                <w:szCs w:val="20"/>
                <w:lang w:val="es-419"/>
              </w:rPr>
              <w:t>La c</w:t>
            </w:r>
            <w:r w:rsidRPr="00D846A4">
              <w:rPr>
                <w:rFonts w:ascii="Arial" w:hAnsi="Arial" w:cs="Arial"/>
                <w:sz w:val="20"/>
                <w:szCs w:val="20"/>
                <w:lang w:val="es-419"/>
              </w:rPr>
              <w:t xml:space="preserve">ertificación de </w:t>
            </w:r>
            <w:r>
              <w:rPr>
                <w:rFonts w:ascii="Arial" w:hAnsi="Arial" w:cs="Arial"/>
                <w:sz w:val="20"/>
                <w:szCs w:val="20"/>
                <w:lang w:val="es-419"/>
              </w:rPr>
              <w:t xml:space="preserve">al menos </w:t>
            </w:r>
            <w:r w:rsidRPr="00D846A4">
              <w:rPr>
                <w:rFonts w:ascii="Arial" w:hAnsi="Arial" w:cs="Arial"/>
                <w:sz w:val="20"/>
                <w:szCs w:val="20"/>
                <w:lang w:val="es-419"/>
              </w:rPr>
              <w:t xml:space="preserve">5 Gestores descentralizados </w:t>
            </w:r>
            <w:r>
              <w:rPr>
                <w:rFonts w:ascii="Arial" w:hAnsi="Arial" w:cs="Arial"/>
                <w:sz w:val="20"/>
                <w:szCs w:val="20"/>
                <w:lang w:val="es-ES_tradnl"/>
              </w:rPr>
              <w:t xml:space="preserve">(de primer o segundo nivel) </w:t>
            </w:r>
            <w:proofErr w:type="gramStart"/>
            <w:r w:rsidRPr="00D846A4">
              <w:rPr>
                <w:rFonts w:ascii="Arial" w:hAnsi="Arial" w:cs="Arial"/>
                <w:sz w:val="20"/>
                <w:szCs w:val="20"/>
                <w:lang w:val="es-419"/>
              </w:rPr>
              <w:t>de acuerdo a</w:t>
            </w:r>
            <w:proofErr w:type="gramEnd"/>
            <w:r w:rsidRPr="00D846A4">
              <w:rPr>
                <w:rFonts w:ascii="Arial" w:hAnsi="Arial" w:cs="Arial"/>
                <w:sz w:val="20"/>
                <w:szCs w:val="20"/>
                <w:lang w:val="es-419"/>
              </w:rPr>
              <w:t xml:space="preserve"> los </w:t>
            </w:r>
            <w:r>
              <w:rPr>
                <w:rFonts w:ascii="Arial" w:hAnsi="Arial" w:cs="Arial"/>
                <w:sz w:val="20"/>
                <w:szCs w:val="20"/>
                <w:lang w:val="es-419"/>
              </w:rPr>
              <w:t>mecanismos</w:t>
            </w:r>
            <w:r w:rsidRPr="00D846A4">
              <w:rPr>
                <w:rFonts w:ascii="Arial" w:hAnsi="Arial" w:cs="Arial"/>
                <w:sz w:val="20"/>
                <w:szCs w:val="20"/>
                <w:lang w:val="es-419"/>
              </w:rPr>
              <w:t xml:space="preserve"> </w:t>
            </w:r>
            <w:r>
              <w:rPr>
                <w:rFonts w:ascii="Arial" w:hAnsi="Arial" w:cs="Arial"/>
                <w:sz w:val="20"/>
                <w:szCs w:val="20"/>
                <w:lang w:val="es-419"/>
              </w:rPr>
              <w:t>aprobados</w:t>
            </w:r>
            <w:r w:rsidRPr="00D846A4">
              <w:rPr>
                <w:rFonts w:ascii="Arial" w:hAnsi="Arial" w:cs="Arial"/>
                <w:sz w:val="20"/>
                <w:szCs w:val="20"/>
                <w:lang w:val="es-419"/>
              </w:rPr>
              <w:t xml:space="preserve"> de certificación de Gestores.</w:t>
            </w:r>
          </w:p>
          <w:p w14:paraId="42414C15" w14:textId="72088239" w:rsidR="00B43936" w:rsidRDefault="00A6660B" w:rsidP="00A6660B">
            <w:pPr>
              <w:jc w:val="both"/>
              <w:rPr>
                <w:rFonts w:ascii="Arial" w:hAnsi="Arial" w:cs="Arial"/>
                <w:sz w:val="20"/>
                <w:szCs w:val="20"/>
                <w:lang w:val="es-419"/>
              </w:rPr>
            </w:pPr>
            <w:r>
              <w:rPr>
                <w:rStyle w:val="normaltextrun1"/>
                <w:rFonts w:ascii="Arial" w:hAnsi="Arial" w:cs="Arial"/>
                <w:color w:val="000000"/>
                <w:sz w:val="20"/>
                <w:szCs w:val="20"/>
                <w:lang w:val="es-ES"/>
              </w:rPr>
              <w:t xml:space="preserve">-La generación de información nominalizada de la población cubierta con el MGD en el </w:t>
            </w:r>
            <w:r>
              <w:rPr>
                <w:rStyle w:val="normaltextrun1"/>
                <w:rFonts w:ascii="Arial" w:hAnsi="Arial" w:cs="Arial"/>
                <w:sz w:val="20"/>
                <w:szCs w:val="20"/>
                <w:lang w:val="es-ES"/>
              </w:rPr>
              <w:t>20% de los gestores descentralizados.</w:t>
            </w:r>
            <w:r>
              <w:rPr>
                <w:rFonts w:ascii="Arial" w:hAnsi="Arial" w:cs="Arial"/>
                <w:sz w:val="20"/>
                <w:szCs w:val="20"/>
                <w:lang w:val="es-419"/>
              </w:rPr>
              <w:t xml:space="preserve"> </w:t>
            </w:r>
          </w:p>
          <w:p w14:paraId="3F934BF9" w14:textId="77777777" w:rsidR="00B43936" w:rsidRDefault="00B43936" w:rsidP="008B7146">
            <w:pPr>
              <w:jc w:val="both"/>
              <w:rPr>
                <w:rFonts w:ascii="Arial" w:hAnsi="Arial" w:cs="Arial"/>
                <w:sz w:val="20"/>
                <w:szCs w:val="20"/>
                <w:lang w:val="es-419"/>
              </w:rPr>
            </w:pPr>
          </w:p>
          <w:p w14:paraId="096D7E7F" w14:textId="77777777" w:rsidR="00B43936" w:rsidRDefault="00B43936" w:rsidP="008B7146">
            <w:pPr>
              <w:jc w:val="both"/>
              <w:rPr>
                <w:rFonts w:ascii="Arial" w:hAnsi="Arial" w:cs="Arial"/>
                <w:sz w:val="20"/>
                <w:szCs w:val="20"/>
                <w:lang w:val="es-419"/>
              </w:rPr>
            </w:pPr>
          </w:p>
          <w:p w14:paraId="16FE12A3" w14:textId="77777777" w:rsidR="00B43936" w:rsidRDefault="00B43936" w:rsidP="008B7146">
            <w:pPr>
              <w:jc w:val="both"/>
              <w:rPr>
                <w:rFonts w:ascii="Arial" w:hAnsi="Arial" w:cs="Arial"/>
                <w:sz w:val="20"/>
                <w:szCs w:val="20"/>
                <w:lang w:val="es-419"/>
              </w:rPr>
            </w:pPr>
          </w:p>
          <w:p w14:paraId="1B259389" w14:textId="53524A6D" w:rsidR="00B43936" w:rsidRPr="00D846A4" w:rsidRDefault="00B43936" w:rsidP="008B7146">
            <w:pPr>
              <w:jc w:val="both"/>
              <w:rPr>
                <w:rFonts w:ascii="Arial" w:hAnsi="Arial" w:cs="Arial"/>
                <w:sz w:val="20"/>
                <w:szCs w:val="20"/>
                <w:lang w:val="es-419"/>
              </w:rPr>
            </w:pPr>
          </w:p>
        </w:tc>
        <w:tc>
          <w:tcPr>
            <w:tcW w:w="5337" w:type="dxa"/>
          </w:tcPr>
          <w:p w14:paraId="4C284767" w14:textId="3169B117" w:rsidR="008B7146" w:rsidRPr="00D846A4" w:rsidRDefault="008B7146" w:rsidP="008B7146">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3.3.1. Acuerdo Ministerial aprobando la normativa de </w:t>
            </w:r>
            <w:r w:rsidR="00456B98" w:rsidRPr="00D846A4">
              <w:rPr>
                <w:rFonts w:ascii="Arial" w:hAnsi="Arial" w:cs="Arial"/>
                <w:sz w:val="20"/>
                <w:szCs w:val="20"/>
                <w:lang w:val="es-419"/>
              </w:rPr>
              <w:t>selección</w:t>
            </w:r>
            <w:r w:rsidRPr="00D846A4">
              <w:rPr>
                <w:rFonts w:ascii="Arial" w:hAnsi="Arial" w:cs="Arial"/>
                <w:sz w:val="20"/>
                <w:szCs w:val="20"/>
                <w:lang w:val="es-419"/>
              </w:rPr>
              <w:t xml:space="preserve"> de Gestores Descentralizados.</w:t>
            </w:r>
          </w:p>
          <w:p w14:paraId="404807BF" w14:textId="3E60FFCB" w:rsidR="008B7146" w:rsidRPr="00D846A4" w:rsidRDefault="008B7146" w:rsidP="008B7146">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Informe de SESAL verificando la </w:t>
            </w:r>
            <w:r w:rsidR="00456B98" w:rsidRPr="00D846A4">
              <w:rPr>
                <w:rFonts w:ascii="Arial" w:hAnsi="Arial" w:cs="Arial"/>
                <w:sz w:val="20"/>
                <w:szCs w:val="20"/>
                <w:lang w:val="es-419"/>
              </w:rPr>
              <w:t>certificación</w:t>
            </w:r>
            <w:r w:rsidRPr="00D846A4">
              <w:rPr>
                <w:rFonts w:ascii="Arial" w:hAnsi="Arial" w:cs="Arial"/>
                <w:sz w:val="20"/>
                <w:szCs w:val="20"/>
                <w:lang w:val="es-419"/>
              </w:rPr>
              <w:t xml:space="preserve"> de al menos 5 Gestores Descentralizados (de primero o segundo nivel).</w:t>
            </w:r>
          </w:p>
          <w:p w14:paraId="265DEF3F" w14:textId="3C85ADDE" w:rsidR="008B7146" w:rsidRPr="00D846A4" w:rsidRDefault="008B7146" w:rsidP="008B7146">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Oficio de la SESAL con archivos con información nominalizada de 20% (7 gestores) de gestores descentralizados incluyendo nombre, apellido, </w:t>
            </w:r>
            <w:r w:rsidR="00456B98" w:rsidRPr="00D846A4">
              <w:rPr>
                <w:rFonts w:ascii="Arial" w:hAnsi="Arial" w:cs="Arial"/>
                <w:sz w:val="20"/>
                <w:szCs w:val="20"/>
                <w:lang w:val="es-419"/>
              </w:rPr>
              <w:t>dirección</w:t>
            </w:r>
            <w:r w:rsidRPr="00D846A4">
              <w:rPr>
                <w:rFonts w:ascii="Arial" w:hAnsi="Arial" w:cs="Arial"/>
                <w:sz w:val="20"/>
                <w:szCs w:val="20"/>
                <w:lang w:val="es-419"/>
              </w:rPr>
              <w:t>, edad, sexo</w:t>
            </w:r>
            <w:r w:rsidR="00451235">
              <w:rPr>
                <w:rFonts w:ascii="Arial" w:hAnsi="Arial" w:cs="Arial"/>
                <w:sz w:val="20"/>
                <w:szCs w:val="20"/>
                <w:lang w:val="es-419"/>
              </w:rPr>
              <w:t xml:space="preserve"> de al menos 50% de su población</w:t>
            </w:r>
            <w:r w:rsidR="005467BD" w:rsidRPr="005467BD">
              <w:rPr>
                <w:lang w:val="es-ES_tradnl"/>
              </w:rPr>
              <w:t xml:space="preserve"> </w:t>
            </w:r>
            <w:proofErr w:type="gramStart"/>
            <w:r w:rsidR="005467BD" w:rsidRPr="005467BD">
              <w:rPr>
                <w:rFonts w:ascii="Arial" w:hAnsi="Arial" w:cs="Arial"/>
                <w:sz w:val="20"/>
                <w:szCs w:val="20"/>
                <w:lang w:val="es-419"/>
              </w:rPr>
              <w:t>de acuerdo al</w:t>
            </w:r>
            <w:proofErr w:type="gramEnd"/>
            <w:r w:rsidR="005467BD" w:rsidRPr="005467BD">
              <w:rPr>
                <w:rFonts w:ascii="Arial" w:hAnsi="Arial" w:cs="Arial"/>
                <w:sz w:val="20"/>
                <w:szCs w:val="20"/>
                <w:lang w:val="es-419"/>
              </w:rPr>
              <w:t xml:space="preserve"> Instituto Nacional de Estadística</w:t>
            </w:r>
            <w:r w:rsidRPr="00D846A4">
              <w:rPr>
                <w:rFonts w:ascii="Arial" w:hAnsi="Arial" w:cs="Arial"/>
                <w:sz w:val="20"/>
                <w:szCs w:val="20"/>
                <w:lang w:val="es-419"/>
              </w:rPr>
              <w:t xml:space="preserve">. </w:t>
            </w:r>
          </w:p>
          <w:p w14:paraId="0B99AA7E" w14:textId="77777777" w:rsidR="008B7146" w:rsidRPr="00D846A4" w:rsidRDefault="008B7146" w:rsidP="005B2A4B">
            <w:pPr>
              <w:rPr>
                <w:rFonts w:ascii="Arial" w:hAnsi="Arial" w:cs="Arial"/>
                <w:sz w:val="20"/>
                <w:szCs w:val="20"/>
                <w:lang w:val="es-419"/>
              </w:rPr>
            </w:pPr>
          </w:p>
        </w:tc>
        <w:tc>
          <w:tcPr>
            <w:tcW w:w="1899" w:type="dxa"/>
          </w:tcPr>
          <w:p w14:paraId="759D1D94" w14:textId="61D8C798" w:rsidR="004D0BBC" w:rsidRPr="00D846A4" w:rsidRDefault="004D0BBC" w:rsidP="009D4080">
            <w:pPr>
              <w:spacing w:before="120"/>
              <w:jc w:val="both"/>
              <w:rPr>
                <w:rFonts w:ascii="Arial" w:hAnsi="Arial" w:cs="Arial"/>
                <w:sz w:val="20"/>
                <w:szCs w:val="20"/>
                <w:lang w:val="es-419"/>
              </w:rPr>
            </w:pPr>
            <w:r w:rsidRPr="00D846A4">
              <w:rPr>
                <w:rFonts w:ascii="Arial" w:hAnsi="Arial" w:cs="Arial"/>
                <w:sz w:val="20"/>
                <w:szCs w:val="20"/>
                <w:lang w:val="es-419"/>
              </w:rPr>
              <w:t>SESAL</w:t>
            </w:r>
          </w:p>
          <w:p w14:paraId="212E4E56" w14:textId="77777777" w:rsidR="008B7146" w:rsidRPr="00D846A4" w:rsidRDefault="008B7146" w:rsidP="005B2A4B">
            <w:pPr>
              <w:jc w:val="both"/>
              <w:rPr>
                <w:rFonts w:ascii="Arial" w:hAnsi="Arial" w:cs="Arial"/>
                <w:sz w:val="20"/>
                <w:szCs w:val="20"/>
                <w:lang w:val="es-419"/>
              </w:rPr>
            </w:pPr>
          </w:p>
        </w:tc>
      </w:tr>
      <w:tr w:rsidR="00B43936" w:rsidRPr="00A432C9" w14:paraId="54008DAB" w14:textId="77777777" w:rsidTr="002844D4">
        <w:trPr>
          <w:trHeight w:val="350"/>
          <w:jc w:val="center"/>
        </w:trPr>
        <w:tc>
          <w:tcPr>
            <w:tcW w:w="13690" w:type="dxa"/>
            <w:gridSpan w:val="5"/>
            <w:shd w:val="clear" w:color="auto" w:fill="D9D9D9" w:themeFill="background1" w:themeFillShade="D9"/>
            <w:vAlign w:val="center"/>
          </w:tcPr>
          <w:p w14:paraId="137D966D" w14:textId="6E634516" w:rsidR="00B43936" w:rsidRPr="00B43936" w:rsidRDefault="00B43936" w:rsidP="00B43936">
            <w:pPr>
              <w:spacing w:before="60" w:after="60"/>
              <w:jc w:val="both"/>
              <w:rPr>
                <w:rFonts w:ascii="Arial" w:hAnsi="Arial" w:cs="Arial"/>
                <w:b/>
                <w:sz w:val="20"/>
                <w:szCs w:val="20"/>
                <w:lang w:val="es-419"/>
              </w:rPr>
            </w:pPr>
            <w:r w:rsidRPr="00B43936">
              <w:rPr>
                <w:rFonts w:ascii="Arial" w:hAnsi="Arial" w:cs="Arial"/>
                <w:b/>
                <w:sz w:val="20"/>
                <w:szCs w:val="20"/>
                <w:lang w:val="es-419"/>
              </w:rPr>
              <w:lastRenderedPageBreak/>
              <w:t>Componente 4. Sostenibilidad en la coordinación institucional del sector social.</w:t>
            </w:r>
          </w:p>
        </w:tc>
      </w:tr>
      <w:tr w:rsidR="0088602A" w:rsidRPr="00D846A4" w14:paraId="319F5252" w14:textId="77777777" w:rsidTr="009D4080">
        <w:trPr>
          <w:gridAfter w:val="1"/>
          <w:wAfter w:w="6" w:type="dxa"/>
          <w:jc w:val="center"/>
        </w:trPr>
        <w:tc>
          <w:tcPr>
            <w:tcW w:w="2515" w:type="dxa"/>
          </w:tcPr>
          <w:p w14:paraId="7E16FDC3" w14:textId="77777777" w:rsidR="0088602A" w:rsidRPr="00D846A4" w:rsidRDefault="0088602A" w:rsidP="0088602A">
            <w:pPr>
              <w:rPr>
                <w:rFonts w:ascii="Arial" w:hAnsi="Arial" w:cs="Arial"/>
                <w:sz w:val="20"/>
                <w:szCs w:val="20"/>
                <w:lang w:val="es-419"/>
              </w:rPr>
            </w:pPr>
            <w:r w:rsidRPr="00D846A4">
              <w:rPr>
                <w:rFonts w:ascii="Arial" w:hAnsi="Arial" w:cs="Arial"/>
                <w:sz w:val="20"/>
                <w:szCs w:val="20"/>
                <w:lang w:val="es-419"/>
              </w:rPr>
              <w:t>4.1 Fortalecimiento de la gestión del sector social por medio del intercambio y acceso a la información para el monitoreo y seguimiento del cumplimiento de metas.</w:t>
            </w:r>
          </w:p>
          <w:p w14:paraId="376FDF8D" w14:textId="77777777" w:rsidR="0088602A" w:rsidRPr="00D846A4" w:rsidRDefault="0088602A" w:rsidP="001D49FF">
            <w:pPr>
              <w:rPr>
                <w:rFonts w:ascii="Arial" w:hAnsi="Arial" w:cs="Arial"/>
                <w:b/>
                <w:sz w:val="20"/>
                <w:szCs w:val="20"/>
                <w:lang w:val="es-419"/>
              </w:rPr>
            </w:pPr>
          </w:p>
        </w:tc>
        <w:tc>
          <w:tcPr>
            <w:tcW w:w="3933" w:type="dxa"/>
          </w:tcPr>
          <w:p w14:paraId="59DFE688" w14:textId="2CC6767F" w:rsidR="0088602A" w:rsidRPr="00D846A4" w:rsidRDefault="0088602A" w:rsidP="005F08D4">
            <w:pPr>
              <w:keepNext/>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4.1.1. Que se hayan </w:t>
            </w:r>
            <w:r w:rsidR="00456B98" w:rsidRPr="00D846A4">
              <w:rPr>
                <w:rFonts w:ascii="Arial" w:hAnsi="Arial" w:cs="Arial"/>
                <w:sz w:val="20"/>
                <w:szCs w:val="20"/>
                <w:lang w:val="es-419"/>
              </w:rPr>
              <w:t>suscrito por</w:t>
            </w:r>
            <w:r w:rsidRPr="00D846A4">
              <w:rPr>
                <w:rFonts w:ascii="Arial" w:hAnsi="Arial" w:cs="Arial"/>
                <w:sz w:val="20"/>
                <w:szCs w:val="20"/>
                <w:lang w:val="es-419"/>
              </w:rPr>
              <w:t xml:space="preserve"> lo menos tres (3) acuerdo</w:t>
            </w:r>
            <w:r w:rsidR="00EA6EC2">
              <w:rPr>
                <w:rFonts w:ascii="Arial" w:hAnsi="Arial" w:cs="Arial"/>
                <w:sz w:val="20"/>
                <w:szCs w:val="20"/>
                <w:lang w:val="es-419"/>
              </w:rPr>
              <w:t>s</w:t>
            </w:r>
            <w:r w:rsidRPr="00D846A4">
              <w:rPr>
                <w:rFonts w:ascii="Arial" w:hAnsi="Arial" w:cs="Arial"/>
                <w:sz w:val="20"/>
                <w:szCs w:val="20"/>
                <w:lang w:val="es-419"/>
              </w:rPr>
              <w:t xml:space="preserve"> entre las instituciones del Estado en el sector social para compartir información de acuerdo con los términos y condiciones para el intercambio de información emitidos por el Instituto de Acceso a la Información Pública.</w:t>
            </w:r>
          </w:p>
        </w:tc>
        <w:tc>
          <w:tcPr>
            <w:tcW w:w="5337" w:type="dxa"/>
          </w:tcPr>
          <w:p w14:paraId="3D5D134F" w14:textId="2A5E03E9" w:rsidR="0088602A" w:rsidRPr="00D846A4" w:rsidRDefault="0088602A" w:rsidP="0088602A">
            <w:pPr>
              <w:keepNext/>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4.4.1. </w:t>
            </w:r>
            <w:r w:rsidR="004F3A2C">
              <w:rPr>
                <w:rFonts w:ascii="Arial" w:hAnsi="Arial" w:cs="Arial"/>
                <w:sz w:val="20"/>
                <w:szCs w:val="20"/>
                <w:lang w:val="es-419"/>
              </w:rPr>
              <w:t>Tres a</w:t>
            </w:r>
            <w:r w:rsidRPr="00D846A4">
              <w:rPr>
                <w:rFonts w:ascii="Arial" w:hAnsi="Arial" w:cs="Arial"/>
                <w:sz w:val="20"/>
                <w:szCs w:val="20"/>
                <w:lang w:val="es-419"/>
              </w:rPr>
              <w:t xml:space="preserve">cuerdos interinstitucionales suscritos para intercambio de información </w:t>
            </w:r>
            <w:r w:rsidR="004F3A2C">
              <w:rPr>
                <w:rFonts w:ascii="Arial" w:hAnsi="Arial" w:cs="Arial"/>
                <w:sz w:val="20"/>
                <w:szCs w:val="20"/>
                <w:lang w:val="es-419"/>
              </w:rPr>
              <w:t xml:space="preserve">de </w:t>
            </w:r>
            <w:r w:rsidRPr="00D846A4">
              <w:rPr>
                <w:rFonts w:ascii="Arial" w:hAnsi="Arial" w:cs="Arial"/>
                <w:sz w:val="20"/>
                <w:szCs w:val="20"/>
                <w:lang w:val="es-419"/>
              </w:rPr>
              <w:t>entre</w:t>
            </w:r>
            <w:r w:rsidR="004F3A2C">
              <w:rPr>
                <w:rFonts w:ascii="Arial" w:hAnsi="Arial" w:cs="Arial"/>
                <w:sz w:val="20"/>
                <w:szCs w:val="20"/>
                <w:lang w:val="es-419"/>
              </w:rPr>
              <w:t xml:space="preserve"> los siguientes cuatro</w:t>
            </w:r>
            <w:r w:rsidRPr="00D846A4">
              <w:rPr>
                <w:rFonts w:ascii="Arial" w:hAnsi="Arial" w:cs="Arial"/>
                <w:sz w:val="20"/>
                <w:szCs w:val="20"/>
                <w:lang w:val="es-419"/>
              </w:rPr>
              <w:t>:</w:t>
            </w:r>
          </w:p>
          <w:p w14:paraId="36BA9DAF" w14:textId="77777777" w:rsidR="0088602A" w:rsidRPr="00D846A4" w:rsidRDefault="0088602A" w:rsidP="0088602A">
            <w:pPr>
              <w:pStyle w:val="ListParagraph"/>
              <w:keepNext/>
              <w:numPr>
                <w:ilvl w:val="0"/>
                <w:numId w:val="13"/>
              </w:num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CENISS -SESAL</w:t>
            </w:r>
          </w:p>
          <w:p w14:paraId="30401034" w14:textId="77777777" w:rsidR="0088602A" w:rsidRPr="00D846A4" w:rsidRDefault="0088602A" w:rsidP="0088602A">
            <w:pPr>
              <w:pStyle w:val="ListParagraph"/>
              <w:keepNext/>
              <w:numPr>
                <w:ilvl w:val="0"/>
                <w:numId w:val="13"/>
              </w:num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CENISS-SEDUC</w:t>
            </w:r>
          </w:p>
          <w:p w14:paraId="24BA5543" w14:textId="77777777" w:rsidR="0088602A" w:rsidRPr="00D846A4" w:rsidRDefault="0088602A" w:rsidP="0088602A">
            <w:pPr>
              <w:pStyle w:val="ListParagraph"/>
              <w:keepNext/>
              <w:numPr>
                <w:ilvl w:val="0"/>
                <w:numId w:val="13"/>
              </w:num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CENISS-SEDIS</w:t>
            </w:r>
          </w:p>
          <w:p w14:paraId="7D9BE617" w14:textId="7496751D" w:rsidR="0088602A" w:rsidRPr="00D846A4" w:rsidRDefault="0088602A" w:rsidP="00912E15">
            <w:pPr>
              <w:pStyle w:val="ListParagraph"/>
              <w:keepNext/>
              <w:numPr>
                <w:ilvl w:val="0"/>
                <w:numId w:val="13"/>
              </w:numPr>
              <w:autoSpaceDE w:val="0"/>
              <w:autoSpaceDN w:val="0"/>
              <w:adjustRightInd w:val="0"/>
              <w:spacing w:before="120" w:after="120"/>
              <w:rPr>
                <w:rFonts w:ascii="Arial" w:hAnsi="Arial" w:cs="Arial"/>
                <w:sz w:val="20"/>
                <w:szCs w:val="20"/>
                <w:lang w:val="es-419"/>
              </w:rPr>
            </w:pPr>
            <w:bookmarkStart w:id="0" w:name="_GoBack"/>
            <w:bookmarkEnd w:id="0"/>
            <w:r w:rsidRPr="00D846A4">
              <w:rPr>
                <w:rFonts w:ascii="Arial" w:hAnsi="Arial" w:cs="Arial"/>
                <w:sz w:val="20"/>
                <w:szCs w:val="20"/>
                <w:lang w:val="es-419"/>
              </w:rPr>
              <w:t>CENISS-SCGG</w:t>
            </w:r>
          </w:p>
        </w:tc>
        <w:tc>
          <w:tcPr>
            <w:tcW w:w="1899" w:type="dxa"/>
          </w:tcPr>
          <w:p w14:paraId="60D6F5C4" w14:textId="00BC1C24" w:rsidR="0088602A" w:rsidRPr="00D846A4" w:rsidRDefault="0088602A" w:rsidP="001D49FF">
            <w:pPr>
              <w:jc w:val="both"/>
              <w:rPr>
                <w:rFonts w:ascii="Arial" w:hAnsi="Arial" w:cs="Arial"/>
                <w:sz w:val="20"/>
                <w:szCs w:val="20"/>
                <w:lang w:val="es-419"/>
              </w:rPr>
            </w:pPr>
            <w:r w:rsidRPr="00D846A4">
              <w:rPr>
                <w:rFonts w:ascii="Arial" w:hAnsi="Arial" w:cs="Arial"/>
                <w:sz w:val="20"/>
                <w:szCs w:val="20"/>
                <w:lang w:val="es-419"/>
              </w:rPr>
              <w:t>CENISS-SESAL-SEDUC-SEDIS-SCGG</w:t>
            </w:r>
          </w:p>
        </w:tc>
      </w:tr>
      <w:tr w:rsidR="00666899" w:rsidRPr="00D846A4" w14:paraId="76AE5D1C" w14:textId="77777777" w:rsidTr="009D4080">
        <w:trPr>
          <w:gridAfter w:val="1"/>
          <w:wAfter w:w="6" w:type="dxa"/>
          <w:jc w:val="center"/>
        </w:trPr>
        <w:tc>
          <w:tcPr>
            <w:tcW w:w="2515" w:type="dxa"/>
          </w:tcPr>
          <w:p w14:paraId="034A63F2" w14:textId="77777777" w:rsidR="00666899" w:rsidRPr="00D846A4" w:rsidRDefault="00666899" w:rsidP="00666899">
            <w:pPr>
              <w:rPr>
                <w:rFonts w:ascii="Arial" w:hAnsi="Arial" w:cs="Arial"/>
                <w:sz w:val="20"/>
                <w:szCs w:val="20"/>
                <w:lang w:val="es-419"/>
              </w:rPr>
            </w:pPr>
            <w:r w:rsidRPr="00D846A4">
              <w:rPr>
                <w:rFonts w:ascii="Arial" w:hAnsi="Arial" w:cs="Arial"/>
                <w:sz w:val="20"/>
                <w:szCs w:val="20"/>
                <w:lang w:val="es-419"/>
              </w:rPr>
              <w:t>4.2 Mejorar la gestión de información nominal de la Secretaría de Salud para el monitoreo y seguimiento de los objetivos del sector.</w:t>
            </w:r>
          </w:p>
          <w:p w14:paraId="1F624943" w14:textId="77777777" w:rsidR="00666899" w:rsidRPr="00D846A4" w:rsidRDefault="00666899" w:rsidP="0088602A">
            <w:pPr>
              <w:rPr>
                <w:rFonts w:ascii="Arial" w:hAnsi="Arial" w:cs="Arial"/>
                <w:sz w:val="20"/>
                <w:szCs w:val="20"/>
                <w:lang w:val="es-419"/>
              </w:rPr>
            </w:pPr>
          </w:p>
        </w:tc>
        <w:tc>
          <w:tcPr>
            <w:tcW w:w="3933" w:type="dxa"/>
          </w:tcPr>
          <w:p w14:paraId="18A15EB1" w14:textId="64AF0ED5" w:rsidR="00666899" w:rsidRPr="00D846A4" w:rsidRDefault="00666899" w:rsidP="00C11A1E">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4.2.1. Que el Comité Técnico del PBVM haya </w:t>
            </w:r>
            <w:r w:rsidR="00456B98" w:rsidRPr="00D846A4">
              <w:rPr>
                <w:rFonts w:ascii="Arial" w:hAnsi="Arial" w:cs="Arial"/>
                <w:sz w:val="20"/>
                <w:szCs w:val="20"/>
                <w:lang w:val="es-419"/>
              </w:rPr>
              <w:t>aprobado la</w:t>
            </w:r>
            <w:r w:rsidRPr="00D846A4">
              <w:rPr>
                <w:rFonts w:ascii="Arial" w:hAnsi="Arial" w:cs="Arial"/>
                <w:sz w:val="20"/>
                <w:szCs w:val="20"/>
                <w:lang w:val="es-419"/>
              </w:rPr>
              <w:t xml:space="preserve"> verificación de corresponsabilidades de salud </w:t>
            </w:r>
            <w:r w:rsidR="00F75B9B">
              <w:rPr>
                <w:rFonts w:ascii="Arial" w:hAnsi="Arial" w:cs="Arial"/>
                <w:sz w:val="20"/>
                <w:szCs w:val="20"/>
                <w:lang w:val="es-419"/>
              </w:rPr>
              <w:t>utilizando</w:t>
            </w:r>
            <w:r w:rsidRPr="00D846A4">
              <w:rPr>
                <w:rFonts w:ascii="Arial" w:hAnsi="Arial" w:cs="Arial"/>
                <w:sz w:val="20"/>
                <w:szCs w:val="20"/>
                <w:lang w:val="es-419"/>
              </w:rPr>
              <w:t xml:space="preserve"> la información del Sistema Nominal de Vacunación (SINOVA) validada por intercambio de registros entre el RNP y la Unidad de Gestión de la Información (UGI) de la SESAL </w:t>
            </w:r>
            <w:proofErr w:type="gramStart"/>
            <w:r w:rsidRPr="00D846A4">
              <w:rPr>
                <w:rFonts w:ascii="Arial" w:hAnsi="Arial" w:cs="Arial"/>
                <w:sz w:val="20"/>
                <w:szCs w:val="20"/>
                <w:lang w:val="es-419"/>
              </w:rPr>
              <w:t>de acuerdo al</w:t>
            </w:r>
            <w:proofErr w:type="gramEnd"/>
            <w:r w:rsidRPr="00D846A4">
              <w:rPr>
                <w:rFonts w:ascii="Arial" w:hAnsi="Arial" w:cs="Arial"/>
                <w:sz w:val="20"/>
                <w:szCs w:val="20"/>
                <w:lang w:val="es-419"/>
              </w:rPr>
              <w:t xml:space="preserve"> convenio firmado entre SESAL y RNP.</w:t>
            </w:r>
          </w:p>
        </w:tc>
        <w:tc>
          <w:tcPr>
            <w:tcW w:w="5337" w:type="dxa"/>
          </w:tcPr>
          <w:p w14:paraId="071265CA" w14:textId="77777777" w:rsidR="00666899" w:rsidRPr="00D846A4" w:rsidRDefault="00666899" w:rsidP="00666899">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4.2.1. Acta de Comité Técnico del PBVM con verificación de corresponsabilidades de salud con el uso de la información del Sistema Nominal de Vacunación (SINOVA) validada por intercambio de registros entre el RNP y la Unidad de Gestión de la Información (UGI) de la SESAL de acuerdo con el convenio firmado entre SESAL y RNP.</w:t>
            </w:r>
          </w:p>
          <w:p w14:paraId="01BA6D7E" w14:textId="77777777" w:rsidR="00666899" w:rsidRPr="00D846A4" w:rsidRDefault="00666899" w:rsidP="0088602A">
            <w:pPr>
              <w:keepNext/>
              <w:autoSpaceDE w:val="0"/>
              <w:autoSpaceDN w:val="0"/>
              <w:adjustRightInd w:val="0"/>
              <w:spacing w:before="120" w:after="120"/>
              <w:rPr>
                <w:rFonts w:ascii="Arial" w:hAnsi="Arial" w:cs="Arial"/>
                <w:sz w:val="20"/>
                <w:szCs w:val="20"/>
                <w:lang w:val="es-419"/>
              </w:rPr>
            </w:pPr>
          </w:p>
        </w:tc>
        <w:tc>
          <w:tcPr>
            <w:tcW w:w="1899" w:type="dxa"/>
          </w:tcPr>
          <w:p w14:paraId="68072F4C" w14:textId="47630237" w:rsidR="00666899" w:rsidRPr="00D846A4" w:rsidRDefault="00E60A83" w:rsidP="001D49FF">
            <w:pPr>
              <w:jc w:val="both"/>
              <w:rPr>
                <w:rFonts w:ascii="Arial" w:hAnsi="Arial" w:cs="Arial"/>
                <w:sz w:val="20"/>
                <w:szCs w:val="20"/>
                <w:lang w:val="es-419"/>
              </w:rPr>
            </w:pPr>
            <w:r w:rsidRPr="00D846A4">
              <w:rPr>
                <w:rFonts w:ascii="Arial" w:hAnsi="Arial" w:cs="Arial"/>
                <w:sz w:val="20"/>
                <w:szCs w:val="20"/>
                <w:lang w:val="es-419"/>
              </w:rPr>
              <w:t>SESAL</w:t>
            </w:r>
          </w:p>
        </w:tc>
      </w:tr>
      <w:tr w:rsidR="00E60A83" w:rsidRPr="00D846A4" w14:paraId="3DCC5689" w14:textId="77777777" w:rsidTr="009D4080">
        <w:trPr>
          <w:gridAfter w:val="1"/>
          <w:wAfter w:w="6" w:type="dxa"/>
          <w:jc w:val="center"/>
        </w:trPr>
        <w:tc>
          <w:tcPr>
            <w:tcW w:w="2515" w:type="dxa"/>
          </w:tcPr>
          <w:p w14:paraId="0CFEAC91" w14:textId="77777777" w:rsidR="00E60A83" w:rsidRPr="00D846A4" w:rsidRDefault="00E60A83" w:rsidP="00E60A83">
            <w:pPr>
              <w:rPr>
                <w:rFonts w:ascii="Arial" w:hAnsi="Arial" w:cs="Arial"/>
                <w:sz w:val="20"/>
                <w:szCs w:val="20"/>
                <w:lang w:val="es-419"/>
              </w:rPr>
            </w:pPr>
            <w:r w:rsidRPr="00D846A4">
              <w:rPr>
                <w:rFonts w:ascii="Arial" w:hAnsi="Arial" w:cs="Arial"/>
                <w:sz w:val="20"/>
                <w:szCs w:val="20"/>
                <w:lang w:val="es-419"/>
              </w:rPr>
              <w:t>4.3 Modernización de la gestión de la información de la Secretaría de Salud con énfasis en la primera infancia</w:t>
            </w:r>
          </w:p>
          <w:p w14:paraId="5F015A72" w14:textId="77777777" w:rsidR="00E60A83" w:rsidRPr="00D846A4" w:rsidRDefault="00E60A83" w:rsidP="001D49FF">
            <w:pPr>
              <w:rPr>
                <w:rFonts w:ascii="Arial" w:hAnsi="Arial" w:cs="Arial"/>
                <w:b/>
                <w:sz w:val="20"/>
                <w:szCs w:val="20"/>
                <w:lang w:val="es-419"/>
              </w:rPr>
            </w:pPr>
          </w:p>
        </w:tc>
        <w:tc>
          <w:tcPr>
            <w:tcW w:w="3933" w:type="dxa"/>
          </w:tcPr>
          <w:p w14:paraId="26F28807" w14:textId="0F19B1A6" w:rsidR="00E60A83" w:rsidRPr="00D846A4" w:rsidRDefault="00E60A83"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4.3.1. Que se haya instaurado y esté operando la nueva tecnología de inteligencia artificial para la captura digital del SINOVA en al menos 27 centros de acopio de </w:t>
            </w:r>
            <w:r w:rsidR="00456B98" w:rsidRPr="00D846A4">
              <w:rPr>
                <w:rFonts w:ascii="Arial" w:hAnsi="Arial" w:cs="Arial"/>
                <w:sz w:val="20"/>
                <w:szCs w:val="20"/>
                <w:lang w:val="es-419"/>
              </w:rPr>
              <w:t>información</w:t>
            </w:r>
            <w:r w:rsidRPr="00D846A4">
              <w:rPr>
                <w:rFonts w:ascii="Arial" w:hAnsi="Arial" w:cs="Arial"/>
                <w:sz w:val="20"/>
                <w:szCs w:val="20"/>
                <w:lang w:val="es-419"/>
              </w:rPr>
              <w:t xml:space="preserve"> de la SESAL. </w:t>
            </w:r>
          </w:p>
          <w:p w14:paraId="51F7C37F" w14:textId="77777777" w:rsidR="00E60A83" w:rsidRPr="00D846A4" w:rsidRDefault="00E60A83" w:rsidP="001D49FF">
            <w:pPr>
              <w:rPr>
                <w:rFonts w:ascii="Arial" w:hAnsi="Arial" w:cs="Arial"/>
                <w:sz w:val="20"/>
                <w:szCs w:val="20"/>
                <w:lang w:val="es-419"/>
              </w:rPr>
            </w:pPr>
          </w:p>
        </w:tc>
        <w:tc>
          <w:tcPr>
            <w:tcW w:w="5337" w:type="dxa"/>
          </w:tcPr>
          <w:p w14:paraId="166E9EC2" w14:textId="6BFF8666" w:rsidR="00E60A83" w:rsidRPr="00D846A4" w:rsidRDefault="00E60A83"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4.3.1. Informe de la SESAL verificando la </w:t>
            </w:r>
            <w:r w:rsidR="00456B98" w:rsidRPr="00D846A4">
              <w:rPr>
                <w:rFonts w:ascii="Arial" w:hAnsi="Arial" w:cs="Arial"/>
                <w:sz w:val="20"/>
                <w:szCs w:val="20"/>
                <w:lang w:val="es-419"/>
              </w:rPr>
              <w:t>implementación</w:t>
            </w:r>
            <w:r w:rsidRPr="00D846A4">
              <w:rPr>
                <w:rFonts w:ascii="Arial" w:hAnsi="Arial" w:cs="Arial"/>
                <w:sz w:val="20"/>
                <w:szCs w:val="20"/>
                <w:lang w:val="es-419"/>
              </w:rPr>
              <w:t xml:space="preserve"> de la </w:t>
            </w:r>
            <w:r w:rsidR="00456B98" w:rsidRPr="00D846A4">
              <w:rPr>
                <w:rFonts w:ascii="Arial" w:hAnsi="Arial" w:cs="Arial"/>
                <w:sz w:val="20"/>
                <w:szCs w:val="20"/>
                <w:lang w:val="es-419"/>
              </w:rPr>
              <w:t>solución</w:t>
            </w:r>
            <w:r w:rsidRPr="00D846A4">
              <w:rPr>
                <w:rFonts w:ascii="Arial" w:hAnsi="Arial" w:cs="Arial"/>
                <w:sz w:val="20"/>
                <w:szCs w:val="20"/>
                <w:lang w:val="es-419"/>
              </w:rPr>
              <w:t xml:space="preserve"> en 27 centros de acopio. La </w:t>
            </w:r>
            <w:r w:rsidR="00456B98" w:rsidRPr="00D846A4">
              <w:rPr>
                <w:rFonts w:ascii="Arial" w:hAnsi="Arial" w:cs="Arial"/>
                <w:sz w:val="20"/>
                <w:szCs w:val="20"/>
                <w:lang w:val="es-419"/>
              </w:rPr>
              <w:t>implementación</w:t>
            </w:r>
            <w:r w:rsidRPr="00D846A4">
              <w:rPr>
                <w:rFonts w:ascii="Arial" w:hAnsi="Arial" w:cs="Arial"/>
                <w:sz w:val="20"/>
                <w:szCs w:val="20"/>
                <w:lang w:val="es-419"/>
              </w:rPr>
              <w:t xml:space="preserve"> debe verificar que en cada centro de acopio se tiene:</w:t>
            </w:r>
          </w:p>
          <w:p w14:paraId="2CCD3FBC" w14:textId="367584BC" w:rsidR="00E60A83" w:rsidRPr="00D846A4" w:rsidRDefault="00E60A83"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Personal capacitado en la nueva </w:t>
            </w:r>
            <w:r w:rsidR="00456B98" w:rsidRPr="00D846A4">
              <w:rPr>
                <w:rFonts w:ascii="Arial" w:hAnsi="Arial" w:cs="Arial"/>
                <w:sz w:val="20"/>
                <w:szCs w:val="20"/>
                <w:lang w:val="es-419"/>
              </w:rPr>
              <w:t>aplicación</w:t>
            </w:r>
            <w:r w:rsidRPr="00D846A4">
              <w:rPr>
                <w:rFonts w:ascii="Arial" w:hAnsi="Arial" w:cs="Arial"/>
                <w:sz w:val="20"/>
                <w:szCs w:val="20"/>
                <w:lang w:val="es-419"/>
              </w:rPr>
              <w:t xml:space="preserve"> (lista de personal firmado)</w:t>
            </w:r>
          </w:p>
          <w:p w14:paraId="5912DF2B" w14:textId="77777777" w:rsidR="00E60A83" w:rsidRPr="00D846A4" w:rsidRDefault="00E60A83"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Tabletas en centro (actas de entrega)</w:t>
            </w:r>
          </w:p>
          <w:p w14:paraId="44086696" w14:textId="1096A9C3" w:rsidR="00E60A83" w:rsidRPr="00D846A4" w:rsidRDefault="00456B98"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Información</w:t>
            </w:r>
            <w:r w:rsidR="00E60A83" w:rsidRPr="00D846A4">
              <w:rPr>
                <w:rFonts w:ascii="Arial" w:hAnsi="Arial" w:cs="Arial"/>
                <w:sz w:val="20"/>
                <w:szCs w:val="20"/>
                <w:lang w:val="es-419"/>
              </w:rPr>
              <w:t xml:space="preserve"> cargada a </w:t>
            </w:r>
            <w:r w:rsidRPr="00D846A4">
              <w:rPr>
                <w:rFonts w:ascii="Arial" w:hAnsi="Arial" w:cs="Arial"/>
                <w:sz w:val="20"/>
                <w:szCs w:val="20"/>
                <w:lang w:val="es-419"/>
              </w:rPr>
              <w:t>través</w:t>
            </w:r>
            <w:r w:rsidR="00E60A83" w:rsidRPr="00D846A4">
              <w:rPr>
                <w:rFonts w:ascii="Arial" w:hAnsi="Arial" w:cs="Arial"/>
                <w:sz w:val="20"/>
                <w:szCs w:val="20"/>
                <w:lang w:val="es-419"/>
              </w:rPr>
              <w:t xml:space="preserve"> de la </w:t>
            </w:r>
            <w:r w:rsidRPr="00D846A4">
              <w:rPr>
                <w:rFonts w:ascii="Arial" w:hAnsi="Arial" w:cs="Arial"/>
                <w:sz w:val="20"/>
                <w:szCs w:val="20"/>
                <w:lang w:val="es-419"/>
              </w:rPr>
              <w:t>aplicación</w:t>
            </w:r>
            <w:r w:rsidR="00E60A83" w:rsidRPr="00D846A4">
              <w:rPr>
                <w:rFonts w:ascii="Arial" w:hAnsi="Arial" w:cs="Arial"/>
                <w:sz w:val="20"/>
                <w:szCs w:val="20"/>
                <w:lang w:val="es-419"/>
              </w:rPr>
              <w:t xml:space="preserve"> (reporte de sistema con </w:t>
            </w:r>
            <w:r w:rsidRPr="00D846A4">
              <w:rPr>
                <w:rFonts w:ascii="Arial" w:hAnsi="Arial" w:cs="Arial"/>
                <w:sz w:val="20"/>
                <w:szCs w:val="20"/>
                <w:lang w:val="es-419"/>
              </w:rPr>
              <w:t>información</w:t>
            </w:r>
            <w:r w:rsidR="00E60A83" w:rsidRPr="00D846A4">
              <w:rPr>
                <w:rFonts w:ascii="Arial" w:hAnsi="Arial" w:cs="Arial"/>
                <w:sz w:val="20"/>
                <w:szCs w:val="20"/>
                <w:lang w:val="es-419"/>
              </w:rPr>
              <w:t xml:space="preserve"> cargada por cada centro).</w:t>
            </w:r>
          </w:p>
          <w:p w14:paraId="11546CE6" w14:textId="77777777" w:rsidR="00E60A83" w:rsidRPr="00D846A4" w:rsidRDefault="00E60A83" w:rsidP="00E60A83">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Formato nuevo de formulario en todos los establecimientos de salud de los 27 municipios (nota de recepción).</w:t>
            </w:r>
          </w:p>
          <w:p w14:paraId="6EE27650" w14:textId="77777777" w:rsidR="00E60A83" w:rsidRPr="00D846A4" w:rsidRDefault="00E60A83" w:rsidP="00E60A83">
            <w:pPr>
              <w:jc w:val="both"/>
              <w:rPr>
                <w:rFonts w:ascii="Arial" w:hAnsi="Arial" w:cs="Arial"/>
                <w:sz w:val="20"/>
                <w:szCs w:val="20"/>
                <w:lang w:val="es-419"/>
              </w:rPr>
            </w:pPr>
            <w:r w:rsidRPr="00D846A4">
              <w:rPr>
                <w:rFonts w:ascii="Arial" w:hAnsi="Arial" w:cs="Arial"/>
                <w:sz w:val="20"/>
                <w:szCs w:val="20"/>
                <w:lang w:val="es-419"/>
              </w:rPr>
              <w:t>Indicadores de desempeño en cada centro de acopio.</w:t>
            </w:r>
          </w:p>
          <w:p w14:paraId="2913B12F" w14:textId="77777777" w:rsidR="00E60A83" w:rsidRPr="00D846A4" w:rsidRDefault="00E60A83" w:rsidP="00392BD6">
            <w:pPr>
              <w:jc w:val="both"/>
              <w:rPr>
                <w:rFonts w:ascii="Arial" w:hAnsi="Arial" w:cs="Arial"/>
                <w:sz w:val="20"/>
                <w:szCs w:val="20"/>
                <w:lang w:val="es-419"/>
              </w:rPr>
            </w:pPr>
          </w:p>
        </w:tc>
        <w:tc>
          <w:tcPr>
            <w:tcW w:w="1899" w:type="dxa"/>
          </w:tcPr>
          <w:p w14:paraId="73812DF0" w14:textId="11DFD4D1" w:rsidR="00E60A83" w:rsidRPr="00D846A4" w:rsidRDefault="00E60A83" w:rsidP="001D49FF">
            <w:pPr>
              <w:jc w:val="both"/>
              <w:rPr>
                <w:rFonts w:ascii="Arial" w:hAnsi="Arial" w:cs="Arial"/>
                <w:sz w:val="20"/>
                <w:szCs w:val="20"/>
                <w:lang w:val="es-419"/>
              </w:rPr>
            </w:pPr>
            <w:r w:rsidRPr="00D846A4">
              <w:rPr>
                <w:rFonts w:ascii="Arial" w:hAnsi="Arial" w:cs="Arial"/>
                <w:sz w:val="20"/>
                <w:szCs w:val="20"/>
                <w:lang w:val="es-419"/>
              </w:rPr>
              <w:t>SESAL</w:t>
            </w:r>
          </w:p>
        </w:tc>
      </w:tr>
      <w:tr w:rsidR="001D49FF" w:rsidRPr="00D846A4" w14:paraId="18617762" w14:textId="77777777" w:rsidTr="009D4080">
        <w:trPr>
          <w:gridAfter w:val="1"/>
          <w:wAfter w:w="6" w:type="dxa"/>
          <w:jc w:val="center"/>
        </w:trPr>
        <w:tc>
          <w:tcPr>
            <w:tcW w:w="2515" w:type="dxa"/>
          </w:tcPr>
          <w:p w14:paraId="1B198FC8" w14:textId="77777777" w:rsidR="00311D1F" w:rsidRPr="00D846A4" w:rsidRDefault="00311D1F" w:rsidP="00311D1F">
            <w:pPr>
              <w:rPr>
                <w:rFonts w:ascii="Arial" w:hAnsi="Arial" w:cs="Arial"/>
                <w:sz w:val="20"/>
                <w:szCs w:val="20"/>
                <w:lang w:val="es-419"/>
              </w:rPr>
            </w:pPr>
            <w:r w:rsidRPr="00D846A4">
              <w:rPr>
                <w:rFonts w:ascii="Arial" w:hAnsi="Arial" w:cs="Arial"/>
                <w:sz w:val="20"/>
                <w:szCs w:val="20"/>
                <w:lang w:val="es-419"/>
              </w:rPr>
              <w:lastRenderedPageBreak/>
              <w:t>4.4 Institucionalización del Sistema de Administración de Centros Educativos (SACE) para el monitoreo y seguimiento de metas en el sector educativo.</w:t>
            </w:r>
          </w:p>
          <w:p w14:paraId="63036698" w14:textId="12F92143" w:rsidR="001D49FF" w:rsidRPr="00D846A4" w:rsidRDefault="001D49FF" w:rsidP="00A92D2C">
            <w:pPr>
              <w:rPr>
                <w:rFonts w:ascii="Arial" w:hAnsi="Arial" w:cs="Arial"/>
                <w:sz w:val="20"/>
                <w:szCs w:val="20"/>
                <w:lang w:val="es-419"/>
              </w:rPr>
            </w:pPr>
          </w:p>
        </w:tc>
        <w:tc>
          <w:tcPr>
            <w:tcW w:w="3933" w:type="dxa"/>
          </w:tcPr>
          <w:p w14:paraId="2C560995" w14:textId="463D91CF" w:rsidR="007A47DB" w:rsidRPr="00D846A4" w:rsidRDefault="007A47DB" w:rsidP="00C11A1E">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4.4.1. Que todas las direcciones departamentales (18) del país y al menos 35 unidades centrales, 100 direcciones municipales y 8 distritales </w:t>
            </w:r>
            <w:r w:rsidR="00456B98" w:rsidRPr="00D846A4">
              <w:rPr>
                <w:rFonts w:ascii="Arial" w:hAnsi="Arial" w:cs="Arial"/>
                <w:sz w:val="20"/>
                <w:szCs w:val="20"/>
                <w:lang w:val="es-419"/>
              </w:rPr>
              <w:t>estén</w:t>
            </w:r>
            <w:r w:rsidRPr="00D846A4">
              <w:rPr>
                <w:rFonts w:ascii="Arial" w:hAnsi="Arial" w:cs="Arial"/>
                <w:sz w:val="20"/>
                <w:szCs w:val="20"/>
                <w:lang w:val="es-419"/>
              </w:rPr>
              <w:t xml:space="preserve"> accediendo al SACE para consultar información a través de acceso en línea de usuarios aprobados.</w:t>
            </w:r>
          </w:p>
        </w:tc>
        <w:tc>
          <w:tcPr>
            <w:tcW w:w="5337" w:type="dxa"/>
          </w:tcPr>
          <w:p w14:paraId="58DC8E78" w14:textId="377509D1" w:rsidR="005A1CA0" w:rsidRPr="00D846A4" w:rsidRDefault="005A1CA0" w:rsidP="005A1CA0">
            <w:pPr>
              <w:autoSpaceDE w:val="0"/>
              <w:autoSpaceDN w:val="0"/>
              <w:adjustRightInd w:val="0"/>
              <w:spacing w:before="120" w:after="120"/>
              <w:rPr>
                <w:rFonts w:ascii="Arial" w:hAnsi="Arial" w:cs="Arial"/>
                <w:sz w:val="20"/>
                <w:szCs w:val="20"/>
                <w:lang w:val="es-419"/>
              </w:rPr>
            </w:pPr>
            <w:r w:rsidRPr="00D846A4">
              <w:rPr>
                <w:rFonts w:ascii="Arial" w:hAnsi="Arial" w:cs="Arial"/>
                <w:sz w:val="20"/>
                <w:szCs w:val="20"/>
                <w:lang w:val="es-419"/>
              </w:rPr>
              <w:t xml:space="preserve">4.4.1. Récords de acceso a la base de datos SACE en un periodo de tres meses anteriores a la </w:t>
            </w:r>
            <w:r w:rsidR="00456B98" w:rsidRPr="00D846A4">
              <w:rPr>
                <w:rFonts w:ascii="Arial" w:hAnsi="Arial" w:cs="Arial"/>
                <w:sz w:val="20"/>
                <w:szCs w:val="20"/>
                <w:lang w:val="es-419"/>
              </w:rPr>
              <w:t>emisión</w:t>
            </w:r>
            <w:r w:rsidRPr="00D846A4">
              <w:rPr>
                <w:rFonts w:ascii="Arial" w:hAnsi="Arial" w:cs="Arial"/>
                <w:sz w:val="20"/>
                <w:szCs w:val="20"/>
                <w:lang w:val="es-419"/>
              </w:rPr>
              <w:t xml:space="preserve"> del informe. El informe debe incluir los nombres de las Unidades incluidas en el reporte.</w:t>
            </w:r>
          </w:p>
          <w:p w14:paraId="66B8D970" w14:textId="4376C0FA" w:rsidR="005A1CA0" w:rsidRPr="00D846A4" w:rsidRDefault="005A1CA0" w:rsidP="003F5AE0">
            <w:pPr>
              <w:jc w:val="both"/>
              <w:rPr>
                <w:rFonts w:ascii="Arial" w:hAnsi="Arial" w:cs="Arial"/>
                <w:sz w:val="20"/>
                <w:szCs w:val="20"/>
                <w:lang w:val="es-419"/>
              </w:rPr>
            </w:pPr>
          </w:p>
        </w:tc>
        <w:tc>
          <w:tcPr>
            <w:tcW w:w="1899" w:type="dxa"/>
          </w:tcPr>
          <w:p w14:paraId="06632361" w14:textId="717054DF" w:rsidR="004406CA" w:rsidRPr="00D846A4" w:rsidRDefault="00BE242A" w:rsidP="00524204">
            <w:pPr>
              <w:spacing w:before="120"/>
              <w:jc w:val="both"/>
              <w:rPr>
                <w:rFonts w:ascii="Arial" w:hAnsi="Arial" w:cs="Arial"/>
                <w:sz w:val="20"/>
                <w:szCs w:val="20"/>
                <w:lang w:val="es-419"/>
              </w:rPr>
            </w:pPr>
            <w:r w:rsidRPr="00D846A4">
              <w:rPr>
                <w:rFonts w:ascii="Arial" w:hAnsi="Arial" w:cs="Arial"/>
                <w:sz w:val="20"/>
                <w:szCs w:val="20"/>
                <w:lang w:val="es-419"/>
              </w:rPr>
              <w:t>SEDUC</w:t>
            </w:r>
            <w:r w:rsidR="00392EC5">
              <w:rPr>
                <w:rFonts w:ascii="Arial" w:hAnsi="Arial" w:cs="Arial"/>
                <w:sz w:val="20"/>
                <w:szCs w:val="20"/>
                <w:lang w:val="es-419"/>
              </w:rPr>
              <w:t>.</w:t>
            </w:r>
          </w:p>
          <w:p w14:paraId="5082A41E" w14:textId="77777777" w:rsidR="004406CA" w:rsidRPr="00D846A4" w:rsidRDefault="004406CA" w:rsidP="001D49FF">
            <w:pPr>
              <w:jc w:val="both"/>
              <w:rPr>
                <w:rFonts w:ascii="Arial" w:hAnsi="Arial" w:cs="Arial"/>
                <w:sz w:val="20"/>
                <w:szCs w:val="20"/>
                <w:lang w:val="es-419"/>
              </w:rPr>
            </w:pPr>
          </w:p>
          <w:p w14:paraId="5C1E7AFF" w14:textId="22380EA7" w:rsidR="004406CA" w:rsidRPr="00D846A4" w:rsidRDefault="004406CA" w:rsidP="00A92D2C">
            <w:pPr>
              <w:jc w:val="both"/>
              <w:rPr>
                <w:rFonts w:ascii="Arial" w:hAnsi="Arial" w:cs="Arial"/>
                <w:sz w:val="20"/>
                <w:szCs w:val="20"/>
                <w:lang w:val="es-419"/>
              </w:rPr>
            </w:pPr>
          </w:p>
        </w:tc>
      </w:tr>
    </w:tbl>
    <w:p w14:paraId="6E2DAFE8" w14:textId="77777777" w:rsidR="00820F78" w:rsidRPr="00D846A4" w:rsidRDefault="00820F78">
      <w:pPr>
        <w:rPr>
          <w:rFonts w:ascii="Arial" w:hAnsi="Arial" w:cs="Arial"/>
          <w:sz w:val="20"/>
          <w:szCs w:val="20"/>
          <w:lang w:val="es-419"/>
        </w:rPr>
      </w:pPr>
    </w:p>
    <w:sectPr w:rsidR="00820F78" w:rsidRPr="00D846A4" w:rsidSect="001B0175">
      <w:headerReference w:type="default" r:id="rId14"/>
      <w:pgSz w:w="15840" w:h="12240" w:orient="landscape"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84308" w14:textId="77777777" w:rsidR="004727D7" w:rsidRDefault="004727D7" w:rsidP="009F0B87">
      <w:pPr>
        <w:spacing w:after="0" w:line="240" w:lineRule="auto"/>
      </w:pPr>
      <w:r>
        <w:separator/>
      </w:r>
    </w:p>
  </w:endnote>
  <w:endnote w:type="continuationSeparator" w:id="0">
    <w:p w14:paraId="6A9FCFA1" w14:textId="77777777" w:rsidR="004727D7" w:rsidRDefault="004727D7" w:rsidP="009F0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1DEEC" w14:textId="77777777" w:rsidR="004727D7" w:rsidRDefault="004727D7" w:rsidP="009F0B87">
      <w:pPr>
        <w:spacing w:after="0" w:line="240" w:lineRule="auto"/>
      </w:pPr>
      <w:r>
        <w:separator/>
      </w:r>
    </w:p>
  </w:footnote>
  <w:footnote w:type="continuationSeparator" w:id="0">
    <w:p w14:paraId="5A61FAB4" w14:textId="77777777" w:rsidR="004727D7" w:rsidRDefault="004727D7" w:rsidP="009F0B87">
      <w:pPr>
        <w:spacing w:after="0" w:line="240" w:lineRule="auto"/>
      </w:pPr>
      <w:r>
        <w:continuationSeparator/>
      </w:r>
    </w:p>
  </w:footnote>
  <w:footnote w:id="1">
    <w:p w14:paraId="32C0B419" w14:textId="6048B166" w:rsidR="00D41372" w:rsidRPr="00BB3881" w:rsidRDefault="00D41372" w:rsidP="00BB3881">
      <w:pPr>
        <w:pStyle w:val="FootnoteText"/>
        <w:jc w:val="both"/>
        <w:rPr>
          <w:rFonts w:ascii="Arial" w:hAnsi="Arial" w:cs="Arial"/>
          <w:sz w:val="18"/>
          <w:szCs w:val="18"/>
          <w:lang w:val="es-419"/>
        </w:rPr>
      </w:pPr>
      <w:r w:rsidRPr="00BB3881">
        <w:rPr>
          <w:rStyle w:val="FootnoteReference"/>
          <w:rFonts w:ascii="Arial" w:hAnsi="Arial" w:cs="Arial"/>
          <w:sz w:val="18"/>
          <w:szCs w:val="18"/>
        </w:rPr>
        <w:footnoteRef/>
      </w:r>
      <w:r w:rsidRPr="00BB3881">
        <w:rPr>
          <w:rFonts w:ascii="Arial" w:hAnsi="Arial" w:cs="Arial"/>
          <w:sz w:val="18"/>
          <w:szCs w:val="18"/>
          <w:lang w:val="es-419"/>
        </w:rPr>
        <w:t xml:space="preserve"> El monto de referencia pagado en 2018 por el PBVM es de 918 millones de Lempiras que representaron 251,719 hogares que recibieron al menos una transferencia durante el 2018. El monto puede variar para el mismo </w:t>
      </w:r>
      <w:r w:rsidR="00456B98" w:rsidRPr="00BB3881">
        <w:rPr>
          <w:rFonts w:ascii="Arial" w:hAnsi="Arial" w:cs="Arial"/>
          <w:sz w:val="18"/>
          <w:szCs w:val="18"/>
          <w:lang w:val="es-419"/>
        </w:rPr>
        <w:t>número</w:t>
      </w:r>
      <w:r w:rsidRPr="00BB3881">
        <w:rPr>
          <w:rFonts w:ascii="Arial" w:hAnsi="Arial" w:cs="Arial"/>
          <w:sz w:val="18"/>
          <w:szCs w:val="18"/>
          <w:lang w:val="es-419"/>
        </w:rPr>
        <w:t xml:space="preserve"> de hogares debido al cumplimiento de condicionalidades y a la estructura de las familias. </w:t>
      </w:r>
    </w:p>
  </w:footnote>
  <w:footnote w:id="2">
    <w:p w14:paraId="4877E3D8" w14:textId="7FBF3A76" w:rsidR="00BB3881" w:rsidRPr="00BB3881" w:rsidRDefault="00BB3881" w:rsidP="00BB3881">
      <w:pPr>
        <w:pStyle w:val="FootnoteText"/>
        <w:jc w:val="both"/>
        <w:rPr>
          <w:rFonts w:ascii="Arial" w:hAnsi="Arial" w:cs="Arial"/>
          <w:sz w:val="18"/>
          <w:szCs w:val="18"/>
          <w:lang w:val="es-ES_tradnl"/>
        </w:rPr>
      </w:pPr>
      <w:r w:rsidRPr="00BB3881">
        <w:rPr>
          <w:rStyle w:val="FootnoteReference"/>
          <w:rFonts w:ascii="Arial" w:hAnsi="Arial" w:cs="Arial"/>
          <w:sz w:val="18"/>
          <w:szCs w:val="18"/>
        </w:rPr>
        <w:footnoteRef/>
      </w:r>
      <w:r w:rsidRPr="00BB3881">
        <w:rPr>
          <w:rFonts w:ascii="Arial" w:hAnsi="Arial" w:cs="Arial"/>
          <w:sz w:val="18"/>
          <w:szCs w:val="18"/>
          <w:lang w:val="es-ES_tradnl"/>
        </w:rPr>
        <w:t xml:space="preserve"> El 70% se aplica al número de hogares pobres identificados en el mapa de pobreza por ingreso creado con el censo de 2013. Esto garantiza que el levantamiento priorizará los lugares que tienen mayores brechas de cobertura de programas sociales. Ver cuadro 2 del POD para la meta numérica que se utilizará para validar el cumplimiento de la condición.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477648756"/>
      <w:docPartObj>
        <w:docPartGallery w:val="Page Numbers (Top of Page)"/>
        <w:docPartUnique/>
      </w:docPartObj>
    </w:sdtPr>
    <w:sdtEndPr/>
    <w:sdtContent>
      <w:p w14:paraId="6496DC9F" w14:textId="03A1BE7C" w:rsidR="001C1B52" w:rsidRPr="00E04273" w:rsidRDefault="00C46191">
        <w:pPr>
          <w:pStyle w:val="Header"/>
          <w:jc w:val="right"/>
          <w:rPr>
            <w:rFonts w:ascii="Arial" w:hAnsi="Arial" w:cs="Arial"/>
            <w:sz w:val="20"/>
            <w:szCs w:val="20"/>
            <w:lang w:val="es-HN"/>
          </w:rPr>
        </w:pPr>
        <w:r>
          <w:rPr>
            <w:rFonts w:ascii="Arial" w:hAnsi="Arial" w:cs="Arial"/>
            <w:sz w:val="20"/>
            <w:szCs w:val="20"/>
            <w:lang w:val="es-HN"/>
          </w:rPr>
          <w:t>EER#2</w:t>
        </w:r>
        <w:r w:rsidR="001C1B52" w:rsidRPr="00E04273">
          <w:rPr>
            <w:rFonts w:ascii="Arial" w:hAnsi="Arial" w:cs="Arial"/>
            <w:sz w:val="20"/>
            <w:szCs w:val="20"/>
            <w:lang w:val="es-HN"/>
          </w:rPr>
          <w:t xml:space="preserve"> – HO-</w:t>
        </w:r>
        <w:r w:rsidR="00D61D20" w:rsidRPr="00E04273">
          <w:rPr>
            <w:rFonts w:ascii="Arial" w:hAnsi="Arial" w:cs="Arial"/>
            <w:sz w:val="20"/>
            <w:szCs w:val="20"/>
            <w:lang w:val="es-HN"/>
          </w:rPr>
          <w:t>L1</w:t>
        </w:r>
        <w:r w:rsidR="009F6792">
          <w:rPr>
            <w:rFonts w:ascii="Arial" w:hAnsi="Arial" w:cs="Arial"/>
            <w:sz w:val="20"/>
            <w:szCs w:val="20"/>
            <w:lang w:val="es-HN"/>
          </w:rPr>
          <w:t>204</w:t>
        </w:r>
      </w:p>
      <w:p w14:paraId="0A9AAAB0" w14:textId="21044CB8" w:rsidR="001C1B52" w:rsidRPr="00E04273" w:rsidRDefault="001C1B52">
        <w:pPr>
          <w:pStyle w:val="Header"/>
          <w:jc w:val="right"/>
          <w:rPr>
            <w:rFonts w:ascii="Arial" w:hAnsi="Arial" w:cs="Arial"/>
            <w:sz w:val="20"/>
            <w:szCs w:val="20"/>
            <w:lang w:val="es-HN"/>
          </w:rPr>
        </w:pPr>
        <w:r w:rsidRPr="00E04273">
          <w:rPr>
            <w:rFonts w:ascii="Arial" w:hAnsi="Arial" w:cs="Arial"/>
            <w:sz w:val="20"/>
            <w:szCs w:val="20"/>
            <w:lang w:val="es-HN"/>
          </w:rPr>
          <w:t xml:space="preserve">Página </w:t>
        </w:r>
        <w:r w:rsidRPr="001C1B52">
          <w:rPr>
            <w:rFonts w:ascii="Arial" w:hAnsi="Arial" w:cs="Arial"/>
            <w:bCs/>
            <w:sz w:val="20"/>
            <w:szCs w:val="20"/>
          </w:rPr>
          <w:fldChar w:fldCharType="begin"/>
        </w:r>
        <w:r w:rsidRPr="00E04273">
          <w:rPr>
            <w:rFonts w:ascii="Arial" w:hAnsi="Arial" w:cs="Arial"/>
            <w:bCs/>
            <w:sz w:val="20"/>
            <w:szCs w:val="20"/>
            <w:lang w:val="es-HN"/>
          </w:rPr>
          <w:instrText xml:space="preserve"> PAGE </w:instrText>
        </w:r>
        <w:r w:rsidRPr="001C1B52">
          <w:rPr>
            <w:rFonts w:ascii="Arial" w:hAnsi="Arial" w:cs="Arial"/>
            <w:bCs/>
            <w:sz w:val="20"/>
            <w:szCs w:val="20"/>
          </w:rPr>
          <w:fldChar w:fldCharType="separate"/>
        </w:r>
        <w:r w:rsidR="003A1947">
          <w:rPr>
            <w:rFonts w:ascii="Arial" w:hAnsi="Arial" w:cs="Arial"/>
            <w:bCs/>
            <w:noProof/>
            <w:sz w:val="20"/>
            <w:szCs w:val="20"/>
            <w:lang w:val="es-HN"/>
          </w:rPr>
          <w:t>2</w:t>
        </w:r>
        <w:r w:rsidRPr="001C1B52">
          <w:rPr>
            <w:rFonts w:ascii="Arial" w:hAnsi="Arial" w:cs="Arial"/>
            <w:bCs/>
            <w:sz w:val="20"/>
            <w:szCs w:val="20"/>
          </w:rPr>
          <w:fldChar w:fldCharType="end"/>
        </w:r>
        <w:r w:rsidRPr="00E04273">
          <w:rPr>
            <w:rFonts w:ascii="Arial" w:hAnsi="Arial" w:cs="Arial"/>
            <w:sz w:val="20"/>
            <w:szCs w:val="20"/>
            <w:lang w:val="es-HN"/>
          </w:rPr>
          <w:t xml:space="preserve"> de </w:t>
        </w:r>
        <w:r w:rsidRPr="001C1B52">
          <w:rPr>
            <w:rFonts w:ascii="Arial" w:hAnsi="Arial" w:cs="Arial"/>
            <w:bCs/>
            <w:sz w:val="20"/>
            <w:szCs w:val="20"/>
          </w:rPr>
          <w:fldChar w:fldCharType="begin"/>
        </w:r>
        <w:r w:rsidRPr="00E04273">
          <w:rPr>
            <w:rFonts w:ascii="Arial" w:hAnsi="Arial" w:cs="Arial"/>
            <w:bCs/>
            <w:sz w:val="20"/>
            <w:szCs w:val="20"/>
            <w:lang w:val="es-HN"/>
          </w:rPr>
          <w:instrText xml:space="preserve"> NUMPAGES  </w:instrText>
        </w:r>
        <w:r w:rsidRPr="001C1B52">
          <w:rPr>
            <w:rFonts w:ascii="Arial" w:hAnsi="Arial" w:cs="Arial"/>
            <w:bCs/>
            <w:sz w:val="20"/>
            <w:szCs w:val="20"/>
          </w:rPr>
          <w:fldChar w:fldCharType="separate"/>
        </w:r>
        <w:r w:rsidR="003A1947">
          <w:rPr>
            <w:rFonts w:ascii="Arial" w:hAnsi="Arial" w:cs="Arial"/>
            <w:bCs/>
            <w:noProof/>
            <w:sz w:val="20"/>
            <w:szCs w:val="20"/>
            <w:lang w:val="es-HN"/>
          </w:rPr>
          <w:t>6</w:t>
        </w:r>
        <w:r w:rsidRPr="001C1B52">
          <w:rPr>
            <w:rFonts w:ascii="Arial" w:hAnsi="Arial" w:cs="Arial"/>
            <w:bCs/>
            <w:sz w:val="20"/>
            <w:szCs w:val="20"/>
          </w:rPr>
          <w:fldChar w:fldCharType="end"/>
        </w:r>
      </w:p>
    </w:sdtContent>
  </w:sdt>
  <w:p w14:paraId="6A92DD21" w14:textId="77777777" w:rsidR="001C1B52" w:rsidRPr="00E04273" w:rsidRDefault="001C1B52" w:rsidP="001C1B52">
    <w:pPr>
      <w:pStyle w:val="Header"/>
      <w:jc w:val="right"/>
      <w:rPr>
        <w:rFonts w:ascii="Arial" w:hAnsi="Arial" w:cs="Arial"/>
        <w:sz w:val="20"/>
        <w:szCs w:val="20"/>
        <w:lang w:val="es-H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45279"/>
    <w:multiLevelType w:val="hybridMultilevel"/>
    <w:tmpl w:val="8AC2C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142AA1"/>
    <w:multiLevelType w:val="hybridMultilevel"/>
    <w:tmpl w:val="5BA074C8"/>
    <w:lvl w:ilvl="0" w:tplc="3A066B0E">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2D3E65DF"/>
    <w:multiLevelType w:val="hybridMultilevel"/>
    <w:tmpl w:val="20724014"/>
    <w:lvl w:ilvl="0" w:tplc="2ADEE628">
      <w:numFmt w:val="bullet"/>
      <w:lvlText w:val="-"/>
      <w:lvlJc w:val="left"/>
      <w:pPr>
        <w:ind w:left="360" w:hanging="360"/>
      </w:pPr>
      <w:rPr>
        <w:rFonts w:ascii="Times New Roman" w:eastAsia="Times New Roman" w:hAnsi="Times New Roman" w:cs="Times New Roman"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 w15:restartNumberingAfterBreak="0">
    <w:nsid w:val="359B4991"/>
    <w:multiLevelType w:val="multilevel"/>
    <w:tmpl w:val="9288EA3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47501EC3"/>
    <w:multiLevelType w:val="hybridMultilevel"/>
    <w:tmpl w:val="707CCEB8"/>
    <w:lvl w:ilvl="0" w:tplc="3A066B0E">
      <w:start w:val="1"/>
      <w:numFmt w:val="lowerRoman"/>
      <w:lvlText w:val="(%1)"/>
      <w:lvlJc w:val="left"/>
      <w:pPr>
        <w:ind w:left="720" w:hanging="72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5" w15:restartNumberingAfterBreak="0">
    <w:nsid w:val="4A0F6590"/>
    <w:multiLevelType w:val="hybridMultilevel"/>
    <w:tmpl w:val="7056206C"/>
    <w:lvl w:ilvl="0" w:tplc="3A066B0E">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574C4F3D"/>
    <w:multiLevelType w:val="hybridMultilevel"/>
    <w:tmpl w:val="544EAADA"/>
    <w:lvl w:ilvl="0" w:tplc="FF38B750">
      <w:start w:val="1"/>
      <w:numFmt w:val="lowerRoman"/>
      <w:lvlText w:val="%1)"/>
      <w:lvlJc w:val="left"/>
      <w:pPr>
        <w:ind w:left="360" w:hanging="360"/>
      </w:pPr>
      <w:rPr>
        <w:rFonts w:ascii="Times New Roman" w:eastAsia="Times New Roman" w:hAnsi="Times New Roman" w:cs="Times New Roman"/>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 w15:restartNumberingAfterBreak="0">
    <w:nsid w:val="5DF83FF3"/>
    <w:multiLevelType w:val="hybridMultilevel"/>
    <w:tmpl w:val="4008E36E"/>
    <w:lvl w:ilvl="0" w:tplc="D5E076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4E21F1"/>
    <w:multiLevelType w:val="hybridMultilevel"/>
    <w:tmpl w:val="AC98E6BE"/>
    <w:lvl w:ilvl="0" w:tplc="3A066B0E">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63190925"/>
    <w:multiLevelType w:val="hybridMultilevel"/>
    <w:tmpl w:val="EF02CADA"/>
    <w:lvl w:ilvl="0" w:tplc="3A066B0E">
      <w:start w:val="1"/>
      <w:numFmt w:val="lowerRoman"/>
      <w:lvlText w:val="(%1)"/>
      <w:lvlJc w:val="left"/>
      <w:pPr>
        <w:ind w:left="720" w:hanging="72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0" w15:restartNumberingAfterBreak="0">
    <w:nsid w:val="66726EE6"/>
    <w:multiLevelType w:val="hybridMultilevel"/>
    <w:tmpl w:val="0498B77E"/>
    <w:lvl w:ilvl="0" w:tplc="F3C221EE">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 w15:restartNumberingAfterBreak="0">
    <w:nsid w:val="6AD40652"/>
    <w:multiLevelType w:val="multilevel"/>
    <w:tmpl w:val="2C3A26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7473035"/>
    <w:multiLevelType w:val="hybridMultilevel"/>
    <w:tmpl w:val="F62A50B2"/>
    <w:lvl w:ilvl="0" w:tplc="153C04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2"/>
  </w:num>
  <w:num w:numId="4">
    <w:abstractNumId w:val="2"/>
  </w:num>
  <w:num w:numId="5">
    <w:abstractNumId w:val="10"/>
  </w:num>
  <w:num w:numId="6">
    <w:abstractNumId w:val="1"/>
  </w:num>
  <w:num w:numId="7">
    <w:abstractNumId w:val="9"/>
  </w:num>
  <w:num w:numId="8">
    <w:abstractNumId w:val="5"/>
  </w:num>
  <w:num w:numId="9">
    <w:abstractNumId w:val="8"/>
  </w:num>
  <w:num w:numId="10">
    <w:abstractNumId w:val="4"/>
  </w:num>
  <w:num w:numId="11">
    <w:abstractNumId w:val="11"/>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pt-BR" w:vendorID="64" w:dllVersion="6" w:nlCheck="1" w:checkStyle="0"/>
  <w:activeWritingStyle w:appName="MSWord" w:lang="es-DO" w:vendorID="64" w:dllVersion="6" w:nlCheck="1" w:checkStyle="1"/>
  <w:activeWritingStyle w:appName="MSWord" w:lang="es-HN"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HN" w:vendorID="64" w:dllVersion="0" w:nlCheck="1" w:checkStyle="0"/>
  <w:activeWritingStyle w:appName="MSWord" w:lang="es-ES_tradnl" w:vendorID="64" w:dllVersion="0" w:nlCheck="1" w:checkStyle="0"/>
  <w:activeWritingStyle w:appName="MSWord" w:lang="es-DO" w:vendorID="64" w:dllVersion="0" w:nlCheck="1" w:checkStyle="0"/>
  <w:activeWritingStyle w:appName="MSWord" w:lang="es-419"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F78"/>
    <w:rsid w:val="00012346"/>
    <w:rsid w:val="000170A2"/>
    <w:rsid w:val="000225DA"/>
    <w:rsid w:val="00030572"/>
    <w:rsid w:val="000457FD"/>
    <w:rsid w:val="00055A10"/>
    <w:rsid w:val="00062447"/>
    <w:rsid w:val="00071259"/>
    <w:rsid w:val="00076C09"/>
    <w:rsid w:val="000930FF"/>
    <w:rsid w:val="000944DA"/>
    <w:rsid w:val="00096F9E"/>
    <w:rsid w:val="000A5241"/>
    <w:rsid w:val="000A5B76"/>
    <w:rsid w:val="000B3851"/>
    <w:rsid w:val="000B5C7B"/>
    <w:rsid w:val="000B6DC4"/>
    <w:rsid w:val="000C6153"/>
    <w:rsid w:val="000D1E1C"/>
    <w:rsid w:val="000E772D"/>
    <w:rsid w:val="00111767"/>
    <w:rsid w:val="001256F6"/>
    <w:rsid w:val="00186290"/>
    <w:rsid w:val="001A640A"/>
    <w:rsid w:val="001B0175"/>
    <w:rsid w:val="001B3BD0"/>
    <w:rsid w:val="001B6785"/>
    <w:rsid w:val="001C1B52"/>
    <w:rsid w:val="001C34D0"/>
    <w:rsid w:val="001C7F76"/>
    <w:rsid w:val="001D49FF"/>
    <w:rsid w:val="001F7A3C"/>
    <w:rsid w:val="00212044"/>
    <w:rsid w:val="0021495C"/>
    <w:rsid w:val="00231589"/>
    <w:rsid w:val="00242DAF"/>
    <w:rsid w:val="0024465E"/>
    <w:rsid w:val="00277390"/>
    <w:rsid w:val="0029639D"/>
    <w:rsid w:val="002B4382"/>
    <w:rsid w:val="002D08A3"/>
    <w:rsid w:val="003013DF"/>
    <w:rsid w:val="00310921"/>
    <w:rsid w:val="00311D1F"/>
    <w:rsid w:val="00354FEF"/>
    <w:rsid w:val="00362CD1"/>
    <w:rsid w:val="00381EB1"/>
    <w:rsid w:val="003918A5"/>
    <w:rsid w:val="00392BD6"/>
    <w:rsid w:val="00392EC5"/>
    <w:rsid w:val="003A0974"/>
    <w:rsid w:val="003A1947"/>
    <w:rsid w:val="003C125D"/>
    <w:rsid w:val="003D1A96"/>
    <w:rsid w:val="003D68FA"/>
    <w:rsid w:val="003F2B5B"/>
    <w:rsid w:val="003F5AE0"/>
    <w:rsid w:val="003F5E3E"/>
    <w:rsid w:val="004025A0"/>
    <w:rsid w:val="004060B6"/>
    <w:rsid w:val="00410C07"/>
    <w:rsid w:val="00410D44"/>
    <w:rsid w:val="00413918"/>
    <w:rsid w:val="004406CA"/>
    <w:rsid w:val="00451235"/>
    <w:rsid w:val="00456B98"/>
    <w:rsid w:val="0047014E"/>
    <w:rsid w:val="004727D7"/>
    <w:rsid w:val="00472EA9"/>
    <w:rsid w:val="004732F0"/>
    <w:rsid w:val="00490ACB"/>
    <w:rsid w:val="00495612"/>
    <w:rsid w:val="004A3E35"/>
    <w:rsid w:val="004A52C5"/>
    <w:rsid w:val="004B2E6F"/>
    <w:rsid w:val="004B36A8"/>
    <w:rsid w:val="004C7852"/>
    <w:rsid w:val="004D0BBC"/>
    <w:rsid w:val="004E0B6D"/>
    <w:rsid w:val="004F1F51"/>
    <w:rsid w:val="004F3267"/>
    <w:rsid w:val="004F3A2C"/>
    <w:rsid w:val="0051660A"/>
    <w:rsid w:val="005225C5"/>
    <w:rsid w:val="00524204"/>
    <w:rsid w:val="00524712"/>
    <w:rsid w:val="005467BD"/>
    <w:rsid w:val="00554381"/>
    <w:rsid w:val="00556B1E"/>
    <w:rsid w:val="005960BD"/>
    <w:rsid w:val="005A1CA0"/>
    <w:rsid w:val="005A63F5"/>
    <w:rsid w:val="005B2A4B"/>
    <w:rsid w:val="005D1D02"/>
    <w:rsid w:val="005D56E5"/>
    <w:rsid w:val="005E79B0"/>
    <w:rsid w:val="005F08D4"/>
    <w:rsid w:val="005F3CBC"/>
    <w:rsid w:val="005F4CED"/>
    <w:rsid w:val="005F7C57"/>
    <w:rsid w:val="0060675E"/>
    <w:rsid w:val="00617E71"/>
    <w:rsid w:val="006220D2"/>
    <w:rsid w:val="006350DA"/>
    <w:rsid w:val="00666899"/>
    <w:rsid w:val="00672EA5"/>
    <w:rsid w:val="0067710C"/>
    <w:rsid w:val="006910A6"/>
    <w:rsid w:val="00696AD9"/>
    <w:rsid w:val="006A553D"/>
    <w:rsid w:val="006A73F9"/>
    <w:rsid w:val="006D09E1"/>
    <w:rsid w:val="00702E25"/>
    <w:rsid w:val="00734817"/>
    <w:rsid w:val="00736395"/>
    <w:rsid w:val="00736BD2"/>
    <w:rsid w:val="0073793D"/>
    <w:rsid w:val="00741020"/>
    <w:rsid w:val="007608A5"/>
    <w:rsid w:val="0076154A"/>
    <w:rsid w:val="007752CD"/>
    <w:rsid w:val="00781846"/>
    <w:rsid w:val="00786E1C"/>
    <w:rsid w:val="007A47DB"/>
    <w:rsid w:val="007A5A3C"/>
    <w:rsid w:val="007B3441"/>
    <w:rsid w:val="007B4E14"/>
    <w:rsid w:val="007B6A78"/>
    <w:rsid w:val="007D5763"/>
    <w:rsid w:val="007D5FA9"/>
    <w:rsid w:val="00803B7D"/>
    <w:rsid w:val="008147ED"/>
    <w:rsid w:val="00820F78"/>
    <w:rsid w:val="0083066E"/>
    <w:rsid w:val="00830C91"/>
    <w:rsid w:val="00864DD0"/>
    <w:rsid w:val="00865CEC"/>
    <w:rsid w:val="00867944"/>
    <w:rsid w:val="0087263C"/>
    <w:rsid w:val="00876F5B"/>
    <w:rsid w:val="008775BA"/>
    <w:rsid w:val="00877DE2"/>
    <w:rsid w:val="0088602A"/>
    <w:rsid w:val="008A4C64"/>
    <w:rsid w:val="008B7146"/>
    <w:rsid w:val="008D0AD3"/>
    <w:rsid w:val="008D1001"/>
    <w:rsid w:val="008D113A"/>
    <w:rsid w:val="008D24DF"/>
    <w:rsid w:val="008F2ED1"/>
    <w:rsid w:val="00903C06"/>
    <w:rsid w:val="00906892"/>
    <w:rsid w:val="00912E15"/>
    <w:rsid w:val="00920547"/>
    <w:rsid w:val="00921FD4"/>
    <w:rsid w:val="009336CE"/>
    <w:rsid w:val="0093377F"/>
    <w:rsid w:val="00936133"/>
    <w:rsid w:val="009453AD"/>
    <w:rsid w:val="009558AD"/>
    <w:rsid w:val="0096521E"/>
    <w:rsid w:val="009A3615"/>
    <w:rsid w:val="009C06EF"/>
    <w:rsid w:val="009C2DF5"/>
    <w:rsid w:val="009D4080"/>
    <w:rsid w:val="009D72A4"/>
    <w:rsid w:val="009E3388"/>
    <w:rsid w:val="009E5B04"/>
    <w:rsid w:val="009E6801"/>
    <w:rsid w:val="009E6C24"/>
    <w:rsid w:val="009F0B87"/>
    <w:rsid w:val="009F6792"/>
    <w:rsid w:val="00A00B5B"/>
    <w:rsid w:val="00A15BBB"/>
    <w:rsid w:val="00A26304"/>
    <w:rsid w:val="00A27E72"/>
    <w:rsid w:val="00A432C9"/>
    <w:rsid w:val="00A6660B"/>
    <w:rsid w:val="00A76E5E"/>
    <w:rsid w:val="00A86514"/>
    <w:rsid w:val="00A87822"/>
    <w:rsid w:val="00A91B6B"/>
    <w:rsid w:val="00A92D2C"/>
    <w:rsid w:val="00AA1C96"/>
    <w:rsid w:val="00AD017F"/>
    <w:rsid w:val="00AE2615"/>
    <w:rsid w:val="00AE2B4A"/>
    <w:rsid w:val="00B01686"/>
    <w:rsid w:val="00B10BF5"/>
    <w:rsid w:val="00B11E59"/>
    <w:rsid w:val="00B20C88"/>
    <w:rsid w:val="00B20FEF"/>
    <w:rsid w:val="00B25EDB"/>
    <w:rsid w:val="00B322A2"/>
    <w:rsid w:val="00B36AAD"/>
    <w:rsid w:val="00B43936"/>
    <w:rsid w:val="00B553F7"/>
    <w:rsid w:val="00B577CE"/>
    <w:rsid w:val="00B87790"/>
    <w:rsid w:val="00B9246C"/>
    <w:rsid w:val="00BB3881"/>
    <w:rsid w:val="00BB462E"/>
    <w:rsid w:val="00BE1C0C"/>
    <w:rsid w:val="00BE242A"/>
    <w:rsid w:val="00BE4420"/>
    <w:rsid w:val="00BE70A4"/>
    <w:rsid w:val="00BF42FA"/>
    <w:rsid w:val="00C06BDB"/>
    <w:rsid w:val="00C1151A"/>
    <w:rsid w:val="00C11A1E"/>
    <w:rsid w:val="00C213C9"/>
    <w:rsid w:val="00C4585C"/>
    <w:rsid w:val="00C46191"/>
    <w:rsid w:val="00C55AE0"/>
    <w:rsid w:val="00C7320F"/>
    <w:rsid w:val="00C94895"/>
    <w:rsid w:val="00CF160A"/>
    <w:rsid w:val="00D11E89"/>
    <w:rsid w:val="00D13F37"/>
    <w:rsid w:val="00D303CD"/>
    <w:rsid w:val="00D3417D"/>
    <w:rsid w:val="00D41372"/>
    <w:rsid w:val="00D44912"/>
    <w:rsid w:val="00D57CB4"/>
    <w:rsid w:val="00D600CE"/>
    <w:rsid w:val="00D61D20"/>
    <w:rsid w:val="00D64D27"/>
    <w:rsid w:val="00D846A4"/>
    <w:rsid w:val="00D86C8D"/>
    <w:rsid w:val="00D93260"/>
    <w:rsid w:val="00D95EFB"/>
    <w:rsid w:val="00DB1B5D"/>
    <w:rsid w:val="00DB279E"/>
    <w:rsid w:val="00DB68AC"/>
    <w:rsid w:val="00DE24C0"/>
    <w:rsid w:val="00DE33AC"/>
    <w:rsid w:val="00DF53A1"/>
    <w:rsid w:val="00E04273"/>
    <w:rsid w:val="00E22191"/>
    <w:rsid w:val="00E31391"/>
    <w:rsid w:val="00E347BC"/>
    <w:rsid w:val="00E34C23"/>
    <w:rsid w:val="00E42707"/>
    <w:rsid w:val="00E5057E"/>
    <w:rsid w:val="00E60A83"/>
    <w:rsid w:val="00E652C9"/>
    <w:rsid w:val="00E76547"/>
    <w:rsid w:val="00E846B0"/>
    <w:rsid w:val="00E95963"/>
    <w:rsid w:val="00E96393"/>
    <w:rsid w:val="00EA36B4"/>
    <w:rsid w:val="00EA6EC2"/>
    <w:rsid w:val="00EB152E"/>
    <w:rsid w:val="00EB6002"/>
    <w:rsid w:val="00EC7DAB"/>
    <w:rsid w:val="00ED04E9"/>
    <w:rsid w:val="00ED079B"/>
    <w:rsid w:val="00ED1DA6"/>
    <w:rsid w:val="00EE43AD"/>
    <w:rsid w:val="00EF2DC3"/>
    <w:rsid w:val="00EF580E"/>
    <w:rsid w:val="00F042DB"/>
    <w:rsid w:val="00F56BFD"/>
    <w:rsid w:val="00F601CF"/>
    <w:rsid w:val="00F61901"/>
    <w:rsid w:val="00F7248B"/>
    <w:rsid w:val="00F75B9B"/>
    <w:rsid w:val="00F774FF"/>
    <w:rsid w:val="00FA2E16"/>
    <w:rsid w:val="00FA5FBC"/>
    <w:rsid w:val="00FA746A"/>
    <w:rsid w:val="00FB1FEB"/>
    <w:rsid w:val="00FD6AD3"/>
    <w:rsid w:val="00FE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F82E"/>
  <w15:docId w15:val="{EB60D00F-09CB-43F8-81E2-A92FC6D8A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0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F0B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B87"/>
    <w:rPr>
      <w:sz w:val="20"/>
      <w:szCs w:val="20"/>
    </w:rPr>
  </w:style>
  <w:style w:type="character" w:styleId="FootnoteReference">
    <w:name w:val="footnote reference"/>
    <w:basedOn w:val="DefaultParagraphFont"/>
    <w:uiPriority w:val="99"/>
    <w:semiHidden/>
    <w:unhideWhenUsed/>
    <w:rsid w:val="009F0B87"/>
    <w:rPr>
      <w:vertAlign w:val="superscript"/>
    </w:rPr>
  </w:style>
  <w:style w:type="paragraph" w:styleId="Header">
    <w:name w:val="header"/>
    <w:basedOn w:val="Normal"/>
    <w:link w:val="HeaderChar"/>
    <w:uiPriority w:val="99"/>
    <w:unhideWhenUsed/>
    <w:rsid w:val="00E34C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C23"/>
  </w:style>
  <w:style w:type="paragraph" w:styleId="Footer">
    <w:name w:val="footer"/>
    <w:basedOn w:val="Normal"/>
    <w:link w:val="FooterChar"/>
    <w:uiPriority w:val="99"/>
    <w:unhideWhenUsed/>
    <w:rsid w:val="00E34C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C23"/>
  </w:style>
  <w:style w:type="character" w:styleId="CommentReference">
    <w:name w:val="annotation reference"/>
    <w:basedOn w:val="DefaultParagraphFont"/>
    <w:uiPriority w:val="99"/>
    <w:semiHidden/>
    <w:unhideWhenUsed/>
    <w:rsid w:val="00A15BBB"/>
    <w:rPr>
      <w:sz w:val="16"/>
      <w:szCs w:val="16"/>
    </w:rPr>
  </w:style>
  <w:style w:type="paragraph" w:styleId="CommentText">
    <w:name w:val="annotation text"/>
    <w:basedOn w:val="Normal"/>
    <w:link w:val="CommentTextChar"/>
    <w:uiPriority w:val="99"/>
    <w:semiHidden/>
    <w:unhideWhenUsed/>
    <w:rsid w:val="00A15BBB"/>
    <w:pPr>
      <w:spacing w:line="240" w:lineRule="auto"/>
    </w:pPr>
    <w:rPr>
      <w:sz w:val="20"/>
      <w:szCs w:val="20"/>
    </w:rPr>
  </w:style>
  <w:style w:type="character" w:customStyle="1" w:styleId="CommentTextChar">
    <w:name w:val="Comment Text Char"/>
    <w:basedOn w:val="DefaultParagraphFont"/>
    <w:link w:val="CommentText"/>
    <w:uiPriority w:val="99"/>
    <w:semiHidden/>
    <w:rsid w:val="00A15BBB"/>
    <w:rPr>
      <w:sz w:val="20"/>
      <w:szCs w:val="20"/>
    </w:rPr>
  </w:style>
  <w:style w:type="paragraph" w:styleId="CommentSubject">
    <w:name w:val="annotation subject"/>
    <w:basedOn w:val="CommentText"/>
    <w:next w:val="CommentText"/>
    <w:link w:val="CommentSubjectChar"/>
    <w:uiPriority w:val="99"/>
    <w:semiHidden/>
    <w:unhideWhenUsed/>
    <w:rsid w:val="00A15BBB"/>
    <w:rPr>
      <w:b/>
      <w:bCs/>
    </w:rPr>
  </w:style>
  <w:style w:type="character" w:customStyle="1" w:styleId="CommentSubjectChar">
    <w:name w:val="Comment Subject Char"/>
    <w:basedOn w:val="CommentTextChar"/>
    <w:link w:val="CommentSubject"/>
    <w:uiPriority w:val="99"/>
    <w:semiHidden/>
    <w:rsid w:val="00A15BBB"/>
    <w:rPr>
      <w:b/>
      <w:bCs/>
      <w:sz w:val="20"/>
      <w:szCs w:val="20"/>
    </w:rPr>
  </w:style>
  <w:style w:type="paragraph" w:styleId="BalloonText">
    <w:name w:val="Balloon Text"/>
    <w:basedOn w:val="Normal"/>
    <w:link w:val="BalloonTextChar"/>
    <w:uiPriority w:val="99"/>
    <w:semiHidden/>
    <w:unhideWhenUsed/>
    <w:rsid w:val="00A15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BBB"/>
    <w:rPr>
      <w:rFonts w:ascii="Tahoma" w:hAnsi="Tahoma" w:cs="Tahoma"/>
      <w:sz w:val="16"/>
      <w:szCs w:val="16"/>
    </w:rPr>
  </w:style>
  <w:style w:type="paragraph" w:styleId="ListParagraph">
    <w:name w:val="List Paragraph"/>
    <w:basedOn w:val="Normal"/>
    <w:uiPriority w:val="34"/>
    <w:qFormat/>
    <w:rsid w:val="00702E25"/>
    <w:pPr>
      <w:ind w:left="720"/>
      <w:contextualSpacing/>
    </w:pPr>
  </w:style>
  <w:style w:type="paragraph" w:customStyle="1" w:styleId="Chapter">
    <w:name w:val="Chapter"/>
    <w:basedOn w:val="Normal"/>
    <w:next w:val="Normal"/>
    <w:rsid w:val="004406CA"/>
    <w:pPr>
      <w:keepNext/>
      <w:numPr>
        <w:numId w:val="12"/>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qFormat/>
    <w:rsid w:val="004406CA"/>
    <w:pPr>
      <w:numPr>
        <w:ilvl w:val="1"/>
        <w:numId w:val="12"/>
      </w:numPr>
      <w:tabs>
        <w:tab w:val="clear" w:pos="2448"/>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4406CA"/>
    <w:pPr>
      <w:numPr>
        <w:ilvl w:val="2"/>
        <w:numId w:val="12"/>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4406CA"/>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4406CA"/>
    <w:pPr>
      <w:spacing w:after="120"/>
      <w:ind w:left="360"/>
    </w:pPr>
  </w:style>
  <w:style w:type="character" w:customStyle="1" w:styleId="BodyTextIndentChar">
    <w:name w:val="Body Text Indent Char"/>
    <w:basedOn w:val="DefaultParagraphFont"/>
    <w:link w:val="BodyTextIndent"/>
    <w:uiPriority w:val="99"/>
    <w:semiHidden/>
    <w:rsid w:val="004406CA"/>
  </w:style>
  <w:style w:type="paragraph" w:styleId="BodyTextIndent3">
    <w:name w:val="Body Text Indent 3"/>
    <w:basedOn w:val="Normal"/>
    <w:link w:val="BodyTextIndent3Char"/>
    <w:uiPriority w:val="99"/>
    <w:semiHidden/>
    <w:unhideWhenUsed/>
    <w:rsid w:val="004406C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406CA"/>
    <w:rPr>
      <w:sz w:val="16"/>
      <w:szCs w:val="16"/>
    </w:rPr>
  </w:style>
  <w:style w:type="character" w:customStyle="1" w:styleId="normaltextrun1">
    <w:name w:val="normaltextrun1"/>
    <w:basedOn w:val="DefaultParagraphFont"/>
    <w:rsid w:val="00A66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258405">
      <w:bodyDiv w:val="1"/>
      <w:marLeft w:val="0"/>
      <w:marRight w:val="0"/>
      <w:marTop w:val="0"/>
      <w:marBottom w:val="0"/>
      <w:divBdr>
        <w:top w:val="none" w:sz="0" w:space="0" w:color="auto"/>
        <w:left w:val="none" w:sz="0" w:space="0" w:color="auto"/>
        <w:bottom w:val="none" w:sz="0" w:space="0" w:color="auto"/>
        <w:right w:val="none" w:sz="0" w:space="0" w:color="auto"/>
      </w:divBdr>
    </w:div>
    <w:div w:id="134593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6BC939DFC1ADB24EB79283FF02326AB7" ma:contentTypeVersion="2454" ma:contentTypeDescription="The base project type from which other project content types inherit their information." ma:contentTypeScope="" ma:versionID="034398c197b79b025b6d16afbfda2533">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69</Value>
      <Value>26</Value>
      <Value>25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HO-L1204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EZSHARE-1530740237-6</_dlc_DocId>
    <_dlc_DocIdUrl xmlns="cdc7663a-08f0-4737-9e8c-148ce897a09c">
      <Url>https://idbg.sharepoint.com/teams/EZ-HO-LON/HO-L1204/_layouts/15/DocIdRedir.aspx?ID=EZSHARE-1530740237-6</Url>
      <Description>EZSHARE-1530740237-6</Description>
    </_dlc_DocIdUrl>
    <From_x003a_ xmlns="cdc7663a-08f0-4737-9e8c-148ce897a09c" xsi:nil="true"/>
    <To_x003a_ xmlns="cdc7663a-08f0-4737-9e8c-148ce897a09c" xsi:nil="true"/>
  </documentManagement>
</p:properti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17EE7-A298-4309-9D42-EEF4854263DE}">
  <ds:schemaRefs>
    <ds:schemaRef ds:uri="http://schemas.microsoft.com/sharepoint/v3/contenttype/forms"/>
  </ds:schemaRefs>
</ds:datastoreItem>
</file>

<file path=customXml/itemProps2.xml><?xml version="1.0" encoding="utf-8"?>
<ds:datastoreItem xmlns:ds="http://schemas.openxmlformats.org/officeDocument/2006/customXml" ds:itemID="{CB25BBEA-BA6D-4F27-9248-53391DED5A10}">
  <ds:schemaRefs>
    <ds:schemaRef ds:uri="http://schemas.microsoft.com/sharepoint/events"/>
  </ds:schemaRefs>
</ds:datastoreItem>
</file>

<file path=customXml/itemProps3.xml><?xml version="1.0" encoding="utf-8"?>
<ds:datastoreItem xmlns:ds="http://schemas.openxmlformats.org/officeDocument/2006/customXml" ds:itemID="{53FA0799-1B9C-4176-9B80-229E1E4E30C7}"/>
</file>

<file path=customXml/itemProps4.xml><?xml version="1.0" encoding="utf-8"?>
<ds:datastoreItem xmlns:ds="http://schemas.openxmlformats.org/officeDocument/2006/customXml" ds:itemID="{0D6C013B-A453-4491-B5D6-BFC02685DC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12A4CEAC-4A52-4180-AB9A-1BCF81B4B761}"/>
</file>

<file path=customXml/itemProps6.xml><?xml version="1.0" encoding="utf-8"?>
<ds:datastoreItem xmlns:ds="http://schemas.openxmlformats.org/officeDocument/2006/customXml" ds:itemID="{833CAA7A-C00C-429E-A37F-680D32D5F789}"/>
</file>

<file path=customXml/itemProps7.xml><?xml version="1.0" encoding="utf-8"?>
<ds:datastoreItem xmlns:ds="http://schemas.openxmlformats.org/officeDocument/2006/customXml" ds:itemID="{D8CFEFFF-9E81-4BF9-9EC8-690D079F5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1729</Words>
  <Characters>9861</Characters>
  <Application>Microsoft Office Word</Application>
  <DocSecurity>0</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Silveira, Sheyla</cp:lastModifiedBy>
  <cp:revision>12</cp:revision>
  <cp:lastPrinted>2016-10-12T22:20:00Z</cp:lastPrinted>
  <dcterms:created xsi:type="dcterms:W3CDTF">2019-06-26T16:38:00Z</dcterms:created>
  <dcterms:modified xsi:type="dcterms:W3CDTF">2019-07-25T20:13:00Z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69;#POVERTY ALLEVIATION|c99b9e13-7d25-4ef5-800d-099d9545c397</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30;#SOCIAL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a5c886ae-0028-431f-9f30-c8dd934869f5</vt:lpwstr>
  </property>
  <property fmtid="{D5CDD505-2E9C-101B-9397-08002B2CF9AE}" pid="13" name="Disclosure Activity">
    <vt:lpwstr>Loan Proposal</vt:lpwstr>
  </property>
  <property fmtid="{D5CDD505-2E9C-101B-9397-08002B2CF9AE}" pid="15" name="ContentTypeId">
    <vt:lpwstr>0x010100ACF722E9F6B0B149B0CD8BE2560A6672006BC939DFC1ADB24EB79283FF02326AB7</vt:lpwstr>
  </property>
  <property fmtid="{D5CDD505-2E9C-101B-9397-08002B2CF9AE}" pid="18" name="Disclosed">
    <vt:bool>true</vt:bool>
  </property>
</Properties>
</file>