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273" w:rsidRPr="00964EF2" w:rsidRDefault="00FB4CC0" w:rsidP="00FB4CC0">
      <w:pPr>
        <w:pStyle w:val="Heading1"/>
        <w:numPr>
          <w:ilvl w:val="0"/>
          <w:numId w:val="0"/>
        </w:numPr>
        <w:spacing w:line="360" w:lineRule="auto"/>
        <w:jc w:val="center"/>
        <w:rPr>
          <w:rFonts w:ascii="Tahoma" w:hAnsi="Tahoma" w:cs="Tahoma"/>
        </w:rPr>
      </w:pPr>
      <w:bookmarkStart w:id="0" w:name="_Toc458146716"/>
      <w:r>
        <w:rPr>
          <w:rFonts w:ascii="Tahoma" w:hAnsi="Tahoma" w:cs="Tahoma"/>
        </w:rPr>
        <w:t xml:space="preserve">MEDIDAS DE ESPECIFICAS DE ADAPTACION AL </w:t>
      </w:r>
      <w:r w:rsidR="00813CEA">
        <w:rPr>
          <w:rFonts w:ascii="Tahoma" w:hAnsi="Tahoma" w:cs="Tahoma"/>
        </w:rPr>
        <w:t>CAMBIO CLIMá</w:t>
      </w:r>
      <w:r w:rsidR="001A5273" w:rsidRPr="00964EF2">
        <w:rPr>
          <w:rFonts w:ascii="Tahoma" w:hAnsi="Tahoma" w:cs="Tahoma"/>
        </w:rPr>
        <w:t>TICO</w:t>
      </w:r>
      <w:bookmarkEnd w:id="0"/>
      <w:r>
        <w:rPr>
          <w:rFonts w:ascii="Tahoma" w:hAnsi="Tahoma" w:cs="Tahoma"/>
        </w:rPr>
        <w:t xml:space="preserve"> </w:t>
      </w:r>
      <w:r w:rsidR="00813CEA">
        <w:rPr>
          <w:rFonts w:ascii="Tahoma" w:hAnsi="Tahoma" w:cs="Tahoma"/>
        </w:rPr>
        <w:t>EN</w:t>
      </w:r>
      <w:r>
        <w:rPr>
          <w:rFonts w:ascii="Tahoma" w:hAnsi="Tahoma" w:cs="Tahoma"/>
        </w:rPr>
        <w:t xml:space="preserve"> EL SECTOR TRANSPORTE EN NICARAGUA Y EN PROGRAMA DE INTEGRACION VIAL ii</w:t>
      </w:r>
    </w:p>
    <w:p w:rsidR="00D55150" w:rsidRPr="00964EF2" w:rsidRDefault="00D55150" w:rsidP="00964EF2">
      <w:pPr>
        <w:spacing w:line="360" w:lineRule="auto"/>
        <w:rPr>
          <w:rFonts w:ascii="Tahoma" w:hAnsi="Tahoma" w:cs="Tahoma"/>
          <w:highlight w:val="yellow"/>
          <w:lang w:val="es-MX"/>
        </w:rPr>
      </w:pPr>
    </w:p>
    <w:p w:rsidR="00AF4930" w:rsidRDefault="00995E4C" w:rsidP="00AF4930">
      <w:pPr>
        <w:pStyle w:val="ListParagraph"/>
        <w:numPr>
          <w:ilvl w:val="0"/>
          <w:numId w:val="11"/>
        </w:numPr>
        <w:spacing w:line="360" w:lineRule="auto"/>
        <w:rPr>
          <w:rFonts w:ascii="Tahoma" w:hAnsi="Tahoma" w:cs="Tahoma"/>
          <w:b/>
          <w:lang w:val="es-MX"/>
        </w:rPr>
      </w:pPr>
      <w:r w:rsidRPr="00AF4930">
        <w:rPr>
          <w:rFonts w:ascii="Tahoma" w:hAnsi="Tahoma" w:cs="Tahoma"/>
          <w:b/>
          <w:lang w:val="es-MX"/>
        </w:rPr>
        <w:t xml:space="preserve">Contexto </w:t>
      </w:r>
      <w:r w:rsidR="003778FA">
        <w:rPr>
          <w:rFonts w:ascii="Tahoma" w:hAnsi="Tahoma" w:cs="Tahoma"/>
          <w:b/>
          <w:lang w:val="es-MX"/>
        </w:rPr>
        <w:t>Regional</w:t>
      </w:r>
    </w:p>
    <w:p w:rsidR="00AF4930" w:rsidRDefault="00AF4930" w:rsidP="00AF4930">
      <w:pPr>
        <w:pStyle w:val="ListParagraph"/>
        <w:spacing w:line="360" w:lineRule="auto"/>
        <w:ind w:left="900" w:hanging="540"/>
        <w:rPr>
          <w:rFonts w:ascii="Tahoma" w:hAnsi="Tahoma" w:cs="Tahoma"/>
          <w:b/>
          <w:lang w:val="es-MX"/>
        </w:rPr>
      </w:pPr>
    </w:p>
    <w:p w:rsidR="00571CD8" w:rsidRPr="00AF4930" w:rsidRDefault="00571CD8" w:rsidP="00AF4930">
      <w:pPr>
        <w:pStyle w:val="ListParagraph"/>
        <w:numPr>
          <w:ilvl w:val="1"/>
          <w:numId w:val="11"/>
        </w:numPr>
        <w:spacing w:line="360" w:lineRule="auto"/>
        <w:ind w:left="900" w:hanging="540"/>
        <w:rPr>
          <w:rFonts w:ascii="Tahoma" w:hAnsi="Tahoma" w:cs="Tahoma"/>
          <w:b/>
          <w:lang w:val="es-MX"/>
        </w:rPr>
      </w:pPr>
      <w:r w:rsidRPr="00AF4930">
        <w:rPr>
          <w:rFonts w:ascii="Tahoma" w:hAnsi="Tahoma" w:cs="Tahoma"/>
          <w:lang w:val="es-MX"/>
        </w:rPr>
        <w:t>Aunque se estima que Centroamérica seguirá produciendo una muy mínima parte de las</w:t>
      </w:r>
      <w:r w:rsidRPr="00AF4930">
        <w:rPr>
          <w:rFonts w:ascii="Tahoma" w:hAnsi="Tahoma" w:cs="Tahoma"/>
          <w:lang w:val="es-MX"/>
        </w:rPr>
        <w:t xml:space="preserve"> </w:t>
      </w:r>
      <w:r w:rsidRPr="00AF4930">
        <w:rPr>
          <w:rFonts w:ascii="Tahoma" w:hAnsi="Tahoma" w:cs="Tahoma"/>
          <w:lang w:val="es-MX"/>
        </w:rPr>
        <w:t>emisiones GEI del planeta, ya es una de las regiones más vulnerables a sus consecuencias</w:t>
      </w:r>
      <w:r w:rsidRPr="00AF4930">
        <w:rPr>
          <w:rFonts w:ascii="Tahoma" w:hAnsi="Tahoma" w:cs="Tahoma"/>
          <w:lang w:val="es-MX"/>
        </w:rPr>
        <w:t xml:space="preserve"> </w:t>
      </w:r>
      <w:r w:rsidRPr="00AF4930">
        <w:rPr>
          <w:rFonts w:ascii="Tahoma" w:hAnsi="Tahoma" w:cs="Tahoma"/>
          <w:lang w:val="es-MX"/>
        </w:rPr>
        <w:t>negativas.</w:t>
      </w:r>
      <w:r w:rsidRPr="00AF4930">
        <w:rPr>
          <w:rFonts w:ascii="Tahoma" w:hAnsi="Tahoma" w:cs="Tahoma"/>
          <w:lang w:val="es-MX"/>
        </w:rPr>
        <w:t xml:space="preserve"> </w:t>
      </w:r>
      <w:r w:rsidRPr="00AF4930">
        <w:rPr>
          <w:rFonts w:ascii="Tahoma" w:hAnsi="Tahoma" w:cs="Tahoma"/>
          <w:lang w:val="es-MX"/>
        </w:rPr>
        <w:t>Las vulnerabilidades socioeconómicas históricas de Centroamérica se exacerban</w:t>
      </w:r>
      <w:r w:rsidRPr="00AF4930">
        <w:rPr>
          <w:rFonts w:ascii="Tahoma" w:hAnsi="Tahoma" w:cs="Tahoma"/>
          <w:lang w:val="es-MX"/>
        </w:rPr>
        <w:t xml:space="preserve"> </w:t>
      </w:r>
      <w:r w:rsidRPr="00AF4930">
        <w:rPr>
          <w:rFonts w:ascii="Tahoma" w:hAnsi="Tahoma" w:cs="Tahoma"/>
          <w:lang w:val="es-MX"/>
        </w:rPr>
        <w:t>por su ubicación</w:t>
      </w:r>
      <w:r w:rsidRPr="00AF4930">
        <w:rPr>
          <w:rFonts w:ascii="Tahoma" w:hAnsi="Tahoma" w:cs="Tahoma"/>
          <w:lang w:val="es-MX"/>
        </w:rPr>
        <w:t xml:space="preserve"> </w:t>
      </w:r>
      <w:proofErr w:type="spellStart"/>
      <w:r w:rsidRPr="00AF4930">
        <w:rPr>
          <w:rFonts w:ascii="Tahoma" w:hAnsi="Tahoma" w:cs="Tahoma"/>
          <w:lang w:val="es-MX"/>
        </w:rPr>
        <w:t>geoclimática</w:t>
      </w:r>
      <w:proofErr w:type="spellEnd"/>
      <w:r w:rsidRPr="00AF4930">
        <w:rPr>
          <w:rFonts w:ascii="Tahoma" w:hAnsi="Tahoma" w:cs="Tahoma"/>
          <w:lang w:val="es-MX"/>
        </w:rPr>
        <w:t xml:space="preserve"> en un istmo estrecho que sirve de puente entre dos</w:t>
      </w:r>
      <w:r w:rsidRPr="00AF4930">
        <w:rPr>
          <w:rFonts w:ascii="Tahoma" w:hAnsi="Tahoma" w:cs="Tahoma"/>
          <w:lang w:val="es-MX"/>
        </w:rPr>
        <w:t xml:space="preserve"> </w:t>
      </w:r>
      <w:r w:rsidRPr="00AF4930">
        <w:rPr>
          <w:rFonts w:ascii="Tahoma" w:hAnsi="Tahoma" w:cs="Tahoma"/>
          <w:lang w:val="es-MX"/>
        </w:rPr>
        <w:t>continentes, situado entre dos</w:t>
      </w:r>
      <w:r w:rsidRPr="00AF4930">
        <w:rPr>
          <w:rFonts w:ascii="Tahoma" w:hAnsi="Tahoma" w:cs="Tahoma"/>
          <w:lang w:val="es-MX"/>
        </w:rPr>
        <w:t xml:space="preserve"> </w:t>
      </w:r>
      <w:r w:rsidRPr="00AF4930">
        <w:rPr>
          <w:rFonts w:ascii="Tahoma" w:hAnsi="Tahoma" w:cs="Tahoma"/>
          <w:lang w:val="es-MX"/>
        </w:rPr>
        <w:t>sistemas oceánicos, el Pacífico y el Atlántico. La región es gravemente afectada por sequías, ciclones</w:t>
      </w:r>
      <w:r w:rsidRPr="00AF4930">
        <w:rPr>
          <w:rFonts w:ascii="Tahoma" w:hAnsi="Tahoma" w:cs="Tahoma"/>
          <w:lang w:val="es-MX"/>
        </w:rPr>
        <w:t xml:space="preserve"> </w:t>
      </w:r>
      <w:r w:rsidRPr="00AF4930">
        <w:rPr>
          <w:rFonts w:ascii="Tahoma" w:hAnsi="Tahoma" w:cs="Tahoma"/>
          <w:lang w:val="es-MX"/>
        </w:rPr>
        <w:t>y el fenómeno El Niño-Oscilación Sur. Dado que los factores dependientes del clima son aportes</w:t>
      </w:r>
      <w:r w:rsidRPr="00AF4930">
        <w:rPr>
          <w:rFonts w:ascii="Tahoma" w:hAnsi="Tahoma" w:cs="Tahoma"/>
          <w:lang w:val="es-MX"/>
        </w:rPr>
        <w:t xml:space="preserve"> </w:t>
      </w:r>
      <w:r w:rsidRPr="00AF4930">
        <w:rPr>
          <w:rFonts w:ascii="Tahoma" w:hAnsi="Tahoma" w:cs="Tahoma"/>
          <w:lang w:val="es-MX"/>
        </w:rPr>
        <w:t>significativos a las actividades económicas, como la agricultura, el cambio climático incidirá cada vez</w:t>
      </w:r>
      <w:r w:rsidRPr="00AF4930">
        <w:rPr>
          <w:rFonts w:ascii="Tahoma" w:hAnsi="Tahoma" w:cs="Tahoma"/>
          <w:lang w:val="es-MX"/>
        </w:rPr>
        <w:t xml:space="preserve"> </w:t>
      </w:r>
      <w:r w:rsidRPr="00AF4930">
        <w:rPr>
          <w:rFonts w:ascii="Tahoma" w:hAnsi="Tahoma" w:cs="Tahoma"/>
          <w:lang w:val="es-MX"/>
        </w:rPr>
        <w:t>más en la evolución económica de la región durante el presente siglo de no adoptarse medidas de</w:t>
      </w:r>
      <w:r w:rsidRPr="00AF4930">
        <w:rPr>
          <w:rFonts w:ascii="Tahoma" w:hAnsi="Tahoma" w:cs="Tahoma"/>
          <w:lang w:val="es-MX"/>
        </w:rPr>
        <w:t xml:space="preserve"> </w:t>
      </w:r>
      <w:r w:rsidRPr="00AF4930">
        <w:rPr>
          <w:rFonts w:ascii="Tahoma" w:hAnsi="Tahoma" w:cs="Tahoma"/>
          <w:lang w:val="es-MX"/>
        </w:rPr>
        <w:t>reducción de las emisiones. En términos fiscales constituye un pasivo público contingente que</w:t>
      </w:r>
      <w:r w:rsidR="00AF4930">
        <w:rPr>
          <w:rFonts w:ascii="Tahoma" w:hAnsi="Tahoma" w:cs="Tahoma"/>
          <w:lang w:val="es-MX"/>
        </w:rPr>
        <w:t xml:space="preserve"> afectará </w:t>
      </w:r>
      <w:r w:rsidR="00AF4930" w:rsidRPr="00AF4930">
        <w:rPr>
          <w:rFonts w:ascii="Tahoma" w:hAnsi="Tahoma" w:cs="Tahoma"/>
          <w:lang w:val="es-MX"/>
        </w:rPr>
        <w:t>las finanzas públicas por generaciones.</w:t>
      </w:r>
      <w:r w:rsidR="00AF4930" w:rsidRPr="00571CD8">
        <w:rPr>
          <w:rStyle w:val="FootnoteReference"/>
          <w:rFonts w:ascii="Tahoma" w:hAnsi="Tahoma" w:cs="Tahoma"/>
          <w:lang w:val="es-MX"/>
        </w:rPr>
        <w:footnoteReference w:id="1"/>
      </w:r>
    </w:p>
    <w:p w:rsidR="00AF4930" w:rsidRPr="003778FA" w:rsidRDefault="00AF4930" w:rsidP="00AF4930">
      <w:pPr>
        <w:pStyle w:val="ListParagraph"/>
        <w:numPr>
          <w:ilvl w:val="1"/>
          <w:numId w:val="11"/>
        </w:numPr>
        <w:spacing w:line="360" w:lineRule="auto"/>
        <w:ind w:left="900" w:hanging="540"/>
        <w:rPr>
          <w:rFonts w:ascii="Tahoma" w:hAnsi="Tahoma" w:cs="Tahoma"/>
          <w:b/>
          <w:lang w:val="es-MX"/>
        </w:rPr>
      </w:pPr>
      <w:r>
        <w:rPr>
          <w:rFonts w:ascii="Tahoma" w:hAnsi="Tahoma" w:cs="Tahoma"/>
          <w:lang w:val="es-MX"/>
        </w:rPr>
        <w:t>De acuerdo con</w:t>
      </w:r>
      <w:r w:rsidRPr="00AF4930">
        <w:rPr>
          <w:rFonts w:ascii="Tahoma" w:hAnsi="Tahoma" w:cs="Tahoma"/>
          <w:lang w:val="es-MX"/>
        </w:rPr>
        <w:t xml:space="preserve"> la estimación de pérdidas económicas por eventos extremos en Centroamérica, once eventos extremos de origen </w:t>
      </w:r>
      <w:proofErr w:type="spellStart"/>
      <w:r w:rsidRPr="00AF4930">
        <w:rPr>
          <w:rFonts w:ascii="Tahoma" w:hAnsi="Tahoma" w:cs="Tahoma"/>
          <w:lang w:val="es-MX"/>
        </w:rPr>
        <w:t>hidrometeorológico</w:t>
      </w:r>
      <w:proofErr w:type="spellEnd"/>
      <w:r w:rsidRPr="00AF4930">
        <w:rPr>
          <w:rFonts w:ascii="Tahoma" w:hAnsi="Tahoma" w:cs="Tahoma"/>
          <w:lang w:val="es-MX"/>
        </w:rPr>
        <w:t xml:space="preserve"> y climático que afectaron a Costa Rica, El Salvador, Guatemala, Honduras y Nicaragua, han producido pérdidas por 13.642 millones de dólares a valores de 2008. Los costos estimados muestran que Honduras ha sido el más afectado con 5.592 millones de dólares, equivalentes a 41% de las pérdidas totales, principalmente por el huracán Mitch. Le sigue Nicaragua con 4.513 millones de dólares (33%), Guatemala con 2.198 (16%) y El Salvador y Costa Rica con 7% y 3% de las pérdidas totales acumuladas a precios de 2008. En cuanto a la vulnerabilidad de los sectores económicos, poco más de la mitad de las pérdidas registradas correspondieron a los sectores productivos y una cuarta parte de las pérdidas totales recayó en infraestructura. En infraestructura el subsector telecomunicaciones y transportes registra el 86% de las pérdidas totales a nivel de la región principalmente debido a la destrucción de caminos y vías de comunicación, y dentro del sector social el 79% de las pérdidas corresponde a vivienda</w:t>
      </w:r>
      <w:r w:rsidRPr="00691155">
        <w:rPr>
          <w:lang w:val="es-MX"/>
        </w:rPr>
        <w:footnoteReference w:id="2"/>
      </w:r>
      <w:r>
        <w:rPr>
          <w:rFonts w:ascii="Tahoma" w:hAnsi="Tahoma" w:cs="Tahoma"/>
          <w:lang w:val="es-MX"/>
        </w:rPr>
        <w:t>.</w:t>
      </w:r>
    </w:p>
    <w:p w:rsidR="003778FA" w:rsidRPr="003778FA" w:rsidRDefault="003778FA" w:rsidP="003778FA">
      <w:pPr>
        <w:pStyle w:val="ListParagraph"/>
        <w:spacing w:line="360" w:lineRule="auto"/>
        <w:ind w:left="900"/>
        <w:rPr>
          <w:rFonts w:ascii="Tahoma" w:hAnsi="Tahoma" w:cs="Tahoma"/>
          <w:b/>
          <w:lang w:val="es-MX"/>
        </w:rPr>
      </w:pPr>
    </w:p>
    <w:p w:rsidR="003778FA" w:rsidRPr="003778FA" w:rsidRDefault="003778FA" w:rsidP="003778FA">
      <w:pPr>
        <w:pStyle w:val="ListParagraph"/>
        <w:numPr>
          <w:ilvl w:val="0"/>
          <w:numId w:val="11"/>
        </w:numPr>
        <w:tabs>
          <w:tab w:val="left" w:pos="3330"/>
        </w:tabs>
        <w:spacing w:line="360" w:lineRule="auto"/>
        <w:rPr>
          <w:rFonts w:ascii="Tahoma" w:hAnsi="Tahoma" w:cs="Tahoma"/>
          <w:b/>
          <w:lang w:val="es-MX"/>
        </w:rPr>
      </w:pPr>
      <w:r w:rsidRPr="003778FA">
        <w:rPr>
          <w:rFonts w:ascii="Tahoma" w:hAnsi="Tahoma" w:cs="Tahoma"/>
          <w:b/>
          <w:lang w:val="es-MX"/>
        </w:rPr>
        <w:t xml:space="preserve">Contexto Nacional </w:t>
      </w:r>
    </w:p>
    <w:p w:rsidR="003778FA" w:rsidRDefault="003778FA" w:rsidP="003778FA">
      <w:pPr>
        <w:pStyle w:val="ListParagraph"/>
        <w:spacing w:line="360" w:lineRule="auto"/>
        <w:ind w:left="900"/>
        <w:rPr>
          <w:rFonts w:ascii="Tahoma" w:hAnsi="Tahoma" w:cs="Tahoma"/>
          <w:lang w:val="es-MX"/>
        </w:rPr>
      </w:pPr>
    </w:p>
    <w:p w:rsidR="0078069C" w:rsidRPr="00AF4930" w:rsidRDefault="00AF4930" w:rsidP="00AF4930">
      <w:pPr>
        <w:pStyle w:val="ListParagraph"/>
        <w:numPr>
          <w:ilvl w:val="1"/>
          <w:numId w:val="11"/>
        </w:numPr>
        <w:spacing w:line="360" w:lineRule="auto"/>
        <w:ind w:left="900" w:hanging="540"/>
        <w:rPr>
          <w:rFonts w:ascii="Tahoma" w:hAnsi="Tahoma" w:cs="Tahoma"/>
          <w:lang w:val="es-MX"/>
        </w:rPr>
      </w:pPr>
      <w:r w:rsidRPr="00AF4930">
        <w:rPr>
          <w:rFonts w:ascii="Tahoma" w:hAnsi="Tahoma" w:cs="Tahoma"/>
          <w:lang w:val="es-MX"/>
        </w:rPr>
        <w:t>A partir de diversos modelos de los efectos del cambio climático en Nicaragua con apoyo del IPCC</w:t>
      </w:r>
      <w:r>
        <w:rPr>
          <w:rStyle w:val="FootnoteReference"/>
          <w:rFonts w:ascii="Book Antiqua" w:hAnsi="Book Antiqua" w:cs="Book Antiqua"/>
          <w:lang w:val="es-ES_tradnl"/>
        </w:rPr>
        <w:footnoteReference w:id="3"/>
      </w:r>
      <w:r w:rsidRPr="00AF4930">
        <w:rPr>
          <w:rFonts w:ascii="Book Antiqua" w:hAnsi="Book Antiqua" w:cs="Book Antiqua"/>
          <w:lang w:val="es-ES_tradnl"/>
        </w:rPr>
        <w:t xml:space="preserve">, </w:t>
      </w:r>
      <w:r w:rsidRPr="00AF4930">
        <w:rPr>
          <w:rFonts w:ascii="Tahoma" w:hAnsi="Tahoma" w:cs="Tahoma"/>
          <w:lang w:val="es-MX"/>
        </w:rPr>
        <w:t>se han consensuado proyecciones de incrementos en lluvias y temperaturas a nivel nacional (Figura I). Con el cambio climático el aumento de la temperatura media en Nicaragua, ha variado de 0.2 a 0.9 grados centígrados en los últimos 30 años en el Pacífico y Norte del país; han disminuido las precipitaciones entre un 6% y 10% en el Pacífico; el cada vez más intenso y recurrente fenómeno de El Niño que impacta significativamente en la disminución de las lluvias, la producción agrícola, las reservas de aguas superficiales y subterráneas</w:t>
      </w:r>
      <w:r>
        <w:rPr>
          <w:rStyle w:val="FootnoteReference"/>
          <w:rFonts w:ascii="Courier New" w:hAnsi="Courier New" w:cs="Courier New"/>
          <w:sz w:val="28"/>
          <w:szCs w:val="28"/>
        </w:rPr>
        <w:footnoteReference w:id="4"/>
      </w:r>
      <w:r w:rsidRPr="00AF4930">
        <w:rPr>
          <w:rFonts w:ascii="Courier New" w:hAnsi="Courier New" w:cs="Courier New"/>
          <w:sz w:val="28"/>
          <w:szCs w:val="28"/>
        </w:rPr>
        <w:t>.</w:t>
      </w:r>
      <w:r w:rsidRPr="00AF4930">
        <w:rPr>
          <w:rFonts w:ascii="Tahoma" w:hAnsi="Tahoma" w:cs="Tahoma"/>
          <w:lang w:val="es-MX"/>
        </w:rPr>
        <w:t>En los últimos años los eventos de clima extremo (fenómenos climatológicos que se encuentran en el extremo de la distribución histórica) han aumentado en frecuencia y escala de impacto. En Nicaragua se han observado varios daños en la infraestructura debido a sequías, inundaciones, huracanes, tornados, tormentas eléctricas, entre otros (INETER, 2013). Las tormentas eléctricas, p. e., se presentan con mayor incidencia en el mes de septiembre y están ligadas a una mayor probabilidad de ciclones tropicales (INETER)</w:t>
      </w:r>
      <w:r>
        <w:rPr>
          <w:rStyle w:val="FootnoteReference"/>
          <w:rFonts w:ascii="Tahoma" w:hAnsi="Tahoma" w:cs="Tahoma"/>
          <w:lang w:val="es-MX"/>
        </w:rPr>
        <w:footnoteReference w:id="5"/>
      </w:r>
      <w:r>
        <w:rPr>
          <w:rFonts w:ascii="Tahoma" w:hAnsi="Tahoma" w:cs="Tahoma"/>
          <w:lang w:val="es-MX"/>
        </w:rPr>
        <w:t>.</w:t>
      </w:r>
      <w:r w:rsidRPr="00AF4930">
        <w:rPr>
          <w:rFonts w:ascii="Tahoma" w:hAnsi="Tahoma" w:cs="Tahoma"/>
          <w:lang w:val="es-MX"/>
        </w:rPr>
        <w:t xml:space="preserve"> </w:t>
      </w:r>
    </w:p>
    <w:p w:rsidR="00D8383D" w:rsidRDefault="00D8383D" w:rsidP="00AF4930">
      <w:pPr>
        <w:autoSpaceDE w:val="0"/>
        <w:autoSpaceDN w:val="0"/>
        <w:adjustRightInd w:val="0"/>
        <w:spacing w:after="0"/>
        <w:ind w:left="900" w:hanging="540"/>
        <w:rPr>
          <w:rFonts w:ascii="Tahoma" w:hAnsi="Tahoma" w:cs="Tahoma"/>
          <w:lang w:val="es-MX"/>
        </w:rPr>
      </w:pPr>
    </w:p>
    <w:p w:rsidR="00AF4930" w:rsidRDefault="00AF4930" w:rsidP="00AF4930">
      <w:pPr>
        <w:autoSpaceDE w:val="0"/>
        <w:autoSpaceDN w:val="0"/>
        <w:adjustRightInd w:val="0"/>
        <w:spacing w:after="0"/>
        <w:ind w:left="900" w:hanging="540"/>
        <w:rPr>
          <w:rFonts w:ascii="Tahoma" w:hAnsi="Tahoma" w:cs="Tahoma"/>
          <w:lang w:val="es-MX"/>
        </w:rPr>
      </w:pPr>
    </w:p>
    <w:p w:rsidR="00AF4930" w:rsidRDefault="00AF4930" w:rsidP="00AF4930">
      <w:pPr>
        <w:autoSpaceDE w:val="0"/>
        <w:autoSpaceDN w:val="0"/>
        <w:adjustRightInd w:val="0"/>
        <w:spacing w:after="0"/>
        <w:ind w:left="900" w:hanging="540"/>
        <w:rPr>
          <w:rFonts w:ascii="Tahoma" w:hAnsi="Tahoma" w:cs="Tahoma"/>
          <w:lang w:val="es-MX"/>
        </w:rPr>
      </w:pPr>
    </w:p>
    <w:p w:rsidR="00AF4930" w:rsidRDefault="00AF4930" w:rsidP="00AF4930">
      <w:pPr>
        <w:autoSpaceDE w:val="0"/>
        <w:autoSpaceDN w:val="0"/>
        <w:adjustRightInd w:val="0"/>
        <w:spacing w:after="0"/>
        <w:ind w:left="900" w:hanging="540"/>
        <w:rPr>
          <w:rFonts w:ascii="Tahoma" w:hAnsi="Tahoma" w:cs="Tahoma"/>
          <w:lang w:val="es-MX"/>
        </w:rPr>
      </w:pPr>
    </w:p>
    <w:p w:rsidR="00AF4930" w:rsidRDefault="00AF4930" w:rsidP="00AF4930">
      <w:pPr>
        <w:autoSpaceDE w:val="0"/>
        <w:autoSpaceDN w:val="0"/>
        <w:adjustRightInd w:val="0"/>
        <w:spacing w:after="0"/>
        <w:ind w:left="900" w:hanging="540"/>
        <w:rPr>
          <w:rFonts w:ascii="Tahoma" w:hAnsi="Tahoma" w:cs="Tahoma"/>
          <w:lang w:val="es-MX"/>
        </w:rPr>
      </w:pPr>
    </w:p>
    <w:p w:rsidR="00D8383D" w:rsidRDefault="00D8383D" w:rsidP="00AF4930">
      <w:pPr>
        <w:autoSpaceDE w:val="0"/>
        <w:autoSpaceDN w:val="0"/>
        <w:adjustRightInd w:val="0"/>
        <w:spacing w:after="0"/>
        <w:ind w:left="900" w:hanging="540"/>
        <w:jc w:val="center"/>
        <w:rPr>
          <w:rFonts w:ascii="Tahoma" w:hAnsi="Tahoma" w:cs="Tahoma"/>
          <w:lang w:val="es-MX"/>
        </w:rPr>
      </w:pPr>
      <w:r w:rsidRPr="002C1100">
        <w:rPr>
          <w:rFonts w:ascii="Tahoma" w:hAnsi="Tahoma" w:cs="Tahoma"/>
          <w:b/>
          <w:lang w:val="es-MX"/>
        </w:rPr>
        <w:t>Figura I. Escenarios referenciales de precipitación y temperatura 2011-2040</w:t>
      </w:r>
      <w:r>
        <w:rPr>
          <w:rStyle w:val="FootnoteReference"/>
          <w:rFonts w:ascii="Tahoma" w:hAnsi="Tahoma" w:cs="Tahoma"/>
          <w:lang w:val="es-MX"/>
        </w:rPr>
        <w:footnoteReference w:id="6"/>
      </w:r>
    </w:p>
    <w:p w:rsidR="0078069C" w:rsidRDefault="0078069C" w:rsidP="00AF4930">
      <w:pPr>
        <w:autoSpaceDE w:val="0"/>
        <w:autoSpaceDN w:val="0"/>
        <w:adjustRightInd w:val="0"/>
        <w:spacing w:after="0"/>
        <w:ind w:left="900" w:hanging="540"/>
        <w:rPr>
          <w:rFonts w:ascii="Tahoma" w:hAnsi="Tahoma" w:cs="Tahoma"/>
          <w:lang w:val="es-MX"/>
        </w:rPr>
      </w:pPr>
    </w:p>
    <w:p w:rsidR="003E3F76" w:rsidRDefault="00D8383D" w:rsidP="00AF4930">
      <w:pPr>
        <w:autoSpaceDE w:val="0"/>
        <w:autoSpaceDN w:val="0"/>
        <w:adjustRightInd w:val="0"/>
        <w:spacing w:after="0"/>
        <w:ind w:left="900" w:hanging="540"/>
        <w:jc w:val="center"/>
        <w:rPr>
          <w:rFonts w:ascii="Tahoma" w:hAnsi="Tahoma" w:cs="Tahoma"/>
          <w:lang w:val="es-MX"/>
        </w:rPr>
      </w:pPr>
      <w:r>
        <w:rPr>
          <w:noProof/>
          <w:lang w:val="en-US"/>
        </w:rPr>
        <w:drawing>
          <wp:inline distT="0" distB="0" distL="0" distR="0" wp14:anchorId="6F877823" wp14:editId="3B18D68B">
            <wp:extent cx="3648075" cy="286028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653298" cy="2864379"/>
                    </a:xfrm>
                    <a:prstGeom prst="rect">
                      <a:avLst/>
                    </a:prstGeom>
                  </pic:spPr>
                </pic:pic>
              </a:graphicData>
            </a:graphic>
          </wp:inline>
        </w:drawing>
      </w:r>
      <w:r>
        <w:rPr>
          <w:noProof/>
          <w:lang w:val="en-US"/>
        </w:rPr>
        <w:drawing>
          <wp:inline distT="0" distB="0" distL="0" distR="0" wp14:anchorId="42EB67B1" wp14:editId="5BF5B8EE">
            <wp:extent cx="3514725" cy="263604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518042" cy="2638532"/>
                    </a:xfrm>
                    <a:prstGeom prst="rect">
                      <a:avLst/>
                    </a:prstGeom>
                  </pic:spPr>
                </pic:pic>
              </a:graphicData>
            </a:graphic>
          </wp:inline>
        </w:drawing>
      </w:r>
    </w:p>
    <w:p w:rsidR="003E3F76" w:rsidRDefault="003E3F76" w:rsidP="00AF4930">
      <w:pPr>
        <w:autoSpaceDE w:val="0"/>
        <w:autoSpaceDN w:val="0"/>
        <w:adjustRightInd w:val="0"/>
        <w:spacing w:after="0"/>
        <w:ind w:left="900" w:hanging="540"/>
        <w:rPr>
          <w:rFonts w:ascii="Tahoma" w:hAnsi="Tahoma" w:cs="Tahoma"/>
          <w:lang w:val="es-MX"/>
        </w:rPr>
      </w:pPr>
    </w:p>
    <w:p w:rsidR="00AF4930" w:rsidRDefault="003778FA" w:rsidP="003778FA">
      <w:pPr>
        <w:pStyle w:val="ListParagraph"/>
        <w:numPr>
          <w:ilvl w:val="0"/>
          <w:numId w:val="11"/>
        </w:numPr>
        <w:spacing w:line="360" w:lineRule="auto"/>
        <w:rPr>
          <w:rFonts w:ascii="Tahoma" w:hAnsi="Tahoma" w:cs="Tahoma"/>
          <w:b/>
          <w:lang w:val="es-MX"/>
        </w:rPr>
      </w:pPr>
      <w:r>
        <w:rPr>
          <w:rFonts w:ascii="Tahoma" w:hAnsi="Tahoma" w:cs="Tahoma"/>
          <w:b/>
          <w:lang w:val="es-MX"/>
        </w:rPr>
        <w:t>Sector transporte en América Latina y el Caribe</w:t>
      </w:r>
    </w:p>
    <w:p w:rsidR="003778FA" w:rsidRPr="00AF4930" w:rsidRDefault="003778FA" w:rsidP="003778FA">
      <w:pPr>
        <w:pStyle w:val="ListParagraph"/>
        <w:spacing w:line="360" w:lineRule="auto"/>
        <w:ind w:left="1080"/>
        <w:rPr>
          <w:rFonts w:ascii="Tahoma" w:hAnsi="Tahoma" w:cs="Tahoma"/>
          <w:b/>
          <w:lang w:val="es-MX"/>
        </w:rPr>
      </w:pPr>
    </w:p>
    <w:p w:rsidR="00AF4930" w:rsidRPr="00AF4930" w:rsidRDefault="00AF4930" w:rsidP="00AF4930">
      <w:pPr>
        <w:pStyle w:val="ListParagraph"/>
        <w:numPr>
          <w:ilvl w:val="1"/>
          <w:numId w:val="11"/>
        </w:numPr>
        <w:spacing w:line="360" w:lineRule="auto"/>
        <w:ind w:left="900" w:hanging="540"/>
        <w:rPr>
          <w:rFonts w:ascii="Tahoma" w:hAnsi="Tahoma" w:cs="Tahoma"/>
          <w:b/>
          <w:lang w:val="es-MX"/>
        </w:rPr>
      </w:pPr>
      <w:r>
        <w:rPr>
          <w:rFonts w:ascii="Tahoma" w:hAnsi="Tahoma" w:cs="Tahoma"/>
          <w:lang w:val="es-MX"/>
        </w:rPr>
        <w:t xml:space="preserve">En el sector transporte en América Latina y el Caribe, análisis recientes del Banco Interamericano de Desarrollo usando más de cuarenta modelos de clima global de la base de datos de Princeton </w:t>
      </w:r>
      <w:proofErr w:type="spellStart"/>
      <w:r>
        <w:rPr>
          <w:rFonts w:ascii="Tahoma" w:hAnsi="Tahoma" w:cs="Tahoma"/>
          <w:lang w:val="es-MX"/>
        </w:rPr>
        <w:t>Reanalysis</w:t>
      </w:r>
      <w:proofErr w:type="spellEnd"/>
      <w:r>
        <w:rPr>
          <w:rFonts w:ascii="Tahoma" w:hAnsi="Tahoma" w:cs="Tahoma"/>
          <w:lang w:val="es-MX"/>
        </w:rPr>
        <w:t>, han diseminado información relevante respecto a métodos para la construcción de proyecciones de cambio climático, basados en valoraciones de la  vulnerabilidad de veintiséis países de la región. Considerando escenarios realistas de emisión de gases de efecto invernadero, este análisis desarrolla una serie de proyecciones de precipitación, temperatura e incremento del nivel del mar, y analiza el potencial impacto de dichas proyecciones, en el sector transporte</w:t>
      </w:r>
      <w:r>
        <w:rPr>
          <w:rStyle w:val="FootnoteReference"/>
          <w:rFonts w:ascii="Tahoma" w:hAnsi="Tahoma" w:cs="Tahoma"/>
          <w:lang w:val="es-MX"/>
        </w:rPr>
        <w:footnoteReference w:id="7"/>
      </w:r>
      <w:r>
        <w:rPr>
          <w:rFonts w:ascii="Tahoma" w:hAnsi="Tahoma" w:cs="Tahoma"/>
          <w:lang w:val="es-MX"/>
        </w:rPr>
        <w:t>.</w:t>
      </w:r>
    </w:p>
    <w:p w:rsidR="003778FA" w:rsidRDefault="003778FA" w:rsidP="003778FA">
      <w:pPr>
        <w:pStyle w:val="ListParagraph"/>
        <w:spacing w:line="360" w:lineRule="auto"/>
        <w:ind w:left="900"/>
        <w:rPr>
          <w:rFonts w:ascii="Tahoma" w:hAnsi="Tahoma" w:cs="Tahoma"/>
          <w:b/>
          <w:lang w:val="es-MX"/>
        </w:rPr>
      </w:pPr>
    </w:p>
    <w:p w:rsidR="003778FA" w:rsidRDefault="003778FA" w:rsidP="003778FA">
      <w:pPr>
        <w:pStyle w:val="ListParagraph"/>
        <w:numPr>
          <w:ilvl w:val="0"/>
          <w:numId w:val="11"/>
        </w:numPr>
        <w:spacing w:line="360" w:lineRule="auto"/>
        <w:rPr>
          <w:rFonts w:ascii="Tahoma" w:hAnsi="Tahoma" w:cs="Tahoma"/>
          <w:b/>
          <w:lang w:val="es-MX"/>
        </w:rPr>
      </w:pPr>
      <w:r>
        <w:rPr>
          <w:rFonts w:ascii="Tahoma" w:hAnsi="Tahoma" w:cs="Tahoma"/>
          <w:b/>
          <w:lang w:val="es-MX"/>
        </w:rPr>
        <w:t>Sector Transporte en Nicaragua</w:t>
      </w:r>
    </w:p>
    <w:p w:rsidR="003778FA" w:rsidRPr="003778FA" w:rsidRDefault="003778FA" w:rsidP="003778FA">
      <w:pPr>
        <w:pStyle w:val="ListParagraph"/>
        <w:spacing w:line="360" w:lineRule="auto"/>
        <w:ind w:left="1080"/>
        <w:rPr>
          <w:rFonts w:ascii="Tahoma" w:hAnsi="Tahoma" w:cs="Tahoma"/>
          <w:b/>
          <w:lang w:val="es-MX"/>
        </w:rPr>
      </w:pPr>
    </w:p>
    <w:p w:rsidR="00AF4930" w:rsidRPr="00AF4930" w:rsidRDefault="00AF4930" w:rsidP="00AF4930">
      <w:pPr>
        <w:pStyle w:val="ListParagraph"/>
        <w:numPr>
          <w:ilvl w:val="1"/>
          <w:numId w:val="11"/>
        </w:numPr>
        <w:spacing w:line="360" w:lineRule="auto"/>
        <w:ind w:left="900" w:hanging="540"/>
        <w:rPr>
          <w:rFonts w:ascii="Tahoma" w:hAnsi="Tahoma" w:cs="Tahoma"/>
          <w:b/>
          <w:lang w:val="es-MX"/>
        </w:rPr>
      </w:pPr>
      <w:r>
        <w:rPr>
          <w:rFonts w:ascii="Tahoma" w:hAnsi="Tahoma" w:cs="Tahoma"/>
          <w:lang w:val="es-MX"/>
        </w:rPr>
        <w:t xml:space="preserve">En el sector </w:t>
      </w:r>
      <w:r w:rsidRPr="0078069C">
        <w:rPr>
          <w:rFonts w:ascii="Tahoma" w:hAnsi="Tahoma" w:cs="Tahoma"/>
          <w:lang w:val="es-MX"/>
        </w:rPr>
        <w:t xml:space="preserve">transporte en Nicaragua, puede estimarse </w:t>
      </w:r>
      <w:r>
        <w:rPr>
          <w:rFonts w:ascii="Tahoma" w:hAnsi="Tahoma" w:cs="Tahoma"/>
          <w:lang w:val="es-MX"/>
        </w:rPr>
        <w:t xml:space="preserve">por una parte, </w:t>
      </w:r>
      <w:r w:rsidRPr="0078069C">
        <w:rPr>
          <w:rFonts w:ascii="Tahoma" w:hAnsi="Tahoma" w:cs="Tahoma"/>
          <w:lang w:val="es-MX"/>
        </w:rPr>
        <w:t>que los efectos adversos del cambio climático, habrán de agudizar estas condiciones desfavorables y, al incrementar la frecuencia e intensidad de eventos climáticos extremos y de eventos acumulativos, y acentuarse la severidad de las condiciones de clima, acrecienten la magnitud de los esfuerzos necesarios para continuar con los programas existentes de rehabilitación y expansión de la red vial. Los eventos extremos y la acumulación de eventos no extremos, causan frecuentes interrupciones al tránsito, pérdidas en el patrimonio vial y aumentan los costos de operación, mantenimiento y de capital. Sumado a estas circunstancias, los niveles históricos</w:t>
      </w:r>
      <w:r>
        <w:rPr>
          <w:rFonts w:ascii="Tahoma" w:hAnsi="Tahoma" w:cs="Tahoma"/>
          <w:lang w:val="es-MX"/>
        </w:rPr>
        <w:t xml:space="preserve"> </w:t>
      </w:r>
      <w:r w:rsidRPr="002C1100">
        <w:rPr>
          <w:rFonts w:ascii="Tahoma" w:hAnsi="Tahoma" w:cs="Tahoma"/>
          <w:lang w:val="es-MX"/>
        </w:rPr>
        <w:t>de la inversión en mantenimiento de la red vial, han sido bajos, lo que incide en el nivel de deterioro y contribuye a su vulnerabilidad</w:t>
      </w:r>
      <w:r>
        <w:rPr>
          <w:rFonts w:ascii="Tahoma" w:hAnsi="Tahoma" w:cs="Tahoma"/>
          <w:lang w:val="es-MX"/>
        </w:rPr>
        <w:t>.</w:t>
      </w:r>
      <w:r w:rsidRPr="002C1100">
        <w:rPr>
          <w:rStyle w:val="FootnoteReference"/>
          <w:rFonts w:ascii="Tahoma" w:hAnsi="Tahoma" w:cs="Tahoma"/>
          <w:lang w:val="es-MX"/>
        </w:rPr>
        <w:footnoteReference w:id="8"/>
      </w:r>
    </w:p>
    <w:p w:rsidR="00AF4930" w:rsidRPr="00AF4930" w:rsidRDefault="00AF4930" w:rsidP="00AF4930">
      <w:pPr>
        <w:pStyle w:val="ListParagraph"/>
        <w:numPr>
          <w:ilvl w:val="1"/>
          <w:numId w:val="11"/>
        </w:numPr>
        <w:spacing w:line="360" w:lineRule="auto"/>
        <w:ind w:left="900" w:hanging="540"/>
        <w:rPr>
          <w:rFonts w:ascii="Tahoma" w:hAnsi="Tahoma" w:cs="Tahoma"/>
          <w:b/>
          <w:lang w:val="es-MX"/>
        </w:rPr>
      </w:pPr>
      <w:r>
        <w:rPr>
          <w:rFonts w:ascii="Tahoma" w:hAnsi="Tahoma" w:cs="Tahoma"/>
          <w:lang w:val="es-MX"/>
        </w:rPr>
        <w:t xml:space="preserve">En consecuencia, </w:t>
      </w:r>
      <w:r>
        <w:rPr>
          <w:rFonts w:ascii="Tahoma" w:hAnsi="Tahoma" w:cs="Tahoma"/>
          <w:lang w:val="es-MX"/>
        </w:rPr>
        <w:t>el Ministerio de Transporte e Infraestructura de Nicaragua (MTI), en el marco del Programa de Apoyo al Sector Transporte, financiado con apoyo de operaciones de préstamo del Banco Interamericano de Desarrollo (NI-L1049, NI-L1052, y NI-L1071), ha desarrollado desde el 2013, diversos convenios para el d</w:t>
      </w:r>
      <w:r w:rsidRPr="00602C93">
        <w:rPr>
          <w:rFonts w:ascii="Tahoma" w:hAnsi="Tahoma" w:cs="Tahoma"/>
          <w:lang w:val="es-MX"/>
        </w:rPr>
        <w:t>esarrollo capacidades adaptativas para el cambio climático en el sector transporte en Nicaragua (corto y largo plazo), a través del fortalecimiento institucional y capacitación; desarrollo de escenarios de cambio climático (modelos); la revisión de estándares y manuales de diseño, la realización de estudios y diseños de pre-inversión en sitios vulnerables;  y la supervisión de Proyectos Piloto. Cada una de estas actividades cuenta con planes de acción específicos en actual proceso de implementación, metas claramente definidas y, financiamiento a través de donación del Fondo Nórdico para el Desarrollo</w:t>
      </w:r>
      <w:r w:rsidRPr="00602C93">
        <w:rPr>
          <w:rStyle w:val="FootnoteReference"/>
          <w:rFonts w:ascii="franklinBook" w:hAnsi="franklinBook"/>
          <w:lang w:val="es-ES"/>
        </w:rPr>
        <w:footnoteReference w:id="9"/>
      </w:r>
      <w:r>
        <w:rPr>
          <w:rFonts w:ascii="Tahoma" w:hAnsi="Tahoma" w:cs="Tahoma"/>
          <w:lang w:val="es-MX"/>
        </w:rPr>
        <w:t>.</w:t>
      </w:r>
    </w:p>
    <w:p w:rsidR="00AF4930" w:rsidRPr="003778FA" w:rsidRDefault="00AF4930" w:rsidP="00AF4930">
      <w:pPr>
        <w:pStyle w:val="ListParagraph"/>
        <w:numPr>
          <w:ilvl w:val="1"/>
          <w:numId w:val="11"/>
        </w:numPr>
        <w:spacing w:line="360" w:lineRule="auto"/>
        <w:ind w:left="900" w:hanging="540"/>
        <w:rPr>
          <w:rFonts w:ascii="Tahoma" w:hAnsi="Tahoma" w:cs="Tahoma"/>
          <w:b/>
          <w:lang w:val="es-MX"/>
        </w:rPr>
      </w:pPr>
      <w:r>
        <w:rPr>
          <w:rFonts w:ascii="Tahoma" w:hAnsi="Tahoma" w:cs="Tahoma"/>
          <w:lang w:val="es-MX"/>
        </w:rPr>
        <w:t xml:space="preserve">Como resultado de estas actividades, </w:t>
      </w:r>
      <w:r>
        <w:rPr>
          <w:rFonts w:ascii="Tahoma" w:hAnsi="Tahoma" w:cs="Tahoma"/>
          <w:lang w:val="es-MX"/>
        </w:rPr>
        <w:t>el MTI ya viene desarrollando una serie de buenas prácticas en materia de seguimiento y supervisión ambiental a estudios de pre-inversión, con el fin de asegurar que los dise</w:t>
      </w:r>
      <w:r>
        <w:rPr>
          <w:rFonts w:ascii="Arial" w:hAnsi="Arial" w:cs="Arial"/>
          <w:lang w:val="es-MX"/>
        </w:rPr>
        <w:t>ños de ingeniería incorporen criterios de adaptación a los efectos del cambio climático, como requisito estándar dentro de los análisis de estructuras hidráulicas de las carreteras (cajas, caja-puentes, alcantarillas, estructura de escorrentía, entre otras), puentes (incluyendo sus estructuras complementarias de protección, y estructuras de disipación de energía de caudales) y estructuras de pavimento (niveles de carpeta comparados con niveles históricos de inundación</w:t>
      </w:r>
      <w:r>
        <w:rPr>
          <w:rFonts w:ascii="Arial" w:hAnsi="Arial" w:cs="Arial"/>
          <w:lang w:val="es-MX"/>
        </w:rPr>
        <w:t>)</w:t>
      </w:r>
      <w:r w:rsidR="003778FA">
        <w:rPr>
          <w:rFonts w:ascii="Arial" w:hAnsi="Arial" w:cs="Arial"/>
          <w:lang w:val="es-MX"/>
        </w:rPr>
        <w:t>.</w:t>
      </w:r>
    </w:p>
    <w:p w:rsidR="003778FA" w:rsidRPr="003778FA" w:rsidRDefault="003778FA" w:rsidP="003778FA">
      <w:pPr>
        <w:pStyle w:val="ListParagraph"/>
        <w:spacing w:line="360" w:lineRule="auto"/>
        <w:ind w:left="900"/>
        <w:rPr>
          <w:rFonts w:ascii="Tahoma" w:hAnsi="Tahoma" w:cs="Tahoma"/>
          <w:b/>
          <w:lang w:val="es-MX"/>
        </w:rPr>
      </w:pPr>
    </w:p>
    <w:p w:rsidR="003778FA" w:rsidRPr="003778FA" w:rsidRDefault="003778FA" w:rsidP="003778FA">
      <w:pPr>
        <w:pStyle w:val="ListParagraph"/>
        <w:numPr>
          <w:ilvl w:val="0"/>
          <w:numId w:val="11"/>
        </w:numPr>
        <w:spacing w:line="360" w:lineRule="auto"/>
        <w:rPr>
          <w:rFonts w:ascii="Tahoma" w:hAnsi="Tahoma" w:cs="Tahoma"/>
          <w:b/>
          <w:lang w:val="es-MX"/>
        </w:rPr>
      </w:pPr>
      <w:r w:rsidRPr="003778FA">
        <w:rPr>
          <w:rFonts w:ascii="Arial" w:hAnsi="Arial" w:cs="Arial"/>
          <w:b/>
          <w:lang w:val="es-MX"/>
        </w:rPr>
        <w:t>Consideraciones en el Proyecto de la Muestra del Programa de Integración Vial III.</w:t>
      </w:r>
    </w:p>
    <w:p w:rsidR="003778FA" w:rsidRPr="00AF4930" w:rsidRDefault="003778FA" w:rsidP="003778FA">
      <w:pPr>
        <w:pStyle w:val="ListParagraph"/>
        <w:spacing w:line="360" w:lineRule="auto"/>
        <w:ind w:left="1080"/>
        <w:rPr>
          <w:rFonts w:ascii="Tahoma" w:hAnsi="Tahoma" w:cs="Tahoma"/>
          <w:b/>
          <w:lang w:val="es-MX"/>
        </w:rPr>
      </w:pPr>
    </w:p>
    <w:p w:rsidR="00AF4930" w:rsidRDefault="00AF4930" w:rsidP="00AF4930">
      <w:pPr>
        <w:pStyle w:val="ListParagraph"/>
        <w:numPr>
          <w:ilvl w:val="1"/>
          <w:numId w:val="11"/>
        </w:numPr>
        <w:spacing w:line="360" w:lineRule="auto"/>
        <w:ind w:left="900" w:hanging="540"/>
        <w:rPr>
          <w:rFonts w:ascii="Arial" w:hAnsi="Arial" w:cs="Arial"/>
          <w:lang w:val="es-MX"/>
        </w:rPr>
      </w:pPr>
      <w:r>
        <w:rPr>
          <w:rFonts w:ascii="Arial" w:hAnsi="Arial" w:cs="Arial"/>
          <w:lang w:val="es-MX"/>
        </w:rPr>
        <w:t>En desarrollo de dichos criterios, los diseños finales de la muestra del programa (</w:t>
      </w:r>
      <w:r w:rsidRPr="00FB4CC0">
        <w:rPr>
          <w:rFonts w:ascii="Arial" w:hAnsi="Arial" w:cs="Arial"/>
          <w:b/>
          <w:lang w:val="es-MX"/>
        </w:rPr>
        <w:t>Carretera El Comején –</w:t>
      </w:r>
      <w:proofErr w:type="spellStart"/>
      <w:r w:rsidRPr="00FB4CC0">
        <w:rPr>
          <w:rFonts w:ascii="Arial" w:hAnsi="Arial" w:cs="Arial"/>
          <w:b/>
          <w:lang w:val="es-MX"/>
        </w:rPr>
        <w:t>Waslala</w:t>
      </w:r>
      <w:proofErr w:type="spellEnd"/>
      <w:r>
        <w:rPr>
          <w:rFonts w:ascii="Arial" w:hAnsi="Arial" w:cs="Arial"/>
          <w:lang w:val="es-MX"/>
        </w:rPr>
        <w:t>), han incorporado los siguientes criterios de diseño, con el objetivo de considerar, por el lado de reducción dela vulnerabilidad de las obras, medidas de adaptación a los efectos del cambio climático</w:t>
      </w:r>
      <w:r w:rsidR="00E95990">
        <w:rPr>
          <w:rFonts w:ascii="Arial" w:hAnsi="Arial" w:cs="Arial"/>
          <w:lang w:val="es-MX"/>
        </w:rPr>
        <w:t>:</w:t>
      </w:r>
    </w:p>
    <w:p w:rsidR="00E95990" w:rsidRDefault="00E95990" w:rsidP="00E95990">
      <w:pPr>
        <w:pStyle w:val="ListParagraph"/>
        <w:spacing w:line="360" w:lineRule="auto"/>
        <w:ind w:left="900"/>
        <w:rPr>
          <w:rFonts w:ascii="Arial" w:hAnsi="Arial" w:cs="Arial"/>
          <w:lang w:val="es-MX"/>
        </w:rPr>
      </w:pPr>
    </w:p>
    <w:p w:rsidR="00AF4930" w:rsidRDefault="00AF4930" w:rsidP="00E95990">
      <w:pPr>
        <w:pStyle w:val="ListParagraph"/>
        <w:numPr>
          <w:ilvl w:val="1"/>
          <w:numId w:val="12"/>
        </w:numPr>
        <w:spacing w:line="360" w:lineRule="auto"/>
        <w:ind w:left="1800" w:hanging="450"/>
        <w:rPr>
          <w:rFonts w:ascii="Arial" w:hAnsi="Arial" w:cs="Arial"/>
          <w:lang w:val="es-MX"/>
        </w:rPr>
      </w:pPr>
      <w:r w:rsidRPr="00FB4CC0">
        <w:rPr>
          <w:rFonts w:ascii="Arial" w:hAnsi="Arial" w:cs="Arial"/>
          <w:lang w:val="es-MX"/>
        </w:rPr>
        <w:t>Cajas</w:t>
      </w:r>
      <w:r>
        <w:rPr>
          <w:rFonts w:ascii="Arial" w:hAnsi="Arial" w:cs="Arial"/>
          <w:lang w:val="es-MX"/>
        </w:rPr>
        <w:t xml:space="preserve">, </w:t>
      </w:r>
      <w:r w:rsidRPr="00FB4CC0">
        <w:rPr>
          <w:rFonts w:ascii="Arial" w:hAnsi="Arial" w:cs="Arial"/>
          <w:lang w:val="es-MX"/>
        </w:rPr>
        <w:t>cajas-puente</w:t>
      </w:r>
      <w:r>
        <w:rPr>
          <w:rFonts w:ascii="Arial" w:hAnsi="Arial" w:cs="Arial"/>
          <w:lang w:val="es-MX"/>
        </w:rPr>
        <w:t xml:space="preserve"> y puentes</w:t>
      </w:r>
      <w:r w:rsidRPr="00FB4CC0">
        <w:rPr>
          <w:rFonts w:ascii="Arial" w:hAnsi="Arial" w:cs="Arial"/>
          <w:lang w:val="es-MX"/>
        </w:rPr>
        <w:t>: para el cálculo de la capacidad hidráulica y el refuerzo de las estructural, tener en cuenta como especificación especial de diseño, períodos de retorno de 100 años, en reemplazo de los períodos de 50 años establecidos en las especificaciones estándar</w:t>
      </w:r>
      <w:r>
        <w:rPr>
          <w:rFonts w:ascii="Arial" w:hAnsi="Arial" w:cs="Arial"/>
          <w:lang w:val="es-MX"/>
        </w:rPr>
        <w:t>.</w:t>
      </w:r>
    </w:p>
    <w:p w:rsidR="00AF4930" w:rsidRDefault="00AF4930" w:rsidP="00E95990">
      <w:pPr>
        <w:pStyle w:val="ListParagraph"/>
        <w:numPr>
          <w:ilvl w:val="1"/>
          <w:numId w:val="12"/>
        </w:numPr>
        <w:spacing w:line="360" w:lineRule="auto"/>
        <w:ind w:left="1800" w:hanging="450"/>
        <w:rPr>
          <w:rFonts w:ascii="Arial" w:hAnsi="Arial" w:cs="Arial"/>
          <w:lang w:val="es-MX"/>
        </w:rPr>
      </w:pPr>
      <w:r>
        <w:rPr>
          <w:rFonts w:ascii="Arial" w:hAnsi="Arial" w:cs="Arial"/>
          <w:lang w:val="es-MX"/>
        </w:rPr>
        <w:t xml:space="preserve">Alcantarillas </w:t>
      </w:r>
      <w:r w:rsidRPr="00FB4CC0">
        <w:rPr>
          <w:rFonts w:ascii="Arial" w:hAnsi="Arial" w:cs="Arial"/>
          <w:lang w:val="es-MX"/>
        </w:rPr>
        <w:t xml:space="preserve">con diámetros de hasta 30 pulgadas: para el cálculo de la capacidad hidráulica, tener en cuenta como especificación especial de diseño, períodos de retorno de </w:t>
      </w:r>
      <w:r>
        <w:rPr>
          <w:rFonts w:ascii="Arial" w:hAnsi="Arial" w:cs="Arial"/>
          <w:lang w:val="es-MX"/>
        </w:rPr>
        <w:t>3</w:t>
      </w:r>
      <w:r w:rsidRPr="00FB4CC0">
        <w:rPr>
          <w:rFonts w:ascii="Arial" w:hAnsi="Arial" w:cs="Arial"/>
          <w:lang w:val="es-MX"/>
        </w:rPr>
        <w:t xml:space="preserve">0 años, en reemplazo de los períodos de </w:t>
      </w:r>
      <w:r>
        <w:rPr>
          <w:rFonts w:ascii="Arial" w:hAnsi="Arial" w:cs="Arial"/>
          <w:lang w:val="es-MX"/>
        </w:rPr>
        <w:t>1</w:t>
      </w:r>
      <w:r w:rsidRPr="00FB4CC0">
        <w:rPr>
          <w:rFonts w:ascii="Arial" w:hAnsi="Arial" w:cs="Arial"/>
          <w:lang w:val="es-MX"/>
        </w:rPr>
        <w:t>5 años establecidos en las especificaciones estándar</w:t>
      </w:r>
      <w:r>
        <w:rPr>
          <w:rFonts w:ascii="Arial" w:hAnsi="Arial" w:cs="Arial"/>
          <w:lang w:val="es-MX"/>
        </w:rPr>
        <w:t>.</w:t>
      </w:r>
    </w:p>
    <w:p w:rsidR="00AF4930" w:rsidRDefault="00AF4930" w:rsidP="00E95990">
      <w:pPr>
        <w:pStyle w:val="ListParagraph"/>
        <w:numPr>
          <w:ilvl w:val="1"/>
          <w:numId w:val="12"/>
        </w:numPr>
        <w:spacing w:line="360" w:lineRule="auto"/>
        <w:ind w:left="1800" w:hanging="450"/>
        <w:rPr>
          <w:rFonts w:ascii="Arial" w:hAnsi="Arial" w:cs="Arial"/>
          <w:lang w:val="es-MX"/>
        </w:rPr>
      </w:pPr>
      <w:r>
        <w:rPr>
          <w:rFonts w:ascii="Arial" w:hAnsi="Arial" w:cs="Arial"/>
          <w:lang w:val="es-MX"/>
        </w:rPr>
        <w:t xml:space="preserve">Alcantarillas </w:t>
      </w:r>
      <w:r w:rsidRPr="00FB4CC0">
        <w:rPr>
          <w:rFonts w:ascii="Arial" w:hAnsi="Arial" w:cs="Arial"/>
          <w:lang w:val="es-MX"/>
        </w:rPr>
        <w:t xml:space="preserve">con diámetros </w:t>
      </w:r>
      <w:r>
        <w:rPr>
          <w:rFonts w:ascii="Arial" w:hAnsi="Arial" w:cs="Arial"/>
          <w:lang w:val="es-MX"/>
        </w:rPr>
        <w:t xml:space="preserve">entre </w:t>
      </w:r>
      <w:r w:rsidRPr="00FB4CC0">
        <w:rPr>
          <w:rFonts w:ascii="Arial" w:hAnsi="Arial" w:cs="Arial"/>
          <w:lang w:val="es-MX"/>
        </w:rPr>
        <w:t>30</w:t>
      </w:r>
      <w:r>
        <w:rPr>
          <w:rFonts w:ascii="Arial" w:hAnsi="Arial" w:cs="Arial"/>
          <w:lang w:val="es-MX"/>
        </w:rPr>
        <w:t xml:space="preserve"> y 70 p</w:t>
      </w:r>
      <w:r w:rsidRPr="00FB4CC0">
        <w:rPr>
          <w:rFonts w:ascii="Arial" w:hAnsi="Arial" w:cs="Arial"/>
          <w:lang w:val="es-MX"/>
        </w:rPr>
        <w:t>ulgadas: para el cálculo de la capacidad hidráulica, tener en cuenta como especificación especial de diseño, períodos de retorno de 50 años, en reemplazo de los períodos de 25 años establecidos en las especificaciones estánda</w:t>
      </w:r>
      <w:r>
        <w:rPr>
          <w:rFonts w:ascii="Arial" w:hAnsi="Arial" w:cs="Arial"/>
          <w:lang w:val="es-MX"/>
        </w:rPr>
        <w:t>r</w:t>
      </w:r>
      <w:r>
        <w:rPr>
          <w:rFonts w:ascii="Arial" w:hAnsi="Arial" w:cs="Arial"/>
          <w:lang w:val="es-MX"/>
        </w:rPr>
        <w:t>.</w:t>
      </w:r>
    </w:p>
    <w:p w:rsidR="00AF4930" w:rsidRDefault="00AF4930" w:rsidP="00E95990">
      <w:pPr>
        <w:pStyle w:val="ListParagraph"/>
        <w:numPr>
          <w:ilvl w:val="1"/>
          <w:numId w:val="12"/>
        </w:numPr>
        <w:spacing w:line="360" w:lineRule="auto"/>
        <w:ind w:left="1800" w:hanging="450"/>
        <w:rPr>
          <w:rFonts w:ascii="Arial" w:hAnsi="Arial" w:cs="Arial"/>
          <w:lang w:val="es-MX"/>
        </w:rPr>
      </w:pPr>
      <w:r>
        <w:rPr>
          <w:rFonts w:ascii="Arial" w:hAnsi="Arial" w:cs="Arial"/>
          <w:lang w:val="es-MX"/>
        </w:rPr>
        <w:t xml:space="preserve">Estructura de </w:t>
      </w:r>
      <w:r>
        <w:rPr>
          <w:rFonts w:ascii="Arial" w:hAnsi="Arial" w:cs="Arial"/>
          <w:lang w:val="es-MX"/>
        </w:rPr>
        <w:t xml:space="preserve">pavimento, diques y otras estructuras de detención de flujos superficiales: los niveles superiores de estas estructuras, deben tener en cuenta los niveles máximos registrados históricamente en la zona, para períodos de retorno de 100 años, o menos en caso que dicho período no permita un diseño técnico o económicamente factible. El período de retorno de diseño menor a considerar en este caso, no </w:t>
      </w:r>
      <w:bookmarkStart w:id="1" w:name="_GoBack"/>
      <w:bookmarkEnd w:id="1"/>
      <w:r>
        <w:rPr>
          <w:rFonts w:ascii="Arial" w:hAnsi="Arial" w:cs="Arial"/>
          <w:lang w:val="es-MX"/>
        </w:rPr>
        <w:t>podrá ser inferior a 50 años</w:t>
      </w:r>
      <w:r>
        <w:rPr>
          <w:rFonts w:ascii="Arial" w:hAnsi="Arial" w:cs="Arial"/>
          <w:lang w:val="es-MX"/>
        </w:rPr>
        <w:t>.</w:t>
      </w:r>
    </w:p>
    <w:sectPr w:rsidR="00AF493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AE7" w:rsidRDefault="00AF3AE7" w:rsidP="00AF3AE7">
      <w:pPr>
        <w:spacing w:after="0"/>
      </w:pPr>
      <w:r>
        <w:separator/>
      </w:r>
    </w:p>
  </w:endnote>
  <w:endnote w:type="continuationSeparator" w:id="0">
    <w:p w:rsidR="00AF3AE7" w:rsidRDefault="00AF3AE7" w:rsidP="00AF3AE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franklinBook">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4339472"/>
      <w:docPartObj>
        <w:docPartGallery w:val="Page Numbers (Bottom of Page)"/>
        <w:docPartUnique/>
      </w:docPartObj>
    </w:sdtPr>
    <w:sdtEndPr>
      <w:rPr>
        <w:noProof/>
      </w:rPr>
    </w:sdtEndPr>
    <w:sdtContent>
      <w:p w:rsidR="00E95990" w:rsidRDefault="00E95990">
        <w:pPr>
          <w:pStyle w:val="Footer"/>
          <w:jc w:val="right"/>
        </w:pPr>
        <w:r>
          <w:fldChar w:fldCharType="begin"/>
        </w:r>
        <w:r>
          <w:instrText xml:space="preserve"> PAGE   \* MERGEFORMAT </w:instrText>
        </w:r>
        <w:r>
          <w:fldChar w:fldCharType="separate"/>
        </w:r>
        <w:r w:rsidR="003778FA">
          <w:rPr>
            <w:noProof/>
          </w:rPr>
          <w:t>6</w:t>
        </w:r>
        <w:r>
          <w:rPr>
            <w:noProof/>
          </w:rPr>
          <w:fldChar w:fldCharType="end"/>
        </w:r>
      </w:p>
    </w:sdtContent>
  </w:sdt>
  <w:p w:rsidR="00E95990" w:rsidRDefault="00E959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AE7" w:rsidRDefault="00AF3AE7" w:rsidP="00AF3AE7">
      <w:pPr>
        <w:spacing w:after="0"/>
      </w:pPr>
      <w:r>
        <w:separator/>
      </w:r>
    </w:p>
  </w:footnote>
  <w:footnote w:type="continuationSeparator" w:id="0">
    <w:p w:rsidR="00AF3AE7" w:rsidRDefault="00AF3AE7" w:rsidP="00AF3AE7">
      <w:pPr>
        <w:spacing w:after="0"/>
      </w:pPr>
      <w:r>
        <w:continuationSeparator/>
      </w:r>
    </w:p>
  </w:footnote>
  <w:footnote w:id="1">
    <w:p w:rsidR="00AF4930" w:rsidRPr="00571CD8" w:rsidRDefault="00AF4930" w:rsidP="00AF4930">
      <w:pPr>
        <w:pStyle w:val="FootnoteText"/>
      </w:pPr>
      <w:r>
        <w:rPr>
          <w:rStyle w:val="FootnoteReference"/>
        </w:rPr>
        <w:footnoteRef/>
      </w:r>
      <w:r>
        <w:t xml:space="preserve"> La Economía del Cambio Climático en Centroamérica, CEPAL (2010)</w:t>
      </w:r>
    </w:p>
  </w:footnote>
  <w:footnote w:id="2">
    <w:p w:rsidR="00AF4930" w:rsidRPr="00571CD8" w:rsidRDefault="00AF4930" w:rsidP="00AF4930">
      <w:pPr>
        <w:pStyle w:val="FootnoteText"/>
      </w:pPr>
      <w:r>
        <w:rPr>
          <w:rStyle w:val="FootnoteReference"/>
        </w:rPr>
        <w:footnoteRef/>
      </w:r>
      <w:r>
        <w:t xml:space="preserve"> </w:t>
      </w:r>
      <w:proofErr w:type="spellStart"/>
      <w:r>
        <w:t>Idem</w:t>
      </w:r>
      <w:proofErr w:type="spellEnd"/>
      <w:r>
        <w:t xml:space="preserve"> anterior</w:t>
      </w:r>
    </w:p>
  </w:footnote>
  <w:footnote w:id="3">
    <w:p w:rsidR="00AF4930" w:rsidRPr="003E3F76" w:rsidRDefault="00AF4930" w:rsidP="00AF4930">
      <w:pPr>
        <w:autoSpaceDE w:val="0"/>
        <w:autoSpaceDN w:val="0"/>
        <w:adjustRightInd w:val="0"/>
        <w:spacing w:after="0"/>
        <w:ind w:left="180" w:hanging="180"/>
        <w:rPr>
          <w:sz w:val="20"/>
          <w:szCs w:val="20"/>
        </w:rPr>
      </w:pPr>
      <w:r>
        <w:rPr>
          <w:rStyle w:val="FootnoteReference"/>
        </w:rPr>
        <w:footnoteRef/>
      </w:r>
      <w:r>
        <w:t xml:space="preserve"> </w:t>
      </w:r>
      <w:r w:rsidRPr="003E3F76">
        <w:rPr>
          <w:sz w:val="20"/>
          <w:szCs w:val="20"/>
        </w:rPr>
        <w:t>El Grupo Intergubernamental de Expertos sobre el Cambio Climático (IPCC por su</w:t>
      </w:r>
      <w:r>
        <w:rPr>
          <w:sz w:val="20"/>
          <w:szCs w:val="20"/>
        </w:rPr>
        <w:t xml:space="preserve"> </w:t>
      </w:r>
      <w:r w:rsidRPr="003E3F76">
        <w:rPr>
          <w:sz w:val="20"/>
          <w:szCs w:val="20"/>
        </w:rPr>
        <w:t>sigla en inglés) es un organismo técnico compuesto por los gobiernos de varios</w:t>
      </w:r>
      <w:r>
        <w:rPr>
          <w:sz w:val="20"/>
          <w:szCs w:val="20"/>
        </w:rPr>
        <w:t xml:space="preserve"> </w:t>
      </w:r>
      <w:r w:rsidRPr="003E3F76">
        <w:rPr>
          <w:sz w:val="20"/>
          <w:szCs w:val="20"/>
        </w:rPr>
        <w:t>países, cuya tarea es la evaluación científica del cambio climático. El grupo fue</w:t>
      </w:r>
      <w:r>
        <w:rPr>
          <w:sz w:val="20"/>
          <w:szCs w:val="20"/>
        </w:rPr>
        <w:t xml:space="preserve"> </w:t>
      </w:r>
      <w:r w:rsidRPr="003E3F76">
        <w:rPr>
          <w:sz w:val="20"/>
          <w:szCs w:val="20"/>
        </w:rPr>
        <w:t>establecido en 1988 por la Organización Meteorológica Mundial (OMM) y el</w:t>
      </w:r>
      <w:r>
        <w:rPr>
          <w:sz w:val="20"/>
          <w:szCs w:val="20"/>
        </w:rPr>
        <w:t xml:space="preserve"> </w:t>
      </w:r>
      <w:r w:rsidRPr="003E3F76">
        <w:rPr>
          <w:sz w:val="20"/>
          <w:szCs w:val="20"/>
        </w:rPr>
        <w:t>Programa de las Naciones Unidas para el Medio Ambiente (PNUMA).</w:t>
      </w:r>
    </w:p>
  </w:footnote>
  <w:footnote w:id="4">
    <w:p w:rsidR="00AF4930" w:rsidRPr="00AF3AE7" w:rsidRDefault="00AF4930" w:rsidP="00AF4930">
      <w:pPr>
        <w:ind w:left="270" w:hanging="270"/>
        <w:jc w:val="left"/>
        <w:rPr>
          <w:lang w:val="es-ES_tradnl"/>
        </w:rPr>
      </w:pPr>
      <w:r>
        <w:rPr>
          <w:rStyle w:val="FootnoteReference"/>
        </w:rPr>
        <w:footnoteRef/>
      </w:r>
      <w:r>
        <w:t xml:space="preserve"> </w:t>
      </w:r>
      <w:r>
        <w:tab/>
      </w:r>
      <w:r w:rsidRPr="00C959E9">
        <w:rPr>
          <w:sz w:val="20"/>
          <w:szCs w:val="20"/>
        </w:rPr>
        <w:t>Estrategia Nacional Ambiental y del Cambio Climático-Plan de Acción 2010-2015. Gobierno de Nicaragua (Abril 6 de 2010)</w:t>
      </w:r>
    </w:p>
  </w:footnote>
  <w:footnote w:id="5">
    <w:p w:rsidR="00AF4930" w:rsidRPr="0052626B" w:rsidRDefault="00AF4930" w:rsidP="00AF4930">
      <w:pPr>
        <w:autoSpaceDE w:val="0"/>
        <w:autoSpaceDN w:val="0"/>
        <w:adjustRightInd w:val="0"/>
        <w:spacing w:after="0"/>
        <w:ind w:left="270" w:hanging="270"/>
        <w:jc w:val="left"/>
        <w:rPr>
          <w:sz w:val="20"/>
          <w:szCs w:val="20"/>
        </w:rPr>
      </w:pPr>
      <w:r>
        <w:rPr>
          <w:rStyle w:val="FootnoteReference"/>
        </w:rPr>
        <w:footnoteRef/>
      </w:r>
      <w:r>
        <w:t xml:space="preserve"> </w:t>
      </w:r>
      <w:r>
        <w:tab/>
      </w:r>
      <w:r w:rsidRPr="0052626B">
        <w:rPr>
          <w:sz w:val="20"/>
          <w:szCs w:val="20"/>
        </w:rPr>
        <w:t>Estudios básicos de mitigación y adaptación al cambio climático, vulnerabilidades, huella</w:t>
      </w:r>
      <w:r>
        <w:rPr>
          <w:sz w:val="20"/>
          <w:szCs w:val="20"/>
        </w:rPr>
        <w:t xml:space="preserve"> </w:t>
      </w:r>
      <w:r w:rsidRPr="0052626B">
        <w:rPr>
          <w:sz w:val="20"/>
          <w:szCs w:val="20"/>
        </w:rPr>
        <w:t>urbana y escenarios de crecimiento urbano para la Región Urbana de Managua. (BID, 2014)</w:t>
      </w:r>
    </w:p>
  </w:footnote>
  <w:footnote w:id="6">
    <w:p w:rsidR="00D8383D" w:rsidRPr="00D8383D" w:rsidRDefault="00D8383D" w:rsidP="00D8383D">
      <w:pPr>
        <w:autoSpaceDE w:val="0"/>
        <w:autoSpaceDN w:val="0"/>
        <w:adjustRightInd w:val="0"/>
        <w:spacing w:after="0"/>
        <w:ind w:left="270" w:hanging="270"/>
        <w:rPr>
          <w:sz w:val="20"/>
          <w:szCs w:val="20"/>
        </w:rPr>
      </w:pPr>
      <w:r>
        <w:rPr>
          <w:rStyle w:val="FootnoteReference"/>
        </w:rPr>
        <w:footnoteRef/>
      </w:r>
      <w:r>
        <w:t xml:space="preserve"> </w:t>
      </w:r>
      <w:r>
        <w:tab/>
      </w:r>
      <w:r w:rsidRPr="00D8383D">
        <w:rPr>
          <w:sz w:val="20"/>
          <w:szCs w:val="20"/>
        </w:rPr>
        <w:t>Estudios básicos de mitigación y</w:t>
      </w:r>
      <w:r w:rsidRPr="00D8383D">
        <w:rPr>
          <w:sz w:val="20"/>
          <w:szCs w:val="20"/>
        </w:rPr>
        <w:t xml:space="preserve"> </w:t>
      </w:r>
      <w:r w:rsidRPr="00D8383D">
        <w:rPr>
          <w:sz w:val="20"/>
          <w:szCs w:val="20"/>
        </w:rPr>
        <w:t>adaptación al cambio climático, vulnerabilidades, huella</w:t>
      </w:r>
      <w:r w:rsidRPr="00D8383D">
        <w:rPr>
          <w:sz w:val="20"/>
          <w:szCs w:val="20"/>
        </w:rPr>
        <w:t xml:space="preserve"> </w:t>
      </w:r>
      <w:r w:rsidRPr="00D8383D">
        <w:rPr>
          <w:sz w:val="20"/>
          <w:szCs w:val="20"/>
        </w:rPr>
        <w:t>urbana y escenarios de crecimiento urbano para la</w:t>
      </w:r>
      <w:r w:rsidRPr="00D8383D">
        <w:rPr>
          <w:sz w:val="20"/>
          <w:szCs w:val="20"/>
        </w:rPr>
        <w:t xml:space="preserve"> </w:t>
      </w:r>
      <w:r w:rsidRPr="00D8383D">
        <w:rPr>
          <w:sz w:val="20"/>
          <w:szCs w:val="20"/>
        </w:rPr>
        <w:t>Región Urbana de Managua</w:t>
      </w:r>
      <w:r w:rsidRPr="00D8383D">
        <w:rPr>
          <w:sz w:val="20"/>
          <w:szCs w:val="20"/>
        </w:rPr>
        <w:t xml:space="preserve">, a partir del </w:t>
      </w:r>
      <w:r w:rsidRPr="00D8383D">
        <w:rPr>
          <w:sz w:val="20"/>
          <w:szCs w:val="20"/>
        </w:rPr>
        <w:t>modelo ECHAM4 para 2011-2040.</w:t>
      </w:r>
    </w:p>
  </w:footnote>
  <w:footnote w:id="7">
    <w:p w:rsidR="00AF4930" w:rsidRPr="00AF4930" w:rsidRDefault="00AF4930" w:rsidP="00AF4930">
      <w:pPr>
        <w:pStyle w:val="FootnoteText"/>
        <w:rPr>
          <w:lang w:val="en-US"/>
        </w:rPr>
      </w:pPr>
      <w:r>
        <w:rPr>
          <w:rStyle w:val="FootnoteReference"/>
        </w:rPr>
        <w:footnoteRef/>
      </w:r>
      <w:r w:rsidRPr="00691155">
        <w:rPr>
          <w:lang w:val="en-US"/>
        </w:rPr>
        <w:t xml:space="preserve"> </w:t>
      </w:r>
      <w:proofErr w:type="gramStart"/>
      <w:r>
        <w:rPr>
          <w:lang w:val="en-US"/>
        </w:rPr>
        <w:t>Climate Change projections in Latin America and The Caribbean.</w:t>
      </w:r>
      <w:proofErr w:type="gramEnd"/>
      <w:r>
        <w:rPr>
          <w:lang w:val="en-US"/>
        </w:rPr>
        <w:t xml:space="preserve"> </w:t>
      </w:r>
      <w:r w:rsidRPr="00AF4930">
        <w:rPr>
          <w:lang w:val="en-US"/>
        </w:rPr>
        <w:t xml:space="preserve">Review of existing regional Climate Models’ Outputs. </w:t>
      </w:r>
      <w:proofErr w:type="gramStart"/>
      <w:r w:rsidRPr="00AF4930">
        <w:rPr>
          <w:lang w:val="en-US"/>
        </w:rPr>
        <w:t>(BID, 2016).</w:t>
      </w:r>
      <w:proofErr w:type="gramEnd"/>
    </w:p>
  </w:footnote>
  <w:footnote w:id="8">
    <w:p w:rsidR="00AF4930" w:rsidRPr="00D8383D" w:rsidRDefault="00AF4930" w:rsidP="00AF4930">
      <w:pPr>
        <w:pStyle w:val="FootnoteText"/>
        <w:ind w:left="180" w:hanging="180"/>
      </w:pPr>
      <w:r>
        <w:rPr>
          <w:rStyle w:val="FootnoteReference"/>
        </w:rPr>
        <w:footnoteRef/>
      </w:r>
      <w:r w:rsidRPr="00AF4930">
        <w:rPr>
          <w:lang w:val="es-ES_tradnl"/>
        </w:rPr>
        <w:t xml:space="preserve"> RG-T1840. </w:t>
      </w:r>
      <w:r>
        <w:t xml:space="preserve">Estudio de vulnerabilidad al cambio climático de la infraestructura de transporte de Nicaragua y posibles actividades de adaptación. Plan de Acción Preliminar (Fondo Nórdico para el Desarrollo, 2014) </w:t>
      </w:r>
    </w:p>
  </w:footnote>
  <w:footnote w:id="9">
    <w:p w:rsidR="00AF4930" w:rsidRPr="001D23AC" w:rsidRDefault="00AF4930" w:rsidP="00AF4930">
      <w:pPr>
        <w:autoSpaceDE w:val="0"/>
        <w:autoSpaceDN w:val="0"/>
        <w:adjustRightInd w:val="0"/>
        <w:spacing w:after="0"/>
        <w:ind w:left="270" w:hanging="270"/>
        <w:jc w:val="left"/>
        <w:rPr>
          <w:lang w:val="es-ES_tradnl"/>
        </w:rPr>
      </w:pPr>
      <w:r>
        <w:rPr>
          <w:rStyle w:val="FootnoteReference"/>
        </w:rPr>
        <w:footnoteRef/>
      </w:r>
      <w:r>
        <w:t xml:space="preserve"> </w:t>
      </w:r>
      <w:r>
        <w:tab/>
      </w:r>
      <w:r w:rsidRPr="001D23AC">
        <w:rPr>
          <w:sz w:val="20"/>
          <w:szCs w:val="20"/>
        </w:rPr>
        <w:t>Asistencia Técnica (Corto y Largo Plazo) para el Desarrollo de</w:t>
      </w:r>
      <w:r>
        <w:rPr>
          <w:sz w:val="20"/>
          <w:szCs w:val="20"/>
        </w:rPr>
        <w:t xml:space="preserve"> </w:t>
      </w:r>
      <w:r w:rsidRPr="001D23AC">
        <w:rPr>
          <w:sz w:val="20"/>
          <w:szCs w:val="20"/>
        </w:rPr>
        <w:t>Capacidad Adaptativa para el Cambio Climático en el Sector</w:t>
      </w:r>
      <w:r>
        <w:rPr>
          <w:sz w:val="20"/>
          <w:szCs w:val="20"/>
        </w:rPr>
        <w:t xml:space="preserve">. </w:t>
      </w:r>
      <w:r w:rsidRPr="001D23AC">
        <w:rPr>
          <w:sz w:val="20"/>
          <w:szCs w:val="20"/>
        </w:rPr>
        <w:t>Transporte en Nicaragua. Convenio de donación</w:t>
      </w:r>
      <w:r>
        <w:rPr>
          <w:sz w:val="20"/>
          <w:szCs w:val="20"/>
        </w:rPr>
        <w:t xml:space="preserve"> </w:t>
      </w:r>
      <w:r w:rsidRPr="001D23AC">
        <w:rPr>
          <w:sz w:val="20"/>
          <w:szCs w:val="20"/>
        </w:rPr>
        <w:t>NDF C32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54D96"/>
    <w:multiLevelType w:val="hybridMultilevel"/>
    <w:tmpl w:val="770C9D44"/>
    <w:lvl w:ilvl="0" w:tplc="B89A6E86">
      <w:start w:val="1"/>
      <w:numFmt w:val="lowerLetter"/>
      <w:lvlText w:val="(%1)"/>
      <w:lvlJc w:val="left"/>
      <w:pPr>
        <w:ind w:left="644" w:hanging="360"/>
      </w:pPr>
      <w:rPr>
        <w:rFonts w:hint="default"/>
      </w:rPr>
    </w:lvl>
    <w:lvl w:ilvl="1" w:tplc="540A0019" w:tentative="1">
      <w:start w:val="1"/>
      <w:numFmt w:val="lowerLetter"/>
      <w:lvlText w:val="%2."/>
      <w:lvlJc w:val="left"/>
      <w:pPr>
        <w:ind w:left="1364" w:hanging="360"/>
      </w:pPr>
    </w:lvl>
    <w:lvl w:ilvl="2" w:tplc="540A001B" w:tentative="1">
      <w:start w:val="1"/>
      <w:numFmt w:val="lowerRoman"/>
      <w:lvlText w:val="%3."/>
      <w:lvlJc w:val="right"/>
      <w:pPr>
        <w:ind w:left="2084" w:hanging="180"/>
      </w:pPr>
    </w:lvl>
    <w:lvl w:ilvl="3" w:tplc="540A000F" w:tentative="1">
      <w:start w:val="1"/>
      <w:numFmt w:val="decimal"/>
      <w:lvlText w:val="%4."/>
      <w:lvlJc w:val="left"/>
      <w:pPr>
        <w:ind w:left="2804" w:hanging="360"/>
      </w:pPr>
    </w:lvl>
    <w:lvl w:ilvl="4" w:tplc="540A0019" w:tentative="1">
      <w:start w:val="1"/>
      <w:numFmt w:val="lowerLetter"/>
      <w:lvlText w:val="%5."/>
      <w:lvlJc w:val="left"/>
      <w:pPr>
        <w:ind w:left="3524" w:hanging="360"/>
      </w:pPr>
    </w:lvl>
    <w:lvl w:ilvl="5" w:tplc="540A001B" w:tentative="1">
      <w:start w:val="1"/>
      <w:numFmt w:val="lowerRoman"/>
      <w:lvlText w:val="%6."/>
      <w:lvlJc w:val="right"/>
      <w:pPr>
        <w:ind w:left="4244" w:hanging="180"/>
      </w:pPr>
    </w:lvl>
    <w:lvl w:ilvl="6" w:tplc="540A000F" w:tentative="1">
      <w:start w:val="1"/>
      <w:numFmt w:val="decimal"/>
      <w:lvlText w:val="%7."/>
      <w:lvlJc w:val="left"/>
      <w:pPr>
        <w:ind w:left="4964" w:hanging="360"/>
      </w:pPr>
    </w:lvl>
    <w:lvl w:ilvl="7" w:tplc="540A0019" w:tentative="1">
      <w:start w:val="1"/>
      <w:numFmt w:val="lowerLetter"/>
      <w:lvlText w:val="%8."/>
      <w:lvlJc w:val="left"/>
      <w:pPr>
        <w:ind w:left="5684" w:hanging="360"/>
      </w:pPr>
    </w:lvl>
    <w:lvl w:ilvl="8" w:tplc="540A001B" w:tentative="1">
      <w:start w:val="1"/>
      <w:numFmt w:val="lowerRoman"/>
      <w:lvlText w:val="%9."/>
      <w:lvlJc w:val="right"/>
      <w:pPr>
        <w:ind w:left="6404" w:hanging="180"/>
      </w:pPr>
    </w:lvl>
  </w:abstractNum>
  <w:abstractNum w:abstractNumId="1">
    <w:nsid w:val="0F0606FD"/>
    <w:multiLevelType w:val="multilevel"/>
    <w:tmpl w:val="73ECACCA"/>
    <w:lvl w:ilvl="0">
      <w:start w:val="1"/>
      <w:numFmt w:val="upperRoman"/>
      <w:lvlText w:val="%1."/>
      <w:lvlJc w:val="left"/>
      <w:pPr>
        <w:ind w:left="1080" w:hanging="720"/>
      </w:pPr>
      <w:rPr>
        <w:rFonts w:hint="default"/>
      </w:rPr>
    </w:lvl>
    <w:lvl w:ilvl="1">
      <w:start w:val="1"/>
      <w:numFmt w:val="bullet"/>
      <w:lvlText w:val=""/>
      <w:lvlJc w:val="left"/>
      <w:pPr>
        <w:ind w:left="5850" w:hanging="720"/>
      </w:pPr>
      <w:rPr>
        <w:rFonts w:ascii="Symbol" w:hAnsi="Symbol"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640" w:hanging="2520"/>
      </w:pPr>
      <w:rPr>
        <w:rFonts w:hint="default"/>
      </w:rPr>
    </w:lvl>
  </w:abstractNum>
  <w:abstractNum w:abstractNumId="2">
    <w:nsid w:val="19F20F92"/>
    <w:multiLevelType w:val="hybridMultilevel"/>
    <w:tmpl w:val="ED86C862"/>
    <w:lvl w:ilvl="0" w:tplc="0D443F62">
      <w:start w:val="1"/>
      <w:numFmt w:val="lowerLetter"/>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
    <w:nsid w:val="1DE517EB"/>
    <w:multiLevelType w:val="multilevel"/>
    <w:tmpl w:val="089826B8"/>
    <w:lvl w:ilvl="0">
      <w:numFmt w:val="decimal"/>
      <w:pStyle w:val="Heading1"/>
      <w:lvlText w:val="%1"/>
      <w:lvlJc w:val="left"/>
      <w:pPr>
        <w:ind w:left="574"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nsid w:val="1FDA1DFA"/>
    <w:multiLevelType w:val="hybridMultilevel"/>
    <w:tmpl w:val="7104068A"/>
    <w:lvl w:ilvl="0" w:tplc="540A0015">
      <w:start w:val="1"/>
      <w:numFmt w:val="upperLetter"/>
      <w:lvlText w:val="%1."/>
      <w:lvlJc w:val="left"/>
      <w:pPr>
        <w:ind w:left="720" w:hanging="360"/>
      </w:p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abstractNum w:abstractNumId="5">
    <w:nsid w:val="4B03777B"/>
    <w:multiLevelType w:val="hybridMultilevel"/>
    <w:tmpl w:val="0BE80F70"/>
    <w:lvl w:ilvl="0" w:tplc="7A081F0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5E039E4"/>
    <w:multiLevelType w:val="multilevel"/>
    <w:tmpl w:val="130ACA1C"/>
    <w:lvl w:ilvl="0">
      <w:start w:val="1"/>
      <w:numFmt w:val="upperRoman"/>
      <w:lvlText w:val="%1."/>
      <w:lvlJc w:val="left"/>
      <w:pPr>
        <w:ind w:left="1080" w:hanging="720"/>
      </w:pPr>
      <w:rPr>
        <w:rFonts w:hint="default"/>
      </w:rPr>
    </w:lvl>
    <w:lvl w:ilvl="1">
      <w:start w:val="1"/>
      <w:numFmt w:val="decimal"/>
      <w:isLgl/>
      <w:lvlText w:val="%1.%2"/>
      <w:lvlJc w:val="left"/>
      <w:pPr>
        <w:ind w:left="585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640" w:hanging="2520"/>
      </w:pPr>
      <w:rPr>
        <w:rFonts w:hint="default"/>
      </w:rPr>
    </w:lvl>
  </w:abstractNum>
  <w:abstractNum w:abstractNumId="7">
    <w:nsid w:val="59945559"/>
    <w:multiLevelType w:val="multilevel"/>
    <w:tmpl w:val="24BA750A"/>
    <w:lvl w:ilvl="0">
      <w:start w:val="13"/>
      <w:numFmt w:val="decimal"/>
      <w:lvlText w:val="%1."/>
      <w:lvlJc w:val="left"/>
      <w:pPr>
        <w:ind w:left="574"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nsid w:val="6AEB188C"/>
    <w:multiLevelType w:val="hybridMultilevel"/>
    <w:tmpl w:val="CE7263F2"/>
    <w:lvl w:ilvl="0" w:tplc="480A0017">
      <w:start w:val="1"/>
      <w:numFmt w:val="lowerLetter"/>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9">
    <w:nsid w:val="6B2825CF"/>
    <w:multiLevelType w:val="hybridMultilevel"/>
    <w:tmpl w:val="22849648"/>
    <w:lvl w:ilvl="0" w:tplc="4064AD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E6D6A7F"/>
    <w:multiLevelType w:val="hybridMultilevel"/>
    <w:tmpl w:val="B7CEE7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7F0076F4"/>
    <w:multiLevelType w:val="hybridMultilevel"/>
    <w:tmpl w:val="B768C67C"/>
    <w:lvl w:ilvl="0" w:tplc="540A000F">
      <w:start w:val="1"/>
      <w:numFmt w:val="decimal"/>
      <w:lvlText w:val="%1."/>
      <w:lvlJc w:val="left"/>
      <w:pPr>
        <w:ind w:left="720" w:hanging="360"/>
      </w:p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num w:numId="1">
    <w:abstractNumId w:val="3"/>
  </w:num>
  <w:num w:numId="2">
    <w:abstractNumId w:val="7"/>
  </w:num>
  <w:num w:numId="3">
    <w:abstractNumId w:val="8"/>
  </w:num>
  <w:num w:numId="4">
    <w:abstractNumId w:val="11"/>
  </w:num>
  <w:num w:numId="5">
    <w:abstractNumId w:val="4"/>
  </w:num>
  <w:num w:numId="6">
    <w:abstractNumId w:val="0"/>
  </w:num>
  <w:num w:numId="7">
    <w:abstractNumId w:val="2"/>
  </w:num>
  <w:num w:numId="8">
    <w:abstractNumId w:val="10"/>
  </w:num>
  <w:num w:numId="9">
    <w:abstractNumId w:val="9"/>
  </w:num>
  <w:num w:numId="10">
    <w:abstractNumId w:val="5"/>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273"/>
    <w:rsid w:val="001A5273"/>
    <w:rsid w:val="001D23AC"/>
    <w:rsid w:val="002B6C14"/>
    <w:rsid w:val="002C1100"/>
    <w:rsid w:val="0033000D"/>
    <w:rsid w:val="0034343F"/>
    <w:rsid w:val="00360F2C"/>
    <w:rsid w:val="003778FA"/>
    <w:rsid w:val="003912E0"/>
    <w:rsid w:val="003C2B70"/>
    <w:rsid w:val="003E3F76"/>
    <w:rsid w:val="00423101"/>
    <w:rsid w:val="00437421"/>
    <w:rsid w:val="005010BF"/>
    <w:rsid w:val="0052626B"/>
    <w:rsid w:val="00571CD8"/>
    <w:rsid w:val="005D1B67"/>
    <w:rsid w:val="005D4BF4"/>
    <w:rsid w:val="005E6910"/>
    <w:rsid w:val="00602C93"/>
    <w:rsid w:val="00691155"/>
    <w:rsid w:val="0078069C"/>
    <w:rsid w:val="007C5F79"/>
    <w:rsid w:val="00813CEA"/>
    <w:rsid w:val="008702D9"/>
    <w:rsid w:val="008958D8"/>
    <w:rsid w:val="009165E0"/>
    <w:rsid w:val="00937BF1"/>
    <w:rsid w:val="00964EF2"/>
    <w:rsid w:val="00995E4C"/>
    <w:rsid w:val="009D37E6"/>
    <w:rsid w:val="009E4258"/>
    <w:rsid w:val="00A12594"/>
    <w:rsid w:val="00A42ECE"/>
    <w:rsid w:val="00AE2B79"/>
    <w:rsid w:val="00AF3AE7"/>
    <w:rsid w:val="00AF4930"/>
    <w:rsid w:val="00B55389"/>
    <w:rsid w:val="00BE695F"/>
    <w:rsid w:val="00C0102F"/>
    <w:rsid w:val="00C959E9"/>
    <w:rsid w:val="00D236D4"/>
    <w:rsid w:val="00D55150"/>
    <w:rsid w:val="00D8383D"/>
    <w:rsid w:val="00DE7BC4"/>
    <w:rsid w:val="00E31928"/>
    <w:rsid w:val="00E95990"/>
    <w:rsid w:val="00F172A3"/>
    <w:rsid w:val="00F706E6"/>
    <w:rsid w:val="00F84F4B"/>
    <w:rsid w:val="00FB4CC0"/>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273"/>
    <w:pPr>
      <w:spacing w:line="240" w:lineRule="auto"/>
      <w:jc w:val="both"/>
    </w:pPr>
  </w:style>
  <w:style w:type="paragraph" w:styleId="Heading1">
    <w:name w:val="heading 1"/>
    <w:basedOn w:val="Normal"/>
    <w:next w:val="Normal"/>
    <w:link w:val="Heading1Char"/>
    <w:uiPriority w:val="9"/>
    <w:qFormat/>
    <w:rsid w:val="001A5273"/>
    <w:pPr>
      <w:keepNext/>
      <w:keepLines/>
      <w:numPr>
        <w:numId w:val="1"/>
      </w:numPr>
      <w:spacing w:before="240" w:after="0"/>
      <w:outlineLvl w:val="0"/>
    </w:pPr>
    <w:rPr>
      <w:rFonts w:asciiTheme="majorHAnsi" w:eastAsiaTheme="majorEastAsia" w:hAnsiTheme="majorHAnsi" w:cstheme="majorBidi"/>
      <w:b/>
      <w:caps/>
      <w:color w:val="000000" w:themeColor="text1"/>
      <w:sz w:val="24"/>
      <w:szCs w:val="32"/>
    </w:rPr>
  </w:style>
  <w:style w:type="paragraph" w:styleId="Heading2">
    <w:name w:val="heading 2"/>
    <w:basedOn w:val="Normal"/>
    <w:next w:val="Normal"/>
    <w:link w:val="Heading2Char"/>
    <w:uiPriority w:val="9"/>
    <w:unhideWhenUsed/>
    <w:qFormat/>
    <w:rsid w:val="001A5273"/>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A5273"/>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1A5273"/>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1A5273"/>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1A5273"/>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1A5273"/>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1A5273"/>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A5273"/>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5273"/>
    <w:rPr>
      <w:rFonts w:asciiTheme="majorHAnsi" w:eastAsiaTheme="majorEastAsia" w:hAnsiTheme="majorHAnsi" w:cstheme="majorBidi"/>
      <w:b/>
      <w:caps/>
      <w:color w:val="000000" w:themeColor="text1"/>
      <w:sz w:val="24"/>
      <w:szCs w:val="32"/>
    </w:rPr>
  </w:style>
  <w:style w:type="character" w:customStyle="1" w:styleId="Heading2Char">
    <w:name w:val="Heading 2 Char"/>
    <w:basedOn w:val="DefaultParagraphFont"/>
    <w:link w:val="Heading2"/>
    <w:uiPriority w:val="9"/>
    <w:rsid w:val="001A527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1A527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1A527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1A527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1A527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1A527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1A527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A5273"/>
    <w:rPr>
      <w:rFonts w:asciiTheme="majorHAnsi" w:eastAsiaTheme="majorEastAsia" w:hAnsiTheme="majorHAnsi" w:cstheme="majorBidi"/>
      <w:i/>
      <w:iCs/>
      <w:color w:val="272727" w:themeColor="text1" w:themeTint="D8"/>
      <w:sz w:val="21"/>
      <w:szCs w:val="21"/>
    </w:rPr>
  </w:style>
  <w:style w:type="paragraph" w:styleId="ListParagraph">
    <w:name w:val="List Paragraph"/>
    <w:aliases w:val="Bolita,HOJA,Guión,Párrafo de lista3,BOLA,Párrafo de lista21,Titulo 8,Párrafo de lista31,ViÃ±eta 2,References,Bullets,Title Style 1,Numbered List Paragraph,lp1,Celula,List Bullet Mary,Ha,Dot pt,Bullet Points,No Spacing1"/>
    <w:basedOn w:val="Normal"/>
    <w:link w:val="ListParagraphChar"/>
    <w:uiPriority w:val="34"/>
    <w:qFormat/>
    <w:rsid w:val="001A5273"/>
    <w:pPr>
      <w:ind w:left="720"/>
      <w:contextualSpacing/>
    </w:pPr>
  </w:style>
  <w:style w:type="character" w:customStyle="1" w:styleId="ListParagraphChar">
    <w:name w:val="List Paragraph Char"/>
    <w:aliases w:val="Bolita Char,HOJA Char,Guión Char,Párrafo de lista3 Char,BOLA Char,Párrafo de lista21 Char,Titulo 8 Char,Párrafo de lista31 Char,ViÃ±eta 2 Char,References Char,Bullets Char,Title Style 1 Char,Numbered List Paragraph Char,lp1 Char"/>
    <w:link w:val="ListParagraph"/>
    <w:uiPriority w:val="99"/>
    <w:qFormat/>
    <w:rsid w:val="001A5273"/>
  </w:style>
  <w:style w:type="character" w:styleId="CommentReference">
    <w:name w:val="annotation reference"/>
    <w:basedOn w:val="DefaultParagraphFont"/>
    <w:uiPriority w:val="99"/>
    <w:semiHidden/>
    <w:unhideWhenUsed/>
    <w:rsid w:val="00AF3AE7"/>
    <w:rPr>
      <w:sz w:val="16"/>
      <w:szCs w:val="16"/>
    </w:rPr>
  </w:style>
  <w:style w:type="paragraph" w:styleId="CommentText">
    <w:name w:val="annotation text"/>
    <w:basedOn w:val="Normal"/>
    <w:link w:val="CommentTextChar"/>
    <w:uiPriority w:val="99"/>
    <w:semiHidden/>
    <w:unhideWhenUsed/>
    <w:rsid w:val="00AF3AE7"/>
    <w:rPr>
      <w:sz w:val="20"/>
      <w:szCs w:val="20"/>
    </w:rPr>
  </w:style>
  <w:style w:type="character" w:customStyle="1" w:styleId="CommentTextChar">
    <w:name w:val="Comment Text Char"/>
    <w:basedOn w:val="DefaultParagraphFont"/>
    <w:link w:val="CommentText"/>
    <w:uiPriority w:val="99"/>
    <w:semiHidden/>
    <w:rsid w:val="00AF3AE7"/>
    <w:rPr>
      <w:sz w:val="20"/>
      <w:szCs w:val="20"/>
    </w:rPr>
  </w:style>
  <w:style w:type="paragraph" w:styleId="CommentSubject">
    <w:name w:val="annotation subject"/>
    <w:basedOn w:val="CommentText"/>
    <w:next w:val="CommentText"/>
    <w:link w:val="CommentSubjectChar"/>
    <w:uiPriority w:val="99"/>
    <w:semiHidden/>
    <w:unhideWhenUsed/>
    <w:rsid w:val="00AF3AE7"/>
    <w:rPr>
      <w:b/>
      <w:bCs/>
    </w:rPr>
  </w:style>
  <w:style w:type="character" w:customStyle="1" w:styleId="CommentSubjectChar">
    <w:name w:val="Comment Subject Char"/>
    <w:basedOn w:val="CommentTextChar"/>
    <w:link w:val="CommentSubject"/>
    <w:uiPriority w:val="99"/>
    <w:semiHidden/>
    <w:rsid w:val="00AF3AE7"/>
    <w:rPr>
      <w:b/>
      <w:bCs/>
      <w:sz w:val="20"/>
      <w:szCs w:val="20"/>
    </w:rPr>
  </w:style>
  <w:style w:type="paragraph" w:styleId="BalloonText">
    <w:name w:val="Balloon Text"/>
    <w:basedOn w:val="Normal"/>
    <w:link w:val="BalloonTextChar"/>
    <w:uiPriority w:val="99"/>
    <w:semiHidden/>
    <w:unhideWhenUsed/>
    <w:rsid w:val="00AF3AE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3AE7"/>
    <w:rPr>
      <w:rFonts w:ascii="Tahoma" w:hAnsi="Tahoma" w:cs="Tahoma"/>
      <w:sz w:val="16"/>
      <w:szCs w:val="16"/>
    </w:rPr>
  </w:style>
  <w:style w:type="paragraph" w:styleId="FootnoteText">
    <w:name w:val="footnote text"/>
    <w:basedOn w:val="Normal"/>
    <w:link w:val="FootnoteTextChar"/>
    <w:uiPriority w:val="99"/>
    <w:semiHidden/>
    <w:unhideWhenUsed/>
    <w:rsid w:val="00AF3AE7"/>
    <w:pPr>
      <w:spacing w:after="0"/>
    </w:pPr>
    <w:rPr>
      <w:sz w:val="20"/>
      <w:szCs w:val="20"/>
    </w:rPr>
  </w:style>
  <w:style w:type="character" w:customStyle="1" w:styleId="FootnoteTextChar">
    <w:name w:val="Footnote Text Char"/>
    <w:basedOn w:val="DefaultParagraphFont"/>
    <w:link w:val="FootnoteText"/>
    <w:uiPriority w:val="99"/>
    <w:semiHidden/>
    <w:rsid w:val="00AF3AE7"/>
    <w:rPr>
      <w:sz w:val="20"/>
      <w:szCs w:val="20"/>
    </w:rPr>
  </w:style>
  <w:style w:type="character" w:styleId="FootnoteReference">
    <w:name w:val="footnote reference"/>
    <w:basedOn w:val="DefaultParagraphFont"/>
    <w:uiPriority w:val="99"/>
    <w:semiHidden/>
    <w:unhideWhenUsed/>
    <w:rsid w:val="00AF3AE7"/>
    <w:rPr>
      <w:vertAlign w:val="superscript"/>
    </w:rPr>
  </w:style>
  <w:style w:type="paragraph" w:styleId="Header">
    <w:name w:val="header"/>
    <w:basedOn w:val="Normal"/>
    <w:link w:val="HeaderChar"/>
    <w:uiPriority w:val="99"/>
    <w:unhideWhenUsed/>
    <w:rsid w:val="00E95990"/>
    <w:pPr>
      <w:tabs>
        <w:tab w:val="center" w:pos="4680"/>
        <w:tab w:val="right" w:pos="9360"/>
      </w:tabs>
      <w:spacing w:after="0"/>
    </w:pPr>
  </w:style>
  <w:style w:type="character" w:customStyle="1" w:styleId="HeaderChar">
    <w:name w:val="Header Char"/>
    <w:basedOn w:val="DefaultParagraphFont"/>
    <w:link w:val="Header"/>
    <w:uiPriority w:val="99"/>
    <w:rsid w:val="00E95990"/>
  </w:style>
  <w:style w:type="paragraph" w:styleId="Footer">
    <w:name w:val="footer"/>
    <w:basedOn w:val="Normal"/>
    <w:link w:val="FooterChar"/>
    <w:uiPriority w:val="99"/>
    <w:unhideWhenUsed/>
    <w:rsid w:val="00E95990"/>
    <w:pPr>
      <w:tabs>
        <w:tab w:val="center" w:pos="4680"/>
        <w:tab w:val="right" w:pos="9360"/>
      </w:tabs>
      <w:spacing w:after="0"/>
    </w:pPr>
  </w:style>
  <w:style w:type="character" w:customStyle="1" w:styleId="FooterChar">
    <w:name w:val="Footer Char"/>
    <w:basedOn w:val="DefaultParagraphFont"/>
    <w:link w:val="Footer"/>
    <w:uiPriority w:val="99"/>
    <w:rsid w:val="00E959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273"/>
    <w:pPr>
      <w:spacing w:line="240" w:lineRule="auto"/>
      <w:jc w:val="both"/>
    </w:pPr>
  </w:style>
  <w:style w:type="paragraph" w:styleId="Heading1">
    <w:name w:val="heading 1"/>
    <w:basedOn w:val="Normal"/>
    <w:next w:val="Normal"/>
    <w:link w:val="Heading1Char"/>
    <w:uiPriority w:val="9"/>
    <w:qFormat/>
    <w:rsid w:val="001A5273"/>
    <w:pPr>
      <w:keepNext/>
      <w:keepLines/>
      <w:numPr>
        <w:numId w:val="1"/>
      </w:numPr>
      <w:spacing w:before="240" w:after="0"/>
      <w:outlineLvl w:val="0"/>
    </w:pPr>
    <w:rPr>
      <w:rFonts w:asciiTheme="majorHAnsi" w:eastAsiaTheme="majorEastAsia" w:hAnsiTheme="majorHAnsi" w:cstheme="majorBidi"/>
      <w:b/>
      <w:caps/>
      <w:color w:val="000000" w:themeColor="text1"/>
      <w:sz w:val="24"/>
      <w:szCs w:val="32"/>
    </w:rPr>
  </w:style>
  <w:style w:type="paragraph" w:styleId="Heading2">
    <w:name w:val="heading 2"/>
    <w:basedOn w:val="Normal"/>
    <w:next w:val="Normal"/>
    <w:link w:val="Heading2Char"/>
    <w:uiPriority w:val="9"/>
    <w:unhideWhenUsed/>
    <w:qFormat/>
    <w:rsid w:val="001A5273"/>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A5273"/>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1A5273"/>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1A5273"/>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1A5273"/>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1A5273"/>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1A5273"/>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A5273"/>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5273"/>
    <w:rPr>
      <w:rFonts w:asciiTheme="majorHAnsi" w:eastAsiaTheme="majorEastAsia" w:hAnsiTheme="majorHAnsi" w:cstheme="majorBidi"/>
      <w:b/>
      <w:caps/>
      <w:color w:val="000000" w:themeColor="text1"/>
      <w:sz w:val="24"/>
      <w:szCs w:val="32"/>
    </w:rPr>
  </w:style>
  <w:style w:type="character" w:customStyle="1" w:styleId="Heading2Char">
    <w:name w:val="Heading 2 Char"/>
    <w:basedOn w:val="DefaultParagraphFont"/>
    <w:link w:val="Heading2"/>
    <w:uiPriority w:val="9"/>
    <w:rsid w:val="001A527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1A527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1A527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1A527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1A527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1A527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1A527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A5273"/>
    <w:rPr>
      <w:rFonts w:asciiTheme="majorHAnsi" w:eastAsiaTheme="majorEastAsia" w:hAnsiTheme="majorHAnsi" w:cstheme="majorBidi"/>
      <w:i/>
      <w:iCs/>
      <w:color w:val="272727" w:themeColor="text1" w:themeTint="D8"/>
      <w:sz w:val="21"/>
      <w:szCs w:val="21"/>
    </w:rPr>
  </w:style>
  <w:style w:type="paragraph" w:styleId="ListParagraph">
    <w:name w:val="List Paragraph"/>
    <w:aliases w:val="Bolita,HOJA,Guión,Párrafo de lista3,BOLA,Párrafo de lista21,Titulo 8,Párrafo de lista31,ViÃ±eta 2,References,Bullets,Title Style 1,Numbered List Paragraph,lp1,Celula,List Bullet Mary,Ha,Dot pt,Bullet Points,No Spacing1"/>
    <w:basedOn w:val="Normal"/>
    <w:link w:val="ListParagraphChar"/>
    <w:uiPriority w:val="34"/>
    <w:qFormat/>
    <w:rsid w:val="001A5273"/>
    <w:pPr>
      <w:ind w:left="720"/>
      <w:contextualSpacing/>
    </w:pPr>
  </w:style>
  <w:style w:type="character" w:customStyle="1" w:styleId="ListParagraphChar">
    <w:name w:val="List Paragraph Char"/>
    <w:aliases w:val="Bolita Char,HOJA Char,Guión Char,Párrafo de lista3 Char,BOLA Char,Párrafo de lista21 Char,Titulo 8 Char,Párrafo de lista31 Char,ViÃ±eta 2 Char,References Char,Bullets Char,Title Style 1 Char,Numbered List Paragraph Char,lp1 Char"/>
    <w:link w:val="ListParagraph"/>
    <w:uiPriority w:val="99"/>
    <w:qFormat/>
    <w:rsid w:val="001A5273"/>
  </w:style>
  <w:style w:type="character" w:styleId="CommentReference">
    <w:name w:val="annotation reference"/>
    <w:basedOn w:val="DefaultParagraphFont"/>
    <w:uiPriority w:val="99"/>
    <w:semiHidden/>
    <w:unhideWhenUsed/>
    <w:rsid w:val="00AF3AE7"/>
    <w:rPr>
      <w:sz w:val="16"/>
      <w:szCs w:val="16"/>
    </w:rPr>
  </w:style>
  <w:style w:type="paragraph" w:styleId="CommentText">
    <w:name w:val="annotation text"/>
    <w:basedOn w:val="Normal"/>
    <w:link w:val="CommentTextChar"/>
    <w:uiPriority w:val="99"/>
    <w:semiHidden/>
    <w:unhideWhenUsed/>
    <w:rsid w:val="00AF3AE7"/>
    <w:rPr>
      <w:sz w:val="20"/>
      <w:szCs w:val="20"/>
    </w:rPr>
  </w:style>
  <w:style w:type="character" w:customStyle="1" w:styleId="CommentTextChar">
    <w:name w:val="Comment Text Char"/>
    <w:basedOn w:val="DefaultParagraphFont"/>
    <w:link w:val="CommentText"/>
    <w:uiPriority w:val="99"/>
    <w:semiHidden/>
    <w:rsid w:val="00AF3AE7"/>
    <w:rPr>
      <w:sz w:val="20"/>
      <w:szCs w:val="20"/>
    </w:rPr>
  </w:style>
  <w:style w:type="paragraph" w:styleId="CommentSubject">
    <w:name w:val="annotation subject"/>
    <w:basedOn w:val="CommentText"/>
    <w:next w:val="CommentText"/>
    <w:link w:val="CommentSubjectChar"/>
    <w:uiPriority w:val="99"/>
    <w:semiHidden/>
    <w:unhideWhenUsed/>
    <w:rsid w:val="00AF3AE7"/>
    <w:rPr>
      <w:b/>
      <w:bCs/>
    </w:rPr>
  </w:style>
  <w:style w:type="character" w:customStyle="1" w:styleId="CommentSubjectChar">
    <w:name w:val="Comment Subject Char"/>
    <w:basedOn w:val="CommentTextChar"/>
    <w:link w:val="CommentSubject"/>
    <w:uiPriority w:val="99"/>
    <w:semiHidden/>
    <w:rsid w:val="00AF3AE7"/>
    <w:rPr>
      <w:b/>
      <w:bCs/>
      <w:sz w:val="20"/>
      <w:szCs w:val="20"/>
    </w:rPr>
  </w:style>
  <w:style w:type="paragraph" w:styleId="BalloonText">
    <w:name w:val="Balloon Text"/>
    <w:basedOn w:val="Normal"/>
    <w:link w:val="BalloonTextChar"/>
    <w:uiPriority w:val="99"/>
    <w:semiHidden/>
    <w:unhideWhenUsed/>
    <w:rsid w:val="00AF3AE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3AE7"/>
    <w:rPr>
      <w:rFonts w:ascii="Tahoma" w:hAnsi="Tahoma" w:cs="Tahoma"/>
      <w:sz w:val="16"/>
      <w:szCs w:val="16"/>
    </w:rPr>
  </w:style>
  <w:style w:type="paragraph" w:styleId="FootnoteText">
    <w:name w:val="footnote text"/>
    <w:basedOn w:val="Normal"/>
    <w:link w:val="FootnoteTextChar"/>
    <w:uiPriority w:val="99"/>
    <w:semiHidden/>
    <w:unhideWhenUsed/>
    <w:rsid w:val="00AF3AE7"/>
    <w:pPr>
      <w:spacing w:after="0"/>
    </w:pPr>
    <w:rPr>
      <w:sz w:val="20"/>
      <w:szCs w:val="20"/>
    </w:rPr>
  </w:style>
  <w:style w:type="character" w:customStyle="1" w:styleId="FootnoteTextChar">
    <w:name w:val="Footnote Text Char"/>
    <w:basedOn w:val="DefaultParagraphFont"/>
    <w:link w:val="FootnoteText"/>
    <w:uiPriority w:val="99"/>
    <w:semiHidden/>
    <w:rsid w:val="00AF3AE7"/>
    <w:rPr>
      <w:sz w:val="20"/>
      <w:szCs w:val="20"/>
    </w:rPr>
  </w:style>
  <w:style w:type="character" w:styleId="FootnoteReference">
    <w:name w:val="footnote reference"/>
    <w:basedOn w:val="DefaultParagraphFont"/>
    <w:uiPriority w:val="99"/>
    <w:semiHidden/>
    <w:unhideWhenUsed/>
    <w:rsid w:val="00AF3AE7"/>
    <w:rPr>
      <w:vertAlign w:val="superscript"/>
    </w:rPr>
  </w:style>
  <w:style w:type="paragraph" w:styleId="Header">
    <w:name w:val="header"/>
    <w:basedOn w:val="Normal"/>
    <w:link w:val="HeaderChar"/>
    <w:uiPriority w:val="99"/>
    <w:unhideWhenUsed/>
    <w:rsid w:val="00E95990"/>
    <w:pPr>
      <w:tabs>
        <w:tab w:val="center" w:pos="4680"/>
        <w:tab w:val="right" w:pos="9360"/>
      </w:tabs>
      <w:spacing w:after="0"/>
    </w:pPr>
  </w:style>
  <w:style w:type="character" w:customStyle="1" w:styleId="HeaderChar">
    <w:name w:val="Header Char"/>
    <w:basedOn w:val="DefaultParagraphFont"/>
    <w:link w:val="Header"/>
    <w:uiPriority w:val="99"/>
    <w:rsid w:val="00E95990"/>
  </w:style>
  <w:style w:type="paragraph" w:styleId="Footer">
    <w:name w:val="footer"/>
    <w:basedOn w:val="Normal"/>
    <w:link w:val="FooterChar"/>
    <w:uiPriority w:val="99"/>
    <w:unhideWhenUsed/>
    <w:rsid w:val="00E95990"/>
    <w:pPr>
      <w:tabs>
        <w:tab w:val="center" w:pos="4680"/>
        <w:tab w:val="right" w:pos="9360"/>
      </w:tabs>
      <w:spacing w:after="0"/>
    </w:pPr>
  </w:style>
  <w:style w:type="character" w:customStyle="1" w:styleId="FooterChar">
    <w:name w:val="Footer Char"/>
    <w:basedOn w:val="DefaultParagraphFont"/>
    <w:link w:val="Footer"/>
    <w:uiPriority w:val="99"/>
    <w:rsid w:val="00E959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5499562">
      <w:bodyDiv w:val="1"/>
      <w:marLeft w:val="0"/>
      <w:marRight w:val="0"/>
      <w:marTop w:val="0"/>
      <w:marBottom w:val="0"/>
      <w:divBdr>
        <w:top w:val="none" w:sz="0" w:space="0" w:color="auto"/>
        <w:left w:val="none" w:sz="0" w:space="0" w:color="auto"/>
        <w:bottom w:val="none" w:sz="0" w:space="0" w:color="auto"/>
        <w:right w:val="none" w:sz="0" w:space="0" w:color="auto"/>
      </w:divBdr>
      <w:divsChild>
        <w:div w:id="1684209684">
          <w:marLeft w:val="0"/>
          <w:marRight w:val="0"/>
          <w:marTop w:val="0"/>
          <w:marBottom w:val="0"/>
          <w:divBdr>
            <w:top w:val="none" w:sz="0" w:space="0" w:color="auto"/>
            <w:left w:val="none" w:sz="0" w:space="0" w:color="auto"/>
            <w:bottom w:val="none" w:sz="0" w:space="0" w:color="auto"/>
            <w:right w:val="none" w:sz="0" w:space="0" w:color="auto"/>
          </w:divBdr>
        </w:div>
        <w:div w:id="423302501">
          <w:marLeft w:val="0"/>
          <w:marRight w:val="0"/>
          <w:marTop w:val="0"/>
          <w:marBottom w:val="0"/>
          <w:divBdr>
            <w:top w:val="none" w:sz="0" w:space="0" w:color="auto"/>
            <w:left w:val="none" w:sz="0" w:space="0" w:color="auto"/>
            <w:bottom w:val="none" w:sz="0" w:space="0" w:color="auto"/>
            <w:right w:val="none" w:sz="0" w:space="0" w:color="auto"/>
          </w:divBdr>
        </w:div>
        <w:div w:id="190264551">
          <w:marLeft w:val="0"/>
          <w:marRight w:val="0"/>
          <w:marTop w:val="0"/>
          <w:marBottom w:val="0"/>
          <w:divBdr>
            <w:top w:val="none" w:sz="0" w:space="0" w:color="auto"/>
            <w:left w:val="none" w:sz="0" w:space="0" w:color="auto"/>
            <w:bottom w:val="none" w:sz="0" w:space="0" w:color="auto"/>
            <w:right w:val="none" w:sz="0" w:space="0" w:color="auto"/>
          </w:divBdr>
        </w:div>
        <w:div w:id="694381192">
          <w:marLeft w:val="0"/>
          <w:marRight w:val="0"/>
          <w:marTop w:val="0"/>
          <w:marBottom w:val="0"/>
          <w:divBdr>
            <w:top w:val="none" w:sz="0" w:space="0" w:color="auto"/>
            <w:left w:val="none" w:sz="0" w:space="0" w:color="auto"/>
            <w:bottom w:val="none" w:sz="0" w:space="0" w:color="auto"/>
            <w:right w:val="none" w:sz="0" w:space="0" w:color="auto"/>
          </w:divBdr>
        </w:div>
        <w:div w:id="55016191">
          <w:marLeft w:val="0"/>
          <w:marRight w:val="0"/>
          <w:marTop w:val="0"/>
          <w:marBottom w:val="0"/>
          <w:divBdr>
            <w:top w:val="none" w:sz="0" w:space="0" w:color="auto"/>
            <w:left w:val="none" w:sz="0" w:space="0" w:color="auto"/>
            <w:bottom w:val="none" w:sz="0" w:space="0" w:color="auto"/>
            <w:right w:val="none" w:sz="0" w:space="0" w:color="auto"/>
          </w:divBdr>
        </w:div>
        <w:div w:id="1481733916">
          <w:marLeft w:val="0"/>
          <w:marRight w:val="0"/>
          <w:marTop w:val="0"/>
          <w:marBottom w:val="0"/>
          <w:divBdr>
            <w:top w:val="none" w:sz="0" w:space="0" w:color="auto"/>
            <w:left w:val="none" w:sz="0" w:space="0" w:color="auto"/>
            <w:bottom w:val="none" w:sz="0" w:space="0" w:color="auto"/>
            <w:right w:val="none" w:sz="0" w:space="0" w:color="auto"/>
          </w:divBdr>
          <w:divsChild>
            <w:div w:id="719786461">
              <w:marLeft w:val="0"/>
              <w:marRight w:val="0"/>
              <w:marTop w:val="0"/>
              <w:marBottom w:val="160"/>
              <w:divBdr>
                <w:top w:val="none" w:sz="0" w:space="0" w:color="auto"/>
                <w:left w:val="none" w:sz="0" w:space="0" w:color="auto"/>
                <w:bottom w:val="none" w:sz="0" w:space="0" w:color="auto"/>
                <w:right w:val="none" w:sz="0" w:space="0" w:color="auto"/>
              </w:divBdr>
            </w:div>
          </w:divsChild>
        </w:div>
        <w:div w:id="412822611">
          <w:marLeft w:val="0"/>
          <w:marRight w:val="0"/>
          <w:marTop w:val="0"/>
          <w:marBottom w:val="160"/>
          <w:divBdr>
            <w:top w:val="none" w:sz="0" w:space="0" w:color="auto"/>
            <w:left w:val="none" w:sz="0" w:space="0" w:color="auto"/>
            <w:bottom w:val="none" w:sz="0" w:space="0" w:color="auto"/>
            <w:right w:val="none" w:sz="0" w:space="0" w:color="auto"/>
          </w:divBdr>
        </w:div>
        <w:div w:id="294868585">
          <w:marLeft w:val="0"/>
          <w:marRight w:val="0"/>
          <w:marTop w:val="0"/>
          <w:marBottom w:val="160"/>
          <w:divBdr>
            <w:top w:val="none" w:sz="0" w:space="0" w:color="auto"/>
            <w:left w:val="none" w:sz="0" w:space="0" w:color="auto"/>
            <w:bottom w:val="none" w:sz="0" w:space="0" w:color="auto"/>
            <w:right w:val="none" w:sz="0" w:space="0" w:color="auto"/>
          </w:divBdr>
        </w:div>
        <w:div w:id="617683555">
          <w:marLeft w:val="0"/>
          <w:marRight w:val="0"/>
          <w:marTop w:val="0"/>
          <w:marBottom w:val="160"/>
          <w:divBdr>
            <w:top w:val="none" w:sz="0" w:space="0" w:color="auto"/>
            <w:left w:val="none" w:sz="0" w:space="0" w:color="auto"/>
            <w:bottom w:val="none" w:sz="0" w:space="0" w:color="auto"/>
            <w:right w:val="none" w:sz="0" w:space="0" w:color="auto"/>
          </w:divBdr>
        </w:div>
        <w:div w:id="1396931396">
          <w:marLeft w:val="0"/>
          <w:marRight w:val="0"/>
          <w:marTop w:val="0"/>
          <w:marBottom w:val="160"/>
          <w:divBdr>
            <w:top w:val="none" w:sz="0" w:space="0" w:color="auto"/>
            <w:left w:val="none" w:sz="0" w:space="0" w:color="auto"/>
            <w:bottom w:val="none" w:sz="0" w:space="0" w:color="auto"/>
            <w:right w:val="none" w:sz="0" w:space="0" w:color="auto"/>
          </w:divBdr>
        </w:div>
        <w:div w:id="277495091">
          <w:marLeft w:val="0"/>
          <w:marRight w:val="0"/>
          <w:marTop w:val="0"/>
          <w:marBottom w:val="160"/>
          <w:divBdr>
            <w:top w:val="none" w:sz="0" w:space="0" w:color="auto"/>
            <w:left w:val="none" w:sz="0" w:space="0" w:color="auto"/>
            <w:bottom w:val="none" w:sz="0" w:space="0" w:color="auto"/>
            <w:right w:val="none" w:sz="0" w:space="0" w:color="auto"/>
          </w:divBdr>
        </w:div>
        <w:div w:id="1749108001">
          <w:marLeft w:val="0"/>
          <w:marRight w:val="0"/>
          <w:marTop w:val="0"/>
          <w:marBottom w:val="160"/>
          <w:divBdr>
            <w:top w:val="none" w:sz="0" w:space="0" w:color="auto"/>
            <w:left w:val="none" w:sz="0" w:space="0" w:color="auto"/>
            <w:bottom w:val="none" w:sz="0" w:space="0" w:color="auto"/>
            <w:right w:val="none" w:sz="0" w:space="0" w:color="auto"/>
          </w:divBdr>
        </w:div>
        <w:div w:id="410584616">
          <w:marLeft w:val="0"/>
          <w:marRight w:val="0"/>
          <w:marTop w:val="0"/>
          <w:marBottom w:val="160"/>
          <w:divBdr>
            <w:top w:val="none" w:sz="0" w:space="0" w:color="auto"/>
            <w:left w:val="none" w:sz="0" w:space="0" w:color="auto"/>
            <w:bottom w:val="none" w:sz="0" w:space="0" w:color="auto"/>
            <w:right w:val="none" w:sz="0" w:space="0" w:color="auto"/>
          </w:divBdr>
        </w:div>
        <w:div w:id="120417023">
          <w:marLeft w:val="0"/>
          <w:marRight w:val="0"/>
          <w:marTop w:val="0"/>
          <w:marBottom w:val="0"/>
          <w:divBdr>
            <w:top w:val="none" w:sz="0" w:space="0" w:color="auto"/>
            <w:left w:val="none" w:sz="0" w:space="0" w:color="auto"/>
            <w:bottom w:val="none" w:sz="0" w:space="0" w:color="auto"/>
            <w:right w:val="none" w:sz="0" w:space="0" w:color="auto"/>
          </w:divBdr>
          <w:divsChild>
            <w:div w:id="1377663071">
              <w:marLeft w:val="0"/>
              <w:marRight w:val="0"/>
              <w:marTop w:val="0"/>
              <w:marBottom w:val="0"/>
              <w:divBdr>
                <w:top w:val="none" w:sz="0" w:space="0" w:color="auto"/>
                <w:left w:val="none" w:sz="0" w:space="0" w:color="auto"/>
                <w:bottom w:val="none" w:sz="0" w:space="0" w:color="auto"/>
                <w:right w:val="none" w:sz="0" w:space="0" w:color="auto"/>
              </w:divBdr>
              <w:divsChild>
                <w:div w:id="1046225023">
                  <w:marLeft w:val="0"/>
                  <w:marRight w:val="0"/>
                  <w:marTop w:val="0"/>
                  <w:marBottom w:val="160"/>
                  <w:divBdr>
                    <w:top w:val="none" w:sz="0" w:space="0" w:color="auto"/>
                    <w:left w:val="none" w:sz="0" w:space="0" w:color="auto"/>
                    <w:bottom w:val="none" w:sz="0" w:space="0" w:color="auto"/>
                    <w:right w:val="none" w:sz="0" w:space="0" w:color="auto"/>
                  </w:divBdr>
                </w:div>
                <w:div w:id="729689010">
                  <w:marLeft w:val="0"/>
                  <w:marRight w:val="0"/>
                  <w:marTop w:val="0"/>
                  <w:marBottom w:val="0"/>
                  <w:divBdr>
                    <w:top w:val="none" w:sz="0" w:space="0" w:color="auto"/>
                    <w:left w:val="none" w:sz="0" w:space="0" w:color="auto"/>
                    <w:bottom w:val="none" w:sz="0" w:space="0" w:color="auto"/>
                    <w:right w:val="none" w:sz="0" w:space="0" w:color="auto"/>
                  </w:divBdr>
                </w:div>
                <w:div w:id="1825851396">
                  <w:marLeft w:val="0"/>
                  <w:marRight w:val="0"/>
                  <w:marTop w:val="0"/>
                  <w:marBottom w:val="0"/>
                  <w:divBdr>
                    <w:top w:val="none" w:sz="0" w:space="0" w:color="auto"/>
                    <w:left w:val="none" w:sz="0" w:space="0" w:color="auto"/>
                    <w:bottom w:val="none" w:sz="0" w:space="0" w:color="auto"/>
                    <w:right w:val="none" w:sz="0" w:space="0" w:color="auto"/>
                  </w:divBdr>
                  <w:divsChild>
                    <w:div w:id="1873810323">
                      <w:marLeft w:val="0"/>
                      <w:marRight w:val="0"/>
                      <w:marTop w:val="0"/>
                      <w:marBottom w:val="0"/>
                      <w:divBdr>
                        <w:top w:val="none" w:sz="0" w:space="0" w:color="auto"/>
                        <w:left w:val="none" w:sz="0" w:space="0" w:color="auto"/>
                        <w:bottom w:val="none" w:sz="0" w:space="0" w:color="auto"/>
                        <w:right w:val="none" w:sz="0" w:space="0" w:color="auto"/>
                      </w:divBdr>
                      <w:divsChild>
                        <w:div w:id="896211142">
                          <w:marLeft w:val="0"/>
                          <w:marRight w:val="0"/>
                          <w:marTop w:val="0"/>
                          <w:marBottom w:val="0"/>
                          <w:divBdr>
                            <w:top w:val="none" w:sz="0" w:space="0" w:color="auto"/>
                            <w:left w:val="none" w:sz="0" w:space="0" w:color="auto"/>
                            <w:bottom w:val="none" w:sz="0" w:space="0" w:color="auto"/>
                            <w:right w:val="none" w:sz="0" w:space="0" w:color="auto"/>
                          </w:divBdr>
                          <w:divsChild>
                            <w:div w:id="1505321463">
                              <w:marLeft w:val="0"/>
                              <w:marRight w:val="0"/>
                              <w:marTop w:val="0"/>
                              <w:marBottom w:val="0"/>
                              <w:divBdr>
                                <w:top w:val="none" w:sz="0" w:space="0" w:color="auto"/>
                                <w:left w:val="none" w:sz="0" w:space="0" w:color="auto"/>
                                <w:bottom w:val="none" w:sz="0" w:space="0" w:color="auto"/>
                                <w:right w:val="none" w:sz="0" w:space="0" w:color="auto"/>
                              </w:divBdr>
                            </w:div>
                            <w:div w:id="2008288485">
                              <w:marLeft w:val="0"/>
                              <w:marRight w:val="0"/>
                              <w:marTop w:val="0"/>
                              <w:marBottom w:val="0"/>
                              <w:divBdr>
                                <w:top w:val="none" w:sz="0" w:space="0" w:color="auto"/>
                                <w:left w:val="none" w:sz="0" w:space="0" w:color="auto"/>
                                <w:bottom w:val="none" w:sz="0" w:space="0" w:color="auto"/>
                                <w:right w:val="none" w:sz="0" w:space="0" w:color="auto"/>
                              </w:divBdr>
                              <w:divsChild>
                                <w:div w:id="434328578">
                                  <w:marLeft w:val="0"/>
                                  <w:marRight w:val="0"/>
                                  <w:marTop w:val="0"/>
                                  <w:marBottom w:val="0"/>
                                  <w:divBdr>
                                    <w:top w:val="none" w:sz="0" w:space="0" w:color="auto"/>
                                    <w:left w:val="none" w:sz="0" w:space="0" w:color="auto"/>
                                    <w:bottom w:val="none" w:sz="0" w:space="0" w:color="auto"/>
                                    <w:right w:val="none" w:sz="0" w:space="0" w:color="auto"/>
                                  </w:divBdr>
                                  <w:divsChild>
                                    <w:div w:id="260991514">
                                      <w:marLeft w:val="0"/>
                                      <w:marRight w:val="0"/>
                                      <w:marTop w:val="0"/>
                                      <w:marBottom w:val="0"/>
                                      <w:divBdr>
                                        <w:top w:val="none" w:sz="0" w:space="0" w:color="auto"/>
                                        <w:left w:val="none" w:sz="0" w:space="0" w:color="auto"/>
                                        <w:bottom w:val="none" w:sz="0" w:space="0" w:color="auto"/>
                                        <w:right w:val="none" w:sz="0" w:space="0" w:color="auto"/>
                                      </w:divBdr>
                                      <w:divsChild>
                                        <w:div w:id="1763067189">
                                          <w:marLeft w:val="0"/>
                                          <w:marRight w:val="0"/>
                                          <w:marTop w:val="0"/>
                                          <w:marBottom w:val="0"/>
                                          <w:divBdr>
                                            <w:top w:val="none" w:sz="0" w:space="0" w:color="auto"/>
                                            <w:left w:val="none" w:sz="0" w:space="0" w:color="auto"/>
                                            <w:bottom w:val="none" w:sz="0" w:space="0" w:color="auto"/>
                                            <w:right w:val="none" w:sz="0" w:space="0" w:color="auto"/>
                                          </w:divBdr>
                                        </w:div>
                                        <w:div w:id="283119089">
                                          <w:marLeft w:val="0"/>
                                          <w:marRight w:val="0"/>
                                          <w:marTop w:val="0"/>
                                          <w:marBottom w:val="0"/>
                                          <w:divBdr>
                                            <w:top w:val="none" w:sz="0" w:space="0" w:color="auto"/>
                                            <w:left w:val="none" w:sz="0" w:space="0" w:color="auto"/>
                                            <w:bottom w:val="none" w:sz="0" w:space="0" w:color="auto"/>
                                            <w:right w:val="none" w:sz="0" w:space="0" w:color="auto"/>
                                          </w:divBdr>
                                        </w:div>
                                        <w:div w:id="1948925803">
                                          <w:marLeft w:val="0"/>
                                          <w:marRight w:val="0"/>
                                          <w:marTop w:val="0"/>
                                          <w:marBottom w:val="0"/>
                                          <w:divBdr>
                                            <w:top w:val="none" w:sz="0" w:space="0" w:color="auto"/>
                                            <w:left w:val="none" w:sz="0" w:space="0" w:color="auto"/>
                                            <w:bottom w:val="none" w:sz="0" w:space="0" w:color="auto"/>
                                            <w:right w:val="none" w:sz="0" w:space="0" w:color="auto"/>
                                          </w:divBdr>
                                        </w:div>
                                        <w:div w:id="1673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AAA3366A8CB9D49A16F08275FCD9264" ma:contentTypeVersion="0" ma:contentTypeDescription="A content type to manage public (operations) IDB documents" ma:contentTypeScope="" ma:versionID="27bad7170036a38bbadaff66066ea544">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40541864</IDBDocs_x0020_Number>
    <TaxCatchAll xmlns="9c571b2f-e523-4ab2-ba2e-09e151a03ef4">
      <Value>1</Value>
      <Value>15</Value>
    </TaxCatchAll>
    <Phase xmlns="9c571b2f-e523-4ab2-ba2e-09e151a03ef4" xsi:nil="true"/>
    <SISCOR_x0020_Number xmlns="9c571b2f-e523-4ab2-ba2e-09e151a03ef4" xsi:nil="true"/>
    <Division_x0020_or_x0020_Unit xmlns="9c571b2f-e523-4ab2-ba2e-09e151a03ef4">INE/TSP</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Meeting, Minute and Agenda</TermName>
          <TermId xmlns="http://schemas.microsoft.com/office/infopath/2007/PartnerControls">531aa465-40e4-4f83-8a1f-e8429f09d7e7</TermId>
        </TermInfo>
      </Terms>
    </o5138a91267540169645e33d09c9ddc6>
    <Approval_x0020_Number xmlns="9c571b2f-e523-4ab2-ba2e-09e151a03ef4" xsi:nil="true"/>
    <Document_x0020_Author xmlns="9c571b2f-e523-4ab2-ba2e-09e151a03ef4">Torres Gracia, Daniel</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fd0e48b6a66848a9885f717e5bbf40c4>
    <Project_x0020_Number xmlns="9c571b2f-e523-4ab2-ba2e-09e151a03ef4">NI-L1097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Proposal&lt;/USER_STAGE&gt;&lt;PD_OBJ_TYPE&gt;0&lt;/PD_OBJ_TYPE&gt;&lt;MAKERECORD&gt;N&lt;/MAKERECORD&gt;&lt;PD_FILEPT_NO&gt;PO-NI-L1097-Adm&lt;/PD_FILEPT_NO&gt;&lt;/Data&gt;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TR-TRO</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01E773A8-8BFC-40E4-B929-D607D76D18FC}"/>
</file>

<file path=customXml/itemProps2.xml><?xml version="1.0" encoding="utf-8"?>
<ds:datastoreItem xmlns:ds="http://schemas.openxmlformats.org/officeDocument/2006/customXml" ds:itemID="{926239F8-383A-4681-8D8F-0E59996A278C}"/>
</file>

<file path=customXml/itemProps3.xml><?xml version="1.0" encoding="utf-8"?>
<ds:datastoreItem xmlns:ds="http://schemas.openxmlformats.org/officeDocument/2006/customXml" ds:itemID="{B9033E4C-E51B-4018-AAE6-780342D2576E}"/>
</file>

<file path=customXml/itemProps4.xml><?xml version="1.0" encoding="utf-8"?>
<ds:datastoreItem xmlns:ds="http://schemas.openxmlformats.org/officeDocument/2006/customXml" ds:itemID="{1209D091-3DB2-4334-B36F-41326929D73E}"/>
</file>

<file path=customXml/itemProps5.xml><?xml version="1.0" encoding="utf-8"?>
<ds:datastoreItem xmlns:ds="http://schemas.openxmlformats.org/officeDocument/2006/customXml" ds:itemID="{9AA4A3BE-7912-47C4-B7EC-FFB191B30EAB}"/>
</file>

<file path=customXml/itemProps6.xml><?xml version="1.0" encoding="utf-8"?>
<ds:datastoreItem xmlns:ds="http://schemas.openxmlformats.org/officeDocument/2006/customXml" ds:itemID="{B67EC4B6-2073-4B54-8A09-5CFC438E7019}"/>
</file>

<file path=docProps/app.xml><?xml version="1.0" encoding="utf-8"?>
<Properties xmlns="http://schemas.openxmlformats.org/officeDocument/2006/extended-properties" xmlns:vt="http://schemas.openxmlformats.org/officeDocument/2006/docPropsVTypes">
  <Template>Normal.dotm</Template>
  <TotalTime>1185</TotalTime>
  <Pages>6</Pages>
  <Words>1307</Words>
  <Characters>7076</Characters>
  <Application>Microsoft Office Word</Application>
  <DocSecurity>0</DocSecurity>
  <Lines>160</Lines>
  <Paragraphs>64</Paragraphs>
  <ScaleCrop>false</ScaleCrop>
  <HeadingPairs>
    <vt:vector size="6" baseType="variant">
      <vt:variant>
        <vt:lpstr>Title</vt:lpstr>
      </vt:variant>
      <vt:variant>
        <vt:i4>1</vt:i4>
      </vt:variant>
      <vt:variant>
        <vt:lpstr>Título</vt:lpstr>
      </vt:variant>
      <vt:variant>
        <vt:i4>1</vt:i4>
      </vt:variant>
      <vt:variant>
        <vt:lpstr>Títulos</vt:lpstr>
      </vt:variant>
      <vt:variant>
        <vt:i4>1</vt:i4>
      </vt:variant>
    </vt:vector>
  </HeadingPairs>
  <TitlesOfParts>
    <vt:vector size="3" baseType="lpstr">
      <vt:lpstr/>
      <vt:lpstr/>
      <vt:lpstr>CAMBIO CLIMATICO</vt:lpstr>
    </vt:vector>
  </TitlesOfParts>
  <Company>Hewlett-Packard Company</Company>
  <LinksUpToDate>false</LinksUpToDate>
  <CharactersWithSpaces>8319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EEO_10 Anexo de Cambio Climático</dc:title>
  <dc:creator>Luisa Quan</dc:creator>
  <cp:lastModifiedBy>IADB</cp:lastModifiedBy>
  <cp:revision>11</cp:revision>
  <dcterms:created xsi:type="dcterms:W3CDTF">2016-08-25T18:00:00Z</dcterms:created>
  <dcterms:modified xsi:type="dcterms:W3CDTF">2016-08-26T21:44:00Z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0x01010046CF21643EE8D14686A648AA6DAD0892005AAA3366A8CB9D49A16F08275FCD9264</vt:lpwstr>
  </property>
  <property fmtid="{D5CDD505-2E9C-101B-9397-08002B2CF9AE}" pid="3" name="TaxKeyword">
    <vt:lpwstr/>
  </property>
  <property fmtid="{D5CDD505-2E9C-101B-9397-08002B2CF9AE}" pid="4" name="Function Operations IDB">
    <vt:lpwstr>1;#Project Administration|751f71fd-1433-4702-a2db-ff12a4e45594</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15;#Meeting, Minute and Agenda|531aa465-40e4-4f83-8a1f-e8429f09d7e7</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15;#Meeting, Minute and Agenda|531aa465-40e4-4f83-8a1f-e8429f09d7e7</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