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892F8" w14:textId="77777777" w:rsidR="008B5B07" w:rsidRDefault="00C04FE6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4E2AEA6B" w14:textId="77777777" w:rsidR="008B5B07" w:rsidRDefault="00C04FE6" w:rsidP="002E0000">
      <w:pPr>
        <w:spacing w:before="240" w:after="120"/>
        <w:ind w:left="576" w:hanging="576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114"/>
        <w:gridCol w:w="5128"/>
      </w:tblGrid>
      <w:tr w:rsidR="008B5B07" w14:paraId="1497B929" w14:textId="77777777" w:rsidTr="002E0000">
        <w:trPr>
          <w:jc w:val="center"/>
        </w:trPr>
        <w:tc>
          <w:tcPr>
            <w:tcW w:w="4114" w:type="dxa"/>
          </w:tcPr>
          <w:p w14:paraId="5F6FD8CC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Country/Region:</w:t>
            </w:r>
          </w:p>
        </w:tc>
        <w:tc>
          <w:tcPr>
            <w:tcW w:w="5128" w:type="dxa"/>
          </w:tcPr>
          <w:p w14:paraId="60DCE05A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BOLIVIA/CAN - Andean Group</w:t>
            </w:r>
          </w:p>
        </w:tc>
      </w:tr>
      <w:tr w:rsidR="008B5B07" w14:paraId="1618CB60" w14:textId="77777777" w:rsidTr="002E0000">
        <w:trPr>
          <w:jc w:val="center"/>
        </w:trPr>
        <w:tc>
          <w:tcPr>
            <w:tcW w:w="4114" w:type="dxa"/>
          </w:tcPr>
          <w:p w14:paraId="1BA712EB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Name:</w:t>
            </w:r>
          </w:p>
        </w:tc>
        <w:tc>
          <w:tcPr>
            <w:tcW w:w="5128" w:type="dxa"/>
          </w:tcPr>
          <w:p w14:paraId="738D7D9C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Support to Change the Energy Matrix in Bolivia</w:t>
            </w:r>
          </w:p>
        </w:tc>
      </w:tr>
      <w:tr w:rsidR="008B5B07" w14:paraId="363CDAEC" w14:textId="77777777" w:rsidTr="002E0000">
        <w:trPr>
          <w:jc w:val="center"/>
        </w:trPr>
        <w:tc>
          <w:tcPr>
            <w:tcW w:w="4114" w:type="dxa"/>
          </w:tcPr>
          <w:p w14:paraId="503EE589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Number:</w:t>
            </w:r>
          </w:p>
        </w:tc>
        <w:tc>
          <w:tcPr>
            <w:tcW w:w="5128" w:type="dxa"/>
          </w:tcPr>
          <w:p w14:paraId="17F8936F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BO-T1356</w:t>
            </w:r>
          </w:p>
        </w:tc>
      </w:tr>
      <w:tr w:rsidR="008B5B07" w:rsidRPr="00704CDB" w14:paraId="3FAA051E" w14:textId="77777777" w:rsidTr="002E0000">
        <w:trPr>
          <w:jc w:val="center"/>
        </w:trPr>
        <w:tc>
          <w:tcPr>
            <w:tcW w:w="4114" w:type="dxa"/>
          </w:tcPr>
          <w:p w14:paraId="57A76228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Team Leader/Members:</w:t>
            </w:r>
          </w:p>
        </w:tc>
        <w:tc>
          <w:tcPr>
            <w:tcW w:w="5128" w:type="dxa"/>
          </w:tcPr>
          <w:p w14:paraId="4B6D6AE1" w14:textId="08221E29" w:rsidR="008B5B07" w:rsidRPr="00704CDB" w:rsidRDefault="00C04FE6">
            <w:pPr>
              <w:spacing w:before="40" w:after="40"/>
              <w:rPr>
                <w:lang w:val="es-419"/>
              </w:rPr>
            </w:pP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B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allón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, S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ergio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(INE/ENE) </w:t>
            </w:r>
            <w:proofErr w:type="spellStart"/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Team</w:t>
            </w:r>
            <w:proofErr w:type="spellEnd"/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Leader; 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chevarría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, C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arlos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(INE/ENE) </w:t>
            </w:r>
            <w:proofErr w:type="spellStart"/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Alternate</w:t>
            </w:r>
            <w:proofErr w:type="spellEnd"/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Team</w:t>
            </w:r>
            <w:proofErr w:type="spellEnd"/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Leader; O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rellana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, M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iguel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;</w:t>
            </w:r>
            <w:r w:rsid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and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Toriz, Miriam (VPC/FMP)</w:t>
            </w:r>
            <w:r w:rsid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; 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A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ramayo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, C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arlos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(CAN/CBO);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Sawada, Emi</w:t>
            </w:r>
            <w:r w:rsidR="00704CDB">
              <w:rPr>
                <w:rFonts w:ascii="Arial" w:hAnsi="Arial" w:cs="Arial"/>
                <w:sz w:val="18"/>
                <w:szCs w:val="18"/>
                <w:lang w:val="es-419"/>
              </w:rPr>
              <w:t>lio</w:t>
            </w:r>
            <w:r w:rsidR="00704CDB">
              <w:rPr>
                <w:rFonts w:ascii="Arial" w:hAnsi="Arial" w:cs="Arial"/>
                <w:sz w:val="18"/>
                <w:szCs w:val="18"/>
                <w:lang w:val="es-419"/>
              </w:rPr>
              <w:t>; and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M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árquez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, F</w:t>
            </w:r>
            <w:r w:rsidR="00704CDB" w:rsidRPr="00704CDB">
              <w:rPr>
                <w:rFonts w:ascii="Arial" w:hAnsi="Arial" w:cs="Arial"/>
                <w:sz w:val="18"/>
                <w:szCs w:val="18"/>
                <w:lang w:val="es-419"/>
              </w:rPr>
              <w:t>idel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704CDB">
              <w:rPr>
                <w:rFonts w:ascii="Arial" w:hAnsi="Arial" w:cs="Arial"/>
                <w:sz w:val="18"/>
                <w:szCs w:val="18"/>
                <w:lang w:val="es-419"/>
              </w:rPr>
              <w:t>(INE/ENE)</w:t>
            </w:r>
            <w:r w:rsidR="00704CDB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</w:tr>
      <w:tr w:rsidR="008B5B07" w14:paraId="0A3EC65C" w14:textId="77777777" w:rsidTr="002E0000">
        <w:trPr>
          <w:jc w:val="center"/>
        </w:trPr>
        <w:tc>
          <w:tcPr>
            <w:tcW w:w="4114" w:type="dxa"/>
          </w:tcPr>
          <w:p w14:paraId="78931F65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Taxonomy:</w:t>
            </w:r>
          </w:p>
        </w:tc>
        <w:tc>
          <w:tcPr>
            <w:tcW w:w="5128" w:type="dxa"/>
          </w:tcPr>
          <w:p w14:paraId="3F285B2E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Client Support</w:t>
            </w:r>
          </w:p>
        </w:tc>
      </w:tr>
      <w:tr w:rsidR="008B5B07" w14:paraId="649653E3" w14:textId="77777777" w:rsidTr="002E0000">
        <w:trPr>
          <w:jc w:val="center"/>
        </w:trPr>
        <w:tc>
          <w:tcPr>
            <w:tcW w:w="4114" w:type="dxa"/>
          </w:tcPr>
          <w:p w14:paraId="254C7850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Number and name of operation supported by the TC:</w:t>
            </w:r>
          </w:p>
        </w:tc>
        <w:tc>
          <w:tcPr>
            <w:tcW w:w="5128" w:type="dxa"/>
          </w:tcPr>
          <w:p w14:paraId="01B05415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8B5B07" w14:paraId="34E3148F" w14:textId="77777777" w:rsidTr="002E0000">
        <w:trPr>
          <w:jc w:val="center"/>
        </w:trPr>
        <w:tc>
          <w:tcPr>
            <w:tcW w:w="4114" w:type="dxa"/>
          </w:tcPr>
          <w:p w14:paraId="761D1663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Date of TC Abstract:</w:t>
            </w:r>
          </w:p>
        </w:tc>
        <w:tc>
          <w:tcPr>
            <w:tcW w:w="5128" w:type="dxa"/>
          </w:tcPr>
          <w:p w14:paraId="54F0CC86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01 Apr 2020</w:t>
            </w:r>
          </w:p>
        </w:tc>
      </w:tr>
      <w:tr w:rsidR="008B5B07" w14:paraId="6065535E" w14:textId="77777777" w:rsidTr="002E0000">
        <w:trPr>
          <w:jc w:val="center"/>
        </w:trPr>
        <w:tc>
          <w:tcPr>
            <w:tcW w:w="4114" w:type="dxa"/>
          </w:tcPr>
          <w:p w14:paraId="069890AA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Beneficiary:</w:t>
            </w:r>
          </w:p>
        </w:tc>
        <w:tc>
          <w:tcPr>
            <w:tcW w:w="5128" w:type="dxa"/>
          </w:tcPr>
          <w:p w14:paraId="25F26DA6" w14:textId="57CAC3D8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Ministry of Energ</w:t>
            </w:r>
            <w:r w:rsidR="00EE7E92">
              <w:rPr>
                <w:rFonts w:ascii="Arial" w:hAnsi="Arial" w:cs="Arial"/>
                <w:sz w:val="18"/>
                <w:szCs w:val="18"/>
              </w:rPr>
              <w:t>ies</w:t>
            </w:r>
          </w:p>
        </w:tc>
      </w:tr>
      <w:tr w:rsidR="008B5B07" w14:paraId="2E80B3EF" w14:textId="77777777" w:rsidTr="002E0000">
        <w:trPr>
          <w:jc w:val="center"/>
        </w:trPr>
        <w:tc>
          <w:tcPr>
            <w:tcW w:w="4114" w:type="dxa"/>
          </w:tcPr>
          <w:p w14:paraId="2A3C23BA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Executing Agency:</w:t>
            </w:r>
          </w:p>
        </w:tc>
        <w:tc>
          <w:tcPr>
            <w:tcW w:w="5128" w:type="dxa"/>
          </w:tcPr>
          <w:p w14:paraId="60336398" w14:textId="4D27CA6C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084129">
              <w:rPr>
                <w:rFonts w:ascii="Arial" w:hAnsi="Arial" w:cs="Arial"/>
                <w:sz w:val="18"/>
                <w:szCs w:val="18"/>
              </w:rPr>
              <w:t>nter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84129">
              <w:rPr>
                <w:rFonts w:ascii="Arial" w:hAnsi="Arial" w:cs="Arial"/>
                <w:sz w:val="18"/>
                <w:szCs w:val="18"/>
              </w:rPr>
              <w:t>mer</w:t>
            </w:r>
            <w:r w:rsidR="002E0000">
              <w:rPr>
                <w:rFonts w:ascii="Arial" w:hAnsi="Arial" w:cs="Arial"/>
                <w:sz w:val="18"/>
                <w:szCs w:val="18"/>
              </w:rPr>
              <w:t>ican</w:t>
            </w:r>
            <w:r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DE2408">
              <w:rPr>
                <w:rFonts w:ascii="Arial" w:hAnsi="Arial" w:cs="Arial"/>
                <w:sz w:val="18"/>
                <w:szCs w:val="18"/>
              </w:rPr>
              <w:t>evelopment</w:t>
            </w:r>
            <w:r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="00DE2408">
              <w:rPr>
                <w:rFonts w:ascii="Arial" w:hAnsi="Arial" w:cs="Arial"/>
                <w:sz w:val="18"/>
                <w:szCs w:val="18"/>
              </w:rPr>
              <w:t>ank (IDB)</w:t>
            </w:r>
          </w:p>
        </w:tc>
      </w:tr>
      <w:tr w:rsidR="008B5B07" w14:paraId="08BD7753" w14:textId="77777777" w:rsidTr="002E0000">
        <w:trPr>
          <w:jc w:val="center"/>
        </w:trPr>
        <w:tc>
          <w:tcPr>
            <w:tcW w:w="4114" w:type="dxa"/>
          </w:tcPr>
          <w:p w14:paraId="1A839904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IDB funding requested:</w:t>
            </w:r>
          </w:p>
        </w:tc>
        <w:tc>
          <w:tcPr>
            <w:tcW w:w="5128" w:type="dxa"/>
          </w:tcPr>
          <w:p w14:paraId="4591E2FA" w14:textId="77777777" w:rsidR="008B5B07" w:rsidRDefault="00C04FE6" w:rsidP="002E0000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US$250,000.00</w:t>
            </w:r>
          </w:p>
        </w:tc>
      </w:tr>
      <w:tr w:rsidR="008B5B07" w14:paraId="7FE04B2A" w14:textId="77777777" w:rsidTr="002E0000">
        <w:trPr>
          <w:jc w:val="center"/>
        </w:trPr>
        <w:tc>
          <w:tcPr>
            <w:tcW w:w="4114" w:type="dxa"/>
          </w:tcPr>
          <w:p w14:paraId="67977135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Local counterpart funding:</w:t>
            </w:r>
          </w:p>
        </w:tc>
        <w:tc>
          <w:tcPr>
            <w:tcW w:w="5128" w:type="dxa"/>
          </w:tcPr>
          <w:p w14:paraId="37DEF817" w14:textId="77777777" w:rsidR="008B5B07" w:rsidRDefault="00C04FE6" w:rsidP="002E0000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8B5B07" w14:paraId="437B9CDA" w14:textId="77777777" w:rsidTr="002E0000">
        <w:trPr>
          <w:jc w:val="center"/>
        </w:trPr>
        <w:tc>
          <w:tcPr>
            <w:tcW w:w="4114" w:type="dxa"/>
          </w:tcPr>
          <w:p w14:paraId="5AB08F08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Disbursement period:</w:t>
            </w:r>
          </w:p>
        </w:tc>
        <w:tc>
          <w:tcPr>
            <w:tcW w:w="5128" w:type="dxa"/>
          </w:tcPr>
          <w:p w14:paraId="426BFAA6" w14:textId="77777777" w:rsidR="008B5B07" w:rsidRDefault="00C04FE6" w:rsidP="002E0000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months</w:t>
            </w:r>
          </w:p>
        </w:tc>
      </w:tr>
      <w:tr w:rsidR="008B5B07" w14:paraId="4B0CBD8A" w14:textId="77777777" w:rsidTr="002E0000">
        <w:trPr>
          <w:jc w:val="center"/>
        </w:trPr>
        <w:tc>
          <w:tcPr>
            <w:tcW w:w="4114" w:type="dxa"/>
          </w:tcPr>
          <w:p w14:paraId="783D3C45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Types of consultants:</w:t>
            </w:r>
          </w:p>
        </w:tc>
        <w:tc>
          <w:tcPr>
            <w:tcW w:w="5128" w:type="dxa"/>
          </w:tcPr>
          <w:p w14:paraId="603E248A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Individuals; Firms</w:t>
            </w:r>
          </w:p>
        </w:tc>
      </w:tr>
      <w:tr w:rsidR="008B5B07" w14:paraId="270E2A4E" w14:textId="77777777" w:rsidTr="002E0000">
        <w:trPr>
          <w:jc w:val="center"/>
        </w:trPr>
        <w:tc>
          <w:tcPr>
            <w:tcW w:w="4114" w:type="dxa"/>
          </w:tcPr>
          <w:p w14:paraId="42D03731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 by Unit:</w:t>
            </w:r>
          </w:p>
        </w:tc>
        <w:tc>
          <w:tcPr>
            <w:tcW w:w="5128" w:type="dxa"/>
          </w:tcPr>
          <w:p w14:paraId="48E22765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INE/ENE - Energy</w:t>
            </w:r>
          </w:p>
        </w:tc>
      </w:tr>
      <w:tr w:rsidR="008B5B07" w14:paraId="1775D8C3" w14:textId="77777777" w:rsidTr="002E0000">
        <w:trPr>
          <w:jc w:val="center"/>
        </w:trPr>
        <w:tc>
          <w:tcPr>
            <w:tcW w:w="4114" w:type="dxa"/>
          </w:tcPr>
          <w:p w14:paraId="6579B94B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Unit of Disbursement Responsibility:</w:t>
            </w:r>
          </w:p>
        </w:tc>
        <w:tc>
          <w:tcPr>
            <w:tcW w:w="5128" w:type="dxa"/>
          </w:tcPr>
          <w:p w14:paraId="09C64C9D" w14:textId="77777777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CAN/CBO - Country Office Bolivia</w:t>
            </w:r>
          </w:p>
        </w:tc>
      </w:tr>
      <w:tr w:rsidR="008B5B07" w14:paraId="2FFB2A3E" w14:textId="77777777" w:rsidTr="002E0000">
        <w:trPr>
          <w:jc w:val="center"/>
        </w:trPr>
        <w:tc>
          <w:tcPr>
            <w:tcW w:w="4114" w:type="dxa"/>
          </w:tcPr>
          <w:p w14:paraId="1F096D62" w14:textId="4A736B2B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TC </w:t>
            </w:r>
            <w:r>
              <w:rPr>
                <w:rFonts w:ascii="Arial" w:hAnsi="Arial" w:cs="Arial"/>
                <w:sz w:val="18"/>
                <w:szCs w:val="18"/>
              </w:rPr>
              <w:t>included in Country Strategy (y/n):</w:t>
            </w:r>
            <w:r>
              <w:rPr>
                <w:rFonts w:ascii="Arial" w:hAnsi="Arial" w:cs="Arial"/>
                <w:sz w:val="18"/>
                <w:szCs w:val="18"/>
              </w:rPr>
              <w:br/>
              <w:t>▪ TC included in CPD (y/n):</w:t>
            </w:r>
          </w:p>
        </w:tc>
        <w:tc>
          <w:tcPr>
            <w:tcW w:w="5128" w:type="dxa"/>
          </w:tcPr>
          <w:p w14:paraId="47B61973" w14:textId="48E32B22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Yes</w:t>
            </w:r>
            <w:proofErr w:type="spellEnd"/>
          </w:p>
        </w:tc>
      </w:tr>
      <w:tr w:rsidR="008B5B07" w14:paraId="771CEFAB" w14:textId="77777777" w:rsidTr="002E0000">
        <w:trPr>
          <w:jc w:val="center"/>
        </w:trPr>
        <w:tc>
          <w:tcPr>
            <w:tcW w:w="4114" w:type="dxa"/>
          </w:tcPr>
          <w:p w14:paraId="519061B7" w14:textId="77777777" w:rsidR="008B5B07" w:rsidRDefault="00C04FE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Alignment to the Update to the Institutional Strategy 2010-2020:</w:t>
            </w:r>
          </w:p>
        </w:tc>
        <w:tc>
          <w:tcPr>
            <w:tcW w:w="5128" w:type="dxa"/>
          </w:tcPr>
          <w:p w14:paraId="2B01977A" w14:textId="4DFAA160" w:rsidR="008B5B07" w:rsidRDefault="00C04FE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Productivity and innovation</w:t>
            </w:r>
            <w:r>
              <w:rPr>
                <w:rFonts w:ascii="Arial" w:hAnsi="Arial" w:cs="Arial"/>
                <w:sz w:val="18"/>
                <w:szCs w:val="18"/>
              </w:rPr>
              <w:t>; Institutional capacity and rule of law; Environmental sustainability</w:t>
            </w:r>
          </w:p>
        </w:tc>
      </w:tr>
    </w:tbl>
    <w:p w14:paraId="4DEFE188" w14:textId="77777777" w:rsidR="008B5B07" w:rsidRDefault="00C04FE6" w:rsidP="002E0000">
      <w:pPr>
        <w:spacing w:before="240" w:after="120"/>
        <w:ind w:left="576" w:hanging="576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>Objecti</w:t>
      </w:r>
      <w:r>
        <w:rPr>
          <w:rFonts w:ascii="Arial" w:hAnsi="Arial" w:cs="Arial"/>
          <w:b/>
        </w:rPr>
        <w:t>ve and Justification</w:t>
      </w:r>
    </w:p>
    <w:p w14:paraId="06AC0536" w14:textId="48918E67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>The objective of this Technical Cooperation (TC) is to support the Government of Bolivia (</w:t>
      </w:r>
      <w:proofErr w:type="spellStart"/>
      <w:r>
        <w:rPr>
          <w:rFonts w:ascii="Arial" w:hAnsi="Arial" w:cs="Arial"/>
        </w:rPr>
        <w:t>GoB</w:t>
      </w:r>
      <w:proofErr w:type="spellEnd"/>
      <w:r>
        <w:rPr>
          <w:rFonts w:ascii="Arial" w:hAnsi="Arial" w:cs="Arial"/>
        </w:rPr>
        <w:t xml:space="preserve">) in the preparation of technical, economic and environmental studies for the development of renewable energy projects in rural areas in </w:t>
      </w:r>
      <w:r>
        <w:rPr>
          <w:rFonts w:ascii="Arial" w:hAnsi="Arial" w:cs="Arial"/>
        </w:rPr>
        <w:t xml:space="preserve">Bolivia, contributing to: (i) the increased use of alternative energies and diversification of the generation matrix; (ii) the reduction of fossil fuel consumption and its cost to the </w:t>
      </w:r>
      <w:proofErr w:type="spellStart"/>
      <w:r>
        <w:rPr>
          <w:rFonts w:ascii="Arial" w:hAnsi="Arial" w:cs="Arial"/>
        </w:rPr>
        <w:t>GoB</w:t>
      </w:r>
      <w:proofErr w:type="spellEnd"/>
      <w:r>
        <w:rPr>
          <w:rFonts w:ascii="Arial" w:hAnsi="Arial" w:cs="Arial"/>
        </w:rPr>
        <w:t>; and (iii) the promotion of building infrastructure using alternativ</w:t>
      </w:r>
      <w:r>
        <w:rPr>
          <w:rFonts w:ascii="Arial" w:hAnsi="Arial" w:cs="Arial"/>
        </w:rPr>
        <w:t>e energies in rural areas during</w:t>
      </w:r>
      <w:r w:rsidR="00DE2408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after COVID-19.</w:t>
      </w:r>
    </w:p>
    <w:p w14:paraId="1050A430" w14:textId="0CC0D0B3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>The IDB has published the Public Policy Recommendations for L</w:t>
      </w:r>
      <w:r w:rsidR="00DE2408">
        <w:rPr>
          <w:rFonts w:ascii="Arial" w:hAnsi="Arial" w:cs="Arial"/>
        </w:rPr>
        <w:t xml:space="preserve">atin </w:t>
      </w:r>
      <w:r>
        <w:rPr>
          <w:rFonts w:ascii="Arial" w:hAnsi="Arial" w:cs="Arial"/>
        </w:rPr>
        <w:t>A</w:t>
      </w:r>
      <w:r w:rsidR="00DE2408">
        <w:rPr>
          <w:rFonts w:ascii="Arial" w:hAnsi="Arial" w:cs="Arial"/>
        </w:rPr>
        <w:t xml:space="preserve">merica and the </w:t>
      </w:r>
      <w:r>
        <w:rPr>
          <w:rFonts w:ascii="Arial" w:hAnsi="Arial" w:cs="Arial"/>
        </w:rPr>
        <w:t>C</w:t>
      </w:r>
      <w:r w:rsidR="00DE2408">
        <w:rPr>
          <w:rFonts w:ascii="Arial" w:hAnsi="Arial" w:cs="Arial"/>
        </w:rPr>
        <w:t>aribbean (LAC)</w:t>
      </w:r>
      <w:r>
        <w:rPr>
          <w:rFonts w:ascii="Arial" w:hAnsi="Arial" w:cs="Arial"/>
        </w:rPr>
        <w:t xml:space="preserve"> to confront</w:t>
      </w:r>
      <w:r w:rsidR="00DE2408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COVID</w:t>
      </w:r>
      <w:r w:rsidR="00DE240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19, recommending not to neglect rural areas as they will be greatly affected by the ensuing health and economic crises. </w:t>
      </w:r>
      <w:r w:rsidR="00DE2408">
        <w:rPr>
          <w:rFonts w:ascii="Arial" w:hAnsi="Arial" w:cs="Arial"/>
        </w:rPr>
        <w:t>These r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commendations include helping rural areas in expanding social programs and providing sustainable infrastructure, ensuring access</w:t>
      </w:r>
      <w:r w:rsidR="00DE240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and continuity</w:t>
      </w:r>
      <w:r w:rsidR="00DE240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for key public services during and after confinement. Th</w:t>
      </w:r>
      <w:r w:rsidR="00DE2408">
        <w:rPr>
          <w:rFonts w:ascii="Arial" w:hAnsi="Arial" w:cs="Arial"/>
        </w:rPr>
        <w:t>is goes in line with the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="00DE2408">
        <w:rPr>
          <w:rFonts w:ascii="Arial" w:hAnsi="Arial" w:cs="Arial"/>
        </w:rPr>
        <w:t>ank’s</w:t>
      </w:r>
      <w:r>
        <w:rPr>
          <w:rFonts w:ascii="Arial" w:hAnsi="Arial" w:cs="Arial"/>
        </w:rPr>
        <w:t xml:space="preserve"> mandate to promote more investment-based inf</w:t>
      </w:r>
      <w:r>
        <w:rPr>
          <w:rFonts w:ascii="Arial" w:hAnsi="Arial" w:cs="Arial"/>
        </w:rPr>
        <w:t>rastructure for employment and economic development.</w:t>
      </w:r>
    </w:p>
    <w:p w14:paraId="00B7886D" w14:textId="3E5836C1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2.3</w:t>
      </w:r>
      <w:r>
        <w:rPr>
          <w:rFonts w:ascii="Arial" w:hAnsi="Arial" w:cs="Arial"/>
        </w:rPr>
        <w:tab/>
        <w:t>Water, sanitation, energy and transport</w:t>
      </w:r>
      <w:r>
        <w:rPr>
          <w:rFonts w:ascii="Arial" w:hAnsi="Arial" w:cs="Arial"/>
        </w:rPr>
        <w:t xml:space="preserve"> are key for any economic recovery during</w:t>
      </w:r>
      <w:r w:rsidR="00DE2408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after COVID</w:t>
      </w:r>
      <w:r w:rsidR="00DE2408">
        <w:rPr>
          <w:rFonts w:ascii="Arial" w:hAnsi="Arial" w:cs="Arial"/>
        </w:rPr>
        <w:t>-</w:t>
      </w:r>
      <w:r>
        <w:rPr>
          <w:rFonts w:ascii="Arial" w:hAnsi="Arial" w:cs="Arial"/>
        </w:rPr>
        <w:t>19. Investments in renewable energy (RE) and distributed generation are a source of employment. For example</w:t>
      </w:r>
      <w:r>
        <w:rPr>
          <w:rFonts w:ascii="Arial" w:hAnsi="Arial" w:cs="Arial"/>
        </w:rPr>
        <w:t>, solar generation is a low-cost RE technology with few delays during construction and very reliable for job growth.</w:t>
      </w:r>
    </w:p>
    <w:p w14:paraId="1BF97FE9" w14:textId="7ED92937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2.4</w:t>
      </w:r>
      <w:r>
        <w:rPr>
          <w:rFonts w:ascii="Arial" w:hAnsi="Arial" w:cs="Arial"/>
        </w:rPr>
        <w:tab/>
        <w:t>Bolivia's electric power system is comprised of the National Interconnected System (SIN) and Isolated Systems (IS), with 26 hydroelectr</w:t>
      </w:r>
      <w:r>
        <w:rPr>
          <w:rFonts w:ascii="Arial" w:hAnsi="Arial" w:cs="Arial"/>
        </w:rPr>
        <w:t xml:space="preserve">ic plants and 14 thermal power plants. SIN’s power capacity is more than 2,500 megawatts (MW). IS (representing </w:t>
      </w:r>
      <w:r>
        <w:rPr>
          <w:rFonts w:ascii="Arial" w:hAnsi="Arial" w:cs="Arial"/>
        </w:rPr>
        <w:lastRenderedPageBreak/>
        <w:t>14% of total generation) supplies power to communities not connected to SIN and its power capacity is 390 MW, with up to 174,000 users. Electric</w:t>
      </w:r>
      <w:r>
        <w:rPr>
          <w:rFonts w:ascii="Arial" w:hAnsi="Arial" w:cs="Arial"/>
        </w:rPr>
        <w:t>ity generation in IS reaches 719 GWh, 86% from fossil fuels (i.e. Diesel and Natural Gas). However, there are several (mainly in the department of Beni) that even with installed electric power have no fuel to provide a 24-hour service but only from 6</w:t>
      </w:r>
      <w:r w:rsidR="00513C52">
        <w:rPr>
          <w:rFonts w:ascii="Arial" w:hAnsi="Arial" w:cs="Arial"/>
        </w:rPr>
        <w:t>:00</w:t>
      </w:r>
      <w:r>
        <w:rPr>
          <w:rFonts w:ascii="Arial" w:hAnsi="Arial" w:cs="Arial"/>
        </w:rPr>
        <w:t xml:space="preserve"> p.m. </w:t>
      </w:r>
      <w:r>
        <w:rPr>
          <w:rFonts w:ascii="Arial" w:hAnsi="Arial" w:cs="Arial"/>
        </w:rPr>
        <w:t>to 11</w:t>
      </w:r>
      <w:r w:rsidR="00513C52">
        <w:rPr>
          <w:rFonts w:ascii="Arial" w:hAnsi="Arial" w:cs="Arial"/>
        </w:rPr>
        <w:t>:00</w:t>
      </w:r>
      <w:r>
        <w:rPr>
          <w:rFonts w:ascii="Arial" w:hAnsi="Arial" w:cs="Arial"/>
        </w:rPr>
        <w:t xml:space="preserve"> p.m. This limits productive activities, education and health services.</w:t>
      </w:r>
    </w:p>
    <w:p w14:paraId="4DACDDF8" w14:textId="48C14096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2.5</w:t>
      </w:r>
      <w:r>
        <w:rPr>
          <w:rFonts w:ascii="Arial" w:hAnsi="Arial" w:cs="Arial"/>
        </w:rPr>
        <w:tab/>
        <w:t>Diesel for IS demands roughly 52 million liters</w:t>
      </w:r>
      <w:r w:rsidR="00513C52">
        <w:rPr>
          <w:rFonts w:ascii="Arial" w:hAnsi="Arial" w:cs="Arial"/>
        </w:rPr>
        <w:t xml:space="preserve"> per </w:t>
      </w:r>
      <w:r>
        <w:rPr>
          <w:rFonts w:ascii="Arial" w:hAnsi="Arial" w:cs="Arial"/>
        </w:rPr>
        <w:t xml:space="preserve">year, imported and administered by </w:t>
      </w:r>
      <w:proofErr w:type="spellStart"/>
      <w:r>
        <w:rPr>
          <w:rFonts w:ascii="Arial" w:hAnsi="Arial" w:cs="Arial"/>
        </w:rPr>
        <w:t>Yacimientos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Petrolíferos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Fiscales</w:t>
      </w:r>
      <w:proofErr w:type="spellEnd"/>
      <w:r>
        <w:rPr>
          <w:rFonts w:ascii="Arial" w:hAnsi="Arial" w:cs="Arial"/>
        </w:rPr>
        <w:t xml:space="preserve"> Bolivianos (YPFB). Diesel is supplied to operators at US$0</w:t>
      </w:r>
      <w:r>
        <w:rPr>
          <w:rFonts w:ascii="Arial" w:hAnsi="Arial" w:cs="Arial"/>
        </w:rPr>
        <w:t>.15</w:t>
      </w:r>
      <w:r w:rsidR="00513C52">
        <w:rPr>
          <w:rFonts w:ascii="Arial" w:hAnsi="Arial" w:cs="Arial"/>
        </w:rPr>
        <w:t xml:space="preserve"> per </w:t>
      </w:r>
      <w:r>
        <w:rPr>
          <w:rFonts w:ascii="Arial" w:hAnsi="Arial" w:cs="Arial"/>
        </w:rPr>
        <w:t>liter. Costs to import diesel is US$1.27</w:t>
      </w:r>
      <w:r w:rsidR="00513C52">
        <w:rPr>
          <w:rFonts w:ascii="Arial" w:hAnsi="Arial" w:cs="Arial"/>
        </w:rPr>
        <w:t xml:space="preserve"> per </w:t>
      </w:r>
      <w:r>
        <w:rPr>
          <w:rFonts w:ascii="Arial" w:hAnsi="Arial" w:cs="Arial"/>
        </w:rPr>
        <w:t xml:space="preserve">liter. The </w:t>
      </w:r>
      <w:proofErr w:type="spellStart"/>
      <w:r>
        <w:rPr>
          <w:rFonts w:ascii="Arial" w:hAnsi="Arial" w:cs="Arial"/>
        </w:rPr>
        <w:t>GoB</w:t>
      </w:r>
      <w:proofErr w:type="spellEnd"/>
      <w:r>
        <w:rPr>
          <w:rFonts w:ascii="Arial" w:hAnsi="Arial" w:cs="Arial"/>
        </w:rPr>
        <w:t xml:space="preserve"> subsidizes the difference, spending US$55 million</w:t>
      </w:r>
      <w:r w:rsidR="00513C52">
        <w:rPr>
          <w:rFonts w:ascii="Arial" w:hAnsi="Arial" w:cs="Arial"/>
        </w:rPr>
        <w:t xml:space="preserve"> each </w:t>
      </w:r>
      <w:r>
        <w:rPr>
          <w:rFonts w:ascii="Arial" w:hAnsi="Arial" w:cs="Arial"/>
        </w:rPr>
        <w:t xml:space="preserve">year on diesel for IS. The </w:t>
      </w:r>
      <w:proofErr w:type="spellStart"/>
      <w:r>
        <w:rPr>
          <w:rFonts w:ascii="Arial" w:hAnsi="Arial" w:cs="Arial"/>
        </w:rPr>
        <w:t>GoB</w:t>
      </w:r>
      <w:proofErr w:type="spellEnd"/>
      <w:r>
        <w:rPr>
          <w:rFonts w:ascii="Arial" w:hAnsi="Arial" w:cs="Arial"/>
        </w:rPr>
        <w:t xml:space="preserve"> wants to reduce this subsidy, in part by interconnecting IS to SIN through power lines and installing RE generation</w:t>
      </w:r>
      <w:r>
        <w:rPr>
          <w:rFonts w:ascii="Arial" w:hAnsi="Arial" w:cs="Arial"/>
        </w:rPr>
        <w:t>. In 2014</w:t>
      </w:r>
      <w:r w:rsidR="00513C5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 National Electricity Company (ENDE) installed the 5MW PV plant in </w:t>
      </w:r>
      <w:proofErr w:type="spellStart"/>
      <w:r>
        <w:rPr>
          <w:rFonts w:ascii="Arial" w:hAnsi="Arial" w:cs="Arial"/>
        </w:rPr>
        <w:t>Cobija</w:t>
      </w:r>
      <w:proofErr w:type="spellEnd"/>
      <w:r>
        <w:rPr>
          <w:rFonts w:ascii="Arial" w:hAnsi="Arial" w:cs="Arial"/>
        </w:rPr>
        <w:t>, saving US$2 million</w:t>
      </w:r>
      <w:r w:rsidR="00513C52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year in diesel subsidies. In 2017, the </w:t>
      </w:r>
      <w:proofErr w:type="spellStart"/>
      <w:r>
        <w:rPr>
          <w:rFonts w:ascii="Arial" w:hAnsi="Arial" w:cs="Arial"/>
        </w:rPr>
        <w:t>Yucumo</w:t>
      </w:r>
      <w:proofErr w:type="spellEnd"/>
      <w:r>
        <w:rPr>
          <w:rFonts w:ascii="Arial" w:hAnsi="Arial" w:cs="Arial"/>
        </w:rPr>
        <w:t>-San Buenaventura transmission line (Beni) was energized and a hybrid solar system set up in the town o</w:t>
      </w:r>
      <w:r>
        <w:rPr>
          <w:rFonts w:ascii="Arial" w:hAnsi="Arial" w:cs="Arial"/>
        </w:rPr>
        <w:t>f El Espino 64kWp (Santa Cruz), allowing to save up to US$3.5 million</w:t>
      </w:r>
      <w:r w:rsidR="00513C52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year between them.</w:t>
      </w:r>
    </w:p>
    <w:p w14:paraId="7BCC4DA4" w14:textId="1A3EF307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2.6</w:t>
      </w:r>
      <w:r>
        <w:rPr>
          <w:rFonts w:ascii="Arial" w:hAnsi="Arial" w:cs="Arial"/>
        </w:rPr>
        <w:tab/>
        <w:t>From 2015</w:t>
      </w:r>
      <w:r w:rsidR="00EE7E92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>2019</w:t>
      </w:r>
      <w:r w:rsidR="00EE7E9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 </w:t>
      </w:r>
      <w:proofErr w:type="spellStart"/>
      <w:r>
        <w:rPr>
          <w:rFonts w:ascii="Arial" w:hAnsi="Arial" w:cs="Arial"/>
        </w:rPr>
        <w:t>GoB</w:t>
      </w:r>
      <w:proofErr w:type="spellEnd"/>
      <w:r>
        <w:rPr>
          <w:rFonts w:ascii="Arial" w:hAnsi="Arial" w:cs="Arial"/>
        </w:rPr>
        <w:t xml:space="preserve"> executed an IDB grant “Program for Rural Electrification with Renewable energy" (BO-X1013) for RE hybrid-solar projects at IS </w:t>
      </w:r>
      <w:r>
        <w:rPr>
          <w:rFonts w:ascii="Arial" w:hAnsi="Arial" w:cs="Arial"/>
        </w:rPr>
        <w:t xml:space="preserve">to </w:t>
      </w:r>
      <w:r w:rsidR="00EE7E92">
        <w:rPr>
          <w:rFonts w:ascii="Arial" w:hAnsi="Arial" w:cs="Arial"/>
        </w:rPr>
        <w:t>help</w:t>
      </w:r>
      <w:r w:rsidR="00EE7E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mitiga</w:t>
      </w:r>
      <w:r>
        <w:rPr>
          <w:rFonts w:ascii="Arial" w:hAnsi="Arial" w:cs="Arial"/>
        </w:rPr>
        <w:t>te high levels of diesel consumption in rural areas; providing</w:t>
      </w:r>
      <w:r w:rsidR="00EE7E92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reliable 24/7 electricity supply and generating opportunities for productive and innovative entrepreneurship. The </w:t>
      </w:r>
      <w:proofErr w:type="spellStart"/>
      <w:r>
        <w:rPr>
          <w:rFonts w:ascii="Arial" w:hAnsi="Arial" w:cs="Arial"/>
        </w:rPr>
        <w:t>Remanso</w:t>
      </w:r>
      <w:proofErr w:type="spellEnd"/>
      <w:r>
        <w:rPr>
          <w:rFonts w:ascii="Arial" w:hAnsi="Arial" w:cs="Arial"/>
        </w:rPr>
        <w:t xml:space="preserve"> and Puerto </w:t>
      </w:r>
      <w:proofErr w:type="spellStart"/>
      <w:r>
        <w:rPr>
          <w:rFonts w:ascii="Arial" w:hAnsi="Arial" w:cs="Arial"/>
        </w:rPr>
        <w:t>Villazón</w:t>
      </w:r>
      <w:proofErr w:type="spellEnd"/>
      <w:r>
        <w:rPr>
          <w:rFonts w:ascii="Arial" w:hAnsi="Arial" w:cs="Arial"/>
        </w:rPr>
        <w:t xml:space="preserve"> solar-hybrid projects saved around 95% in diesel co</w:t>
      </w:r>
      <w:r>
        <w:rPr>
          <w:rFonts w:ascii="Arial" w:hAnsi="Arial" w:cs="Arial"/>
        </w:rPr>
        <w:t>nsumption. The Ministry of Energies (</w:t>
      </w:r>
      <w:proofErr w:type="spellStart"/>
      <w:r>
        <w:rPr>
          <w:rFonts w:ascii="Arial" w:hAnsi="Arial" w:cs="Arial"/>
        </w:rPr>
        <w:t>MoE</w:t>
      </w:r>
      <w:proofErr w:type="spellEnd"/>
      <w:r>
        <w:rPr>
          <w:rFonts w:ascii="Arial" w:hAnsi="Arial" w:cs="Arial"/>
        </w:rPr>
        <w:t>) seeks RE projects in IS to address subsidized diesel and lack of reliable electricity to boost productive electricity use and promote the rural economy.</w:t>
      </w:r>
    </w:p>
    <w:p w14:paraId="67CB8D4E" w14:textId="1B074D92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2.7</w:t>
      </w:r>
      <w:r>
        <w:rPr>
          <w:rFonts w:ascii="Arial" w:hAnsi="Arial" w:cs="Arial"/>
        </w:rPr>
        <w:tab/>
        <w:t xml:space="preserve">To address these challenges, the </w:t>
      </w:r>
      <w:proofErr w:type="spellStart"/>
      <w:r>
        <w:rPr>
          <w:rFonts w:ascii="Arial" w:hAnsi="Arial" w:cs="Arial"/>
        </w:rPr>
        <w:t>MoE</w:t>
      </w:r>
      <w:proofErr w:type="spellEnd"/>
      <w:r>
        <w:rPr>
          <w:rFonts w:ascii="Arial" w:hAnsi="Arial" w:cs="Arial"/>
        </w:rPr>
        <w:t xml:space="preserve"> has </w:t>
      </w:r>
      <w:r>
        <w:rPr>
          <w:rFonts w:ascii="Arial" w:hAnsi="Arial" w:cs="Arial"/>
        </w:rPr>
        <w:t xml:space="preserve">requested the IDB a TC to support activities for energy matrix diversification. The TC will attend this through financial, technical, economic and environmental studies for RE projects in IS and encourage </w:t>
      </w:r>
      <w:r w:rsidR="00EE7E92">
        <w:rPr>
          <w:rFonts w:ascii="Arial" w:hAnsi="Arial" w:cs="Arial"/>
        </w:rPr>
        <w:t>solutions</w:t>
      </w:r>
      <w:r w:rsidR="00EE7E92">
        <w:rPr>
          <w:rFonts w:ascii="Arial" w:hAnsi="Arial" w:cs="Arial"/>
        </w:rPr>
        <w:t xml:space="preserve"> for the period after </w:t>
      </w:r>
      <w:r>
        <w:rPr>
          <w:rFonts w:ascii="Arial" w:hAnsi="Arial" w:cs="Arial"/>
        </w:rPr>
        <w:t>COVID</w:t>
      </w:r>
      <w:r w:rsidR="00EE7E92">
        <w:rPr>
          <w:rFonts w:ascii="Arial" w:hAnsi="Arial" w:cs="Arial"/>
        </w:rPr>
        <w:t>-</w:t>
      </w:r>
      <w:r>
        <w:rPr>
          <w:rFonts w:ascii="Arial" w:hAnsi="Arial" w:cs="Arial"/>
        </w:rPr>
        <w:t>19</w:t>
      </w:r>
      <w:r>
        <w:rPr>
          <w:rFonts w:ascii="Arial" w:hAnsi="Arial" w:cs="Arial"/>
        </w:rPr>
        <w:t>. Addressing diesel subsidy d</w:t>
      </w:r>
      <w:r>
        <w:rPr>
          <w:rFonts w:ascii="Arial" w:hAnsi="Arial" w:cs="Arial"/>
        </w:rPr>
        <w:t>isparities, development of a reliable electric service (critical in rural areas under the COVID</w:t>
      </w:r>
      <w:r w:rsidR="00C70CAA">
        <w:rPr>
          <w:rFonts w:ascii="Arial" w:hAnsi="Arial" w:cs="Arial"/>
        </w:rPr>
        <w:t>-</w:t>
      </w:r>
      <w:r>
        <w:rPr>
          <w:rFonts w:ascii="Arial" w:hAnsi="Arial" w:cs="Arial"/>
        </w:rPr>
        <w:t>19), job creation and productive electricity use while taking advantage of what was learned under BO-X1013.</w:t>
      </w:r>
    </w:p>
    <w:p w14:paraId="06F8C594" w14:textId="77777777" w:rsidR="008B5B07" w:rsidRDefault="00C04FE6" w:rsidP="00C70CAA">
      <w:pPr>
        <w:spacing w:before="240" w:after="120"/>
        <w:ind w:left="576" w:hanging="576"/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  <w:t>Description of Activities and Outputs</w:t>
      </w:r>
    </w:p>
    <w:p w14:paraId="10C062E2" w14:textId="3A59C62F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</w:t>
      </w:r>
      <w:r>
        <w:rPr>
          <w:rFonts w:ascii="Arial" w:hAnsi="Arial" w:cs="Arial"/>
          <w:b/>
        </w:rPr>
        <w:t>ent I</w:t>
      </w:r>
      <w:r w:rsidR="00C70CA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Support to the technical, economic and environmental studies for renewable energies Bolivia. </w:t>
      </w:r>
      <w:r w:rsidR="00072522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inances at least five studies to determine </w:t>
      </w:r>
      <w:r w:rsidR="00C70CA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best RE alternatives that can be implemented to reduce diesel consumption, improve levels of qual</w:t>
      </w:r>
      <w:r>
        <w:rPr>
          <w:rFonts w:ascii="Arial" w:hAnsi="Arial" w:cs="Arial"/>
        </w:rPr>
        <w:t>ity, safety and performance of electricity in IS. Also, a cost-benefit analysis of the proposed RE alternatives including environmental-social studies to meet the Bank's environmental sustainability policies. Additionally, it will finance an action plan fo</w:t>
      </w:r>
      <w:r>
        <w:rPr>
          <w:rFonts w:ascii="Arial" w:hAnsi="Arial" w:cs="Arial"/>
        </w:rPr>
        <w:t>r the local productive uses with electricity and job generation.</w:t>
      </w:r>
    </w:p>
    <w:p w14:paraId="3F9E40B5" w14:textId="05F57179" w:rsidR="008B5B07" w:rsidRDefault="00C04FE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Component II</w:t>
      </w:r>
      <w:r w:rsidR="0007252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Dissemination and workshops to promote renewable energies. </w:t>
      </w:r>
      <w:r w:rsidR="00072522">
        <w:rPr>
          <w:rFonts w:ascii="Arial" w:hAnsi="Arial" w:cs="Arial"/>
        </w:rPr>
        <w:t>I</w:t>
      </w:r>
      <w:r>
        <w:rPr>
          <w:rFonts w:ascii="Arial" w:hAnsi="Arial" w:cs="Arial"/>
        </w:rPr>
        <w:t>ncludes support for training, dissemination, through workshops to promote the correct and sustaina</w:t>
      </w:r>
      <w:r>
        <w:rPr>
          <w:rFonts w:ascii="Arial" w:hAnsi="Arial" w:cs="Arial"/>
        </w:rPr>
        <w:t>ble use of renewable energies for Bolivia. Also considering the development of knowledge products such as technical notes and publications.</w:t>
      </w:r>
    </w:p>
    <w:p w14:paraId="352539F8" w14:textId="77777777" w:rsidR="008B5B07" w:rsidRDefault="00C04FE6" w:rsidP="00A06597">
      <w:pPr>
        <w:spacing w:before="2040" w:after="120"/>
        <w:ind w:left="576" w:hanging="576"/>
      </w:pPr>
      <w:r>
        <w:rPr>
          <w:rFonts w:ascii="Arial" w:hAnsi="Arial" w:cs="Arial"/>
          <w:b/>
        </w:rPr>
        <w:lastRenderedPageBreak/>
        <w:t>IV.</w:t>
      </w:r>
      <w:r>
        <w:rPr>
          <w:rFonts w:ascii="Arial" w:hAnsi="Arial" w:cs="Arial"/>
          <w:b/>
        </w:rPr>
        <w:tab/>
        <w:t>Budget</w:t>
      </w:r>
    </w:p>
    <w:p w14:paraId="702DAD3E" w14:textId="77777777" w:rsidR="008B5B07" w:rsidRDefault="00C04FE6">
      <w:pPr>
        <w:spacing w:before="240" w:after="120"/>
        <w:jc w:val="center"/>
      </w:pPr>
      <w:r>
        <w:rPr>
          <w:rFonts w:ascii="Arial" w:hAnsi="Arial" w:cs="Arial"/>
          <w:b/>
          <w:sz w:val="18"/>
          <w:szCs w:val="18"/>
        </w:rPr>
        <w:t>Indicative Budget</w:t>
      </w:r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</w:tblGrid>
      <w:tr w:rsidR="008B5B07" w14:paraId="15398945" w14:textId="77777777">
        <w:tc>
          <w:tcPr>
            <w:tcW w:w="2310" w:type="dxa"/>
            <w:vAlign w:val="center"/>
          </w:tcPr>
          <w:p w14:paraId="235C0EAC" w14:textId="77777777" w:rsidR="008B5B07" w:rsidRDefault="00C04FE6" w:rsidP="00072522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2310" w:type="dxa"/>
          </w:tcPr>
          <w:p w14:paraId="1DABACBC" w14:textId="77777777" w:rsidR="008B5B07" w:rsidRDefault="00C04FE6" w:rsidP="00072522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2310" w:type="dxa"/>
          </w:tcPr>
          <w:p w14:paraId="5E0E7060" w14:textId="77777777" w:rsidR="008B5B07" w:rsidRDefault="00C04FE6" w:rsidP="00072522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2310" w:type="dxa"/>
          </w:tcPr>
          <w:p w14:paraId="6AFA0909" w14:textId="77777777" w:rsidR="008B5B07" w:rsidRDefault="00C04FE6" w:rsidP="00072522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 Funding</w:t>
            </w:r>
          </w:p>
        </w:tc>
      </w:tr>
      <w:tr w:rsidR="008B5B07" w14:paraId="3A469081" w14:textId="77777777">
        <w:tc>
          <w:tcPr>
            <w:tcW w:w="2310" w:type="dxa"/>
            <w:vAlign w:val="center"/>
          </w:tcPr>
          <w:p w14:paraId="5B53DE3A" w14:textId="77777777" w:rsidR="008B5B07" w:rsidRDefault="00C04FE6" w:rsidP="00072522">
            <w:r>
              <w:rPr>
                <w:rFonts w:ascii="Arial" w:hAnsi="Arial" w:cs="Arial"/>
                <w:sz w:val="18"/>
                <w:szCs w:val="18"/>
              </w:rPr>
              <w:t xml:space="preserve">Support to </w:t>
            </w:r>
            <w:r>
              <w:rPr>
                <w:rFonts w:ascii="Arial" w:hAnsi="Arial" w:cs="Arial"/>
                <w:sz w:val="18"/>
                <w:szCs w:val="18"/>
              </w:rPr>
              <w:t>the technical, economic and environmental studies for renewable energies Bolivia</w:t>
            </w:r>
          </w:p>
        </w:tc>
        <w:tc>
          <w:tcPr>
            <w:tcW w:w="2310" w:type="dxa"/>
            <w:vAlign w:val="center"/>
          </w:tcPr>
          <w:p w14:paraId="3B813FD2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US$200,000.00</w:t>
            </w:r>
          </w:p>
        </w:tc>
        <w:tc>
          <w:tcPr>
            <w:tcW w:w="2310" w:type="dxa"/>
            <w:vAlign w:val="center"/>
          </w:tcPr>
          <w:p w14:paraId="687A3294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32F3490F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US$200,000.00</w:t>
            </w:r>
          </w:p>
        </w:tc>
      </w:tr>
      <w:tr w:rsidR="008B5B07" w14:paraId="03C6D7BC" w14:textId="77777777">
        <w:tc>
          <w:tcPr>
            <w:tcW w:w="2310" w:type="dxa"/>
            <w:vAlign w:val="center"/>
          </w:tcPr>
          <w:p w14:paraId="4022665A" w14:textId="77777777" w:rsidR="008B5B07" w:rsidRDefault="00C04FE6" w:rsidP="00072522">
            <w:r>
              <w:rPr>
                <w:rFonts w:ascii="Arial" w:hAnsi="Arial" w:cs="Arial"/>
                <w:sz w:val="18"/>
                <w:szCs w:val="18"/>
              </w:rPr>
              <w:t>Dissemination and workshops to promote renewable energies</w:t>
            </w:r>
          </w:p>
        </w:tc>
        <w:tc>
          <w:tcPr>
            <w:tcW w:w="2310" w:type="dxa"/>
            <w:vAlign w:val="center"/>
          </w:tcPr>
          <w:p w14:paraId="02BD5B19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  <w:tc>
          <w:tcPr>
            <w:tcW w:w="2310" w:type="dxa"/>
            <w:vAlign w:val="center"/>
          </w:tcPr>
          <w:p w14:paraId="355C7DBD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38508338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</w:tr>
      <w:tr w:rsidR="008B5B07" w14:paraId="41CB223A" w14:textId="77777777">
        <w:tc>
          <w:tcPr>
            <w:tcW w:w="2310" w:type="dxa"/>
            <w:vAlign w:val="center"/>
          </w:tcPr>
          <w:p w14:paraId="7E4EF958" w14:textId="77777777" w:rsidR="008B5B07" w:rsidRDefault="00C04FE6" w:rsidP="00072522"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310" w:type="dxa"/>
            <w:vAlign w:val="center"/>
          </w:tcPr>
          <w:p w14:paraId="36C0B20F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US$250,000.00</w:t>
            </w:r>
          </w:p>
        </w:tc>
        <w:tc>
          <w:tcPr>
            <w:tcW w:w="2310" w:type="dxa"/>
            <w:vAlign w:val="center"/>
          </w:tcPr>
          <w:p w14:paraId="197BC47D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3C2DBD7C" w14:textId="77777777" w:rsidR="008B5B07" w:rsidRDefault="00C04FE6" w:rsidP="00072522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US$250,000.00</w:t>
            </w:r>
          </w:p>
        </w:tc>
      </w:tr>
    </w:tbl>
    <w:p w14:paraId="28ECDF4B" w14:textId="77777777" w:rsidR="008B5B07" w:rsidRDefault="00C04FE6" w:rsidP="00A06597">
      <w:pPr>
        <w:spacing w:before="240" w:after="120"/>
        <w:ind w:left="576" w:hanging="576"/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  <w:t>Executing Agency and Execution Structure</w:t>
      </w:r>
    </w:p>
    <w:p w14:paraId="223EFA05" w14:textId="77777777" w:rsidR="008B5B07" w:rsidRDefault="00C04FE6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 xml:space="preserve">The technical responsibility will fall upon the Energy Division (INE/ENE), which will receive support from the Bank Country Office in Bolivia (CBO). The focal point designated and responsible for executing the </w:t>
      </w:r>
      <w:r>
        <w:rPr>
          <w:rFonts w:ascii="Arial" w:hAnsi="Arial" w:cs="Arial"/>
        </w:rPr>
        <w:t xml:space="preserve">TC will be the Energy Specialist, Sergio </w:t>
      </w:r>
      <w:proofErr w:type="spellStart"/>
      <w:r>
        <w:rPr>
          <w:rFonts w:ascii="Arial" w:hAnsi="Arial" w:cs="Arial"/>
        </w:rPr>
        <w:t>Ballón</w:t>
      </w:r>
      <w:proofErr w:type="spellEnd"/>
      <w:r>
        <w:rPr>
          <w:rFonts w:ascii="Arial" w:hAnsi="Arial" w:cs="Arial"/>
        </w:rPr>
        <w:t>, with support from other ENE’s energy specialists.</w:t>
      </w:r>
    </w:p>
    <w:p w14:paraId="650A4703" w14:textId="6FD201BD" w:rsidR="008B5B07" w:rsidRDefault="00C04FE6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  <w:t>At the request of the beneficiary and in line with the Operational Guidelines for Technical Cooperation Products (GN-2629-2), the Bank will act as the ex</w:t>
      </w:r>
      <w:r>
        <w:rPr>
          <w:rFonts w:ascii="Arial" w:hAnsi="Arial" w:cs="Arial"/>
        </w:rPr>
        <w:t>ecuting agency</w:t>
      </w:r>
      <w:r w:rsidR="00A06597">
        <w:rPr>
          <w:rFonts w:ascii="Arial" w:hAnsi="Arial" w:cs="Arial"/>
        </w:rPr>
        <w:t xml:space="preserve"> (EA)</w:t>
      </w:r>
      <w:r>
        <w:rPr>
          <w:rFonts w:ascii="Arial" w:hAnsi="Arial" w:cs="Arial"/>
        </w:rPr>
        <w:t xml:space="preserve"> for the TC. This condition has been established as a special circumstance considering that the benefited entity has limited operational capacity to properly execute, in time and manner, the activities of this TC. The Bank will be responsible</w:t>
      </w:r>
      <w:r>
        <w:rPr>
          <w:rFonts w:ascii="Arial" w:hAnsi="Arial" w:cs="Arial"/>
        </w:rPr>
        <w:t xml:space="preserve"> for the selection and contracting of both consulting firms and individual consultants; in accordance with the policies for the selection of consultants (GN-2765-1), operational guidelines (OP-1155-4) for the contracting of consulting firms and human resou</w:t>
      </w:r>
      <w:r>
        <w:rPr>
          <w:rFonts w:ascii="Arial" w:hAnsi="Arial" w:cs="Arial"/>
        </w:rPr>
        <w:t>rces standards (AM-650) for the hiring of individual consultants. Additionally, the Financial Management Guide OP-273-6 (GN 2811) will be applied. The initial procurement plan provides information on the foreseen contracts, their applicable monitoring, and</w:t>
      </w:r>
      <w:r>
        <w:rPr>
          <w:rFonts w:ascii="Arial" w:hAnsi="Arial" w:cs="Arial"/>
        </w:rPr>
        <w:t xml:space="preserve"> contracting methods. In accordance with the Operational Guidelines for Technical Cooperation Products, Revised Version (GN-2629-1), the TC is classified as a Client Support product.</w:t>
      </w:r>
    </w:p>
    <w:p w14:paraId="56533CF1" w14:textId="77777777" w:rsidR="008B5B07" w:rsidRDefault="00C04FE6" w:rsidP="00A06597">
      <w:pPr>
        <w:spacing w:before="240" w:after="120"/>
        <w:ind w:left="576" w:hanging="576"/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  <w:b/>
        </w:rPr>
        <w:tab/>
        <w:t>Project Risks and Issues</w:t>
      </w:r>
    </w:p>
    <w:p w14:paraId="5255D73F" w14:textId="523768FB" w:rsidR="008B5B07" w:rsidRDefault="00C04FE6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  <w:t xml:space="preserve">The major risk for the </w:t>
      </w:r>
      <w:r>
        <w:rPr>
          <w:rFonts w:ascii="Arial" w:hAnsi="Arial" w:cs="Arial"/>
        </w:rPr>
        <w:t xml:space="preserve">execution of this TC is the coordination of the various beneficiaries and institutions involved in the project. In order to mitigate this risk, the IDB will act as the </w:t>
      </w:r>
      <w:r w:rsidR="00A06597">
        <w:rPr>
          <w:rFonts w:ascii="Arial" w:hAnsi="Arial" w:cs="Arial"/>
        </w:rPr>
        <w:t>EA</w:t>
      </w:r>
      <w:r>
        <w:rPr>
          <w:rFonts w:ascii="Arial" w:hAnsi="Arial" w:cs="Arial"/>
        </w:rPr>
        <w:t xml:space="preserve"> for this technical cooperation generating the dialogue and spaces for c</w:t>
      </w:r>
      <w:r>
        <w:rPr>
          <w:rFonts w:ascii="Arial" w:hAnsi="Arial" w:cs="Arial"/>
        </w:rPr>
        <w:t>ooperation and coordination required among the institutions</w:t>
      </w:r>
      <w:r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contribute to strengthening the involvement of the beneficiaries. The COVID</w:t>
      </w:r>
      <w:r w:rsidR="00A06597">
        <w:rPr>
          <w:rFonts w:ascii="Arial" w:hAnsi="Arial" w:cs="Arial"/>
        </w:rPr>
        <w:t>-</w:t>
      </w:r>
      <w:r>
        <w:rPr>
          <w:rFonts w:ascii="Arial" w:hAnsi="Arial" w:cs="Arial"/>
        </w:rPr>
        <w:t>19 may have impact in the execution</w:t>
      </w:r>
      <w:r w:rsidR="00A0659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especially </w:t>
      </w:r>
      <w:r w:rsidR="00A06597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activities that may require site visits and face to face </w:t>
      </w:r>
      <w:r>
        <w:rPr>
          <w:rFonts w:ascii="Arial" w:hAnsi="Arial" w:cs="Arial"/>
        </w:rPr>
        <w:t>contacts. If necessary, the Bank will support the personnel involved in such activities by providing protection equipment and logistic support.</w:t>
      </w:r>
    </w:p>
    <w:p w14:paraId="422F62BB" w14:textId="77777777" w:rsidR="008B5B07" w:rsidRDefault="00C04FE6" w:rsidP="00A06597">
      <w:pPr>
        <w:spacing w:before="240" w:after="120"/>
        <w:ind w:left="576" w:hanging="576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  <w:t>Environmental and Social Classification</w:t>
      </w:r>
    </w:p>
    <w:p w14:paraId="2EEB676B" w14:textId="77777777" w:rsidR="008B5B07" w:rsidRDefault="00C04FE6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>The ESG classification for this operation is "undefined".</w:t>
      </w:r>
    </w:p>
    <w:sectPr w:rsidR="008B5B07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714D7" w14:textId="77777777" w:rsidR="00C04FE6" w:rsidRDefault="00C04FE6">
      <w:r>
        <w:separator/>
      </w:r>
    </w:p>
  </w:endnote>
  <w:endnote w:type="continuationSeparator" w:id="0">
    <w:p w14:paraId="70BC2753" w14:textId="77777777" w:rsidR="00C04FE6" w:rsidRDefault="00C04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D14E2" w14:textId="77777777" w:rsidR="008B5B07" w:rsidRDefault="00C04FE6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704CDB">
      <w:fldChar w:fldCharType="separate"/>
    </w:r>
    <w:r w:rsidR="00704CDB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820DB" w14:textId="77777777" w:rsidR="00C04FE6" w:rsidRDefault="00C04FE6">
      <w:r>
        <w:separator/>
      </w:r>
    </w:p>
  </w:footnote>
  <w:footnote w:type="continuationSeparator" w:id="0">
    <w:p w14:paraId="2279D2D6" w14:textId="77777777" w:rsidR="00C04FE6" w:rsidRDefault="00C04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72522"/>
    <w:rsid w:val="00084129"/>
    <w:rsid w:val="001915A3"/>
    <w:rsid w:val="00217F62"/>
    <w:rsid w:val="002E0000"/>
    <w:rsid w:val="00513C52"/>
    <w:rsid w:val="00704CDB"/>
    <w:rsid w:val="008B5B07"/>
    <w:rsid w:val="00A06597"/>
    <w:rsid w:val="00A906D8"/>
    <w:rsid w:val="00AB5A74"/>
    <w:rsid w:val="00C04FE6"/>
    <w:rsid w:val="00C70CAA"/>
    <w:rsid w:val="00DE2408"/>
    <w:rsid w:val="00EE7E92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54FC"/>
  <w15:docId w15:val="{28807FA2-BCA8-409E-A94B-ABDA23CA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03B35DD0E23954FA908A69D269380F3" ma:contentTypeVersion="0" ma:contentTypeDescription="The base project type from which other project content types inherit their information." ma:contentTypeScope="" ma:versionID="569062cb2a23e5b0a6e951830968646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37010917976801220b9dc653f9a48f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9B5FCC1CD91B14FA8F7AF7C63117BA7" ma:contentTypeVersion="1998" ma:contentTypeDescription="A content type to manage public (operations) IDB documents" ma:contentTypeScope="" ma:versionID="121f76d64a4408f2b05a0a4d6830cd7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730823b010e9c295bb5e009e4dc2c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Ballon Lopez Sergio Enrique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SECTOR REHABILITATION AND EFFICIENCY</TermName>
          <TermId xmlns="http://schemas.microsoft.com/office/infopath/2007/PartnerControls">bc14044a-5020-4002-b61d-5f3750c96619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354</Value>
      <Value>171</Value>
      <Value>1</Value>
      <Value>42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BO-T1356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 xsi:nil="true"/>
    <_dlc_DocId xmlns="cdc7663a-08f0-4737-9e8c-148ce897a09c">EZSHARE-1543399059-5</_dlc_DocId>
    <_dlc_DocIdUrl xmlns="cdc7663a-08f0-4737-9e8c-148ce897a09c">
      <Url>https://idbg.sharepoint.com/teams/EZ-BO-TCP/BO-T1356/_layouts/15/DocIdRedir.aspx?ID=EZSHARE-1543399059-5</Url>
      <Description>EZSHARE-1543399059-5</Description>
    </_dlc_DocIdUrl>
    <Extracted_x0020_Keywords xmlns="cdc7663a-08f0-4737-9e8c-148ce897a09c">
      <Value>productive electricity use</Value>
      <Value>environmental studies</Value>
      <Value>rural areas</Value>
      <Value>diesel consumption</Value>
      <Value>INE/ENE</Value>
      <Value>Yacimientos Petrolíferos Fiscales Bolivianos</Value>
      <Value>Puerto Villazón solar-hybrid projects</Value>
      <Value>Basic Project Data Country</Value>
      <Value>Yucumo-San Buenaventura transmission line</Value>
      <Value>reliable 24/7 electricity supply</Value>
      <Value>Andean Group TC Name</Value>
      <Value>Country Office Bolivia TC</Value>
      <Value>National Interconnected System</Value>
      <Value>5MW PV plant</Value>
      <Value>El Espino 64kWp</Value>
      <Value>National Electricity Company</Value>
      <Value>Local counterpart funding</Value>
      <Value>key public services</Value>
      <Value>hybrid solar system</Value>
      <Value>BO-T1356 Team Leader</Value>
      <Value>Alternate Team Leader</Value>
      <Value>TC:N/A Date</Value>
      <Value>low-cost RE technology</Value>
      <Value>RE hybrid-solar projects</Value>
      <Value>Energies Executing Agency</Value>
    </Extracted_x0020_Keywords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797EB13D-9B05-460F-A0FD-889501A60D9A}"/>
</file>

<file path=customXml/itemProps2.xml><?xml version="1.0" encoding="utf-8"?>
<ds:datastoreItem xmlns:ds="http://schemas.openxmlformats.org/officeDocument/2006/customXml" ds:itemID="{C5F35992-5725-4F9C-996E-9EA9F2B1E8ED}"/>
</file>

<file path=customXml/itemProps3.xml><?xml version="1.0" encoding="utf-8"?>
<ds:datastoreItem xmlns:ds="http://schemas.openxmlformats.org/officeDocument/2006/customXml" ds:itemID="{4076C317-47C3-4AAC-B54B-1C15B78F1DC9}"/>
</file>

<file path=customXml/itemProps4.xml><?xml version="1.0" encoding="utf-8"?>
<ds:datastoreItem xmlns:ds="http://schemas.openxmlformats.org/officeDocument/2006/customXml" ds:itemID="{253F5164-37F8-4A08-B1D4-5C88A7125DF9}"/>
</file>

<file path=customXml/itemProps5.xml><?xml version="1.0" encoding="utf-8"?>
<ds:datastoreItem xmlns:ds="http://schemas.openxmlformats.org/officeDocument/2006/customXml" ds:itemID="{24E37C33-E91C-4910-924F-02E57D93ACE8}"/>
</file>

<file path=customXml/itemProps6.xml><?xml version="1.0" encoding="utf-8"?>
<ds:datastoreItem xmlns:ds="http://schemas.openxmlformats.org/officeDocument/2006/customXml" ds:itemID="{9D53C86A-A858-4116-BFDA-E1D4D79FE7B0}"/>
</file>

<file path=customXml/itemProps7.xml><?xml version="1.0" encoding="utf-8"?>
<ds:datastoreItem xmlns:ds="http://schemas.openxmlformats.org/officeDocument/2006/customXml" ds:itemID="{F6BD4D10-7719-4E76-9845-4510D9ABCD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ModifiedBy>Marquez Barroeta, Fidel</cp:lastModifiedBy>
  <cp:revision>3</cp:revision>
  <dcterms:created xsi:type="dcterms:W3CDTF">2020-05-26T17:49:00Z</dcterms:created>
  <dcterms:modified xsi:type="dcterms:W3CDTF">2020-05-26T19:13:00Z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354;#ENERGY SECTOR REHABILITATION AND EFFICIENCY|bc14044a-5020-4002-b61d-5f3750c96619</vt:lpwstr>
  </property>
  <property fmtid="{D5CDD505-2E9C-101B-9397-08002B2CF9AE}" pid="7" name="Fund IDB">
    <vt:lpwstr>171;#INF|474aab72-0205-4196-bca7-4b288939fcb3</vt:lpwstr>
  </property>
  <property fmtid="{D5CDD505-2E9C-101B-9397-08002B2CF9AE}" pid="8" name="Country">
    <vt:lpwstr>33;#Bolivia|6445a937-aea4-4907-9f24-bff96a7c61c8</vt:lpwstr>
  </property>
  <property fmtid="{D5CDD505-2E9C-101B-9397-08002B2CF9AE}" pid="9" name="Sector IDB">
    <vt:lpwstr>42;#ENERGY|4fed196a-cd0b-4970-87de-42da17f9b203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21c22c70-a826-4625-9175-58ffa2452067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0x0101001A458A224826124E8B45B1D613300CFC0069B5FCC1CD91B14FA8F7AF7C63117BA7</vt:lpwstr>
  </property>
</Properties>
</file>