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44EE3" w14:textId="686E8B7E" w:rsidR="00443022" w:rsidRPr="009A0827" w:rsidRDefault="009A0827" w:rsidP="00443022">
      <w:pPr>
        <w:jc w:val="center"/>
        <w:rPr>
          <w:rFonts w:ascii="Arial" w:hAnsi="Arial" w:cs="Arial"/>
          <w:b/>
          <w:sz w:val="28"/>
          <w:szCs w:val="28"/>
          <w:lang w:val="es-419"/>
        </w:rPr>
      </w:pPr>
      <w:r w:rsidRPr="009A0827">
        <w:rPr>
          <w:rFonts w:ascii="Arial" w:hAnsi="Arial" w:cs="Arial"/>
          <w:b/>
          <w:sz w:val="28"/>
          <w:szCs w:val="28"/>
          <w:lang w:val="es-419"/>
        </w:rPr>
        <w:t>Resumen de la Revisión Ambiental y Social</w:t>
      </w:r>
      <w:r w:rsidR="00A25B40" w:rsidRPr="009A0827">
        <w:rPr>
          <w:rFonts w:ascii="Arial" w:hAnsi="Arial" w:cs="Arial"/>
          <w:b/>
          <w:sz w:val="28"/>
          <w:szCs w:val="28"/>
          <w:lang w:val="es-419"/>
        </w:rPr>
        <w:t xml:space="preserve"> (</w:t>
      </w:r>
      <w:r w:rsidRPr="009A0827">
        <w:rPr>
          <w:rFonts w:ascii="Arial" w:hAnsi="Arial" w:cs="Arial"/>
          <w:b/>
          <w:sz w:val="28"/>
          <w:szCs w:val="28"/>
          <w:lang w:val="es-419"/>
        </w:rPr>
        <w:t>RRAS</w:t>
      </w:r>
      <w:r w:rsidR="00A25B40" w:rsidRPr="009A0827">
        <w:rPr>
          <w:rFonts w:ascii="Arial" w:hAnsi="Arial" w:cs="Arial"/>
          <w:b/>
          <w:sz w:val="28"/>
          <w:szCs w:val="28"/>
          <w:lang w:val="es-419"/>
        </w:rPr>
        <w:t>)</w:t>
      </w:r>
      <w:r w:rsidR="002C1690" w:rsidRPr="009A0827">
        <w:rPr>
          <w:rFonts w:ascii="Arial" w:hAnsi="Arial" w:cs="Arial"/>
          <w:b/>
          <w:sz w:val="28"/>
          <w:szCs w:val="28"/>
          <w:lang w:val="es-419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8"/>
        <w:gridCol w:w="5702"/>
      </w:tblGrid>
      <w:tr w:rsidR="003B25C9" w:rsidRPr="00790F7A" w14:paraId="2F03D905" w14:textId="6DE51556" w:rsidTr="003B25C9">
        <w:tc>
          <w:tcPr>
            <w:tcW w:w="1951" w:type="pct"/>
            <w:shd w:val="clear" w:color="auto" w:fill="auto"/>
          </w:tcPr>
          <w:p w14:paraId="7A732949" w14:textId="6E9D75AD" w:rsidR="003B25C9" w:rsidRPr="00790F7A" w:rsidRDefault="009A0827" w:rsidP="00E64E7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PA"/>
              </w:rPr>
            </w:pPr>
            <w:r w:rsidRPr="00790F7A">
              <w:rPr>
                <w:rFonts w:ascii="Arial" w:hAnsi="Arial" w:cs="Arial"/>
                <w:b/>
                <w:sz w:val="20"/>
                <w:szCs w:val="20"/>
                <w:lang w:val="es-PA"/>
              </w:rPr>
              <w:t>Nombre del Proyecto</w:t>
            </w:r>
            <w:r w:rsidR="003B25C9" w:rsidRPr="00790F7A">
              <w:rPr>
                <w:rFonts w:ascii="Arial" w:hAnsi="Arial" w:cs="Arial"/>
                <w:b/>
                <w:sz w:val="20"/>
                <w:szCs w:val="20"/>
                <w:lang w:val="es-PA"/>
              </w:rPr>
              <w:t>:</w:t>
            </w:r>
          </w:p>
        </w:tc>
        <w:tc>
          <w:tcPr>
            <w:tcW w:w="3049" w:type="pct"/>
          </w:tcPr>
          <w:p w14:paraId="0870789C" w14:textId="26B8F153" w:rsidR="003B25C9" w:rsidRPr="00AF7012" w:rsidRDefault="006E298B" w:rsidP="00E64E7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Innovasol</w:t>
            </w:r>
            <w:r w:rsidR="00E85024" w:rsidRPr="00AF7012">
              <w:rPr>
                <w:rFonts w:ascii="Arial" w:hAnsi="Arial" w:cs="Arial"/>
                <w:bCs/>
                <w:sz w:val="20"/>
                <w:szCs w:val="20"/>
              </w:rPr>
              <w:t>: Facilitating access to green energy</w:t>
            </w:r>
          </w:p>
        </w:tc>
      </w:tr>
      <w:tr w:rsidR="00A043A6" w:rsidRPr="00790F7A" w14:paraId="0D661B91" w14:textId="77777777" w:rsidTr="003B25C9">
        <w:tc>
          <w:tcPr>
            <w:tcW w:w="1951" w:type="pct"/>
            <w:shd w:val="clear" w:color="auto" w:fill="auto"/>
          </w:tcPr>
          <w:p w14:paraId="5C991F3B" w14:textId="278B8C8C" w:rsidR="00A043A6" w:rsidRPr="00790F7A" w:rsidRDefault="009A0827" w:rsidP="00E64E7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PA"/>
              </w:rPr>
            </w:pPr>
            <w:r w:rsidRPr="00790F7A">
              <w:rPr>
                <w:rFonts w:ascii="Arial" w:hAnsi="Arial" w:cs="Arial"/>
                <w:b/>
                <w:sz w:val="20"/>
                <w:szCs w:val="20"/>
                <w:lang w:val="es-PA"/>
              </w:rPr>
              <w:t>Número del Proyecto</w:t>
            </w:r>
            <w:r w:rsidR="00A043A6" w:rsidRPr="00790F7A">
              <w:rPr>
                <w:rFonts w:ascii="Arial" w:hAnsi="Arial" w:cs="Arial"/>
                <w:b/>
                <w:sz w:val="20"/>
                <w:szCs w:val="20"/>
                <w:lang w:val="es-PA"/>
              </w:rPr>
              <w:t>:</w:t>
            </w:r>
          </w:p>
        </w:tc>
        <w:tc>
          <w:tcPr>
            <w:tcW w:w="3049" w:type="pct"/>
          </w:tcPr>
          <w:p w14:paraId="795001E8" w14:textId="401633C7" w:rsidR="00A043A6" w:rsidRPr="00AF7012" w:rsidRDefault="00AF7012" w:rsidP="00E64E7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PA"/>
              </w:rPr>
            </w:pPr>
            <w:r w:rsidRPr="00AF7012">
              <w:rPr>
                <w:rFonts w:ascii="Arial" w:hAnsi="Arial" w:cs="Arial"/>
                <w:bCs/>
                <w:sz w:val="20"/>
                <w:szCs w:val="20"/>
                <w:lang w:val="es-PA"/>
              </w:rPr>
              <w:t>RG-L1166</w:t>
            </w:r>
          </w:p>
        </w:tc>
      </w:tr>
      <w:tr w:rsidR="003B25C9" w:rsidRPr="00790F7A" w14:paraId="1AC50331" w14:textId="4EFBCBAE" w:rsidTr="003B25C9">
        <w:tc>
          <w:tcPr>
            <w:tcW w:w="1951" w:type="pct"/>
            <w:shd w:val="clear" w:color="auto" w:fill="auto"/>
          </w:tcPr>
          <w:p w14:paraId="41A96644" w14:textId="50B1CC22" w:rsidR="003B25C9" w:rsidRPr="00790F7A" w:rsidRDefault="00CA68E7" w:rsidP="00E64E7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PA"/>
              </w:rPr>
            </w:pPr>
            <w:r w:rsidRPr="00790F7A">
              <w:rPr>
                <w:rFonts w:ascii="Arial" w:hAnsi="Arial" w:cs="Arial"/>
                <w:b/>
                <w:sz w:val="20"/>
                <w:szCs w:val="20"/>
                <w:lang w:val="es-PA"/>
              </w:rPr>
              <w:t>Ubicación del Proyecto</w:t>
            </w:r>
            <w:r w:rsidR="003B25C9" w:rsidRPr="00790F7A">
              <w:rPr>
                <w:rFonts w:ascii="Arial" w:hAnsi="Arial" w:cs="Arial"/>
                <w:b/>
                <w:sz w:val="20"/>
                <w:szCs w:val="20"/>
                <w:lang w:val="es-PA"/>
              </w:rPr>
              <w:t xml:space="preserve">: </w:t>
            </w:r>
          </w:p>
        </w:tc>
        <w:tc>
          <w:tcPr>
            <w:tcW w:w="3049" w:type="pct"/>
          </w:tcPr>
          <w:p w14:paraId="2CC1B1AC" w14:textId="4F062B40" w:rsidR="003B25C9" w:rsidRPr="00AF7012" w:rsidRDefault="00736E4D" w:rsidP="00E64E7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PA"/>
              </w:rPr>
            </w:pPr>
            <w:r w:rsidRPr="00736E4D">
              <w:rPr>
                <w:rFonts w:ascii="Arial" w:hAnsi="Arial" w:cs="Arial"/>
                <w:bCs/>
                <w:sz w:val="20"/>
                <w:szCs w:val="20"/>
                <w:lang w:val="es-PA"/>
              </w:rPr>
              <w:t xml:space="preserve">Bolivia; </w:t>
            </w:r>
            <w:r w:rsidR="00974E10" w:rsidRPr="00736E4D">
              <w:rPr>
                <w:rFonts w:ascii="Arial" w:hAnsi="Arial" w:cs="Arial"/>
                <w:bCs/>
                <w:sz w:val="20"/>
                <w:szCs w:val="20"/>
                <w:lang w:val="es-PA"/>
              </w:rPr>
              <w:t>Perú</w:t>
            </w:r>
            <w:r w:rsidR="00F36B73">
              <w:rPr>
                <w:rFonts w:ascii="Arial" w:hAnsi="Arial" w:cs="Arial"/>
                <w:bCs/>
                <w:sz w:val="20"/>
                <w:szCs w:val="20"/>
                <w:lang w:val="es-PA"/>
              </w:rPr>
              <w:t xml:space="preserve">; </w:t>
            </w:r>
            <w:r w:rsidR="00F36B73" w:rsidRPr="00736E4D">
              <w:rPr>
                <w:rFonts w:ascii="Arial" w:hAnsi="Arial" w:cs="Arial"/>
                <w:bCs/>
                <w:sz w:val="20"/>
                <w:szCs w:val="20"/>
                <w:lang w:val="es-PA"/>
              </w:rPr>
              <w:t>Chile;</w:t>
            </w:r>
            <w:r w:rsidR="00F36B73">
              <w:rPr>
                <w:rFonts w:ascii="Arial" w:hAnsi="Arial" w:cs="Arial"/>
                <w:bCs/>
                <w:sz w:val="20"/>
                <w:szCs w:val="20"/>
                <w:lang w:val="es-PA"/>
              </w:rPr>
              <w:t xml:space="preserve"> Ecuador</w:t>
            </w:r>
          </w:p>
        </w:tc>
      </w:tr>
      <w:tr w:rsidR="003B25C9" w:rsidRPr="00906AA3" w14:paraId="20048E2C" w14:textId="66723F0F" w:rsidTr="003B25C9">
        <w:tc>
          <w:tcPr>
            <w:tcW w:w="1951" w:type="pct"/>
            <w:shd w:val="clear" w:color="auto" w:fill="auto"/>
          </w:tcPr>
          <w:p w14:paraId="13182307" w14:textId="2A94B7D2" w:rsidR="003B25C9" w:rsidRPr="00790F7A" w:rsidRDefault="00CA68E7" w:rsidP="005C31B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PA"/>
              </w:rPr>
            </w:pPr>
            <w:r w:rsidRPr="00790F7A">
              <w:rPr>
                <w:rFonts w:ascii="Arial" w:hAnsi="Arial" w:cs="Arial"/>
                <w:b/>
                <w:sz w:val="20"/>
                <w:szCs w:val="20"/>
                <w:lang w:val="es-PA"/>
              </w:rPr>
              <w:t>Agencia Ejecutora:</w:t>
            </w:r>
          </w:p>
        </w:tc>
        <w:tc>
          <w:tcPr>
            <w:tcW w:w="3049" w:type="pct"/>
          </w:tcPr>
          <w:p w14:paraId="47EA18FC" w14:textId="6F2D7B90" w:rsidR="003B25C9" w:rsidRPr="00AF7012" w:rsidRDefault="006E298B" w:rsidP="005C31B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P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PA"/>
              </w:rPr>
              <w:t>Innovasol</w:t>
            </w:r>
            <w:r w:rsidR="007E68E9" w:rsidRPr="007E68E9">
              <w:rPr>
                <w:rFonts w:ascii="Arial" w:hAnsi="Arial" w:cs="Arial"/>
                <w:bCs/>
                <w:sz w:val="20"/>
                <w:szCs w:val="20"/>
                <w:lang w:val="es-PA"/>
              </w:rPr>
              <w:t xml:space="preserve"> Servicios en Energías Alternativas S.A.</w:t>
            </w:r>
          </w:p>
        </w:tc>
      </w:tr>
      <w:tr w:rsidR="003B25C9" w:rsidRPr="00E85024" w14:paraId="45ED8104" w14:textId="6302F6B4" w:rsidTr="003B25C9">
        <w:tc>
          <w:tcPr>
            <w:tcW w:w="1951" w:type="pct"/>
            <w:shd w:val="clear" w:color="auto" w:fill="auto"/>
          </w:tcPr>
          <w:p w14:paraId="69CF0486" w14:textId="4E9F983B" w:rsidR="003B25C9" w:rsidRPr="00790F7A" w:rsidRDefault="00790F7A" w:rsidP="00152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P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A"/>
              </w:rPr>
              <w:t>Tipo de Operación</w:t>
            </w:r>
            <w:r w:rsidR="007E68E9">
              <w:rPr>
                <w:rFonts w:ascii="Arial" w:hAnsi="Arial" w:cs="Arial"/>
                <w:b/>
                <w:sz w:val="20"/>
                <w:szCs w:val="20"/>
                <w:lang w:val="es-PA"/>
              </w:rPr>
              <w:t>:</w:t>
            </w:r>
          </w:p>
        </w:tc>
        <w:tc>
          <w:tcPr>
            <w:tcW w:w="3049" w:type="pct"/>
          </w:tcPr>
          <w:p w14:paraId="03BF4371" w14:textId="6166BF8F" w:rsidR="003B25C9" w:rsidRPr="00AF7012" w:rsidRDefault="007E68E9" w:rsidP="001529D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P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PA"/>
              </w:rPr>
              <w:t>Préstamo</w:t>
            </w:r>
          </w:p>
        </w:tc>
      </w:tr>
      <w:tr w:rsidR="003B25C9" w:rsidRPr="00790F7A" w14:paraId="6B2071CC" w14:textId="40706B06" w:rsidTr="003B25C9">
        <w:tc>
          <w:tcPr>
            <w:tcW w:w="1951" w:type="pct"/>
            <w:shd w:val="clear" w:color="auto" w:fill="auto"/>
          </w:tcPr>
          <w:p w14:paraId="437B455A" w14:textId="34E6A95D" w:rsidR="003B25C9" w:rsidRPr="00790F7A" w:rsidRDefault="00A053E7" w:rsidP="00262B4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PA"/>
              </w:rPr>
            </w:pPr>
            <w:r w:rsidRPr="00790F7A">
              <w:rPr>
                <w:rFonts w:ascii="Arial" w:hAnsi="Arial" w:cs="Arial"/>
                <w:b/>
                <w:sz w:val="20"/>
                <w:szCs w:val="20"/>
                <w:lang w:val="es-PA"/>
              </w:rPr>
              <w:t>Fecha de Publicación</w:t>
            </w:r>
            <w:r w:rsidR="003B25C9" w:rsidRPr="00790F7A">
              <w:rPr>
                <w:rFonts w:ascii="Arial" w:hAnsi="Arial" w:cs="Arial"/>
                <w:b/>
                <w:sz w:val="20"/>
                <w:szCs w:val="20"/>
                <w:lang w:val="es-PA"/>
              </w:rPr>
              <w:t>:</w:t>
            </w:r>
          </w:p>
        </w:tc>
        <w:tc>
          <w:tcPr>
            <w:tcW w:w="3049" w:type="pct"/>
          </w:tcPr>
          <w:p w14:paraId="33C6AB9C" w14:textId="11ED7DA6" w:rsidR="003B25C9" w:rsidRPr="00AF7012" w:rsidRDefault="000D1BAF" w:rsidP="00262B4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P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PA"/>
              </w:rPr>
              <w:t>Noviembre</w:t>
            </w:r>
            <w:r w:rsidR="007E68E9">
              <w:rPr>
                <w:rFonts w:ascii="Arial" w:hAnsi="Arial" w:cs="Arial"/>
                <w:bCs/>
                <w:sz w:val="20"/>
                <w:szCs w:val="20"/>
                <w:lang w:val="es-PA"/>
              </w:rPr>
              <w:t>, 2022</w:t>
            </w:r>
          </w:p>
        </w:tc>
      </w:tr>
    </w:tbl>
    <w:p w14:paraId="56BA92B9" w14:textId="6BE07BE9" w:rsidR="00FA3747" w:rsidRPr="002746F5" w:rsidRDefault="002746F5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s-419"/>
        </w:rPr>
      </w:pPr>
      <w:r w:rsidRPr="002746F5">
        <w:rPr>
          <w:b/>
          <w:bCs/>
          <w:sz w:val="22"/>
          <w:szCs w:val="22"/>
          <w:lang w:val="es-419"/>
        </w:rPr>
        <w:t>Información general del proyecto y descripción general del alcance de la revisión de BID Lab</w:t>
      </w:r>
    </w:p>
    <w:p w14:paraId="560AFE19" w14:textId="647516A7" w:rsidR="00557DF3" w:rsidRDefault="00B25EC2" w:rsidP="000F58D1">
      <w:pPr>
        <w:jc w:val="both"/>
        <w:rPr>
          <w:rFonts w:ascii="Arial" w:hAnsi="Arial" w:cs="Arial"/>
          <w:bCs/>
          <w:iCs/>
          <w:lang w:val="es-419"/>
        </w:rPr>
      </w:pPr>
      <w:r>
        <w:rPr>
          <w:rFonts w:ascii="Arial" w:hAnsi="Arial" w:cs="Arial"/>
          <w:bCs/>
          <w:iCs/>
          <w:lang w:val="es-419"/>
        </w:rPr>
        <w:t xml:space="preserve">La transacción consiste en un préstamo en favor de </w:t>
      </w:r>
      <w:r w:rsidR="006E298B">
        <w:rPr>
          <w:rFonts w:ascii="Arial" w:hAnsi="Arial" w:cs="Arial"/>
          <w:bCs/>
          <w:iCs/>
          <w:lang w:val="es-419"/>
        </w:rPr>
        <w:t>Innovasol</w:t>
      </w:r>
      <w:r w:rsidRPr="00B25EC2">
        <w:rPr>
          <w:rFonts w:ascii="Arial" w:hAnsi="Arial" w:cs="Arial"/>
          <w:bCs/>
          <w:iCs/>
          <w:lang w:val="es-419"/>
        </w:rPr>
        <w:t xml:space="preserve"> Servicios en Energías </w:t>
      </w:r>
      <w:r w:rsidRPr="00B25EC2">
        <w:rPr>
          <w:rFonts w:ascii="Arial" w:hAnsi="Arial" w:cs="Arial"/>
          <w:bCs/>
          <w:iCs/>
          <w:lang w:val="es-419"/>
        </w:rPr>
        <w:t>Alternativas S.A.</w:t>
      </w:r>
      <w:r>
        <w:rPr>
          <w:rFonts w:ascii="Arial" w:hAnsi="Arial" w:cs="Arial"/>
          <w:bCs/>
          <w:iCs/>
          <w:lang w:val="es-419"/>
        </w:rPr>
        <w:t xml:space="preserve"> (“Innovasol” o la “Empresa”) </w:t>
      </w:r>
      <w:r w:rsidR="00906AA3">
        <w:rPr>
          <w:rFonts w:ascii="Arial" w:hAnsi="Arial" w:cs="Arial"/>
          <w:bCs/>
          <w:iCs/>
          <w:lang w:val="es-419"/>
        </w:rPr>
        <w:t xml:space="preserve">para </w:t>
      </w:r>
      <w:r w:rsidR="000F58D1" w:rsidRPr="000F58D1">
        <w:rPr>
          <w:rFonts w:ascii="Arial" w:hAnsi="Arial" w:cs="Arial"/>
          <w:bCs/>
          <w:iCs/>
          <w:lang w:val="es-419"/>
        </w:rPr>
        <w:t xml:space="preserve">financiar </w:t>
      </w:r>
      <w:r w:rsidR="000F58D1">
        <w:rPr>
          <w:rFonts w:ascii="Arial" w:hAnsi="Arial" w:cs="Arial"/>
          <w:bCs/>
          <w:iCs/>
          <w:lang w:val="es-419"/>
        </w:rPr>
        <w:t xml:space="preserve">las </w:t>
      </w:r>
      <w:r w:rsidR="000F58D1" w:rsidRPr="000F58D1">
        <w:rPr>
          <w:rFonts w:ascii="Arial" w:hAnsi="Arial" w:cs="Arial"/>
          <w:bCs/>
          <w:iCs/>
          <w:lang w:val="es-419"/>
        </w:rPr>
        <w:t>operaciones de</w:t>
      </w:r>
      <w:r w:rsidR="000F58D1">
        <w:rPr>
          <w:rFonts w:ascii="Arial" w:hAnsi="Arial" w:cs="Arial"/>
          <w:bCs/>
          <w:iCs/>
          <w:lang w:val="es-419"/>
        </w:rPr>
        <w:t xml:space="preserve"> </w:t>
      </w:r>
      <w:proofErr w:type="spellStart"/>
      <w:r w:rsidR="006E298B">
        <w:rPr>
          <w:rFonts w:ascii="Arial" w:hAnsi="Arial" w:cs="Arial"/>
          <w:bCs/>
          <w:iCs/>
          <w:lang w:val="es-419"/>
        </w:rPr>
        <w:t>Innovasol</w:t>
      </w:r>
      <w:proofErr w:type="spellEnd"/>
      <w:r w:rsidR="000F58D1" w:rsidRPr="000F58D1">
        <w:rPr>
          <w:rFonts w:ascii="Arial" w:hAnsi="Arial" w:cs="Arial"/>
          <w:bCs/>
          <w:iCs/>
          <w:lang w:val="es-419"/>
        </w:rPr>
        <w:t xml:space="preserve"> en Bolivia </w:t>
      </w:r>
      <w:r w:rsidR="003C6670" w:rsidRPr="000F58D1">
        <w:rPr>
          <w:rFonts w:ascii="Arial" w:hAnsi="Arial" w:cs="Arial"/>
          <w:bCs/>
          <w:iCs/>
          <w:lang w:val="es-419"/>
        </w:rPr>
        <w:t xml:space="preserve">y </w:t>
      </w:r>
      <w:r w:rsidR="003C6670">
        <w:rPr>
          <w:rFonts w:ascii="Arial" w:hAnsi="Arial" w:cs="Arial"/>
          <w:bCs/>
          <w:iCs/>
          <w:lang w:val="es-419"/>
        </w:rPr>
        <w:t>con</w:t>
      </w:r>
      <w:r w:rsidR="00EB4F1D">
        <w:rPr>
          <w:rFonts w:ascii="Arial" w:hAnsi="Arial" w:cs="Arial"/>
          <w:bCs/>
          <w:iCs/>
          <w:lang w:val="es-419"/>
        </w:rPr>
        <w:t xml:space="preserve"> la posibilidad de expandirse a otros países latinoamericanos como Ecuador y Chile</w:t>
      </w:r>
      <w:r w:rsidR="000F58D1" w:rsidRPr="000F58D1">
        <w:rPr>
          <w:rFonts w:ascii="Arial" w:hAnsi="Arial" w:cs="Arial"/>
          <w:bCs/>
          <w:iCs/>
          <w:lang w:val="es-419"/>
        </w:rPr>
        <w:t>.</w:t>
      </w:r>
      <w:r w:rsidR="003971B1">
        <w:rPr>
          <w:rFonts w:ascii="Arial" w:hAnsi="Arial" w:cs="Arial"/>
          <w:bCs/>
          <w:iCs/>
          <w:lang w:val="es-419"/>
        </w:rPr>
        <w:t xml:space="preserve"> Innovasol es</w:t>
      </w:r>
      <w:r w:rsidR="00C501F3">
        <w:rPr>
          <w:rFonts w:ascii="Arial" w:hAnsi="Arial" w:cs="Arial"/>
          <w:bCs/>
          <w:iCs/>
          <w:lang w:val="es-419"/>
        </w:rPr>
        <w:t xml:space="preserve"> una empresa </w:t>
      </w:r>
      <w:r w:rsidR="00F4472A">
        <w:rPr>
          <w:rFonts w:ascii="Arial" w:hAnsi="Arial" w:cs="Arial"/>
          <w:bCs/>
          <w:iCs/>
          <w:lang w:val="es-419"/>
        </w:rPr>
        <w:t xml:space="preserve">fundada en 2019 </w:t>
      </w:r>
      <w:r w:rsidR="00C501F3">
        <w:rPr>
          <w:rFonts w:ascii="Arial" w:hAnsi="Arial" w:cs="Arial"/>
          <w:bCs/>
          <w:iCs/>
          <w:lang w:val="es-419"/>
        </w:rPr>
        <w:t>que se dedica a la compra y arrendamiento de sistemas solares fotovoltaicos a</w:t>
      </w:r>
      <w:r w:rsidR="00270DDB">
        <w:rPr>
          <w:rFonts w:ascii="Arial" w:hAnsi="Arial" w:cs="Arial"/>
          <w:bCs/>
          <w:iCs/>
          <w:lang w:val="es-419"/>
        </w:rPr>
        <w:t xml:space="preserve"> comercios y clientes individuales.</w:t>
      </w:r>
    </w:p>
    <w:p w14:paraId="1097B14F" w14:textId="4DD08D9C" w:rsidR="00B25EC2" w:rsidRDefault="00557DF3" w:rsidP="000F58D1">
      <w:pPr>
        <w:jc w:val="both"/>
        <w:rPr>
          <w:rFonts w:ascii="Arial" w:hAnsi="Arial" w:cs="Arial"/>
          <w:bCs/>
          <w:iCs/>
          <w:lang w:val="es-419"/>
        </w:rPr>
      </w:pPr>
      <w:r>
        <w:rPr>
          <w:rFonts w:ascii="Arial" w:hAnsi="Arial" w:cs="Arial"/>
          <w:bCs/>
          <w:iCs/>
          <w:lang w:val="es-419"/>
        </w:rPr>
        <w:t xml:space="preserve">La Debida Diligencia Ambiental y Social consistió en la revisión de documentación enviada por la Agencia Ejecutora, así como varias reuniones con el equipo gerencial de Innovasol, clientes y contratistas de obra. </w:t>
      </w:r>
      <w:r w:rsidR="00270DDB">
        <w:rPr>
          <w:rFonts w:ascii="Arial" w:hAnsi="Arial" w:cs="Arial"/>
          <w:bCs/>
          <w:iCs/>
          <w:lang w:val="es-419"/>
        </w:rPr>
        <w:t xml:space="preserve"> </w:t>
      </w:r>
    </w:p>
    <w:p w14:paraId="447714ED" w14:textId="57DC9F9F" w:rsidR="00FA3747" w:rsidRPr="00A532D1" w:rsidRDefault="00A532D1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s-419"/>
        </w:rPr>
      </w:pPr>
      <w:r w:rsidRPr="00A532D1">
        <w:rPr>
          <w:b/>
          <w:bCs/>
          <w:sz w:val="22"/>
          <w:szCs w:val="22"/>
          <w:lang w:val="es-419"/>
        </w:rPr>
        <w:t>Categorización ambiental y social y justificación</w:t>
      </w:r>
    </w:p>
    <w:p w14:paraId="1C28C6D8" w14:textId="55DC6E31" w:rsidR="00134F77" w:rsidRPr="006E298B" w:rsidRDefault="00134F77" w:rsidP="006E298B">
      <w:pPr>
        <w:jc w:val="both"/>
        <w:rPr>
          <w:rFonts w:ascii="Arial" w:hAnsi="Arial" w:cs="Arial"/>
          <w:bCs/>
          <w:iCs/>
          <w:lang w:val="es-419"/>
        </w:rPr>
      </w:pPr>
      <w:r w:rsidRPr="006E298B">
        <w:rPr>
          <w:rFonts w:ascii="Arial" w:hAnsi="Arial" w:cs="Arial"/>
          <w:bCs/>
          <w:iCs/>
          <w:lang w:val="es-419"/>
        </w:rPr>
        <w:t xml:space="preserve">De conformidad con el Marco de Política Ambiental y Social del BID, la Transacción ha sido clasificada en la Categoría B debido a que podría tener impactos ambientales y sociales moderados y mitigables, los que incluyen: </w:t>
      </w:r>
      <w:r w:rsidR="006E298B">
        <w:rPr>
          <w:rFonts w:ascii="Arial" w:hAnsi="Arial" w:cs="Arial"/>
          <w:bCs/>
          <w:iCs/>
          <w:lang w:val="es-419"/>
        </w:rPr>
        <w:t>(</w:t>
      </w:r>
      <w:r w:rsidRPr="006E298B">
        <w:rPr>
          <w:rFonts w:ascii="Arial" w:hAnsi="Arial" w:cs="Arial"/>
          <w:bCs/>
          <w:iCs/>
          <w:lang w:val="es-419"/>
        </w:rPr>
        <w:t xml:space="preserve">i) riesgos asociados con las condiciones laborales, salud y seguridad ocupacional (“SSO”) de los trabajadores de contratistas; </w:t>
      </w:r>
      <w:r w:rsidR="006E298B">
        <w:rPr>
          <w:rFonts w:ascii="Arial" w:hAnsi="Arial" w:cs="Arial"/>
          <w:bCs/>
          <w:iCs/>
          <w:lang w:val="es-419"/>
        </w:rPr>
        <w:t>(</w:t>
      </w:r>
      <w:proofErr w:type="spellStart"/>
      <w:r w:rsidRPr="006E298B">
        <w:rPr>
          <w:rFonts w:ascii="Arial" w:hAnsi="Arial" w:cs="Arial"/>
          <w:bCs/>
          <w:iCs/>
          <w:lang w:val="es-419"/>
        </w:rPr>
        <w:t>ii</w:t>
      </w:r>
      <w:proofErr w:type="spellEnd"/>
      <w:r w:rsidRPr="006E298B">
        <w:rPr>
          <w:rFonts w:ascii="Arial" w:hAnsi="Arial" w:cs="Arial"/>
          <w:bCs/>
          <w:iCs/>
          <w:lang w:val="es-419"/>
        </w:rPr>
        <w:t>) generación de desechos sólidos;</w:t>
      </w:r>
      <w:r w:rsidR="005C3420" w:rsidRPr="006E298B">
        <w:rPr>
          <w:rFonts w:ascii="Arial" w:hAnsi="Arial" w:cs="Arial"/>
          <w:bCs/>
          <w:iCs/>
          <w:lang w:val="es-419"/>
        </w:rPr>
        <w:t xml:space="preserve"> y</w:t>
      </w:r>
      <w:r w:rsidRPr="006E298B">
        <w:rPr>
          <w:rFonts w:ascii="Arial" w:hAnsi="Arial" w:cs="Arial"/>
          <w:bCs/>
          <w:iCs/>
          <w:lang w:val="es-419"/>
        </w:rPr>
        <w:t xml:space="preserve"> </w:t>
      </w:r>
      <w:r w:rsidR="006E298B">
        <w:rPr>
          <w:rFonts w:ascii="Arial" w:hAnsi="Arial" w:cs="Arial"/>
          <w:bCs/>
          <w:iCs/>
          <w:lang w:val="es-419"/>
        </w:rPr>
        <w:t>(</w:t>
      </w:r>
      <w:proofErr w:type="spellStart"/>
      <w:r w:rsidRPr="006E298B">
        <w:rPr>
          <w:rFonts w:ascii="Arial" w:hAnsi="Arial" w:cs="Arial"/>
          <w:bCs/>
          <w:iCs/>
          <w:lang w:val="es-419"/>
        </w:rPr>
        <w:t>iii</w:t>
      </w:r>
      <w:proofErr w:type="spellEnd"/>
      <w:r w:rsidRPr="006E298B">
        <w:rPr>
          <w:rFonts w:ascii="Arial" w:hAnsi="Arial" w:cs="Arial"/>
          <w:bCs/>
          <w:iCs/>
          <w:lang w:val="es-419"/>
        </w:rPr>
        <w:t xml:space="preserve">) sostenibilidad de la cadena de suministro. Estos </w:t>
      </w:r>
      <w:r w:rsidR="00AA301C" w:rsidRPr="006E298B">
        <w:rPr>
          <w:rFonts w:ascii="Arial" w:hAnsi="Arial" w:cs="Arial"/>
          <w:bCs/>
          <w:iCs/>
          <w:lang w:val="es-419"/>
        </w:rPr>
        <w:t>riesgos e impactos</w:t>
      </w:r>
      <w:r w:rsidRPr="006E298B">
        <w:rPr>
          <w:rFonts w:ascii="Arial" w:hAnsi="Arial" w:cs="Arial"/>
          <w:bCs/>
          <w:iCs/>
          <w:lang w:val="es-419"/>
        </w:rPr>
        <w:t xml:space="preserve"> se estiman sean de</w:t>
      </w:r>
      <w:r w:rsidR="005C3420" w:rsidRPr="006E298B">
        <w:rPr>
          <w:rFonts w:ascii="Arial" w:hAnsi="Arial" w:cs="Arial"/>
          <w:bCs/>
          <w:iCs/>
          <w:lang w:val="es-419"/>
        </w:rPr>
        <w:t xml:space="preserve"> baja a</w:t>
      </w:r>
      <w:r w:rsidRPr="006E298B">
        <w:rPr>
          <w:rFonts w:ascii="Arial" w:hAnsi="Arial" w:cs="Arial"/>
          <w:bCs/>
          <w:iCs/>
          <w:lang w:val="es-419"/>
        </w:rPr>
        <w:t xml:space="preserve"> mediana intensidad.</w:t>
      </w:r>
    </w:p>
    <w:p w14:paraId="690493D2" w14:textId="6CAEB605" w:rsidR="00134F77" w:rsidRDefault="00F53483" w:rsidP="006E298B">
      <w:pPr>
        <w:jc w:val="both"/>
        <w:rPr>
          <w:rFonts w:ascii="Arial" w:hAnsi="Arial" w:cs="Arial"/>
          <w:bCs/>
          <w:iCs/>
          <w:lang w:val="es-419"/>
        </w:rPr>
      </w:pPr>
      <w:r w:rsidRPr="006E298B">
        <w:rPr>
          <w:rFonts w:ascii="Arial" w:hAnsi="Arial" w:cs="Arial"/>
          <w:bCs/>
          <w:iCs/>
          <w:lang w:val="es-419"/>
        </w:rPr>
        <w:t>Los Estándares de Desempeño Ambiental y Social (“</w:t>
      </w:r>
      <w:proofErr w:type="spellStart"/>
      <w:r w:rsidRPr="006E298B">
        <w:rPr>
          <w:rFonts w:ascii="Arial" w:hAnsi="Arial" w:cs="Arial"/>
          <w:bCs/>
          <w:iCs/>
          <w:lang w:val="es-419"/>
        </w:rPr>
        <w:t>AyS</w:t>
      </w:r>
      <w:proofErr w:type="spellEnd"/>
      <w:r w:rsidRPr="006E298B">
        <w:rPr>
          <w:rFonts w:ascii="Arial" w:hAnsi="Arial" w:cs="Arial"/>
          <w:bCs/>
          <w:iCs/>
          <w:lang w:val="es-419"/>
        </w:rPr>
        <w:t xml:space="preserve">”) activados por la transacción son i) ND1: Evaluación y gestión de los riesgos e impactos ambientales y sociales; </w:t>
      </w:r>
      <w:proofErr w:type="spellStart"/>
      <w:r w:rsidRPr="006E298B">
        <w:rPr>
          <w:rFonts w:ascii="Arial" w:hAnsi="Arial" w:cs="Arial"/>
          <w:bCs/>
          <w:iCs/>
          <w:lang w:val="es-419"/>
        </w:rPr>
        <w:t>ii</w:t>
      </w:r>
      <w:proofErr w:type="spellEnd"/>
      <w:r w:rsidRPr="006E298B">
        <w:rPr>
          <w:rFonts w:ascii="Arial" w:hAnsi="Arial" w:cs="Arial"/>
          <w:bCs/>
          <w:iCs/>
          <w:lang w:val="es-419"/>
        </w:rPr>
        <w:t>) ND2: Trabajo y condiciones laborales;</w:t>
      </w:r>
      <w:r w:rsidR="00147C06" w:rsidRPr="006E298B">
        <w:rPr>
          <w:rFonts w:ascii="Arial" w:hAnsi="Arial" w:cs="Arial"/>
          <w:bCs/>
          <w:iCs/>
          <w:lang w:val="es-419"/>
        </w:rPr>
        <w:t xml:space="preserve"> y</w:t>
      </w:r>
      <w:r w:rsidRPr="006E298B">
        <w:rPr>
          <w:rFonts w:ascii="Arial" w:hAnsi="Arial" w:cs="Arial"/>
          <w:bCs/>
          <w:iCs/>
          <w:lang w:val="es-419"/>
        </w:rPr>
        <w:t xml:space="preserve"> </w:t>
      </w:r>
      <w:proofErr w:type="spellStart"/>
      <w:r w:rsidRPr="006E298B">
        <w:rPr>
          <w:rFonts w:ascii="Arial" w:hAnsi="Arial" w:cs="Arial"/>
          <w:bCs/>
          <w:iCs/>
          <w:lang w:val="es-419"/>
        </w:rPr>
        <w:t>iii</w:t>
      </w:r>
      <w:proofErr w:type="spellEnd"/>
      <w:r w:rsidRPr="006E298B">
        <w:rPr>
          <w:rFonts w:ascii="Arial" w:hAnsi="Arial" w:cs="Arial"/>
          <w:bCs/>
          <w:iCs/>
          <w:lang w:val="es-419"/>
        </w:rPr>
        <w:t>) ND3: Eficiencia del uso de los recursos y prevención de la contaminació</w:t>
      </w:r>
      <w:r w:rsidR="00147C06" w:rsidRPr="006E298B">
        <w:rPr>
          <w:rFonts w:ascii="Arial" w:hAnsi="Arial" w:cs="Arial"/>
          <w:bCs/>
          <w:iCs/>
          <w:lang w:val="es-419"/>
        </w:rPr>
        <w:t>n.</w:t>
      </w:r>
    </w:p>
    <w:p w14:paraId="0589BDA7" w14:textId="2217DB32" w:rsidR="00BC44DB" w:rsidRDefault="00BC44DB" w:rsidP="006E298B">
      <w:pPr>
        <w:jc w:val="both"/>
        <w:rPr>
          <w:rFonts w:ascii="Arial" w:hAnsi="Arial" w:cs="Arial"/>
          <w:bCs/>
          <w:iCs/>
          <w:lang w:val="es-419"/>
        </w:rPr>
      </w:pPr>
    </w:p>
    <w:p w14:paraId="0840E163" w14:textId="77777777" w:rsidR="00BC44DB" w:rsidRPr="006E298B" w:rsidRDefault="00BC44DB" w:rsidP="006E298B">
      <w:pPr>
        <w:jc w:val="both"/>
        <w:rPr>
          <w:rFonts w:ascii="Arial" w:hAnsi="Arial" w:cs="Arial"/>
          <w:bCs/>
          <w:iCs/>
          <w:lang w:val="es-419"/>
        </w:rPr>
      </w:pPr>
    </w:p>
    <w:p w14:paraId="1A55ED98" w14:textId="77777777" w:rsidR="00E45FBE" w:rsidRDefault="00E45FBE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s-419"/>
        </w:rPr>
      </w:pPr>
      <w:r w:rsidRPr="00E45FBE">
        <w:rPr>
          <w:b/>
          <w:bCs/>
          <w:sz w:val="22"/>
          <w:szCs w:val="22"/>
          <w:lang w:val="es-419"/>
        </w:rPr>
        <w:lastRenderedPageBreak/>
        <w:t>Cumplimiento de las leyes y permisos nacionales ambientales y sociales</w:t>
      </w:r>
    </w:p>
    <w:p w14:paraId="535830A7" w14:textId="37BE74EF" w:rsidR="001F6284" w:rsidRPr="00E45FBE" w:rsidRDefault="00BC44DB" w:rsidP="001F6284">
      <w:pPr>
        <w:pStyle w:val="Estilo1"/>
        <w:spacing w:before="120" w:after="120"/>
        <w:rPr>
          <w:rFonts w:eastAsia="Times New Roman"/>
          <w:bCs/>
          <w:i/>
          <w:spacing w:val="0"/>
          <w:kern w:val="0"/>
          <w:sz w:val="22"/>
          <w:szCs w:val="22"/>
          <w:lang w:val="es-419"/>
        </w:rPr>
      </w:pPr>
      <w:r>
        <w:rPr>
          <w:rFonts w:eastAsia="Times New Roman"/>
          <w:bCs/>
          <w:iCs/>
          <w:spacing w:val="0"/>
          <w:kern w:val="0"/>
          <w:sz w:val="22"/>
          <w:szCs w:val="22"/>
          <w:lang w:val="es-419"/>
        </w:rPr>
        <w:t xml:space="preserve">En la actualidad la </w:t>
      </w:r>
      <w:r w:rsidR="00865680">
        <w:rPr>
          <w:rFonts w:eastAsia="Times New Roman"/>
          <w:bCs/>
          <w:iCs/>
          <w:spacing w:val="0"/>
          <w:kern w:val="0"/>
          <w:sz w:val="22"/>
          <w:szCs w:val="22"/>
          <w:lang w:val="es-419"/>
        </w:rPr>
        <w:t>instalació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s-419"/>
        </w:rPr>
        <w:t>n de</w:t>
      </w:r>
      <w:r w:rsidR="00865680">
        <w:rPr>
          <w:rFonts w:eastAsia="Times New Roman"/>
          <w:bCs/>
          <w:iCs/>
          <w:spacing w:val="0"/>
          <w:kern w:val="0"/>
          <w:sz w:val="22"/>
          <w:szCs w:val="22"/>
          <w:lang w:val="es-419"/>
        </w:rPr>
        <w:t xml:space="preserve"> sistemas solares fotovoltaicos para autoconsumo no requiere de</w:t>
      </w:r>
      <w:r w:rsidR="001F6284">
        <w:rPr>
          <w:rFonts w:eastAsia="Times New Roman"/>
          <w:bCs/>
          <w:iCs/>
          <w:spacing w:val="0"/>
          <w:kern w:val="0"/>
          <w:sz w:val="22"/>
          <w:szCs w:val="22"/>
          <w:lang w:val="es-419"/>
        </w:rPr>
        <w:t xml:space="preserve"> permisos ni licencias ambientales en los países en donde </w:t>
      </w:r>
      <w:proofErr w:type="spellStart"/>
      <w:r w:rsidR="001F6284">
        <w:rPr>
          <w:rFonts w:eastAsia="Times New Roman"/>
          <w:bCs/>
          <w:iCs/>
          <w:spacing w:val="0"/>
          <w:kern w:val="0"/>
          <w:sz w:val="22"/>
          <w:szCs w:val="22"/>
          <w:lang w:val="es-419"/>
        </w:rPr>
        <w:t>Innovasol</w:t>
      </w:r>
      <w:proofErr w:type="spellEnd"/>
      <w:r w:rsidR="001F6284">
        <w:rPr>
          <w:rFonts w:eastAsia="Times New Roman"/>
          <w:bCs/>
          <w:iCs/>
          <w:spacing w:val="0"/>
          <w:kern w:val="0"/>
          <w:sz w:val="22"/>
          <w:szCs w:val="22"/>
          <w:lang w:val="es-419"/>
        </w:rPr>
        <w:t xml:space="preserve"> opera.  </w:t>
      </w:r>
    </w:p>
    <w:p w14:paraId="51052127" w14:textId="63D406EC" w:rsidR="00FA3747" w:rsidRPr="00E45FBE" w:rsidRDefault="00FA3747" w:rsidP="00EB4F1D">
      <w:pPr>
        <w:pStyle w:val="Estilo1"/>
        <w:spacing w:before="120" w:after="120"/>
        <w:contextualSpacing w:val="0"/>
        <w:rPr>
          <w:rFonts w:eastAsia="Times New Roman"/>
          <w:bCs/>
          <w:i/>
          <w:spacing w:val="0"/>
          <w:kern w:val="0"/>
          <w:sz w:val="22"/>
          <w:szCs w:val="22"/>
          <w:lang w:val="es-419"/>
        </w:rPr>
      </w:pPr>
    </w:p>
    <w:p w14:paraId="4CD5C004" w14:textId="543D3D25" w:rsidR="00FA3747" w:rsidRPr="00356592" w:rsidRDefault="00E45FBE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s-419"/>
        </w:rPr>
        <w:t xml:space="preserve">Contexto Ambiental y Social </w:t>
      </w:r>
    </w:p>
    <w:p w14:paraId="0B6736AA" w14:textId="0DE69DC4" w:rsidR="004079DE" w:rsidRPr="006E298B" w:rsidRDefault="00356592" w:rsidP="006E298B">
      <w:pPr>
        <w:jc w:val="both"/>
        <w:rPr>
          <w:rFonts w:ascii="Arial" w:hAnsi="Arial" w:cs="Arial"/>
          <w:bCs/>
          <w:iCs/>
          <w:lang w:val="es-419"/>
        </w:rPr>
      </w:pPr>
      <w:r w:rsidRPr="006E298B">
        <w:rPr>
          <w:rFonts w:ascii="Arial" w:hAnsi="Arial" w:cs="Arial"/>
          <w:bCs/>
          <w:iCs/>
          <w:lang w:val="es-419"/>
        </w:rPr>
        <w:t xml:space="preserve">El modelo de negocio de Innovasol consiste en adquirir paneles solares de </w:t>
      </w:r>
      <w:r w:rsidR="00D95621">
        <w:rPr>
          <w:rFonts w:ascii="Arial" w:hAnsi="Arial" w:cs="Arial"/>
          <w:bCs/>
          <w:iCs/>
          <w:lang w:val="es-419"/>
        </w:rPr>
        <w:t>proveedores</w:t>
      </w:r>
      <w:r w:rsidR="00EB4F1D">
        <w:rPr>
          <w:rFonts w:ascii="Arial" w:hAnsi="Arial" w:cs="Arial"/>
          <w:bCs/>
          <w:iCs/>
          <w:lang w:val="es-419"/>
        </w:rPr>
        <w:t xml:space="preserve"> </w:t>
      </w:r>
      <w:proofErr w:type="spellStart"/>
      <w:r w:rsidR="00EB4F1D">
        <w:rPr>
          <w:rFonts w:ascii="Arial" w:hAnsi="Arial" w:cs="Arial"/>
          <w:bCs/>
          <w:iCs/>
          <w:lang w:val="es-419"/>
        </w:rPr>
        <w:t>Tier</w:t>
      </w:r>
      <w:proofErr w:type="spellEnd"/>
      <w:r w:rsidR="00EB4F1D">
        <w:rPr>
          <w:rFonts w:ascii="Arial" w:hAnsi="Arial" w:cs="Arial"/>
          <w:bCs/>
          <w:iCs/>
          <w:lang w:val="es-419"/>
        </w:rPr>
        <w:t xml:space="preserve"> 1</w:t>
      </w:r>
      <w:r w:rsidR="00EB4F1D" w:rsidRPr="006E298B">
        <w:rPr>
          <w:rFonts w:ascii="Arial" w:hAnsi="Arial" w:cs="Arial"/>
          <w:bCs/>
          <w:iCs/>
          <w:lang w:val="es-419"/>
        </w:rPr>
        <w:t xml:space="preserve"> </w:t>
      </w:r>
      <w:r w:rsidR="00B25717" w:rsidRPr="006E298B">
        <w:rPr>
          <w:rFonts w:ascii="Arial" w:hAnsi="Arial" w:cs="Arial"/>
          <w:bCs/>
          <w:iCs/>
          <w:lang w:val="es-419"/>
        </w:rPr>
        <w:t xml:space="preserve">y ofrecerlas a comercios e individuos mediante contratos de alquiler de </w:t>
      </w:r>
      <w:r w:rsidR="00FE1778">
        <w:rPr>
          <w:rFonts w:ascii="Arial" w:hAnsi="Arial" w:cs="Arial"/>
          <w:bCs/>
          <w:iCs/>
          <w:lang w:val="es-419"/>
        </w:rPr>
        <w:t>largo</w:t>
      </w:r>
      <w:r w:rsidR="00B25717" w:rsidRPr="006E298B">
        <w:rPr>
          <w:rFonts w:ascii="Arial" w:hAnsi="Arial" w:cs="Arial"/>
          <w:bCs/>
          <w:iCs/>
          <w:lang w:val="es-419"/>
        </w:rPr>
        <w:t xml:space="preserve"> plazo. </w:t>
      </w:r>
      <w:r w:rsidR="008828F6" w:rsidRPr="006E298B">
        <w:rPr>
          <w:rFonts w:ascii="Arial" w:hAnsi="Arial" w:cs="Arial"/>
          <w:bCs/>
          <w:iCs/>
          <w:lang w:val="es-419"/>
        </w:rPr>
        <w:t>Los sistemas solares son instalados por empresas especializadas contratadas por Innovasol. A</w:t>
      </w:r>
      <w:r w:rsidR="004079DE" w:rsidRPr="006E298B">
        <w:rPr>
          <w:rFonts w:ascii="Arial" w:hAnsi="Arial" w:cs="Arial"/>
          <w:bCs/>
          <w:iCs/>
          <w:lang w:val="es-419"/>
        </w:rPr>
        <w:t xml:space="preserve"> la fecha, </w:t>
      </w:r>
      <w:r w:rsidR="004079DE" w:rsidRPr="006E298B">
        <w:rPr>
          <w:rFonts w:ascii="Arial" w:hAnsi="Arial" w:cs="Arial"/>
          <w:bCs/>
          <w:iCs/>
          <w:lang w:val="es-419"/>
        </w:rPr>
        <w:t>la Empresa ha instalado 3</w:t>
      </w:r>
      <w:r w:rsidR="00FE1778">
        <w:rPr>
          <w:rFonts w:ascii="Arial" w:hAnsi="Arial" w:cs="Arial"/>
          <w:bCs/>
          <w:iCs/>
          <w:lang w:val="es-419"/>
        </w:rPr>
        <w:t>8</w:t>
      </w:r>
      <w:r w:rsidR="00E355F8" w:rsidRPr="006E298B">
        <w:rPr>
          <w:rFonts w:ascii="Arial" w:hAnsi="Arial" w:cs="Arial"/>
          <w:bCs/>
          <w:iCs/>
          <w:lang w:val="es-419"/>
        </w:rPr>
        <w:t xml:space="preserve"> sistemas solares con una potencia combinada de </w:t>
      </w:r>
      <w:r w:rsidR="00D95621">
        <w:rPr>
          <w:rFonts w:ascii="Arial" w:hAnsi="Arial" w:cs="Arial"/>
          <w:bCs/>
          <w:iCs/>
          <w:lang w:val="es-419"/>
        </w:rPr>
        <w:t>cerca de</w:t>
      </w:r>
      <w:r w:rsidR="00FE1778">
        <w:rPr>
          <w:rFonts w:ascii="Arial" w:hAnsi="Arial" w:cs="Arial"/>
          <w:bCs/>
          <w:iCs/>
          <w:lang w:val="es-419"/>
        </w:rPr>
        <w:t xml:space="preserve"> </w:t>
      </w:r>
      <w:r w:rsidR="00E355F8" w:rsidRPr="006E298B">
        <w:rPr>
          <w:rFonts w:ascii="Arial" w:hAnsi="Arial" w:cs="Arial"/>
          <w:bCs/>
          <w:iCs/>
          <w:lang w:val="es-419"/>
        </w:rPr>
        <w:t xml:space="preserve">1 </w:t>
      </w:r>
      <w:proofErr w:type="spellStart"/>
      <w:r w:rsidR="00E355F8" w:rsidRPr="006E298B">
        <w:rPr>
          <w:rFonts w:ascii="Arial" w:hAnsi="Arial" w:cs="Arial"/>
          <w:bCs/>
          <w:iCs/>
          <w:lang w:val="es-419"/>
        </w:rPr>
        <w:t>MWp</w:t>
      </w:r>
      <w:proofErr w:type="spellEnd"/>
      <w:r w:rsidR="00E355F8" w:rsidRPr="006E298B">
        <w:rPr>
          <w:rFonts w:ascii="Arial" w:hAnsi="Arial" w:cs="Arial"/>
          <w:bCs/>
          <w:iCs/>
          <w:lang w:val="es-419"/>
        </w:rPr>
        <w:t>.</w:t>
      </w:r>
    </w:p>
    <w:p w14:paraId="50BD54A0" w14:textId="1804CEE3" w:rsidR="00FA3747" w:rsidRPr="006940CB" w:rsidRDefault="006940CB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s-419"/>
        </w:rPr>
      </w:pPr>
      <w:r w:rsidRPr="006940CB">
        <w:rPr>
          <w:b/>
          <w:bCs/>
          <w:sz w:val="22"/>
          <w:szCs w:val="22"/>
          <w:lang w:val="es-419"/>
        </w:rPr>
        <w:t xml:space="preserve">Riesgos e </w:t>
      </w:r>
      <w:r>
        <w:rPr>
          <w:b/>
          <w:bCs/>
          <w:sz w:val="22"/>
          <w:szCs w:val="22"/>
          <w:lang w:val="es-419"/>
        </w:rPr>
        <w:t>I</w:t>
      </w:r>
      <w:r w:rsidRPr="006940CB">
        <w:rPr>
          <w:b/>
          <w:bCs/>
          <w:sz w:val="22"/>
          <w:szCs w:val="22"/>
          <w:lang w:val="es-419"/>
        </w:rPr>
        <w:t xml:space="preserve">mpactos </w:t>
      </w:r>
      <w:r>
        <w:rPr>
          <w:b/>
          <w:bCs/>
          <w:sz w:val="22"/>
          <w:szCs w:val="22"/>
          <w:lang w:val="es-419"/>
        </w:rPr>
        <w:t>A</w:t>
      </w:r>
      <w:r w:rsidRPr="006940CB">
        <w:rPr>
          <w:b/>
          <w:bCs/>
          <w:sz w:val="22"/>
          <w:szCs w:val="22"/>
          <w:lang w:val="es-419"/>
        </w:rPr>
        <w:t xml:space="preserve">mbientales y </w:t>
      </w:r>
      <w:r>
        <w:rPr>
          <w:b/>
          <w:bCs/>
          <w:sz w:val="22"/>
          <w:szCs w:val="22"/>
          <w:lang w:val="es-419"/>
        </w:rPr>
        <w:t>S</w:t>
      </w:r>
      <w:r w:rsidRPr="006940CB">
        <w:rPr>
          <w:b/>
          <w:bCs/>
          <w:sz w:val="22"/>
          <w:szCs w:val="22"/>
          <w:lang w:val="es-419"/>
        </w:rPr>
        <w:t xml:space="preserve">ociales y </w:t>
      </w:r>
      <w:r>
        <w:rPr>
          <w:b/>
          <w:bCs/>
          <w:sz w:val="22"/>
          <w:szCs w:val="22"/>
          <w:lang w:val="es-419"/>
        </w:rPr>
        <w:t>M</w:t>
      </w:r>
      <w:r w:rsidRPr="006940CB">
        <w:rPr>
          <w:b/>
          <w:bCs/>
          <w:sz w:val="22"/>
          <w:szCs w:val="22"/>
          <w:lang w:val="es-419"/>
        </w:rPr>
        <w:t xml:space="preserve">edidas de </w:t>
      </w:r>
      <w:r>
        <w:rPr>
          <w:b/>
          <w:bCs/>
          <w:sz w:val="22"/>
          <w:szCs w:val="22"/>
          <w:lang w:val="es-419"/>
        </w:rPr>
        <w:t>M</w:t>
      </w:r>
      <w:r w:rsidRPr="006940CB">
        <w:rPr>
          <w:b/>
          <w:bCs/>
          <w:sz w:val="22"/>
          <w:szCs w:val="22"/>
          <w:lang w:val="es-419"/>
        </w:rPr>
        <w:t xml:space="preserve">itigación </w:t>
      </w:r>
      <w:r>
        <w:rPr>
          <w:b/>
          <w:bCs/>
          <w:sz w:val="22"/>
          <w:szCs w:val="22"/>
          <w:lang w:val="es-419"/>
        </w:rPr>
        <w:t>P</w:t>
      </w:r>
      <w:r w:rsidRPr="006940CB">
        <w:rPr>
          <w:b/>
          <w:bCs/>
          <w:sz w:val="22"/>
          <w:szCs w:val="22"/>
          <w:lang w:val="es-419"/>
        </w:rPr>
        <w:t>ropuestas</w:t>
      </w:r>
      <w:r>
        <w:rPr>
          <w:b/>
          <w:bCs/>
          <w:sz w:val="22"/>
          <w:szCs w:val="22"/>
          <w:lang w:val="es-419"/>
        </w:rPr>
        <w:t xml:space="preserve"> </w:t>
      </w:r>
    </w:p>
    <w:p w14:paraId="4610F618" w14:textId="0A4BBE90" w:rsidR="00FA3747" w:rsidRPr="00941D1C" w:rsidRDefault="00B1394B" w:rsidP="00B1394B">
      <w:pPr>
        <w:jc w:val="both"/>
        <w:rPr>
          <w:rFonts w:ascii="Arial" w:hAnsi="Arial" w:cs="Arial"/>
          <w:bCs/>
          <w:i/>
          <w:lang w:val="es-419"/>
        </w:rPr>
      </w:pPr>
      <w:r w:rsidRPr="00B1394B">
        <w:rPr>
          <w:rFonts w:ascii="Arial" w:hAnsi="Arial" w:cs="Arial"/>
          <w:b/>
          <w:lang w:val="es-419"/>
        </w:rPr>
        <w:t>Evaluación y Gestión de los Riesgos</w:t>
      </w:r>
      <w:r>
        <w:rPr>
          <w:rFonts w:ascii="Arial" w:hAnsi="Arial" w:cs="Arial"/>
          <w:b/>
          <w:lang w:val="es-419"/>
        </w:rPr>
        <w:t xml:space="preserve"> </w:t>
      </w:r>
      <w:r w:rsidRPr="00B1394B">
        <w:rPr>
          <w:rFonts w:ascii="Arial" w:hAnsi="Arial" w:cs="Arial"/>
          <w:b/>
          <w:lang w:val="es-419"/>
        </w:rPr>
        <w:t xml:space="preserve">e Impactos Ambientales y Sociales </w:t>
      </w:r>
      <w:r w:rsidR="000B5DB8" w:rsidRPr="00EC2A57">
        <w:rPr>
          <w:rFonts w:ascii="Arial" w:hAnsi="Arial" w:cs="Arial"/>
          <w:b/>
          <w:lang w:val="es-419"/>
        </w:rPr>
        <w:t>(</w:t>
      </w:r>
      <w:r w:rsidR="009E4BBB" w:rsidRPr="00EC2A57">
        <w:rPr>
          <w:rFonts w:ascii="Arial" w:hAnsi="Arial" w:cs="Arial"/>
          <w:b/>
          <w:lang w:val="es-419"/>
        </w:rPr>
        <w:t>ND</w:t>
      </w:r>
      <w:r w:rsidR="000B5DB8" w:rsidRPr="00EC2A57">
        <w:rPr>
          <w:rFonts w:ascii="Arial" w:hAnsi="Arial" w:cs="Arial"/>
          <w:b/>
          <w:lang w:val="es-419"/>
        </w:rPr>
        <w:t xml:space="preserve"> 1): </w:t>
      </w:r>
      <w:r w:rsidR="00941D1C">
        <w:rPr>
          <w:rFonts w:ascii="Arial" w:hAnsi="Arial" w:cs="Arial"/>
          <w:bCs/>
          <w:lang w:val="es-419"/>
        </w:rPr>
        <w:t>Innovasol está en el proceso de desarrollar</w:t>
      </w:r>
      <w:r w:rsidR="00F71E69">
        <w:rPr>
          <w:rFonts w:ascii="Arial" w:hAnsi="Arial" w:cs="Arial"/>
          <w:bCs/>
          <w:lang w:val="es-419"/>
        </w:rPr>
        <w:t xml:space="preserve"> su sistema de gestión ambiental y social (“SGAS”). </w:t>
      </w:r>
      <w:proofErr w:type="spellStart"/>
      <w:r w:rsidR="005101FE" w:rsidRPr="005101FE">
        <w:rPr>
          <w:rFonts w:ascii="Arial" w:hAnsi="Arial" w:cs="Arial"/>
          <w:bCs/>
          <w:lang w:val="es-419"/>
        </w:rPr>
        <w:t>Bolivian</w:t>
      </w:r>
      <w:proofErr w:type="spellEnd"/>
      <w:r w:rsidR="005101FE" w:rsidRPr="005101FE">
        <w:rPr>
          <w:rFonts w:ascii="Arial" w:hAnsi="Arial" w:cs="Arial"/>
          <w:bCs/>
          <w:lang w:val="es-419"/>
        </w:rPr>
        <w:t xml:space="preserve"> Investment Managers (BIM)</w:t>
      </w:r>
      <w:r w:rsidR="005101FE">
        <w:rPr>
          <w:rFonts w:ascii="Arial" w:hAnsi="Arial" w:cs="Arial"/>
          <w:bCs/>
          <w:lang w:val="es-419"/>
        </w:rPr>
        <w:t xml:space="preserve">, gestor de Innovasol, cuenta con un Código de </w:t>
      </w:r>
      <w:r w:rsidR="00D95621">
        <w:rPr>
          <w:rFonts w:ascii="Arial" w:hAnsi="Arial" w:cs="Arial"/>
          <w:bCs/>
          <w:lang w:val="es-419"/>
        </w:rPr>
        <w:t>Ética</w:t>
      </w:r>
      <w:r w:rsidR="005101FE">
        <w:rPr>
          <w:rFonts w:ascii="Arial" w:hAnsi="Arial" w:cs="Arial"/>
          <w:bCs/>
          <w:lang w:val="es-419"/>
        </w:rPr>
        <w:t xml:space="preserve"> el cual aborda sus compromisos </w:t>
      </w:r>
      <w:proofErr w:type="spellStart"/>
      <w:r w:rsidR="005101FE">
        <w:rPr>
          <w:rFonts w:ascii="Arial" w:hAnsi="Arial" w:cs="Arial"/>
          <w:bCs/>
          <w:lang w:val="es-419"/>
        </w:rPr>
        <w:t>AyS</w:t>
      </w:r>
      <w:proofErr w:type="spellEnd"/>
      <w:r w:rsidR="00AC5E8C">
        <w:rPr>
          <w:rFonts w:ascii="Arial" w:hAnsi="Arial" w:cs="Arial"/>
          <w:bCs/>
          <w:lang w:val="es-419"/>
        </w:rPr>
        <w:t xml:space="preserve">. El Código de </w:t>
      </w:r>
      <w:r w:rsidR="00D95621">
        <w:rPr>
          <w:rFonts w:ascii="Arial" w:hAnsi="Arial" w:cs="Arial"/>
          <w:bCs/>
          <w:lang w:val="es-419"/>
        </w:rPr>
        <w:t>Ética</w:t>
      </w:r>
      <w:r w:rsidR="001871CA">
        <w:rPr>
          <w:rFonts w:ascii="Arial" w:hAnsi="Arial" w:cs="Arial"/>
          <w:bCs/>
          <w:lang w:val="es-419"/>
        </w:rPr>
        <w:t xml:space="preserve"> de BIM</w:t>
      </w:r>
      <w:r w:rsidR="00AC5E8C">
        <w:rPr>
          <w:rFonts w:ascii="Arial" w:hAnsi="Arial" w:cs="Arial"/>
          <w:bCs/>
          <w:lang w:val="es-419"/>
        </w:rPr>
        <w:t xml:space="preserve"> debe ser</w:t>
      </w:r>
      <w:r w:rsidR="001871CA">
        <w:rPr>
          <w:rFonts w:ascii="Arial" w:hAnsi="Arial" w:cs="Arial"/>
          <w:bCs/>
          <w:lang w:val="es-419"/>
        </w:rPr>
        <w:t xml:space="preserve"> adoptado por Innovasol y</w:t>
      </w:r>
      <w:r w:rsidR="00AC5E8C">
        <w:rPr>
          <w:rFonts w:ascii="Arial" w:hAnsi="Arial" w:cs="Arial"/>
          <w:bCs/>
          <w:lang w:val="es-419"/>
        </w:rPr>
        <w:t xml:space="preserve"> actualizado para abordar los temas laborales en la cadena de suministro.</w:t>
      </w:r>
    </w:p>
    <w:p w14:paraId="0C741815" w14:textId="2F341767" w:rsidR="000F3F4C" w:rsidRPr="000F3F4C" w:rsidRDefault="00EC2A57" w:rsidP="006E5976">
      <w:pPr>
        <w:jc w:val="both"/>
        <w:rPr>
          <w:rFonts w:ascii="Arial" w:hAnsi="Arial" w:cs="Arial"/>
          <w:bCs/>
          <w:lang w:val="es-419"/>
        </w:rPr>
      </w:pPr>
      <w:r w:rsidRPr="000D719E">
        <w:rPr>
          <w:rFonts w:ascii="Arial" w:hAnsi="Arial" w:cs="Arial"/>
          <w:b/>
          <w:lang w:val="es-419"/>
        </w:rPr>
        <w:t>Trabajo y Condiciones Laborales</w:t>
      </w:r>
      <w:r w:rsidR="000870C3" w:rsidRPr="000D719E">
        <w:rPr>
          <w:rFonts w:ascii="Arial" w:hAnsi="Arial" w:cs="Arial"/>
          <w:b/>
          <w:lang w:val="es-419"/>
        </w:rPr>
        <w:t xml:space="preserve"> (</w:t>
      </w:r>
      <w:r w:rsidRPr="000D719E">
        <w:rPr>
          <w:rFonts w:ascii="Arial" w:hAnsi="Arial" w:cs="Arial"/>
          <w:b/>
          <w:lang w:val="es-419"/>
        </w:rPr>
        <w:t>ND</w:t>
      </w:r>
      <w:r w:rsidR="000870C3" w:rsidRPr="000D719E">
        <w:rPr>
          <w:rFonts w:ascii="Arial" w:hAnsi="Arial" w:cs="Arial"/>
          <w:b/>
          <w:lang w:val="es-419"/>
        </w:rPr>
        <w:t xml:space="preserve"> 2)</w:t>
      </w:r>
      <w:r w:rsidR="006B41B1" w:rsidRPr="000D719E">
        <w:rPr>
          <w:rFonts w:ascii="Arial" w:hAnsi="Arial" w:cs="Arial"/>
          <w:b/>
          <w:lang w:val="es-419"/>
        </w:rPr>
        <w:t xml:space="preserve">: </w:t>
      </w:r>
      <w:r w:rsidR="0066397C">
        <w:rPr>
          <w:rFonts w:ascii="Arial" w:hAnsi="Arial" w:cs="Arial"/>
          <w:bCs/>
          <w:lang w:val="es-419"/>
        </w:rPr>
        <w:t xml:space="preserve">Innovasol </w:t>
      </w:r>
      <w:r w:rsidR="00FE1778">
        <w:rPr>
          <w:rFonts w:ascii="Arial" w:hAnsi="Arial" w:cs="Arial"/>
          <w:bCs/>
          <w:lang w:val="es-419"/>
        </w:rPr>
        <w:t>no tiene empleados directos, sino que subcontrata su administración a</w:t>
      </w:r>
      <w:r w:rsidR="005101FE">
        <w:rPr>
          <w:rFonts w:ascii="Arial" w:hAnsi="Arial" w:cs="Arial"/>
          <w:bCs/>
          <w:lang w:val="es-419"/>
        </w:rPr>
        <w:t xml:space="preserve"> BIM</w:t>
      </w:r>
      <w:r w:rsidR="0066397C">
        <w:rPr>
          <w:rFonts w:ascii="Arial" w:hAnsi="Arial" w:cs="Arial"/>
          <w:bCs/>
          <w:lang w:val="es-419"/>
        </w:rPr>
        <w:t xml:space="preserve">. </w:t>
      </w:r>
      <w:r w:rsidR="007E5578">
        <w:rPr>
          <w:rFonts w:ascii="Arial" w:hAnsi="Arial" w:cs="Arial"/>
          <w:bCs/>
          <w:lang w:val="es-419"/>
        </w:rPr>
        <w:t xml:space="preserve">La gestión de salud y seguridad ocupacional (“SSO”) </w:t>
      </w:r>
      <w:r w:rsidR="00FE1778">
        <w:rPr>
          <w:rFonts w:ascii="Arial" w:hAnsi="Arial" w:cs="Arial"/>
          <w:bCs/>
          <w:lang w:val="es-419"/>
        </w:rPr>
        <w:t>relacionada con la instalación y mantenimiento de los sis</w:t>
      </w:r>
      <w:r w:rsidR="00FE1778">
        <w:rPr>
          <w:rFonts w:ascii="Arial" w:hAnsi="Arial" w:cs="Arial"/>
          <w:bCs/>
          <w:lang w:val="es-419"/>
        </w:rPr>
        <w:t xml:space="preserve">temas solares fotovoltaicos </w:t>
      </w:r>
      <w:r w:rsidR="007E5578">
        <w:rPr>
          <w:rFonts w:ascii="Arial" w:hAnsi="Arial" w:cs="Arial"/>
          <w:bCs/>
          <w:lang w:val="es-419"/>
        </w:rPr>
        <w:t xml:space="preserve">es delegada a los contratistas de obra. </w:t>
      </w:r>
      <w:r w:rsidR="00FE1778">
        <w:rPr>
          <w:rFonts w:ascii="Arial" w:hAnsi="Arial" w:cs="Arial"/>
          <w:bCs/>
          <w:lang w:val="es-419"/>
        </w:rPr>
        <w:t>L</w:t>
      </w:r>
      <w:r w:rsidR="00E31B15">
        <w:rPr>
          <w:rFonts w:ascii="Arial" w:hAnsi="Arial" w:cs="Arial"/>
          <w:bCs/>
          <w:lang w:val="es-419"/>
        </w:rPr>
        <w:t xml:space="preserve">os proveedores de Innovasol </w:t>
      </w:r>
      <w:r w:rsidR="00FE1778">
        <w:rPr>
          <w:rFonts w:ascii="Arial" w:hAnsi="Arial" w:cs="Arial"/>
          <w:bCs/>
          <w:lang w:val="es-419"/>
        </w:rPr>
        <w:t xml:space="preserve">que reciban financiamiento de la Transacción </w:t>
      </w:r>
      <w:r w:rsidR="00E31B15">
        <w:rPr>
          <w:rFonts w:ascii="Arial" w:hAnsi="Arial" w:cs="Arial"/>
          <w:bCs/>
          <w:lang w:val="es-419"/>
        </w:rPr>
        <w:t>se comprometerán a</w:t>
      </w:r>
      <w:r w:rsidR="00FE1778">
        <w:rPr>
          <w:rFonts w:ascii="Arial" w:hAnsi="Arial" w:cs="Arial"/>
          <w:bCs/>
          <w:lang w:val="es-419"/>
        </w:rPr>
        <w:t>:</w:t>
      </w:r>
      <w:r w:rsidR="00E31B15">
        <w:rPr>
          <w:rFonts w:ascii="Arial" w:hAnsi="Arial" w:cs="Arial"/>
          <w:bCs/>
          <w:lang w:val="es-419"/>
        </w:rPr>
        <w:t xml:space="preserve"> </w:t>
      </w:r>
      <w:r w:rsidR="00FE1778">
        <w:rPr>
          <w:rFonts w:ascii="Arial" w:hAnsi="Arial" w:cs="Arial"/>
          <w:bCs/>
          <w:lang w:val="es-419"/>
        </w:rPr>
        <w:t>(</w:t>
      </w:r>
      <w:r w:rsidR="00281127">
        <w:rPr>
          <w:rFonts w:ascii="Arial" w:hAnsi="Arial" w:cs="Arial"/>
          <w:bCs/>
          <w:lang w:val="es-419"/>
        </w:rPr>
        <w:t xml:space="preserve">i) reportar sus estadísticas de </w:t>
      </w:r>
      <w:r w:rsidR="00CB7922">
        <w:rPr>
          <w:rFonts w:ascii="Arial" w:hAnsi="Arial" w:cs="Arial"/>
          <w:bCs/>
          <w:lang w:val="es-419"/>
        </w:rPr>
        <w:t>SSO</w:t>
      </w:r>
      <w:r w:rsidR="00281127">
        <w:rPr>
          <w:rFonts w:ascii="Arial" w:hAnsi="Arial" w:cs="Arial"/>
          <w:bCs/>
          <w:lang w:val="es-419"/>
        </w:rPr>
        <w:t xml:space="preserve"> y </w:t>
      </w:r>
      <w:r w:rsidR="00FE1778">
        <w:rPr>
          <w:rFonts w:ascii="Arial" w:hAnsi="Arial" w:cs="Arial"/>
          <w:bCs/>
          <w:lang w:val="es-419"/>
        </w:rPr>
        <w:t>(</w:t>
      </w:r>
      <w:proofErr w:type="spellStart"/>
      <w:r w:rsidR="00281127">
        <w:rPr>
          <w:rFonts w:ascii="Arial" w:hAnsi="Arial" w:cs="Arial"/>
          <w:bCs/>
          <w:lang w:val="es-419"/>
        </w:rPr>
        <w:t>ii</w:t>
      </w:r>
      <w:proofErr w:type="spellEnd"/>
      <w:r w:rsidR="00281127">
        <w:rPr>
          <w:rFonts w:ascii="Arial" w:hAnsi="Arial" w:cs="Arial"/>
          <w:bCs/>
          <w:lang w:val="es-419"/>
        </w:rPr>
        <w:t>) a</w:t>
      </w:r>
      <w:r w:rsidR="00281127" w:rsidRPr="00281127">
        <w:rPr>
          <w:rFonts w:ascii="Arial" w:hAnsi="Arial" w:cs="Arial"/>
          <w:bCs/>
          <w:lang w:val="es-419"/>
        </w:rPr>
        <w:t xml:space="preserve"> evaluar y monitorear su cadena de suministro de forma tal de evitar la compra de productos de energía solar que hayan sido o vayan a ser producidos usando trabajo forzoso.</w:t>
      </w:r>
    </w:p>
    <w:p w14:paraId="5261B748" w14:textId="6D451ADD" w:rsidR="00640A4E" w:rsidRDefault="006E5976" w:rsidP="006E5976">
      <w:pPr>
        <w:jc w:val="both"/>
        <w:rPr>
          <w:rFonts w:ascii="Arial" w:hAnsi="Arial" w:cs="Arial"/>
          <w:bCs/>
          <w:lang w:val="es-419"/>
        </w:rPr>
      </w:pPr>
      <w:r w:rsidRPr="006E5976">
        <w:rPr>
          <w:rFonts w:ascii="Arial" w:hAnsi="Arial" w:cs="Arial"/>
          <w:b/>
          <w:lang w:val="es-419"/>
        </w:rPr>
        <w:t>Eficiencia en el Uso de los Recursos</w:t>
      </w:r>
      <w:r>
        <w:rPr>
          <w:rFonts w:ascii="Arial" w:hAnsi="Arial" w:cs="Arial"/>
          <w:b/>
          <w:lang w:val="es-419"/>
        </w:rPr>
        <w:t xml:space="preserve"> </w:t>
      </w:r>
      <w:r w:rsidRPr="006E5976">
        <w:rPr>
          <w:rFonts w:ascii="Arial" w:hAnsi="Arial" w:cs="Arial"/>
          <w:b/>
          <w:lang w:val="es-419"/>
        </w:rPr>
        <w:t xml:space="preserve">y Prevención de la Contaminación </w:t>
      </w:r>
      <w:r w:rsidR="00203D51" w:rsidRPr="00C423BE">
        <w:rPr>
          <w:rFonts w:ascii="Arial" w:hAnsi="Arial" w:cs="Arial"/>
          <w:b/>
          <w:lang w:val="es-419"/>
        </w:rPr>
        <w:t>(</w:t>
      </w:r>
      <w:r w:rsidR="000D719E" w:rsidRPr="00C423BE">
        <w:rPr>
          <w:rFonts w:ascii="Arial" w:hAnsi="Arial" w:cs="Arial"/>
          <w:b/>
          <w:lang w:val="es-419"/>
        </w:rPr>
        <w:t>ND</w:t>
      </w:r>
      <w:r w:rsidR="00203D51" w:rsidRPr="00C423BE">
        <w:rPr>
          <w:rFonts w:ascii="Arial" w:hAnsi="Arial" w:cs="Arial"/>
          <w:b/>
          <w:lang w:val="es-419"/>
        </w:rPr>
        <w:t xml:space="preserve"> 3)</w:t>
      </w:r>
      <w:r w:rsidR="006B41B1" w:rsidRPr="00C423BE">
        <w:rPr>
          <w:rFonts w:ascii="Arial" w:hAnsi="Arial" w:cs="Arial"/>
          <w:b/>
          <w:lang w:val="es-419"/>
        </w:rPr>
        <w:t xml:space="preserve">: </w:t>
      </w:r>
      <w:r w:rsidR="00D2560C">
        <w:rPr>
          <w:rFonts w:ascii="Arial" w:hAnsi="Arial" w:cs="Arial"/>
          <w:bCs/>
          <w:lang w:val="es-419"/>
        </w:rPr>
        <w:t>Las actividades de Innovasol generan desechos peligrosos (paneles solares</w:t>
      </w:r>
      <w:r w:rsidR="00FE1778">
        <w:rPr>
          <w:rFonts w:ascii="Arial" w:hAnsi="Arial" w:cs="Arial"/>
          <w:bCs/>
          <w:lang w:val="es-419"/>
        </w:rPr>
        <w:t>, cuando se los da de baja</w:t>
      </w:r>
      <w:r w:rsidR="00D2560C">
        <w:rPr>
          <w:rFonts w:ascii="Arial" w:hAnsi="Arial" w:cs="Arial"/>
          <w:bCs/>
          <w:lang w:val="es-419"/>
        </w:rPr>
        <w:t xml:space="preserve">) y no peligrosos (pallets, </w:t>
      </w:r>
      <w:r w:rsidR="002F3580">
        <w:rPr>
          <w:rFonts w:ascii="Arial" w:hAnsi="Arial" w:cs="Arial"/>
          <w:bCs/>
          <w:lang w:val="es-419"/>
        </w:rPr>
        <w:t>plástico). Los paneles solares dañados son día almacenados en las instalaciones de la</w:t>
      </w:r>
      <w:r w:rsidR="00FE1778">
        <w:rPr>
          <w:rFonts w:ascii="Arial" w:hAnsi="Arial" w:cs="Arial"/>
          <w:bCs/>
          <w:lang w:val="es-419"/>
        </w:rPr>
        <w:t>s</w:t>
      </w:r>
      <w:r w:rsidR="002F3580">
        <w:rPr>
          <w:rFonts w:ascii="Arial" w:hAnsi="Arial" w:cs="Arial"/>
          <w:bCs/>
          <w:lang w:val="es-419"/>
        </w:rPr>
        <w:t xml:space="preserve"> Empresa</w:t>
      </w:r>
      <w:r w:rsidR="00FE1778">
        <w:rPr>
          <w:rFonts w:ascii="Arial" w:hAnsi="Arial" w:cs="Arial"/>
          <w:bCs/>
          <w:lang w:val="es-419"/>
        </w:rPr>
        <w:t>s proveedoras</w:t>
      </w:r>
      <w:r w:rsidR="002F3580">
        <w:rPr>
          <w:rFonts w:ascii="Arial" w:hAnsi="Arial" w:cs="Arial"/>
          <w:bCs/>
          <w:lang w:val="es-419"/>
        </w:rPr>
        <w:t xml:space="preserve"> hasta conseguir una masa crítica para su exportación a una instalación que pueda reciclar sus componentes</w:t>
      </w:r>
      <w:r w:rsidR="00FE1778">
        <w:rPr>
          <w:rFonts w:ascii="Arial" w:hAnsi="Arial" w:cs="Arial"/>
          <w:bCs/>
          <w:lang w:val="es-419"/>
        </w:rPr>
        <w:t xml:space="preserve"> o disposición de una manera ambientalmente inocua</w:t>
      </w:r>
      <w:r w:rsidR="002F3580">
        <w:rPr>
          <w:rFonts w:ascii="Arial" w:hAnsi="Arial" w:cs="Arial"/>
          <w:bCs/>
          <w:lang w:val="es-419"/>
        </w:rPr>
        <w:t xml:space="preserve">. </w:t>
      </w:r>
      <w:r w:rsidR="00894C15">
        <w:rPr>
          <w:rFonts w:ascii="Arial" w:hAnsi="Arial" w:cs="Arial"/>
          <w:bCs/>
          <w:lang w:val="es-419"/>
        </w:rPr>
        <w:t xml:space="preserve">Los desechos reciclables, tales como pallets son vendidos a terceros. </w:t>
      </w:r>
    </w:p>
    <w:p w14:paraId="6C1FC14F" w14:textId="4E5CF2FC" w:rsidR="00FA3747" w:rsidRPr="00A60B7D" w:rsidRDefault="00180778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s-419"/>
        </w:rPr>
      </w:pPr>
      <w:r>
        <w:rPr>
          <w:b/>
          <w:bCs/>
          <w:sz w:val="22"/>
          <w:szCs w:val="22"/>
          <w:lang w:val="es-419"/>
        </w:rPr>
        <w:t>P</w:t>
      </w:r>
      <w:r w:rsidR="00A60B7D" w:rsidRPr="00A60B7D">
        <w:rPr>
          <w:b/>
          <w:bCs/>
          <w:sz w:val="22"/>
          <w:szCs w:val="22"/>
          <w:lang w:val="es-419"/>
        </w:rPr>
        <w:t>lan de Acción Ambiental y</w:t>
      </w:r>
      <w:r w:rsidR="00A60B7D">
        <w:rPr>
          <w:b/>
          <w:bCs/>
          <w:sz w:val="22"/>
          <w:szCs w:val="22"/>
          <w:lang w:val="es-419"/>
        </w:rPr>
        <w:t xml:space="preserve"> Social </w:t>
      </w:r>
      <w:r w:rsidR="00FF2E05">
        <w:rPr>
          <w:b/>
          <w:bCs/>
          <w:sz w:val="22"/>
          <w:szCs w:val="22"/>
          <w:lang w:val="es-419"/>
        </w:rPr>
        <w:t>(PAAS)</w:t>
      </w:r>
    </w:p>
    <w:tbl>
      <w:tblPr>
        <w:tblStyle w:val="TableGrid"/>
        <w:tblW w:w="52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483"/>
        <w:gridCol w:w="2152"/>
        <w:gridCol w:w="3229"/>
        <w:gridCol w:w="2666"/>
        <w:gridCol w:w="1352"/>
      </w:tblGrid>
      <w:tr w:rsidR="008A122E" w:rsidRPr="00D60864" w14:paraId="36E9DC48" w14:textId="77777777" w:rsidTr="006829E8">
        <w:trPr>
          <w:tblHeader/>
        </w:trPr>
        <w:tc>
          <w:tcPr>
            <w:tcW w:w="244" w:type="pct"/>
          </w:tcPr>
          <w:p w14:paraId="5289D2BA" w14:textId="77777777" w:rsidR="008A122E" w:rsidRPr="00D60864" w:rsidRDefault="008A122E" w:rsidP="008A529E">
            <w:pPr>
              <w:jc w:val="center"/>
              <w:rPr>
                <w:rFonts w:ascii="Arial" w:hAnsi="Arial" w:cs="Arial"/>
                <w:b/>
                <w:lang w:val="es-PA"/>
              </w:rPr>
            </w:pPr>
            <w:r w:rsidRPr="00D60864">
              <w:rPr>
                <w:rFonts w:ascii="Arial" w:hAnsi="Arial" w:cs="Arial"/>
                <w:b/>
                <w:lang w:val="es-PA"/>
              </w:rPr>
              <w:t>No</w:t>
            </w:r>
          </w:p>
        </w:tc>
        <w:tc>
          <w:tcPr>
            <w:tcW w:w="1089" w:type="pct"/>
          </w:tcPr>
          <w:p w14:paraId="0C65FEEB" w14:textId="7D23F035" w:rsidR="008A122E" w:rsidRPr="00D60864" w:rsidRDefault="000E23DA" w:rsidP="008A529E">
            <w:pPr>
              <w:jc w:val="center"/>
              <w:rPr>
                <w:rFonts w:ascii="Arial" w:hAnsi="Arial" w:cs="Arial"/>
                <w:b/>
                <w:lang w:val="es-PA"/>
              </w:rPr>
            </w:pPr>
            <w:r>
              <w:rPr>
                <w:rFonts w:ascii="Arial" w:hAnsi="Arial" w:cs="Arial"/>
                <w:b/>
                <w:lang w:val="es-PA"/>
              </w:rPr>
              <w:t>Tema</w:t>
            </w:r>
          </w:p>
        </w:tc>
        <w:tc>
          <w:tcPr>
            <w:tcW w:w="1634" w:type="pct"/>
          </w:tcPr>
          <w:p w14:paraId="3FF12C94" w14:textId="5F6FB2B7" w:rsidR="008A122E" w:rsidRPr="00D60864" w:rsidRDefault="000E23DA" w:rsidP="008A529E">
            <w:pPr>
              <w:jc w:val="center"/>
              <w:rPr>
                <w:rFonts w:ascii="Arial" w:hAnsi="Arial" w:cs="Arial"/>
                <w:b/>
                <w:lang w:val="es-PA"/>
              </w:rPr>
            </w:pPr>
            <w:r>
              <w:rPr>
                <w:rFonts w:ascii="Arial" w:hAnsi="Arial" w:cs="Arial"/>
                <w:b/>
                <w:lang w:val="es-PA"/>
              </w:rPr>
              <w:t>Actividad</w:t>
            </w:r>
          </w:p>
        </w:tc>
        <w:tc>
          <w:tcPr>
            <w:tcW w:w="1349" w:type="pct"/>
          </w:tcPr>
          <w:p w14:paraId="2247EDE1" w14:textId="71048EA4" w:rsidR="008A122E" w:rsidRPr="00D60864" w:rsidRDefault="000E23DA" w:rsidP="008A529E">
            <w:pPr>
              <w:jc w:val="center"/>
              <w:rPr>
                <w:rFonts w:ascii="Arial" w:hAnsi="Arial" w:cs="Arial"/>
                <w:b/>
                <w:lang w:val="es-PA"/>
              </w:rPr>
            </w:pPr>
            <w:r>
              <w:rPr>
                <w:rFonts w:ascii="Arial" w:hAnsi="Arial" w:cs="Arial"/>
                <w:b/>
                <w:lang w:val="es-PA"/>
              </w:rPr>
              <w:t>Entr</w:t>
            </w:r>
            <w:r w:rsidR="008A122E">
              <w:rPr>
                <w:rFonts w:ascii="Arial" w:hAnsi="Arial" w:cs="Arial"/>
                <w:b/>
                <w:lang w:val="es-PA"/>
              </w:rPr>
              <w:t>e</w:t>
            </w:r>
            <w:r>
              <w:rPr>
                <w:rFonts w:ascii="Arial" w:hAnsi="Arial" w:cs="Arial"/>
                <w:b/>
                <w:lang w:val="es-PA"/>
              </w:rPr>
              <w:t>gable</w:t>
            </w:r>
          </w:p>
        </w:tc>
        <w:tc>
          <w:tcPr>
            <w:tcW w:w="684" w:type="pct"/>
          </w:tcPr>
          <w:p w14:paraId="3C7D887C" w14:textId="550F015C" w:rsidR="008A122E" w:rsidRPr="00D60864" w:rsidRDefault="000E23DA" w:rsidP="008A529E">
            <w:pPr>
              <w:jc w:val="center"/>
              <w:rPr>
                <w:rFonts w:ascii="Arial" w:hAnsi="Arial" w:cs="Arial"/>
                <w:b/>
                <w:lang w:val="es-PA"/>
              </w:rPr>
            </w:pPr>
            <w:r>
              <w:rPr>
                <w:rFonts w:ascii="Arial" w:hAnsi="Arial" w:cs="Arial"/>
                <w:b/>
                <w:lang w:val="es-PA"/>
              </w:rPr>
              <w:t>Fecha de Entrega</w:t>
            </w:r>
          </w:p>
        </w:tc>
      </w:tr>
      <w:tr w:rsidR="008A122E" w:rsidRPr="00FE7EA1" w14:paraId="2D067FB0" w14:textId="77777777" w:rsidTr="006829E8">
        <w:tc>
          <w:tcPr>
            <w:tcW w:w="244" w:type="pct"/>
            <w:tcBorders>
              <w:bottom w:val="single" w:sz="4" w:space="0" w:color="auto"/>
            </w:tcBorders>
          </w:tcPr>
          <w:p w14:paraId="44B48AD3" w14:textId="77777777" w:rsidR="008A122E" w:rsidRPr="0095796D" w:rsidRDefault="008A122E" w:rsidP="008A529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089" w:type="pct"/>
            <w:tcBorders>
              <w:bottom w:val="single" w:sz="4" w:space="0" w:color="auto"/>
            </w:tcBorders>
          </w:tcPr>
          <w:p w14:paraId="5D3EA43B" w14:textId="4EC1577B" w:rsidR="008A122E" w:rsidRPr="000D1BAF" w:rsidRDefault="000D1BAF" w:rsidP="008A529E">
            <w:pPr>
              <w:rPr>
                <w:rFonts w:ascii="Arial" w:hAnsi="Arial" w:cs="Arial"/>
                <w:lang w:val="es-ES"/>
              </w:rPr>
            </w:pPr>
            <w:r w:rsidRPr="000D1BAF">
              <w:rPr>
                <w:rFonts w:ascii="Arial" w:hAnsi="Arial" w:cs="Arial"/>
                <w:lang w:val="es-ES"/>
              </w:rPr>
              <w:t>Código de Ética</w:t>
            </w:r>
          </w:p>
        </w:tc>
        <w:tc>
          <w:tcPr>
            <w:tcW w:w="1634" w:type="pct"/>
            <w:tcBorders>
              <w:bottom w:val="single" w:sz="4" w:space="0" w:color="auto"/>
            </w:tcBorders>
          </w:tcPr>
          <w:p w14:paraId="472F54A2" w14:textId="16452D94" w:rsidR="008A122E" w:rsidRPr="00F9736A" w:rsidRDefault="001871CA" w:rsidP="008A529E">
            <w:pPr>
              <w:jc w:val="both"/>
              <w:rPr>
                <w:rFonts w:ascii="Arial" w:hAnsi="Arial" w:cs="Arial"/>
                <w:lang w:val="es-PA"/>
              </w:rPr>
            </w:pPr>
            <w:r>
              <w:rPr>
                <w:rFonts w:ascii="Arial" w:hAnsi="Arial" w:cs="Arial"/>
                <w:lang w:val="es-PA"/>
              </w:rPr>
              <w:t xml:space="preserve">Desarrollar </w:t>
            </w:r>
            <w:r w:rsidR="00E16BD6">
              <w:rPr>
                <w:rFonts w:ascii="Arial" w:hAnsi="Arial" w:cs="Arial"/>
                <w:lang w:val="es-PA"/>
              </w:rPr>
              <w:t>un</w:t>
            </w:r>
            <w:r w:rsidR="002A5FE3">
              <w:rPr>
                <w:rFonts w:ascii="Arial" w:hAnsi="Arial" w:cs="Arial"/>
                <w:lang w:val="es-PA"/>
              </w:rPr>
              <w:t xml:space="preserve"> Código de </w:t>
            </w:r>
            <w:r w:rsidR="00FE7EA1">
              <w:rPr>
                <w:rFonts w:ascii="Arial" w:hAnsi="Arial" w:cs="Arial"/>
                <w:lang w:val="es-PA"/>
              </w:rPr>
              <w:t>Ética</w:t>
            </w:r>
            <w:r w:rsidR="002A5FE3">
              <w:rPr>
                <w:rFonts w:ascii="Arial" w:hAnsi="Arial" w:cs="Arial"/>
                <w:lang w:val="es-PA"/>
              </w:rPr>
              <w:t xml:space="preserve"> </w:t>
            </w:r>
            <w:r w:rsidR="00E16BD6">
              <w:rPr>
                <w:rFonts w:ascii="Arial" w:hAnsi="Arial" w:cs="Arial"/>
                <w:lang w:val="es-PA"/>
              </w:rPr>
              <w:t xml:space="preserve">abordando </w:t>
            </w:r>
            <w:r w:rsidR="009875CB">
              <w:rPr>
                <w:rFonts w:ascii="Arial" w:hAnsi="Arial" w:cs="Arial"/>
                <w:lang w:val="es-PA"/>
              </w:rPr>
              <w:t>sus</w:t>
            </w:r>
            <w:r w:rsidR="00E16BD6">
              <w:rPr>
                <w:rFonts w:ascii="Arial" w:hAnsi="Arial" w:cs="Arial"/>
                <w:lang w:val="es-PA"/>
              </w:rPr>
              <w:t xml:space="preserve"> compromisos ambientales, sociales y</w:t>
            </w:r>
            <w:r w:rsidR="00CE1078">
              <w:rPr>
                <w:rFonts w:ascii="Arial" w:hAnsi="Arial" w:cs="Arial"/>
                <w:lang w:val="es-PA"/>
              </w:rPr>
              <w:t xml:space="preserve"> temas laborales en </w:t>
            </w:r>
            <w:r w:rsidR="00536F83">
              <w:rPr>
                <w:rFonts w:ascii="Arial" w:hAnsi="Arial" w:cs="Arial"/>
                <w:lang w:val="es-PA"/>
              </w:rPr>
              <w:t>la</w:t>
            </w:r>
            <w:r w:rsidR="00CF699C">
              <w:rPr>
                <w:rFonts w:ascii="Arial" w:hAnsi="Arial" w:cs="Arial"/>
                <w:lang w:val="es-PA"/>
              </w:rPr>
              <w:t xml:space="preserve"> cadena de suministro. </w:t>
            </w:r>
            <w:r w:rsidR="006F6BD3">
              <w:rPr>
                <w:rFonts w:ascii="Arial" w:hAnsi="Arial" w:cs="Arial"/>
                <w:lang w:val="es-PA"/>
              </w:rPr>
              <w:t xml:space="preserve">El Código de Ética </w:t>
            </w:r>
            <w:r w:rsidR="006F6BD3">
              <w:rPr>
                <w:rFonts w:ascii="Arial" w:hAnsi="Arial" w:cs="Arial"/>
                <w:lang w:val="es-PA"/>
              </w:rPr>
              <w:lastRenderedPageBreak/>
              <w:t xml:space="preserve">será divulgado a lo interno y externo de Innovasol. </w:t>
            </w:r>
          </w:p>
        </w:tc>
        <w:tc>
          <w:tcPr>
            <w:tcW w:w="1349" w:type="pct"/>
            <w:tcBorders>
              <w:bottom w:val="single" w:sz="4" w:space="0" w:color="auto"/>
            </w:tcBorders>
          </w:tcPr>
          <w:p w14:paraId="7DCEA596" w14:textId="76F24F85" w:rsidR="008A122E" w:rsidRPr="00CF699C" w:rsidRDefault="00E16BD6" w:rsidP="008A529E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lastRenderedPageBreak/>
              <w:t xml:space="preserve">Código de </w:t>
            </w:r>
            <w:r w:rsidR="00FE7EA1">
              <w:rPr>
                <w:rFonts w:ascii="Arial" w:hAnsi="Arial" w:cs="Arial"/>
                <w:lang w:val="pt-BR"/>
              </w:rPr>
              <w:t>Ética</w:t>
            </w:r>
          </w:p>
        </w:tc>
        <w:tc>
          <w:tcPr>
            <w:tcW w:w="684" w:type="pct"/>
            <w:tcBorders>
              <w:bottom w:val="single" w:sz="4" w:space="0" w:color="auto"/>
            </w:tcBorders>
          </w:tcPr>
          <w:p w14:paraId="7BB36A6B" w14:textId="37124AF5" w:rsidR="008A122E" w:rsidRPr="00FE7EA1" w:rsidRDefault="00FE7EA1" w:rsidP="008A529E">
            <w:pPr>
              <w:rPr>
                <w:rFonts w:ascii="Arial" w:hAnsi="Arial" w:cs="Arial"/>
                <w:lang w:val="es-419"/>
              </w:rPr>
            </w:pPr>
            <w:r w:rsidRPr="00FE7EA1">
              <w:rPr>
                <w:rFonts w:ascii="Arial" w:hAnsi="Arial" w:cs="Arial"/>
                <w:lang w:val="es-419"/>
              </w:rPr>
              <w:t>Antes del primer desembolso d</w:t>
            </w:r>
            <w:r>
              <w:rPr>
                <w:rFonts w:ascii="Arial" w:hAnsi="Arial" w:cs="Arial"/>
                <w:lang w:val="es-419"/>
              </w:rPr>
              <w:t>el préstamo</w:t>
            </w:r>
          </w:p>
        </w:tc>
      </w:tr>
      <w:tr w:rsidR="008A122E" w:rsidRPr="00FE7EA1" w14:paraId="0201D8F1" w14:textId="77777777" w:rsidTr="006829E8"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6D5D3D4E" w14:textId="77777777" w:rsidR="008A122E" w:rsidRPr="0095796D" w:rsidRDefault="008A122E" w:rsidP="008A529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089" w:type="pct"/>
            <w:tcBorders>
              <w:top w:val="single" w:sz="4" w:space="0" w:color="auto"/>
              <w:bottom w:val="single" w:sz="4" w:space="0" w:color="auto"/>
            </w:tcBorders>
          </w:tcPr>
          <w:p w14:paraId="2D05C648" w14:textId="4EEE4849" w:rsidR="008A122E" w:rsidRPr="00CD5870" w:rsidRDefault="00C7113F" w:rsidP="008A529E">
            <w:pPr>
              <w:rPr>
                <w:rFonts w:ascii="Arial" w:hAnsi="Arial" w:cs="Arial"/>
                <w:lang w:val="es-ES"/>
              </w:rPr>
            </w:pPr>
            <w:r w:rsidRPr="00CD5870">
              <w:rPr>
                <w:rFonts w:ascii="Arial" w:hAnsi="Arial" w:cs="Arial"/>
                <w:lang w:val="es-ES"/>
              </w:rPr>
              <w:t>Cadena de Suministro</w:t>
            </w:r>
          </w:p>
        </w:tc>
        <w:tc>
          <w:tcPr>
            <w:tcW w:w="1634" w:type="pct"/>
            <w:tcBorders>
              <w:top w:val="single" w:sz="4" w:space="0" w:color="auto"/>
              <w:bottom w:val="single" w:sz="4" w:space="0" w:color="auto"/>
            </w:tcBorders>
          </w:tcPr>
          <w:p w14:paraId="51949631" w14:textId="7E3B7780" w:rsidR="008A122E" w:rsidRPr="00C3315E" w:rsidRDefault="00C7113F" w:rsidP="008A529E">
            <w:pPr>
              <w:jc w:val="both"/>
              <w:rPr>
                <w:rFonts w:ascii="Arial" w:hAnsi="Arial" w:cs="Arial"/>
                <w:lang w:val="es-PA"/>
              </w:rPr>
            </w:pPr>
            <w:r>
              <w:rPr>
                <w:rFonts w:ascii="Arial" w:hAnsi="Arial" w:cs="Arial"/>
                <w:lang w:val="es-PA"/>
              </w:rPr>
              <w:t>Actualizar</w:t>
            </w:r>
            <w:r w:rsidR="00794AC0">
              <w:rPr>
                <w:rFonts w:ascii="Arial" w:hAnsi="Arial" w:cs="Arial"/>
                <w:lang w:val="es-PA"/>
              </w:rPr>
              <w:t xml:space="preserve"> </w:t>
            </w:r>
            <w:r w:rsidR="00B70E30">
              <w:rPr>
                <w:rFonts w:ascii="Arial" w:hAnsi="Arial" w:cs="Arial"/>
                <w:lang w:val="es-PA"/>
              </w:rPr>
              <w:t>los</w:t>
            </w:r>
            <w:r w:rsidR="00794AC0">
              <w:rPr>
                <w:rFonts w:ascii="Arial" w:hAnsi="Arial" w:cs="Arial"/>
                <w:lang w:val="es-PA"/>
              </w:rPr>
              <w:t xml:space="preserve"> contratos con sus suplidores </w:t>
            </w:r>
            <w:r w:rsidR="00B45F21">
              <w:rPr>
                <w:rFonts w:ascii="Arial" w:hAnsi="Arial" w:cs="Arial"/>
                <w:lang w:val="es-PA"/>
              </w:rPr>
              <w:t>para</w:t>
            </w:r>
            <w:r w:rsidR="00D03758">
              <w:rPr>
                <w:rFonts w:ascii="Arial" w:hAnsi="Arial" w:cs="Arial"/>
                <w:lang w:val="es-PA"/>
              </w:rPr>
              <w:t>:</w:t>
            </w:r>
            <w:r w:rsidR="00B45F21">
              <w:rPr>
                <w:rFonts w:ascii="Arial" w:hAnsi="Arial" w:cs="Arial"/>
                <w:lang w:val="es-PA"/>
              </w:rPr>
              <w:t xml:space="preserve"> </w:t>
            </w:r>
            <w:r w:rsidR="00281127">
              <w:rPr>
                <w:rFonts w:ascii="Arial" w:hAnsi="Arial" w:cs="Arial"/>
                <w:lang w:val="es-PA"/>
              </w:rPr>
              <w:t xml:space="preserve">i) </w:t>
            </w:r>
            <w:r w:rsidR="001F3A7B">
              <w:rPr>
                <w:rFonts w:ascii="Arial" w:hAnsi="Arial" w:cs="Arial"/>
                <w:lang w:val="es-PA"/>
              </w:rPr>
              <w:t>que éstos reporten sistemáticamente sus estadísticas de SSO (horas-hombres trabajadas, #accidentes con tiempo perdid</w:t>
            </w:r>
            <w:r w:rsidR="00CB7922">
              <w:rPr>
                <w:rFonts w:ascii="Arial" w:hAnsi="Arial" w:cs="Arial"/>
                <w:lang w:val="es-PA"/>
              </w:rPr>
              <w:t>o</w:t>
            </w:r>
            <w:r w:rsidR="001F3A7B">
              <w:rPr>
                <w:rFonts w:ascii="Arial" w:hAnsi="Arial" w:cs="Arial"/>
                <w:lang w:val="es-PA"/>
              </w:rPr>
              <w:t>, # días perdidos por accidentes laborales); y</w:t>
            </w:r>
            <w:r w:rsidR="00CB7922">
              <w:rPr>
                <w:rFonts w:ascii="Arial" w:hAnsi="Arial" w:cs="Arial"/>
                <w:lang w:val="es-PA"/>
              </w:rPr>
              <w:t xml:space="preserve"> </w:t>
            </w:r>
            <w:proofErr w:type="spellStart"/>
            <w:r w:rsidR="00CB7922">
              <w:rPr>
                <w:rFonts w:ascii="Arial" w:hAnsi="Arial" w:cs="Arial"/>
                <w:lang w:val="es-PA"/>
              </w:rPr>
              <w:t>ii</w:t>
            </w:r>
            <w:proofErr w:type="spellEnd"/>
            <w:r w:rsidR="00CB7922">
              <w:rPr>
                <w:rFonts w:ascii="Arial" w:hAnsi="Arial" w:cs="Arial"/>
                <w:lang w:val="es-PA"/>
              </w:rPr>
              <w:t xml:space="preserve">) a </w:t>
            </w:r>
            <w:r w:rsidR="00B45F21">
              <w:rPr>
                <w:rFonts w:ascii="Arial" w:hAnsi="Arial" w:cs="Arial"/>
                <w:lang w:val="es-PA"/>
              </w:rPr>
              <w:t>garantizar que éstos</w:t>
            </w:r>
            <w:r w:rsidR="00DB41AA">
              <w:rPr>
                <w:rFonts w:ascii="Arial" w:hAnsi="Arial" w:cs="Arial"/>
                <w:lang w:val="es-PA"/>
              </w:rPr>
              <w:t xml:space="preserve"> </w:t>
            </w:r>
            <w:r w:rsidR="00FF09A3">
              <w:rPr>
                <w:rFonts w:ascii="Arial" w:hAnsi="Arial" w:cs="Arial"/>
                <w:lang w:val="es-PA"/>
              </w:rPr>
              <w:t>evalúen y monitoreen su cadena de suministro para evitar cualquier indicio de trabajo forzoso.</w:t>
            </w:r>
            <w:r w:rsidR="00794AC0">
              <w:rPr>
                <w:rFonts w:ascii="Arial" w:hAnsi="Arial" w:cs="Arial"/>
                <w:lang w:val="es-PA"/>
              </w:rPr>
              <w:t xml:space="preserve"> </w:t>
            </w:r>
            <w:r>
              <w:rPr>
                <w:rFonts w:ascii="Arial" w:hAnsi="Arial" w:cs="Arial"/>
                <w:lang w:val="es-PA"/>
              </w:rPr>
              <w:t xml:space="preserve"> </w:t>
            </w:r>
          </w:p>
        </w:tc>
        <w:tc>
          <w:tcPr>
            <w:tcW w:w="1349" w:type="pct"/>
            <w:tcBorders>
              <w:top w:val="single" w:sz="4" w:space="0" w:color="auto"/>
              <w:bottom w:val="single" w:sz="4" w:space="0" w:color="auto"/>
            </w:tcBorders>
          </w:tcPr>
          <w:p w14:paraId="4C52AE11" w14:textId="7C0BAEF3" w:rsidR="008A122E" w:rsidRPr="00794AC0" w:rsidRDefault="00FF09A3" w:rsidP="008A529E">
            <w:pPr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Contratos de Suministro y de Obra.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14:paraId="1AEC9AF8" w14:textId="1B823555" w:rsidR="008A122E" w:rsidRPr="001C6034" w:rsidRDefault="00FE7EA1" w:rsidP="008A529E">
            <w:pPr>
              <w:rPr>
                <w:rFonts w:ascii="Arial" w:hAnsi="Arial" w:cs="Arial"/>
                <w:lang w:val="es-PA"/>
              </w:rPr>
            </w:pPr>
            <w:r>
              <w:rPr>
                <w:rFonts w:ascii="Arial" w:hAnsi="Arial" w:cs="Arial"/>
                <w:lang w:val="es-PA"/>
              </w:rPr>
              <w:t>Antes del primer desembolso del préstamo</w:t>
            </w:r>
          </w:p>
        </w:tc>
      </w:tr>
      <w:tr w:rsidR="008A122E" w:rsidRPr="00FE7EA1" w14:paraId="57ADF80D" w14:textId="77777777" w:rsidTr="006829E8"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1BEC358C" w14:textId="77777777" w:rsidR="008A122E" w:rsidRPr="0095796D" w:rsidRDefault="008A122E" w:rsidP="008A529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089" w:type="pct"/>
            <w:tcBorders>
              <w:top w:val="single" w:sz="4" w:space="0" w:color="auto"/>
              <w:bottom w:val="single" w:sz="4" w:space="0" w:color="auto"/>
            </w:tcBorders>
          </w:tcPr>
          <w:p w14:paraId="4FCF04D7" w14:textId="6CBB8CA5" w:rsidR="008A122E" w:rsidRPr="00A52A6E" w:rsidRDefault="00E82820" w:rsidP="008A529E">
            <w:pPr>
              <w:rPr>
                <w:rFonts w:ascii="Arial" w:hAnsi="Arial" w:cs="Arial"/>
                <w:lang w:val="es-PA"/>
              </w:rPr>
            </w:pPr>
            <w:r>
              <w:rPr>
                <w:rFonts w:ascii="Arial" w:hAnsi="Arial" w:cs="Arial"/>
                <w:lang w:val="es-PA"/>
              </w:rPr>
              <w:t>Mecanismo de Quejas</w:t>
            </w:r>
          </w:p>
        </w:tc>
        <w:tc>
          <w:tcPr>
            <w:tcW w:w="1634" w:type="pct"/>
            <w:tcBorders>
              <w:top w:val="single" w:sz="4" w:space="0" w:color="auto"/>
              <w:bottom w:val="single" w:sz="4" w:space="0" w:color="auto"/>
            </w:tcBorders>
          </w:tcPr>
          <w:p w14:paraId="53F999CD" w14:textId="195458BF" w:rsidR="008A122E" w:rsidRPr="00A52A6E" w:rsidRDefault="00E82820" w:rsidP="008A529E">
            <w:pPr>
              <w:jc w:val="both"/>
              <w:rPr>
                <w:rFonts w:ascii="Arial" w:hAnsi="Arial" w:cs="Arial"/>
                <w:lang w:val="es-PA"/>
              </w:rPr>
            </w:pPr>
            <w:r>
              <w:rPr>
                <w:rFonts w:ascii="Arial" w:hAnsi="Arial" w:cs="Arial"/>
                <w:lang w:val="es-PA"/>
              </w:rPr>
              <w:t>Desarrollar un Mecanismo de Quejas en el cual las partes internas y externas puedan presentar sus quejas de forma anónima</w:t>
            </w:r>
            <w:r w:rsidR="00C77D51">
              <w:rPr>
                <w:rFonts w:ascii="Arial" w:hAnsi="Arial" w:cs="Arial"/>
                <w:lang w:val="es-PA"/>
              </w:rPr>
              <w:t xml:space="preserve"> y sin temor a retaliación. </w:t>
            </w:r>
          </w:p>
        </w:tc>
        <w:tc>
          <w:tcPr>
            <w:tcW w:w="1349" w:type="pct"/>
            <w:tcBorders>
              <w:top w:val="single" w:sz="4" w:space="0" w:color="auto"/>
              <w:bottom w:val="single" w:sz="4" w:space="0" w:color="auto"/>
            </w:tcBorders>
          </w:tcPr>
          <w:p w14:paraId="298E2451" w14:textId="07B3665F" w:rsidR="008A122E" w:rsidRPr="00E82820" w:rsidRDefault="00C77D51" w:rsidP="008A529E">
            <w:pPr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lang w:val="es-419"/>
              </w:rPr>
              <w:t>Mecanismo de Quejas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14:paraId="1326EF10" w14:textId="63A9BB99" w:rsidR="008A122E" w:rsidRPr="00A52A6E" w:rsidRDefault="00FE7EA1" w:rsidP="008A529E">
            <w:pPr>
              <w:rPr>
                <w:rFonts w:ascii="Arial" w:hAnsi="Arial" w:cs="Arial"/>
                <w:lang w:val="es-PA"/>
              </w:rPr>
            </w:pPr>
            <w:r>
              <w:rPr>
                <w:rFonts w:ascii="Arial" w:hAnsi="Arial" w:cs="Arial"/>
                <w:lang w:val="es-PA"/>
              </w:rPr>
              <w:t>Antes del primer desembolso del préstamo</w:t>
            </w:r>
          </w:p>
        </w:tc>
      </w:tr>
    </w:tbl>
    <w:p w14:paraId="3AFED926" w14:textId="77777777" w:rsidR="00FA3747" w:rsidRPr="00E82820" w:rsidRDefault="00FA3747" w:rsidP="00FA3747">
      <w:pPr>
        <w:rPr>
          <w:rFonts w:ascii="Arial" w:hAnsi="Arial" w:cs="Arial"/>
          <w:lang w:val="es-419"/>
        </w:rPr>
      </w:pPr>
    </w:p>
    <w:sectPr w:rsidR="00FA3747" w:rsidRPr="00E8282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40EA5" w14:textId="77777777" w:rsidR="0019277F" w:rsidRDefault="0019277F" w:rsidP="002C1690">
      <w:pPr>
        <w:spacing w:after="0" w:line="240" w:lineRule="auto"/>
      </w:pPr>
      <w:r>
        <w:separator/>
      </w:r>
    </w:p>
  </w:endnote>
  <w:endnote w:type="continuationSeparator" w:id="0">
    <w:p w14:paraId="5E561874" w14:textId="77777777" w:rsidR="0019277F" w:rsidRDefault="0019277F" w:rsidP="002C1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9DAA3" w14:textId="77777777" w:rsidR="0019277F" w:rsidRDefault="0019277F" w:rsidP="002C1690">
      <w:pPr>
        <w:spacing w:after="0" w:line="240" w:lineRule="auto"/>
      </w:pPr>
      <w:r>
        <w:separator/>
      </w:r>
    </w:p>
  </w:footnote>
  <w:footnote w:type="continuationSeparator" w:id="0">
    <w:p w14:paraId="0091C6B5" w14:textId="77777777" w:rsidR="0019277F" w:rsidRDefault="0019277F" w:rsidP="002C1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47945" w14:textId="74BA10F2" w:rsidR="002C1690" w:rsidRDefault="00CA7414">
    <w:pPr>
      <w:pStyle w:val="Header"/>
    </w:pPr>
    <w:r>
      <w:rPr>
        <w:noProof/>
      </w:rPr>
      <w:drawing>
        <wp:inline distT="0" distB="0" distL="0" distR="0" wp14:anchorId="2128F8B2" wp14:editId="6293DA6F">
          <wp:extent cx="1435100" cy="314875"/>
          <wp:effectExtent l="0" t="0" r="0" b="9525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352" cy="3215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924CF"/>
    <w:multiLevelType w:val="hybridMultilevel"/>
    <w:tmpl w:val="C1B265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2A60FF"/>
    <w:multiLevelType w:val="hybridMultilevel"/>
    <w:tmpl w:val="A6405D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E66A96"/>
    <w:multiLevelType w:val="multilevel"/>
    <w:tmpl w:val="8D28D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 Narrow" w:hAnsi="Arial Narrow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40615A2"/>
    <w:multiLevelType w:val="hybridMultilevel"/>
    <w:tmpl w:val="505AF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73129"/>
    <w:multiLevelType w:val="hybridMultilevel"/>
    <w:tmpl w:val="80AE18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193320"/>
    <w:multiLevelType w:val="hybridMultilevel"/>
    <w:tmpl w:val="017065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B6B68DF"/>
    <w:multiLevelType w:val="hybridMultilevel"/>
    <w:tmpl w:val="E34210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3323F2A"/>
    <w:multiLevelType w:val="hybridMultilevel"/>
    <w:tmpl w:val="F46ECC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00C33"/>
    <w:multiLevelType w:val="multilevel"/>
    <w:tmpl w:val="2B5838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88020885">
    <w:abstractNumId w:val="2"/>
  </w:num>
  <w:num w:numId="2" w16cid:durableId="468204021">
    <w:abstractNumId w:val="4"/>
  </w:num>
  <w:num w:numId="3" w16cid:durableId="1735395222">
    <w:abstractNumId w:val="0"/>
  </w:num>
  <w:num w:numId="4" w16cid:durableId="409229766">
    <w:abstractNumId w:val="5"/>
  </w:num>
  <w:num w:numId="5" w16cid:durableId="435564521">
    <w:abstractNumId w:val="1"/>
  </w:num>
  <w:num w:numId="6" w16cid:durableId="2083604888">
    <w:abstractNumId w:val="6"/>
  </w:num>
  <w:num w:numId="7" w16cid:durableId="2070573238">
    <w:abstractNumId w:val="7"/>
  </w:num>
  <w:num w:numId="8" w16cid:durableId="1962152233">
    <w:abstractNumId w:val="3"/>
  </w:num>
  <w:num w:numId="9" w16cid:durableId="9259238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022"/>
    <w:rsid w:val="00027FD1"/>
    <w:rsid w:val="00051DCE"/>
    <w:rsid w:val="000870C3"/>
    <w:rsid w:val="000B5DB8"/>
    <w:rsid w:val="000D1BAF"/>
    <w:rsid w:val="000D719E"/>
    <w:rsid w:val="000E23DA"/>
    <w:rsid w:val="000F3F4C"/>
    <w:rsid w:val="000F58D1"/>
    <w:rsid w:val="001102E9"/>
    <w:rsid w:val="00124666"/>
    <w:rsid w:val="00132D68"/>
    <w:rsid w:val="00134F77"/>
    <w:rsid w:val="00147C06"/>
    <w:rsid w:val="001529D6"/>
    <w:rsid w:val="00155860"/>
    <w:rsid w:val="00180778"/>
    <w:rsid w:val="001871CA"/>
    <w:rsid w:val="0019277F"/>
    <w:rsid w:val="001C25C3"/>
    <w:rsid w:val="001F3A7B"/>
    <w:rsid w:val="001F6284"/>
    <w:rsid w:val="00203D51"/>
    <w:rsid w:val="002343DA"/>
    <w:rsid w:val="00255BD8"/>
    <w:rsid w:val="00262B46"/>
    <w:rsid w:val="00270DDB"/>
    <w:rsid w:val="002746F5"/>
    <w:rsid w:val="00281127"/>
    <w:rsid w:val="002A3253"/>
    <w:rsid w:val="002A5FE3"/>
    <w:rsid w:val="002C1690"/>
    <w:rsid w:val="002F3580"/>
    <w:rsid w:val="002F36C5"/>
    <w:rsid w:val="00322DF9"/>
    <w:rsid w:val="00335764"/>
    <w:rsid w:val="00356592"/>
    <w:rsid w:val="00366C32"/>
    <w:rsid w:val="00382664"/>
    <w:rsid w:val="003971B1"/>
    <w:rsid w:val="003B1D3E"/>
    <w:rsid w:val="003B25C9"/>
    <w:rsid w:val="003C3074"/>
    <w:rsid w:val="003C6670"/>
    <w:rsid w:val="003D1F74"/>
    <w:rsid w:val="004079DE"/>
    <w:rsid w:val="00412098"/>
    <w:rsid w:val="00424701"/>
    <w:rsid w:val="00443022"/>
    <w:rsid w:val="004613BE"/>
    <w:rsid w:val="00486659"/>
    <w:rsid w:val="004B3E77"/>
    <w:rsid w:val="004C19EF"/>
    <w:rsid w:val="004C4426"/>
    <w:rsid w:val="004D3944"/>
    <w:rsid w:val="004D7D81"/>
    <w:rsid w:val="004E059E"/>
    <w:rsid w:val="004E6139"/>
    <w:rsid w:val="00503460"/>
    <w:rsid w:val="005101FE"/>
    <w:rsid w:val="0052049A"/>
    <w:rsid w:val="00523FBA"/>
    <w:rsid w:val="005273C6"/>
    <w:rsid w:val="00536F83"/>
    <w:rsid w:val="005406F0"/>
    <w:rsid w:val="00557DF3"/>
    <w:rsid w:val="00580EB4"/>
    <w:rsid w:val="00584BF5"/>
    <w:rsid w:val="005C31B4"/>
    <w:rsid w:val="005C3420"/>
    <w:rsid w:val="005D0EA3"/>
    <w:rsid w:val="00624E6C"/>
    <w:rsid w:val="00640A4E"/>
    <w:rsid w:val="006625FA"/>
    <w:rsid w:val="0066397C"/>
    <w:rsid w:val="00681E7D"/>
    <w:rsid w:val="006829E8"/>
    <w:rsid w:val="006940CB"/>
    <w:rsid w:val="006B41B1"/>
    <w:rsid w:val="006E298B"/>
    <w:rsid w:val="006E466B"/>
    <w:rsid w:val="006E5976"/>
    <w:rsid w:val="006F6BD3"/>
    <w:rsid w:val="00736E4D"/>
    <w:rsid w:val="0077653D"/>
    <w:rsid w:val="00790F7A"/>
    <w:rsid w:val="00794AC0"/>
    <w:rsid w:val="007B71A8"/>
    <w:rsid w:val="007E0FE2"/>
    <w:rsid w:val="007E3DA1"/>
    <w:rsid w:val="007E5578"/>
    <w:rsid w:val="007E68E9"/>
    <w:rsid w:val="00865680"/>
    <w:rsid w:val="00881E85"/>
    <w:rsid w:val="008828F6"/>
    <w:rsid w:val="00894C15"/>
    <w:rsid w:val="008A122E"/>
    <w:rsid w:val="008D20E1"/>
    <w:rsid w:val="008E1525"/>
    <w:rsid w:val="00906AA3"/>
    <w:rsid w:val="00906D84"/>
    <w:rsid w:val="00941D1C"/>
    <w:rsid w:val="0094582D"/>
    <w:rsid w:val="00974E10"/>
    <w:rsid w:val="009875CB"/>
    <w:rsid w:val="009A0827"/>
    <w:rsid w:val="009E0A60"/>
    <w:rsid w:val="009E4BBB"/>
    <w:rsid w:val="00A043A6"/>
    <w:rsid w:val="00A053E7"/>
    <w:rsid w:val="00A208DC"/>
    <w:rsid w:val="00A25B40"/>
    <w:rsid w:val="00A41F78"/>
    <w:rsid w:val="00A5178B"/>
    <w:rsid w:val="00A532D1"/>
    <w:rsid w:val="00A60B7D"/>
    <w:rsid w:val="00A97228"/>
    <w:rsid w:val="00AA301C"/>
    <w:rsid w:val="00AA61B3"/>
    <w:rsid w:val="00AB145C"/>
    <w:rsid w:val="00AC5E8C"/>
    <w:rsid w:val="00AF7012"/>
    <w:rsid w:val="00B1394B"/>
    <w:rsid w:val="00B25717"/>
    <w:rsid w:val="00B25EC2"/>
    <w:rsid w:val="00B37CED"/>
    <w:rsid w:val="00B45AE8"/>
    <w:rsid w:val="00B45F21"/>
    <w:rsid w:val="00B70E30"/>
    <w:rsid w:val="00B871E8"/>
    <w:rsid w:val="00BA1EFA"/>
    <w:rsid w:val="00BB48A8"/>
    <w:rsid w:val="00BC44DB"/>
    <w:rsid w:val="00BD4E24"/>
    <w:rsid w:val="00BE17B6"/>
    <w:rsid w:val="00C423BE"/>
    <w:rsid w:val="00C501F3"/>
    <w:rsid w:val="00C7113F"/>
    <w:rsid w:val="00C77D51"/>
    <w:rsid w:val="00C92C0C"/>
    <w:rsid w:val="00C96464"/>
    <w:rsid w:val="00CA68E7"/>
    <w:rsid w:val="00CA7414"/>
    <w:rsid w:val="00CB7922"/>
    <w:rsid w:val="00CD5870"/>
    <w:rsid w:val="00CE1078"/>
    <w:rsid w:val="00CF699C"/>
    <w:rsid w:val="00D03758"/>
    <w:rsid w:val="00D2560C"/>
    <w:rsid w:val="00D51FD8"/>
    <w:rsid w:val="00D95621"/>
    <w:rsid w:val="00DB41AA"/>
    <w:rsid w:val="00DF64A1"/>
    <w:rsid w:val="00E16BD6"/>
    <w:rsid w:val="00E31B15"/>
    <w:rsid w:val="00E355F8"/>
    <w:rsid w:val="00E45FBE"/>
    <w:rsid w:val="00E46BBE"/>
    <w:rsid w:val="00E818F3"/>
    <w:rsid w:val="00E82820"/>
    <w:rsid w:val="00E85024"/>
    <w:rsid w:val="00EB4F1D"/>
    <w:rsid w:val="00EC2A57"/>
    <w:rsid w:val="00F36B73"/>
    <w:rsid w:val="00F4472A"/>
    <w:rsid w:val="00F53483"/>
    <w:rsid w:val="00F60D64"/>
    <w:rsid w:val="00F71E69"/>
    <w:rsid w:val="00FA1EB1"/>
    <w:rsid w:val="00FA3747"/>
    <w:rsid w:val="00FB7A1F"/>
    <w:rsid w:val="00FE1778"/>
    <w:rsid w:val="00FE7EA1"/>
    <w:rsid w:val="00FF09A3"/>
    <w:rsid w:val="00FF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A03D6"/>
  <w15:chartTrackingRefBased/>
  <w15:docId w15:val="{633E061E-DCFF-487E-8A7D-0260E388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C31B4"/>
    <w:pPr>
      <w:tabs>
        <w:tab w:val="left" w:pos="709"/>
      </w:tabs>
      <w:spacing w:after="240" w:line="240" w:lineRule="auto"/>
      <w:ind w:left="708"/>
    </w:pPr>
    <w:rPr>
      <w:rFonts w:ascii="Arial" w:eastAsia="Times New Roman" w:hAnsi="Arial" w:cs="Arial"/>
      <w:sz w:val="20"/>
      <w:szCs w:val="20"/>
      <w:lang w:val="es-MX" w:eastAsia="es-ES"/>
    </w:rPr>
  </w:style>
  <w:style w:type="paragraph" w:customStyle="1" w:styleId="Estilo1">
    <w:name w:val="Estilo1"/>
    <w:basedOn w:val="Title"/>
    <w:link w:val="Estilo1Car"/>
    <w:qFormat/>
    <w:rsid w:val="005C31B4"/>
    <w:rPr>
      <w:rFonts w:ascii="Arial" w:hAnsi="Arial" w:cs="Arial"/>
      <w:lang w:val="es-HN" w:eastAsia="es-ES"/>
    </w:rPr>
  </w:style>
  <w:style w:type="character" w:customStyle="1" w:styleId="Estilo1Car">
    <w:name w:val="Estilo1 Car"/>
    <w:basedOn w:val="TitleChar"/>
    <w:link w:val="Estilo1"/>
    <w:rsid w:val="005C31B4"/>
    <w:rPr>
      <w:rFonts w:ascii="Arial" w:eastAsiaTheme="majorEastAsia" w:hAnsi="Arial" w:cs="Arial"/>
      <w:spacing w:val="-10"/>
      <w:kern w:val="28"/>
      <w:sz w:val="56"/>
      <w:szCs w:val="56"/>
      <w:lang w:val="es-HN" w:eastAsia="es-E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C31B4"/>
    <w:rPr>
      <w:rFonts w:ascii="Arial" w:eastAsia="Times New Roman" w:hAnsi="Arial" w:cs="Arial"/>
      <w:sz w:val="20"/>
      <w:szCs w:val="20"/>
      <w:lang w:val="es-MX" w:eastAsia="es-ES"/>
    </w:rPr>
  </w:style>
  <w:style w:type="paragraph" w:styleId="Title">
    <w:name w:val="Title"/>
    <w:basedOn w:val="Normal"/>
    <w:next w:val="Normal"/>
    <w:link w:val="TitleChar"/>
    <w:uiPriority w:val="10"/>
    <w:qFormat/>
    <w:rsid w:val="005C31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31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ootnoteText">
    <w:name w:val="footnote text"/>
    <w:aliases w:val="fn,Texto nota pie IIRSA,Car,ft,footnote,Texto,nota,pie,Ref.,al,F1,texto de nota al pie,NOTA AL PIE TESIS PUCP,foottextfra,F,footnote text,Geneva 9,Font: Geneva 9,Boston 10,f,Fußnotentextr,Texto nota pie Car Car,single space,Fußn"/>
    <w:basedOn w:val="Normal"/>
    <w:link w:val="FootnoteTextChar"/>
    <w:uiPriority w:val="99"/>
    <w:unhideWhenUsed/>
    <w:rsid w:val="0094582D"/>
    <w:pPr>
      <w:spacing w:after="0" w:line="240" w:lineRule="auto"/>
    </w:pPr>
    <w:rPr>
      <w:sz w:val="20"/>
      <w:szCs w:val="20"/>
      <w:lang w:val="es-HN"/>
    </w:rPr>
  </w:style>
  <w:style w:type="character" w:customStyle="1" w:styleId="FootnoteTextChar">
    <w:name w:val="Footnote Text Char"/>
    <w:aliases w:val="fn Char,Texto nota pie IIRSA Char,Car Char,ft Char,footnote Char,Texto Char,nota Char,pie Char,Ref. Char,al Char,F1 Char,texto de nota al pie Char,NOTA AL PIE TESIS PUCP Char,foottextfra Char,F Char,footnote text Char,Geneva 9 Char"/>
    <w:basedOn w:val="DefaultParagraphFont"/>
    <w:link w:val="FootnoteText"/>
    <w:uiPriority w:val="99"/>
    <w:rsid w:val="0094582D"/>
    <w:rPr>
      <w:sz w:val="20"/>
      <w:szCs w:val="20"/>
      <w:lang w:val="es-HN"/>
    </w:rPr>
  </w:style>
  <w:style w:type="paragraph" w:styleId="Header">
    <w:name w:val="header"/>
    <w:basedOn w:val="Normal"/>
    <w:link w:val="HeaderChar"/>
    <w:uiPriority w:val="99"/>
    <w:unhideWhenUsed/>
    <w:rsid w:val="002C1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1690"/>
  </w:style>
  <w:style w:type="paragraph" w:styleId="Footer">
    <w:name w:val="footer"/>
    <w:basedOn w:val="Normal"/>
    <w:link w:val="FooterChar"/>
    <w:uiPriority w:val="99"/>
    <w:unhideWhenUsed/>
    <w:rsid w:val="002C1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1690"/>
  </w:style>
  <w:style w:type="character" w:styleId="Strong">
    <w:name w:val="Strong"/>
    <w:basedOn w:val="DefaultParagraphFont"/>
    <w:uiPriority w:val="22"/>
    <w:qFormat/>
    <w:rsid w:val="00BD4E24"/>
    <w:rPr>
      <w:b/>
      <w:bCs/>
    </w:rPr>
  </w:style>
  <w:style w:type="paragraph" w:customStyle="1" w:styleId="Estilo2">
    <w:name w:val="Estilo2"/>
    <w:basedOn w:val="ListParagraph"/>
    <w:link w:val="Estilo2Car"/>
    <w:qFormat/>
    <w:rsid w:val="00BD4E24"/>
    <w:pPr>
      <w:tabs>
        <w:tab w:val="clear" w:pos="709"/>
      </w:tabs>
      <w:spacing w:after="160" w:line="259" w:lineRule="auto"/>
      <w:ind w:left="720"/>
      <w:contextualSpacing/>
    </w:pPr>
    <w:rPr>
      <w:rFonts w:ascii="Arial Narrow" w:hAnsi="Arial Narrow"/>
      <w:u w:val="single"/>
      <w:lang w:val="es-HN"/>
    </w:rPr>
  </w:style>
  <w:style w:type="character" w:customStyle="1" w:styleId="Estilo2Car">
    <w:name w:val="Estilo2 Car"/>
    <w:basedOn w:val="ListParagraphChar"/>
    <w:link w:val="Estilo2"/>
    <w:rsid w:val="00BD4E24"/>
    <w:rPr>
      <w:rFonts w:ascii="Arial Narrow" w:eastAsia="Times New Roman" w:hAnsi="Arial Narrow" w:cs="Arial"/>
      <w:sz w:val="20"/>
      <w:szCs w:val="20"/>
      <w:u w:val="single"/>
      <w:lang w:val="es-HN" w:eastAsia="es-ES"/>
    </w:rPr>
  </w:style>
  <w:style w:type="table" w:styleId="TableGrid">
    <w:name w:val="Table Grid"/>
    <w:basedOn w:val="TableNormal"/>
    <w:uiPriority w:val="39"/>
    <w:rsid w:val="0046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titulo 2,16 Point,Superscript 6 Point,ftref,Fußnotenzeichen DISS,BVI fnr, BVI fnr,Знак сноски 1,referencia nota al pie,FC,Footnote Referencefra,Ref. de nota al pie.,Stinking Styles11,Texto de nota al pie,Footnote symbol,Footnote"/>
    <w:basedOn w:val="DefaultParagraphFont"/>
    <w:uiPriority w:val="99"/>
    <w:unhideWhenUsed/>
    <w:rsid w:val="004613B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D1F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1F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1F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F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F7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01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 LastSyncTimeStamp="2022-04-13T16:45:15.69Z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2087C95A7ADF6498C43503E3C8240BC" ma:contentTypeVersion="0" ma:contentTypeDescription="A content type to manage public (operations) IDB documents" ma:contentTypeScope="" ma:versionID="b95170dd9428d3ccdbe8fe0f92131a3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e9c99d6efd84ae3a59f0c62c01494c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  <NewComponentId>&lt;FormUrls xmlns="http://schemas.microsoft.com/sharepoint/v3/contenttype/forms/url"&gt;&lt;Display&gt;_catalogs/masterpage/ECMForms/DisclosureOperationsCT/View.aspx&lt;/Display&gt;&lt;Edit&gt;_catalogs/masterpage/ECMForms/DisclosureOperationsCT/Edit.aspx&lt;/Edit&gt;&lt;/FormUrls&gt;</NewComponentId>
  <DisplayFormTarget>NewWindow</DisplayFormTarget>
  <EditFormTarget>NewWindow</EditFormTarget>
  <NewFormTarget>NewWindow</NewFormTarge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LAB/FIA</Division_x0020_or_x0020_Unit>
    <Fiscal_x0020_Year_x0020_IDB xmlns="cdc7663a-08f0-4737-9e8c-148ce897a09c">2022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Environmental and Social Risk Management</TermName>
          <TermId xmlns="http://schemas.microsoft.com/office/infopath/2007/PartnerControls">24bef61f-13fe-49fb-8944-c01660937ef9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Urena Solis Laura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CLIMATE CHANGE FINANCING</TermName>
          <TermId xmlns="http://schemas.microsoft.com/office/infopath/2007/PartnerControls">0721090b-7598-4438-912e-9210b5215a71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MSF</TermName>
          <TermId xmlns="http://schemas.microsoft.com/office/infopath/2007/PartnerControls">29774789-3933-4f04-9f18-05cb6cc7310e</TermId>
        </TermInfo>
      </Terms>
    </g511464f9e53401d84b16fa9b379a574>
    <Related_x0020_SisCor_x0020_Number xmlns="cdc7663a-08f0-4737-9e8c-148ce897a09c" xsi:nil="true"/>
    <TaxCatchAll xmlns="cdc7663a-08f0-4737-9e8c-148ce897a09c">
      <Value>178</Value>
      <Value>207</Value>
      <Value>59</Value>
      <Value>20</Value>
      <Value>8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RG-L1166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Record_x0020_Number xmlns="cdc7663a-08f0-4737-9e8c-148ce897a09c" xsi:nil="true"/>
    <Extracted_x0020_Keywords xmlns="cdc7663a-08f0-4737-9e8c-148ce897a09c" xsi:nil="true"/>
    <_dlc_DocId xmlns="cdc7663a-08f0-4737-9e8c-148ce897a09c">EZSHARE-1549033933-5</_dlc_DocId>
    <_dlc_DocIdUrl xmlns="cdc7663a-08f0-4737-9e8c-148ce897a09c">
      <Url>https://idbg.sharepoint.com/teams/EZ-RG-LON/RG-L1166/_layouts/15/DocIdRedir.aspx?ID=EZSHARE-1549033933-5</Url>
      <Description>EZSHARE-1549033933-5</Description>
    </_dlc_DocIdUrl>
    <Disclosure_x0020_Activity xmlns="cdc7663a-08f0-4737-9e8c-148ce897a09c">Environmental and Social Review Summary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30D4D561-FBEC-42CA-9A03-78FB340A9AAC}"/>
</file>

<file path=customXml/itemProps2.xml><?xml version="1.0" encoding="utf-8"?>
<ds:datastoreItem xmlns:ds="http://schemas.openxmlformats.org/officeDocument/2006/customXml" ds:itemID="{5F919F39-5A30-41BA-ACEC-C2689CF4B574}"/>
</file>

<file path=customXml/itemProps3.xml><?xml version="1.0" encoding="utf-8"?>
<ds:datastoreItem xmlns:ds="http://schemas.openxmlformats.org/officeDocument/2006/customXml" ds:itemID="{2442D8A5-B301-4994-B9B7-1D21D7835A68}"/>
</file>

<file path=customXml/itemProps4.xml><?xml version="1.0" encoding="utf-8"?>
<ds:datastoreItem xmlns:ds="http://schemas.openxmlformats.org/officeDocument/2006/customXml" ds:itemID="{4BC4A8CC-7E1D-469C-8D2C-CAEB987CD1DD}"/>
</file>

<file path=customXml/itemProps5.xml><?xml version="1.0" encoding="utf-8"?>
<ds:datastoreItem xmlns:ds="http://schemas.openxmlformats.org/officeDocument/2006/customXml" ds:itemID="{8643E12A-4A2A-4EF1-B0E3-7662CB563240}"/>
</file>

<file path=customXml/itemProps6.xml><?xml version="1.0" encoding="utf-8"?>
<ds:datastoreItem xmlns:ds="http://schemas.openxmlformats.org/officeDocument/2006/customXml" ds:itemID="{F5203D4B-7949-4F4D-ACBC-0027A069EC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821</Words>
  <Characters>4454</Characters>
  <Application>Microsoft Office Word</Application>
  <DocSecurity>0</DocSecurity>
  <Lines>164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ERM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Rowena Cerro</dc:creator>
  <cp:keywords/>
  <dc:description/>
  <cp:lastModifiedBy>Garcia de Paredes, Margarita Raquel</cp:lastModifiedBy>
  <cp:revision>14</cp:revision>
  <dcterms:created xsi:type="dcterms:W3CDTF">2022-11-03T13:16:00Z</dcterms:created>
  <dcterms:modified xsi:type="dcterms:W3CDTF">2022-11-03T13:29:00Z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-1171190491</vt:i4>
  </property>
  <property fmtid="{D5CDD505-2E9C-101B-9397-08002B2CF9AE}" pid="3" name="_NewReviewCycle">
    <vt:lpwstr/>
  </property>
  <property fmtid="{D5CDD505-2E9C-101B-9397-08002B2CF9AE}" pid="4" name="_EmailSubject">
    <vt:lpwstr>SARAS revisado</vt:lpwstr>
  </property>
  <property fmtid="{D5CDD505-2E9C-101B-9397-08002B2CF9AE}" pid="5" name="_AuthorEmail">
    <vt:lpwstr>Ricardo.Calvo@erm.com</vt:lpwstr>
  </property>
  <property fmtid="{D5CDD505-2E9C-101B-9397-08002B2CF9AE}" pid="6" name="_AuthorEmailDisplayName">
    <vt:lpwstr>Ricardo Calvo</vt:lpwstr>
  </property>
  <property fmtid="{D5CDD505-2E9C-101B-9397-08002B2CF9AE}" pid="7" name="_ReviewingToolsShownOnce">
    <vt:lpwstr/>
  </property>
  <property fmtid="{D5CDD505-2E9C-101B-9397-08002B2CF9AE}" pid="8" name="ContentTypeId">
    <vt:lpwstr>0x0101001A458A224826124E8B45B1D613300CFC0052087C95A7ADF6498C43503E3C8240BC</vt:lpwstr>
  </property>
  <property fmtid="{D5CDD505-2E9C-101B-9397-08002B2CF9AE}" pid="9" name="TaxKeyword">
    <vt:lpwstr/>
  </property>
  <property fmtid="{D5CDD505-2E9C-101B-9397-08002B2CF9AE}" pid="10" name="Sub_x002d_Sector">
    <vt:lpwstr/>
  </property>
  <property fmtid="{D5CDD505-2E9C-101B-9397-08002B2CF9AE}" pid="11" name="TaxKeywordTaxHTField">
    <vt:lpwstr/>
  </property>
  <property fmtid="{D5CDD505-2E9C-101B-9397-08002B2CF9AE}" pid="12" name="Country">
    <vt:lpwstr>20;#Regional|2537a5b7-6d8e-482c-94dc-32c3cc44ff65</vt:lpwstr>
  </property>
  <property fmtid="{D5CDD505-2E9C-101B-9397-08002B2CF9AE}" pid="13" name="Fund_x0020_IDB">
    <vt:lpwstr/>
  </property>
  <property fmtid="{D5CDD505-2E9C-101B-9397-08002B2CF9AE}" pid="14" name="Series_x0020_Operations_x0020_IDB">
    <vt:lpwstr/>
  </property>
  <property fmtid="{D5CDD505-2E9C-101B-9397-08002B2CF9AE}" pid="15" name="Function Operations IDB">
    <vt:lpwstr>8;#Environmental and Social Risk Management|24bef61f-13fe-49fb-8944-c01660937ef9</vt:lpwstr>
  </property>
  <property fmtid="{D5CDD505-2E9C-101B-9397-08002B2CF9AE}" pid="16" name="Sector_x0020_IDB">
    <vt:lpwstr/>
  </property>
  <property fmtid="{D5CDD505-2E9C-101B-9397-08002B2CF9AE}" pid="17" name="Sub-Sector">
    <vt:lpwstr>207;#CLIMATE CHANGE FINANCING|0721090b-7598-4438-912e-9210b5215a71</vt:lpwstr>
  </property>
  <property fmtid="{D5CDD505-2E9C-101B-9397-08002B2CF9AE}" pid="19" name="Fund IDB">
    <vt:lpwstr>59;#MSF|29774789-3933-4f04-9f18-05cb6cc7310e</vt:lpwstr>
  </property>
  <property fmtid="{D5CDD505-2E9C-101B-9397-08002B2CF9AE}" pid="20" name="Sector IDB">
    <vt:lpwstr>178;#ENVIRONMENT AND NATURAL DISASTERS|261e2b33-090b-4ab0-8e06-3aa3e7f32d57</vt:lpwstr>
  </property>
  <property fmtid="{D5CDD505-2E9C-101B-9397-08002B2CF9AE}" pid="21" name="_dlc_DocIdItemGuid">
    <vt:lpwstr>149fd3ed-2608-4bba-9765-2e28af677726</vt:lpwstr>
  </property>
  <property fmtid="{D5CDD505-2E9C-101B-9397-08002B2CF9AE}" pid="22" name="Series Operations IDB">
    <vt:lpwstr/>
  </property>
</Properties>
</file>