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Ex1.xml" ContentType="application/vnd.ms-office.chartex+xml"/>
  <Override PartName="/word/charts/style4.xml" ContentType="application/vnd.ms-office.chartstyle+xml"/>
  <Override PartName="/word/charts/colors4.xml" ContentType="application/vnd.ms-office.chartcolorstyle+xml"/>
  <Override PartName="/word/charts/chart4.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5.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F1255" w14:textId="3B7EE86A" w:rsidR="00303B98" w:rsidRDefault="00642104" w:rsidP="00163943">
      <w:pPr>
        <w:pStyle w:val="IntenseQuote"/>
      </w:pPr>
      <w:r>
        <w:t xml:space="preserve">Situación Epidemiológica y </w:t>
      </w:r>
      <w:r w:rsidR="006D3956">
        <w:t>Respuesta ante el Covid-19 en la República de Panamá</w:t>
      </w:r>
    </w:p>
    <w:p w14:paraId="6782D7DE" w14:textId="77777777" w:rsidR="009E3AEA" w:rsidRDefault="00523FCB" w:rsidP="00DE6212">
      <w:pPr>
        <w:jc w:val="both"/>
        <w:rPr>
          <w:lang w:val="es-419"/>
        </w:rPr>
      </w:pPr>
      <w:r>
        <w:rPr>
          <w:lang w:val="es-419"/>
        </w:rPr>
        <w:t xml:space="preserve">El primer caso de Covid-19 en Panamá fue diagnosticado el 9 de marzo producto de la aplicación de 105 pruebas </w:t>
      </w:r>
      <w:r w:rsidR="00F541EE">
        <w:rPr>
          <w:lang w:val="es-419"/>
        </w:rPr>
        <w:t xml:space="preserve">de PCR mediante hisopado faríngeo </w:t>
      </w:r>
      <w:r>
        <w:rPr>
          <w:lang w:val="es-419"/>
        </w:rPr>
        <w:t>(</w:t>
      </w:r>
      <w:r w:rsidR="0072520F">
        <w:rPr>
          <w:lang w:val="es-419"/>
        </w:rPr>
        <w:t xml:space="preserve">a </w:t>
      </w:r>
      <w:r>
        <w:rPr>
          <w:lang w:val="es-419"/>
        </w:rPr>
        <w:t xml:space="preserve">igual número de sospechosos de presentar la enfermedad porque tenían síntomas respiratorios y habían viajado recientemente a un país con </w:t>
      </w:r>
      <w:r w:rsidR="00F541EE">
        <w:rPr>
          <w:lang w:val="es-419"/>
        </w:rPr>
        <w:t>casos de covid-19</w:t>
      </w:r>
      <w:r>
        <w:rPr>
          <w:lang w:val="es-419"/>
        </w:rPr>
        <w:t>)</w:t>
      </w:r>
      <w:r w:rsidR="00F541EE">
        <w:rPr>
          <w:lang w:val="es-419"/>
        </w:rPr>
        <w:t xml:space="preserve">. </w:t>
      </w:r>
    </w:p>
    <w:p w14:paraId="4AA8669D" w14:textId="5E58F633" w:rsidR="006D3956" w:rsidRDefault="0072520F" w:rsidP="00DE6212">
      <w:pPr>
        <w:jc w:val="both"/>
        <w:rPr>
          <w:lang w:val="es-419"/>
        </w:rPr>
      </w:pPr>
      <w:r>
        <w:rPr>
          <w:lang w:val="es-419"/>
        </w:rPr>
        <w:t>Al modificarse la definición de “caso sospechoso” dependiendo del escenario o fases de la pandemia (</w:t>
      </w:r>
      <w:r w:rsidRPr="00DE6212">
        <w:rPr>
          <w:b/>
          <w:bCs/>
          <w:lang w:val="es-419"/>
        </w:rPr>
        <w:t>Fase 1</w:t>
      </w:r>
      <w:r w:rsidR="00E94EC5" w:rsidRPr="00DE6212">
        <w:rPr>
          <w:b/>
          <w:bCs/>
          <w:lang w:val="es-419"/>
        </w:rPr>
        <w:t>: Preparación</w:t>
      </w:r>
      <w:r w:rsidR="00E94EC5">
        <w:rPr>
          <w:lang w:val="es-419"/>
        </w:rPr>
        <w:t>, las medidas estuvieron orientadas al aislamiento de personas infectadas o que viajaron a zonas de riesgo</w:t>
      </w:r>
      <w:r w:rsidR="006E2A69">
        <w:rPr>
          <w:lang w:val="es-419"/>
        </w:rPr>
        <w:t xml:space="preserve">. </w:t>
      </w:r>
      <w:r w:rsidR="006E2A69" w:rsidRPr="00DE6212">
        <w:rPr>
          <w:b/>
          <w:bCs/>
          <w:lang w:val="es-419"/>
        </w:rPr>
        <w:t>Fase 2: Contención</w:t>
      </w:r>
      <w:r w:rsidR="006E2A69">
        <w:rPr>
          <w:lang w:val="es-419"/>
        </w:rPr>
        <w:t xml:space="preserve">, identificación de las personas que trajeron importada la enfermedad desde el extranjero para lograr una contención adecuada del virus. </w:t>
      </w:r>
      <w:r w:rsidR="006E2A69" w:rsidRPr="00DE6212">
        <w:rPr>
          <w:b/>
          <w:bCs/>
          <w:lang w:val="es-419"/>
        </w:rPr>
        <w:t>Fase 3</w:t>
      </w:r>
      <w:r w:rsidR="004B4774" w:rsidRPr="00DE6212">
        <w:rPr>
          <w:b/>
          <w:bCs/>
          <w:lang w:val="es-419"/>
        </w:rPr>
        <w:t>: Conta</w:t>
      </w:r>
      <w:r w:rsidR="00DE6212">
        <w:rPr>
          <w:b/>
          <w:bCs/>
          <w:lang w:val="es-419"/>
        </w:rPr>
        <w:t>gio</w:t>
      </w:r>
      <w:r w:rsidR="004B4774" w:rsidRPr="00DE6212">
        <w:rPr>
          <w:b/>
          <w:bCs/>
          <w:lang w:val="es-419"/>
        </w:rPr>
        <w:t xml:space="preserve"> Comunitario</w:t>
      </w:r>
      <w:r w:rsidR="004B4774">
        <w:rPr>
          <w:lang w:val="es-419"/>
        </w:rPr>
        <w:t>, cuando</w:t>
      </w:r>
      <w:r w:rsidR="004B4774" w:rsidRPr="004B4774">
        <w:rPr>
          <w:lang w:val="es-419"/>
        </w:rPr>
        <w:t xml:space="preserve"> se sobrepasa</w:t>
      </w:r>
      <w:r w:rsidR="004B4774">
        <w:rPr>
          <w:lang w:val="es-419"/>
        </w:rPr>
        <w:t>ron</w:t>
      </w:r>
      <w:r w:rsidR="004B4774" w:rsidRPr="004B4774">
        <w:rPr>
          <w:lang w:val="es-419"/>
        </w:rPr>
        <w:t xml:space="preserve"> los casos contenidos y se conoc</w:t>
      </w:r>
      <w:r w:rsidR="004B4774">
        <w:rPr>
          <w:lang w:val="es-419"/>
        </w:rPr>
        <w:t>i</w:t>
      </w:r>
      <w:r w:rsidR="004B4774" w:rsidRPr="004B4774">
        <w:rPr>
          <w:lang w:val="es-419"/>
        </w:rPr>
        <w:t>e</w:t>
      </w:r>
      <w:r w:rsidR="004B4774">
        <w:rPr>
          <w:lang w:val="es-419"/>
        </w:rPr>
        <w:t>ron</w:t>
      </w:r>
      <w:r w:rsidR="004B4774" w:rsidRPr="004B4774">
        <w:rPr>
          <w:lang w:val="es-419"/>
        </w:rPr>
        <w:t xml:space="preserve"> casos que no </w:t>
      </w:r>
      <w:r w:rsidR="004B4774">
        <w:rPr>
          <w:lang w:val="es-419"/>
        </w:rPr>
        <w:t>tenían</w:t>
      </w:r>
      <w:r w:rsidR="004B4774" w:rsidRPr="004B4774">
        <w:rPr>
          <w:lang w:val="es-419"/>
        </w:rPr>
        <w:t xml:space="preserve"> relación con los pacientes importados</w:t>
      </w:r>
      <w:r w:rsidR="004B4774">
        <w:rPr>
          <w:lang w:val="es-419"/>
        </w:rPr>
        <w:t xml:space="preserve">. </w:t>
      </w:r>
      <w:r w:rsidR="004B4774" w:rsidRPr="00DE6212">
        <w:rPr>
          <w:b/>
          <w:bCs/>
          <w:lang w:val="es-419"/>
        </w:rPr>
        <w:t>Fase 4: Transmisión Sostenida</w:t>
      </w:r>
      <w:r w:rsidR="004B4774">
        <w:rPr>
          <w:lang w:val="es-419"/>
        </w:rPr>
        <w:t xml:space="preserve">, </w:t>
      </w:r>
      <w:r w:rsidR="003D0DFC" w:rsidRPr="003D0DFC">
        <w:rPr>
          <w:lang w:val="es-419"/>
        </w:rPr>
        <w:t xml:space="preserve">las </w:t>
      </w:r>
      <w:r w:rsidR="003D0DFC">
        <w:rPr>
          <w:lang w:val="es-419"/>
        </w:rPr>
        <w:t>acciones son de prevenir la expansión de casos, manejo clínico de los casos</w:t>
      </w:r>
      <w:r w:rsidR="00564887">
        <w:rPr>
          <w:lang w:val="es-419"/>
        </w:rPr>
        <w:t>,</w:t>
      </w:r>
      <w:r w:rsidR="00DE6212">
        <w:rPr>
          <w:lang w:val="es-419"/>
        </w:rPr>
        <w:t xml:space="preserve"> </w:t>
      </w:r>
      <w:r w:rsidR="003D0DFC" w:rsidRPr="003D0DFC">
        <w:rPr>
          <w:lang w:val="es-419"/>
        </w:rPr>
        <w:t>el manejo oportuno de la emergencia y garantizar los recursos</w:t>
      </w:r>
      <w:r w:rsidR="00DE6212">
        <w:rPr>
          <w:lang w:val="es-419"/>
        </w:rPr>
        <w:t>)</w:t>
      </w:r>
      <w:r w:rsidR="00570E1A">
        <w:rPr>
          <w:lang w:val="es-419"/>
        </w:rPr>
        <w:t>,</w:t>
      </w:r>
      <w:r w:rsidR="009E3AEA">
        <w:rPr>
          <w:lang w:val="es-419"/>
        </w:rPr>
        <w:t xml:space="preserve"> la cantidad de muestra tomadas fue incrementando (</w:t>
      </w:r>
      <w:r w:rsidR="002C44C0">
        <w:rPr>
          <w:lang w:val="es-419"/>
        </w:rPr>
        <w:t xml:space="preserve">y </w:t>
      </w:r>
      <w:r w:rsidR="009E3AEA">
        <w:rPr>
          <w:lang w:val="es-419"/>
        </w:rPr>
        <w:t>esperamos que siga incrementando)</w:t>
      </w:r>
      <w:r w:rsidR="00163943">
        <w:rPr>
          <w:lang w:val="es-419"/>
        </w:rPr>
        <w:t xml:space="preserve"> debido a que</w:t>
      </w:r>
      <w:r w:rsidR="0034130D">
        <w:rPr>
          <w:lang w:val="es-419"/>
        </w:rPr>
        <w:t>,</w:t>
      </w:r>
      <w:r w:rsidR="00163943">
        <w:rPr>
          <w:lang w:val="es-419"/>
        </w:rPr>
        <w:t xml:space="preserve"> </w:t>
      </w:r>
      <w:r w:rsidR="002C44C0">
        <w:rPr>
          <w:lang w:val="es-419"/>
        </w:rPr>
        <w:t>al detectar transmisión comunitaria</w:t>
      </w:r>
      <w:r w:rsidR="0034130D">
        <w:rPr>
          <w:lang w:val="es-419"/>
        </w:rPr>
        <w:t>,</w:t>
      </w:r>
      <w:r w:rsidR="002C44C0">
        <w:rPr>
          <w:lang w:val="es-419"/>
        </w:rPr>
        <w:t xml:space="preserve"> el antecedente de viaje o el contacto con viajero salió de la definición de caso</w:t>
      </w:r>
      <w:r w:rsidR="00A12B36">
        <w:rPr>
          <w:lang w:val="es-419"/>
        </w:rPr>
        <w:t xml:space="preserve"> </w:t>
      </w:r>
      <w:r w:rsidR="002C44C0">
        <w:rPr>
          <w:lang w:val="es-419"/>
        </w:rPr>
        <w:t>s</w:t>
      </w:r>
      <w:r w:rsidR="00A12B36">
        <w:rPr>
          <w:lang w:val="es-419"/>
        </w:rPr>
        <w:t>ospechoso</w:t>
      </w:r>
      <w:r w:rsidR="009E3AEA">
        <w:rPr>
          <w:lang w:val="es-419"/>
        </w:rPr>
        <w:t>. Hasta el 26 de abril 2020</w:t>
      </w:r>
      <w:r w:rsidR="00A12B36">
        <w:rPr>
          <w:lang w:val="es-419"/>
        </w:rPr>
        <w:t>,</w:t>
      </w:r>
      <w:r w:rsidR="009E3AEA">
        <w:rPr>
          <w:lang w:val="es-419"/>
        </w:rPr>
        <w:t xml:space="preserve"> se han </w:t>
      </w:r>
      <w:r w:rsidR="00C73E29">
        <w:rPr>
          <w:lang w:val="es-419"/>
        </w:rPr>
        <w:t>diagnosticado</w:t>
      </w:r>
      <w:r w:rsidR="009E3AEA">
        <w:rPr>
          <w:lang w:val="es-419"/>
        </w:rPr>
        <w:t xml:space="preserve"> un total de 5,779 casos </w:t>
      </w:r>
      <w:r w:rsidR="00C73E29">
        <w:rPr>
          <w:lang w:val="es-419"/>
        </w:rPr>
        <w:t>producto de la aplicación de</w:t>
      </w:r>
      <w:r w:rsidR="009E3AEA">
        <w:rPr>
          <w:lang w:val="es-419"/>
        </w:rPr>
        <w:t xml:space="preserve"> un total de </w:t>
      </w:r>
      <w:r w:rsidR="00C73E29">
        <w:rPr>
          <w:lang w:val="es-419"/>
        </w:rPr>
        <w:t>26,641 pruebas. (Ver gráfico 1)</w:t>
      </w:r>
    </w:p>
    <w:p w14:paraId="362FEA8C" w14:textId="66AA6D95" w:rsidR="00B05FB9" w:rsidRDefault="00B86429">
      <w:pPr>
        <w:rPr>
          <w:lang w:val="es-419"/>
        </w:rPr>
      </w:pPr>
      <w:r>
        <w:rPr>
          <w:noProof/>
        </w:rPr>
        <w:drawing>
          <wp:inline distT="0" distB="0" distL="0" distR="0" wp14:anchorId="333AEA1C" wp14:editId="484ECD68">
            <wp:extent cx="5934075" cy="2374265"/>
            <wp:effectExtent l="0" t="0" r="9525" b="6985"/>
            <wp:docPr id="1" name="Chart 1">
              <a:extLst xmlns:a="http://schemas.openxmlformats.org/drawingml/2006/main">
                <a:ext uri="{FF2B5EF4-FFF2-40B4-BE49-F238E27FC236}">
                  <a16:creationId xmlns:a16="http://schemas.microsoft.com/office/drawing/2014/main" id="{A54CB960-9B3A-4DB4-829C-515F7227F5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847ECA5" w14:textId="77777777" w:rsidR="008164BD" w:rsidRPr="008164BD" w:rsidRDefault="008164BD" w:rsidP="008164BD">
      <w:pPr>
        <w:rPr>
          <w:sz w:val="18"/>
          <w:szCs w:val="18"/>
          <w:lang w:val="es-419"/>
        </w:rPr>
      </w:pPr>
      <w:r w:rsidRPr="008164BD">
        <w:rPr>
          <w:sz w:val="18"/>
          <w:szCs w:val="18"/>
          <w:lang w:val="es-419"/>
        </w:rPr>
        <w:t>Fuente: Ministerio de Salud, comparecencias diarias del Equipo Multidisciplinario de Panamá.</w:t>
      </w:r>
    </w:p>
    <w:p w14:paraId="7D3EE337" w14:textId="51984370" w:rsidR="00B05FB9" w:rsidRDefault="00D87FDD" w:rsidP="00A92673">
      <w:pPr>
        <w:jc w:val="both"/>
        <w:rPr>
          <w:lang w:val="es-419"/>
        </w:rPr>
      </w:pPr>
      <w:r>
        <w:rPr>
          <w:lang w:val="es-419"/>
        </w:rPr>
        <w:t>Desde los primeros días de la pandemia en Panamá el número de pruebas realizadas y los casos captados ha</w:t>
      </w:r>
      <w:r w:rsidR="005453BF">
        <w:rPr>
          <w:lang w:val="es-419"/>
        </w:rPr>
        <w:t>n</w:t>
      </w:r>
      <w:r>
        <w:rPr>
          <w:lang w:val="es-419"/>
        </w:rPr>
        <w:t xml:space="preserve"> sido mayor que en </w:t>
      </w:r>
      <w:r w:rsidR="005453BF">
        <w:rPr>
          <w:lang w:val="es-419"/>
        </w:rPr>
        <w:t xml:space="preserve">la mayoría de </w:t>
      </w:r>
      <w:r>
        <w:rPr>
          <w:lang w:val="es-419"/>
        </w:rPr>
        <w:t>los países de la Región.</w:t>
      </w:r>
      <w:r w:rsidR="000A4772">
        <w:rPr>
          <w:lang w:val="es-419"/>
        </w:rPr>
        <w:t xml:space="preserve"> Como se puede apreciar en el gráfico 2, a</w:t>
      </w:r>
      <w:r w:rsidR="00C73E29">
        <w:rPr>
          <w:lang w:val="es-419"/>
        </w:rPr>
        <w:t>l realizar un análisis por semana, se identifica un incremento de l</w:t>
      </w:r>
      <w:r w:rsidR="00A92673">
        <w:rPr>
          <w:lang w:val="es-419"/>
        </w:rPr>
        <w:t xml:space="preserve">as pruebas </w:t>
      </w:r>
      <w:r w:rsidR="00A56677">
        <w:rPr>
          <w:lang w:val="es-419"/>
        </w:rPr>
        <w:t xml:space="preserve">realizadas </w:t>
      </w:r>
      <w:r w:rsidR="00A92673">
        <w:rPr>
          <w:lang w:val="es-419"/>
        </w:rPr>
        <w:t xml:space="preserve">que permite diagnosticar mayor número de casos. </w:t>
      </w:r>
      <w:r w:rsidR="00506678" w:rsidRPr="00087FC5">
        <w:rPr>
          <w:b/>
          <w:bCs/>
          <w:lang w:val="es-419"/>
        </w:rPr>
        <w:t xml:space="preserve">Aunque el número de casos tiene una tendencia hacia el incremento, el porcentaje de positividad </w:t>
      </w:r>
      <w:r w:rsidR="00D601C2" w:rsidRPr="00087FC5">
        <w:rPr>
          <w:b/>
          <w:bCs/>
          <w:lang w:val="es-419"/>
        </w:rPr>
        <w:t xml:space="preserve">(número de resultados positivos entre el número de muestras) </w:t>
      </w:r>
      <w:r w:rsidR="00506678" w:rsidRPr="00087FC5">
        <w:rPr>
          <w:b/>
          <w:bCs/>
          <w:lang w:val="es-419"/>
        </w:rPr>
        <w:t>va disminuyendo, señal de que el número de casos en la comunidad se va estabilizando y con tendencia hacia la disminución.</w:t>
      </w:r>
      <w:r w:rsidR="00A92673">
        <w:rPr>
          <w:lang w:val="es-419"/>
        </w:rPr>
        <w:t xml:space="preserve"> </w:t>
      </w:r>
    </w:p>
    <w:p w14:paraId="4961C2C3" w14:textId="13F4C045" w:rsidR="005453BF" w:rsidRDefault="009978DE">
      <w:pPr>
        <w:rPr>
          <w:lang w:val="es-419"/>
        </w:rPr>
      </w:pPr>
      <w:r>
        <w:rPr>
          <w:noProof/>
        </w:rPr>
        <w:lastRenderedPageBreak/>
        <w:drawing>
          <wp:inline distT="0" distB="0" distL="0" distR="0" wp14:anchorId="2A1AFA58" wp14:editId="1B97DF81">
            <wp:extent cx="5819775" cy="3028950"/>
            <wp:effectExtent l="0" t="0" r="9525" b="0"/>
            <wp:docPr id="3" name="Chart 3">
              <a:extLst xmlns:a="http://schemas.openxmlformats.org/drawingml/2006/main">
                <a:ext uri="{FF2B5EF4-FFF2-40B4-BE49-F238E27FC236}">
                  <a16:creationId xmlns:a16="http://schemas.microsoft.com/office/drawing/2014/main" id="{A586A70F-0BB5-4A91-A37D-B1A07934BB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74A4BBB" w14:textId="77777777" w:rsidR="008164BD" w:rsidRPr="008164BD" w:rsidRDefault="008164BD" w:rsidP="008164BD">
      <w:pPr>
        <w:rPr>
          <w:sz w:val="18"/>
          <w:szCs w:val="18"/>
          <w:lang w:val="es-419"/>
        </w:rPr>
      </w:pPr>
      <w:r w:rsidRPr="008164BD">
        <w:rPr>
          <w:sz w:val="18"/>
          <w:szCs w:val="18"/>
          <w:lang w:val="es-419"/>
        </w:rPr>
        <w:t>Fuente: Ministerio de Salud, comparecencias diarias del Equipo Multidisciplinario de Panamá.</w:t>
      </w:r>
    </w:p>
    <w:p w14:paraId="61647623" w14:textId="2C66256A" w:rsidR="002320B1" w:rsidRDefault="002320B1">
      <w:pPr>
        <w:rPr>
          <w:lang w:val="es-419"/>
        </w:rPr>
      </w:pPr>
      <w:r>
        <w:rPr>
          <w:lang w:val="es-419"/>
        </w:rPr>
        <w:t xml:space="preserve">La captación temprana de los casos hace que </w:t>
      </w:r>
      <w:r w:rsidR="00585901">
        <w:rPr>
          <w:lang w:val="es-419"/>
        </w:rPr>
        <w:t>la mayoría de los casos (4</w:t>
      </w:r>
      <w:r w:rsidR="00087FC5">
        <w:rPr>
          <w:lang w:val="es-419"/>
        </w:rPr>
        <w:t>,</w:t>
      </w:r>
      <w:r w:rsidR="00585901">
        <w:rPr>
          <w:lang w:val="es-419"/>
        </w:rPr>
        <w:t>906 casos e</w:t>
      </w:r>
      <w:r w:rsidR="0047620E">
        <w:rPr>
          <w:lang w:val="es-419"/>
        </w:rPr>
        <w:t>n la actualidad</w:t>
      </w:r>
      <w:r w:rsidR="00585901">
        <w:rPr>
          <w:lang w:val="es-419"/>
        </w:rPr>
        <w:t xml:space="preserve">) sean manejados en su hogar o en las habitaciones de hotel habilitadas para tal fin. </w:t>
      </w:r>
      <w:r w:rsidR="0047620E">
        <w:rPr>
          <w:lang w:val="es-419"/>
        </w:rPr>
        <w:t>A partir del día</w:t>
      </w:r>
      <w:r w:rsidR="00F62F33">
        <w:rPr>
          <w:lang w:val="es-419"/>
        </w:rPr>
        <w:t xml:space="preserve"> 35</w:t>
      </w:r>
      <w:r w:rsidR="0047620E">
        <w:rPr>
          <w:lang w:val="es-419"/>
        </w:rPr>
        <w:t xml:space="preserve"> después de la identificación del primer caso, se </w:t>
      </w:r>
      <w:r w:rsidR="00F62F33">
        <w:rPr>
          <w:lang w:val="es-419"/>
        </w:rPr>
        <w:t>nota estabilización de la curva de pacientes en cuidados intensivos</w:t>
      </w:r>
      <w:r w:rsidR="00CE58C8">
        <w:rPr>
          <w:lang w:val="es-419"/>
        </w:rPr>
        <w:t>, según se muestra en el gráfico 3</w:t>
      </w:r>
      <w:r w:rsidR="00F62F33">
        <w:rPr>
          <w:lang w:val="es-419"/>
        </w:rPr>
        <w:t xml:space="preserve">. </w:t>
      </w:r>
    </w:p>
    <w:p w14:paraId="6B61418D" w14:textId="45EA524F" w:rsidR="002320B1" w:rsidRDefault="00585901">
      <w:pPr>
        <w:rPr>
          <w:lang w:val="es-419"/>
        </w:rPr>
      </w:pPr>
      <w:r>
        <w:rPr>
          <w:noProof/>
        </w:rPr>
        <w:drawing>
          <wp:inline distT="0" distB="0" distL="0" distR="0" wp14:anchorId="49647478" wp14:editId="32C298AD">
            <wp:extent cx="5943600" cy="3024505"/>
            <wp:effectExtent l="0" t="0" r="0" b="4445"/>
            <wp:docPr id="8" name="Chart 8">
              <a:extLst xmlns:a="http://schemas.openxmlformats.org/drawingml/2006/main">
                <a:ext uri="{FF2B5EF4-FFF2-40B4-BE49-F238E27FC236}">
                  <a16:creationId xmlns:a16="http://schemas.microsoft.com/office/drawing/2014/main" id="{2693DC8D-F11F-4F37-BFB3-D5D9B42C898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DB4A78B" w14:textId="6407BBCF" w:rsidR="002320B1" w:rsidRPr="008164BD" w:rsidRDefault="00F62F33">
      <w:pPr>
        <w:rPr>
          <w:sz w:val="18"/>
          <w:szCs w:val="18"/>
          <w:lang w:val="es-419"/>
        </w:rPr>
      </w:pPr>
      <w:r w:rsidRPr="008164BD">
        <w:rPr>
          <w:sz w:val="18"/>
          <w:szCs w:val="18"/>
          <w:lang w:val="es-419"/>
        </w:rPr>
        <w:t xml:space="preserve">Fuente: </w:t>
      </w:r>
      <w:r w:rsidR="00B10B1B" w:rsidRPr="008164BD">
        <w:rPr>
          <w:sz w:val="18"/>
          <w:szCs w:val="18"/>
          <w:lang w:val="es-419"/>
        </w:rPr>
        <w:t xml:space="preserve">Ministerio de Salud, comparecencias diarias del Equipo </w:t>
      </w:r>
      <w:r w:rsidR="008164BD" w:rsidRPr="008164BD">
        <w:rPr>
          <w:sz w:val="18"/>
          <w:szCs w:val="18"/>
          <w:lang w:val="es-419"/>
        </w:rPr>
        <w:t>Multidisciplinario de Panamá.</w:t>
      </w:r>
    </w:p>
    <w:p w14:paraId="2F80C6A6" w14:textId="659DBCF4" w:rsidR="009978DE" w:rsidRDefault="00506678">
      <w:pPr>
        <w:rPr>
          <w:lang w:val="es-419"/>
        </w:rPr>
      </w:pPr>
      <w:r>
        <w:rPr>
          <w:lang w:val="es-419"/>
        </w:rPr>
        <w:t xml:space="preserve">Al comparar a Panamá con otros países de la Región, se </w:t>
      </w:r>
      <w:r w:rsidR="00A83910">
        <w:rPr>
          <w:lang w:val="es-419"/>
        </w:rPr>
        <w:t xml:space="preserve">puede observar que mantiene un ritmo creciente constante de número de casos que está explicado por el número creciente de pruebas aplicadas. En </w:t>
      </w:r>
      <w:r w:rsidR="00642104">
        <w:rPr>
          <w:lang w:val="es-419"/>
        </w:rPr>
        <w:t>la figura a continuación</w:t>
      </w:r>
      <w:r w:rsidR="00A83910">
        <w:rPr>
          <w:lang w:val="es-419"/>
        </w:rPr>
        <w:t xml:space="preserve">, se muestra, en una escala logarítmica </w:t>
      </w:r>
      <w:r w:rsidR="00C43B22">
        <w:rPr>
          <w:lang w:val="es-419"/>
        </w:rPr>
        <w:t xml:space="preserve">que el país ha logrado </w:t>
      </w:r>
      <w:r w:rsidR="00C43B22">
        <w:rPr>
          <w:lang w:val="es-419"/>
        </w:rPr>
        <w:lastRenderedPageBreak/>
        <w:t xml:space="preserve">superar el número mayor de casos y la curva se ha estabilizado aproximadamente desde el día 26 desde la captación del primer caso. </w:t>
      </w:r>
    </w:p>
    <w:p w14:paraId="6DDC6E06" w14:textId="5CA108EC" w:rsidR="00D87FDD" w:rsidRDefault="005453BF">
      <w:pPr>
        <w:rPr>
          <w:lang w:val="es-419"/>
        </w:rPr>
      </w:pPr>
      <w:r w:rsidRPr="005453BF">
        <w:rPr>
          <w:noProof/>
        </w:rPr>
        <w:drawing>
          <wp:inline distT="0" distB="0" distL="0" distR="0" wp14:anchorId="28E01AC8" wp14:editId="07AC6319">
            <wp:extent cx="5943600" cy="325501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255010"/>
                    </a:xfrm>
                    <a:prstGeom prst="rect">
                      <a:avLst/>
                    </a:prstGeom>
                  </pic:spPr>
                </pic:pic>
              </a:graphicData>
            </a:graphic>
          </wp:inline>
        </w:drawing>
      </w:r>
    </w:p>
    <w:p w14:paraId="369E045C" w14:textId="2A028AB1" w:rsidR="00B05FB9" w:rsidRDefault="008E0B38" w:rsidP="005C5E82">
      <w:pPr>
        <w:jc w:val="both"/>
        <w:rPr>
          <w:lang w:val="es-419"/>
        </w:rPr>
      </w:pPr>
      <w:r>
        <w:rPr>
          <w:lang w:val="es-419"/>
        </w:rPr>
        <w:t>Al comparar a Panamá con 20 países de diferentes regiones, se observa que tiene una alta incidencia de Covid-19.</w:t>
      </w:r>
      <w:r w:rsidR="00F43C45">
        <w:rPr>
          <w:lang w:val="es-419"/>
        </w:rPr>
        <w:t xml:space="preserve"> En el gráfico 4, se muestran en orden descendente los países según su incidencia</w:t>
      </w:r>
      <w:r w:rsidR="00746AE6">
        <w:rPr>
          <w:lang w:val="es-419"/>
        </w:rPr>
        <w:t xml:space="preserve">, la línea verde representa el 1%. </w:t>
      </w:r>
      <w:r w:rsidR="005C5E82">
        <w:rPr>
          <w:lang w:val="es-419"/>
        </w:rPr>
        <w:t xml:space="preserve">Panamá </w:t>
      </w:r>
      <w:r w:rsidR="004409D6">
        <w:rPr>
          <w:lang w:val="es-419"/>
        </w:rPr>
        <w:t xml:space="preserve">se ubica en la 8va posición y </w:t>
      </w:r>
      <w:r w:rsidR="005C5E82">
        <w:rPr>
          <w:lang w:val="es-419"/>
        </w:rPr>
        <w:t>presenta al 26 de abril</w:t>
      </w:r>
      <w:r w:rsidR="004409D6">
        <w:rPr>
          <w:lang w:val="es-419"/>
        </w:rPr>
        <w:t>,</w:t>
      </w:r>
      <w:r w:rsidR="005C5E82">
        <w:rPr>
          <w:lang w:val="es-419"/>
        </w:rPr>
        <w:t xml:space="preserve"> </w:t>
      </w:r>
      <w:r w:rsidR="005C5E82" w:rsidRPr="00B95465">
        <w:rPr>
          <w:b/>
          <w:bCs/>
          <w:lang w:val="es-419"/>
        </w:rPr>
        <w:t>una incidencia de 0.14 casos por 100 habitantes</w:t>
      </w:r>
      <w:r w:rsidR="005C5E82">
        <w:rPr>
          <w:lang w:val="es-419"/>
        </w:rPr>
        <w:t>.</w:t>
      </w:r>
    </w:p>
    <w:p w14:paraId="6CF1409A" w14:textId="44E03BA6" w:rsidR="008E0B38" w:rsidRDefault="008E0B38">
      <w:pPr>
        <w:rPr>
          <w:lang w:val="es-419"/>
        </w:rPr>
      </w:pPr>
      <w:r>
        <w:rPr>
          <w:noProof/>
        </w:rPr>
        <w:lastRenderedPageBreak/>
        <mc:AlternateContent>
          <mc:Choice Requires="cx2">
            <w:drawing>
              <wp:inline distT="0" distB="0" distL="0" distR="0" wp14:anchorId="695D21F3" wp14:editId="02055365">
                <wp:extent cx="5943600" cy="3695065"/>
                <wp:effectExtent l="0" t="0" r="0" b="635"/>
                <wp:docPr id="4" name="Chart 4">
                  <a:extLst xmlns:a="http://schemas.openxmlformats.org/drawingml/2006/main">
                    <a:ext uri="{FF2B5EF4-FFF2-40B4-BE49-F238E27FC236}">
                      <a16:creationId xmlns:a16="http://schemas.microsoft.com/office/drawing/2014/main" id="{10A2554E-1A0A-41F4-8115-E52979494AB6}"/>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4"/>
                  </a:graphicData>
                </a:graphic>
              </wp:inline>
            </w:drawing>
          </mc:Choice>
          <mc:Fallback>
            <w:drawing>
              <wp:inline distT="0" distB="0" distL="0" distR="0" wp14:anchorId="695D21F3" wp14:editId="02055365">
                <wp:extent cx="5943600" cy="3695065"/>
                <wp:effectExtent l="0" t="0" r="0" b="635"/>
                <wp:docPr id="4" name="Chart 4">
                  <a:extLst xmlns:a="http://schemas.openxmlformats.org/drawingml/2006/main">
                    <a:ext uri="{FF2B5EF4-FFF2-40B4-BE49-F238E27FC236}">
                      <a16:creationId xmlns:a16="http://schemas.microsoft.com/office/drawing/2014/main" id="{10A2554E-1A0A-41F4-8115-E52979494AB6}"/>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4" name="Chart 4">
                          <a:extLst>
                            <a:ext uri="{FF2B5EF4-FFF2-40B4-BE49-F238E27FC236}">
                              <a16:creationId xmlns:a16="http://schemas.microsoft.com/office/drawing/2014/main" id="{10A2554E-1A0A-41F4-8115-E52979494AB6}"/>
                            </a:ext>
                          </a:extLst>
                        </pic:cNvPr>
                        <pic:cNvPicPr>
                          <a:picLocks noGrp="1" noRot="1" noChangeAspect="1" noMove="1" noResize="1" noEditPoints="1" noAdjustHandles="1" noChangeArrowheads="1" noChangeShapeType="1"/>
                        </pic:cNvPicPr>
                      </pic:nvPicPr>
                      <pic:blipFill>
                        <a:blip r:embed="rId15"/>
                        <a:stretch>
                          <a:fillRect/>
                        </a:stretch>
                      </pic:blipFill>
                      <pic:spPr>
                        <a:xfrm>
                          <a:off x="0" y="0"/>
                          <a:ext cx="5943600" cy="3695065"/>
                        </a:xfrm>
                        <a:prstGeom prst="rect">
                          <a:avLst/>
                        </a:prstGeom>
                      </pic:spPr>
                    </pic:pic>
                  </a:graphicData>
                </a:graphic>
              </wp:inline>
            </w:drawing>
          </mc:Fallback>
        </mc:AlternateContent>
      </w:r>
    </w:p>
    <w:p w14:paraId="3C13E1C6" w14:textId="2A764066" w:rsidR="00642104" w:rsidRPr="00642104" w:rsidRDefault="00642104" w:rsidP="00642104">
      <w:pPr>
        <w:rPr>
          <w:sz w:val="18"/>
          <w:szCs w:val="18"/>
          <w:lang w:val="en-US"/>
        </w:rPr>
      </w:pPr>
      <w:r w:rsidRPr="00642104">
        <w:rPr>
          <w:sz w:val="18"/>
          <w:szCs w:val="18"/>
          <w:lang w:val="en-US"/>
        </w:rPr>
        <w:t>Fuente:</w:t>
      </w:r>
      <w:r w:rsidRPr="00642104">
        <w:rPr>
          <w:lang w:val="en-US"/>
        </w:rPr>
        <w:t xml:space="preserve"> </w:t>
      </w:r>
      <w:r>
        <w:rPr>
          <w:sz w:val="18"/>
          <w:szCs w:val="18"/>
          <w:lang w:val="en-US"/>
        </w:rPr>
        <w:t>D</w:t>
      </w:r>
      <w:r w:rsidRPr="00642104">
        <w:rPr>
          <w:sz w:val="18"/>
          <w:szCs w:val="18"/>
          <w:lang w:val="en-US"/>
        </w:rPr>
        <w:t>ashboard John Hopkins University (JHU), with worldwide data</w:t>
      </w:r>
      <w:r>
        <w:rPr>
          <w:sz w:val="18"/>
          <w:szCs w:val="18"/>
          <w:lang w:val="en-US"/>
        </w:rPr>
        <w:t xml:space="preserve"> </w:t>
      </w:r>
      <w:r w:rsidRPr="00642104">
        <w:rPr>
          <w:sz w:val="18"/>
          <w:szCs w:val="18"/>
          <w:lang w:val="en-US"/>
        </w:rPr>
        <w:t>on COVID-19.</w:t>
      </w:r>
      <w:r>
        <w:rPr>
          <w:sz w:val="18"/>
          <w:szCs w:val="18"/>
          <w:lang w:val="en-US"/>
        </w:rPr>
        <w:t xml:space="preserve"> </w:t>
      </w:r>
      <w:hyperlink r:id="rId16" w:anchor="/bda7594740fd40299423467b48e9ecf6" w:history="1">
        <w:r w:rsidRPr="007A6671">
          <w:rPr>
            <w:rStyle w:val="Hyperlink"/>
            <w:sz w:val="18"/>
            <w:szCs w:val="18"/>
          </w:rPr>
          <w:t>https://gisanddata.maps.arcgis.com/apps/opsdashboard/index.html#/bda7594740fd40299423467b48e9ecf6</w:t>
        </w:r>
      </w:hyperlink>
    </w:p>
    <w:p w14:paraId="70096ADA" w14:textId="1EFE214B" w:rsidR="00B05FB9" w:rsidRDefault="005C5E82">
      <w:pPr>
        <w:rPr>
          <w:lang w:val="es-419"/>
        </w:rPr>
      </w:pPr>
      <w:r>
        <w:rPr>
          <w:lang w:val="es-419"/>
        </w:rPr>
        <w:t xml:space="preserve">Sin embargo, en este mismo grupo de países, la </w:t>
      </w:r>
      <w:r w:rsidR="00A66AE4">
        <w:rPr>
          <w:lang w:val="es-419"/>
        </w:rPr>
        <w:t xml:space="preserve">letalidad </w:t>
      </w:r>
      <w:r w:rsidR="00A66AE4" w:rsidRPr="00AA1463">
        <w:rPr>
          <w:b/>
          <w:bCs/>
          <w:lang w:val="es-419"/>
        </w:rPr>
        <w:t xml:space="preserve">(proporción de fallecidos sobre casos </w:t>
      </w:r>
      <w:r w:rsidR="00AA1463">
        <w:rPr>
          <w:b/>
          <w:bCs/>
          <w:lang w:val="es-419"/>
        </w:rPr>
        <w:t>diagnosticados</w:t>
      </w:r>
      <w:r w:rsidR="00A66AE4" w:rsidRPr="00AA1463">
        <w:rPr>
          <w:b/>
          <w:bCs/>
          <w:lang w:val="es-419"/>
        </w:rPr>
        <w:t>)</w:t>
      </w:r>
      <w:r>
        <w:rPr>
          <w:lang w:val="es-419"/>
        </w:rPr>
        <w:t xml:space="preserve"> se comporta de manera distinta</w:t>
      </w:r>
      <w:r w:rsidR="004409D6">
        <w:rPr>
          <w:lang w:val="es-419"/>
        </w:rPr>
        <w:t xml:space="preserve">, ubicando a Panamá en la posición </w:t>
      </w:r>
      <w:r w:rsidR="005D192C">
        <w:rPr>
          <w:lang w:val="es-419"/>
        </w:rPr>
        <w:t>número 15, con 2.9 fallecidos por cada 100 casos</w:t>
      </w:r>
      <w:r w:rsidR="006D229C">
        <w:rPr>
          <w:lang w:val="es-419"/>
        </w:rPr>
        <w:t xml:space="preserve"> diagnosticados</w:t>
      </w:r>
      <w:r w:rsidR="005D192C">
        <w:rPr>
          <w:lang w:val="es-419"/>
        </w:rPr>
        <w:t xml:space="preserve">. </w:t>
      </w:r>
    </w:p>
    <w:p w14:paraId="0887A846" w14:textId="1F355713" w:rsidR="00E337C5" w:rsidRPr="00016102" w:rsidRDefault="00E337C5">
      <w:pPr>
        <w:rPr>
          <w:b/>
          <w:bCs/>
          <w:lang w:val="es-419"/>
        </w:rPr>
      </w:pPr>
      <w:r w:rsidRPr="00016102">
        <w:rPr>
          <w:b/>
          <w:bCs/>
          <w:lang w:val="es-419"/>
        </w:rPr>
        <w:t>Relacionando los grá</w:t>
      </w:r>
      <w:r w:rsidR="00916A69" w:rsidRPr="00016102">
        <w:rPr>
          <w:b/>
          <w:bCs/>
          <w:lang w:val="es-419"/>
        </w:rPr>
        <w:t xml:space="preserve">ficos 5 y 6, al aumentar la cobertura de pruebas y captar mayor número de casos, la letalidad </w:t>
      </w:r>
      <w:r w:rsidR="00365C63" w:rsidRPr="00016102">
        <w:rPr>
          <w:b/>
          <w:bCs/>
          <w:lang w:val="es-419"/>
        </w:rPr>
        <w:t>baja por efecto automático de aumentar el denominador de número de casos.  No es el único factor que influye sobre la letalidad observada, pero sí es importante notarlo.  El estado de salud de la población y su estructura etárea, antes de la pandemia, son ostros factores, y la respuesta del sistema de salud otro más</w:t>
      </w:r>
      <w:r w:rsidR="00016102" w:rsidRPr="00016102">
        <w:rPr>
          <w:b/>
          <w:bCs/>
          <w:lang w:val="es-419"/>
        </w:rPr>
        <w:t>… que no son tan fáciles de documentar durante la crisis.</w:t>
      </w:r>
    </w:p>
    <w:p w14:paraId="7FD7CF65" w14:textId="4EF8BA15" w:rsidR="004409D6" w:rsidRDefault="004409D6">
      <w:pPr>
        <w:rPr>
          <w:lang w:val="es-419"/>
        </w:rPr>
      </w:pPr>
      <w:r>
        <w:rPr>
          <w:noProof/>
        </w:rPr>
        <w:lastRenderedPageBreak/>
        <w:drawing>
          <wp:inline distT="0" distB="0" distL="0" distR="0" wp14:anchorId="37079B36" wp14:editId="215CF8E6">
            <wp:extent cx="5886450" cy="4033520"/>
            <wp:effectExtent l="0" t="0" r="0" b="5080"/>
            <wp:docPr id="5" name="Chart 5">
              <a:extLst xmlns:a="http://schemas.openxmlformats.org/drawingml/2006/main">
                <a:ext uri="{FF2B5EF4-FFF2-40B4-BE49-F238E27FC236}">
                  <a16:creationId xmlns:a16="http://schemas.microsoft.com/office/drawing/2014/main" id="{69C921D2-F52E-4945-8DC0-21479A82378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AE42EC3" w14:textId="77777777" w:rsidR="00642104" w:rsidRPr="00642104" w:rsidRDefault="00642104" w:rsidP="00642104">
      <w:pPr>
        <w:rPr>
          <w:sz w:val="18"/>
          <w:szCs w:val="18"/>
        </w:rPr>
      </w:pPr>
      <w:r w:rsidRPr="00642104">
        <w:rPr>
          <w:sz w:val="18"/>
          <w:szCs w:val="18"/>
          <w:lang w:val="en-US"/>
        </w:rPr>
        <w:t>Fuente:</w:t>
      </w:r>
      <w:r w:rsidRPr="00642104">
        <w:rPr>
          <w:lang w:val="en-US"/>
        </w:rPr>
        <w:t xml:space="preserve"> </w:t>
      </w:r>
      <w:r>
        <w:rPr>
          <w:sz w:val="18"/>
          <w:szCs w:val="18"/>
          <w:lang w:val="en-US"/>
        </w:rPr>
        <w:t>D</w:t>
      </w:r>
      <w:r w:rsidRPr="00642104">
        <w:rPr>
          <w:sz w:val="18"/>
          <w:szCs w:val="18"/>
          <w:lang w:val="en-US"/>
        </w:rPr>
        <w:t>ashboard John Hopkins University (JHU), with worldwide data</w:t>
      </w:r>
      <w:r>
        <w:rPr>
          <w:sz w:val="18"/>
          <w:szCs w:val="18"/>
          <w:lang w:val="en-US"/>
        </w:rPr>
        <w:t xml:space="preserve"> </w:t>
      </w:r>
      <w:r w:rsidRPr="00642104">
        <w:rPr>
          <w:sz w:val="18"/>
          <w:szCs w:val="18"/>
          <w:lang w:val="en-US"/>
        </w:rPr>
        <w:t>on COVID-19.</w:t>
      </w:r>
      <w:r>
        <w:rPr>
          <w:sz w:val="18"/>
          <w:szCs w:val="18"/>
          <w:lang w:val="en-US"/>
        </w:rPr>
        <w:t xml:space="preserve"> </w:t>
      </w:r>
      <w:hyperlink r:id="rId18" w:anchor="/bda7594740fd40299423467b48e9ecf6" w:history="1">
        <w:r w:rsidRPr="007A6671">
          <w:rPr>
            <w:rStyle w:val="Hyperlink"/>
            <w:sz w:val="18"/>
            <w:szCs w:val="18"/>
          </w:rPr>
          <w:t>https://gisanddata.maps.arcgis.com/apps/opsdashboard/index.html#/bda7594740fd40299423467b48e9ecf6</w:t>
        </w:r>
      </w:hyperlink>
    </w:p>
    <w:p w14:paraId="34CFA676" w14:textId="18ECAEE9" w:rsidR="00653851" w:rsidRDefault="00975193">
      <w:pPr>
        <w:rPr>
          <w:lang w:val="es-419"/>
        </w:rPr>
      </w:pPr>
      <w:r>
        <w:rPr>
          <w:lang w:val="es-419"/>
        </w:rPr>
        <w:t>La cobertura de pruebas diagnósticas en Panamá es de 6276 pruebas por millón de habitantes, lo que en esta selección de países la ubica en la posición 12</w:t>
      </w:r>
      <w:r w:rsidR="00AF675F">
        <w:rPr>
          <w:lang w:val="es-419"/>
        </w:rPr>
        <w:t>. En el gráfico 6 se muestran la distribución de la cobertura de pruebas por país</w:t>
      </w:r>
      <w:r w:rsidR="00390450">
        <w:rPr>
          <w:lang w:val="es-419"/>
        </w:rPr>
        <w:t>, pero e</w:t>
      </w:r>
      <w:r w:rsidR="00E02626">
        <w:rPr>
          <w:lang w:val="es-419"/>
        </w:rPr>
        <w:t>ntre los más altos en ALC (junto con Chile y Perú)</w:t>
      </w:r>
      <w:r w:rsidR="00AF675F">
        <w:rPr>
          <w:lang w:val="es-419"/>
        </w:rPr>
        <w:t xml:space="preserve">. </w:t>
      </w:r>
    </w:p>
    <w:p w14:paraId="1AD5FD23" w14:textId="2953BA17" w:rsidR="00653851" w:rsidRDefault="00A76FD8">
      <w:pPr>
        <w:rPr>
          <w:lang w:val="es-419"/>
        </w:rPr>
      </w:pPr>
      <w:bookmarkStart w:id="0" w:name="_GoBack"/>
      <w:r>
        <w:rPr>
          <w:noProof/>
        </w:rPr>
        <w:lastRenderedPageBreak/>
        <w:drawing>
          <wp:inline distT="0" distB="0" distL="0" distR="0" wp14:anchorId="0C16CFF6" wp14:editId="008FC898">
            <wp:extent cx="4572000" cy="4171950"/>
            <wp:effectExtent l="0" t="0" r="0" b="0"/>
            <wp:docPr id="9" name="Chart 9">
              <a:extLst xmlns:a="http://schemas.openxmlformats.org/drawingml/2006/main">
                <a:ext uri="{FF2B5EF4-FFF2-40B4-BE49-F238E27FC236}">
                  <a16:creationId xmlns:a16="http://schemas.microsoft.com/office/drawing/2014/main" id="{8045B343-452A-492F-B880-E413E9E876D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bookmarkEnd w:id="0"/>
    </w:p>
    <w:p w14:paraId="4EE2D617" w14:textId="77777777" w:rsidR="00642104" w:rsidRPr="00642104" w:rsidRDefault="00642104" w:rsidP="00642104">
      <w:pPr>
        <w:rPr>
          <w:sz w:val="18"/>
          <w:szCs w:val="18"/>
        </w:rPr>
      </w:pPr>
      <w:r w:rsidRPr="00642104">
        <w:rPr>
          <w:sz w:val="18"/>
          <w:szCs w:val="18"/>
          <w:lang w:val="en-US"/>
        </w:rPr>
        <w:t>Fuente:</w:t>
      </w:r>
      <w:r w:rsidRPr="00642104">
        <w:rPr>
          <w:lang w:val="en-US"/>
        </w:rPr>
        <w:t xml:space="preserve"> </w:t>
      </w:r>
      <w:r>
        <w:rPr>
          <w:sz w:val="18"/>
          <w:szCs w:val="18"/>
          <w:lang w:val="en-US"/>
        </w:rPr>
        <w:t>D</w:t>
      </w:r>
      <w:r w:rsidRPr="00642104">
        <w:rPr>
          <w:sz w:val="18"/>
          <w:szCs w:val="18"/>
          <w:lang w:val="en-US"/>
        </w:rPr>
        <w:t>ashboard John Hopkins University (JHU), with worldwide data</w:t>
      </w:r>
      <w:r>
        <w:rPr>
          <w:sz w:val="18"/>
          <w:szCs w:val="18"/>
          <w:lang w:val="en-US"/>
        </w:rPr>
        <w:t xml:space="preserve"> </w:t>
      </w:r>
      <w:r w:rsidRPr="00642104">
        <w:rPr>
          <w:sz w:val="18"/>
          <w:szCs w:val="18"/>
          <w:lang w:val="en-US"/>
        </w:rPr>
        <w:t>on COVID-19.</w:t>
      </w:r>
      <w:r>
        <w:rPr>
          <w:sz w:val="18"/>
          <w:szCs w:val="18"/>
          <w:lang w:val="en-US"/>
        </w:rPr>
        <w:t xml:space="preserve"> </w:t>
      </w:r>
      <w:hyperlink r:id="rId20" w:anchor="/bda7594740fd40299423467b48e9ecf6" w:history="1">
        <w:r w:rsidRPr="007A6671">
          <w:rPr>
            <w:rStyle w:val="Hyperlink"/>
            <w:sz w:val="18"/>
            <w:szCs w:val="18"/>
          </w:rPr>
          <w:t>https://gisanddata.maps.arcgis.com/apps/opsdashboard/index.html#/bda7594740fd40299423467b48e9ecf6</w:t>
        </w:r>
      </w:hyperlink>
    </w:p>
    <w:p w14:paraId="0BD77153" w14:textId="6294D590" w:rsidR="00F14D0B" w:rsidRDefault="00987FA4">
      <w:r>
        <w:t xml:space="preserve">Panamá organizó la respuesta a la pandemia en seis “anillos de seguridad” que fueron aplicando paulatinamente según las fases pandémicas: </w:t>
      </w:r>
    </w:p>
    <w:p w14:paraId="6721D680" w14:textId="29234D39" w:rsidR="00F14D0B" w:rsidRDefault="00F14D0B" w:rsidP="00F14D0B">
      <w:r>
        <w:t xml:space="preserve">Anillo 1: </w:t>
      </w:r>
      <w:r w:rsidR="00F24B77">
        <w:t xml:space="preserve">Acciones de promoción de hábitos saludables como lavado de manos y de distanciamiento social, en los últimos días la obligatoriedad del uso de mascarillas fuera de la casa </w:t>
      </w:r>
      <w:r w:rsidR="0063637D">
        <w:t xml:space="preserve">para todas las personas. Promulgación del toque de queda y la cuarentena obligatoria.  </w:t>
      </w:r>
      <w:r>
        <w:t>Quedarse en casa.</w:t>
      </w:r>
    </w:p>
    <w:p w14:paraId="4FECB1AF" w14:textId="47C75422" w:rsidR="00B526FD" w:rsidRDefault="00F14D0B" w:rsidP="00F14D0B">
      <w:r>
        <w:t>Anillo 2:</w:t>
      </w:r>
      <w:r w:rsidR="0063637D">
        <w:t xml:space="preserve"> </w:t>
      </w:r>
      <w:r w:rsidR="00125AC1">
        <w:t>Identificación de casos sospechosos. Organizar los servicios de diagnóstico con el mínimo contacto físico posible entre el personal de salud y los pacientes</w:t>
      </w:r>
      <w:r w:rsidR="00535437">
        <w:t>, creación de equipos de repuesta rápida para la atención y seguimiento domiciliar de los pacientes</w:t>
      </w:r>
      <w:r w:rsidR="00125AC1">
        <w:t>.</w:t>
      </w:r>
      <w:r w:rsidR="00B526FD">
        <w:t xml:space="preserve"> Tamizaje de temperatura con termómetros láser.</w:t>
      </w:r>
      <w:r w:rsidR="00125AC1">
        <w:t xml:space="preserve"> </w:t>
      </w:r>
      <w:r>
        <w:t xml:space="preserve">R.O.S.A (Respuesta Operativa de Salud Automática) </w:t>
      </w:r>
      <w:r w:rsidR="00B526FD">
        <w:t>y habilitación del número</w:t>
      </w:r>
      <w:r>
        <w:t xml:space="preserve"> 169</w:t>
      </w:r>
      <w:r w:rsidR="00B526FD">
        <w:t xml:space="preserve"> como central telefónica</w:t>
      </w:r>
      <w:r>
        <w:t>.</w:t>
      </w:r>
      <w:r w:rsidR="00B526FD">
        <w:t xml:space="preserve"> </w:t>
      </w:r>
    </w:p>
    <w:p w14:paraId="51EFFF9F" w14:textId="07C38B08" w:rsidR="008617E8" w:rsidRDefault="00F14D0B" w:rsidP="00F14D0B">
      <w:r>
        <w:t>Anillo 3:</w:t>
      </w:r>
      <w:r w:rsidR="00A721BE">
        <w:t xml:space="preserve"> Segmentar la atención de sospechosos de Covid-19 de las otras patologías o urgencias. S</w:t>
      </w:r>
      <w:r w:rsidR="00463E13">
        <w:t>e</w:t>
      </w:r>
      <w:r w:rsidR="00A721BE">
        <w:t xml:space="preserve"> habilitaron espacios exclusivos para el diagnóstico y atención de los casos</w:t>
      </w:r>
      <w:r w:rsidR="008617E8">
        <w:t xml:space="preserve">, mediante </w:t>
      </w:r>
      <w:r>
        <w:t>contenedores o carpas fuera de instalaciones de salud</w:t>
      </w:r>
      <w:r w:rsidR="008617E8">
        <w:t xml:space="preserve"> </w:t>
      </w:r>
      <w:r>
        <w:t>más fáciles de desinfectar.</w:t>
      </w:r>
      <w:r w:rsidR="008617E8">
        <w:t xml:space="preserve"> </w:t>
      </w:r>
    </w:p>
    <w:p w14:paraId="678EEAAF" w14:textId="6CB7CEAF" w:rsidR="008617E8" w:rsidRDefault="00F14D0B" w:rsidP="00F14D0B">
      <w:r>
        <w:t>Anillo 4:</w:t>
      </w:r>
      <w:r w:rsidR="008617E8">
        <w:t xml:space="preserve"> N</w:t>
      </w:r>
      <w:r>
        <w:t xml:space="preserve">otificación individual </w:t>
      </w:r>
      <w:r w:rsidR="008617E8">
        <w:t xml:space="preserve">de los resultados </w:t>
      </w:r>
      <w:r>
        <w:t>a través de mensaje</w:t>
      </w:r>
      <w:r w:rsidR="008617E8">
        <w:t>ría electrónica cuando el caso es negativo</w:t>
      </w:r>
      <w:r>
        <w:t>.</w:t>
      </w:r>
      <w:r w:rsidR="008617E8">
        <w:t xml:space="preserve"> </w:t>
      </w:r>
      <w:r>
        <w:t xml:space="preserve">Si </w:t>
      </w:r>
      <w:r w:rsidR="00334D84">
        <w:t xml:space="preserve">el caso </w:t>
      </w:r>
      <w:r>
        <w:t xml:space="preserve">resultase positivo el MINSA </w:t>
      </w:r>
      <w:r w:rsidR="00334D84">
        <w:t>realiza visita domiciliar al paciente</w:t>
      </w:r>
      <w:r>
        <w:t xml:space="preserve"> para dar</w:t>
      </w:r>
      <w:r w:rsidR="00334D84">
        <w:t xml:space="preserve">le atención según la condición clínica </w:t>
      </w:r>
      <w:r w:rsidR="00463E13">
        <w:t xml:space="preserve">y comorbilidades del caso. </w:t>
      </w:r>
    </w:p>
    <w:p w14:paraId="2C7B7ADE" w14:textId="76CAB1E5" w:rsidR="00463E13" w:rsidRDefault="00F14D0B" w:rsidP="00F14D0B">
      <w:r>
        <w:lastRenderedPageBreak/>
        <w:t>Anillo</w:t>
      </w:r>
      <w:r w:rsidR="008617E8">
        <w:t xml:space="preserve"> </w:t>
      </w:r>
      <w:r>
        <w:t>5:</w:t>
      </w:r>
      <w:r w:rsidR="00463E13">
        <w:t xml:space="preserve"> Prepararse para </w:t>
      </w:r>
      <w:r w:rsidR="000A74C2">
        <w:t>atender a pacientes graves en un espacio exclusivo para Covid-19 que limite el riesgo de infectar a pacientes de otras patologías distintas al Covid-19. Construcción del</w:t>
      </w:r>
      <w:r>
        <w:t xml:space="preserve"> Hospital Modular</w:t>
      </w:r>
      <w:r w:rsidR="000A74C2">
        <w:t xml:space="preserve"> con</w:t>
      </w:r>
      <w:r>
        <w:t xml:space="preserve"> 100 nuevas camas hospitalarias que incluyen Unidad de Cuidados Intensivos (UCI).</w:t>
      </w:r>
    </w:p>
    <w:p w14:paraId="598E90D4" w14:textId="23550638" w:rsidR="00F14D0B" w:rsidRDefault="00F14D0B" w:rsidP="00F14D0B">
      <w:r>
        <w:t>Anillo 6:</w:t>
      </w:r>
      <w:r w:rsidR="000A74C2">
        <w:t xml:space="preserve"> </w:t>
      </w:r>
      <w:r w:rsidR="00826369">
        <w:t>Monitoreo clínico</w:t>
      </w:r>
      <w:r w:rsidR="00270E1C">
        <w:t xml:space="preserve"> a </w:t>
      </w:r>
      <w:r w:rsidR="00826369">
        <w:t>casos leves y moderados</w:t>
      </w:r>
      <w:r w:rsidR="00270E1C">
        <w:t xml:space="preserve"> con factores de riesgo como la edad y comorbilidades </w:t>
      </w:r>
      <w:r w:rsidR="00826369">
        <w:t>para identificar tempranamente signos de alarma y derivar oportunamente al hospital correspondiente</w:t>
      </w:r>
      <w:r w:rsidR="003059C2">
        <w:t>,</w:t>
      </w:r>
      <w:r w:rsidR="00826369">
        <w:t xml:space="preserve"> mediante la habilitación de más de 2 mil camas de hotel</w:t>
      </w:r>
      <w:r>
        <w:t>.</w:t>
      </w:r>
    </w:p>
    <w:p w14:paraId="0F95148D" w14:textId="6CF9A311" w:rsidR="001C1FFB" w:rsidRDefault="00C06D3D">
      <w:r>
        <w:t>Otras intervenciones:</w:t>
      </w:r>
    </w:p>
    <w:p w14:paraId="3FF1C687" w14:textId="0EE1BB05" w:rsidR="00C06D3D" w:rsidRDefault="00C06D3D">
      <w:r>
        <w:t xml:space="preserve">Aplicación experimental de protocolos de manejo en Cuidados Intensivos con medicamentos </w:t>
      </w:r>
      <w:r w:rsidR="00D44DD5">
        <w:t>que han mostrado cierta utilidad en algunos estudios.</w:t>
      </w:r>
    </w:p>
    <w:p w14:paraId="04D06AD7" w14:textId="30DE5922" w:rsidR="00D44DD5" w:rsidRDefault="00D44DD5">
      <w:r>
        <w:t xml:space="preserve">Secuenciación del genoma del virus por parte del ICGES que permitió segmentar los casos </w:t>
      </w:r>
      <w:r w:rsidR="006E780D">
        <w:t>relacionados entre sí (clusters) dependiendo del origen de la infección, facilitando el seguimiento y la investigación epidemiológica.</w:t>
      </w:r>
    </w:p>
    <w:p w14:paraId="6EDF1541" w14:textId="64B5BC28" w:rsidR="006E780D" w:rsidRDefault="006E780D" w:rsidP="006E780D">
      <w:pPr>
        <w:rPr>
          <w:lang w:val="es-419"/>
        </w:rPr>
      </w:pPr>
      <w:r>
        <w:rPr>
          <w:lang w:val="es-419"/>
        </w:rPr>
        <w:t>El</w:t>
      </w:r>
      <w:r w:rsidRPr="00B05FB9">
        <w:rPr>
          <w:lang w:val="es-419"/>
        </w:rPr>
        <w:t xml:space="preserve"> Centro Logístico Regional de Asistencia Humanitaria, durante la propagación del </w:t>
      </w:r>
      <w:r>
        <w:rPr>
          <w:lang w:val="es-419"/>
        </w:rPr>
        <w:t>SARS-COV2</w:t>
      </w:r>
      <w:r w:rsidRPr="00B05FB9">
        <w:rPr>
          <w:lang w:val="es-419"/>
        </w:rPr>
        <w:t xml:space="preserve"> ha servido como hub regional para despachar ayuda humanitaria a </w:t>
      </w:r>
      <w:r>
        <w:rPr>
          <w:lang w:val="es-419"/>
        </w:rPr>
        <w:t>2</w:t>
      </w:r>
      <w:r w:rsidR="00CE2888">
        <w:rPr>
          <w:lang w:val="es-419"/>
        </w:rPr>
        <w:t>6</w:t>
      </w:r>
      <w:r>
        <w:rPr>
          <w:lang w:val="es-419"/>
        </w:rPr>
        <w:t xml:space="preserve"> </w:t>
      </w:r>
      <w:r w:rsidRPr="00B05FB9">
        <w:rPr>
          <w:lang w:val="es-419"/>
        </w:rPr>
        <w:t>países de América Latina y el Caribe</w:t>
      </w:r>
      <w:r w:rsidR="00CE2888">
        <w:rPr>
          <w:lang w:val="es-419"/>
        </w:rPr>
        <w:t>.</w:t>
      </w:r>
    </w:p>
    <w:p w14:paraId="2B00366E" w14:textId="3052EC22" w:rsidR="00290988" w:rsidRDefault="00290988" w:rsidP="006E780D">
      <w:pPr>
        <w:rPr>
          <w:lang w:val="es-419"/>
        </w:rPr>
      </w:pPr>
      <w:r>
        <w:rPr>
          <w:lang w:val="es-419"/>
        </w:rPr>
        <w:t>Seguimiento de pacientes recuperados a través de una aplicación móvil</w:t>
      </w:r>
      <w:r w:rsidR="00350D1A">
        <w:rPr>
          <w:lang w:val="es-419"/>
        </w:rPr>
        <w:t xml:space="preserve"> con botón de pánico para alertar al equipo de salud y garantizar su atención inmediata.</w:t>
      </w:r>
    </w:p>
    <w:p w14:paraId="7F5462B5" w14:textId="2722854C" w:rsidR="00AF675F" w:rsidRDefault="006E780D" w:rsidP="00AF675F">
      <w:r>
        <w:t>L</w:t>
      </w:r>
      <w:r w:rsidR="00AF675F">
        <w:t xml:space="preserve">ecciones </w:t>
      </w:r>
      <w:r>
        <w:t xml:space="preserve">Aprendidas </w:t>
      </w:r>
      <w:r w:rsidR="00AF675F">
        <w:t xml:space="preserve">de Panamá </w:t>
      </w:r>
      <w:r>
        <w:t>que ha elogiado</w:t>
      </w:r>
      <w:r w:rsidR="00AF675F">
        <w:t xml:space="preserve"> OPS</w:t>
      </w:r>
    </w:p>
    <w:p w14:paraId="635BB1B6" w14:textId="77777777" w:rsidR="00AF675F" w:rsidRDefault="00AF675F" w:rsidP="006E780D">
      <w:pPr>
        <w:pStyle w:val="ListParagraph"/>
        <w:numPr>
          <w:ilvl w:val="0"/>
          <w:numId w:val="2"/>
        </w:numPr>
      </w:pPr>
      <w:r>
        <w:t xml:space="preserve">Adelantarse al evento y no desestimar el riesgo.  </w:t>
      </w:r>
    </w:p>
    <w:p w14:paraId="4FBD8BFA" w14:textId="77777777" w:rsidR="00AF675F" w:rsidRDefault="00AF675F" w:rsidP="006E780D">
      <w:pPr>
        <w:pStyle w:val="ListParagraph"/>
        <w:numPr>
          <w:ilvl w:val="0"/>
          <w:numId w:val="2"/>
        </w:numPr>
      </w:pPr>
      <w:r>
        <w:t xml:space="preserve">Pensar en escenarios posibles y armar un equipo de apoyo </w:t>
      </w:r>
    </w:p>
    <w:p w14:paraId="35AFCF23" w14:textId="77777777" w:rsidR="00AF675F" w:rsidRDefault="00AF675F" w:rsidP="006E780D">
      <w:pPr>
        <w:pStyle w:val="ListParagraph"/>
        <w:numPr>
          <w:ilvl w:val="0"/>
          <w:numId w:val="2"/>
        </w:numPr>
      </w:pPr>
      <w:r>
        <w:t xml:space="preserve">Movilizar recursos rápidamente </w:t>
      </w:r>
    </w:p>
    <w:p w14:paraId="34AA38F9" w14:textId="77777777" w:rsidR="00AF675F" w:rsidRDefault="00AF675F" w:rsidP="006E780D">
      <w:pPr>
        <w:pStyle w:val="ListParagraph"/>
        <w:numPr>
          <w:ilvl w:val="0"/>
          <w:numId w:val="2"/>
        </w:numPr>
      </w:pPr>
      <w:r>
        <w:t xml:space="preserve">Compartir experiencias con países y trabajar como subregión en Centroamérica </w:t>
      </w:r>
    </w:p>
    <w:p w14:paraId="01587856" w14:textId="77777777" w:rsidR="00AF675F" w:rsidRDefault="00AF675F" w:rsidP="006E780D">
      <w:pPr>
        <w:pStyle w:val="ListParagraph"/>
        <w:numPr>
          <w:ilvl w:val="0"/>
          <w:numId w:val="2"/>
        </w:numPr>
      </w:pPr>
      <w:r>
        <w:t>Colocar el tema en la agenda de Naciones Unidas y compartir información entre diferentes agencias</w:t>
      </w:r>
    </w:p>
    <w:p w14:paraId="76580A4D" w14:textId="2A902595" w:rsidR="001C1FFB" w:rsidRDefault="001C1FFB"/>
    <w:p w14:paraId="76FE9779" w14:textId="77777777" w:rsidR="001C1FFB" w:rsidRPr="00AF675F" w:rsidRDefault="001C1FFB">
      <w:pPr>
        <w:rPr>
          <w:lang w:val="es-419"/>
        </w:rPr>
      </w:pPr>
    </w:p>
    <w:sectPr w:rsidR="001C1FFB" w:rsidRPr="00AF675F" w:rsidSect="00CA1232">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A5697" w14:textId="77777777" w:rsidR="00D35A50" w:rsidRDefault="00D35A50" w:rsidP="00087FC5">
      <w:pPr>
        <w:spacing w:after="0" w:line="240" w:lineRule="auto"/>
      </w:pPr>
      <w:r>
        <w:separator/>
      </w:r>
    </w:p>
  </w:endnote>
  <w:endnote w:type="continuationSeparator" w:id="0">
    <w:p w14:paraId="54074701" w14:textId="77777777" w:rsidR="00D35A50" w:rsidRDefault="00D35A50" w:rsidP="00087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9414884"/>
      <w:docPartObj>
        <w:docPartGallery w:val="Page Numbers (Bottom of Page)"/>
        <w:docPartUnique/>
      </w:docPartObj>
    </w:sdtPr>
    <w:sdtEndPr>
      <w:rPr>
        <w:noProof/>
      </w:rPr>
    </w:sdtEndPr>
    <w:sdtContent>
      <w:p w14:paraId="13E66A58" w14:textId="2008F991" w:rsidR="00087FC5" w:rsidRDefault="00087FC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61E684C" w14:textId="77777777" w:rsidR="00087FC5" w:rsidRDefault="00087F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753D9" w14:textId="77777777" w:rsidR="00D35A50" w:rsidRDefault="00D35A50" w:rsidP="00087FC5">
      <w:pPr>
        <w:spacing w:after="0" w:line="240" w:lineRule="auto"/>
      </w:pPr>
      <w:r>
        <w:separator/>
      </w:r>
    </w:p>
  </w:footnote>
  <w:footnote w:type="continuationSeparator" w:id="0">
    <w:p w14:paraId="5A62FBAA" w14:textId="77777777" w:rsidR="00D35A50" w:rsidRDefault="00D35A50" w:rsidP="00087F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5567E7"/>
    <w:multiLevelType w:val="hybridMultilevel"/>
    <w:tmpl w:val="B8A2AE62"/>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start w:val="1"/>
      <w:numFmt w:val="decimal"/>
      <w:lvlText w:val="%4."/>
      <w:lvlJc w:val="left"/>
      <w:pPr>
        <w:ind w:left="2880" w:hanging="360"/>
      </w:pPr>
    </w:lvl>
    <w:lvl w:ilvl="4" w:tplc="580A0019">
      <w:start w:val="1"/>
      <w:numFmt w:val="lowerLetter"/>
      <w:lvlText w:val="%5."/>
      <w:lvlJc w:val="left"/>
      <w:pPr>
        <w:ind w:left="3600" w:hanging="360"/>
      </w:pPr>
    </w:lvl>
    <w:lvl w:ilvl="5" w:tplc="580A001B">
      <w:start w:val="1"/>
      <w:numFmt w:val="lowerRoman"/>
      <w:lvlText w:val="%6."/>
      <w:lvlJc w:val="right"/>
      <w:pPr>
        <w:ind w:left="4320" w:hanging="180"/>
      </w:pPr>
    </w:lvl>
    <w:lvl w:ilvl="6" w:tplc="580A000F">
      <w:start w:val="1"/>
      <w:numFmt w:val="decimal"/>
      <w:lvlText w:val="%7."/>
      <w:lvlJc w:val="left"/>
      <w:pPr>
        <w:ind w:left="5040" w:hanging="360"/>
      </w:pPr>
    </w:lvl>
    <w:lvl w:ilvl="7" w:tplc="580A0019">
      <w:start w:val="1"/>
      <w:numFmt w:val="lowerLetter"/>
      <w:lvlText w:val="%8."/>
      <w:lvlJc w:val="left"/>
      <w:pPr>
        <w:ind w:left="5760" w:hanging="360"/>
      </w:pPr>
    </w:lvl>
    <w:lvl w:ilvl="8" w:tplc="580A001B">
      <w:start w:val="1"/>
      <w:numFmt w:val="lowerRoman"/>
      <w:lvlText w:val="%9."/>
      <w:lvlJc w:val="right"/>
      <w:pPr>
        <w:ind w:left="6480" w:hanging="180"/>
      </w:pPr>
    </w:lvl>
  </w:abstractNum>
  <w:abstractNum w:abstractNumId="1" w15:restartNumberingAfterBreak="0">
    <w:nsid w:val="725F78BB"/>
    <w:multiLevelType w:val="hybridMultilevel"/>
    <w:tmpl w:val="D8F83372"/>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956"/>
    <w:rsid w:val="00016102"/>
    <w:rsid w:val="00032B65"/>
    <w:rsid w:val="00087FC5"/>
    <w:rsid w:val="000A4772"/>
    <w:rsid w:val="000A74C2"/>
    <w:rsid w:val="00125AC1"/>
    <w:rsid w:val="001425D8"/>
    <w:rsid w:val="00163943"/>
    <w:rsid w:val="001C1FFB"/>
    <w:rsid w:val="002320B1"/>
    <w:rsid w:val="00270E1C"/>
    <w:rsid w:val="00290988"/>
    <w:rsid w:val="002C44C0"/>
    <w:rsid w:val="00303B98"/>
    <w:rsid w:val="003059C2"/>
    <w:rsid w:val="00334D84"/>
    <w:rsid w:val="0034130D"/>
    <w:rsid w:val="00350D1A"/>
    <w:rsid w:val="00365C63"/>
    <w:rsid w:val="00390450"/>
    <w:rsid w:val="003B7A64"/>
    <w:rsid w:val="003D0DFC"/>
    <w:rsid w:val="004409D6"/>
    <w:rsid w:val="00463E13"/>
    <w:rsid w:val="0047620E"/>
    <w:rsid w:val="004B4774"/>
    <w:rsid w:val="00506678"/>
    <w:rsid w:val="00523FCB"/>
    <w:rsid w:val="00535437"/>
    <w:rsid w:val="005453BF"/>
    <w:rsid w:val="00564887"/>
    <w:rsid w:val="00570E1A"/>
    <w:rsid w:val="00585901"/>
    <w:rsid w:val="005C5E82"/>
    <w:rsid w:val="005D192C"/>
    <w:rsid w:val="0063637D"/>
    <w:rsid w:val="00642104"/>
    <w:rsid w:val="00653851"/>
    <w:rsid w:val="006D229C"/>
    <w:rsid w:val="006D3956"/>
    <w:rsid w:val="006E2A69"/>
    <w:rsid w:val="006E780D"/>
    <w:rsid w:val="0072520F"/>
    <w:rsid w:val="00746AE6"/>
    <w:rsid w:val="008164BD"/>
    <w:rsid w:val="00826369"/>
    <w:rsid w:val="008617E8"/>
    <w:rsid w:val="008E0B38"/>
    <w:rsid w:val="00916A69"/>
    <w:rsid w:val="00975193"/>
    <w:rsid w:val="00987FA4"/>
    <w:rsid w:val="009978DE"/>
    <w:rsid w:val="009E3AEA"/>
    <w:rsid w:val="00A12B36"/>
    <w:rsid w:val="00A56677"/>
    <w:rsid w:val="00A66AE4"/>
    <w:rsid w:val="00A721BE"/>
    <w:rsid w:val="00A76FD8"/>
    <w:rsid w:val="00A83910"/>
    <w:rsid w:val="00A92673"/>
    <w:rsid w:val="00A94457"/>
    <w:rsid w:val="00AA1463"/>
    <w:rsid w:val="00AF2B75"/>
    <w:rsid w:val="00AF675F"/>
    <w:rsid w:val="00B05FB9"/>
    <w:rsid w:val="00B10B1B"/>
    <w:rsid w:val="00B526FD"/>
    <w:rsid w:val="00B75E62"/>
    <w:rsid w:val="00B86429"/>
    <w:rsid w:val="00B95465"/>
    <w:rsid w:val="00C06D3D"/>
    <w:rsid w:val="00C43B22"/>
    <w:rsid w:val="00C55B26"/>
    <w:rsid w:val="00C73E29"/>
    <w:rsid w:val="00CA1232"/>
    <w:rsid w:val="00CC463F"/>
    <w:rsid w:val="00CE2888"/>
    <w:rsid w:val="00CE58C8"/>
    <w:rsid w:val="00D17EFB"/>
    <w:rsid w:val="00D35A50"/>
    <w:rsid w:val="00D44DD5"/>
    <w:rsid w:val="00D601C2"/>
    <w:rsid w:val="00D87FDD"/>
    <w:rsid w:val="00DE6212"/>
    <w:rsid w:val="00E02626"/>
    <w:rsid w:val="00E337C5"/>
    <w:rsid w:val="00E679FF"/>
    <w:rsid w:val="00E94EC5"/>
    <w:rsid w:val="00EB2989"/>
    <w:rsid w:val="00F14D0B"/>
    <w:rsid w:val="00F24B77"/>
    <w:rsid w:val="00F43C45"/>
    <w:rsid w:val="00F541EE"/>
    <w:rsid w:val="00F62F33"/>
    <w:rsid w:val="00FF4A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0D2CC"/>
  <w15:chartTrackingRefBased/>
  <w15:docId w15:val="{1DE6E94A-3ABC-46E5-A184-4A7941225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N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FFB"/>
    <w:pPr>
      <w:spacing w:after="0" w:line="240" w:lineRule="auto"/>
      <w:ind w:left="720"/>
    </w:pPr>
    <w:rPr>
      <w:rFonts w:ascii="Calibri" w:hAnsi="Calibri" w:cs="Calibri"/>
      <w:lang w:eastAsia="es-NI"/>
    </w:rPr>
  </w:style>
  <w:style w:type="character" w:styleId="Hyperlink">
    <w:name w:val="Hyperlink"/>
    <w:basedOn w:val="DefaultParagraphFont"/>
    <w:uiPriority w:val="99"/>
    <w:unhideWhenUsed/>
    <w:rsid w:val="00642104"/>
    <w:rPr>
      <w:color w:val="0000FF"/>
      <w:u w:val="single"/>
    </w:rPr>
  </w:style>
  <w:style w:type="character" w:styleId="UnresolvedMention">
    <w:name w:val="Unresolved Mention"/>
    <w:basedOn w:val="DefaultParagraphFont"/>
    <w:uiPriority w:val="99"/>
    <w:semiHidden/>
    <w:unhideWhenUsed/>
    <w:rsid w:val="00642104"/>
    <w:rPr>
      <w:color w:val="605E5C"/>
      <w:shd w:val="clear" w:color="auto" w:fill="E1DFDD"/>
    </w:rPr>
  </w:style>
  <w:style w:type="paragraph" w:styleId="Title">
    <w:name w:val="Title"/>
    <w:basedOn w:val="Normal"/>
    <w:next w:val="Normal"/>
    <w:link w:val="TitleChar"/>
    <w:uiPriority w:val="10"/>
    <w:qFormat/>
    <w:rsid w:val="001639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3943"/>
    <w:rPr>
      <w:rFonts w:asciiTheme="majorHAnsi" w:eastAsiaTheme="majorEastAsia" w:hAnsiTheme="majorHAnsi" w:cstheme="majorBidi"/>
      <w:spacing w:val="-10"/>
      <w:kern w:val="28"/>
      <w:sz w:val="56"/>
      <w:szCs w:val="56"/>
    </w:rPr>
  </w:style>
  <w:style w:type="paragraph" w:styleId="IntenseQuote">
    <w:name w:val="Intense Quote"/>
    <w:basedOn w:val="Normal"/>
    <w:next w:val="Normal"/>
    <w:link w:val="IntenseQuoteChar"/>
    <w:uiPriority w:val="30"/>
    <w:qFormat/>
    <w:rsid w:val="0016394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163943"/>
    <w:rPr>
      <w:i/>
      <w:iCs/>
      <w:color w:val="4472C4" w:themeColor="accent1"/>
    </w:rPr>
  </w:style>
  <w:style w:type="paragraph" w:styleId="Header">
    <w:name w:val="header"/>
    <w:basedOn w:val="Normal"/>
    <w:link w:val="HeaderChar"/>
    <w:uiPriority w:val="99"/>
    <w:unhideWhenUsed/>
    <w:rsid w:val="00087F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7FC5"/>
  </w:style>
  <w:style w:type="paragraph" w:styleId="Footer">
    <w:name w:val="footer"/>
    <w:basedOn w:val="Normal"/>
    <w:link w:val="FooterChar"/>
    <w:uiPriority w:val="99"/>
    <w:unhideWhenUsed/>
    <w:rsid w:val="00087F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7F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901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hyperlink" Target="https://gisanddata.maps.arcgis.com/apps/opsdashboard/index.html" TargetMode="External"/><Relationship Id="rId26"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chart" Target="charts/chart3.xml"/><Relationship Id="rId17" Type="http://schemas.openxmlformats.org/officeDocument/2006/relationships/chart" Target="charts/chart4.xml"/><Relationship Id="rId25" Type="http://schemas.openxmlformats.org/officeDocument/2006/relationships/customXml" Target="../customXml/item2.xml"/><Relationship Id="rId16" Type="http://schemas.openxmlformats.org/officeDocument/2006/relationships/hyperlink" Target="https://gisanddata.maps.arcgis.com/apps/opsdashboard/index.html" TargetMode="External"/><Relationship Id="rId20" Type="http://schemas.openxmlformats.org/officeDocument/2006/relationships/hyperlink" Target="https://gisanddata.maps.arcgis.com/apps/opsdashboard/index.html" TargetMode="External"/><Relationship Id="rId29" Type="http://schemas.openxmlformats.org/officeDocument/2006/relationships/customXml" Target="../customXml/item6.xml"/><Relationship Id="rId6" Type="http://schemas.openxmlformats.org/officeDocument/2006/relationships/settings" Target="settings.xml"/><Relationship Id="rId11" Type="http://schemas.openxmlformats.org/officeDocument/2006/relationships/chart" Target="charts/chart2.xml"/><Relationship Id="rId24"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chart" Target="charts/chart5.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4/relationships/chartEx" Target="charts/chartEx1.xml"/><Relationship Id="rId22" Type="http://schemas.openxmlformats.org/officeDocument/2006/relationships/fontTable" Target="fontTable.xml"/><Relationship Id="rId27" Type="http://schemas.openxmlformats.org/officeDocument/2006/relationships/customXml" Target="../customXml/item4.xml"/><Relationship Id="rId30" Type="http://schemas.openxmlformats.org/officeDocument/2006/relationships/customXml" Target="../customXml/item7.xml"/></Relationships>
</file>

<file path=word/charts/_rels/chart1.xml.rels><?xml version="1.0" encoding="UTF-8" standalone="yes"?>
<Relationships xmlns="http://schemas.openxmlformats.org/package/2006/relationships"><Relationship Id="rId3" Type="http://schemas.openxmlformats.org/officeDocument/2006/relationships/oleObject" Target="https://idbg-my.sharepoint.com/personal/luisort_iadb_org/Documents/Documentos%20IDB/FORIS%202020/Coronavirus/Casos%20covid19%20mundo.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idbg-my.sharepoint.com/personal/luisort_iadb_org/Documents/Documentos%20IDB/FORIS%202020/Coronavirus/Casos%20covid19%20mundo.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idbg-my.sharepoint.com/personal/luisort_iadb_org/Documents/Documentos%20IDB/FORIS%202020/Coronavirus/Casos%20covid19%20mundo.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idbg-my.sharepoint.com/personal/luisort_iadb_org/Documents/Documentos%20IDB/FORIS%202020/Coronavirus/Casos%20covid19%20mundo.xlsx" TargetMode="External"/><Relationship Id="rId2" Type="http://schemas.microsoft.com/office/2011/relationships/chartColorStyle" Target="colors5.xml"/><Relationship Id="rId1" Type="http://schemas.microsoft.com/office/2011/relationships/chartStyle" Target="style5.xml"/></Relationships>
</file>

<file path=word/charts/_rels/chart5.xml.rels><?xml version="1.0" encoding="UTF-8" standalone="yes"?>
<Relationships xmlns="http://schemas.openxmlformats.org/package/2006/relationships"><Relationship Id="rId3" Type="http://schemas.openxmlformats.org/officeDocument/2006/relationships/oleObject" Target="https://idbg-my.sharepoint.com/personal/luisort_iadb_org/Documents/Documentos%20IDB/FORIS%202020/Coronavirus/Casos%20covid19%20mundo.xlsx" TargetMode="External"/><Relationship Id="rId2" Type="http://schemas.microsoft.com/office/2011/relationships/chartColorStyle" Target="colors6.xml"/><Relationship Id="rId1" Type="http://schemas.microsoft.com/office/2011/relationships/chartStyle" Target="style6.xml"/></Relationships>
</file>

<file path=word/charts/_rels/chartEx1.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https://idbg-my.sharepoint.com/personal/luisort_iadb_org/Documents/Documentos%20IDB/FORIS%202020/Coronavirus/Casos%20covid19%20mundo.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s-NI" sz="1100"/>
              <a:t>Gráfico 1. Número acumulado de prubeas</a:t>
            </a:r>
            <a:r>
              <a:rPr lang="es-NI" sz="1100" baseline="0"/>
              <a:t> y casos de Covid-19 en Panamá desde el 9 de marzo al 26 de abril 2020</a:t>
            </a:r>
            <a:endParaRPr lang="es-NI" sz="1100"/>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s-419"/>
        </a:p>
      </c:txPr>
    </c:title>
    <c:autoTitleDeleted val="0"/>
    <c:plotArea>
      <c:layout/>
      <c:lineChart>
        <c:grouping val="standard"/>
        <c:varyColors val="0"/>
        <c:ser>
          <c:idx val="0"/>
          <c:order val="0"/>
          <c:tx>
            <c:strRef>
              <c:f>Panamá!$F$2</c:f>
              <c:strCache>
                <c:ptCount val="1"/>
                <c:pt idx="0">
                  <c:v>Casos acumulados x fecha de Reporte</c:v>
                </c:pt>
              </c:strCache>
            </c:strRef>
          </c:tx>
          <c:spPr>
            <a:ln w="28575" cap="rnd">
              <a:solidFill>
                <a:schemeClr val="accent1"/>
              </a:solidFill>
              <a:round/>
            </a:ln>
            <a:effectLst/>
          </c:spPr>
          <c:marker>
            <c:symbol val="none"/>
          </c:marker>
          <c:cat>
            <c:numRef>
              <c:f>Panamá!$D$3:$D$67</c:f>
              <c:numCache>
                <c:formatCode>m/d/yyyy</c:formatCode>
                <c:ptCount val="49"/>
                <c:pt idx="0">
                  <c:v>43899</c:v>
                </c:pt>
                <c:pt idx="1">
                  <c:v>43900</c:v>
                </c:pt>
                <c:pt idx="2">
                  <c:v>43901</c:v>
                </c:pt>
                <c:pt idx="3">
                  <c:v>43902</c:v>
                </c:pt>
                <c:pt idx="4">
                  <c:v>43903</c:v>
                </c:pt>
                <c:pt idx="5">
                  <c:v>43904</c:v>
                </c:pt>
                <c:pt idx="6">
                  <c:v>43905</c:v>
                </c:pt>
                <c:pt idx="7">
                  <c:v>43906</c:v>
                </c:pt>
                <c:pt idx="8">
                  <c:v>43907</c:v>
                </c:pt>
                <c:pt idx="9">
                  <c:v>43908</c:v>
                </c:pt>
                <c:pt idx="10">
                  <c:v>43909</c:v>
                </c:pt>
                <c:pt idx="11">
                  <c:v>43910</c:v>
                </c:pt>
                <c:pt idx="12">
                  <c:v>43911</c:v>
                </c:pt>
                <c:pt idx="13">
                  <c:v>43912</c:v>
                </c:pt>
                <c:pt idx="14">
                  <c:v>43913</c:v>
                </c:pt>
                <c:pt idx="15">
                  <c:v>43914</c:v>
                </c:pt>
                <c:pt idx="16">
                  <c:v>43915</c:v>
                </c:pt>
                <c:pt idx="17">
                  <c:v>43916</c:v>
                </c:pt>
                <c:pt idx="18">
                  <c:v>43917</c:v>
                </c:pt>
                <c:pt idx="19">
                  <c:v>43918</c:v>
                </c:pt>
                <c:pt idx="20">
                  <c:v>43919</c:v>
                </c:pt>
                <c:pt idx="21">
                  <c:v>43920</c:v>
                </c:pt>
                <c:pt idx="22">
                  <c:v>43921</c:v>
                </c:pt>
                <c:pt idx="23">
                  <c:v>43922</c:v>
                </c:pt>
                <c:pt idx="24">
                  <c:v>43923</c:v>
                </c:pt>
                <c:pt idx="25">
                  <c:v>43924</c:v>
                </c:pt>
                <c:pt idx="26">
                  <c:v>43925</c:v>
                </c:pt>
                <c:pt idx="27">
                  <c:v>43926</c:v>
                </c:pt>
                <c:pt idx="28">
                  <c:v>43927</c:v>
                </c:pt>
                <c:pt idx="29">
                  <c:v>43928</c:v>
                </c:pt>
                <c:pt idx="30">
                  <c:v>43929</c:v>
                </c:pt>
                <c:pt idx="31">
                  <c:v>43930</c:v>
                </c:pt>
                <c:pt idx="32">
                  <c:v>43931</c:v>
                </c:pt>
                <c:pt idx="33">
                  <c:v>43932</c:v>
                </c:pt>
                <c:pt idx="34">
                  <c:v>43933</c:v>
                </c:pt>
                <c:pt idx="35">
                  <c:v>43934</c:v>
                </c:pt>
                <c:pt idx="36">
                  <c:v>43935</c:v>
                </c:pt>
                <c:pt idx="37">
                  <c:v>43936</c:v>
                </c:pt>
                <c:pt idx="38">
                  <c:v>43937</c:v>
                </c:pt>
                <c:pt idx="39">
                  <c:v>43938</c:v>
                </c:pt>
                <c:pt idx="40">
                  <c:v>43939</c:v>
                </c:pt>
                <c:pt idx="41">
                  <c:v>43940</c:v>
                </c:pt>
                <c:pt idx="42">
                  <c:v>43941</c:v>
                </c:pt>
                <c:pt idx="43">
                  <c:v>43942</c:v>
                </c:pt>
                <c:pt idx="44">
                  <c:v>43943</c:v>
                </c:pt>
                <c:pt idx="45">
                  <c:v>43944</c:v>
                </c:pt>
                <c:pt idx="46">
                  <c:v>43945</c:v>
                </c:pt>
                <c:pt idx="47">
                  <c:v>43946</c:v>
                </c:pt>
                <c:pt idx="48">
                  <c:v>43947</c:v>
                </c:pt>
              </c:numCache>
            </c:numRef>
          </c:cat>
          <c:val>
            <c:numRef>
              <c:f>Panamá!$F$3:$F$67</c:f>
              <c:numCache>
                <c:formatCode>General</c:formatCode>
                <c:ptCount val="49"/>
                <c:pt idx="0">
                  <c:v>1</c:v>
                </c:pt>
                <c:pt idx="1">
                  <c:v>8</c:v>
                </c:pt>
                <c:pt idx="2">
                  <c:v>14</c:v>
                </c:pt>
                <c:pt idx="3">
                  <c:v>27</c:v>
                </c:pt>
                <c:pt idx="4">
                  <c:v>36</c:v>
                </c:pt>
                <c:pt idx="5">
                  <c:v>43</c:v>
                </c:pt>
                <c:pt idx="6">
                  <c:v>55</c:v>
                </c:pt>
                <c:pt idx="7">
                  <c:v>69</c:v>
                </c:pt>
                <c:pt idx="8">
                  <c:v>86</c:v>
                </c:pt>
                <c:pt idx="9">
                  <c:v>109</c:v>
                </c:pt>
                <c:pt idx="10">
                  <c:v>137</c:v>
                </c:pt>
                <c:pt idx="11">
                  <c:v>200</c:v>
                </c:pt>
                <c:pt idx="12">
                  <c:v>245</c:v>
                </c:pt>
                <c:pt idx="13">
                  <c:v>313</c:v>
                </c:pt>
                <c:pt idx="14">
                  <c:v>345</c:v>
                </c:pt>
                <c:pt idx="15">
                  <c:v>445</c:v>
                </c:pt>
                <c:pt idx="16">
                  <c:v>558</c:v>
                </c:pt>
                <c:pt idx="17">
                  <c:v>674</c:v>
                </c:pt>
                <c:pt idx="18">
                  <c:v>786</c:v>
                </c:pt>
                <c:pt idx="19">
                  <c:v>901</c:v>
                </c:pt>
                <c:pt idx="20">
                  <c:v>989</c:v>
                </c:pt>
                <c:pt idx="21">
                  <c:v>1075</c:v>
                </c:pt>
                <c:pt idx="22">
                  <c:v>1181</c:v>
                </c:pt>
                <c:pt idx="23">
                  <c:v>1317</c:v>
                </c:pt>
                <c:pt idx="24">
                  <c:v>1475</c:v>
                </c:pt>
                <c:pt idx="25">
                  <c:v>1673</c:v>
                </c:pt>
                <c:pt idx="26">
                  <c:v>1801</c:v>
                </c:pt>
                <c:pt idx="27">
                  <c:v>1988</c:v>
                </c:pt>
                <c:pt idx="28">
                  <c:v>2100</c:v>
                </c:pt>
                <c:pt idx="29">
                  <c:v>2249</c:v>
                </c:pt>
                <c:pt idx="30">
                  <c:v>2528</c:v>
                </c:pt>
                <c:pt idx="31">
                  <c:v>2752</c:v>
                </c:pt>
                <c:pt idx="32">
                  <c:v>2974</c:v>
                </c:pt>
                <c:pt idx="33">
                  <c:v>3234</c:v>
                </c:pt>
                <c:pt idx="34">
                  <c:v>3400</c:v>
                </c:pt>
                <c:pt idx="35">
                  <c:v>3472</c:v>
                </c:pt>
                <c:pt idx="36">
                  <c:v>3574</c:v>
                </c:pt>
                <c:pt idx="37">
                  <c:v>3751</c:v>
                </c:pt>
                <c:pt idx="38">
                  <c:v>4016</c:v>
                </c:pt>
                <c:pt idx="39">
                  <c:v>4210</c:v>
                </c:pt>
                <c:pt idx="40">
                  <c:v>4273</c:v>
                </c:pt>
                <c:pt idx="41">
                  <c:v>4467</c:v>
                </c:pt>
                <c:pt idx="42">
                  <c:v>4658</c:v>
                </c:pt>
                <c:pt idx="43">
                  <c:v>4821</c:v>
                </c:pt>
                <c:pt idx="44">
                  <c:v>4992</c:v>
                </c:pt>
                <c:pt idx="45">
                  <c:v>5166</c:v>
                </c:pt>
                <c:pt idx="46">
                  <c:v>5338</c:v>
                </c:pt>
                <c:pt idx="47">
                  <c:v>5538</c:v>
                </c:pt>
                <c:pt idx="48">
                  <c:v>5779</c:v>
                </c:pt>
              </c:numCache>
            </c:numRef>
          </c:val>
          <c:smooth val="0"/>
          <c:extLst>
            <c:ext xmlns:c16="http://schemas.microsoft.com/office/drawing/2014/chart" uri="{C3380CC4-5D6E-409C-BE32-E72D297353CC}">
              <c16:uniqueId val="{00000000-13DD-4252-B5A1-05E7028B4A6F}"/>
            </c:ext>
          </c:extLst>
        </c:ser>
        <c:ser>
          <c:idx val="1"/>
          <c:order val="1"/>
          <c:tx>
            <c:strRef>
              <c:f>Panamá!$H$2</c:f>
              <c:strCache>
                <c:ptCount val="1"/>
                <c:pt idx="0">
                  <c:v>Pruebas Acumuladas</c:v>
                </c:pt>
              </c:strCache>
            </c:strRef>
          </c:tx>
          <c:spPr>
            <a:ln w="28575" cap="rnd">
              <a:solidFill>
                <a:schemeClr val="accent2"/>
              </a:solidFill>
              <a:round/>
            </a:ln>
            <a:effectLst/>
          </c:spPr>
          <c:marker>
            <c:symbol val="none"/>
          </c:marker>
          <c:cat>
            <c:numRef>
              <c:f>Panamá!$D$3:$D$67</c:f>
              <c:numCache>
                <c:formatCode>m/d/yyyy</c:formatCode>
                <c:ptCount val="49"/>
                <c:pt idx="0">
                  <c:v>43899</c:v>
                </c:pt>
                <c:pt idx="1">
                  <c:v>43900</c:v>
                </c:pt>
                <c:pt idx="2">
                  <c:v>43901</c:v>
                </c:pt>
                <c:pt idx="3">
                  <c:v>43902</c:v>
                </c:pt>
                <c:pt idx="4">
                  <c:v>43903</c:v>
                </c:pt>
                <c:pt idx="5">
                  <c:v>43904</c:v>
                </c:pt>
                <c:pt idx="6">
                  <c:v>43905</c:v>
                </c:pt>
                <c:pt idx="7">
                  <c:v>43906</c:v>
                </c:pt>
                <c:pt idx="8">
                  <c:v>43907</c:v>
                </c:pt>
                <c:pt idx="9">
                  <c:v>43908</c:v>
                </c:pt>
                <c:pt idx="10">
                  <c:v>43909</c:v>
                </c:pt>
                <c:pt idx="11">
                  <c:v>43910</c:v>
                </c:pt>
                <c:pt idx="12">
                  <c:v>43911</c:v>
                </c:pt>
                <c:pt idx="13">
                  <c:v>43912</c:v>
                </c:pt>
                <c:pt idx="14">
                  <c:v>43913</c:v>
                </c:pt>
                <c:pt idx="15">
                  <c:v>43914</c:v>
                </c:pt>
                <c:pt idx="16">
                  <c:v>43915</c:v>
                </c:pt>
                <c:pt idx="17">
                  <c:v>43916</c:v>
                </c:pt>
                <c:pt idx="18">
                  <c:v>43917</c:v>
                </c:pt>
                <c:pt idx="19">
                  <c:v>43918</c:v>
                </c:pt>
                <c:pt idx="20">
                  <c:v>43919</c:v>
                </c:pt>
                <c:pt idx="21">
                  <c:v>43920</c:v>
                </c:pt>
                <c:pt idx="22">
                  <c:v>43921</c:v>
                </c:pt>
                <c:pt idx="23">
                  <c:v>43922</c:v>
                </c:pt>
                <c:pt idx="24">
                  <c:v>43923</c:v>
                </c:pt>
                <c:pt idx="25">
                  <c:v>43924</c:v>
                </c:pt>
                <c:pt idx="26">
                  <c:v>43925</c:v>
                </c:pt>
                <c:pt idx="27">
                  <c:v>43926</c:v>
                </c:pt>
                <c:pt idx="28">
                  <c:v>43927</c:v>
                </c:pt>
                <c:pt idx="29">
                  <c:v>43928</c:v>
                </c:pt>
                <c:pt idx="30">
                  <c:v>43929</c:v>
                </c:pt>
                <c:pt idx="31">
                  <c:v>43930</c:v>
                </c:pt>
                <c:pt idx="32">
                  <c:v>43931</c:v>
                </c:pt>
                <c:pt idx="33">
                  <c:v>43932</c:v>
                </c:pt>
                <c:pt idx="34">
                  <c:v>43933</c:v>
                </c:pt>
                <c:pt idx="35">
                  <c:v>43934</c:v>
                </c:pt>
                <c:pt idx="36">
                  <c:v>43935</c:v>
                </c:pt>
                <c:pt idx="37">
                  <c:v>43936</c:v>
                </c:pt>
                <c:pt idx="38">
                  <c:v>43937</c:v>
                </c:pt>
                <c:pt idx="39">
                  <c:v>43938</c:v>
                </c:pt>
                <c:pt idx="40">
                  <c:v>43939</c:v>
                </c:pt>
                <c:pt idx="41">
                  <c:v>43940</c:v>
                </c:pt>
                <c:pt idx="42">
                  <c:v>43941</c:v>
                </c:pt>
                <c:pt idx="43">
                  <c:v>43942</c:v>
                </c:pt>
                <c:pt idx="44">
                  <c:v>43943</c:v>
                </c:pt>
                <c:pt idx="45">
                  <c:v>43944</c:v>
                </c:pt>
                <c:pt idx="46">
                  <c:v>43945</c:v>
                </c:pt>
                <c:pt idx="47">
                  <c:v>43946</c:v>
                </c:pt>
                <c:pt idx="48">
                  <c:v>43947</c:v>
                </c:pt>
              </c:numCache>
            </c:numRef>
          </c:cat>
          <c:val>
            <c:numRef>
              <c:f>Panamá!$H$3:$H$67</c:f>
              <c:numCache>
                <c:formatCode>General</c:formatCode>
                <c:ptCount val="49"/>
                <c:pt idx="0">
                  <c:v>105</c:v>
                </c:pt>
                <c:pt idx="1">
                  <c:v>146</c:v>
                </c:pt>
                <c:pt idx="2">
                  <c:v>194</c:v>
                </c:pt>
                <c:pt idx="3">
                  <c:v>401</c:v>
                </c:pt>
                <c:pt idx="4">
                  <c:v>649</c:v>
                </c:pt>
                <c:pt idx="5">
                  <c:v>857</c:v>
                </c:pt>
                <c:pt idx="6">
                  <c:v>976</c:v>
                </c:pt>
                <c:pt idx="7">
                  <c:v>1073</c:v>
                </c:pt>
                <c:pt idx="8">
                  <c:v>1245</c:v>
                </c:pt>
                <c:pt idx="9">
                  <c:v>1455</c:v>
                </c:pt>
                <c:pt idx="10">
                  <c:v>1768</c:v>
                </c:pt>
                <c:pt idx="11">
                  <c:v>2169</c:v>
                </c:pt>
                <c:pt idx="12">
                  <c:v>2472</c:v>
                </c:pt>
                <c:pt idx="13">
                  <c:v>3099</c:v>
                </c:pt>
                <c:pt idx="14">
                  <c:v>3233</c:v>
                </c:pt>
                <c:pt idx="15">
                  <c:v>3690</c:v>
                </c:pt>
                <c:pt idx="16">
                  <c:v>4248</c:v>
                </c:pt>
                <c:pt idx="17">
                  <c:v>4856</c:v>
                </c:pt>
                <c:pt idx="18">
                  <c:v>5222</c:v>
                </c:pt>
                <c:pt idx="19">
                  <c:v>5762</c:v>
                </c:pt>
                <c:pt idx="20">
                  <c:v>6160</c:v>
                </c:pt>
                <c:pt idx="21">
                  <c:v>6582</c:v>
                </c:pt>
                <c:pt idx="22">
                  <c:v>6944</c:v>
                </c:pt>
                <c:pt idx="23">
                  <c:v>7333</c:v>
                </c:pt>
                <c:pt idx="24">
                  <c:v>7941</c:v>
                </c:pt>
                <c:pt idx="25">
                  <c:v>8694</c:v>
                </c:pt>
                <c:pt idx="26">
                  <c:v>9256</c:v>
                </c:pt>
                <c:pt idx="27">
                  <c:v>9699</c:v>
                </c:pt>
                <c:pt idx="28">
                  <c:v>10214</c:v>
                </c:pt>
                <c:pt idx="29">
                  <c:v>10681</c:v>
                </c:pt>
                <c:pt idx="30">
                  <c:v>11776</c:v>
                </c:pt>
                <c:pt idx="31">
                  <c:v>12583</c:v>
                </c:pt>
                <c:pt idx="32">
                  <c:v>13648</c:v>
                </c:pt>
                <c:pt idx="33">
                  <c:v>14588</c:v>
                </c:pt>
                <c:pt idx="34">
                  <c:v>15147</c:v>
                </c:pt>
                <c:pt idx="35">
                  <c:v>15569</c:v>
                </c:pt>
                <c:pt idx="36">
                  <c:v>16055</c:v>
                </c:pt>
                <c:pt idx="37">
                  <c:v>16856</c:v>
                </c:pt>
                <c:pt idx="38">
                  <c:v>17852</c:v>
                </c:pt>
                <c:pt idx="39">
                  <c:v>18558</c:v>
                </c:pt>
                <c:pt idx="40">
                  <c:v>19090</c:v>
                </c:pt>
                <c:pt idx="41">
                  <c:v>20136</c:v>
                </c:pt>
                <c:pt idx="42">
                  <c:v>20995</c:v>
                </c:pt>
                <c:pt idx="43">
                  <c:v>21901</c:v>
                </c:pt>
                <c:pt idx="44">
                  <c:v>22701</c:v>
                </c:pt>
                <c:pt idx="45">
                  <c:v>23533</c:v>
                </c:pt>
                <c:pt idx="46">
                  <c:v>24302</c:v>
                </c:pt>
                <c:pt idx="47">
                  <c:v>25399</c:v>
                </c:pt>
                <c:pt idx="48">
                  <c:v>26641</c:v>
                </c:pt>
              </c:numCache>
            </c:numRef>
          </c:val>
          <c:smooth val="0"/>
          <c:extLst>
            <c:ext xmlns:c16="http://schemas.microsoft.com/office/drawing/2014/chart" uri="{C3380CC4-5D6E-409C-BE32-E72D297353CC}">
              <c16:uniqueId val="{00000001-13DD-4252-B5A1-05E7028B4A6F}"/>
            </c:ext>
          </c:extLst>
        </c:ser>
        <c:dLbls>
          <c:showLegendKey val="0"/>
          <c:showVal val="0"/>
          <c:showCatName val="0"/>
          <c:showSerName val="0"/>
          <c:showPercent val="0"/>
          <c:showBubbleSize val="0"/>
        </c:dLbls>
        <c:smooth val="0"/>
        <c:axId val="503382552"/>
        <c:axId val="503389768"/>
      </c:lineChart>
      <c:dateAx>
        <c:axId val="503382552"/>
        <c:scaling>
          <c:orientation val="minMax"/>
        </c:scaling>
        <c:delete val="0"/>
        <c:axPos val="b"/>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400" b="0" i="0" u="none" strike="noStrike" kern="1200" baseline="0">
                <a:solidFill>
                  <a:schemeClr val="tx1">
                    <a:lumMod val="65000"/>
                    <a:lumOff val="35000"/>
                  </a:schemeClr>
                </a:solidFill>
                <a:latin typeface="+mn-lt"/>
                <a:ea typeface="+mn-ea"/>
                <a:cs typeface="+mn-cs"/>
              </a:defRPr>
            </a:pPr>
            <a:endParaRPr lang="es-419"/>
          </a:p>
        </c:txPr>
        <c:crossAx val="503389768"/>
        <c:crosses val="autoZero"/>
        <c:auto val="1"/>
        <c:lblOffset val="100"/>
        <c:baseTimeUnit val="days"/>
      </c:dateAx>
      <c:valAx>
        <c:axId val="5033897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crossAx val="503382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419"/>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200"/>
              <a:t>Gráfico 2. Promedios</a:t>
            </a:r>
            <a:r>
              <a:rPr lang="en-US" sz="1200" baseline="0"/>
              <a:t> semanales de pruebas realizadas y casos de Covid-19 diagnosticados en Panamá</a:t>
            </a:r>
            <a:endParaRPr lang="en-US" sz="1200"/>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s-419"/>
        </a:p>
      </c:txPr>
    </c:title>
    <c:autoTitleDeleted val="0"/>
    <c:plotArea>
      <c:layout/>
      <c:barChart>
        <c:barDir val="col"/>
        <c:grouping val="clustered"/>
        <c:varyColors val="0"/>
        <c:ser>
          <c:idx val="0"/>
          <c:order val="0"/>
          <c:tx>
            <c:strRef>
              <c:f>Panamá!$D$146</c:f>
              <c:strCache>
                <c:ptCount val="1"/>
                <c:pt idx="0">
                  <c:v>Promedio de pruebas por semana de pandemia</c:v>
                </c:pt>
              </c:strCache>
            </c:strRef>
          </c:tx>
          <c:spPr>
            <a:solidFill>
              <a:schemeClr val="accent6">
                <a:lumMod val="60000"/>
                <a:lumOff val="40000"/>
              </a:schemeClr>
            </a:solidFill>
            <a:ln>
              <a:noFill/>
            </a:ln>
            <a:effectLst/>
          </c:spPr>
          <c:invertIfNegative val="0"/>
          <c:dLbls>
            <c:dLbl>
              <c:idx val="0"/>
              <c:layout>
                <c:manualLayout>
                  <c:x val="-1.9588638589618022E-3"/>
                  <c:y val="6.289308176100620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770C-4000-81B2-2020C9734215}"/>
                </c:ext>
              </c:extLst>
            </c:dLbl>
            <c:dLbl>
              <c:idx val="1"/>
              <c:layout>
                <c:manualLayout>
                  <c:x val="-3.591208922144719E-17"/>
                  <c:y val="7.12788259958070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70C-4000-81B2-2020C9734215}"/>
                </c:ext>
              </c:extLst>
            </c:dLbl>
            <c:dLbl>
              <c:idx val="2"/>
              <c:layout>
                <c:manualLayout>
                  <c:x val="-7.182417844289438E-17"/>
                  <c:y val="7.12788259958071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70C-4000-81B2-2020C9734215}"/>
                </c:ext>
              </c:extLst>
            </c:dLbl>
            <c:dLbl>
              <c:idx val="3"/>
              <c:layout>
                <c:manualLayout>
                  <c:x val="0"/>
                  <c:y val="7.12788259958070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70C-4000-81B2-2020C9734215}"/>
                </c:ext>
              </c:extLst>
            </c:dLbl>
            <c:dLbl>
              <c:idx val="4"/>
              <c:layout>
                <c:manualLayout>
                  <c:x val="-1.9588638589618022E-3"/>
                  <c:y val="7.54716981132075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70C-4000-81B2-2020C9734215}"/>
                </c:ext>
              </c:extLst>
            </c:dLbl>
            <c:dLbl>
              <c:idx val="5"/>
              <c:layout>
                <c:manualLayout>
                  <c:x val="-1.9588638589619458E-3"/>
                  <c:y val="7.12788259958071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70C-4000-81B2-2020C9734215}"/>
                </c:ext>
              </c:extLst>
            </c:dLbl>
            <c:dLbl>
              <c:idx val="6"/>
              <c:layout>
                <c:manualLayout>
                  <c:x val="0"/>
                  <c:y val="7.12788259958071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770C-4000-81B2-2020C973421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419"/>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Panamá!$C$147:$C$153</c:f>
              <c:strCache>
                <c:ptCount val="7"/>
                <c:pt idx="0">
                  <c:v>Semana 1 (9 al 15 de marzo)</c:v>
                </c:pt>
                <c:pt idx="1">
                  <c:v>Semana 2 (16 al 22 de marzo)</c:v>
                </c:pt>
                <c:pt idx="2">
                  <c:v>Semana 3 (23 al 29 de marzo)</c:v>
                </c:pt>
                <c:pt idx="3">
                  <c:v>Semana 4 (30 marzo al 5 de abril)</c:v>
                </c:pt>
                <c:pt idx="4">
                  <c:v>Semana 5 (6 al 12 de abril)</c:v>
                </c:pt>
                <c:pt idx="5">
                  <c:v>Semana 6 (13 al 19 de abril)</c:v>
                </c:pt>
                <c:pt idx="6">
                  <c:v>Semana 7 (20 al 26 de abril)</c:v>
                </c:pt>
              </c:strCache>
            </c:strRef>
          </c:cat>
          <c:val>
            <c:numRef>
              <c:f>Panamá!$D$147:$D$153</c:f>
              <c:numCache>
                <c:formatCode>General</c:formatCode>
                <c:ptCount val="7"/>
                <c:pt idx="0">
                  <c:v>140</c:v>
                </c:pt>
                <c:pt idx="1">
                  <c:v>303</c:v>
                </c:pt>
                <c:pt idx="2">
                  <c:v>437</c:v>
                </c:pt>
                <c:pt idx="3">
                  <c:v>505</c:v>
                </c:pt>
                <c:pt idx="4">
                  <c:v>778</c:v>
                </c:pt>
                <c:pt idx="5">
                  <c:v>713</c:v>
                </c:pt>
                <c:pt idx="6">
                  <c:v>929</c:v>
                </c:pt>
              </c:numCache>
            </c:numRef>
          </c:val>
          <c:extLst>
            <c:ext xmlns:c16="http://schemas.microsoft.com/office/drawing/2014/chart" uri="{C3380CC4-5D6E-409C-BE32-E72D297353CC}">
              <c16:uniqueId val="{00000000-770C-4000-81B2-2020C9734215}"/>
            </c:ext>
          </c:extLst>
        </c:ser>
        <c:ser>
          <c:idx val="1"/>
          <c:order val="1"/>
          <c:tx>
            <c:strRef>
              <c:f>Panamá!$E$146</c:f>
              <c:strCache>
                <c:ptCount val="1"/>
                <c:pt idx="0">
                  <c:v>Promedio de c asos por semana</c:v>
                </c:pt>
              </c:strCache>
            </c:strRef>
          </c:tx>
          <c:spPr>
            <a:solidFill>
              <a:schemeClr val="accent4">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419"/>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2"/>
                </a:solidFill>
                <a:prstDash val="sysDot"/>
              </a:ln>
              <a:effectLst/>
            </c:spPr>
            <c:trendlineType val="linear"/>
            <c:dispRSqr val="0"/>
            <c:dispEq val="0"/>
          </c:trendline>
          <c:cat>
            <c:strRef>
              <c:f>Panamá!$C$147:$C$153</c:f>
              <c:strCache>
                <c:ptCount val="7"/>
                <c:pt idx="0">
                  <c:v>Semana 1 (9 al 15 de marzo)</c:v>
                </c:pt>
                <c:pt idx="1">
                  <c:v>Semana 2 (16 al 22 de marzo)</c:v>
                </c:pt>
                <c:pt idx="2">
                  <c:v>Semana 3 (23 al 29 de marzo)</c:v>
                </c:pt>
                <c:pt idx="3">
                  <c:v>Semana 4 (30 marzo al 5 de abril)</c:v>
                </c:pt>
                <c:pt idx="4">
                  <c:v>Semana 5 (6 al 12 de abril)</c:v>
                </c:pt>
                <c:pt idx="5">
                  <c:v>Semana 6 (13 al 19 de abril)</c:v>
                </c:pt>
                <c:pt idx="6">
                  <c:v>Semana 7 (20 al 26 de abril)</c:v>
                </c:pt>
              </c:strCache>
            </c:strRef>
          </c:cat>
          <c:val>
            <c:numRef>
              <c:f>Panamá!$E$147:$E$153</c:f>
              <c:numCache>
                <c:formatCode>General</c:formatCode>
                <c:ptCount val="7"/>
                <c:pt idx="0">
                  <c:v>8</c:v>
                </c:pt>
                <c:pt idx="1">
                  <c:v>37</c:v>
                </c:pt>
                <c:pt idx="2">
                  <c:v>97</c:v>
                </c:pt>
                <c:pt idx="3">
                  <c:v>143</c:v>
                </c:pt>
                <c:pt idx="4">
                  <c:v>202</c:v>
                </c:pt>
                <c:pt idx="5">
                  <c:v>152</c:v>
                </c:pt>
                <c:pt idx="6">
                  <c:v>187</c:v>
                </c:pt>
              </c:numCache>
            </c:numRef>
          </c:val>
          <c:extLst>
            <c:ext xmlns:c16="http://schemas.microsoft.com/office/drawing/2014/chart" uri="{C3380CC4-5D6E-409C-BE32-E72D297353CC}">
              <c16:uniqueId val="{00000001-770C-4000-81B2-2020C9734215}"/>
            </c:ext>
          </c:extLst>
        </c:ser>
        <c:dLbls>
          <c:showLegendKey val="0"/>
          <c:showVal val="1"/>
          <c:showCatName val="0"/>
          <c:showSerName val="0"/>
          <c:showPercent val="0"/>
          <c:showBubbleSize val="0"/>
        </c:dLbls>
        <c:gapWidth val="150"/>
        <c:axId val="894405928"/>
        <c:axId val="894406584"/>
      </c:barChart>
      <c:lineChart>
        <c:grouping val="standard"/>
        <c:varyColors val="0"/>
        <c:ser>
          <c:idx val="2"/>
          <c:order val="2"/>
          <c:tx>
            <c:strRef>
              <c:f>Panamá!$F$146</c:f>
              <c:strCache>
                <c:ptCount val="1"/>
                <c:pt idx="0">
                  <c:v>% de positividad</c:v>
                </c:pt>
              </c:strCache>
            </c:strRef>
          </c:tx>
          <c:spPr>
            <a:ln w="28575" cap="rnd">
              <a:solidFill>
                <a:srgbClr val="FF0000"/>
              </a:solidFill>
              <a:round/>
            </a:ln>
            <a:effectLst/>
          </c:spPr>
          <c:marker>
            <c:symbol val="none"/>
          </c:marker>
          <c:dLbls>
            <c:dLbl>
              <c:idx val="3"/>
              <c:layout>
                <c:manualLayout>
                  <c:x val="-7.182417844289438E-17"/>
                  <c:y val="4.612159329140461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770C-4000-81B2-2020C9734215}"/>
                </c:ext>
              </c:extLst>
            </c:dLbl>
            <c:dLbl>
              <c:idx val="4"/>
              <c:layout>
                <c:manualLayout>
                  <c:x val="0"/>
                  <c:y val="-2.93501048218029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770C-4000-81B2-2020C9734215}"/>
                </c:ext>
              </c:extLst>
            </c:dLbl>
            <c:dLbl>
              <c:idx val="5"/>
              <c:layout>
                <c:manualLayout>
                  <c:x val="0"/>
                  <c:y val="-3.35429769392033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770C-4000-81B2-2020C973421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419"/>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Panamá!$C$147:$C$153</c:f>
              <c:strCache>
                <c:ptCount val="7"/>
                <c:pt idx="0">
                  <c:v>Semana 1 (9 al 15 de marzo)</c:v>
                </c:pt>
                <c:pt idx="1">
                  <c:v>Semana 2 (16 al 22 de marzo)</c:v>
                </c:pt>
                <c:pt idx="2">
                  <c:v>Semana 3 (23 al 29 de marzo)</c:v>
                </c:pt>
                <c:pt idx="3">
                  <c:v>Semana 4 (30 marzo al 5 de abril)</c:v>
                </c:pt>
                <c:pt idx="4">
                  <c:v>Semana 5 (6 al 12 de abril)</c:v>
                </c:pt>
                <c:pt idx="5">
                  <c:v>Semana 6 (13 al 19 de abril)</c:v>
                </c:pt>
                <c:pt idx="6">
                  <c:v>Semana 7 (20 al 26 de abril)</c:v>
                </c:pt>
              </c:strCache>
            </c:strRef>
          </c:cat>
          <c:val>
            <c:numRef>
              <c:f>Panamá!$F$147:$F$153</c:f>
              <c:numCache>
                <c:formatCode>0%</c:formatCode>
                <c:ptCount val="7"/>
                <c:pt idx="0">
                  <c:v>5.7142857142857141E-2</c:v>
                </c:pt>
                <c:pt idx="1">
                  <c:v>0.12211221122112212</c:v>
                </c:pt>
                <c:pt idx="2">
                  <c:v>0.2219679633867277</c:v>
                </c:pt>
                <c:pt idx="3">
                  <c:v>0.28316831683168314</c:v>
                </c:pt>
                <c:pt idx="4">
                  <c:v>0.25964010282776351</c:v>
                </c:pt>
                <c:pt idx="5">
                  <c:v>0.21318373071528751</c:v>
                </c:pt>
                <c:pt idx="6">
                  <c:v>0.20129171151776104</c:v>
                </c:pt>
              </c:numCache>
            </c:numRef>
          </c:val>
          <c:smooth val="0"/>
          <c:extLst>
            <c:ext xmlns:c16="http://schemas.microsoft.com/office/drawing/2014/chart" uri="{C3380CC4-5D6E-409C-BE32-E72D297353CC}">
              <c16:uniqueId val="{00000002-770C-4000-81B2-2020C9734215}"/>
            </c:ext>
          </c:extLst>
        </c:ser>
        <c:dLbls>
          <c:showLegendKey val="0"/>
          <c:showVal val="1"/>
          <c:showCatName val="0"/>
          <c:showSerName val="0"/>
          <c:showPercent val="0"/>
          <c:showBubbleSize val="0"/>
        </c:dLbls>
        <c:marker val="1"/>
        <c:smooth val="0"/>
        <c:axId val="785200736"/>
        <c:axId val="785202048"/>
      </c:lineChart>
      <c:catAx>
        <c:axId val="894405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crossAx val="894406584"/>
        <c:crosses val="autoZero"/>
        <c:auto val="1"/>
        <c:lblAlgn val="ctr"/>
        <c:lblOffset val="100"/>
        <c:noMultiLvlLbl val="0"/>
      </c:catAx>
      <c:valAx>
        <c:axId val="8944065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crossAx val="894405928"/>
        <c:crosses val="autoZero"/>
        <c:crossBetween val="between"/>
      </c:valAx>
      <c:valAx>
        <c:axId val="785202048"/>
        <c:scaling>
          <c:orientation val="minMax"/>
        </c:scaling>
        <c:delete val="0"/>
        <c:axPos val="r"/>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crossAx val="785200736"/>
        <c:crosses val="max"/>
        <c:crossBetween val="between"/>
      </c:valAx>
      <c:catAx>
        <c:axId val="785200736"/>
        <c:scaling>
          <c:orientation val="minMax"/>
        </c:scaling>
        <c:delete val="1"/>
        <c:axPos val="b"/>
        <c:numFmt formatCode="General" sourceLinked="1"/>
        <c:majorTickMark val="none"/>
        <c:minorTickMark val="none"/>
        <c:tickLblPos val="nextTo"/>
        <c:crossAx val="78520204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419"/>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s-NI" sz="1200"/>
              <a:t>Gráfico</a:t>
            </a:r>
            <a:r>
              <a:rPr lang="es-NI" sz="1200" baseline="0"/>
              <a:t> 3 </a:t>
            </a:r>
            <a:r>
              <a:rPr lang="es-NI" sz="1200"/>
              <a:t>Gravedad y letalidad de los casos de Panamá del 9 de marzo al 26</a:t>
            </a:r>
            <a:r>
              <a:rPr lang="es-NI" sz="1200" baseline="0"/>
              <a:t> de abril.</a:t>
            </a:r>
            <a:endParaRPr lang="es-NI" sz="1200"/>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s-419"/>
        </a:p>
      </c:txPr>
    </c:title>
    <c:autoTitleDeleted val="0"/>
    <c:plotArea>
      <c:layout>
        <c:manualLayout>
          <c:layoutTarget val="inner"/>
          <c:xMode val="edge"/>
          <c:yMode val="edge"/>
          <c:x val="5.9479954244168562E-2"/>
          <c:y val="0.1500447180613026"/>
          <c:w val="0.90494534647171843"/>
          <c:h val="0.63609053382289005"/>
        </c:manualLayout>
      </c:layout>
      <c:lineChart>
        <c:grouping val="standard"/>
        <c:varyColors val="0"/>
        <c:ser>
          <c:idx val="0"/>
          <c:order val="0"/>
          <c:tx>
            <c:strRef>
              <c:f>Panamá!$N$2</c:f>
              <c:strCache>
                <c:ptCount val="1"/>
                <c:pt idx="0">
                  <c:v>Hospitalizados</c:v>
                </c:pt>
              </c:strCache>
            </c:strRef>
          </c:tx>
          <c:spPr>
            <a:ln w="28575" cap="rnd">
              <a:solidFill>
                <a:srgbClr val="92D050"/>
              </a:solidFill>
              <a:round/>
            </a:ln>
            <a:effectLst/>
          </c:spPr>
          <c:marker>
            <c:symbol val="none"/>
          </c:marker>
          <c:val>
            <c:numRef>
              <c:f>Panamá!$N$19:$N$67</c:f>
              <c:numCache>
                <c:formatCode>General</c:formatCode>
                <c:ptCount val="49"/>
                <c:pt idx="5">
                  <c:v>3</c:v>
                </c:pt>
                <c:pt idx="6">
                  <c:v>3</c:v>
                </c:pt>
                <c:pt idx="7">
                  <c:v>5</c:v>
                </c:pt>
                <c:pt idx="8">
                  <c:v>6</c:v>
                </c:pt>
                <c:pt idx="9">
                  <c:v>8</c:v>
                </c:pt>
                <c:pt idx="10">
                  <c:v>11</c:v>
                </c:pt>
                <c:pt idx="11">
                  <c:v>17</c:v>
                </c:pt>
                <c:pt idx="12">
                  <c:v>21</c:v>
                </c:pt>
                <c:pt idx="13">
                  <c:v>29</c:v>
                </c:pt>
                <c:pt idx="14">
                  <c:v>33</c:v>
                </c:pt>
                <c:pt idx="15">
                  <c:v>45</c:v>
                </c:pt>
                <c:pt idx="16">
                  <c:v>46</c:v>
                </c:pt>
                <c:pt idx="17">
                  <c:v>60</c:v>
                </c:pt>
                <c:pt idx="18">
                  <c:v>80</c:v>
                </c:pt>
                <c:pt idx="19">
                  <c:v>95</c:v>
                </c:pt>
                <c:pt idx="20">
                  <c:v>105</c:v>
                </c:pt>
                <c:pt idx="21">
                  <c:v>109</c:v>
                </c:pt>
                <c:pt idx="22">
                  <c:v>123</c:v>
                </c:pt>
                <c:pt idx="23">
                  <c:v>135</c:v>
                </c:pt>
                <c:pt idx="24">
                  <c:v>152</c:v>
                </c:pt>
                <c:pt idx="25">
                  <c:v>141</c:v>
                </c:pt>
                <c:pt idx="26">
                  <c:v>154</c:v>
                </c:pt>
                <c:pt idx="27">
                  <c:v>163</c:v>
                </c:pt>
                <c:pt idx="28">
                  <c:v>167</c:v>
                </c:pt>
                <c:pt idx="29">
                  <c:v>177</c:v>
                </c:pt>
                <c:pt idx="30">
                  <c:v>194</c:v>
                </c:pt>
                <c:pt idx="31">
                  <c:v>196</c:v>
                </c:pt>
                <c:pt idx="32">
                  <c:v>200</c:v>
                </c:pt>
                <c:pt idx="33">
                  <c:v>213</c:v>
                </c:pt>
                <c:pt idx="34">
                  <c:v>223</c:v>
                </c:pt>
                <c:pt idx="35">
                  <c:v>228</c:v>
                </c:pt>
                <c:pt idx="36">
                  <c:v>230</c:v>
                </c:pt>
                <c:pt idx="37">
                  <c:v>227</c:v>
                </c:pt>
                <c:pt idx="38">
                  <c:v>227</c:v>
                </c:pt>
                <c:pt idx="39">
                  <c:v>247</c:v>
                </c:pt>
                <c:pt idx="40">
                  <c:v>254</c:v>
                </c:pt>
                <c:pt idx="41">
                  <c:v>259</c:v>
                </c:pt>
                <c:pt idx="42">
                  <c:v>266</c:v>
                </c:pt>
                <c:pt idx="43">
                  <c:v>261</c:v>
                </c:pt>
                <c:pt idx="44">
                  <c:v>259</c:v>
                </c:pt>
                <c:pt idx="45">
                  <c:v>263</c:v>
                </c:pt>
                <c:pt idx="46">
                  <c:v>254</c:v>
                </c:pt>
                <c:pt idx="47">
                  <c:v>260</c:v>
                </c:pt>
                <c:pt idx="48">
                  <c:v>251</c:v>
                </c:pt>
              </c:numCache>
            </c:numRef>
          </c:val>
          <c:smooth val="0"/>
          <c:extLst>
            <c:ext xmlns:c16="http://schemas.microsoft.com/office/drawing/2014/chart" uri="{C3380CC4-5D6E-409C-BE32-E72D297353CC}">
              <c16:uniqueId val="{00000000-56E0-4025-B03E-6324201F95AA}"/>
            </c:ext>
          </c:extLst>
        </c:ser>
        <c:ser>
          <c:idx val="1"/>
          <c:order val="1"/>
          <c:tx>
            <c:strRef>
              <c:f>Panamá!$O$2</c:f>
              <c:strCache>
                <c:ptCount val="1"/>
                <c:pt idx="0">
                  <c:v>UCI</c:v>
                </c:pt>
              </c:strCache>
            </c:strRef>
          </c:tx>
          <c:spPr>
            <a:ln w="28575" cap="rnd">
              <a:solidFill>
                <a:srgbClr val="7030A0"/>
              </a:solidFill>
              <a:round/>
            </a:ln>
            <a:effectLst/>
          </c:spPr>
          <c:marker>
            <c:symbol val="none"/>
          </c:marker>
          <c:val>
            <c:numRef>
              <c:f>Panamá!$O$19:$O$67</c:f>
              <c:numCache>
                <c:formatCode>General</c:formatCode>
                <c:ptCount val="49"/>
                <c:pt idx="5">
                  <c:v>2</c:v>
                </c:pt>
                <c:pt idx="6">
                  <c:v>3</c:v>
                </c:pt>
                <c:pt idx="7">
                  <c:v>4</c:v>
                </c:pt>
                <c:pt idx="8">
                  <c:v>8</c:v>
                </c:pt>
                <c:pt idx="9">
                  <c:v>9</c:v>
                </c:pt>
                <c:pt idx="10">
                  <c:v>10</c:v>
                </c:pt>
                <c:pt idx="11">
                  <c:v>11</c:v>
                </c:pt>
                <c:pt idx="12">
                  <c:v>11</c:v>
                </c:pt>
                <c:pt idx="13">
                  <c:v>13</c:v>
                </c:pt>
                <c:pt idx="14">
                  <c:v>14</c:v>
                </c:pt>
                <c:pt idx="15">
                  <c:v>19</c:v>
                </c:pt>
                <c:pt idx="16">
                  <c:v>20</c:v>
                </c:pt>
                <c:pt idx="17">
                  <c:v>23</c:v>
                </c:pt>
                <c:pt idx="18">
                  <c:v>28</c:v>
                </c:pt>
                <c:pt idx="19">
                  <c:v>32</c:v>
                </c:pt>
                <c:pt idx="20">
                  <c:v>36</c:v>
                </c:pt>
                <c:pt idx="21">
                  <c:v>43</c:v>
                </c:pt>
                <c:pt idx="22">
                  <c:v>50</c:v>
                </c:pt>
                <c:pt idx="23">
                  <c:v>63</c:v>
                </c:pt>
                <c:pt idx="24">
                  <c:v>69</c:v>
                </c:pt>
                <c:pt idx="25">
                  <c:v>72</c:v>
                </c:pt>
                <c:pt idx="26">
                  <c:v>75</c:v>
                </c:pt>
                <c:pt idx="27">
                  <c:v>78</c:v>
                </c:pt>
                <c:pt idx="28">
                  <c:v>88</c:v>
                </c:pt>
                <c:pt idx="29">
                  <c:v>91</c:v>
                </c:pt>
                <c:pt idx="30">
                  <c:v>101</c:v>
                </c:pt>
                <c:pt idx="31">
                  <c:v>107</c:v>
                </c:pt>
                <c:pt idx="32">
                  <c:v>104</c:v>
                </c:pt>
                <c:pt idx="33">
                  <c:v>102</c:v>
                </c:pt>
                <c:pt idx="34">
                  <c:v>106</c:v>
                </c:pt>
                <c:pt idx="35">
                  <c:v>105</c:v>
                </c:pt>
                <c:pt idx="36">
                  <c:v>106</c:v>
                </c:pt>
                <c:pt idx="37">
                  <c:v>106</c:v>
                </c:pt>
                <c:pt idx="38">
                  <c:v>99</c:v>
                </c:pt>
                <c:pt idx="39">
                  <c:v>94</c:v>
                </c:pt>
                <c:pt idx="40">
                  <c:v>95</c:v>
                </c:pt>
                <c:pt idx="41">
                  <c:v>98</c:v>
                </c:pt>
                <c:pt idx="42">
                  <c:v>98</c:v>
                </c:pt>
                <c:pt idx="43">
                  <c:v>94</c:v>
                </c:pt>
                <c:pt idx="44">
                  <c:v>97</c:v>
                </c:pt>
                <c:pt idx="45">
                  <c:v>93</c:v>
                </c:pt>
                <c:pt idx="46">
                  <c:v>87</c:v>
                </c:pt>
                <c:pt idx="47">
                  <c:v>85</c:v>
                </c:pt>
                <c:pt idx="48">
                  <c:v>88</c:v>
                </c:pt>
              </c:numCache>
            </c:numRef>
          </c:val>
          <c:smooth val="0"/>
          <c:extLst>
            <c:ext xmlns:c16="http://schemas.microsoft.com/office/drawing/2014/chart" uri="{C3380CC4-5D6E-409C-BE32-E72D297353CC}">
              <c16:uniqueId val="{00000001-56E0-4025-B03E-6324201F95AA}"/>
            </c:ext>
          </c:extLst>
        </c:ser>
        <c:ser>
          <c:idx val="3"/>
          <c:order val="3"/>
          <c:tx>
            <c:strRef>
              <c:f>Panamá!$K$2</c:f>
              <c:strCache>
                <c:ptCount val="1"/>
                <c:pt idx="0">
                  <c:v>Fallecidos acumulados</c:v>
                </c:pt>
              </c:strCache>
            </c:strRef>
          </c:tx>
          <c:spPr>
            <a:ln w="28575" cap="rnd">
              <a:solidFill>
                <a:srgbClr val="FF0000"/>
              </a:solidFill>
              <a:round/>
            </a:ln>
            <a:effectLst/>
          </c:spPr>
          <c:marker>
            <c:symbol val="none"/>
          </c:marker>
          <c:val>
            <c:numRef>
              <c:f>Panamá!$K$19:$K$67</c:f>
              <c:numCache>
                <c:formatCode>General</c:formatCode>
                <c:ptCount val="49"/>
                <c:pt idx="0">
                  <c:v>0</c:v>
                </c:pt>
                <c:pt idx="1">
                  <c:v>1</c:v>
                </c:pt>
                <c:pt idx="2">
                  <c:v>1</c:v>
                </c:pt>
                <c:pt idx="3">
                  <c:v>1</c:v>
                </c:pt>
                <c:pt idx="4">
                  <c:v>1</c:v>
                </c:pt>
                <c:pt idx="5">
                  <c:v>1</c:v>
                </c:pt>
                <c:pt idx="6">
                  <c:v>1</c:v>
                </c:pt>
                <c:pt idx="7">
                  <c:v>1</c:v>
                </c:pt>
                <c:pt idx="8">
                  <c:v>1</c:v>
                </c:pt>
                <c:pt idx="9">
                  <c:v>1</c:v>
                </c:pt>
                <c:pt idx="10">
                  <c:v>1</c:v>
                </c:pt>
                <c:pt idx="11">
                  <c:v>1</c:v>
                </c:pt>
                <c:pt idx="12">
                  <c:v>1</c:v>
                </c:pt>
                <c:pt idx="13">
                  <c:v>1</c:v>
                </c:pt>
                <c:pt idx="14">
                  <c:v>6</c:v>
                </c:pt>
                <c:pt idx="15">
                  <c:v>8</c:v>
                </c:pt>
                <c:pt idx="16">
                  <c:v>8</c:v>
                </c:pt>
                <c:pt idx="17">
                  <c:v>9</c:v>
                </c:pt>
                <c:pt idx="18">
                  <c:v>14</c:v>
                </c:pt>
                <c:pt idx="19">
                  <c:v>17</c:v>
                </c:pt>
                <c:pt idx="20">
                  <c:v>24</c:v>
                </c:pt>
                <c:pt idx="21">
                  <c:v>26</c:v>
                </c:pt>
                <c:pt idx="22">
                  <c:v>30</c:v>
                </c:pt>
                <c:pt idx="23">
                  <c:v>32</c:v>
                </c:pt>
                <c:pt idx="24">
                  <c:v>37</c:v>
                </c:pt>
                <c:pt idx="25">
                  <c:v>41</c:v>
                </c:pt>
                <c:pt idx="26">
                  <c:v>41</c:v>
                </c:pt>
                <c:pt idx="27">
                  <c:v>46</c:v>
                </c:pt>
                <c:pt idx="28">
                  <c:v>55</c:v>
                </c:pt>
                <c:pt idx="29">
                  <c:v>55</c:v>
                </c:pt>
                <c:pt idx="30">
                  <c:v>63</c:v>
                </c:pt>
                <c:pt idx="31">
                  <c:v>66</c:v>
                </c:pt>
                <c:pt idx="32">
                  <c:v>74</c:v>
                </c:pt>
                <c:pt idx="33">
                  <c:v>79</c:v>
                </c:pt>
                <c:pt idx="34">
                  <c:v>87</c:v>
                </c:pt>
                <c:pt idx="35">
                  <c:v>94</c:v>
                </c:pt>
                <c:pt idx="36">
                  <c:v>95</c:v>
                </c:pt>
                <c:pt idx="37">
                  <c:v>103</c:v>
                </c:pt>
                <c:pt idx="38">
                  <c:v>109</c:v>
                </c:pt>
                <c:pt idx="39">
                  <c:v>116</c:v>
                </c:pt>
                <c:pt idx="40">
                  <c:v>120</c:v>
                </c:pt>
                <c:pt idx="41">
                  <c:v>126</c:v>
                </c:pt>
                <c:pt idx="42">
                  <c:v>136</c:v>
                </c:pt>
                <c:pt idx="43">
                  <c:v>141</c:v>
                </c:pt>
                <c:pt idx="44">
                  <c:v>144</c:v>
                </c:pt>
                <c:pt idx="45">
                  <c:v>146</c:v>
                </c:pt>
                <c:pt idx="46">
                  <c:v>154</c:v>
                </c:pt>
                <c:pt idx="47">
                  <c:v>159</c:v>
                </c:pt>
                <c:pt idx="48">
                  <c:v>165</c:v>
                </c:pt>
              </c:numCache>
            </c:numRef>
          </c:val>
          <c:smooth val="0"/>
          <c:extLst>
            <c:ext xmlns:c16="http://schemas.microsoft.com/office/drawing/2014/chart" uri="{C3380CC4-5D6E-409C-BE32-E72D297353CC}">
              <c16:uniqueId val="{00000002-56E0-4025-B03E-6324201F95AA}"/>
            </c:ext>
          </c:extLst>
        </c:ser>
        <c:dLbls>
          <c:showLegendKey val="0"/>
          <c:showVal val="0"/>
          <c:showCatName val="0"/>
          <c:showSerName val="0"/>
          <c:showPercent val="0"/>
          <c:showBubbleSize val="0"/>
        </c:dLbls>
        <c:smooth val="0"/>
        <c:axId val="511615624"/>
        <c:axId val="511616936"/>
        <c:extLst>
          <c:ext xmlns:c15="http://schemas.microsoft.com/office/drawing/2012/chart" uri="{02D57815-91ED-43cb-92C2-25804820EDAC}">
            <c15:filteredLineSeries>
              <c15:ser>
                <c:idx val="2"/>
                <c:order val="2"/>
                <c:tx>
                  <c:strRef>
                    <c:extLst>
                      <c:ext uri="{02D57815-91ED-43cb-92C2-25804820EDAC}">
                        <c15:formulaRef>
                          <c15:sqref>Panamá!$P$2</c15:sqref>
                        </c15:formulaRef>
                      </c:ext>
                    </c:extLst>
                    <c:strCache>
                      <c:ptCount val="1"/>
                      <c:pt idx="0">
                        <c:v>Casos en seguimiento domiciliar</c:v>
                      </c:pt>
                    </c:strCache>
                  </c:strRef>
                </c:tx>
                <c:spPr>
                  <a:ln w="28575" cap="rnd">
                    <a:solidFill>
                      <a:schemeClr val="accent3"/>
                    </a:solidFill>
                    <a:round/>
                  </a:ln>
                  <a:effectLst/>
                </c:spPr>
                <c:marker>
                  <c:symbol val="none"/>
                </c:marker>
                <c:val>
                  <c:numRef>
                    <c:extLst>
                      <c:ext uri="{02D57815-91ED-43cb-92C2-25804820EDAC}">
                        <c15:formulaRef>
                          <c15:sqref>Panamá!$P$19:$P$67</c15:sqref>
                        </c15:formulaRef>
                      </c:ext>
                    </c:extLst>
                    <c:numCache>
                      <c:formatCode>0.0</c:formatCode>
                      <c:ptCount val="49"/>
                      <c:pt idx="0">
                        <c:v>1</c:v>
                      </c:pt>
                      <c:pt idx="1">
                        <c:v>7</c:v>
                      </c:pt>
                      <c:pt idx="2">
                        <c:v>13</c:v>
                      </c:pt>
                      <c:pt idx="3">
                        <c:v>26</c:v>
                      </c:pt>
                      <c:pt idx="4">
                        <c:v>35</c:v>
                      </c:pt>
                      <c:pt idx="5">
                        <c:v>37</c:v>
                      </c:pt>
                      <c:pt idx="6">
                        <c:v>48</c:v>
                      </c:pt>
                      <c:pt idx="7">
                        <c:v>59</c:v>
                      </c:pt>
                      <c:pt idx="8">
                        <c:v>71</c:v>
                      </c:pt>
                      <c:pt idx="9">
                        <c:v>91</c:v>
                      </c:pt>
                      <c:pt idx="10">
                        <c:v>115</c:v>
                      </c:pt>
                      <c:pt idx="11">
                        <c:v>171</c:v>
                      </c:pt>
                      <c:pt idx="12">
                        <c:v>212</c:v>
                      </c:pt>
                      <c:pt idx="13">
                        <c:v>270</c:v>
                      </c:pt>
                      <c:pt idx="14">
                        <c:v>292</c:v>
                      </c:pt>
                      <c:pt idx="15">
                        <c:v>373</c:v>
                      </c:pt>
                      <c:pt idx="16">
                        <c:v>482</c:v>
                      </c:pt>
                      <c:pt idx="17">
                        <c:v>582</c:v>
                      </c:pt>
                      <c:pt idx="18">
                        <c:v>664</c:v>
                      </c:pt>
                      <c:pt idx="19">
                        <c:v>757</c:v>
                      </c:pt>
                      <c:pt idx="20">
                        <c:v>820</c:v>
                      </c:pt>
                      <c:pt idx="21">
                        <c:v>888</c:v>
                      </c:pt>
                      <c:pt idx="22">
                        <c:v>969</c:v>
                      </c:pt>
                      <c:pt idx="23">
                        <c:v>1078</c:v>
                      </c:pt>
                      <c:pt idx="24">
                        <c:v>1207</c:v>
                      </c:pt>
                      <c:pt idx="25">
                        <c:v>1406</c:v>
                      </c:pt>
                      <c:pt idx="26">
                        <c:v>1518</c:v>
                      </c:pt>
                      <c:pt idx="27">
                        <c:v>1688</c:v>
                      </c:pt>
                      <c:pt idx="28">
                        <c:v>1776</c:v>
                      </c:pt>
                      <c:pt idx="29">
                        <c:v>1910</c:v>
                      </c:pt>
                      <c:pt idx="30">
                        <c:v>2154</c:v>
                      </c:pt>
                      <c:pt idx="31">
                        <c:v>2367</c:v>
                      </c:pt>
                      <c:pt idx="32">
                        <c:v>2580</c:v>
                      </c:pt>
                      <c:pt idx="33">
                        <c:v>2811</c:v>
                      </c:pt>
                      <c:pt idx="34">
                        <c:v>2955</c:v>
                      </c:pt>
                      <c:pt idx="35">
                        <c:v>2984</c:v>
                      </c:pt>
                      <c:pt idx="36">
                        <c:v>3071</c:v>
                      </c:pt>
                      <c:pt idx="37">
                        <c:v>3240</c:v>
                      </c:pt>
                      <c:pt idx="38">
                        <c:v>3483</c:v>
                      </c:pt>
                      <c:pt idx="39">
                        <c:v>3631</c:v>
                      </c:pt>
                      <c:pt idx="40">
                        <c:v>3664</c:v>
                      </c:pt>
                      <c:pt idx="41">
                        <c:v>3819</c:v>
                      </c:pt>
                      <c:pt idx="42">
                        <c:v>3954</c:v>
                      </c:pt>
                      <c:pt idx="43">
                        <c:v>4094</c:v>
                      </c:pt>
                      <c:pt idx="44">
                        <c:v>4237</c:v>
                      </c:pt>
                      <c:pt idx="45">
                        <c:v>4393</c:v>
                      </c:pt>
                      <c:pt idx="46">
                        <c:v>4524</c:v>
                      </c:pt>
                      <c:pt idx="47">
                        <c:v>4696</c:v>
                      </c:pt>
                      <c:pt idx="48">
                        <c:v>4906</c:v>
                      </c:pt>
                    </c:numCache>
                  </c:numRef>
                </c:val>
                <c:smooth val="0"/>
                <c:extLst>
                  <c:ext xmlns:c16="http://schemas.microsoft.com/office/drawing/2014/chart" uri="{C3380CC4-5D6E-409C-BE32-E72D297353CC}">
                    <c16:uniqueId val="{00000003-56E0-4025-B03E-6324201F95AA}"/>
                  </c:ext>
                </c:extLst>
              </c15:ser>
            </c15:filteredLineSeries>
          </c:ext>
        </c:extLst>
      </c:lineChart>
      <c:catAx>
        <c:axId val="51161562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crossAx val="511616936"/>
        <c:crosses val="autoZero"/>
        <c:auto val="1"/>
        <c:lblAlgn val="ctr"/>
        <c:lblOffset val="100"/>
        <c:noMultiLvlLbl val="0"/>
      </c:catAx>
      <c:valAx>
        <c:axId val="511616936"/>
        <c:scaling>
          <c:orientation val="minMax"/>
          <c:max val="5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crossAx val="511615624"/>
        <c:crosses val="autoZero"/>
        <c:crossBetween val="between"/>
      </c:valAx>
      <c:spPr>
        <a:noFill/>
        <a:ln>
          <a:noFill/>
        </a:ln>
        <a:effectLst/>
      </c:spPr>
    </c:plotArea>
    <c:legend>
      <c:legendPos val="r"/>
      <c:layout>
        <c:manualLayout>
          <c:xMode val="edge"/>
          <c:yMode val="edge"/>
          <c:x val="0.13463624739215291"/>
          <c:y val="0.87975486897856015"/>
          <c:w val="0.79661440993495158"/>
          <c:h val="0.1172826980098441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419"/>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200"/>
              <a:t>Gráfico 5. Letalidad del</a:t>
            </a:r>
            <a:r>
              <a:rPr lang="en-US" sz="1200" baseline="0"/>
              <a:t> Covid-19 </a:t>
            </a:r>
            <a:endParaRPr lang="en-US" sz="1200"/>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s-419"/>
        </a:p>
      </c:txPr>
    </c:title>
    <c:autoTitleDeleted val="0"/>
    <c:plotArea>
      <c:layout/>
      <c:barChart>
        <c:barDir val="bar"/>
        <c:grouping val="clustered"/>
        <c:varyColors val="0"/>
        <c:ser>
          <c:idx val="0"/>
          <c:order val="0"/>
          <c:tx>
            <c:strRef>
              <c:f>'27 abril'!$H$4</c:f>
              <c:strCache>
                <c:ptCount val="1"/>
                <c:pt idx="0">
                  <c:v>Letalidad</c:v>
                </c:pt>
              </c:strCache>
            </c:strRef>
          </c:tx>
          <c:spPr>
            <a:solidFill>
              <a:schemeClr val="accent1"/>
            </a:solidFill>
            <a:ln>
              <a:noFill/>
            </a:ln>
            <a:effectLst/>
          </c:spPr>
          <c:invertIfNegative val="0"/>
          <c:dPt>
            <c:idx val="6"/>
            <c:invertIfNegative val="0"/>
            <c:bubble3D val="0"/>
            <c:spPr>
              <a:solidFill>
                <a:srgbClr val="FFFF00"/>
              </a:solidFill>
              <a:ln>
                <a:solidFill>
                  <a:srgbClr val="FF0000"/>
                </a:solidFill>
              </a:ln>
              <a:effectLst/>
            </c:spPr>
            <c:extLst>
              <c:ext xmlns:c16="http://schemas.microsoft.com/office/drawing/2014/chart" uri="{C3380CC4-5D6E-409C-BE32-E72D297353CC}">
                <c16:uniqueId val="{00000001-B9F2-43A4-B83F-B0A6708FE325}"/>
              </c:ext>
            </c:extLst>
          </c:dPt>
          <c:dLbls>
            <c:dLbl>
              <c:idx val="20"/>
              <c:layout>
                <c:manualLayout>
                  <c:x val="0"/>
                  <c:y val="-2.2040302267002519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9F2-43A4-B83F-B0A6708FE32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419"/>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'27 abril'!$C$5:$C$186</c:f>
              <c:strCache>
                <c:ptCount val="21"/>
                <c:pt idx="0">
                  <c:v>Costa Rica</c:v>
                </c:pt>
                <c:pt idx="1">
                  <c:v>Chile</c:v>
                </c:pt>
                <c:pt idx="2">
                  <c:v>Corea del Sur</c:v>
                </c:pt>
                <c:pt idx="3">
                  <c:v>El Salvador</c:v>
                </c:pt>
                <c:pt idx="4">
                  <c:v>Ecuador</c:v>
                </c:pt>
                <c:pt idx="5">
                  <c:v>Peru</c:v>
                </c:pt>
                <c:pt idx="6">
                  <c:v>Panama</c:v>
                </c:pt>
                <c:pt idx="7">
                  <c:v>Alemania</c:v>
                </c:pt>
                <c:pt idx="8">
                  <c:v>Argentina</c:v>
                </c:pt>
                <c:pt idx="9">
                  <c:v>China</c:v>
                </c:pt>
                <c:pt idx="10">
                  <c:v>Suiza</c:v>
                </c:pt>
                <c:pt idx="11">
                  <c:v>Canada</c:v>
                </c:pt>
                <c:pt idx="12">
                  <c:v>Estados Unidos</c:v>
                </c:pt>
                <c:pt idx="13">
                  <c:v>Brazil</c:v>
                </c:pt>
                <c:pt idx="14">
                  <c:v>Mexico</c:v>
                </c:pt>
                <c:pt idx="15">
                  <c:v>Honduras</c:v>
                </c:pt>
                <c:pt idx="16">
                  <c:v>España</c:v>
                </c:pt>
                <c:pt idx="17">
                  <c:v>Italia</c:v>
                </c:pt>
                <c:pt idx="18">
                  <c:v>Reino Unido</c:v>
                </c:pt>
                <c:pt idx="19">
                  <c:v>Francia</c:v>
                </c:pt>
                <c:pt idx="20">
                  <c:v>Nicaragua</c:v>
                </c:pt>
              </c:strCache>
            </c:strRef>
          </c:cat>
          <c:val>
            <c:numRef>
              <c:f>'27 abril'!$H$5:$H$186</c:f>
              <c:numCache>
                <c:formatCode>0.0</c:formatCode>
                <c:ptCount val="21"/>
                <c:pt idx="0">
                  <c:v>0.86330935251798557</c:v>
                </c:pt>
                <c:pt idx="1">
                  <c:v>1.485259920486085</c:v>
                </c:pt>
                <c:pt idx="2">
                  <c:v>2.2629912460420938</c:v>
                </c:pt>
                <c:pt idx="3">
                  <c:v>2.4767801857585141</c:v>
                </c:pt>
                <c:pt idx="4">
                  <c:v>2.5353228575201374</c:v>
                </c:pt>
                <c:pt idx="5">
                  <c:v>2.6456372424319512</c:v>
                </c:pt>
                <c:pt idx="6">
                  <c:v>2.8551652535040666</c:v>
                </c:pt>
                <c:pt idx="7">
                  <c:v>3.7892697504210302</c:v>
                </c:pt>
                <c:pt idx="8">
                  <c:v>4.9331963001027743</c:v>
                </c:pt>
                <c:pt idx="9">
                  <c:v>5.5260272666603107</c:v>
                </c:pt>
                <c:pt idx="10">
                  <c:v>5.6233712796598549</c:v>
                </c:pt>
                <c:pt idx="11">
                  <c:v>5.6482915137760621</c:v>
                </c:pt>
                <c:pt idx="12">
                  <c:v>5.6875580397398169</c:v>
                </c:pt>
                <c:pt idx="13">
                  <c:v>6.8114104595879565</c:v>
                </c:pt>
                <c:pt idx="14">
                  <c:v>9.2048783811405599</c:v>
                </c:pt>
                <c:pt idx="15">
                  <c:v>9.2284417549167923</c:v>
                </c:pt>
                <c:pt idx="16">
                  <c:v>10.252286180052479</c:v>
                </c:pt>
                <c:pt idx="17">
                  <c:v>13.478689768559505</c:v>
                </c:pt>
                <c:pt idx="18">
                  <c:v>13.501301635321383</c:v>
                </c:pt>
                <c:pt idx="19">
                  <c:v>14.110467266674886</c:v>
                </c:pt>
                <c:pt idx="20">
                  <c:v>23.076923076923077</c:v>
                </c:pt>
              </c:numCache>
            </c:numRef>
          </c:val>
          <c:extLst>
            <c:ext xmlns:c16="http://schemas.microsoft.com/office/drawing/2014/chart" uri="{C3380CC4-5D6E-409C-BE32-E72D297353CC}">
              <c16:uniqueId val="{00000000-B9F2-43A4-B83F-B0A6708FE325}"/>
            </c:ext>
          </c:extLst>
        </c:ser>
        <c:dLbls>
          <c:showLegendKey val="0"/>
          <c:showVal val="0"/>
          <c:showCatName val="0"/>
          <c:showSerName val="0"/>
          <c:showPercent val="0"/>
          <c:showBubbleSize val="0"/>
        </c:dLbls>
        <c:gapWidth val="182"/>
        <c:axId val="377835784"/>
        <c:axId val="377839064"/>
      </c:barChart>
      <c:catAx>
        <c:axId val="3778357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crossAx val="377839064"/>
        <c:crosses val="autoZero"/>
        <c:auto val="1"/>
        <c:lblAlgn val="ctr"/>
        <c:lblOffset val="100"/>
        <c:noMultiLvlLbl val="0"/>
      </c:catAx>
      <c:valAx>
        <c:axId val="377839064"/>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crossAx val="37783578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419"/>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s-NI" sz="1200"/>
              <a:t>Gráfico 6. Cobertura</a:t>
            </a:r>
            <a:r>
              <a:rPr lang="es-NI" sz="1200" baseline="0"/>
              <a:t> de pruebas para el diagnóstico de Covid-19 por millón de habitantes.</a:t>
            </a:r>
            <a:endParaRPr lang="es-NI" sz="1200"/>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s-419"/>
        </a:p>
      </c:txPr>
    </c:title>
    <c:autoTitleDeleted val="0"/>
    <c:plotArea>
      <c:layout>
        <c:manualLayout>
          <c:layoutTarget val="inner"/>
          <c:xMode val="edge"/>
          <c:yMode val="edge"/>
          <c:x val="0.17687314085739284"/>
          <c:y val="0.16683587140439932"/>
          <c:w val="0.7609046369203849"/>
          <c:h val="0.77157946627229967"/>
        </c:manualLayout>
      </c:layout>
      <c:barChart>
        <c:barDir val="bar"/>
        <c:grouping val="clustered"/>
        <c:varyColors val="0"/>
        <c:ser>
          <c:idx val="0"/>
          <c:order val="0"/>
          <c:spPr>
            <a:solidFill>
              <a:schemeClr val="accent1"/>
            </a:solidFill>
            <a:ln>
              <a:noFill/>
            </a:ln>
            <a:effectLst/>
          </c:spPr>
          <c:invertIfNegative val="0"/>
          <c:dPt>
            <c:idx val="9"/>
            <c:invertIfNegative val="0"/>
            <c:bubble3D val="0"/>
            <c:spPr>
              <a:solidFill>
                <a:srgbClr val="FFFF00"/>
              </a:solidFill>
              <a:ln>
                <a:solidFill>
                  <a:srgbClr val="FF0000"/>
                </a:solidFill>
              </a:ln>
              <a:effectLst/>
            </c:spPr>
            <c:extLst>
              <c:ext xmlns:c16="http://schemas.microsoft.com/office/drawing/2014/chart" uri="{C3380CC4-5D6E-409C-BE32-E72D297353CC}">
                <c16:uniqueId val="{00000001-C2E5-4823-9549-7E9ABBE45EC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419"/>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'27 abril (3)'!$C$166:$C$186</c:f>
              <c:strCache>
                <c:ptCount val="21"/>
                <c:pt idx="0">
                  <c:v>China</c:v>
                </c:pt>
                <c:pt idx="1">
                  <c:v>Nicaragua</c:v>
                </c:pt>
                <c:pt idx="2">
                  <c:v>Honduras</c:v>
                </c:pt>
                <c:pt idx="3">
                  <c:v>Mexico</c:v>
                </c:pt>
                <c:pt idx="4">
                  <c:v>Argentina</c:v>
                </c:pt>
                <c:pt idx="5">
                  <c:v>Brazil</c:v>
                </c:pt>
                <c:pt idx="6">
                  <c:v>Costa Rica</c:v>
                </c:pt>
                <c:pt idx="7">
                  <c:v>El Salvador</c:v>
                </c:pt>
                <c:pt idx="8">
                  <c:v>Ecuador</c:v>
                </c:pt>
                <c:pt idx="9">
                  <c:v>Panama</c:v>
                </c:pt>
                <c:pt idx="10">
                  <c:v>Francia</c:v>
                </c:pt>
                <c:pt idx="11">
                  <c:v>Peru</c:v>
                </c:pt>
                <c:pt idx="12">
                  <c:v>Chile</c:v>
                </c:pt>
                <c:pt idx="13">
                  <c:v>Reino Unido</c:v>
                </c:pt>
                <c:pt idx="14">
                  <c:v>Corea del Sur</c:v>
                </c:pt>
                <c:pt idx="15">
                  <c:v>Estados Unidos</c:v>
                </c:pt>
                <c:pt idx="16">
                  <c:v>Canada</c:v>
                </c:pt>
                <c:pt idx="17">
                  <c:v>Alemania</c:v>
                </c:pt>
                <c:pt idx="18">
                  <c:v>Suiza</c:v>
                </c:pt>
                <c:pt idx="19">
                  <c:v>España</c:v>
                </c:pt>
                <c:pt idx="20">
                  <c:v>Italia</c:v>
                </c:pt>
              </c:strCache>
            </c:strRef>
          </c:cat>
          <c:val>
            <c:numRef>
              <c:f>'27 abril (3)'!$J$166:$J$186</c:f>
              <c:numCache>
                <c:formatCode>0</c:formatCode>
                <c:ptCount val="21"/>
                <c:pt idx="0">
                  <c:v>0</c:v>
                </c:pt>
                <c:pt idx="1">
                  <c:v>0</c:v>
                </c:pt>
                <c:pt idx="2">
                  <c:v>379.97305247383008</c:v>
                </c:pt>
                <c:pt idx="3">
                  <c:v>499.0293957568947</c:v>
                </c:pt>
                <c:pt idx="4">
                  <c:v>1094.3460497857391</c:v>
                </c:pt>
                <c:pt idx="5">
                  <c:v>1344.9962767743052</c:v>
                </c:pt>
                <c:pt idx="6">
                  <c:v>2482.4771007566706</c:v>
                </c:pt>
                <c:pt idx="7">
                  <c:v>3237.4536796513098</c:v>
                </c:pt>
                <c:pt idx="8">
                  <c:v>3252.223879931345</c:v>
                </c:pt>
                <c:pt idx="9">
                  <c:v>6275.7874180367935</c:v>
                </c:pt>
                <c:pt idx="10">
                  <c:v>6918.9979484989472</c:v>
                </c:pt>
                <c:pt idx="11">
                  <c:v>6969.4875942719564</c:v>
                </c:pt>
                <c:pt idx="12">
                  <c:v>8540.6534787768451</c:v>
                </c:pt>
                <c:pt idx="13">
                  <c:v>10045.849325307652</c:v>
                </c:pt>
                <c:pt idx="14">
                  <c:v>11689.046646787556</c:v>
                </c:pt>
                <c:pt idx="15">
                  <c:v>16602.748723087072</c:v>
                </c:pt>
                <c:pt idx="16">
                  <c:v>18741.758520774627</c:v>
                </c:pt>
                <c:pt idx="17">
                  <c:v>24966.13645325691</c:v>
                </c:pt>
                <c:pt idx="18">
                  <c:v>27967.945746973892</c:v>
                </c:pt>
                <c:pt idx="19">
                  <c:v>29449.087621278377</c:v>
                </c:pt>
                <c:pt idx="20">
                  <c:v>29650.024206610171</c:v>
                </c:pt>
              </c:numCache>
            </c:numRef>
          </c:val>
          <c:extLst>
            <c:ext xmlns:c16="http://schemas.microsoft.com/office/drawing/2014/chart" uri="{C3380CC4-5D6E-409C-BE32-E72D297353CC}">
              <c16:uniqueId val="{00000000-C2E5-4823-9549-7E9ABBE45EC9}"/>
            </c:ext>
          </c:extLst>
        </c:ser>
        <c:dLbls>
          <c:dLblPos val="outEnd"/>
          <c:showLegendKey val="0"/>
          <c:showVal val="1"/>
          <c:showCatName val="0"/>
          <c:showSerName val="0"/>
          <c:showPercent val="0"/>
          <c:showBubbleSize val="0"/>
        </c:dLbls>
        <c:gapWidth val="182"/>
        <c:axId val="506507816"/>
        <c:axId val="506505192"/>
      </c:barChart>
      <c:catAx>
        <c:axId val="5065078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crossAx val="506505192"/>
        <c:crosses val="autoZero"/>
        <c:auto val="1"/>
        <c:lblAlgn val="ctr"/>
        <c:lblOffset val="100"/>
        <c:noMultiLvlLbl val="0"/>
      </c:catAx>
      <c:valAx>
        <c:axId val="50650519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crossAx val="50650781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419"/>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'27 abril (2)'!$C$5:$C$187</cx:f>
        <cx:lvl ptCount="22">
          <cx:pt idx="1">España</cx:pt>
          <cx:pt idx="2">Suiza</cx:pt>
          <cx:pt idx="3">Italia</cx:pt>
          <cx:pt idx="4">Estados Unidos</cx:pt>
          <cx:pt idx="5">Francia</cx:pt>
          <cx:pt idx="6">Reino Unido</cx:pt>
          <cx:pt idx="7">Alemania</cx:pt>
          <cx:pt idx="8">Panama</cx:pt>
          <cx:pt idx="9">Ecuador</cx:pt>
          <cx:pt idx="10">Canada</cx:pt>
          <cx:pt idx="11">Peru</cx:pt>
          <cx:pt idx="12">Chile</cx:pt>
          <cx:pt idx="13">Brazil</cx:pt>
          <cx:pt idx="14">Corea del Sur</cx:pt>
          <cx:pt idx="15">Costa Rica</cx:pt>
          <cx:pt idx="16">Mexico</cx:pt>
          <cx:pt idx="17">Argentina</cx:pt>
          <cx:pt idx="18">Honduras</cx:pt>
          <cx:pt idx="19">China</cx:pt>
          <cx:pt idx="20">El Salvador</cx:pt>
          <cx:pt idx="21">Nicaragua</cx:pt>
        </cx:lvl>
      </cx:strDim>
      <cx:numDim type="val">
        <cx:f>'27 abril (2)'!$F$5:$F$187</cx:f>
        <cx:lvl ptCount="22" formatCode="General">
          <cx:pt idx="0">1</cx:pt>
          <cx:pt idx="1">0.50211574216303456</cx:pt>
          <cx:pt idx="2">0.33251413361791549</cx:pt>
          <cx:pt idx="3">0.32749583636696006</cx:pt>
          <cx:pt idx="4">0.29507472078985314</cx:pt>
          <cx:pt idx="5">0.24207285634912917</cx:pt>
          <cx:pt idx="6">0.23101179256884599</cx:pt>
          <cx:pt idx="7">0.19025234556246637</cx:pt>
          <cx:pt idx="8">0.13613518820177409</cx:pt>
          <cx:pt idx="9">0.13074385420728013</cx:pt>
          <cx:pt idx="10">0.12489154737175572</cx:pt>
          <cx:pt idx="11">0.082398222160363591</cx:pt>
          <cx:pt idx="12">0.070614600753914555</cx:pt>
          <cx:pt idx="13">0.029072582766786557</cx:pt>
          <cx:pt idx="14">0.020861779558754904</cx:pt>
          <cx:pt idx="15">0.013839107925129429</cx:pt>
          <cx:pt idx="16">0.010829089142491231</cx:pt>
          <cx:pt idx="17">0.0085346054017956044</cx:pt>
          <cx:pt idx="18">0.0068943779216360601</cx:pt>
          <cx:pt idx="19">0.0060135590305149854</cx:pt>
          <cx:pt idx="20">0.0052001468920750572</cx:pt>
          <cx:pt idx="21">0.00020106679856648653</cx:pt>
        </cx:lvl>
      </cx:numDim>
    </cx:data>
  </cx:chartData>
  <cx:chart>
    <cx:title pos="t" align="ctr" overlay="0">
      <cx:tx>
        <cx:rich>
          <a:bodyPr spcFirstLastPara="1" vertOverflow="ellipsis" horzOverflow="overflow" wrap="square" lIns="0" tIns="0" rIns="0" bIns="0" anchor="ctr" anchorCtr="1"/>
          <a:lstStyle/>
          <a:p>
            <a:pPr algn="ctr" rtl="0">
              <a:defRPr/>
            </a:pPr>
            <a:r>
              <a:rPr lang="en-US" sz="1400" b="0" i="0" u="none" strike="noStrike" baseline="0">
                <a:solidFill>
                  <a:sysClr val="windowText" lastClr="000000">
                    <a:lumMod val="65000"/>
                    <a:lumOff val="35000"/>
                  </a:sysClr>
                </a:solidFill>
                <a:latin typeface="Calibri" panose="020F0502020204030204"/>
              </a:rPr>
              <a:t>Gráfico 4. </a:t>
            </a:r>
            <a:r>
              <a:rPr lang="en-US" sz="1200" b="0" i="0" u="none" strike="noStrike" baseline="0">
                <a:solidFill>
                  <a:sysClr val="windowText" lastClr="000000">
                    <a:lumMod val="65000"/>
                    <a:lumOff val="35000"/>
                  </a:sysClr>
                </a:solidFill>
                <a:latin typeface="Calibri" panose="020F0502020204030204"/>
              </a:rPr>
              <a:t>Incidencia</a:t>
            </a:r>
            <a:r>
              <a:rPr lang="en-US" sz="1400" b="0" i="0" u="none" strike="noStrike" baseline="0">
                <a:solidFill>
                  <a:sysClr val="windowText" lastClr="000000">
                    <a:lumMod val="65000"/>
                    <a:lumOff val="35000"/>
                  </a:sysClr>
                </a:solidFill>
                <a:latin typeface="Calibri" panose="020F0502020204030204"/>
              </a:rPr>
              <a:t> de casos de Covid-19</a:t>
            </a:r>
          </a:p>
        </cx:rich>
      </cx:tx>
    </cx:title>
    <cx:plotArea>
      <cx:plotAreaRegion>
        <cx:series layoutId="funnel" uniqueId="{91E0F6B7-936F-4507-A58E-63FEFE4A9D02}">
          <cx:tx>
            <cx:txData>
              <cx:f>'27 abril (2)'!$F$4</cx:f>
              <cx:v>Incidencia</cx:v>
            </cx:txData>
          </cx:tx>
          <cx:dataPt idx="0">
            <cx:spPr>
              <a:solidFill>
                <a:srgbClr val="70AD47">
                  <a:lumMod val="60000"/>
                  <a:lumOff val="40000"/>
                </a:srgbClr>
              </a:solidFill>
            </cx:spPr>
          </cx:dataPt>
          <cx:dataPt idx="8">
            <cx:spPr>
              <a:solidFill>
                <a:srgbClr val="FFFF00"/>
              </a:solidFill>
              <a:ln>
                <a:solidFill>
                  <a:srgbClr val="FF0000"/>
                </a:solidFill>
              </a:ln>
            </cx:spPr>
          </cx:dataPt>
          <cx:dataLabels>
            <cx:visibility seriesName="0" categoryName="0" value="1"/>
          </cx:dataLabels>
          <cx:dataId val="0"/>
        </cx:series>
      </cx:plotAreaRegion>
      <cx:axis id="0">
        <cx:catScaling gapWidth="0.0599999987"/>
        <cx:tickLabels/>
      </cx:axis>
    </cx:plotArea>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419">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4C3519EEC87C344B5A9D3F4DDDF32B9" ma:contentTypeVersion="0" ma:contentTypeDescription="A content type to manage public (operations) IDB documents" ma:contentTypeScope="" ma:versionID="d69db9d4cdd7f84525ab0911f8b0c593">
  <xsd:schema xmlns:xsd="http://www.w3.org/2001/XMLSchema" xmlns:xs="http://www.w3.org/2001/XMLSchema" xmlns:p="http://schemas.microsoft.com/office/2006/metadata/properties" xmlns:ns2="cdc7663a-08f0-4737-9e8c-148ce897a09c" targetNamespace="http://schemas.microsoft.com/office/2006/metadata/properties" ma:root="true" ma:fieldsID="995fbed8897501acf510741a9856983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6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Nathalia Gonzalez</Other_x0020_Author>
    <Migration_x0020_Info xmlns="cdc7663a-08f0-4737-9e8c-148ce897a09c" xsi:nil="true"/>
    <Approval_x0020_Number xmlns="cdc7663a-08f0-4737-9e8c-148ce897a09c" xsi:nil="true"/>
    <Phase xmlns="cdc7663a-08f0-4737-9e8c-148ce897a09c">ACTIVE</Phase>
    <Document_x0020_Author xmlns="cdc7663a-08f0-4737-9e8c-148ce897a09c">Larios Jose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25</Value>
      <Value>251</Value>
      <Value>1</Value>
      <Value>22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PN-L1163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EZSHARE-1554468518-10</_dlc_DocId>
    <_dlc_DocIdUrl xmlns="cdc7663a-08f0-4737-9e8c-148ce897a09c">
      <Url>https://idbg.sharepoint.com/teams/EZ-PN-LON/PN-L1163/_layouts/15/DocIdRedir.aspx?ID=EZSHARE-1554468518-10</Url>
      <Description>EZSHARE-1554468518-10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BA83011C-4037-4F52-9D56-0B82C0EFDA4E}"/>
</file>

<file path=customXml/itemProps2.xml><?xml version="1.0" encoding="utf-8"?>
<ds:datastoreItem xmlns:ds="http://schemas.openxmlformats.org/officeDocument/2006/customXml" ds:itemID="{58D4FACE-4C07-467A-A59F-735F7D66974C}"/>
</file>

<file path=customXml/itemProps3.xml><?xml version="1.0" encoding="utf-8"?>
<ds:datastoreItem xmlns:ds="http://schemas.openxmlformats.org/officeDocument/2006/customXml" ds:itemID="{D160D91F-BD2A-4584-B6FB-3339928B3B98}"/>
</file>

<file path=customXml/itemProps4.xml><?xml version="1.0" encoding="utf-8"?>
<ds:datastoreItem xmlns:ds="http://schemas.openxmlformats.org/officeDocument/2006/customXml" ds:itemID="{74CDB070-317C-475D-A239-88998662AB3D}"/>
</file>

<file path=customXml/itemProps5.xml><?xml version="1.0" encoding="utf-8"?>
<ds:datastoreItem xmlns:ds="http://schemas.openxmlformats.org/officeDocument/2006/customXml" ds:itemID="{0E453F41-644E-4C2C-A5B8-E699841D7DAB}"/>
</file>

<file path=customXml/itemProps6.xml><?xml version="1.0" encoding="utf-8"?>
<ds:datastoreItem xmlns:ds="http://schemas.openxmlformats.org/officeDocument/2006/customXml" ds:itemID="{14C5BAAD-91BC-43AB-B6C5-53EA14B909C8}"/>
</file>

<file path=customXml/itemProps7.xml><?xml version="1.0" encoding="utf-8"?>
<ds:datastoreItem xmlns:ds="http://schemas.openxmlformats.org/officeDocument/2006/customXml" ds:itemID="{8136B170-8D18-4CA4-8591-B75AA41C1EC0}"/>
</file>

<file path=docProps/app.xml><?xml version="1.0" encoding="utf-8"?>
<Properties xmlns="http://schemas.openxmlformats.org/officeDocument/2006/extended-properties" xmlns:vt="http://schemas.openxmlformats.org/officeDocument/2006/docPropsVTypes">
  <Template>Normal</Template>
  <TotalTime>22</TotalTime>
  <Pages>7</Pages>
  <Words>1303</Words>
  <Characters>7172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Ortega Castro, Luis Alfredo</dc:creator>
  <cp:keywords/>
  <dc:description/>
  <cp:lastModifiedBy>Monin, Emmanuelle</cp:lastModifiedBy>
  <cp:revision>14</cp:revision>
  <dcterms:created xsi:type="dcterms:W3CDTF">2020-04-27T20:35:00Z</dcterms:created>
  <dcterms:modified xsi:type="dcterms:W3CDTF">2020-04-27T20:56:00Z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251;#FISCAL POLICY FOR SUSTAINABILITY AND GROWTH|6e15b5e0-ae82-4b06-920a-eef6dd27cc8b</vt:lpwstr>
  </property>
  <property fmtid="{D5CDD505-2E9C-101B-9397-08002B2CF9AE}" pid="7" name="Fund IDB">
    <vt:lpwstr>25;#ORC|c028a4b2-ad8b-4cf4-9cac-a2ae6a778e23</vt:lpwstr>
  </property>
  <property fmtid="{D5CDD505-2E9C-101B-9397-08002B2CF9AE}" pid="8" name="Country">
    <vt:lpwstr>22;#Panama|7af43a84-776d-43d1-b0f2-8a1f2a8ffc7b</vt:lpwstr>
  </property>
  <property fmtid="{D5CDD505-2E9C-101B-9397-08002B2CF9AE}" pid="9" name="Sector IDB">
    <vt:lpwstr>27;#REFORM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8c24df62-f263-42df-bd55-51f762436b9e</vt:lpwstr>
  </property>
  <property fmtid="{D5CDD505-2E9C-101B-9397-08002B2CF9AE}" pid="12" name="Disclosure Activity">
    <vt:lpwstr>Electronic Links</vt:lpwstr>
  </property>
  <property fmtid="{D5CDD505-2E9C-101B-9397-08002B2CF9AE}" pid="13" name="ContentTypeId">
    <vt:lpwstr>0x0101001A458A224826124E8B45B1D613300CFC0004C3519EEC87C344B5A9D3F4DDDF32B9</vt:lpwstr>
  </property>
</Properties>
</file>