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F9443" w14:textId="1DFE7A7A" w:rsidR="000B0797" w:rsidRDefault="006A1872">
      <w:pPr>
        <w:spacing w:before="200" w:after="200"/>
        <w:jc w:val="center"/>
      </w:pPr>
      <w:r>
        <w:rPr>
          <w:rFonts w:ascii="Arial" w:hAnsi="Arial" w:cs="Arial"/>
          <w:b/>
        </w:rPr>
        <w:t xml:space="preserve">ABSTRACTO DE </w:t>
      </w:r>
      <w:r w:rsidR="00091577">
        <w:rPr>
          <w:rFonts w:ascii="Arial" w:hAnsi="Arial" w:cs="Arial"/>
          <w:b/>
        </w:rPr>
        <w:t xml:space="preserve">TC </w:t>
      </w:r>
    </w:p>
    <w:p w14:paraId="02F7A51C" w14:textId="14DAB7C9" w:rsidR="000B0797" w:rsidRDefault="00091577">
      <w:pPr>
        <w:spacing w:before="120" w:after="120"/>
        <w:ind w:left="579" w:hanging="579"/>
      </w:pPr>
      <w:r>
        <w:rPr>
          <w:rFonts w:ascii="Arial" w:hAnsi="Arial" w:cs="Arial"/>
          <w:b/>
        </w:rPr>
        <w:t>I.</w:t>
      </w:r>
      <w:r>
        <w:rPr>
          <w:rFonts w:ascii="Arial" w:hAnsi="Arial" w:cs="Arial"/>
          <w:b/>
        </w:rPr>
        <w:tab/>
      </w:r>
      <w:proofErr w:type="spellStart"/>
      <w:r w:rsidR="006A1872">
        <w:rPr>
          <w:rFonts w:ascii="Arial" w:hAnsi="Arial" w:cs="Arial"/>
          <w:b/>
        </w:rPr>
        <w:t>Resumen</w:t>
      </w:r>
      <w:proofErr w:type="spellEnd"/>
      <w:r w:rsidR="006A1872">
        <w:rPr>
          <w:rFonts w:ascii="Arial" w:hAnsi="Arial" w:cs="Arial"/>
          <w:b/>
        </w:rPr>
        <w:t xml:space="preserve"> del Proyecto</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035"/>
        <w:gridCol w:w="4985"/>
      </w:tblGrid>
      <w:tr w:rsidR="000B0797" w14:paraId="1F18B344" w14:textId="77777777">
        <w:trPr>
          <w:jc w:val="center"/>
        </w:trPr>
        <w:tc>
          <w:tcPr>
            <w:tcW w:w="5250" w:type="dxa"/>
          </w:tcPr>
          <w:p w14:paraId="7185E3AF" w14:textId="77777777" w:rsidR="000B0797" w:rsidRDefault="00091577">
            <w:pPr>
              <w:spacing w:before="40" w:after="40"/>
              <w:ind w:left="115" w:hanging="115"/>
            </w:pPr>
            <w:r>
              <w:rPr>
                <w:rFonts w:ascii="Arial" w:hAnsi="Arial" w:cs="Arial"/>
                <w:sz w:val="18"/>
                <w:szCs w:val="18"/>
              </w:rPr>
              <w:t>▪ Country/Region:</w:t>
            </w:r>
          </w:p>
        </w:tc>
        <w:tc>
          <w:tcPr>
            <w:tcW w:w="6750" w:type="dxa"/>
          </w:tcPr>
          <w:p w14:paraId="387C997A" w14:textId="77777777" w:rsidR="000B0797" w:rsidRDefault="00091577">
            <w:pPr>
              <w:spacing w:before="40" w:after="40"/>
            </w:pPr>
            <w:r>
              <w:rPr>
                <w:rFonts w:ascii="Arial" w:hAnsi="Arial" w:cs="Arial"/>
                <w:sz w:val="18"/>
                <w:szCs w:val="18"/>
              </w:rPr>
              <w:t>DOMINICAN REPUBLIC/CID - Isthmus &amp; DR</w:t>
            </w:r>
          </w:p>
        </w:tc>
      </w:tr>
      <w:tr w:rsidR="000B0797" w14:paraId="780B8CDB" w14:textId="77777777">
        <w:trPr>
          <w:jc w:val="center"/>
        </w:trPr>
        <w:tc>
          <w:tcPr>
            <w:tcW w:w="5250" w:type="dxa"/>
          </w:tcPr>
          <w:p w14:paraId="11A1F84B" w14:textId="77777777" w:rsidR="000B0797" w:rsidRDefault="00091577">
            <w:pPr>
              <w:spacing w:before="40" w:after="40"/>
              <w:ind w:left="115" w:hanging="115"/>
            </w:pPr>
            <w:r>
              <w:rPr>
                <w:rFonts w:ascii="Arial" w:hAnsi="Arial" w:cs="Arial"/>
                <w:sz w:val="18"/>
                <w:szCs w:val="18"/>
              </w:rPr>
              <w:t>▪ TC Name:</w:t>
            </w:r>
          </w:p>
        </w:tc>
        <w:tc>
          <w:tcPr>
            <w:tcW w:w="6750" w:type="dxa"/>
          </w:tcPr>
          <w:p w14:paraId="0DBF1EC1" w14:textId="77777777" w:rsidR="000B0797" w:rsidRDefault="00091577">
            <w:pPr>
              <w:spacing w:before="40" w:after="40"/>
            </w:pPr>
            <w:r>
              <w:rPr>
                <w:rFonts w:ascii="Arial" w:hAnsi="Arial" w:cs="Arial"/>
                <w:sz w:val="18"/>
                <w:szCs w:val="18"/>
              </w:rPr>
              <w:t>Support for Third Stage of the Electricity Sector Sustainability and Efficiency Program</w:t>
            </w:r>
          </w:p>
        </w:tc>
      </w:tr>
      <w:tr w:rsidR="000B0797" w14:paraId="1E27132A" w14:textId="77777777">
        <w:trPr>
          <w:jc w:val="center"/>
        </w:trPr>
        <w:tc>
          <w:tcPr>
            <w:tcW w:w="5250" w:type="dxa"/>
          </w:tcPr>
          <w:p w14:paraId="6E2796FB" w14:textId="77777777" w:rsidR="000B0797" w:rsidRDefault="00091577">
            <w:pPr>
              <w:spacing w:before="40" w:after="40"/>
              <w:ind w:left="115" w:hanging="115"/>
            </w:pPr>
            <w:r>
              <w:rPr>
                <w:rFonts w:ascii="Arial" w:hAnsi="Arial" w:cs="Arial"/>
                <w:sz w:val="18"/>
                <w:szCs w:val="18"/>
              </w:rPr>
              <w:t>▪ TC Number:</w:t>
            </w:r>
          </w:p>
        </w:tc>
        <w:tc>
          <w:tcPr>
            <w:tcW w:w="6750" w:type="dxa"/>
          </w:tcPr>
          <w:p w14:paraId="7FD80AE6" w14:textId="77777777" w:rsidR="000B0797" w:rsidRDefault="00091577">
            <w:pPr>
              <w:spacing w:before="40" w:after="40"/>
            </w:pPr>
            <w:r>
              <w:rPr>
                <w:rFonts w:ascii="Arial" w:hAnsi="Arial" w:cs="Arial"/>
                <w:sz w:val="18"/>
                <w:szCs w:val="18"/>
              </w:rPr>
              <w:t>DR-T1218</w:t>
            </w:r>
          </w:p>
        </w:tc>
      </w:tr>
      <w:tr w:rsidR="000B0797" w14:paraId="18012470" w14:textId="77777777">
        <w:trPr>
          <w:jc w:val="center"/>
        </w:trPr>
        <w:tc>
          <w:tcPr>
            <w:tcW w:w="5250" w:type="dxa"/>
          </w:tcPr>
          <w:p w14:paraId="5C17049A" w14:textId="77777777" w:rsidR="000B0797" w:rsidRDefault="00091577">
            <w:pPr>
              <w:spacing w:before="40" w:after="40"/>
              <w:ind w:left="115" w:hanging="115"/>
            </w:pPr>
            <w:r>
              <w:rPr>
                <w:rFonts w:ascii="Arial" w:hAnsi="Arial" w:cs="Arial"/>
                <w:sz w:val="18"/>
                <w:szCs w:val="18"/>
              </w:rPr>
              <w:t>▪ Team Leader/Members:</w:t>
            </w:r>
          </w:p>
        </w:tc>
        <w:tc>
          <w:tcPr>
            <w:tcW w:w="6750" w:type="dxa"/>
          </w:tcPr>
          <w:p w14:paraId="7A1879AF" w14:textId="77777777" w:rsidR="000B0797" w:rsidRDefault="00091577">
            <w:pPr>
              <w:spacing w:before="40" w:after="40"/>
            </w:pPr>
            <w:r>
              <w:rPr>
                <w:rFonts w:ascii="Arial" w:hAnsi="Arial" w:cs="Arial"/>
                <w:sz w:val="18"/>
                <w:szCs w:val="18"/>
              </w:rPr>
              <w:t>BALDIVIESO, HECTOR (INE/ENE) Team Leader; MERCADO DIAZ, JORGE ENRIQUE (INE/ENE) Alternate Team Leader; JOHNSON NAVEO, ODILE IVETTE (INE/ENE); BALTODANO CARRASQUILLA, FABIOLA (INE/ENE); ROQUE BURGOS, JAN CARLO (CID/CDR); SALABIE, DENISE ANN (VPC/FMP); KIRKAGACLI, ROMINA EMANUELA (VPC/FMP)</w:t>
            </w:r>
          </w:p>
        </w:tc>
      </w:tr>
      <w:tr w:rsidR="000B0797" w14:paraId="43E6CB65" w14:textId="77777777">
        <w:trPr>
          <w:jc w:val="center"/>
        </w:trPr>
        <w:tc>
          <w:tcPr>
            <w:tcW w:w="5250" w:type="dxa"/>
          </w:tcPr>
          <w:p w14:paraId="7EDFABE2" w14:textId="77777777" w:rsidR="000B0797" w:rsidRDefault="00091577">
            <w:pPr>
              <w:spacing w:before="40" w:after="40"/>
              <w:ind w:left="115" w:hanging="115"/>
            </w:pPr>
            <w:r>
              <w:rPr>
                <w:rFonts w:ascii="Arial" w:hAnsi="Arial" w:cs="Arial"/>
                <w:sz w:val="18"/>
                <w:szCs w:val="18"/>
              </w:rPr>
              <w:t>▪ Taxonomy:</w:t>
            </w:r>
          </w:p>
        </w:tc>
        <w:tc>
          <w:tcPr>
            <w:tcW w:w="6750" w:type="dxa"/>
          </w:tcPr>
          <w:p w14:paraId="65D1FD14" w14:textId="77777777" w:rsidR="000B0797" w:rsidRDefault="00091577">
            <w:pPr>
              <w:spacing w:before="40" w:after="40"/>
            </w:pPr>
            <w:r>
              <w:rPr>
                <w:rFonts w:ascii="Arial" w:hAnsi="Arial" w:cs="Arial"/>
                <w:sz w:val="18"/>
                <w:szCs w:val="18"/>
              </w:rPr>
              <w:t>Operational Support</w:t>
            </w:r>
          </w:p>
        </w:tc>
      </w:tr>
      <w:tr w:rsidR="000B0797" w14:paraId="4A8BF745" w14:textId="77777777">
        <w:trPr>
          <w:jc w:val="center"/>
        </w:trPr>
        <w:tc>
          <w:tcPr>
            <w:tcW w:w="5250" w:type="dxa"/>
          </w:tcPr>
          <w:p w14:paraId="0815C773" w14:textId="77777777" w:rsidR="000B0797" w:rsidRDefault="00091577">
            <w:pPr>
              <w:spacing w:before="40" w:after="40"/>
              <w:ind w:left="115" w:hanging="115"/>
            </w:pPr>
            <w:r>
              <w:rPr>
                <w:rFonts w:ascii="Arial" w:hAnsi="Arial" w:cs="Arial"/>
                <w:sz w:val="18"/>
                <w:szCs w:val="18"/>
              </w:rPr>
              <w:t>▪ Number and name of operation supported by the TC:</w:t>
            </w:r>
          </w:p>
        </w:tc>
        <w:tc>
          <w:tcPr>
            <w:tcW w:w="6750" w:type="dxa"/>
          </w:tcPr>
          <w:p w14:paraId="46912D84" w14:textId="77777777" w:rsidR="000B0797" w:rsidRDefault="00091577">
            <w:pPr>
              <w:spacing w:before="40" w:after="40"/>
            </w:pPr>
            <w:r>
              <w:rPr>
                <w:rFonts w:ascii="Arial" w:hAnsi="Arial" w:cs="Arial"/>
                <w:sz w:val="18"/>
                <w:szCs w:val="18"/>
              </w:rPr>
              <w:t xml:space="preserve">Power Sector Sustainability and Efficiency Program III - DR-L1146 </w:t>
            </w:r>
            <w:r>
              <w:rPr>
                <w:rFonts w:ascii="Arial" w:hAnsi="Arial" w:cs="Arial"/>
                <w:sz w:val="18"/>
                <w:szCs w:val="18"/>
              </w:rPr>
              <w:br/>
            </w:r>
            <w:r>
              <w:rPr>
                <w:rFonts w:ascii="Arial" w:hAnsi="Arial" w:cs="Arial"/>
                <w:sz w:val="18"/>
                <w:szCs w:val="18"/>
              </w:rPr>
              <w:br/>
            </w:r>
          </w:p>
        </w:tc>
      </w:tr>
      <w:tr w:rsidR="000B0797" w14:paraId="4526002F" w14:textId="77777777">
        <w:trPr>
          <w:jc w:val="center"/>
        </w:trPr>
        <w:tc>
          <w:tcPr>
            <w:tcW w:w="5250" w:type="dxa"/>
          </w:tcPr>
          <w:p w14:paraId="7699F57E" w14:textId="77777777" w:rsidR="000B0797" w:rsidRDefault="00091577">
            <w:pPr>
              <w:spacing w:before="40" w:after="40"/>
              <w:ind w:left="115" w:hanging="115"/>
            </w:pPr>
            <w:r>
              <w:rPr>
                <w:rFonts w:ascii="Arial" w:hAnsi="Arial" w:cs="Arial"/>
                <w:sz w:val="18"/>
                <w:szCs w:val="18"/>
              </w:rPr>
              <w:t>▪ Date of TC Abstract:</w:t>
            </w:r>
          </w:p>
        </w:tc>
        <w:tc>
          <w:tcPr>
            <w:tcW w:w="6750" w:type="dxa"/>
          </w:tcPr>
          <w:p w14:paraId="0B6BE467" w14:textId="77777777" w:rsidR="000B0797" w:rsidRDefault="00091577">
            <w:pPr>
              <w:spacing w:before="40" w:after="40"/>
            </w:pPr>
            <w:r>
              <w:rPr>
                <w:rFonts w:ascii="Arial" w:hAnsi="Arial" w:cs="Arial"/>
                <w:sz w:val="18"/>
                <w:szCs w:val="18"/>
              </w:rPr>
              <w:t>10 Mar 2021</w:t>
            </w:r>
          </w:p>
        </w:tc>
      </w:tr>
      <w:tr w:rsidR="000B0797" w:rsidRPr="00E66891" w14:paraId="2C83CF38" w14:textId="77777777">
        <w:trPr>
          <w:jc w:val="center"/>
        </w:trPr>
        <w:tc>
          <w:tcPr>
            <w:tcW w:w="5250" w:type="dxa"/>
          </w:tcPr>
          <w:p w14:paraId="5DE1F0D3" w14:textId="77777777" w:rsidR="000B0797" w:rsidRDefault="00091577">
            <w:pPr>
              <w:spacing w:before="40" w:after="40"/>
              <w:ind w:left="115" w:hanging="115"/>
            </w:pPr>
            <w:r>
              <w:rPr>
                <w:rFonts w:ascii="Arial" w:hAnsi="Arial" w:cs="Arial"/>
                <w:sz w:val="18"/>
                <w:szCs w:val="18"/>
              </w:rPr>
              <w:t>▪ Beneficiary:</w:t>
            </w:r>
          </w:p>
        </w:tc>
        <w:tc>
          <w:tcPr>
            <w:tcW w:w="6750" w:type="dxa"/>
          </w:tcPr>
          <w:p w14:paraId="3FE0C21E" w14:textId="77777777" w:rsidR="000B0797" w:rsidRPr="00091577" w:rsidRDefault="00091577">
            <w:pPr>
              <w:spacing w:before="40" w:after="40"/>
              <w:rPr>
                <w:lang w:val="es-419"/>
              </w:rPr>
            </w:pPr>
            <w:r w:rsidRPr="00091577">
              <w:rPr>
                <w:rFonts w:ascii="Arial" w:hAnsi="Arial" w:cs="Arial"/>
                <w:sz w:val="18"/>
                <w:szCs w:val="18"/>
                <w:lang w:val="es-419"/>
              </w:rPr>
              <w:t>Gobierno de la República Dominicana (GRD) – Superintendencia de Electricidad (SIE</w:t>
            </w:r>
          </w:p>
        </w:tc>
      </w:tr>
      <w:tr w:rsidR="000B0797" w14:paraId="242847C3" w14:textId="77777777">
        <w:trPr>
          <w:jc w:val="center"/>
        </w:trPr>
        <w:tc>
          <w:tcPr>
            <w:tcW w:w="5250" w:type="dxa"/>
          </w:tcPr>
          <w:p w14:paraId="57B15469" w14:textId="77777777" w:rsidR="000B0797" w:rsidRDefault="00091577">
            <w:pPr>
              <w:spacing w:before="40" w:after="40"/>
              <w:ind w:left="115" w:hanging="115"/>
            </w:pPr>
            <w:r>
              <w:rPr>
                <w:rFonts w:ascii="Arial" w:hAnsi="Arial" w:cs="Arial"/>
                <w:sz w:val="18"/>
                <w:szCs w:val="18"/>
              </w:rPr>
              <w:t>▪ Executing Agency:</w:t>
            </w:r>
          </w:p>
        </w:tc>
        <w:tc>
          <w:tcPr>
            <w:tcW w:w="6750" w:type="dxa"/>
          </w:tcPr>
          <w:p w14:paraId="49001B68" w14:textId="77777777" w:rsidR="000B0797" w:rsidRDefault="00091577">
            <w:pPr>
              <w:spacing w:before="40" w:after="40"/>
            </w:pPr>
            <w:r>
              <w:rPr>
                <w:rFonts w:ascii="Arial" w:hAnsi="Arial" w:cs="Arial"/>
                <w:sz w:val="18"/>
                <w:szCs w:val="18"/>
              </w:rPr>
              <w:t>INTER-AMERICAN DEVELOPMENT BANK</w:t>
            </w:r>
          </w:p>
        </w:tc>
      </w:tr>
      <w:tr w:rsidR="000B0797" w14:paraId="1F4DE572" w14:textId="77777777">
        <w:trPr>
          <w:jc w:val="center"/>
        </w:trPr>
        <w:tc>
          <w:tcPr>
            <w:tcW w:w="5250" w:type="dxa"/>
          </w:tcPr>
          <w:p w14:paraId="3855DBA8" w14:textId="77777777" w:rsidR="000B0797" w:rsidRDefault="00091577">
            <w:pPr>
              <w:spacing w:before="40" w:after="40"/>
              <w:ind w:left="115" w:hanging="115"/>
            </w:pPr>
            <w:r>
              <w:rPr>
                <w:rFonts w:ascii="Arial" w:hAnsi="Arial" w:cs="Arial"/>
                <w:sz w:val="18"/>
                <w:szCs w:val="18"/>
              </w:rPr>
              <w:t>▪ IDB funding requested:</w:t>
            </w:r>
          </w:p>
        </w:tc>
        <w:tc>
          <w:tcPr>
            <w:tcW w:w="6750" w:type="dxa"/>
          </w:tcPr>
          <w:p w14:paraId="50D89160" w14:textId="77777777" w:rsidR="000B0797" w:rsidRDefault="00091577">
            <w:pPr>
              <w:bidi/>
              <w:spacing w:before="40" w:after="40"/>
            </w:pPr>
            <w:r>
              <w:rPr>
                <w:rFonts w:ascii="Arial" w:hAnsi="Arial" w:cs="Arial"/>
                <w:sz w:val="18"/>
                <w:szCs w:val="18"/>
              </w:rPr>
              <w:t>US$300,000.00</w:t>
            </w:r>
          </w:p>
        </w:tc>
      </w:tr>
      <w:tr w:rsidR="000B0797" w14:paraId="4B20E89E" w14:textId="77777777">
        <w:trPr>
          <w:jc w:val="center"/>
        </w:trPr>
        <w:tc>
          <w:tcPr>
            <w:tcW w:w="5250" w:type="dxa"/>
          </w:tcPr>
          <w:p w14:paraId="0A680A87" w14:textId="77777777" w:rsidR="000B0797" w:rsidRDefault="00091577">
            <w:pPr>
              <w:spacing w:before="40" w:after="40"/>
              <w:ind w:left="115" w:hanging="115"/>
            </w:pPr>
            <w:r>
              <w:rPr>
                <w:rFonts w:ascii="Arial" w:hAnsi="Arial" w:cs="Arial"/>
                <w:sz w:val="18"/>
                <w:szCs w:val="18"/>
              </w:rPr>
              <w:t>▪ Local counterpart funding:</w:t>
            </w:r>
          </w:p>
        </w:tc>
        <w:tc>
          <w:tcPr>
            <w:tcW w:w="6750" w:type="dxa"/>
          </w:tcPr>
          <w:p w14:paraId="546894CA" w14:textId="77777777" w:rsidR="000B0797" w:rsidRDefault="00091577">
            <w:pPr>
              <w:bidi/>
              <w:spacing w:before="40" w:after="40"/>
            </w:pPr>
            <w:r>
              <w:rPr>
                <w:rFonts w:ascii="Arial" w:hAnsi="Arial" w:cs="Arial"/>
                <w:sz w:val="18"/>
                <w:szCs w:val="18"/>
              </w:rPr>
              <w:t>US$0.00</w:t>
            </w:r>
          </w:p>
        </w:tc>
      </w:tr>
      <w:tr w:rsidR="000B0797" w14:paraId="60C7C250" w14:textId="77777777">
        <w:trPr>
          <w:jc w:val="center"/>
        </w:trPr>
        <w:tc>
          <w:tcPr>
            <w:tcW w:w="5250" w:type="dxa"/>
          </w:tcPr>
          <w:p w14:paraId="4888CA11" w14:textId="77777777" w:rsidR="000B0797" w:rsidRDefault="00091577">
            <w:pPr>
              <w:spacing w:before="40" w:after="40"/>
              <w:ind w:left="115" w:hanging="115"/>
            </w:pPr>
            <w:r>
              <w:rPr>
                <w:rFonts w:ascii="Arial" w:hAnsi="Arial" w:cs="Arial"/>
                <w:sz w:val="18"/>
                <w:szCs w:val="18"/>
              </w:rPr>
              <w:t>▪ Disbursement period:</w:t>
            </w:r>
          </w:p>
        </w:tc>
        <w:tc>
          <w:tcPr>
            <w:tcW w:w="6750" w:type="dxa"/>
          </w:tcPr>
          <w:p w14:paraId="42BCD1C1" w14:textId="77777777" w:rsidR="000B0797" w:rsidRDefault="00091577">
            <w:pPr>
              <w:bidi/>
              <w:spacing w:before="40" w:after="40"/>
            </w:pPr>
            <w:r>
              <w:rPr>
                <w:rFonts w:ascii="Arial" w:hAnsi="Arial" w:cs="Arial"/>
                <w:sz w:val="18"/>
                <w:szCs w:val="18"/>
              </w:rPr>
              <w:t>24 months</w:t>
            </w:r>
          </w:p>
        </w:tc>
      </w:tr>
      <w:tr w:rsidR="000B0797" w14:paraId="511A93EF" w14:textId="77777777">
        <w:trPr>
          <w:jc w:val="center"/>
        </w:trPr>
        <w:tc>
          <w:tcPr>
            <w:tcW w:w="5250" w:type="dxa"/>
          </w:tcPr>
          <w:p w14:paraId="6A7651CC" w14:textId="77777777" w:rsidR="000B0797" w:rsidRDefault="00091577">
            <w:pPr>
              <w:spacing w:before="40" w:after="40"/>
              <w:ind w:left="115" w:hanging="115"/>
            </w:pPr>
            <w:r>
              <w:rPr>
                <w:rFonts w:ascii="Arial" w:hAnsi="Arial" w:cs="Arial"/>
                <w:sz w:val="18"/>
                <w:szCs w:val="18"/>
              </w:rPr>
              <w:t>▪ Types of consultants:</w:t>
            </w:r>
          </w:p>
        </w:tc>
        <w:tc>
          <w:tcPr>
            <w:tcW w:w="6750" w:type="dxa"/>
          </w:tcPr>
          <w:p w14:paraId="582CFE09" w14:textId="77777777" w:rsidR="000B0797" w:rsidRDefault="00091577">
            <w:pPr>
              <w:spacing w:before="40" w:after="40"/>
            </w:pPr>
            <w:r>
              <w:rPr>
                <w:rFonts w:ascii="Arial" w:hAnsi="Arial" w:cs="Arial"/>
                <w:sz w:val="18"/>
                <w:szCs w:val="18"/>
              </w:rPr>
              <w:t>Individuals; Firms</w:t>
            </w:r>
          </w:p>
        </w:tc>
      </w:tr>
      <w:tr w:rsidR="000B0797" w14:paraId="591BA1BC" w14:textId="77777777">
        <w:trPr>
          <w:jc w:val="center"/>
        </w:trPr>
        <w:tc>
          <w:tcPr>
            <w:tcW w:w="5250" w:type="dxa"/>
          </w:tcPr>
          <w:p w14:paraId="03AA0A8D" w14:textId="77777777" w:rsidR="000B0797" w:rsidRDefault="00091577">
            <w:pPr>
              <w:spacing w:before="40" w:after="40"/>
              <w:ind w:left="115" w:hanging="115"/>
            </w:pPr>
            <w:r>
              <w:rPr>
                <w:rFonts w:ascii="Arial" w:hAnsi="Arial" w:cs="Arial"/>
                <w:sz w:val="18"/>
                <w:szCs w:val="18"/>
              </w:rPr>
              <w:t>▪ Prepared by Unit:</w:t>
            </w:r>
          </w:p>
        </w:tc>
        <w:tc>
          <w:tcPr>
            <w:tcW w:w="6750" w:type="dxa"/>
          </w:tcPr>
          <w:p w14:paraId="2D6364B8" w14:textId="77777777" w:rsidR="000B0797" w:rsidRDefault="00091577">
            <w:pPr>
              <w:spacing w:before="40" w:after="40"/>
            </w:pPr>
            <w:r>
              <w:rPr>
                <w:rFonts w:ascii="Arial" w:hAnsi="Arial" w:cs="Arial"/>
                <w:sz w:val="18"/>
                <w:szCs w:val="18"/>
              </w:rPr>
              <w:t>INE/ENE - Energy</w:t>
            </w:r>
          </w:p>
        </w:tc>
      </w:tr>
      <w:tr w:rsidR="000B0797" w14:paraId="74605346" w14:textId="77777777">
        <w:trPr>
          <w:jc w:val="center"/>
        </w:trPr>
        <w:tc>
          <w:tcPr>
            <w:tcW w:w="5250" w:type="dxa"/>
          </w:tcPr>
          <w:p w14:paraId="1418A0A9" w14:textId="77777777" w:rsidR="000B0797" w:rsidRDefault="00091577">
            <w:pPr>
              <w:spacing w:before="40" w:after="40"/>
              <w:ind w:left="115" w:hanging="115"/>
            </w:pPr>
            <w:r>
              <w:rPr>
                <w:rFonts w:ascii="Arial" w:hAnsi="Arial" w:cs="Arial"/>
                <w:sz w:val="18"/>
                <w:szCs w:val="18"/>
              </w:rPr>
              <w:t>▪ Unit of Disbursement Responsibility:</w:t>
            </w:r>
          </w:p>
        </w:tc>
        <w:tc>
          <w:tcPr>
            <w:tcW w:w="6750" w:type="dxa"/>
          </w:tcPr>
          <w:p w14:paraId="0FD83470" w14:textId="77777777" w:rsidR="000B0797" w:rsidRDefault="00091577">
            <w:pPr>
              <w:spacing w:before="40" w:after="40"/>
            </w:pPr>
            <w:r>
              <w:rPr>
                <w:rFonts w:ascii="Arial" w:hAnsi="Arial" w:cs="Arial"/>
                <w:sz w:val="18"/>
                <w:szCs w:val="18"/>
              </w:rPr>
              <w:t>CID/CDR - Country Off Dominican Republic</w:t>
            </w:r>
          </w:p>
        </w:tc>
      </w:tr>
      <w:tr w:rsidR="000B0797" w14:paraId="6A8DC949" w14:textId="77777777">
        <w:trPr>
          <w:jc w:val="center"/>
        </w:trPr>
        <w:tc>
          <w:tcPr>
            <w:tcW w:w="5250" w:type="dxa"/>
          </w:tcPr>
          <w:p w14:paraId="2E67932D" w14:textId="77777777" w:rsidR="000B0797" w:rsidRDefault="00091577">
            <w:pPr>
              <w:spacing w:before="40" w:after="40"/>
            </w:pPr>
            <w:r>
              <w:rPr>
                <w:rFonts w:ascii="Arial" w:hAnsi="Arial" w:cs="Arial"/>
                <w:sz w:val="18"/>
                <w:szCs w:val="18"/>
              </w:rPr>
              <w:t>▪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14:paraId="5685EACE" w14:textId="77777777" w:rsidR="000B0797" w:rsidRDefault="00091577">
            <w:pPr>
              <w:spacing w:before="40" w:after="40"/>
            </w:pPr>
            <w:r>
              <w:rPr>
                <w:rFonts w:ascii="Arial" w:hAnsi="Arial" w:cs="Arial"/>
                <w:sz w:val="18"/>
                <w:szCs w:val="18"/>
              </w:rPr>
              <w:t>Yes</w:t>
            </w:r>
            <w:r>
              <w:rPr>
                <w:rFonts w:ascii="Arial" w:hAnsi="Arial" w:cs="Arial"/>
                <w:sz w:val="18"/>
                <w:szCs w:val="18"/>
              </w:rPr>
              <w:br/>
            </w:r>
            <w:r>
              <w:rPr>
                <w:rFonts w:ascii="Arial" w:hAnsi="Arial" w:cs="Arial"/>
                <w:sz w:val="18"/>
                <w:szCs w:val="18"/>
              </w:rPr>
              <w:br/>
              <w:t>Yes</w:t>
            </w:r>
          </w:p>
        </w:tc>
      </w:tr>
      <w:tr w:rsidR="000B0797" w14:paraId="20812085" w14:textId="77777777">
        <w:trPr>
          <w:jc w:val="center"/>
        </w:trPr>
        <w:tc>
          <w:tcPr>
            <w:tcW w:w="5250" w:type="dxa"/>
          </w:tcPr>
          <w:p w14:paraId="5C6FD74D" w14:textId="77777777" w:rsidR="000B0797" w:rsidRDefault="00091577">
            <w:pPr>
              <w:spacing w:before="40" w:after="40"/>
              <w:ind w:left="115" w:hanging="115"/>
            </w:pPr>
            <w:r>
              <w:rPr>
                <w:rFonts w:ascii="Arial" w:hAnsi="Arial" w:cs="Arial"/>
                <w:sz w:val="18"/>
                <w:szCs w:val="18"/>
              </w:rPr>
              <w:t>▪ Alignment to the Update to the Institutional Strategy 2010-2020:</w:t>
            </w:r>
          </w:p>
        </w:tc>
        <w:tc>
          <w:tcPr>
            <w:tcW w:w="6750" w:type="dxa"/>
          </w:tcPr>
          <w:p w14:paraId="49A38063" w14:textId="77777777" w:rsidR="000B0797" w:rsidRDefault="00091577">
            <w:pPr>
              <w:spacing w:before="40" w:after="40"/>
            </w:pPr>
            <w:r>
              <w:rPr>
                <w:rFonts w:ascii="Arial" w:hAnsi="Arial" w:cs="Arial"/>
                <w:sz w:val="18"/>
                <w:szCs w:val="18"/>
              </w:rPr>
              <w:t xml:space="preserve">Social inclusion and </w:t>
            </w:r>
            <w:proofErr w:type="gramStart"/>
            <w:r>
              <w:rPr>
                <w:rFonts w:ascii="Arial" w:hAnsi="Arial" w:cs="Arial"/>
                <w:sz w:val="18"/>
                <w:szCs w:val="18"/>
              </w:rPr>
              <w:t>equality ;</w:t>
            </w:r>
            <w:proofErr w:type="gramEnd"/>
            <w:r>
              <w:rPr>
                <w:rFonts w:ascii="Arial" w:hAnsi="Arial" w:cs="Arial"/>
                <w:sz w:val="18"/>
                <w:szCs w:val="18"/>
              </w:rPr>
              <w:t xml:space="preserve"> Productivity and innovation ; Institutional capacity and rule of law</w:t>
            </w:r>
          </w:p>
        </w:tc>
      </w:tr>
      <w:tr w:rsidR="000B0797" w14:paraId="54063142" w14:textId="77777777">
        <w:trPr>
          <w:jc w:val="center"/>
        </w:trPr>
        <w:tc>
          <w:tcPr>
            <w:tcW w:w="5250" w:type="dxa"/>
          </w:tcPr>
          <w:p w14:paraId="14C95DE5" w14:textId="77777777" w:rsidR="000B0797" w:rsidRDefault="000B0797"/>
        </w:tc>
        <w:tc>
          <w:tcPr>
            <w:tcW w:w="6750" w:type="dxa"/>
          </w:tcPr>
          <w:p w14:paraId="0C23C9ED" w14:textId="77777777" w:rsidR="000B0797" w:rsidRDefault="000B0797"/>
        </w:tc>
      </w:tr>
    </w:tbl>
    <w:p w14:paraId="0C9C989B" w14:textId="2AC1BC35" w:rsidR="000B0797" w:rsidRPr="006A1872" w:rsidRDefault="00091577">
      <w:pPr>
        <w:spacing w:before="120" w:after="120"/>
        <w:ind w:left="579" w:hanging="579"/>
      </w:pPr>
      <w:r w:rsidRPr="00E66891">
        <w:rPr>
          <w:rFonts w:ascii="Arial" w:hAnsi="Arial" w:cs="Arial"/>
          <w:b/>
          <w:lang w:val="es-419"/>
        </w:rPr>
        <w:t>II.</w:t>
      </w:r>
      <w:r w:rsidRPr="00E66891">
        <w:rPr>
          <w:rFonts w:ascii="Arial" w:hAnsi="Arial" w:cs="Arial"/>
          <w:b/>
          <w:lang w:val="es-419"/>
        </w:rPr>
        <w:tab/>
      </w:r>
      <w:r w:rsidR="006A1872">
        <w:rPr>
          <w:rFonts w:ascii="Arial" w:hAnsi="Arial" w:cs="Arial"/>
          <w:b/>
          <w:lang w:val="es-419"/>
        </w:rPr>
        <w:t xml:space="preserve">Objetivo y </w:t>
      </w:r>
      <w:proofErr w:type="spellStart"/>
      <w:r w:rsidR="006A1872">
        <w:rPr>
          <w:rFonts w:ascii="Arial" w:hAnsi="Arial" w:cs="Arial"/>
          <w:b/>
          <w:lang w:val="es-419"/>
        </w:rPr>
        <w:t>Justificaci</w:t>
      </w:r>
      <w:r w:rsidR="006A1872">
        <w:rPr>
          <w:rFonts w:ascii="Arial" w:hAnsi="Arial" w:cs="Arial"/>
          <w:b/>
        </w:rPr>
        <w:t>ón</w:t>
      </w:r>
      <w:proofErr w:type="spellEnd"/>
    </w:p>
    <w:p w14:paraId="6E972DCD" w14:textId="07080624" w:rsidR="000B0797" w:rsidRPr="00091577" w:rsidRDefault="00091577">
      <w:pPr>
        <w:spacing w:before="120" w:after="120"/>
        <w:ind w:left="579" w:hanging="579"/>
        <w:jc w:val="both"/>
        <w:rPr>
          <w:lang w:val="es-419"/>
        </w:rPr>
      </w:pPr>
      <w:r w:rsidRPr="00091577">
        <w:rPr>
          <w:rFonts w:ascii="Arial" w:hAnsi="Arial" w:cs="Arial"/>
          <w:lang w:val="es-419"/>
        </w:rPr>
        <w:t>2.1</w:t>
      </w:r>
      <w:r w:rsidRPr="00091577">
        <w:rPr>
          <w:rFonts w:ascii="Arial" w:hAnsi="Arial" w:cs="Arial"/>
          <w:lang w:val="es-419"/>
        </w:rPr>
        <w:tab/>
        <w:t>Apoyar la sostenibilidad financiera en la distribución de energía eléctrica, definiendo un marco de tarifas y subsidios que contribuya a la mejora de la eficiencia operativa de las empresas y proteja el poder adquisitivo del grupo de usuarios más vulnerable. En coordinación cercana con la contraparte, se espera que esta Cooperación Técnica genere evidencia empírica y práctica que contribuya a la implementación de los componentes del Programa DR-L1146.</w:t>
      </w:r>
    </w:p>
    <w:p w14:paraId="38C4F3DB" w14:textId="77777777" w:rsidR="000B0797" w:rsidRPr="00091577" w:rsidRDefault="00091577">
      <w:pPr>
        <w:spacing w:before="120" w:after="120"/>
        <w:ind w:left="579" w:hanging="579"/>
        <w:jc w:val="both"/>
        <w:rPr>
          <w:lang w:val="es-419"/>
        </w:rPr>
      </w:pPr>
      <w:r w:rsidRPr="00091577">
        <w:rPr>
          <w:rFonts w:ascii="Arial" w:hAnsi="Arial" w:cs="Arial"/>
          <w:lang w:val="es-419"/>
        </w:rPr>
        <w:t>2.2</w:t>
      </w:r>
      <w:r w:rsidRPr="00091577">
        <w:rPr>
          <w:rFonts w:ascii="Arial" w:hAnsi="Arial" w:cs="Arial"/>
          <w:lang w:val="es-419"/>
        </w:rPr>
        <w:tab/>
        <w:t>El gobierno inició un proceso de reformas en el sector en 2011, cuando el Banco aprobó la primera operación de una serie de tres operaciones de Préstamo Programático de Apoyo a Reformas de Política (PBP) “Programa para la Sostenibilidad y Eficiencia del Sector Eléctrico”, por US$200 millones (2610/OC-DR). Dicho programa se diseñó buscando implementar las medidas establecidas entre el gobierno, el Fondo Monetario Internacional y la banca multilateral en el marco de “Plan de Acción del Sector Eléctrico 2010-2015”. El gobierno había identificado las áreas estratégicas fundamentales, a través de las cuales podía llegarse a la sostenibilidad financiera y la eficiencia operativa del sector: (i) generación eléctrica, mediante la diversificación de la matriz de generación; (</w:t>
      </w:r>
      <w:proofErr w:type="spellStart"/>
      <w:r w:rsidRPr="00091577">
        <w:rPr>
          <w:rFonts w:ascii="Arial" w:hAnsi="Arial" w:cs="Arial"/>
          <w:lang w:val="es-419"/>
        </w:rPr>
        <w:t>ii</w:t>
      </w:r>
      <w:proofErr w:type="spellEnd"/>
      <w:r w:rsidRPr="00091577">
        <w:rPr>
          <w:rFonts w:ascii="Arial" w:hAnsi="Arial" w:cs="Arial"/>
          <w:lang w:val="es-419"/>
        </w:rPr>
        <w:t xml:space="preserve">) eficiencia operativa de las Empresas Distribuidoras de Electricidad </w:t>
      </w:r>
      <w:r w:rsidRPr="00091577">
        <w:rPr>
          <w:rFonts w:ascii="Arial" w:hAnsi="Arial" w:cs="Arial"/>
          <w:lang w:val="es-419"/>
        </w:rPr>
        <w:lastRenderedPageBreak/>
        <w:t>(EDE), a través de reducción de pérdidas y de costos operativos; (</w:t>
      </w:r>
      <w:proofErr w:type="spellStart"/>
      <w:r w:rsidRPr="00091577">
        <w:rPr>
          <w:rFonts w:ascii="Arial" w:hAnsi="Arial" w:cs="Arial"/>
          <w:lang w:val="es-419"/>
        </w:rPr>
        <w:t>iii</w:t>
      </w:r>
      <w:proofErr w:type="spellEnd"/>
      <w:r w:rsidRPr="00091577">
        <w:rPr>
          <w:rFonts w:ascii="Arial" w:hAnsi="Arial" w:cs="Arial"/>
          <w:lang w:val="es-419"/>
        </w:rPr>
        <w:t>) eficiencia del sistema tarifario y de subsidios,  y; (</w:t>
      </w:r>
      <w:proofErr w:type="spellStart"/>
      <w:r w:rsidRPr="00091577">
        <w:rPr>
          <w:rFonts w:ascii="Arial" w:hAnsi="Arial" w:cs="Arial"/>
          <w:lang w:val="es-419"/>
        </w:rPr>
        <w:t>iv</w:t>
      </w:r>
      <w:proofErr w:type="spellEnd"/>
      <w:r w:rsidRPr="00091577">
        <w:rPr>
          <w:rFonts w:ascii="Arial" w:hAnsi="Arial" w:cs="Arial"/>
          <w:lang w:val="es-419"/>
        </w:rPr>
        <w:t xml:space="preserve">) fortalecimiento institucional y de supervisión. </w:t>
      </w:r>
    </w:p>
    <w:p w14:paraId="76CBDF10" w14:textId="77777777" w:rsidR="000B0797" w:rsidRPr="00091577" w:rsidRDefault="00091577">
      <w:pPr>
        <w:spacing w:before="120" w:after="120"/>
        <w:ind w:left="579" w:hanging="579"/>
        <w:jc w:val="both"/>
        <w:rPr>
          <w:lang w:val="es-419"/>
        </w:rPr>
      </w:pPr>
      <w:r w:rsidRPr="00091577">
        <w:rPr>
          <w:rFonts w:ascii="Arial" w:hAnsi="Arial" w:cs="Arial"/>
          <w:lang w:val="es-419"/>
        </w:rPr>
        <w:t>2.3</w:t>
      </w:r>
      <w:r w:rsidRPr="00091577">
        <w:rPr>
          <w:rFonts w:ascii="Arial" w:hAnsi="Arial" w:cs="Arial"/>
          <w:lang w:val="es-419"/>
        </w:rPr>
        <w:tab/>
        <w:t>En 2018, el Banco aprobó la segunda operación de la serie de tres operaciones de Préstamo Programático de Apoyo a Reformas de Política (PBP) “Programa para la Sostenibilidad y Eficiencia del Sector Eléctrico II”, por US$400 millones (4649/OC-DR), dando continuidad al apoyo del programa de reformas del sector eléctrico. Con este segundo préstamo se avanzó en las reformas encaminadas a lograr la sostenibilidad financiera y eficiencia operativa del sector, mediante la ampliación de la capacidad de supervisión, regulatoria y de planificación sectorial; y la profundización de las mejoras en gestión operativa y financiera del sector.</w:t>
      </w:r>
    </w:p>
    <w:p w14:paraId="06396619" w14:textId="77777777" w:rsidR="000B0797" w:rsidRPr="00091577" w:rsidRDefault="00091577">
      <w:pPr>
        <w:spacing w:before="120" w:after="120"/>
        <w:ind w:left="579" w:hanging="579"/>
        <w:jc w:val="both"/>
        <w:rPr>
          <w:lang w:val="es-419"/>
        </w:rPr>
      </w:pPr>
      <w:r w:rsidRPr="00091577">
        <w:rPr>
          <w:rFonts w:ascii="Arial" w:hAnsi="Arial" w:cs="Arial"/>
          <w:lang w:val="es-419"/>
        </w:rPr>
        <w:t>2.4</w:t>
      </w:r>
      <w:r w:rsidRPr="00091577">
        <w:rPr>
          <w:rFonts w:ascii="Arial" w:hAnsi="Arial" w:cs="Arial"/>
          <w:lang w:val="es-419"/>
        </w:rPr>
        <w:tab/>
        <w:t>A través del “Programa para la Sostenibilidad y Eficiencia del Sector Eléctrico III” (DR-L1146) se busca consolidar un ciclo de reformas del sector eléctrico, acordado en el marco de un Programa para una serie de tres operaciones de PBP. Con este tercer préstamo de la serie, se completa el avance en las reformas encaminadas a lograr la sostenibilidad financiera y eficiencia operativa del sector, mediante la ampliación de la capacidad de supervisión, regulatoria y de planificación sectorial; y la profundización de las mejoras en gestión operativa y financiera del sector. En este sentido, uno de los temas fundamentales de este tramo es la eficiencia del régimen tarifario, incluyendo una optimización del esquema de subsidios. La eficiencia de la estructura tarifaria ayudara al sector a alcanzar su sostenibilidad financiera. Esta CT proveerá asistencia técnica al sector para el logro de varias las metas planteadas por el gobierno, recogidas como condiciones de políticas en el programa DR-L1146.</w:t>
      </w:r>
    </w:p>
    <w:p w14:paraId="630E752B" w14:textId="2E952C4A" w:rsidR="000B0797" w:rsidRDefault="00091577">
      <w:pPr>
        <w:spacing w:before="120" w:after="120"/>
        <w:ind w:left="579" w:hanging="579"/>
      </w:pPr>
      <w:r>
        <w:rPr>
          <w:rFonts w:ascii="Arial" w:hAnsi="Arial" w:cs="Arial"/>
          <w:b/>
        </w:rPr>
        <w:t>III.</w:t>
      </w:r>
      <w:r>
        <w:rPr>
          <w:rFonts w:ascii="Arial" w:hAnsi="Arial" w:cs="Arial"/>
          <w:b/>
        </w:rPr>
        <w:tab/>
      </w:r>
      <w:proofErr w:type="spellStart"/>
      <w:r w:rsidR="006A1872">
        <w:rPr>
          <w:rFonts w:ascii="Arial" w:hAnsi="Arial" w:cs="Arial"/>
          <w:b/>
        </w:rPr>
        <w:t>Descripción</w:t>
      </w:r>
      <w:proofErr w:type="spellEnd"/>
      <w:r w:rsidR="006A1872">
        <w:rPr>
          <w:rFonts w:ascii="Arial" w:hAnsi="Arial" w:cs="Arial"/>
          <w:b/>
        </w:rPr>
        <w:t xml:space="preserve"> de </w:t>
      </w:r>
      <w:proofErr w:type="spellStart"/>
      <w:r w:rsidR="006A1872">
        <w:rPr>
          <w:rFonts w:ascii="Arial" w:hAnsi="Arial" w:cs="Arial"/>
          <w:b/>
        </w:rPr>
        <w:t>Actividades</w:t>
      </w:r>
      <w:proofErr w:type="spellEnd"/>
      <w:r w:rsidR="006A1872">
        <w:rPr>
          <w:rFonts w:ascii="Arial" w:hAnsi="Arial" w:cs="Arial"/>
          <w:b/>
        </w:rPr>
        <w:t xml:space="preserve"> y </w:t>
      </w:r>
      <w:proofErr w:type="spellStart"/>
      <w:r w:rsidR="006A1872">
        <w:rPr>
          <w:rFonts w:ascii="Arial" w:hAnsi="Arial" w:cs="Arial"/>
          <w:b/>
        </w:rPr>
        <w:t>Productos</w:t>
      </w:r>
      <w:proofErr w:type="spellEnd"/>
    </w:p>
    <w:p w14:paraId="3CB1D347" w14:textId="67097CD9" w:rsidR="000B0797" w:rsidRPr="00091577" w:rsidRDefault="00091577">
      <w:pPr>
        <w:spacing w:before="120" w:after="120"/>
        <w:ind w:left="579" w:hanging="579"/>
        <w:jc w:val="both"/>
        <w:rPr>
          <w:lang w:val="es-419"/>
        </w:rPr>
      </w:pPr>
      <w:r w:rsidRPr="00091577">
        <w:rPr>
          <w:rFonts w:ascii="Arial" w:hAnsi="Arial" w:cs="Arial"/>
          <w:lang w:val="es-419"/>
        </w:rPr>
        <w:t>3.1</w:t>
      </w:r>
      <w:r w:rsidRPr="00091577">
        <w:rPr>
          <w:rFonts w:ascii="Arial" w:hAnsi="Arial" w:cs="Arial"/>
          <w:lang w:val="es-419"/>
        </w:rPr>
        <w:tab/>
      </w:r>
      <w:r w:rsidRPr="00091577">
        <w:rPr>
          <w:rFonts w:ascii="Arial" w:hAnsi="Arial" w:cs="Arial"/>
          <w:b/>
          <w:lang w:val="es-419"/>
        </w:rPr>
        <w:t>Component</w:t>
      </w:r>
      <w:r w:rsidR="006A1872">
        <w:rPr>
          <w:rFonts w:ascii="Arial" w:hAnsi="Arial" w:cs="Arial"/>
          <w:b/>
          <w:lang w:val="es-419"/>
        </w:rPr>
        <w:t>e</w:t>
      </w:r>
      <w:r w:rsidRPr="00091577">
        <w:rPr>
          <w:rFonts w:ascii="Arial" w:hAnsi="Arial" w:cs="Arial"/>
          <w:b/>
          <w:lang w:val="es-419"/>
        </w:rPr>
        <w:t xml:space="preserve"> I: Estructura tarifaria y de subsidios del sector eléctrico. </w:t>
      </w:r>
      <w:r w:rsidRPr="00091577">
        <w:rPr>
          <w:rFonts w:ascii="Arial" w:hAnsi="Arial" w:cs="Arial"/>
          <w:lang w:val="es-419"/>
        </w:rPr>
        <w:t>Se realizará el Estudio Tarifario para el Suministro de Energía Eléctrica a Clientes Regulados, considerando: (i) costo de suministro de generación y peaje de transmisión; (</w:t>
      </w:r>
      <w:proofErr w:type="spellStart"/>
      <w:r w:rsidRPr="00091577">
        <w:rPr>
          <w:rFonts w:ascii="Arial" w:hAnsi="Arial" w:cs="Arial"/>
          <w:lang w:val="es-419"/>
        </w:rPr>
        <w:t>ii</w:t>
      </w:r>
      <w:proofErr w:type="spellEnd"/>
      <w:r w:rsidRPr="00091577">
        <w:rPr>
          <w:rFonts w:ascii="Arial" w:hAnsi="Arial" w:cs="Arial"/>
          <w:lang w:val="es-419"/>
        </w:rPr>
        <w:t>) valor agregado de distribución y mecanismos de ajuste periódico; (</w:t>
      </w:r>
      <w:proofErr w:type="spellStart"/>
      <w:r w:rsidRPr="00091577">
        <w:rPr>
          <w:rFonts w:ascii="Arial" w:hAnsi="Arial" w:cs="Arial"/>
          <w:lang w:val="es-419"/>
        </w:rPr>
        <w:t>iii</w:t>
      </w:r>
      <w:proofErr w:type="spellEnd"/>
      <w:r w:rsidRPr="00091577">
        <w:rPr>
          <w:rFonts w:ascii="Arial" w:hAnsi="Arial" w:cs="Arial"/>
          <w:lang w:val="es-419"/>
        </w:rPr>
        <w:t>) mecanismo de indexación de tarifas; y (</w:t>
      </w:r>
      <w:proofErr w:type="spellStart"/>
      <w:r w:rsidRPr="00091577">
        <w:rPr>
          <w:rFonts w:ascii="Arial" w:hAnsi="Arial" w:cs="Arial"/>
          <w:lang w:val="es-419"/>
        </w:rPr>
        <w:t>iv</w:t>
      </w:r>
      <w:proofErr w:type="spellEnd"/>
      <w:r w:rsidRPr="00091577">
        <w:rPr>
          <w:rFonts w:ascii="Arial" w:hAnsi="Arial" w:cs="Arial"/>
          <w:lang w:val="es-419"/>
        </w:rPr>
        <w:t xml:space="preserve">) racionalización de la política de subsidios. Esto permitirá a la SIE establecer el marco tarifario y de subsidios de mediano plazo para las </w:t>
      </w:r>
      <w:proofErr w:type="spellStart"/>
      <w:r w:rsidRPr="00091577">
        <w:rPr>
          <w:rFonts w:ascii="Arial" w:hAnsi="Arial" w:cs="Arial"/>
          <w:lang w:val="es-419"/>
        </w:rPr>
        <w:t>EDEs</w:t>
      </w:r>
      <w:proofErr w:type="spellEnd"/>
      <w:r w:rsidRPr="00091577">
        <w:rPr>
          <w:rFonts w:ascii="Arial" w:hAnsi="Arial" w:cs="Arial"/>
          <w:lang w:val="es-419"/>
        </w:rPr>
        <w:t>.</w:t>
      </w:r>
    </w:p>
    <w:p w14:paraId="0D0330C6" w14:textId="3ECA0408" w:rsidR="000B0797" w:rsidRPr="00091577" w:rsidRDefault="00091577">
      <w:pPr>
        <w:spacing w:before="120" w:after="120"/>
        <w:ind w:left="579" w:hanging="579"/>
        <w:jc w:val="both"/>
        <w:rPr>
          <w:lang w:val="es-419"/>
        </w:rPr>
      </w:pPr>
      <w:r w:rsidRPr="00091577">
        <w:rPr>
          <w:rFonts w:ascii="Arial" w:hAnsi="Arial" w:cs="Arial"/>
          <w:lang w:val="es-419"/>
        </w:rPr>
        <w:t>3.2</w:t>
      </w:r>
      <w:r w:rsidRPr="00091577">
        <w:rPr>
          <w:rFonts w:ascii="Arial" w:hAnsi="Arial" w:cs="Arial"/>
          <w:lang w:val="es-419"/>
        </w:rPr>
        <w:tab/>
      </w:r>
      <w:r w:rsidRPr="00091577">
        <w:rPr>
          <w:rFonts w:ascii="Arial" w:hAnsi="Arial" w:cs="Arial"/>
          <w:b/>
          <w:lang w:val="es-419"/>
        </w:rPr>
        <w:t>Component</w:t>
      </w:r>
      <w:r w:rsidR="006A1872">
        <w:rPr>
          <w:rFonts w:ascii="Arial" w:hAnsi="Arial" w:cs="Arial"/>
          <w:b/>
          <w:lang w:val="es-419"/>
        </w:rPr>
        <w:t>e</w:t>
      </w:r>
      <w:r w:rsidRPr="00091577">
        <w:rPr>
          <w:rFonts w:ascii="Arial" w:hAnsi="Arial" w:cs="Arial"/>
          <w:b/>
          <w:lang w:val="es-419"/>
        </w:rPr>
        <w:t xml:space="preserve"> II: Fortalecimiento de la capacidad regulatoria de la SIE. </w:t>
      </w:r>
      <w:r w:rsidRPr="00091577">
        <w:rPr>
          <w:rFonts w:ascii="Arial" w:hAnsi="Arial" w:cs="Arial"/>
          <w:lang w:val="es-419"/>
        </w:rPr>
        <w:t>Busca reforzar la capacidad de fiscalización de la SIE, mediante un estudio que establezca las mejores prácticas de fiscalización adaptables a la Ley General de Electricidad (Ley No. 125-01) para el monitoreo de los parámetros de eficiencia en generación, transmisión y distribución. Así, este componente representará un avance en las acciones de monitoreo y fiscalización técnica bajo el objetivo de “fortalecer la capacidad institucional y de supervisión del sector eléctrico” del programa DR-L1146</w:t>
      </w:r>
    </w:p>
    <w:p w14:paraId="4E72D792" w14:textId="4DDD531B" w:rsidR="000B0797" w:rsidRPr="00091577" w:rsidRDefault="00091577">
      <w:pPr>
        <w:spacing w:before="120" w:after="120"/>
        <w:ind w:left="579" w:hanging="579"/>
        <w:jc w:val="both"/>
        <w:rPr>
          <w:lang w:val="es-419"/>
        </w:rPr>
      </w:pPr>
      <w:r w:rsidRPr="00091577">
        <w:rPr>
          <w:rFonts w:ascii="Arial" w:hAnsi="Arial" w:cs="Arial"/>
          <w:lang w:val="es-419"/>
        </w:rPr>
        <w:t>3.3</w:t>
      </w:r>
      <w:r w:rsidRPr="00091577">
        <w:rPr>
          <w:rFonts w:ascii="Arial" w:hAnsi="Arial" w:cs="Arial"/>
          <w:lang w:val="es-419"/>
        </w:rPr>
        <w:tab/>
      </w:r>
      <w:r w:rsidRPr="00091577">
        <w:rPr>
          <w:rFonts w:ascii="Arial" w:hAnsi="Arial" w:cs="Arial"/>
          <w:b/>
          <w:lang w:val="es-419"/>
        </w:rPr>
        <w:t>Component</w:t>
      </w:r>
      <w:r w:rsidR="006A1872">
        <w:rPr>
          <w:rFonts w:ascii="Arial" w:hAnsi="Arial" w:cs="Arial"/>
          <w:b/>
          <w:lang w:val="es-419"/>
        </w:rPr>
        <w:t>e</w:t>
      </w:r>
      <w:r w:rsidRPr="00091577">
        <w:rPr>
          <w:rFonts w:ascii="Arial" w:hAnsi="Arial" w:cs="Arial"/>
          <w:b/>
          <w:lang w:val="es-419"/>
        </w:rPr>
        <w:t xml:space="preserve"> III: Fortalecimiento sectorial en equidad de g</w:t>
      </w:r>
      <w:r w:rsidR="006A1872">
        <w:rPr>
          <w:rFonts w:ascii="Arial" w:hAnsi="Arial" w:cs="Arial"/>
          <w:b/>
        </w:rPr>
        <w:t>é</w:t>
      </w:r>
      <w:proofErr w:type="spellStart"/>
      <w:r w:rsidRPr="00091577">
        <w:rPr>
          <w:rFonts w:ascii="Arial" w:hAnsi="Arial" w:cs="Arial"/>
          <w:b/>
          <w:lang w:val="es-419"/>
        </w:rPr>
        <w:t>nero</w:t>
      </w:r>
      <w:proofErr w:type="spellEnd"/>
      <w:r w:rsidRPr="00091577">
        <w:rPr>
          <w:rFonts w:ascii="Arial" w:hAnsi="Arial" w:cs="Arial"/>
          <w:b/>
          <w:lang w:val="es-419"/>
        </w:rPr>
        <w:t xml:space="preserve"> e inclusión. </w:t>
      </w:r>
      <w:r w:rsidRPr="00091577">
        <w:rPr>
          <w:rFonts w:ascii="Arial" w:hAnsi="Arial" w:cs="Arial"/>
          <w:lang w:val="es-419"/>
        </w:rPr>
        <w:t>Se apoyará al Ministerio de Energía y Minas (MEM) en la definición de un plan de acción y las políticas sectoriales para promover la equidad de género y la diversidad, con énfasis en inclusión de personas con discapacidad. Con esto se dará continuidad al apoyo que el Banco está otorgando al MEM para la elaboración de lineamientos sectoriales de equidad de género e inclusión</w:t>
      </w:r>
    </w:p>
    <w:p w14:paraId="26C4EC5C" w14:textId="1D000CC0" w:rsidR="000B0797" w:rsidRDefault="00091577">
      <w:pPr>
        <w:spacing w:before="120" w:after="120"/>
        <w:ind w:left="579" w:hanging="579"/>
      </w:pPr>
      <w:r>
        <w:rPr>
          <w:rFonts w:ascii="Arial" w:hAnsi="Arial" w:cs="Arial"/>
          <w:b/>
        </w:rPr>
        <w:t>IV.</w:t>
      </w:r>
      <w:r>
        <w:rPr>
          <w:rFonts w:ascii="Arial" w:hAnsi="Arial" w:cs="Arial"/>
          <w:b/>
        </w:rPr>
        <w:tab/>
      </w:r>
      <w:proofErr w:type="spellStart"/>
      <w:r w:rsidR="006A1872">
        <w:rPr>
          <w:rFonts w:ascii="Arial" w:hAnsi="Arial" w:cs="Arial"/>
          <w:b/>
        </w:rPr>
        <w:t>Presupuesto</w:t>
      </w:r>
      <w:proofErr w:type="spellEnd"/>
    </w:p>
    <w:p w14:paraId="6BAC439C" w14:textId="00BF99DE" w:rsidR="000B0797" w:rsidRDefault="006A1872">
      <w:pPr>
        <w:spacing w:before="240" w:after="120"/>
        <w:jc w:val="center"/>
      </w:pPr>
      <w:proofErr w:type="spellStart"/>
      <w:r>
        <w:rPr>
          <w:rFonts w:ascii="Arial" w:hAnsi="Arial" w:cs="Arial"/>
          <w:b/>
          <w:sz w:val="18"/>
          <w:szCs w:val="18"/>
        </w:rPr>
        <w:t>Presupuesto</w:t>
      </w:r>
      <w:proofErr w:type="spellEnd"/>
      <w:r>
        <w:rPr>
          <w:rFonts w:ascii="Arial" w:hAnsi="Arial" w:cs="Arial"/>
          <w:b/>
          <w:sz w:val="18"/>
          <w:szCs w:val="18"/>
        </w:rPr>
        <w:t xml:space="preserve"> </w:t>
      </w:r>
      <w:proofErr w:type="spellStart"/>
      <w:r>
        <w:rPr>
          <w:rFonts w:ascii="Arial" w:hAnsi="Arial" w:cs="Arial"/>
          <w:b/>
          <w:sz w:val="18"/>
          <w:szCs w:val="18"/>
        </w:rPr>
        <w:t>Indicativo</w:t>
      </w:r>
      <w:proofErr w:type="spellEnd"/>
    </w:p>
    <w:tbl>
      <w:tblPr>
        <w:tblStyle w:val="TableGrid"/>
        <w:tblW w:w="5000" w:type="auto"/>
        <w:tblLook w:val="04A0" w:firstRow="1" w:lastRow="0" w:firstColumn="1" w:lastColumn="0" w:noHBand="0" w:noVBand="1"/>
      </w:tblPr>
      <w:tblGrid>
        <w:gridCol w:w="2299"/>
        <w:gridCol w:w="2239"/>
        <w:gridCol w:w="2239"/>
        <w:gridCol w:w="2239"/>
      </w:tblGrid>
      <w:tr w:rsidR="000B0797" w14:paraId="0C5539C4" w14:textId="77777777">
        <w:tc>
          <w:tcPr>
            <w:tcW w:w="2310" w:type="dxa"/>
            <w:vAlign w:val="center"/>
          </w:tcPr>
          <w:p w14:paraId="4AAAAEBC" w14:textId="5FF9CD9E" w:rsidR="000B0797" w:rsidRDefault="00091577">
            <w:pPr>
              <w:spacing w:before="40" w:after="40"/>
              <w:jc w:val="center"/>
            </w:pPr>
            <w:proofErr w:type="spellStart"/>
            <w:r>
              <w:rPr>
                <w:rFonts w:ascii="Arial" w:hAnsi="Arial" w:cs="Arial"/>
                <w:b/>
                <w:sz w:val="18"/>
                <w:szCs w:val="18"/>
              </w:rPr>
              <w:t>Activi</w:t>
            </w:r>
            <w:r w:rsidR="006A1872">
              <w:rPr>
                <w:rFonts w:ascii="Arial" w:hAnsi="Arial" w:cs="Arial"/>
                <w:b/>
                <w:sz w:val="18"/>
                <w:szCs w:val="18"/>
              </w:rPr>
              <w:t>dad</w:t>
            </w:r>
            <w:proofErr w:type="spellEnd"/>
            <w:r>
              <w:rPr>
                <w:rFonts w:ascii="Arial" w:hAnsi="Arial" w:cs="Arial"/>
                <w:b/>
                <w:sz w:val="18"/>
                <w:szCs w:val="18"/>
              </w:rPr>
              <w:t>/</w:t>
            </w:r>
            <w:proofErr w:type="spellStart"/>
            <w:r>
              <w:rPr>
                <w:rFonts w:ascii="Arial" w:hAnsi="Arial" w:cs="Arial"/>
                <w:b/>
                <w:sz w:val="18"/>
                <w:szCs w:val="18"/>
              </w:rPr>
              <w:t>Component</w:t>
            </w:r>
            <w:r w:rsidR="006A1872">
              <w:rPr>
                <w:rFonts w:ascii="Arial" w:hAnsi="Arial" w:cs="Arial"/>
                <w:b/>
                <w:sz w:val="18"/>
                <w:szCs w:val="18"/>
              </w:rPr>
              <w:t>e</w:t>
            </w:r>
            <w:proofErr w:type="spellEnd"/>
          </w:p>
        </w:tc>
        <w:tc>
          <w:tcPr>
            <w:tcW w:w="2310" w:type="dxa"/>
          </w:tcPr>
          <w:p w14:paraId="10FE2DE7" w14:textId="34D117A5" w:rsidR="000B0797" w:rsidRDefault="006A187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BID</w:t>
            </w:r>
          </w:p>
        </w:tc>
        <w:tc>
          <w:tcPr>
            <w:tcW w:w="2310" w:type="dxa"/>
          </w:tcPr>
          <w:p w14:paraId="0233B4F6" w14:textId="708A4B80" w:rsidR="000B0797" w:rsidRDefault="006A187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w:t>
            </w:r>
            <w:proofErr w:type="spellStart"/>
            <w:r>
              <w:rPr>
                <w:rFonts w:ascii="Arial" w:hAnsi="Arial" w:cs="Arial"/>
                <w:b/>
                <w:sz w:val="18"/>
                <w:szCs w:val="18"/>
              </w:rPr>
              <w:t>Contraparte</w:t>
            </w:r>
            <w:proofErr w:type="spellEnd"/>
          </w:p>
        </w:tc>
        <w:tc>
          <w:tcPr>
            <w:tcW w:w="2310" w:type="dxa"/>
          </w:tcPr>
          <w:p w14:paraId="14B20422" w14:textId="43191896" w:rsidR="000B0797" w:rsidRDefault="006A1872">
            <w:pPr>
              <w:spacing w:before="40" w:after="40"/>
              <w:jc w:val="center"/>
            </w:pPr>
            <w:proofErr w:type="spellStart"/>
            <w:r>
              <w:rPr>
                <w:rFonts w:ascii="Arial" w:hAnsi="Arial" w:cs="Arial"/>
                <w:b/>
                <w:sz w:val="18"/>
                <w:szCs w:val="18"/>
              </w:rPr>
              <w:t>Financiamiento</w:t>
            </w:r>
            <w:proofErr w:type="spellEnd"/>
            <w:r>
              <w:rPr>
                <w:rFonts w:ascii="Arial" w:hAnsi="Arial" w:cs="Arial"/>
                <w:b/>
                <w:sz w:val="18"/>
                <w:szCs w:val="18"/>
              </w:rPr>
              <w:t xml:space="preserve"> Total</w:t>
            </w:r>
          </w:p>
        </w:tc>
      </w:tr>
      <w:tr w:rsidR="000B0797" w14:paraId="23C6D735" w14:textId="77777777">
        <w:tc>
          <w:tcPr>
            <w:tcW w:w="2310" w:type="dxa"/>
            <w:vAlign w:val="center"/>
          </w:tcPr>
          <w:p w14:paraId="3C95BB2B" w14:textId="77777777" w:rsidR="000B0797" w:rsidRPr="00091577" w:rsidRDefault="00091577">
            <w:pPr>
              <w:spacing w:before="40" w:after="40"/>
              <w:rPr>
                <w:lang w:val="es-419"/>
              </w:rPr>
            </w:pPr>
            <w:r w:rsidRPr="00091577">
              <w:rPr>
                <w:rFonts w:ascii="Arial" w:hAnsi="Arial" w:cs="Arial"/>
                <w:sz w:val="18"/>
                <w:szCs w:val="18"/>
                <w:lang w:val="es-419"/>
              </w:rPr>
              <w:t xml:space="preserve">Estructura tarifaria y de subsidios del sector eléctrico </w:t>
            </w:r>
          </w:p>
        </w:tc>
        <w:tc>
          <w:tcPr>
            <w:tcW w:w="2310" w:type="dxa"/>
            <w:vAlign w:val="center"/>
          </w:tcPr>
          <w:p w14:paraId="573A257B" w14:textId="77777777" w:rsidR="000B0797" w:rsidRDefault="00091577">
            <w:pPr>
              <w:spacing w:before="40" w:after="40"/>
              <w:jc w:val="right"/>
            </w:pPr>
            <w:r>
              <w:rPr>
                <w:rFonts w:ascii="Arial" w:hAnsi="Arial" w:cs="Arial"/>
                <w:sz w:val="18"/>
                <w:szCs w:val="18"/>
              </w:rPr>
              <w:t>US$260,000.00</w:t>
            </w:r>
          </w:p>
        </w:tc>
        <w:tc>
          <w:tcPr>
            <w:tcW w:w="2310" w:type="dxa"/>
            <w:vAlign w:val="center"/>
          </w:tcPr>
          <w:p w14:paraId="6CBCB6BF" w14:textId="77777777" w:rsidR="000B0797" w:rsidRDefault="00091577">
            <w:pPr>
              <w:spacing w:before="40" w:after="40"/>
              <w:jc w:val="right"/>
            </w:pPr>
            <w:r>
              <w:rPr>
                <w:rFonts w:ascii="Arial" w:hAnsi="Arial" w:cs="Arial"/>
                <w:sz w:val="18"/>
                <w:szCs w:val="18"/>
              </w:rPr>
              <w:t>US$0.00</w:t>
            </w:r>
          </w:p>
        </w:tc>
        <w:tc>
          <w:tcPr>
            <w:tcW w:w="2310" w:type="dxa"/>
            <w:vAlign w:val="center"/>
          </w:tcPr>
          <w:p w14:paraId="1EBBC024" w14:textId="77777777" w:rsidR="000B0797" w:rsidRDefault="00091577">
            <w:pPr>
              <w:spacing w:before="40" w:after="40"/>
              <w:jc w:val="right"/>
            </w:pPr>
            <w:r>
              <w:rPr>
                <w:rFonts w:ascii="Arial" w:hAnsi="Arial" w:cs="Arial"/>
                <w:sz w:val="18"/>
                <w:szCs w:val="18"/>
              </w:rPr>
              <w:t>US$260,000.00</w:t>
            </w:r>
          </w:p>
        </w:tc>
      </w:tr>
      <w:tr w:rsidR="000B0797" w14:paraId="2ACE0427" w14:textId="77777777">
        <w:tc>
          <w:tcPr>
            <w:tcW w:w="2310" w:type="dxa"/>
            <w:vAlign w:val="center"/>
          </w:tcPr>
          <w:p w14:paraId="1E3AD397" w14:textId="77777777" w:rsidR="000B0797" w:rsidRPr="00091577" w:rsidRDefault="00091577">
            <w:pPr>
              <w:spacing w:before="40" w:after="40"/>
              <w:rPr>
                <w:lang w:val="es-419"/>
              </w:rPr>
            </w:pPr>
            <w:r w:rsidRPr="00091577">
              <w:rPr>
                <w:rFonts w:ascii="Arial" w:hAnsi="Arial" w:cs="Arial"/>
                <w:sz w:val="18"/>
                <w:szCs w:val="18"/>
                <w:lang w:val="es-419"/>
              </w:rPr>
              <w:lastRenderedPageBreak/>
              <w:t xml:space="preserve">Fortalecimiento de la capacidad regulatoria de la SIE </w:t>
            </w:r>
          </w:p>
        </w:tc>
        <w:tc>
          <w:tcPr>
            <w:tcW w:w="2310" w:type="dxa"/>
            <w:vAlign w:val="center"/>
          </w:tcPr>
          <w:p w14:paraId="51D3F855" w14:textId="77777777" w:rsidR="000B0797" w:rsidRDefault="00091577">
            <w:pPr>
              <w:spacing w:before="40" w:after="40"/>
              <w:jc w:val="right"/>
            </w:pPr>
            <w:r>
              <w:rPr>
                <w:rFonts w:ascii="Arial" w:hAnsi="Arial" w:cs="Arial"/>
                <w:sz w:val="18"/>
                <w:szCs w:val="18"/>
              </w:rPr>
              <w:t>US$30,000.00</w:t>
            </w:r>
          </w:p>
        </w:tc>
        <w:tc>
          <w:tcPr>
            <w:tcW w:w="2310" w:type="dxa"/>
            <w:vAlign w:val="center"/>
          </w:tcPr>
          <w:p w14:paraId="4BEAC2B9" w14:textId="77777777" w:rsidR="000B0797" w:rsidRDefault="00091577">
            <w:pPr>
              <w:spacing w:before="40" w:after="40"/>
              <w:jc w:val="right"/>
            </w:pPr>
            <w:r>
              <w:rPr>
                <w:rFonts w:ascii="Arial" w:hAnsi="Arial" w:cs="Arial"/>
                <w:sz w:val="18"/>
                <w:szCs w:val="18"/>
              </w:rPr>
              <w:t>US$0.00</w:t>
            </w:r>
          </w:p>
        </w:tc>
        <w:tc>
          <w:tcPr>
            <w:tcW w:w="2310" w:type="dxa"/>
            <w:vAlign w:val="center"/>
          </w:tcPr>
          <w:p w14:paraId="083D17FD" w14:textId="77777777" w:rsidR="000B0797" w:rsidRDefault="00091577">
            <w:pPr>
              <w:spacing w:before="40" w:after="40"/>
              <w:jc w:val="right"/>
            </w:pPr>
            <w:r>
              <w:rPr>
                <w:rFonts w:ascii="Arial" w:hAnsi="Arial" w:cs="Arial"/>
                <w:sz w:val="18"/>
                <w:szCs w:val="18"/>
              </w:rPr>
              <w:t>US$30,000.00</w:t>
            </w:r>
          </w:p>
        </w:tc>
      </w:tr>
      <w:tr w:rsidR="000B0797" w14:paraId="1D74A4F8" w14:textId="77777777">
        <w:tc>
          <w:tcPr>
            <w:tcW w:w="2310" w:type="dxa"/>
            <w:vAlign w:val="center"/>
          </w:tcPr>
          <w:p w14:paraId="3C820B55" w14:textId="56B022CF" w:rsidR="000B0797" w:rsidRPr="00091577" w:rsidRDefault="00091577">
            <w:pPr>
              <w:spacing w:before="40" w:after="40"/>
              <w:rPr>
                <w:lang w:val="es-419"/>
              </w:rPr>
            </w:pPr>
            <w:r w:rsidRPr="00091577">
              <w:rPr>
                <w:rFonts w:ascii="Arial" w:hAnsi="Arial" w:cs="Arial"/>
                <w:sz w:val="18"/>
                <w:szCs w:val="18"/>
                <w:lang w:val="es-419"/>
              </w:rPr>
              <w:t>Fortalecimiento sectorial en equidad de g</w:t>
            </w:r>
            <w:r w:rsidR="006A1872">
              <w:rPr>
                <w:rFonts w:ascii="Arial" w:hAnsi="Arial" w:cs="Arial"/>
                <w:sz w:val="18"/>
                <w:szCs w:val="18"/>
                <w:lang w:val="es-419"/>
              </w:rPr>
              <w:t>é</w:t>
            </w:r>
            <w:r w:rsidRPr="00091577">
              <w:rPr>
                <w:rFonts w:ascii="Arial" w:hAnsi="Arial" w:cs="Arial"/>
                <w:sz w:val="18"/>
                <w:szCs w:val="18"/>
                <w:lang w:val="es-419"/>
              </w:rPr>
              <w:t>nero e inclusión</w:t>
            </w:r>
          </w:p>
        </w:tc>
        <w:tc>
          <w:tcPr>
            <w:tcW w:w="2310" w:type="dxa"/>
            <w:vAlign w:val="center"/>
          </w:tcPr>
          <w:p w14:paraId="63F99A70" w14:textId="77777777" w:rsidR="000B0797" w:rsidRDefault="00091577">
            <w:pPr>
              <w:spacing w:before="40" w:after="40"/>
              <w:jc w:val="right"/>
            </w:pPr>
            <w:r>
              <w:rPr>
                <w:rFonts w:ascii="Arial" w:hAnsi="Arial" w:cs="Arial"/>
                <w:sz w:val="18"/>
                <w:szCs w:val="18"/>
              </w:rPr>
              <w:t>US$10,000.00</w:t>
            </w:r>
          </w:p>
        </w:tc>
        <w:tc>
          <w:tcPr>
            <w:tcW w:w="2310" w:type="dxa"/>
            <w:vAlign w:val="center"/>
          </w:tcPr>
          <w:p w14:paraId="79A69D5D" w14:textId="77777777" w:rsidR="000B0797" w:rsidRDefault="00091577">
            <w:pPr>
              <w:spacing w:before="40" w:after="40"/>
              <w:jc w:val="right"/>
            </w:pPr>
            <w:r>
              <w:rPr>
                <w:rFonts w:ascii="Arial" w:hAnsi="Arial" w:cs="Arial"/>
                <w:sz w:val="18"/>
                <w:szCs w:val="18"/>
              </w:rPr>
              <w:t>US$0.00</w:t>
            </w:r>
          </w:p>
        </w:tc>
        <w:tc>
          <w:tcPr>
            <w:tcW w:w="2310" w:type="dxa"/>
            <w:vAlign w:val="center"/>
          </w:tcPr>
          <w:p w14:paraId="07F00175" w14:textId="77777777" w:rsidR="000B0797" w:rsidRDefault="00091577">
            <w:pPr>
              <w:spacing w:before="40" w:after="40"/>
              <w:jc w:val="right"/>
            </w:pPr>
            <w:r>
              <w:rPr>
                <w:rFonts w:ascii="Arial" w:hAnsi="Arial" w:cs="Arial"/>
                <w:sz w:val="18"/>
                <w:szCs w:val="18"/>
              </w:rPr>
              <w:t>US$10,000.00</w:t>
            </w:r>
          </w:p>
        </w:tc>
      </w:tr>
      <w:tr w:rsidR="000B0797" w14:paraId="3829C605" w14:textId="77777777">
        <w:tc>
          <w:tcPr>
            <w:tcW w:w="2310" w:type="dxa"/>
            <w:vAlign w:val="center"/>
          </w:tcPr>
          <w:p w14:paraId="1EE9922A" w14:textId="77777777" w:rsidR="000B0797" w:rsidRDefault="00091577">
            <w:pPr>
              <w:spacing w:before="40" w:after="40"/>
            </w:pPr>
            <w:r>
              <w:rPr>
                <w:rFonts w:ascii="Arial" w:hAnsi="Arial" w:cs="Arial"/>
                <w:b/>
                <w:sz w:val="18"/>
                <w:szCs w:val="18"/>
              </w:rPr>
              <w:t>Total</w:t>
            </w:r>
          </w:p>
        </w:tc>
        <w:tc>
          <w:tcPr>
            <w:tcW w:w="2310" w:type="dxa"/>
            <w:vAlign w:val="center"/>
          </w:tcPr>
          <w:p w14:paraId="01992775" w14:textId="77777777" w:rsidR="000B0797" w:rsidRDefault="00091577">
            <w:pPr>
              <w:spacing w:before="40" w:after="40"/>
              <w:jc w:val="right"/>
            </w:pPr>
            <w:r>
              <w:rPr>
                <w:rFonts w:ascii="Arial" w:hAnsi="Arial" w:cs="Arial"/>
                <w:b/>
                <w:sz w:val="18"/>
                <w:szCs w:val="18"/>
              </w:rPr>
              <w:t>US$300,000.00</w:t>
            </w:r>
          </w:p>
        </w:tc>
        <w:tc>
          <w:tcPr>
            <w:tcW w:w="2310" w:type="dxa"/>
            <w:vAlign w:val="center"/>
          </w:tcPr>
          <w:p w14:paraId="6B8B70F1" w14:textId="77777777" w:rsidR="000B0797" w:rsidRDefault="00091577">
            <w:pPr>
              <w:spacing w:before="40" w:after="40"/>
              <w:jc w:val="right"/>
            </w:pPr>
            <w:r>
              <w:rPr>
                <w:rFonts w:ascii="Arial" w:hAnsi="Arial" w:cs="Arial"/>
                <w:b/>
                <w:sz w:val="18"/>
                <w:szCs w:val="18"/>
              </w:rPr>
              <w:t>US$0.00</w:t>
            </w:r>
          </w:p>
        </w:tc>
        <w:tc>
          <w:tcPr>
            <w:tcW w:w="2310" w:type="dxa"/>
            <w:vAlign w:val="center"/>
          </w:tcPr>
          <w:p w14:paraId="5F78CBA8" w14:textId="77777777" w:rsidR="000B0797" w:rsidRDefault="00091577">
            <w:pPr>
              <w:spacing w:before="40" w:after="40"/>
              <w:jc w:val="right"/>
            </w:pPr>
            <w:r>
              <w:rPr>
                <w:rFonts w:ascii="Arial" w:hAnsi="Arial" w:cs="Arial"/>
                <w:b/>
                <w:sz w:val="18"/>
                <w:szCs w:val="18"/>
              </w:rPr>
              <w:t>US$300,000.00</w:t>
            </w:r>
          </w:p>
        </w:tc>
      </w:tr>
    </w:tbl>
    <w:p w14:paraId="359E8D6D" w14:textId="580B19D8" w:rsidR="000B0797" w:rsidRDefault="00091577">
      <w:pPr>
        <w:spacing w:before="120" w:after="120"/>
        <w:ind w:left="579" w:hanging="579"/>
      </w:pPr>
      <w:r>
        <w:rPr>
          <w:rFonts w:ascii="Arial" w:hAnsi="Arial" w:cs="Arial"/>
          <w:b/>
        </w:rPr>
        <w:t>V.</w:t>
      </w:r>
      <w:r>
        <w:rPr>
          <w:rFonts w:ascii="Arial" w:hAnsi="Arial" w:cs="Arial"/>
          <w:b/>
        </w:rPr>
        <w:tab/>
      </w:r>
      <w:proofErr w:type="spellStart"/>
      <w:r w:rsidR="006A1872">
        <w:rPr>
          <w:rFonts w:ascii="Arial" w:hAnsi="Arial" w:cs="Arial"/>
          <w:b/>
        </w:rPr>
        <w:t>Agencia</w:t>
      </w:r>
      <w:proofErr w:type="spellEnd"/>
      <w:r w:rsidR="006A1872">
        <w:rPr>
          <w:rFonts w:ascii="Arial" w:hAnsi="Arial" w:cs="Arial"/>
          <w:b/>
        </w:rPr>
        <w:t xml:space="preserve"> </w:t>
      </w:r>
      <w:proofErr w:type="spellStart"/>
      <w:r w:rsidR="006A1872">
        <w:rPr>
          <w:rFonts w:ascii="Arial" w:hAnsi="Arial" w:cs="Arial"/>
          <w:b/>
        </w:rPr>
        <w:t>Ejecutora</w:t>
      </w:r>
      <w:proofErr w:type="spellEnd"/>
      <w:r w:rsidR="006A1872">
        <w:rPr>
          <w:rFonts w:ascii="Arial" w:hAnsi="Arial" w:cs="Arial"/>
          <w:b/>
        </w:rPr>
        <w:t xml:space="preserve"> y </w:t>
      </w:r>
      <w:proofErr w:type="spellStart"/>
      <w:r w:rsidR="006A1872">
        <w:rPr>
          <w:rFonts w:ascii="Arial" w:hAnsi="Arial" w:cs="Arial"/>
          <w:b/>
        </w:rPr>
        <w:t>Estructura</w:t>
      </w:r>
      <w:proofErr w:type="spellEnd"/>
      <w:r w:rsidR="006A1872">
        <w:rPr>
          <w:rFonts w:ascii="Arial" w:hAnsi="Arial" w:cs="Arial"/>
          <w:b/>
        </w:rPr>
        <w:t xml:space="preserve"> de </w:t>
      </w:r>
      <w:proofErr w:type="spellStart"/>
      <w:r w:rsidR="006A1872">
        <w:rPr>
          <w:rFonts w:ascii="Arial" w:hAnsi="Arial" w:cs="Arial"/>
          <w:b/>
        </w:rPr>
        <w:t>Ejecución</w:t>
      </w:r>
      <w:proofErr w:type="spellEnd"/>
    </w:p>
    <w:p w14:paraId="1EA45FBF" w14:textId="77777777" w:rsidR="000B0797" w:rsidRPr="00091577" w:rsidRDefault="00091577">
      <w:pPr>
        <w:spacing w:before="200" w:after="200"/>
        <w:ind w:left="579" w:hanging="579"/>
        <w:jc w:val="both"/>
        <w:rPr>
          <w:lang w:val="es-419"/>
        </w:rPr>
      </w:pPr>
      <w:r w:rsidRPr="00091577">
        <w:rPr>
          <w:rFonts w:ascii="Arial" w:hAnsi="Arial" w:cs="Arial"/>
          <w:lang w:val="es-419"/>
        </w:rPr>
        <w:t>5.1</w:t>
      </w:r>
      <w:r w:rsidRPr="00091577">
        <w:rPr>
          <w:rFonts w:ascii="Arial" w:hAnsi="Arial" w:cs="Arial"/>
          <w:lang w:val="es-419"/>
        </w:rPr>
        <w:tab/>
        <w:t xml:space="preserve">A solicitud del GRD, el BID actuará como Ejecutor de esta CT y, por lo tanto, contratará los servicios de consultores individuales, firmas consultoras y servicios diferentes de consultoría en conformidad con las políticas y procedimientos vigentes en el Banco. </w:t>
      </w:r>
    </w:p>
    <w:p w14:paraId="22F9F15D" w14:textId="77777777" w:rsidR="000B0797" w:rsidRPr="00091577" w:rsidRDefault="00091577">
      <w:pPr>
        <w:spacing w:before="200" w:after="200"/>
        <w:ind w:left="579" w:hanging="579"/>
        <w:jc w:val="both"/>
        <w:rPr>
          <w:lang w:val="es-419"/>
        </w:rPr>
      </w:pPr>
      <w:r w:rsidRPr="00091577">
        <w:rPr>
          <w:rFonts w:ascii="Arial" w:hAnsi="Arial" w:cs="Arial"/>
          <w:lang w:val="es-419"/>
        </w:rPr>
        <w:t>5.2</w:t>
      </w:r>
      <w:r w:rsidRPr="00091577">
        <w:rPr>
          <w:rFonts w:ascii="Arial" w:hAnsi="Arial" w:cs="Arial"/>
          <w:lang w:val="es-419"/>
        </w:rPr>
        <w:tab/>
        <w:t>La ejecución, supervisión y monitoreo de las consultorías estará a cargo de la División de Energía (INE/ENE), a través de la Representación del BID en República Dominicana (CID/CDR).</w:t>
      </w:r>
    </w:p>
    <w:p w14:paraId="69AD417E" w14:textId="77777777" w:rsidR="000B0797" w:rsidRPr="00091577" w:rsidRDefault="00091577">
      <w:pPr>
        <w:spacing w:before="200" w:after="200"/>
        <w:ind w:left="579" w:hanging="579"/>
        <w:jc w:val="both"/>
        <w:rPr>
          <w:lang w:val="es-419"/>
        </w:rPr>
      </w:pPr>
      <w:r w:rsidRPr="00091577">
        <w:rPr>
          <w:rFonts w:ascii="Arial" w:hAnsi="Arial" w:cs="Arial"/>
          <w:lang w:val="es-419"/>
        </w:rPr>
        <w:t>5.3</w:t>
      </w:r>
      <w:r w:rsidRPr="00091577">
        <w:rPr>
          <w:rFonts w:ascii="Arial" w:hAnsi="Arial" w:cs="Arial"/>
          <w:lang w:val="es-419"/>
        </w:rPr>
        <w:tab/>
        <w:t>Adquisiciones. Las actividades a ejecutar bajo esta operación se han incluido en el Plan de Adquisiciones (Anexo IV) y serán ejecutadas de acuerdo con los métodos de adquisiciones establecidos por el Banco, a saber: (i) Contratación de consultores individuales, según lo establecido en las normas AM-650; (</w:t>
      </w:r>
      <w:proofErr w:type="spellStart"/>
      <w:r w:rsidRPr="00091577">
        <w:rPr>
          <w:rFonts w:ascii="Arial" w:hAnsi="Arial" w:cs="Arial"/>
          <w:lang w:val="es-419"/>
        </w:rPr>
        <w:t>ii</w:t>
      </w:r>
      <w:proofErr w:type="spellEnd"/>
      <w:r w:rsidRPr="00091577">
        <w:rPr>
          <w:rFonts w:ascii="Arial" w:hAnsi="Arial" w:cs="Arial"/>
          <w:lang w:val="es-419"/>
        </w:rPr>
        <w:t>) Contratación de firmas consultoras para servicios de naturaleza intelectual, según la GN-2765-1 y sus guías operativas asociadas (OP-1155-4); y (</w:t>
      </w:r>
      <w:proofErr w:type="spellStart"/>
      <w:r w:rsidRPr="00091577">
        <w:rPr>
          <w:rFonts w:ascii="Arial" w:hAnsi="Arial" w:cs="Arial"/>
          <w:lang w:val="es-419"/>
        </w:rPr>
        <w:t>iii</w:t>
      </w:r>
      <w:proofErr w:type="spellEnd"/>
      <w:r w:rsidRPr="00091577">
        <w:rPr>
          <w:rFonts w:ascii="Arial" w:hAnsi="Arial" w:cs="Arial"/>
          <w:lang w:val="es-419"/>
        </w:rPr>
        <w:t>) Contratación de servicios logísticos y otros servicios distintos a consultoría, de acuerdo a la política GN-2303-20. De conformidad con el documento Directrices Operativas para Productos de Cooperación Técnica, Versión revisada (GN-2629-1), esta CT se clasifica como un producto de Apoyo al Cliente.</w:t>
      </w:r>
    </w:p>
    <w:p w14:paraId="36B66E45" w14:textId="77777777" w:rsidR="000B0797" w:rsidRPr="00091577" w:rsidRDefault="00091577">
      <w:pPr>
        <w:spacing w:before="200" w:after="200"/>
        <w:ind w:left="579" w:hanging="579"/>
        <w:jc w:val="both"/>
        <w:rPr>
          <w:lang w:val="es-419"/>
        </w:rPr>
      </w:pPr>
      <w:r w:rsidRPr="00091577">
        <w:rPr>
          <w:rFonts w:ascii="Arial" w:hAnsi="Arial" w:cs="Arial"/>
          <w:lang w:val="es-419"/>
        </w:rPr>
        <w:t>5.4</w:t>
      </w:r>
      <w:r w:rsidRPr="00091577">
        <w:rPr>
          <w:rFonts w:ascii="Arial" w:hAnsi="Arial" w:cs="Arial"/>
          <w:lang w:val="es-419"/>
        </w:rPr>
        <w:tab/>
        <w:t>El Banco cuenta con una amplia presencia en el país, contando con conocimiento sobre el contexto y problemática del sector energía. El GRD solicitó la asistencia del BID para la ejecución de esta CT debido a la especificidad técnica que se requiere para la preparación de propuestas de reformas tarifarias, tema en que el Banco tiene vasta experiencia. La Superintendencia de Electricidad (SIE) actuará como contraparte técnica de esta CT.</w:t>
      </w:r>
    </w:p>
    <w:p w14:paraId="0FB10B56" w14:textId="144767B2" w:rsidR="000B0797" w:rsidRPr="00091577" w:rsidRDefault="00091577">
      <w:pPr>
        <w:spacing w:before="120" w:after="120"/>
        <w:ind w:left="579" w:hanging="579"/>
        <w:rPr>
          <w:lang w:val="es-419"/>
        </w:rPr>
      </w:pPr>
      <w:r w:rsidRPr="00091577">
        <w:rPr>
          <w:rFonts w:ascii="Arial" w:hAnsi="Arial" w:cs="Arial"/>
          <w:b/>
          <w:lang w:val="es-419"/>
        </w:rPr>
        <w:t>VI.</w:t>
      </w:r>
      <w:r w:rsidRPr="00091577">
        <w:rPr>
          <w:rFonts w:ascii="Arial" w:hAnsi="Arial" w:cs="Arial"/>
          <w:b/>
          <w:lang w:val="es-419"/>
        </w:rPr>
        <w:tab/>
      </w:r>
      <w:r w:rsidR="006A1872">
        <w:rPr>
          <w:rFonts w:ascii="Arial" w:hAnsi="Arial" w:cs="Arial"/>
          <w:b/>
          <w:lang w:val="es-419"/>
        </w:rPr>
        <w:t>Riesgos asociados al proyecto</w:t>
      </w:r>
    </w:p>
    <w:p w14:paraId="160C938C" w14:textId="77777777" w:rsidR="000B0797" w:rsidRPr="00091577" w:rsidRDefault="00091577">
      <w:pPr>
        <w:spacing w:before="200" w:after="200"/>
        <w:ind w:left="579" w:hanging="579"/>
        <w:jc w:val="both"/>
        <w:rPr>
          <w:lang w:val="es-419"/>
        </w:rPr>
      </w:pPr>
      <w:r w:rsidRPr="00091577">
        <w:rPr>
          <w:rFonts w:ascii="Arial" w:hAnsi="Arial" w:cs="Arial"/>
          <w:lang w:val="es-419"/>
        </w:rPr>
        <w:t>6.1</w:t>
      </w:r>
      <w:r w:rsidRPr="00091577">
        <w:rPr>
          <w:rFonts w:ascii="Arial" w:hAnsi="Arial" w:cs="Arial"/>
          <w:lang w:val="es-419"/>
        </w:rPr>
        <w:tab/>
        <w:t>Dada la situación del COVID y las potenciales limitaciones de traslado de los consultores, existe el riesgo de que se produzcan retrasos en los trabajos, por lo cual, el plan de trabajo estará maximizando el uso de reuniones virtuales para mitigar el riesgo de demoras. Las actividades cuentan con el apoyo del Gobierno. Por otro lado, el Banco cuenta con experiencia en la ejecución de ejercicios similares en la región y en el país, facilitando la ejecución de actividades</w:t>
      </w:r>
    </w:p>
    <w:p w14:paraId="7B852943" w14:textId="04564599" w:rsidR="000B0797" w:rsidRDefault="00091577">
      <w:pPr>
        <w:spacing w:before="120" w:after="120"/>
        <w:ind w:left="579" w:hanging="579"/>
      </w:pPr>
      <w:r>
        <w:rPr>
          <w:rFonts w:ascii="Arial" w:hAnsi="Arial" w:cs="Arial"/>
          <w:b/>
        </w:rPr>
        <w:t>VII.</w:t>
      </w:r>
      <w:r>
        <w:rPr>
          <w:rFonts w:ascii="Arial" w:hAnsi="Arial" w:cs="Arial"/>
          <w:b/>
        </w:rPr>
        <w:tab/>
      </w:r>
      <w:proofErr w:type="spellStart"/>
      <w:r w:rsidR="006A1872">
        <w:rPr>
          <w:rFonts w:ascii="Arial" w:hAnsi="Arial" w:cs="Arial"/>
          <w:b/>
        </w:rPr>
        <w:t>Clasificación</w:t>
      </w:r>
      <w:proofErr w:type="spellEnd"/>
      <w:r w:rsidR="006A1872">
        <w:rPr>
          <w:rFonts w:ascii="Arial" w:hAnsi="Arial" w:cs="Arial"/>
          <w:b/>
        </w:rPr>
        <w:t xml:space="preserve"> </w:t>
      </w:r>
      <w:proofErr w:type="spellStart"/>
      <w:r w:rsidR="006A1872">
        <w:rPr>
          <w:rFonts w:ascii="Arial" w:hAnsi="Arial" w:cs="Arial"/>
          <w:b/>
        </w:rPr>
        <w:t>Socioambiental</w:t>
      </w:r>
      <w:proofErr w:type="spellEnd"/>
    </w:p>
    <w:p w14:paraId="3E8CF384" w14:textId="7D22ECFE" w:rsidR="000B0797" w:rsidRDefault="00091577">
      <w:pPr>
        <w:spacing w:before="240" w:after="120"/>
        <w:ind w:left="579" w:hanging="579"/>
        <w:jc w:val="both"/>
      </w:pPr>
      <w:r>
        <w:rPr>
          <w:rFonts w:ascii="Arial" w:hAnsi="Arial" w:cs="Arial"/>
        </w:rPr>
        <w:t>7.1</w:t>
      </w:r>
      <w:r>
        <w:rPr>
          <w:rFonts w:ascii="Arial" w:hAnsi="Arial" w:cs="Arial"/>
        </w:rPr>
        <w:tab/>
      </w:r>
      <w:r w:rsidR="006A1872">
        <w:rPr>
          <w:rFonts w:ascii="Arial" w:hAnsi="Arial" w:cs="Arial"/>
        </w:rPr>
        <w:t xml:space="preserve">La </w:t>
      </w:r>
      <w:proofErr w:type="spellStart"/>
      <w:r w:rsidR="006A1872">
        <w:rPr>
          <w:rFonts w:ascii="Arial" w:hAnsi="Arial" w:cs="Arial"/>
        </w:rPr>
        <w:t>clasificación</w:t>
      </w:r>
      <w:proofErr w:type="spellEnd"/>
      <w:r w:rsidR="006A1872">
        <w:rPr>
          <w:rFonts w:ascii="Arial" w:hAnsi="Arial" w:cs="Arial"/>
        </w:rPr>
        <w:t xml:space="preserve"> de ESG </w:t>
      </w:r>
      <w:proofErr w:type="spellStart"/>
      <w:r w:rsidR="006A1872">
        <w:rPr>
          <w:rFonts w:ascii="Arial" w:hAnsi="Arial" w:cs="Arial"/>
        </w:rPr>
        <w:t>asignada</w:t>
      </w:r>
      <w:proofErr w:type="spellEnd"/>
      <w:r>
        <w:rPr>
          <w:rFonts w:ascii="Arial" w:hAnsi="Arial" w:cs="Arial"/>
        </w:rPr>
        <w:t xml:space="preserve"> </w:t>
      </w:r>
      <w:r w:rsidR="006A1872">
        <w:rPr>
          <w:rFonts w:ascii="Arial" w:hAnsi="Arial" w:cs="Arial"/>
        </w:rPr>
        <w:t xml:space="preserve">para </w:t>
      </w:r>
      <w:proofErr w:type="spellStart"/>
      <w:r w:rsidR="006A1872">
        <w:rPr>
          <w:rFonts w:ascii="Arial" w:hAnsi="Arial" w:cs="Arial"/>
        </w:rPr>
        <w:t>esta</w:t>
      </w:r>
      <w:proofErr w:type="spellEnd"/>
      <w:r w:rsidR="006A1872">
        <w:rPr>
          <w:rFonts w:ascii="Arial" w:hAnsi="Arial" w:cs="Arial"/>
        </w:rPr>
        <w:t xml:space="preserve"> </w:t>
      </w:r>
      <w:proofErr w:type="spellStart"/>
      <w:r w:rsidR="006A1872">
        <w:rPr>
          <w:rFonts w:ascii="Arial" w:hAnsi="Arial" w:cs="Arial"/>
        </w:rPr>
        <w:t>operación</w:t>
      </w:r>
      <w:proofErr w:type="spellEnd"/>
      <w:r w:rsidR="006A1872">
        <w:rPr>
          <w:rFonts w:ascii="Arial" w:hAnsi="Arial" w:cs="Arial"/>
        </w:rPr>
        <w:t xml:space="preserve"> es </w:t>
      </w:r>
      <w:proofErr w:type="spellStart"/>
      <w:r w:rsidR="006A1872">
        <w:rPr>
          <w:rFonts w:ascii="Arial" w:hAnsi="Arial" w:cs="Arial"/>
        </w:rPr>
        <w:t>categoría</w:t>
      </w:r>
      <w:proofErr w:type="spellEnd"/>
      <w:r w:rsidR="006A1872">
        <w:rPr>
          <w:rFonts w:ascii="Arial" w:hAnsi="Arial" w:cs="Arial"/>
        </w:rPr>
        <w:t xml:space="preserve"> </w:t>
      </w:r>
      <w:r>
        <w:rPr>
          <w:rFonts w:ascii="Arial" w:hAnsi="Arial" w:cs="Arial"/>
        </w:rPr>
        <w:t>"C".</w:t>
      </w:r>
    </w:p>
    <w:sectPr w:rsidR="000B0797" w:rsidSect="00FC302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C5E52" w14:textId="77777777" w:rsidR="008F7E4A" w:rsidRDefault="008F7E4A">
      <w:r>
        <w:separator/>
      </w:r>
    </w:p>
  </w:endnote>
  <w:endnote w:type="continuationSeparator" w:id="0">
    <w:p w14:paraId="776CB559" w14:textId="77777777" w:rsidR="008F7E4A" w:rsidRDefault="008F7E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7089D" w14:textId="77777777" w:rsidR="000B0797" w:rsidRDefault="00091577">
    <w:pPr>
      <w:pStyle w:val="FooterStyle"/>
      <w:jc w:val="center"/>
    </w:pPr>
    <w:r>
      <w:t xml:space="preserve"> - </w:t>
    </w:r>
    <w:r>
      <w:fldChar w:fldCharType="begin"/>
    </w:r>
    <w:r>
      <w:instrText xml:space="preserve"> PAGE </w:instrText>
    </w:r>
    <w:r>
      <w:fldChar w:fldCharType="separate"/>
    </w:r>
    <w:r w:rsidR="008D14F5">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E167D" w14:textId="77777777" w:rsidR="008F7E4A" w:rsidRDefault="008F7E4A">
      <w:r>
        <w:separator/>
      </w:r>
    </w:p>
  </w:footnote>
  <w:footnote w:type="continuationSeparator" w:id="0">
    <w:p w14:paraId="437379F0" w14:textId="77777777" w:rsidR="008F7E4A" w:rsidRDefault="008F7E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091577"/>
    <w:rsid w:val="000B0797"/>
    <w:rsid w:val="001915A3"/>
    <w:rsid w:val="00217F62"/>
    <w:rsid w:val="006A1872"/>
    <w:rsid w:val="008D14F5"/>
    <w:rsid w:val="008F7E4A"/>
    <w:rsid w:val="00A906D8"/>
    <w:rsid w:val="00AB5A74"/>
    <w:rsid w:val="00B61F8D"/>
    <w:rsid w:val="00E66891"/>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8034C"/>
  <w15:docId w15:val="{59D6B6A8-7B9B-4D75-AC55-1597F22AA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webSettings" Target="web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5FC130A1FD6F5A488225B1273AC2204E" ma:contentTypeVersion="2458" ma:contentTypeDescription="The base project type from which other project content types inherit their information." ma:contentTypeScope="" ma:versionID="4d1751cc737b31f0292429978da4d57f">
  <xsd:schema xmlns:xsd="http://www.w3.org/2001/XMLSchema" xmlns:xs="http://www.w3.org/2001/XMLSchema" xmlns:p="http://schemas.microsoft.com/office/2006/metadata/properties" xmlns:ns2="cdc7663a-08f0-4737-9e8c-148ce897a09c" targetNamespace="http://schemas.microsoft.com/office/2006/metadata/properties" ma:root="true" ma:fieldsID="2e23d875514c5442bc0c09ce3a19af7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T1218"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4A4F4967C5C054395D1940A700120B8" ma:contentTypeVersion="2458" ma:contentTypeDescription="A content type to manage public (operations) IDB documents" ma:contentTypeScope="" ma:versionID="850e907e93431c657f32fd872705f535">
  <xsd:schema xmlns:xsd="http://www.w3.org/2001/XMLSchema" xmlns:xs="http://www.w3.org/2001/XMLSchema" xmlns:p="http://schemas.microsoft.com/office/2006/metadata/properties" xmlns:ns2="cdc7663a-08f0-4737-9e8c-148ce897a09c" targetNamespace="http://schemas.microsoft.com/office/2006/metadata/properties" ma:root="true" ma:fieldsID="23242e58b25be51c7b6ce8c62968dbb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T1218"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Baltodano CarrasquillaFabiola Alejandr</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INSTITUTIONAL STRENGTHENING AND CAPACITY BUILDING</TermName>
          <TermId xmlns="http://schemas.microsoft.com/office/infopath/2007/PartnerControls">83f37b93-89a4-4e9a-88eb-1c116bee7b97</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INF</TermName>
          <TermId xmlns="http://schemas.microsoft.com/office/infopath/2007/PartnerControls">474aab72-0205-4196-bca7-4b288939fcb3</TermId>
        </TermInfo>
      </Terms>
    </g511464f9e53401d84b16fa9b379a574>
    <Related_x0020_SisCor_x0020_Number xmlns="cdc7663a-08f0-4737-9e8c-148ce897a09c" xsi:nil="true"/>
    <TaxCatchAll xmlns="cdc7663a-08f0-4737-9e8c-148ce897a09c">
      <Value>29</Value>
      <Value>102</Value>
      <Value>38</Value>
      <Value>36</Value>
      <Value>4</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DR-T1218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 xsi:nil="true"/>
    <Extracted_x0020_Keywords xmlns="cdc7663a-08f0-4737-9e8c-148ce897a09c"/>
    <_dlc_DocId xmlns="cdc7663a-08f0-4737-9e8c-148ce897a09c">EZSHARE-15604416-4</_dlc_DocId>
    <_dlc_DocIdUrl xmlns="cdc7663a-08f0-4737-9e8c-148ce897a09c">
      <Url>https://idbg.sharepoint.com/teams/EZ-DR-TCP/DR-T1218/_layouts/15/DocIdRedir.aspx?ID=EZSHARE-15604416-4</Url>
      <Description>EZSHARE-15604416-4</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4F8BE2E-2C2C-4030-BEE6-AEFD34A5E6F3}"/>
</file>

<file path=customXml/itemProps2.xml><?xml version="1.0" encoding="utf-8"?>
<ds:datastoreItem xmlns:ds="http://schemas.openxmlformats.org/officeDocument/2006/customXml" ds:itemID="{3D5B2E79-53DB-4D64-ACC4-405327C79849}"/>
</file>

<file path=customXml/itemProps3.xml><?xml version="1.0" encoding="utf-8"?>
<ds:datastoreItem xmlns:ds="http://schemas.openxmlformats.org/officeDocument/2006/customXml" ds:itemID="{FCA40C2A-9C79-4DE4-B93E-3A6A52CE3E86}"/>
</file>

<file path=customXml/itemProps4.xml><?xml version="1.0" encoding="utf-8"?>
<ds:datastoreItem xmlns:ds="http://schemas.openxmlformats.org/officeDocument/2006/customXml" ds:itemID="{E06DAF06-0037-4019-ACCF-FD3ED1123AB9}"/>
</file>

<file path=customXml/itemProps5.xml><?xml version="1.0" encoding="utf-8"?>
<ds:datastoreItem xmlns:ds="http://schemas.openxmlformats.org/officeDocument/2006/customXml" ds:itemID="{CBF3F85C-A85C-4EBC-AC9E-1BB79790149D}"/>
</file>

<file path=customXml/itemProps6.xml><?xml version="1.0" encoding="utf-8"?>
<ds:datastoreItem xmlns:ds="http://schemas.openxmlformats.org/officeDocument/2006/customXml" ds:itemID="{FC95383F-0FA7-4C97-BAF9-180EA4543318}"/>
</file>

<file path=docProps/app.xml><?xml version="1.0" encoding="utf-8"?>
<Properties xmlns="http://schemas.openxmlformats.org/officeDocument/2006/extended-properties" xmlns:vt="http://schemas.openxmlformats.org/officeDocument/2006/docPropsVTypes">
  <Template>Normal</Template>
  <TotalTime>49</TotalTime>
  <Pages>3</Pages>
  <Words>1334</Words>
  <Characters>7608</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Johnson Naveo, Odile Ivette</dc:creator>
  <cp:keywords/>
  <cp:lastModifiedBy>Baltodano Carrasquilla, Fabiola</cp:lastModifiedBy>
  <cp:revision>2</cp:revision>
  <dcterms:created xsi:type="dcterms:W3CDTF">2021-07-06T16:33:00Z</dcterms:created>
  <dcterms:modified xsi:type="dcterms:W3CDTF">2021-07-06T16:33:00Z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29;#Dominican Republic|19e8fe34-75bb-4d09-b676-0e9a3c6f1862</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4;#Project Preparation Planning and Design|29ca0c72-1fc4-435f-a09c-28585cb5eac9</vt:lpwstr>
  </property>
  <property fmtid="{D5CDD505-2E9C-101B-9397-08002B2CF9AE}" pid="10" name="Sector_x0020_IDB">
    <vt:lpwstr/>
  </property>
  <property fmtid="{D5CDD505-2E9C-101B-9397-08002B2CF9AE}" pid="11" name="Sub-Sector">
    <vt:lpwstr>38;#ENERGY INSTITUTIONAL STRENGTHENING AND CAPACITY BUILDING|83f37b93-89a4-4e9a-88eb-1c116bee7b97</vt:lpwstr>
  </property>
  <property fmtid="{D5CDD505-2E9C-101B-9397-08002B2CF9AE}" pid="13" name="Fund IDB">
    <vt:lpwstr>102;#INF|474aab72-0205-4196-bca7-4b288939fcb3</vt:lpwstr>
  </property>
  <property fmtid="{D5CDD505-2E9C-101B-9397-08002B2CF9AE}" pid="14" name="Sector IDB">
    <vt:lpwstr>36;#ENERGY|4fed196a-cd0b-4970-87de-42da17f9b203</vt:lpwstr>
  </property>
  <property fmtid="{D5CDD505-2E9C-101B-9397-08002B2CF9AE}" pid="15" name="_dlc_DocIdItemGuid">
    <vt:lpwstr>8bf11bad-1ff8-4c8d-9513-492426d5c13c</vt:lpwstr>
  </property>
  <property fmtid="{D5CDD505-2E9C-101B-9397-08002B2CF9AE}" pid="16" name="Disclosure Activity">
    <vt:lpwstr>TC Abstract</vt:lpwstr>
  </property>
  <property fmtid="{D5CDD505-2E9C-101B-9397-08002B2CF9AE}" pid="18" name="ContentTypeId">
    <vt:lpwstr>0x0101001A458A224826124E8B45B1D613300CFC0024A4F4967C5C054395D1940A700120B8</vt:lpwstr>
  </property>
  <property fmtid="{D5CDD505-2E9C-101B-9397-08002B2CF9AE}" pid="19" name="Series Operations IDB">
    <vt:lpwstr/>
  </property>
</Properties>
</file>