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23DB7" w14:textId="55529E49" w:rsidR="00B00804" w:rsidRPr="006A6E65" w:rsidRDefault="00B00804" w:rsidP="00B00804">
      <w:pPr>
        <w:spacing w:after="160" w:line="259" w:lineRule="auto"/>
        <w:jc w:val="center"/>
        <w:rPr>
          <w:b/>
          <w:noProof/>
          <w:lang w:val="es-ES_tradnl"/>
        </w:rPr>
      </w:pPr>
      <w:bookmarkStart w:id="0" w:name="_GoBack"/>
      <w:bookmarkEnd w:id="0"/>
      <w:r w:rsidRPr="006A6E65">
        <w:rPr>
          <w:b/>
          <w:noProof/>
          <w:lang w:val="es-ES_tradnl"/>
        </w:rPr>
        <w:t>Anexo de Productos</w:t>
      </w:r>
      <w:r w:rsidR="00B12BF9" w:rsidRPr="006A6E65">
        <w:rPr>
          <w:b/>
          <w:noProof/>
          <w:lang w:val="es-ES_tradnl"/>
        </w:rPr>
        <w:t xml:space="preserve"> </w:t>
      </w:r>
      <w:r w:rsidR="00D906FC" w:rsidRPr="006A6E65">
        <w:rPr>
          <w:b/>
          <w:noProof/>
          <w:lang w:val="es-ES_tradnl"/>
        </w:rPr>
        <w:t>y Resultados I</w:t>
      </w:r>
      <w:r w:rsidR="0007799E" w:rsidRPr="006A6E65">
        <w:rPr>
          <w:b/>
          <w:noProof/>
          <w:lang w:val="es-ES_tradnl"/>
        </w:rPr>
        <w:t>ntermedios</w:t>
      </w:r>
      <w:r w:rsidR="006A6E65" w:rsidRPr="006A6E65">
        <w:rPr>
          <w:b/>
          <w:noProof/>
          <w:lang w:val="es-ES_tradnl"/>
        </w:rPr>
        <w:t xml:space="preserve"> CH-L1064</w:t>
      </w:r>
    </w:p>
    <w:p w14:paraId="0B1FA71C" w14:textId="2B11E528" w:rsidR="00B12BF9" w:rsidRPr="006A6E65" w:rsidRDefault="00B12BF9" w:rsidP="00354A0F">
      <w:pPr>
        <w:spacing w:after="160" w:line="259" w:lineRule="auto"/>
        <w:rPr>
          <w:b/>
          <w:noProof/>
          <w:lang w:val="es-ES_tradnl"/>
        </w:rPr>
      </w:pPr>
    </w:p>
    <w:p w14:paraId="453F789F" w14:textId="30BA5039" w:rsidR="00BD67BE" w:rsidRPr="006A6E65" w:rsidRDefault="00354A0F" w:rsidP="00BD67BE">
      <w:pPr>
        <w:spacing w:after="160" w:line="259" w:lineRule="auto"/>
        <w:ind w:left="180" w:right="4"/>
        <w:jc w:val="both"/>
        <w:rPr>
          <w:noProof/>
          <w:lang w:val="es-ES_tradnl"/>
        </w:rPr>
      </w:pPr>
      <w:r w:rsidRPr="006A6E65">
        <w:rPr>
          <w:noProof/>
          <w:lang w:val="es-ES_tradnl"/>
        </w:rPr>
        <w:t xml:space="preserve">El objetivo del presente anexo </w:t>
      </w:r>
      <w:r w:rsidR="00D906FC" w:rsidRPr="006A6E65">
        <w:rPr>
          <w:noProof/>
          <w:lang w:val="es-ES_tradnl"/>
        </w:rPr>
        <w:t xml:space="preserve">es complementar la información del Informe de Terminación de Proyecto (PCR, por sus siglas en ingles) del Programa de Apoyo a la Efectividad del SENCE (CH-L1064), con información adicional relacionada con el logro de productos y resultados intermedios. Lo anterior apunta a complementar la información sobre el logro de resultados contenida en el PCR y brindar una interpretación detallada e integral de los alcances de la operación.  </w:t>
      </w:r>
    </w:p>
    <w:p w14:paraId="55EB10D7" w14:textId="3F304882" w:rsidR="00B00804" w:rsidRPr="006A6E65" w:rsidRDefault="00DF4D24" w:rsidP="00DF4D24">
      <w:pPr>
        <w:spacing w:after="160" w:line="259" w:lineRule="auto"/>
        <w:ind w:left="180" w:right="90"/>
        <w:jc w:val="both"/>
        <w:rPr>
          <w:noProof/>
          <w:lang w:val="es-ES_tradnl"/>
        </w:rPr>
      </w:pPr>
      <w:r w:rsidRPr="006A6E65">
        <w:rPr>
          <w:noProof/>
          <w:lang w:val="es-ES_tradnl"/>
        </w:rPr>
        <w:t>En particular el presente documento busca: i) presentar y justificar los cambios introducidos a la matriz de productos en el plazo de 60 días después de que el proyecto lograra la elegibilidad, ii)</w:t>
      </w:r>
      <w:r w:rsidR="006A6E65" w:rsidRPr="006A6E65">
        <w:rPr>
          <w:noProof/>
          <w:lang w:val="es-ES_tradnl"/>
        </w:rPr>
        <w:t> </w:t>
      </w:r>
      <w:r w:rsidRPr="006A6E65">
        <w:rPr>
          <w:noProof/>
          <w:lang w:val="es-ES_tradnl"/>
        </w:rPr>
        <w:t>presentar los productos alcanzados al momento de cierre de la operación</w:t>
      </w:r>
      <w:r w:rsidR="00D906FC" w:rsidRPr="006A6E65">
        <w:rPr>
          <w:noProof/>
          <w:lang w:val="es-ES_tradnl"/>
        </w:rPr>
        <w:t>, iii) presentar los indicadores de resultados intermedios que se monitorearon en complemento a la matriz de resultados de la operación</w:t>
      </w:r>
      <w:r w:rsidRPr="006A6E65">
        <w:rPr>
          <w:noProof/>
          <w:lang w:val="es-ES_tradnl"/>
        </w:rPr>
        <w:t>.</w:t>
      </w:r>
    </w:p>
    <w:p w14:paraId="5B5FC6F1" w14:textId="3CE8413C" w:rsidR="00DF4D24" w:rsidRPr="006A6E65" w:rsidRDefault="00DF4D24" w:rsidP="00822086">
      <w:pPr>
        <w:spacing w:after="160" w:line="259" w:lineRule="auto"/>
        <w:ind w:right="90"/>
        <w:jc w:val="both"/>
        <w:rPr>
          <w:noProof/>
          <w:lang w:val="es-ES_tradnl"/>
        </w:rPr>
      </w:pPr>
    </w:p>
    <w:p w14:paraId="37E72CE2" w14:textId="49971321" w:rsidR="00DF4D24" w:rsidRPr="006A6E65" w:rsidRDefault="00DF4D24" w:rsidP="00DF4D24">
      <w:pPr>
        <w:pStyle w:val="ListParagraph"/>
        <w:numPr>
          <w:ilvl w:val="0"/>
          <w:numId w:val="1"/>
        </w:numPr>
        <w:spacing w:after="160" w:line="259" w:lineRule="auto"/>
        <w:ind w:right="90"/>
        <w:jc w:val="both"/>
        <w:rPr>
          <w:b/>
          <w:noProof/>
          <w:u w:val="single"/>
          <w:lang w:val="es-ES_tradnl"/>
        </w:rPr>
      </w:pPr>
      <w:r w:rsidRPr="006A6E65">
        <w:rPr>
          <w:b/>
          <w:noProof/>
          <w:u w:val="single"/>
          <w:lang w:val="es-ES_tradnl"/>
        </w:rPr>
        <w:t xml:space="preserve">Matriz de productos: indicadores al momento de la aprobacion y cambios introducidos en el plazo de 60 </w:t>
      </w:r>
      <w:r w:rsidR="00D906FC" w:rsidRPr="006A6E65">
        <w:rPr>
          <w:b/>
          <w:noProof/>
          <w:u w:val="single"/>
          <w:lang w:val="es-ES_tradnl"/>
        </w:rPr>
        <w:t>dias despué</w:t>
      </w:r>
      <w:r w:rsidRPr="006A6E65">
        <w:rPr>
          <w:b/>
          <w:noProof/>
          <w:u w:val="single"/>
          <w:lang w:val="es-ES_tradnl"/>
        </w:rPr>
        <w:t>s de la elegibilidad</w:t>
      </w:r>
    </w:p>
    <w:p w14:paraId="51E9343C" w14:textId="6D000AD0" w:rsidR="00DF4D24" w:rsidRPr="006A6E65" w:rsidRDefault="00DF4D24" w:rsidP="00DF4D24">
      <w:pPr>
        <w:spacing w:after="160" w:line="259" w:lineRule="auto"/>
        <w:ind w:left="180" w:right="90"/>
        <w:jc w:val="both"/>
        <w:rPr>
          <w:noProof/>
          <w:lang w:val="es-ES_tradnl"/>
        </w:rPr>
      </w:pPr>
    </w:p>
    <w:p w14:paraId="0E4FB5F2" w14:textId="6DE08427" w:rsidR="00B12BF9" w:rsidRPr="006A6E65" w:rsidRDefault="00DF4D24" w:rsidP="004753B9">
      <w:pPr>
        <w:spacing w:after="160" w:line="259" w:lineRule="auto"/>
        <w:ind w:left="180" w:right="90"/>
        <w:jc w:val="both"/>
        <w:rPr>
          <w:noProof/>
          <w:lang w:val="es-ES_tradnl"/>
        </w:rPr>
      </w:pPr>
      <w:r w:rsidRPr="006A6E65">
        <w:rPr>
          <w:noProof/>
          <w:lang w:val="es-ES_tradnl"/>
        </w:rPr>
        <w:t xml:space="preserve">Los indicadores asociados a componentes y productos definidos al momento de la aprobación </w:t>
      </w:r>
      <w:r w:rsidR="004753B9" w:rsidRPr="006A6E65">
        <w:rPr>
          <w:noProof/>
          <w:lang w:val="es-ES_tradnl"/>
        </w:rPr>
        <w:t>y descritos</w:t>
      </w:r>
      <w:r w:rsidR="0075027F" w:rsidRPr="006A6E65">
        <w:rPr>
          <w:noProof/>
          <w:lang w:val="es-ES_tradnl"/>
        </w:rPr>
        <w:t xml:space="preserve"> en el Plan de Monitoreo y Evaluación de la operación se presentan en el cuadro 1. La operación </w:t>
      </w:r>
      <w:r w:rsidR="004753B9" w:rsidRPr="006A6E65">
        <w:rPr>
          <w:noProof/>
          <w:lang w:val="es-ES_tradnl"/>
        </w:rPr>
        <w:t>con</w:t>
      </w:r>
      <w:r w:rsidR="0075027F" w:rsidRPr="006A6E65">
        <w:rPr>
          <w:noProof/>
          <w:lang w:val="es-ES_tradnl"/>
        </w:rPr>
        <w:t>ta</w:t>
      </w:r>
      <w:r w:rsidR="004753B9" w:rsidRPr="006A6E65">
        <w:rPr>
          <w:noProof/>
          <w:lang w:val="es-ES_tradnl"/>
        </w:rPr>
        <w:t>ba</w:t>
      </w:r>
      <w:r w:rsidR="0075027F" w:rsidRPr="006A6E65">
        <w:rPr>
          <w:noProof/>
          <w:lang w:val="es-ES_tradnl"/>
        </w:rPr>
        <w:t xml:space="preserve"> con 8 indicadores relacionados a componentes y productos al momento de la</w:t>
      </w:r>
      <w:r w:rsidR="004753B9" w:rsidRPr="006A6E65">
        <w:rPr>
          <w:noProof/>
          <w:lang w:val="es-ES_tradnl"/>
        </w:rPr>
        <w:t xml:space="preserve"> aprobación:</w:t>
      </w:r>
      <w:r w:rsidR="0075027F" w:rsidRPr="006A6E65">
        <w:rPr>
          <w:noProof/>
          <w:lang w:val="es-ES_tradnl"/>
        </w:rPr>
        <w:t xml:space="preserve"> </w:t>
      </w:r>
    </w:p>
    <w:p w14:paraId="3EC5B6EA" w14:textId="77777777" w:rsidR="004753B9" w:rsidRPr="006A6E65" w:rsidRDefault="004753B9" w:rsidP="004753B9">
      <w:pPr>
        <w:spacing w:after="160" w:line="259" w:lineRule="auto"/>
        <w:ind w:left="180" w:right="90"/>
        <w:jc w:val="both"/>
        <w:rPr>
          <w:noProof/>
          <w:lang w:val="es-ES_tradnl"/>
        </w:rPr>
      </w:pPr>
    </w:p>
    <w:p w14:paraId="4EF030DF" w14:textId="7057A273" w:rsidR="00B00804" w:rsidRPr="006A6E65" w:rsidRDefault="00B00804" w:rsidP="00B00804">
      <w:pPr>
        <w:keepNext/>
        <w:spacing w:before="20" w:after="20"/>
        <w:jc w:val="center"/>
        <w:rPr>
          <w:rFonts w:eastAsia="Times New Roman" w:cs="Arial"/>
          <w:b/>
          <w:spacing w:val="-3"/>
          <w:sz w:val="20"/>
          <w:szCs w:val="20"/>
          <w:lang w:val="es-ES_tradnl"/>
        </w:rPr>
      </w:pPr>
      <w:r w:rsidRPr="006A6E65">
        <w:rPr>
          <w:rFonts w:eastAsia="Times New Roman" w:cs="Arial"/>
          <w:b/>
          <w:spacing w:val="-3"/>
          <w:sz w:val="20"/>
          <w:szCs w:val="20"/>
          <w:lang w:val="es-ES_tradnl"/>
        </w:rPr>
        <w:t xml:space="preserve">Cuadro </w:t>
      </w:r>
      <w:r w:rsidR="00DF4D24" w:rsidRPr="006A6E65">
        <w:rPr>
          <w:rFonts w:eastAsia="Times New Roman" w:cs="Arial"/>
          <w:b/>
          <w:spacing w:val="-3"/>
          <w:sz w:val="20"/>
          <w:szCs w:val="20"/>
          <w:lang w:val="es-ES_tradnl"/>
        </w:rPr>
        <w:t>1</w:t>
      </w:r>
      <w:r w:rsidRPr="006A6E65">
        <w:rPr>
          <w:rFonts w:eastAsia="Times New Roman" w:cs="Arial"/>
          <w:b/>
          <w:spacing w:val="-3"/>
          <w:sz w:val="20"/>
          <w:szCs w:val="20"/>
          <w:lang w:val="es-ES_tradnl"/>
        </w:rPr>
        <w:t xml:space="preserve">: Indicadores Asociados a Componentes y Productos definidos al momento de la aprobación </w:t>
      </w:r>
    </w:p>
    <w:p w14:paraId="6F8FCCAD" w14:textId="77777777" w:rsidR="00B00804" w:rsidRPr="006A6E65" w:rsidRDefault="00B00804" w:rsidP="00B00804">
      <w:pPr>
        <w:keepNext/>
        <w:spacing w:before="20" w:after="20"/>
        <w:jc w:val="center"/>
        <w:rPr>
          <w:rFonts w:eastAsia="Times New Roman" w:cs="Arial"/>
          <w:b/>
          <w:spacing w:val="-3"/>
          <w:sz w:val="20"/>
          <w:szCs w:val="20"/>
          <w:lang w:val="es-ES_tradnl"/>
        </w:rPr>
      </w:pPr>
    </w:p>
    <w:tbl>
      <w:tblPr>
        <w:tblW w:w="101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2"/>
        <w:gridCol w:w="2052"/>
        <w:gridCol w:w="1949"/>
        <w:gridCol w:w="1273"/>
        <w:gridCol w:w="1524"/>
        <w:gridCol w:w="1461"/>
      </w:tblGrid>
      <w:tr w:rsidR="00B00804" w:rsidRPr="006A6E65" w14:paraId="74A2EE34" w14:textId="77777777" w:rsidTr="00DF4D24">
        <w:trPr>
          <w:tblHeader/>
          <w:jc w:val="center"/>
        </w:trPr>
        <w:tc>
          <w:tcPr>
            <w:tcW w:w="1872" w:type="dxa"/>
            <w:shd w:val="clear" w:color="auto" w:fill="D9D9D9"/>
          </w:tcPr>
          <w:p w14:paraId="7AABF7BD" w14:textId="77777777" w:rsidR="00B00804" w:rsidRPr="006A6E65" w:rsidRDefault="00B00804" w:rsidP="00B00804">
            <w:pPr>
              <w:rPr>
                <w:rFonts w:eastAsia="Times New Roman" w:cs="Arial"/>
                <w:b/>
                <w:spacing w:val="-3"/>
                <w:sz w:val="20"/>
                <w:szCs w:val="20"/>
                <w:lang w:val="es-ES_tradnl"/>
              </w:rPr>
            </w:pPr>
            <w:r w:rsidRPr="006A6E65">
              <w:rPr>
                <w:rFonts w:eastAsia="Times New Roman" w:cs="Arial"/>
                <w:b/>
                <w:spacing w:val="-3"/>
                <w:sz w:val="20"/>
                <w:szCs w:val="20"/>
                <w:lang w:val="es-ES_tradnl"/>
              </w:rPr>
              <w:t>Componente</w:t>
            </w:r>
          </w:p>
        </w:tc>
        <w:tc>
          <w:tcPr>
            <w:tcW w:w="2052" w:type="dxa"/>
            <w:shd w:val="clear" w:color="auto" w:fill="D9D9D9"/>
          </w:tcPr>
          <w:p w14:paraId="324C0745" w14:textId="77777777" w:rsidR="00B00804" w:rsidRPr="006A6E65" w:rsidRDefault="00B00804" w:rsidP="006A6E65">
            <w:pPr>
              <w:rPr>
                <w:rFonts w:eastAsia="Times New Roman" w:cs="Arial"/>
                <w:b/>
                <w:spacing w:val="-3"/>
                <w:sz w:val="20"/>
                <w:szCs w:val="20"/>
                <w:lang w:val="es-ES_tradnl"/>
              </w:rPr>
            </w:pPr>
            <w:r w:rsidRPr="006A6E65">
              <w:rPr>
                <w:rFonts w:eastAsia="Times New Roman" w:cs="Arial"/>
                <w:b/>
                <w:spacing w:val="-3"/>
                <w:sz w:val="20"/>
                <w:szCs w:val="20"/>
                <w:lang w:val="es-ES_tradnl"/>
              </w:rPr>
              <w:t>Indicador</w:t>
            </w:r>
          </w:p>
        </w:tc>
        <w:tc>
          <w:tcPr>
            <w:tcW w:w="1949" w:type="dxa"/>
            <w:shd w:val="clear" w:color="auto" w:fill="D9D9D9"/>
          </w:tcPr>
          <w:p w14:paraId="29BFB46A" w14:textId="77777777" w:rsidR="00B00804" w:rsidRPr="006A6E65" w:rsidRDefault="00B00804" w:rsidP="00B00804">
            <w:pPr>
              <w:keepLines/>
              <w:spacing w:before="20" w:after="20"/>
              <w:jc w:val="center"/>
              <w:rPr>
                <w:rFonts w:eastAsia="Times New Roman" w:cs="Arial"/>
                <w:b/>
                <w:noProof/>
                <w:sz w:val="20"/>
                <w:szCs w:val="20"/>
                <w:lang w:val="es-ES_tradnl"/>
              </w:rPr>
            </w:pPr>
            <w:r w:rsidRPr="006A6E65">
              <w:rPr>
                <w:rFonts w:eastAsia="Times New Roman" w:cs="Arial"/>
                <w:b/>
                <w:noProof/>
                <w:sz w:val="20"/>
                <w:szCs w:val="20"/>
                <w:lang w:val="es-ES_tradnl"/>
              </w:rPr>
              <w:t>Fórmula</w:t>
            </w:r>
          </w:p>
        </w:tc>
        <w:tc>
          <w:tcPr>
            <w:tcW w:w="1273" w:type="dxa"/>
            <w:shd w:val="clear" w:color="auto" w:fill="D9D9D9"/>
          </w:tcPr>
          <w:p w14:paraId="3A7911E3" w14:textId="77777777" w:rsidR="00B00804" w:rsidRPr="006A6E65" w:rsidRDefault="00B00804" w:rsidP="00B00804">
            <w:pPr>
              <w:keepLines/>
              <w:spacing w:before="20" w:after="20"/>
              <w:jc w:val="center"/>
              <w:rPr>
                <w:rFonts w:eastAsia="Times New Roman" w:cs="Arial"/>
                <w:b/>
                <w:noProof/>
                <w:sz w:val="20"/>
                <w:szCs w:val="20"/>
                <w:lang w:val="es-ES_tradnl"/>
              </w:rPr>
            </w:pPr>
            <w:r w:rsidRPr="006A6E65">
              <w:rPr>
                <w:rFonts w:eastAsia="Times New Roman" w:cs="Arial"/>
                <w:b/>
                <w:noProof/>
                <w:sz w:val="20"/>
                <w:szCs w:val="20"/>
                <w:lang w:val="es-ES_tradnl"/>
              </w:rPr>
              <w:t>Frecuencia de medición</w:t>
            </w:r>
          </w:p>
        </w:tc>
        <w:tc>
          <w:tcPr>
            <w:tcW w:w="1524" w:type="dxa"/>
            <w:shd w:val="clear" w:color="auto" w:fill="D9D9D9"/>
          </w:tcPr>
          <w:p w14:paraId="51B000F7" w14:textId="77777777" w:rsidR="00B00804" w:rsidRPr="006A6E65" w:rsidRDefault="00B00804" w:rsidP="00B00804">
            <w:pPr>
              <w:keepLines/>
              <w:spacing w:before="20" w:after="20"/>
              <w:jc w:val="center"/>
              <w:rPr>
                <w:rFonts w:eastAsia="Times New Roman" w:cs="Arial"/>
                <w:b/>
                <w:noProof/>
                <w:sz w:val="20"/>
                <w:szCs w:val="20"/>
                <w:lang w:val="es-ES_tradnl"/>
              </w:rPr>
            </w:pPr>
            <w:r w:rsidRPr="006A6E65">
              <w:rPr>
                <w:rFonts w:eastAsia="Times New Roman" w:cs="Arial"/>
                <w:b/>
                <w:noProof/>
                <w:sz w:val="20"/>
                <w:szCs w:val="20"/>
                <w:lang w:val="es-ES_tradnl"/>
              </w:rPr>
              <w:t>Fuente de verificación</w:t>
            </w:r>
          </w:p>
        </w:tc>
        <w:tc>
          <w:tcPr>
            <w:tcW w:w="1461" w:type="dxa"/>
            <w:shd w:val="clear" w:color="auto" w:fill="D9D9D9"/>
          </w:tcPr>
          <w:p w14:paraId="6821D2DA" w14:textId="77777777" w:rsidR="00B00804" w:rsidRPr="006A6E65" w:rsidRDefault="00B00804" w:rsidP="00B00804">
            <w:pPr>
              <w:keepLines/>
              <w:spacing w:before="20" w:after="20"/>
              <w:jc w:val="center"/>
              <w:rPr>
                <w:rFonts w:eastAsia="Times New Roman" w:cs="Arial"/>
                <w:b/>
                <w:noProof/>
                <w:sz w:val="20"/>
                <w:szCs w:val="20"/>
                <w:lang w:val="es-ES_tradnl"/>
              </w:rPr>
            </w:pPr>
            <w:r w:rsidRPr="006A6E65">
              <w:rPr>
                <w:rFonts w:eastAsia="Times New Roman" w:cs="Arial"/>
                <w:b/>
                <w:noProof/>
                <w:sz w:val="20"/>
                <w:szCs w:val="20"/>
                <w:lang w:val="es-ES_tradnl"/>
              </w:rPr>
              <w:t>Responsable</w:t>
            </w:r>
          </w:p>
        </w:tc>
      </w:tr>
      <w:tr w:rsidR="00B00804" w:rsidRPr="006A6E65" w14:paraId="52A02C07" w14:textId="77777777" w:rsidTr="00DF4D24">
        <w:trPr>
          <w:jc w:val="center"/>
        </w:trPr>
        <w:tc>
          <w:tcPr>
            <w:tcW w:w="1872" w:type="dxa"/>
            <w:vMerge w:val="restart"/>
            <w:shd w:val="clear" w:color="auto" w:fill="auto"/>
          </w:tcPr>
          <w:p w14:paraId="29992825" w14:textId="77777777" w:rsidR="00B00804" w:rsidRPr="006A6E65" w:rsidRDefault="00B00804" w:rsidP="00B00804">
            <w:pPr>
              <w:rPr>
                <w:rFonts w:eastAsia="Times New Roman" w:cs="Arial"/>
                <w:spacing w:val="-3"/>
                <w:sz w:val="20"/>
                <w:szCs w:val="20"/>
                <w:lang w:val="es-ES_tradnl"/>
              </w:rPr>
            </w:pPr>
            <w:r w:rsidRPr="006A6E65">
              <w:rPr>
                <w:rFonts w:eastAsia="Times New Roman" w:cs="Arial"/>
                <w:b/>
                <w:spacing w:val="-3"/>
                <w:sz w:val="20"/>
                <w:szCs w:val="20"/>
                <w:lang w:val="es-ES_tradnl"/>
              </w:rPr>
              <w:t>Componente 1:</w:t>
            </w:r>
            <w:r w:rsidRPr="006A6E65">
              <w:rPr>
                <w:rFonts w:eastAsia="Times New Roman" w:cs="Arial"/>
                <w:spacing w:val="-3"/>
                <w:sz w:val="20"/>
                <w:szCs w:val="20"/>
                <w:lang w:val="es-ES_tradnl"/>
              </w:rPr>
              <w:t xml:space="preserve"> Mejora de la capacidad de rectoría del MTPS y regulación del SENCE en el ámbito de la capacitación e intermediación laboral</w:t>
            </w:r>
          </w:p>
          <w:p w14:paraId="73A5D29A" w14:textId="77777777" w:rsidR="00B00804" w:rsidRPr="006A6E65" w:rsidRDefault="00B00804" w:rsidP="00B00804">
            <w:pPr>
              <w:rPr>
                <w:rFonts w:eastAsia="Times New Roman" w:cs="Arial"/>
                <w:spacing w:val="-3"/>
                <w:sz w:val="20"/>
                <w:szCs w:val="20"/>
                <w:lang w:val="es-ES_tradnl"/>
              </w:rPr>
            </w:pPr>
          </w:p>
        </w:tc>
        <w:tc>
          <w:tcPr>
            <w:tcW w:w="2052" w:type="dxa"/>
            <w:shd w:val="clear" w:color="auto" w:fill="auto"/>
          </w:tcPr>
          <w:p w14:paraId="3B8D62DE" w14:textId="36A61675"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1.1.</w:t>
            </w:r>
            <w:r w:rsidRPr="006A6E65">
              <w:rPr>
                <w:rFonts w:eastAsia="Times New Roman" w:cs="Arial"/>
                <w:spacing w:val="-3"/>
                <w:sz w:val="20"/>
                <w:szCs w:val="20"/>
                <w:lang w:val="es-ES_tradnl"/>
              </w:rPr>
              <w:tab/>
            </w:r>
            <w:bookmarkStart w:id="1" w:name="_Hlk515289096"/>
            <w:r w:rsidRPr="006A6E65">
              <w:rPr>
                <w:rFonts w:eastAsia="Times New Roman" w:cs="Arial"/>
                <w:spacing w:val="-3"/>
                <w:sz w:val="20"/>
                <w:szCs w:val="20"/>
                <w:lang w:val="es-ES_tradnl"/>
              </w:rPr>
              <w:t>Intervenciones de capacitación con evaluaciones de impact</w:t>
            </w:r>
            <w:r w:rsidR="004753B9" w:rsidRPr="006A6E65">
              <w:rPr>
                <w:rFonts w:eastAsia="Times New Roman" w:cs="Arial"/>
                <w:spacing w:val="-3"/>
                <w:sz w:val="20"/>
                <w:szCs w:val="20"/>
                <w:lang w:val="es-ES_tradnl"/>
              </w:rPr>
              <w:t xml:space="preserve">o rigurosas realizadas por año </w:t>
            </w:r>
            <w:r w:rsidRPr="006A6E65">
              <w:rPr>
                <w:rFonts w:eastAsia="Times New Roman" w:cs="Arial"/>
                <w:spacing w:val="-3"/>
                <w:sz w:val="20"/>
                <w:szCs w:val="20"/>
                <w:lang w:val="es-ES_tradnl"/>
              </w:rPr>
              <w:t>(número de intervenciones).</w:t>
            </w:r>
            <w:bookmarkEnd w:id="1"/>
          </w:p>
        </w:tc>
        <w:tc>
          <w:tcPr>
            <w:tcW w:w="1949" w:type="dxa"/>
            <w:shd w:val="clear" w:color="auto" w:fill="auto"/>
          </w:tcPr>
          <w:p w14:paraId="3A16C17B"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Número de intervenciones con evaluaciones de impacto rigurosas</w:t>
            </w:r>
          </w:p>
        </w:tc>
        <w:tc>
          <w:tcPr>
            <w:tcW w:w="1273" w:type="dxa"/>
            <w:shd w:val="clear" w:color="auto" w:fill="auto"/>
          </w:tcPr>
          <w:p w14:paraId="16095591"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7F2452E5"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 xml:space="preserve">Informes del proyecto </w:t>
            </w:r>
          </w:p>
        </w:tc>
        <w:tc>
          <w:tcPr>
            <w:tcW w:w="1461" w:type="dxa"/>
          </w:tcPr>
          <w:p w14:paraId="2F8D1660"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45B31290" w14:textId="77777777" w:rsidTr="00DF4D24">
        <w:trPr>
          <w:jc w:val="center"/>
        </w:trPr>
        <w:tc>
          <w:tcPr>
            <w:tcW w:w="1872" w:type="dxa"/>
            <w:vMerge/>
            <w:shd w:val="clear" w:color="auto" w:fill="auto"/>
          </w:tcPr>
          <w:p w14:paraId="65C5E980" w14:textId="77777777" w:rsidR="00B00804" w:rsidRPr="006A6E65" w:rsidRDefault="00B00804" w:rsidP="00B00804">
            <w:pPr>
              <w:jc w:val="center"/>
              <w:rPr>
                <w:rFonts w:eastAsia="Times New Roman" w:cs="Arial"/>
                <w:b/>
                <w:spacing w:val="-3"/>
                <w:sz w:val="20"/>
                <w:szCs w:val="20"/>
                <w:lang w:val="es-ES_tradnl"/>
              </w:rPr>
            </w:pPr>
          </w:p>
        </w:tc>
        <w:tc>
          <w:tcPr>
            <w:tcW w:w="2052" w:type="dxa"/>
            <w:shd w:val="clear" w:color="auto" w:fill="auto"/>
          </w:tcPr>
          <w:p w14:paraId="749BAEFC" w14:textId="77777777"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1.2.</w:t>
            </w:r>
            <w:r w:rsidRPr="006A6E65">
              <w:rPr>
                <w:rFonts w:eastAsia="Times New Roman" w:cs="Arial"/>
                <w:spacing w:val="-3"/>
                <w:sz w:val="20"/>
                <w:szCs w:val="20"/>
                <w:lang w:val="es-ES_tradnl"/>
              </w:rPr>
              <w:tab/>
              <w:t>Mecanismos de detección de acciones fraudulentas que se llevan a cabo en los cursos de capacitación funcionando</w:t>
            </w:r>
          </w:p>
        </w:tc>
        <w:tc>
          <w:tcPr>
            <w:tcW w:w="1949" w:type="dxa"/>
            <w:shd w:val="clear" w:color="auto" w:fill="auto"/>
          </w:tcPr>
          <w:p w14:paraId="1394F16F"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[Acciones fraudulentas detectadas / Total acciones de capacitación]*100</w:t>
            </w:r>
          </w:p>
        </w:tc>
        <w:tc>
          <w:tcPr>
            <w:tcW w:w="1273" w:type="dxa"/>
            <w:shd w:val="clear" w:color="auto" w:fill="auto"/>
          </w:tcPr>
          <w:p w14:paraId="53FEFAC7"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 xml:space="preserve">Semestral </w:t>
            </w:r>
          </w:p>
        </w:tc>
        <w:tc>
          <w:tcPr>
            <w:tcW w:w="1524" w:type="dxa"/>
            <w:shd w:val="clear" w:color="auto" w:fill="auto"/>
          </w:tcPr>
          <w:p w14:paraId="77E77AC2"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Se utilizará los registros administrativos del SENCE</w:t>
            </w:r>
          </w:p>
        </w:tc>
        <w:tc>
          <w:tcPr>
            <w:tcW w:w="1461" w:type="dxa"/>
          </w:tcPr>
          <w:p w14:paraId="065D55D9"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393E5543" w14:textId="77777777" w:rsidTr="00DF4D24">
        <w:trPr>
          <w:trHeight w:val="470"/>
          <w:jc w:val="center"/>
        </w:trPr>
        <w:tc>
          <w:tcPr>
            <w:tcW w:w="1872" w:type="dxa"/>
            <w:vMerge w:val="restart"/>
            <w:shd w:val="clear" w:color="auto" w:fill="auto"/>
          </w:tcPr>
          <w:p w14:paraId="01DC0904" w14:textId="77777777" w:rsidR="00B00804" w:rsidRPr="006A6E65" w:rsidRDefault="00B00804" w:rsidP="006A6E65">
            <w:pPr>
              <w:rPr>
                <w:rFonts w:eastAsia="Times New Roman" w:cs="Arial"/>
                <w:spacing w:val="-3"/>
                <w:sz w:val="20"/>
                <w:szCs w:val="20"/>
                <w:lang w:val="es-ES_tradnl"/>
              </w:rPr>
            </w:pPr>
            <w:r w:rsidRPr="006A6E65">
              <w:rPr>
                <w:rFonts w:eastAsia="Times New Roman" w:cs="Arial"/>
                <w:b/>
                <w:spacing w:val="-3"/>
                <w:sz w:val="20"/>
                <w:szCs w:val="20"/>
                <w:lang w:val="es-ES_tradnl"/>
              </w:rPr>
              <w:lastRenderedPageBreak/>
              <w:t>Componente 2:</w:t>
            </w:r>
            <w:r w:rsidRPr="006A6E65">
              <w:rPr>
                <w:rFonts w:eastAsia="Times New Roman" w:cs="Arial"/>
                <w:spacing w:val="-3"/>
                <w:sz w:val="20"/>
                <w:szCs w:val="20"/>
                <w:lang w:val="es-ES_tradnl"/>
              </w:rPr>
              <w:t xml:space="preserve"> Mejora en la calidad y pertinencia de los programas de capacitación que usan recursos públicos</w:t>
            </w:r>
          </w:p>
        </w:tc>
        <w:tc>
          <w:tcPr>
            <w:tcW w:w="2052" w:type="dxa"/>
            <w:shd w:val="clear" w:color="auto" w:fill="auto"/>
          </w:tcPr>
          <w:p w14:paraId="715284BD" w14:textId="77777777" w:rsidR="00B00804" w:rsidRPr="006A6E65" w:rsidRDefault="00B00804" w:rsidP="006A6E65">
            <w:pPr>
              <w:ind w:left="471" w:hanging="471"/>
              <w:rPr>
                <w:rFonts w:eastAsia="Times New Roman" w:cs="Arial"/>
                <w:spacing w:val="-3"/>
                <w:sz w:val="20"/>
                <w:szCs w:val="20"/>
                <w:lang w:val="es-ES_tradnl"/>
              </w:rPr>
            </w:pPr>
            <w:r w:rsidRPr="006A6E65">
              <w:rPr>
                <w:rFonts w:eastAsia="Times New Roman" w:cs="Arial"/>
                <w:spacing w:val="-3"/>
                <w:sz w:val="20"/>
                <w:szCs w:val="20"/>
                <w:lang w:val="es-ES_tradnl"/>
              </w:rPr>
              <w:t>2.1.   Intervenciones con instrumentos de focalización revisados (número de intervenciones).</w:t>
            </w:r>
          </w:p>
        </w:tc>
        <w:tc>
          <w:tcPr>
            <w:tcW w:w="1949" w:type="dxa"/>
            <w:shd w:val="clear" w:color="auto" w:fill="auto"/>
          </w:tcPr>
          <w:p w14:paraId="05BB3FE6"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Número de intervenciones</w:t>
            </w:r>
          </w:p>
        </w:tc>
        <w:tc>
          <w:tcPr>
            <w:tcW w:w="1273" w:type="dxa"/>
            <w:shd w:val="clear" w:color="auto" w:fill="auto"/>
          </w:tcPr>
          <w:p w14:paraId="7B8F210F"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3CF439BB"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Informes del proyecto</w:t>
            </w:r>
          </w:p>
        </w:tc>
        <w:tc>
          <w:tcPr>
            <w:tcW w:w="1461" w:type="dxa"/>
          </w:tcPr>
          <w:p w14:paraId="00578963"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130621B8" w14:textId="77777777" w:rsidTr="00DF4D24">
        <w:trPr>
          <w:jc w:val="center"/>
        </w:trPr>
        <w:tc>
          <w:tcPr>
            <w:tcW w:w="1872" w:type="dxa"/>
            <w:vMerge/>
            <w:shd w:val="clear" w:color="auto" w:fill="auto"/>
          </w:tcPr>
          <w:p w14:paraId="2759AAF5" w14:textId="77777777" w:rsidR="00B00804" w:rsidRPr="006A6E65" w:rsidRDefault="00B00804" w:rsidP="00B00804">
            <w:pPr>
              <w:jc w:val="center"/>
              <w:rPr>
                <w:rFonts w:eastAsia="Times New Roman" w:cs="Arial"/>
                <w:b/>
                <w:spacing w:val="-3"/>
                <w:sz w:val="20"/>
                <w:szCs w:val="20"/>
                <w:lang w:val="es-ES_tradnl"/>
              </w:rPr>
            </w:pPr>
          </w:p>
        </w:tc>
        <w:tc>
          <w:tcPr>
            <w:tcW w:w="2052" w:type="dxa"/>
            <w:shd w:val="clear" w:color="auto" w:fill="auto"/>
          </w:tcPr>
          <w:p w14:paraId="36004309" w14:textId="3A5A7C18"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2.2.</w:t>
            </w:r>
            <w:r w:rsidRPr="006A6E65">
              <w:rPr>
                <w:rFonts w:eastAsia="Times New Roman" w:cs="Arial"/>
                <w:spacing w:val="-3"/>
                <w:sz w:val="20"/>
                <w:szCs w:val="20"/>
                <w:lang w:val="es-ES_tradnl"/>
              </w:rPr>
              <w:tab/>
              <w:t>Mecanismo de aseguramiento de pertinencia de la capacitación ofrecida es utilizado para validar los contenidos de las acciones de capacitación financiadas con recursos públicos (% del total de cursos que usan un mecanismo).</w:t>
            </w:r>
          </w:p>
        </w:tc>
        <w:tc>
          <w:tcPr>
            <w:tcW w:w="1949" w:type="dxa"/>
            <w:shd w:val="clear" w:color="auto" w:fill="auto"/>
          </w:tcPr>
          <w:p w14:paraId="4318756E"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[Cursos que usan mecanismo / Total de cursos]*100</w:t>
            </w:r>
          </w:p>
        </w:tc>
        <w:tc>
          <w:tcPr>
            <w:tcW w:w="1273" w:type="dxa"/>
            <w:shd w:val="clear" w:color="auto" w:fill="auto"/>
          </w:tcPr>
          <w:p w14:paraId="1C5DC98A"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55097F09"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Se utilizará los registros administrativos del SENCE</w:t>
            </w:r>
          </w:p>
        </w:tc>
        <w:tc>
          <w:tcPr>
            <w:tcW w:w="1461" w:type="dxa"/>
          </w:tcPr>
          <w:p w14:paraId="685B562E"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12E02913" w14:textId="77777777" w:rsidTr="00DF4D24">
        <w:trPr>
          <w:jc w:val="center"/>
        </w:trPr>
        <w:tc>
          <w:tcPr>
            <w:tcW w:w="1872" w:type="dxa"/>
            <w:vMerge/>
            <w:shd w:val="clear" w:color="auto" w:fill="auto"/>
          </w:tcPr>
          <w:p w14:paraId="6D483EBF" w14:textId="77777777" w:rsidR="00B00804" w:rsidRPr="006A6E65" w:rsidRDefault="00B00804" w:rsidP="00B00804">
            <w:pPr>
              <w:jc w:val="center"/>
              <w:rPr>
                <w:rFonts w:eastAsia="Times New Roman" w:cs="Arial"/>
                <w:b/>
                <w:spacing w:val="-3"/>
                <w:sz w:val="20"/>
                <w:szCs w:val="20"/>
                <w:lang w:val="es-ES_tradnl"/>
              </w:rPr>
            </w:pPr>
          </w:p>
        </w:tc>
        <w:tc>
          <w:tcPr>
            <w:tcW w:w="2052" w:type="dxa"/>
            <w:shd w:val="clear" w:color="auto" w:fill="auto"/>
          </w:tcPr>
          <w:p w14:paraId="079C1A5B" w14:textId="3C576888"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2.3.  Estándares de calidad para la gestión de desempeño son utilizados en los programas de formación (% sobre total de cursos).</w:t>
            </w:r>
          </w:p>
        </w:tc>
        <w:tc>
          <w:tcPr>
            <w:tcW w:w="1949" w:type="dxa"/>
            <w:shd w:val="clear" w:color="auto" w:fill="auto"/>
          </w:tcPr>
          <w:p w14:paraId="0AABB701"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[Cursos que usan estándares de calidad / Total de cursos]*100</w:t>
            </w:r>
          </w:p>
        </w:tc>
        <w:tc>
          <w:tcPr>
            <w:tcW w:w="1273" w:type="dxa"/>
            <w:shd w:val="clear" w:color="auto" w:fill="auto"/>
          </w:tcPr>
          <w:p w14:paraId="78985FB3"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089C5B07" w14:textId="77777777" w:rsidR="00B00804" w:rsidRPr="006A6E65" w:rsidRDefault="00B00804" w:rsidP="00B00804">
            <w:pPr>
              <w:jc w:val="both"/>
              <w:rPr>
                <w:rFonts w:eastAsia="Times New Roman" w:cs="Arial"/>
                <w:spacing w:val="-3"/>
                <w:sz w:val="20"/>
                <w:szCs w:val="20"/>
                <w:lang w:val="es-ES_tradnl"/>
              </w:rPr>
            </w:pPr>
            <w:r w:rsidRPr="006A6E65">
              <w:rPr>
                <w:rFonts w:eastAsia="Times New Roman" w:cs="Arial"/>
                <w:spacing w:val="-3"/>
                <w:sz w:val="20"/>
                <w:szCs w:val="20"/>
                <w:lang w:val="es-ES_tradnl"/>
              </w:rPr>
              <w:t>Se utilizará los registros administrativos del SENCE</w:t>
            </w:r>
          </w:p>
        </w:tc>
        <w:tc>
          <w:tcPr>
            <w:tcW w:w="1461" w:type="dxa"/>
          </w:tcPr>
          <w:p w14:paraId="715CDEE7"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3EECDBE3" w14:textId="77777777" w:rsidTr="00DF4D24">
        <w:trPr>
          <w:jc w:val="center"/>
        </w:trPr>
        <w:tc>
          <w:tcPr>
            <w:tcW w:w="1872" w:type="dxa"/>
            <w:vMerge/>
            <w:shd w:val="clear" w:color="auto" w:fill="auto"/>
          </w:tcPr>
          <w:p w14:paraId="3C9479C5" w14:textId="77777777" w:rsidR="00B00804" w:rsidRPr="006A6E65" w:rsidRDefault="00B00804" w:rsidP="00B00804">
            <w:pPr>
              <w:jc w:val="center"/>
              <w:rPr>
                <w:rFonts w:eastAsia="Times New Roman" w:cs="Arial"/>
                <w:b/>
                <w:spacing w:val="-3"/>
                <w:sz w:val="20"/>
                <w:szCs w:val="20"/>
                <w:lang w:val="es-ES_tradnl"/>
              </w:rPr>
            </w:pPr>
          </w:p>
        </w:tc>
        <w:tc>
          <w:tcPr>
            <w:tcW w:w="2052" w:type="dxa"/>
            <w:shd w:val="clear" w:color="auto" w:fill="auto"/>
          </w:tcPr>
          <w:p w14:paraId="2710596D" w14:textId="77777777"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2.4.</w:t>
            </w:r>
            <w:r w:rsidRPr="006A6E65">
              <w:rPr>
                <w:rFonts w:eastAsia="Times New Roman" w:cs="Arial"/>
                <w:spacing w:val="-3"/>
                <w:sz w:val="20"/>
                <w:szCs w:val="20"/>
                <w:lang w:val="es-ES_tradnl"/>
              </w:rPr>
              <w:tab/>
              <w:t>Intervenciones de capacitación con evaluaciones de seguimiento y/o resultados con estándares definidos (sobre % de intervenciones).</w:t>
            </w:r>
          </w:p>
        </w:tc>
        <w:tc>
          <w:tcPr>
            <w:tcW w:w="1949" w:type="dxa"/>
            <w:shd w:val="clear" w:color="auto" w:fill="auto"/>
          </w:tcPr>
          <w:p w14:paraId="394382CA"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[Intervenciones evaluadas con estándares definidos / Total intervenciones]*100</w:t>
            </w:r>
          </w:p>
        </w:tc>
        <w:tc>
          <w:tcPr>
            <w:tcW w:w="1273" w:type="dxa"/>
            <w:shd w:val="clear" w:color="auto" w:fill="auto"/>
          </w:tcPr>
          <w:p w14:paraId="6DFD5134"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2A211F38" w14:textId="77777777" w:rsidR="00B00804" w:rsidRPr="006A6E65" w:rsidRDefault="00B00804" w:rsidP="00B00804">
            <w:pPr>
              <w:jc w:val="both"/>
              <w:rPr>
                <w:rFonts w:eastAsia="Times New Roman" w:cs="Arial"/>
                <w:spacing w:val="-3"/>
                <w:sz w:val="20"/>
                <w:szCs w:val="20"/>
                <w:lang w:val="es-ES_tradnl"/>
              </w:rPr>
            </w:pPr>
            <w:r w:rsidRPr="006A6E65">
              <w:rPr>
                <w:rFonts w:eastAsia="Times New Roman" w:cs="Arial"/>
                <w:spacing w:val="-3"/>
                <w:sz w:val="20"/>
                <w:szCs w:val="20"/>
                <w:lang w:val="es-ES_tradnl"/>
              </w:rPr>
              <w:t>Se utilizará los registros administrativos del SENCE</w:t>
            </w:r>
          </w:p>
        </w:tc>
        <w:tc>
          <w:tcPr>
            <w:tcW w:w="1461" w:type="dxa"/>
          </w:tcPr>
          <w:p w14:paraId="53B76D67"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63FCB05B" w14:textId="77777777" w:rsidTr="00DF4D24">
        <w:trPr>
          <w:jc w:val="center"/>
        </w:trPr>
        <w:tc>
          <w:tcPr>
            <w:tcW w:w="1872" w:type="dxa"/>
            <w:vMerge w:val="restart"/>
            <w:shd w:val="clear" w:color="auto" w:fill="auto"/>
          </w:tcPr>
          <w:p w14:paraId="1FBC7AA5" w14:textId="77777777" w:rsidR="00B00804" w:rsidRPr="006A6E65" w:rsidRDefault="00B00804" w:rsidP="006A6E65">
            <w:pPr>
              <w:rPr>
                <w:rFonts w:eastAsia="Times New Roman" w:cs="Arial"/>
                <w:spacing w:val="-3"/>
                <w:sz w:val="20"/>
                <w:szCs w:val="20"/>
                <w:lang w:val="es-ES_tradnl"/>
              </w:rPr>
            </w:pPr>
            <w:r w:rsidRPr="006A6E65">
              <w:rPr>
                <w:rFonts w:eastAsia="Times New Roman" w:cs="Arial"/>
                <w:b/>
                <w:spacing w:val="-3"/>
                <w:sz w:val="20"/>
                <w:szCs w:val="20"/>
                <w:lang w:val="es-ES_tradnl"/>
              </w:rPr>
              <w:t>Componente 3:</w:t>
            </w:r>
            <w:r w:rsidRPr="006A6E65">
              <w:rPr>
                <w:rFonts w:eastAsia="Times New Roman" w:cs="Arial"/>
                <w:spacing w:val="-3"/>
                <w:sz w:val="20"/>
                <w:szCs w:val="20"/>
                <w:lang w:val="es-ES_tradnl"/>
              </w:rPr>
              <w:t xml:space="preserve"> Mejora de la gestión administrativa del SENCE</w:t>
            </w:r>
          </w:p>
        </w:tc>
        <w:tc>
          <w:tcPr>
            <w:tcW w:w="2052" w:type="dxa"/>
            <w:shd w:val="clear" w:color="auto" w:fill="auto"/>
          </w:tcPr>
          <w:p w14:paraId="1CB9C3FE" w14:textId="77777777"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3.1.</w:t>
            </w:r>
            <w:r w:rsidRPr="006A6E65">
              <w:rPr>
                <w:rFonts w:eastAsia="Times New Roman" w:cs="Arial"/>
                <w:spacing w:val="-3"/>
                <w:sz w:val="20"/>
                <w:szCs w:val="20"/>
                <w:lang w:val="es-ES_tradnl"/>
              </w:rPr>
              <w:tab/>
              <w:t>Intervenciones con indicadores regulares de gestión (% de intervenciones)</w:t>
            </w:r>
          </w:p>
        </w:tc>
        <w:tc>
          <w:tcPr>
            <w:tcW w:w="1949" w:type="dxa"/>
            <w:shd w:val="clear" w:color="auto" w:fill="auto"/>
          </w:tcPr>
          <w:p w14:paraId="1DA095A8"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[Intervenciones con indicadores regulares de gestión o desempeño / Total intervenciones]*100</w:t>
            </w:r>
          </w:p>
        </w:tc>
        <w:tc>
          <w:tcPr>
            <w:tcW w:w="1273" w:type="dxa"/>
            <w:shd w:val="clear" w:color="auto" w:fill="auto"/>
          </w:tcPr>
          <w:p w14:paraId="349A1238"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15B9AD10" w14:textId="77777777" w:rsidR="00B00804" w:rsidRPr="006A6E65" w:rsidRDefault="00B00804" w:rsidP="00B00804">
            <w:pPr>
              <w:jc w:val="both"/>
              <w:rPr>
                <w:rFonts w:eastAsia="Times New Roman" w:cs="Arial"/>
                <w:spacing w:val="-3"/>
                <w:sz w:val="20"/>
                <w:szCs w:val="20"/>
                <w:lang w:val="es-ES_tradnl"/>
              </w:rPr>
            </w:pPr>
            <w:r w:rsidRPr="006A6E65">
              <w:rPr>
                <w:rFonts w:eastAsia="Times New Roman" w:cs="Arial"/>
                <w:spacing w:val="-3"/>
                <w:sz w:val="20"/>
                <w:szCs w:val="20"/>
                <w:lang w:val="es-ES_tradnl"/>
              </w:rPr>
              <w:t>Se utilizará los registros administrativos del SENCE</w:t>
            </w:r>
          </w:p>
        </w:tc>
        <w:tc>
          <w:tcPr>
            <w:tcW w:w="1461" w:type="dxa"/>
          </w:tcPr>
          <w:p w14:paraId="0F30F391"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r w:rsidR="00B00804" w:rsidRPr="006A6E65" w14:paraId="1EC7AEE6" w14:textId="77777777" w:rsidTr="00DF4D24">
        <w:trPr>
          <w:jc w:val="center"/>
        </w:trPr>
        <w:tc>
          <w:tcPr>
            <w:tcW w:w="1872" w:type="dxa"/>
            <w:vMerge/>
            <w:shd w:val="clear" w:color="auto" w:fill="auto"/>
          </w:tcPr>
          <w:p w14:paraId="7006731D" w14:textId="77777777" w:rsidR="00B00804" w:rsidRPr="006A6E65" w:rsidRDefault="00B00804" w:rsidP="00B00804">
            <w:pPr>
              <w:jc w:val="center"/>
              <w:rPr>
                <w:rFonts w:eastAsia="Times New Roman" w:cs="Arial"/>
                <w:b/>
                <w:spacing w:val="-3"/>
                <w:sz w:val="20"/>
                <w:szCs w:val="20"/>
                <w:lang w:val="es-ES_tradnl"/>
              </w:rPr>
            </w:pPr>
          </w:p>
        </w:tc>
        <w:tc>
          <w:tcPr>
            <w:tcW w:w="2052" w:type="dxa"/>
            <w:shd w:val="clear" w:color="auto" w:fill="auto"/>
          </w:tcPr>
          <w:p w14:paraId="427B1A7E" w14:textId="77777777" w:rsidR="00B00804" w:rsidRPr="006A6E65" w:rsidRDefault="00B00804" w:rsidP="006A6E65">
            <w:pPr>
              <w:ind w:left="442" w:hanging="442"/>
              <w:rPr>
                <w:rFonts w:eastAsia="Times New Roman" w:cs="Arial"/>
                <w:spacing w:val="-3"/>
                <w:sz w:val="20"/>
                <w:szCs w:val="20"/>
                <w:lang w:val="es-ES_tradnl"/>
              </w:rPr>
            </w:pPr>
            <w:r w:rsidRPr="006A6E65">
              <w:rPr>
                <w:rFonts w:eastAsia="Times New Roman" w:cs="Arial"/>
                <w:spacing w:val="-3"/>
                <w:sz w:val="20"/>
                <w:szCs w:val="20"/>
                <w:lang w:val="es-ES_tradnl"/>
              </w:rPr>
              <w:t>3.2.</w:t>
            </w:r>
            <w:r w:rsidRPr="006A6E65">
              <w:rPr>
                <w:rFonts w:eastAsia="Times New Roman" w:cs="Arial"/>
                <w:spacing w:val="-3"/>
                <w:sz w:val="20"/>
                <w:szCs w:val="20"/>
                <w:lang w:val="es-ES_tradnl"/>
              </w:rPr>
              <w:tab/>
              <w:t>Bases de datos integradas, estandarizadas y con estándares de calidad</w:t>
            </w:r>
          </w:p>
        </w:tc>
        <w:tc>
          <w:tcPr>
            <w:tcW w:w="1949" w:type="dxa"/>
            <w:shd w:val="clear" w:color="auto" w:fill="auto"/>
          </w:tcPr>
          <w:p w14:paraId="07B43077"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[Bases de datos con nomenclatura estandarizada / Total de bases de datos operacionales]</w:t>
            </w:r>
          </w:p>
        </w:tc>
        <w:tc>
          <w:tcPr>
            <w:tcW w:w="1273" w:type="dxa"/>
            <w:shd w:val="clear" w:color="auto" w:fill="auto"/>
          </w:tcPr>
          <w:p w14:paraId="26B3ECCB" w14:textId="77777777" w:rsidR="00B00804" w:rsidRPr="006A6E65" w:rsidRDefault="00B00804" w:rsidP="00B00804">
            <w:pPr>
              <w:jc w:val="center"/>
              <w:rPr>
                <w:rFonts w:eastAsia="Times New Roman" w:cs="Arial"/>
                <w:spacing w:val="-3"/>
                <w:sz w:val="20"/>
                <w:szCs w:val="20"/>
                <w:lang w:val="es-ES_tradnl"/>
              </w:rPr>
            </w:pPr>
            <w:r w:rsidRPr="006A6E65">
              <w:rPr>
                <w:rFonts w:eastAsia="Times New Roman" w:cs="Arial"/>
                <w:spacing w:val="-3"/>
                <w:sz w:val="20"/>
                <w:szCs w:val="20"/>
                <w:lang w:val="es-ES_tradnl"/>
              </w:rPr>
              <w:t>Anual</w:t>
            </w:r>
          </w:p>
        </w:tc>
        <w:tc>
          <w:tcPr>
            <w:tcW w:w="1524" w:type="dxa"/>
            <w:shd w:val="clear" w:color="auto" w:fill="auto"/>
          </w:tcPr>
          <w:p w14:paraId="5F8FFDFD" w14:textId="77777777" w:rsidR="00B00804" w:rsidRPr="006A6E65" w:rsidRDefault="00B00804" w:rsidP="00B00804">
            <w:pPr>
              <w:jc w:val="both"/>
              <w:rPr>
                <w:rFonts w:eastAsia="Times New Roman" w:cs="Arial"/>
                <w:spacing w:val="-3"/>
                <w:sz w:val="20"/>
                <w:szCs w:val="20"/>
                <w:lang w:val="es-ES_tradnl"/>
              </w:rPr>
            </w:pPr>
            <w:r w:rsidRPr="006A6E65">
              <w:rPr>
                <w:rFonts w:eastAsia="Times New Roman" w:cs="Arial"/>
                <w:spacing w:val="-3"/>
                <w:sz w:val="20"/>
                <w:szCs w:val="20"/>
                <w:lang w:val="es-ES_tradnl"/>
              </w:rPr>
              <w:t>Se utilizará los registros administrativos del SENCE</w:t>
            </w:r>
          </w:p>
        </w:tc>
        <w:tc>
          <w:tcPr>
            <w:tcW w:w="1461" w:type="dxa"/>
          </w:tcPr>
          <w:p w14:paraId="320FAF5F" w14:textId="77777777" w:rsidR="00B00804" w:rsidRPr="006A6E65" w:rsidRDefault="00B00804" w:rsidP="006A6E65">
            <w:pPr>
              <w:rPr>
                <w:rFonts w:eastAsia="Times New Roman" w:cs="Arial"/>
                <w:spacing w:val="-3"/>
                <w:sz w:val="20"/>
                <w:szCs w:val="20"/>
                <w:lang w:val="es-ES_tradnl"/>
              </w:rPr>
            </w:pPr>
            <w:r w:rsidRPr="006A6E65">
              <w:rPr>
                <w:rFonts w:eastAsia="Times New Roman" w:cs="Arial"/>
                <w:spacing w:val="-3"/>
                <w:sz w:val="20"/>
                <w:szCs w:val="20"/>
                <w:lang w:val="es-ES_tradnl"/>
              </w:rPr>
              <w:t>Director del SENCE</w:t>
            </w:r>
          </w:p>
        </w:tc>
      </w:tr>
    </w:tbl>
    <w:p w14:paraId="5A974209" w14:textId="4206F810" w:rsidR="00DF4D24" w:rsidRPr="006A6E65" w:rsidRDefault="00DF4D24" w:rsidP="00DF4D24">
      <w:pPr>
        <w:pStyle w:val="ListParagraph"/>
        <w:spacing w:after="160" w:line="259" w:lineRule="auto"/>
        <w:ind w:left="900" w:right="90"/>
        <w:jc w:val="both"/>
        <w:rPr>
          <w:b/>
          <w:noProof/>
          <w:u w:val="single"/>
          <w:lang w:val="es-ES_tradnl"/>
        </w:rPr>
      </w:pPr>
    </w:p>
    <w:p w14:paraId="40A04FFD" w14:textId="61C9E24B" w:rsidR="004753B9" w:rsidRPr="006A6E65" w:rsidRDefault="004753B9" w:rsidP="004753B9">
      <w:pPr>
        <w:spacing w:after="160" w:line="259" w:lineRule="auto"/>
        <w:ind w:left="180" w:right="90"/>
        <w:jc w:val="both"/>
        <w:rPr>
          <w:noProof/>
          <w:lang w:val="es-ES_tradnl"/>
        </w:rPr>
      </w:pPr>
      <w:r w:rsidRPr="006A6E65">
        <w:rPr>
          <w:noProof/>
          <w:lang w:val="es-ES_tradnl"/>
        </w:rPr>
        <w:t xml:space="preserve">Esta propuesta inicial fue modificada con el fin de: i) </w:t>
      </w:r>
      <w:r w:rsidR="00382609" w:rsidRPr="006A6E65">
        <w:rPr>
          <w:noProof/>
          <w:lang w:val="es-ES_tradnl"/>
        </w:rPr>
        <w:t>reformular</w:t>
      </w:r>
      <w:r w:rsidRPr="006A6E65">
        <w:rPr>
          <w:noProof/>
          <w:lang w:val="es-ES_tradnl"/>
        </w:rPr>
        <w:t xml:space="preserve"> los indicadores que no corresponden a la definición de “productos”, ii) adaptarse a los cambios de prioridades que r</w:t>
      </w:r>
      <w:r w:rsidR="00E51265" w:rsidRPr="006A6E65">
        <w:rPr>
          <w:noProof/>
          <w:lang w:val="es-ES_tradnl"/>
        </w:rPr>
        <w:t>esultaron de la elección del nuevo Gobierno</w:t>
      </w:r>
      <w:r w:rsidR="00D234EC" w:rsidRPr="006A6E65">
        <w:rPr>
          <w:noProof/>
          <w:lang w:val="es-ES_tradnl"/>
        </w:rPr>
        <w:t xml:space="preserve"> </w:t>
      </w:r>
      <w:bookmarkStart w:id="2" w:name="_Hlk517426623"/>
      <w:r w:rsidR="00D234EC" w:rsidRPr="006A6E65">
        <w:rPr>
          <w:noProof/>
          <w:lang w:val="es-ES_tradnl"/>
        </w:rPr>
        <w:t xml:space="preserve">el 17 de </w:t>
      </w:r>
      <w:r w:rsidR="006A6E65" w:rsidRPr="006A6E65">
        <w:rPr>
          <w:noProof/>
          <w:lang w:val="es-ES_tradnl"/>
        </w:rPr>
        <w:t>d</w:t>
      </w:r>
      <w:r w:rsidR="00D234EC" w:rsidRPr="006A6E65">
        <w:rPr>
          <w:noProof/>
          <w:lang w:val="es-ES_tradnl"/>
        </w:rPr>
        <w:t>iciembre 2013</w:t>
      </w:r>
      <w:r w:rsidR="00E51265" w:rsidRPr="006A6E65">
        <w:rPr>
          <w:noProof/>
          <w:lang w:val="es-ES_tradnl"/>
        </w:rPr>
        <w:t xml:space="preserve"> </w:t>
      </w:r>
      <w:bookmarkEnd w:id="2"/>
      <w:r w:rsidR="00E51265" w:rsidRPr="006A6E65">
        <w:rPr>
          <w:noProof/>
          <w:lang w:val="es-ES_tradnl"/>
        </w:rPr>
        <w:t xml:space="preserve">y el periodo de transición </w:t>
      </w:r>
      <w:r w:rsidR="00D234EC" w:rsidRPr="006A6E65">
        <w:rPr>
          <w:noProof/>
          <w:lang w:val="es-ES_tradnl"/>
        </w:rPr>
        <w:t>iniciado a partir de esta fecha</w:t>
      </w:r>
      <w:r w:rsidR="00BB28C0" w:rsidRPr="006A6E65">
        <w:rPr>
          <w:noProof/>
          <w:lang w:val="es-ES_tradnl"/>
        </w:rPr>
        <w:t>.</w:t>
      </w:r>
    </w:p>
    <w:p w14:paraId="24DF200D" w14:textId="77777777" w:rsidR="004753B9" w:rsidRPr="006A6E65" w:rsidRDefault="004753B9" w:rsidP="004753B9">
      <w:pPr>
        <w:spacing w:after="160" w:line="259" w:lineRule="auto"/>
        <w:ind w:left="180" w:right="90"/>
        <w:jc w:val="both"/>
        <w:rPr>
          <w:noProof/>
          <w:lang w:val="es-ES_tradnl"/>
        </w:rPr>
      </w:pPr>
      <w:r w:rsidRPr="006A6E65">
        <w:rPr>
          <w:noProof/>
          <w:lang w:val="es-ES_tradnl"/>
        </w:rPr>
        <w:t>Los principales cambios introducidos son:</w:t>
      </w:r>
    </w:p>
    <w:p w14:paraId="43EDA673" w14:textId="2698D11C" w:rsidR="004753B9" w:rsidRPr="006A6E65" w:rsidRDefault="00382609" w:rsidP="004753B9">
      <w:pPr>
        <w:spacing w:after="160" w:line="259" w:lineRule="auto"/>
        <w:ind w:left="180" w:right="90"/>
        <w:jc w:val="both"/>
        <w:rPr>
          <w:noProof/>
          <w:u w:val="single"/>
          <w:lang w:val="es-ES_tradnl"/>
        </w:rPr>
      </w:pPr>
      <w:r w:rsidRPr="006A6E65">
        <w:rPr>
          <w:i/>
          <w:noProof/>
          <w:u w:val="single"/>
          <w:lang w:val="es-ES_tradnl"/>
        </w:rPr>
        <w:t>Reformulación</w:t>
      </w:r>
      <w:r w:rsidR="004753B9" w:rsidRPr="006A6E65">
        <w:rPr>
          <w:i/>
          <w:noProof/>
          <w:u w:val="single"/>
          <w:lang w:val="es-ES_tradnl"/>
        </w:rPr>
        <w:t xml:space="preserve"> de indicadores que no corresponden a la definicion de “productos”</w:t>
      </w:r>
      <w:r w:rsidR="004753B9" w:rsidRPr="006A6E65">
        <w:rPr>
          <w:noProof/>
          <w:u w:val="single"/>
          <w:lang w:val="es-ES_tradnl"/>
        </w:rPr>
        <w:t xml:space="preserve"> </w:t>
      </w:r>
    </w:p>
    <w:p w14:paraId="38740374" w14:textId="2FC26D04" w:rsidR="004753B9" w:rsidRPr="006A6E65" w:rsidRDefault="004753B9" w:rsidP="004753B9">
      <w:pPr>
        <w:spacing w:after="160" w:line="259" w:lineRule="auto"/>
        <w:ind w:left="180" w:right="90"/>
        <w:jc w:val="both"/>
        <w:rPr>
          <w:noProof/>
          <w:lang w:val="es-ES_tradnl"/>
        </w:rPr>
      </w:pPr>
      <w:r w:rsidRPr="006A6E65">
        <w:rPr>
          <w:noProof/>
          <w:lang w:val="es-ES_tradnl"/>
        </w:rPr>
        <w:t>Se entiende como “productos” los “bienes y servicios que son producidos (suministrados) directamente por una intervención”</w:t>
      </w:r>
      <w:r w:rsidRPr="006A6E65">
        <w:rPr>
          <w:rStyle w:val="FootnoteReference"/>
          <w:noProof/>
          <w:lang w:val="es-ES_tradnl"/>
        </w:rPr>
        <w:footnoteReference w:id="1"/>
      </w:r>
      <w:r w:rsidRPr="006A6E65">
        <w:rPr>
          <w:noProof/>
          <w:lang w:val="es-ES_tradnl"/>
        </w:rPr>
        <w:t xml:space="preserve">. </w:t>
      </w:r>
      <w:r w:rsidR="00C30D6C" w:rsidRPr="006A6E65">
        <w:rPr>
          <w:noProof/>
          <w:lang w:val="es-ES_tradnl"/>
        </w:rPr>
        <w:t xml:space="preserve">Tomando en cuenta esta definición, </w:t>
      </w:r>
      <w:r w:rsidR="00584614" w:rsidRPr="006A6E65">
        <w:rPr>
          <w:noProof/>
          <w:lang w:val="es-ES_tradnl"/>
        </w:rPr>
        <w:t>se reformularon</w:t>
      </w:r>
      <w:r w:rsidR="00C30D6C" w:rsidRPr="006A6E65">
        <w:rPr>
          <w:noProof/>
          <w:lang w:val="es-ES_tradnl"/>
        </w:rPr>
        <w:t xml:space="preserve"> ciertos indicadores incialmente previstos: </w:t>
      </w:r>
    </w:p>
    <w:p w14:paraId="6DA8F5DC" w14:textId="5010B03F" w:rsidR="00C30D6C" w:rsidRPr="006A6E65" w:rsidRDefault="00382609" w:rsidP="00C30D6C">
      <w:pPr>
        <w:pStyle w:val="ListParagraph"/>
        <w:numPr>
          <w:ilvl w:val="0"/>
          <w:numId w:val="4"/>
        </w:numPr>
        <w:spacing w:after="160" w:line="259" w:lineRule="auto"/>
        <w:ind w:right="90"/>
        <w:jc w:val="both"/>
        <w:rPr>
          <w:noProof/>
          <w:lang w:val="es-ES_tradnl"/>
        </w:rPr>
      </w:pPr>
      <w:r w:rsidRPr="006A6E65">
        <w:rPr>
          <w:noProof/>
          <w:lang w:val="es-ES_tradnl"/>
        </w:rPr>
        <w:t>El i</w:t>
      </w:r>
      <w:r w:rsidR="00C30D6C" w:rsidRPr="006A6E65">
        <w:rPr>
          <w:noProof/>
          <w:lang w:val="es-ES_tradnl"/>
        </w:rPr>
        <w:t>ndicador 1.1.</w:t>
      </w:r>
      <w:r w:rsidRPr="006A6E65">
        <w:rPr>
          <w:noProof/>
          <w:lang w:val="es-ES_tradnl"/>
        </w:rPr>
        <w:t>, “i</w:t>
      </w:r>
      <w:r w:rsidR="00C30D6C" w:rsidRPr="006A6E65">
        <w:rPr>
          <w:noProof/>
          <w:lang w:val="es-ES_tradnl"/>
        </w:rPr>
        <w:t>ntervenciones de capacitación con evaluaciones de impacto rigurosas realizadas por</w:t>
      </w:r>
      <w:r w:rsidRPr="006A6E65">
        <w:rPr>
          <w:noProof/>
          <w:lang w:val="es-ES_tradnl"/>
        </w:rPr>
        <w:t xml:space="preserve"> año (número de intervenciones)”, f</w:t>
      </w:r>
      <w:r w:rsidR="00C30D6C" w:rsidRPr="006A6E65">
        <w:rPr>
          <w:noProof/>
          <w:lang w:val="es-ES_tradnl"/>
        </w:rPr>
        <w:t>ue reformulado como “Evaluación y rediseño de programas de capacitación”</w:t>
      </w:r>
      <w:r w:rsidR="00584614" w:rsidRPr="006A6E65">
        <w:rPr>
          <w:noProof/>
          <w:lang w:val="es-ES_tradnl"/>
        </w:rPr>
        <w:t>, al considerar</w:t>
      </w:r>
      <w:r w:rsidRPr="006A6E65">
        <w:rPr>
          <w:noProof/>
          <w:lang w:val="es-ES_tradnl"/>
        </w:rPr>
        <w:t xml:space="preserve"> que el producto efectivamente entregado por la operación es la evaluación y el rediseño</w:t>
      </w:r>
      <w:r w:rsidR="00584614" w:rsidRPr="006A6E65">
        <w:rPr>
          <w:noProof/>
          <w:lang w:val="es-ES_tradnl"/>
        </w:rPr>
        <w:t xml:space="preserve"> de </w:t>
      </w:r>
      <w:r w:rsidR="001532F9" w:rsidRPr="006A6E65">
        <w:rPr>
          <w:noProof/>
          <w:lang w:val="es-ES_tradnl"/>
        </w:rPr>
        <w:t>intervenciones de capacitación</w:t>
      </w:r>
      <w:r w:rsidRPr="006A6E65">
        <w:rPr>
          <w:noProof/>
          <w:lang w:val="es-ES_tradnl"/>
        </w:rPr>
        <w:t>.</w:t>
      </w:r>
    </w:p>
    <w:p w14:paraId="28B3D206" w14:textId="18FB50C9" w:rsidR="00C30D6C" w:rsidRPr="006A6E65" w:rsidRDefault="00382609" w:rsidP="00382609">
      <w:pPr>
        <w:pStyle w:val="ListParagraph"/>
        <w:numPr>
          <w:ilvl w:val="0"/>
          <w:numId w:val="4"/>
        </w:numPr>
        <w:spacing w:after="160" w:line="259" w:lineRule="auto"/>
        <w:ind w:right="90"/>
        <w:jc w:val="both"/>
        <w:rPr>
          <w:noProof/>
          <w:lang w:val="es-ES_tradnl"/>
        </w:rPr>
      </w:pPr>
      <w:r w:rsidRPr="006A6E65">
        <w:rPr>
          <w:noProof/>
          <w:lang w:val="es-ES_tradnl"/>
        </w:rPr>
        <w:t>Los i</w:t>
      </w:r>
      <w:r w:rsidR="00C30D6C" w:rsidRPr="006A6E65">
        <w:rPr>
          <w:noProof/>
          <w:lang w:val="es-ES_tradnl"/>
        </w:rPr>
        <w:t>ndicadores 2.1., 2.3., 2.4.</w:t>
      </w:r>
      <w:r w:rsidR="00FC7F09" w:rsidRPr="006A6E65">
        <w:rPr>
          <w:noProof/>
          <w:lang w:val="es-ES_tradnl"/>
        </w:rPr>
        <w:t xml:space="preserve"> preveí</w:t>
      </w:r>
      <w:r w:rsidRPr="006A6E65">
        <w:rPr>
          <w:noProof/>
          <w:lang w:val="es-ES_tradnl"/>
        </w:rPr>
        <w:t>an incialmente</w:t>
      </w:r>
      <w:r w:rsidR="00C30D6C" w:rsidRPr="006A6E65">
        <w:rPr>
          <w:noProof/>
          <w:lang w:val="es-ES_tradnl"/>
        </w:rPr>
        <w:t xml:space="preserve"> calcular el porcentaje de cursos que utilizan instrumentos de focalización revisados, estándares de gestión de desempeño y evaluaciones de seguimiento. Sin embargo, se consideró que esta definición corresponde a</w:t>
      </w:r>
      <w:r w:rsidRPr="006A6E65">
        <w:rPr>
          <w:noProof/>
          <w:lang w:val="es-ES_tradnl"/>
        </w:rPr>
        <w:t xml:space="preserve"> la de un indicador de resultado y no de producto, razon por la que </w:t>
      </w:r>
      <w:r w:rsidR="00C30D6C" w:rsidRPr="006A6E65">
        <w:rPr>
          <w:noProof/>
          <w:lang w:val="es-ES_tradnl"/>
        </w:rPr>
        <w:t>fueron reformulados como “Evaluación y/o diseño y rediseño de instrumentos de focalización y seguimiento de intervenciones de capacitación”</w:t>
      </w:r>
      <w:r w:rsidR="00584614" w:rsidRPr="006A6E65">
        <w:rPr>
          <w:noProof/>
          <w:lang w:val="es-ES_tradnl"/>
        </w:rPr>
        <w:t xml:space="preserve">. Se consideró que los productos efectivamente entregados por la operación son diseños / rediseños  de instrumentos de focalización y seguimiento y que el porcentaje de cursos que usan estos instrumentos corresponde a un resultado </w:t>
      </w:r>
      <w:r w:rsidR="00FC7F09" w:rsidRPr="006A6E65">
        <w:rPr>
          <w:noProof/>
          <w:lang w:val="es-ES_tradnl"/>
        </w:rPr>
        <w:t xml:space="preserve">intermedio </w:t>
      </w:r>
      <w:r w:rsidR="00584614" w:rsidRPr="006A6E65">
        <w:rPr>
          <w:noProof/>
          <w:lang w:val="es-ES_tradnl"/>
        </w:rPr>
        <w:t xml:space="preserve">esperado. </w:t>
      </w:r>
    </w:p>
    <w:p w14:paraId="3EFB09D3" w14:textId="33E52B1A" w:rsidR="001532F9" w:rsidRPr="006A6E65" w:rsidRDefault="00382609" w:rsidP="001532F9">
      <w:pPr>
        <w:pStyle w:val="ListParagraph"/>
        <w:numPr>
          <w:ilvl w:val="0"/>
          <w:numId w:val="4"/>
        </w:numPr>
        <w:spacing w:after="160" w:line="259" w:lineRule="auto"/>
        <w:ind w:right="90"/>
        <w:jc w:val="both"/>
        <w:rPr>
          <w:noProof/>
          <w:lang w:val="es-ES_tradnl"/>
        </w:rPr>
      </w:pPr>
      <w:r w:rsidRPr="006A6E65">
        <w:rPr>
          <w:noProof/>
          <w:lang w:val="es-ES_tradnl"/>
        </w:rPr>
        <w:t>El indicador 2.2. prev</w:t>
      </w:r>
      <w:r w:rsidR="002F6E96" w:rsidRPr="006A6E65">
        <w:rPr>
          <w:noProof/>
          <w:lang w:val="es-ES_tradnl"/>
        </w:rPr>
        <w:t>eí</w:t>
      </w:r>
      <w:r w:rsidRPr="006A6E65">
        <w:rPr>
          <w:noProof/>
          <w:lang w:val="es-ES_tradnl"/>
        </w:rPr>
        <w:t xml:space="preserve">a calcular el porcentaje de cursos que usan un mecanismo de aseguramiento de pertinencia. Sin embargo, </w:t>
      </w:r>
      <w:r w:rsidR="00FC7F09" w:rsidRPr="006A6E65">
        <w:rPr>
          <w:noProof/>
          <w:lang w:val="es-ES_tradnl"/>
        </w:rPr>
        <w:t xml:space="preserve">nuevamente, </w:t>
      </w:r>
      <w:r w:rsidRPr="006A6E65">
        <w:rPr>
          <w:noProof/>
          <w:lang w:val="es-ES_tradnl"/>
        </w:rPr>
        <w:t xml:space="preserve">se consideró que esta definición corresponde a la de un indicador de resultado y no de producto, razon por la que fue reformulado como  </w:t>
      </w:r>
      <w:r w:rsidR="00584614" w:rsidRPr="006A6E65">
        <w:rPr>
          <w:noProof/>
          <w:lang w:val="es-ES_tradnl"/>
        </w:rPr>
        <w:t>“</w:t>
      </w:r>
      <w:r w:rsidRPr="006A6E65">
        <w:rPr>
          <w:noProof/>
          <w:lang w:val="es-ES_tradnl"/>
        </w:rPr>
        <w:t>mecanismos de aseguramiento de calidad y pertinencia implementados</w:t>
      </w:r>
      <w:r w:rsidR="00584614" w:rsidRPr="006A6E65">
        <w:rPr>
          <w:noProof/>
          <w:lang w:val="es-ES_tradnl"/>
        </w:rPr>
        <w:t>”</w:t>
      </w:r>
      <w:r w:rsidR="002F6E96" w:rsidRPr="006A6E65">
        <w:rPr>
          <w:noProof/>
          <w:lang w:val="es-ES_tradnl"/>
        </w:rPr>
        <w:t xml:space="preserve">. Nuevamente, los </w:t>
      </w:r>
      <w:r w:rsidR="00584614" w:rsidRPr="006A6E65">
        <w:rPr>
          <w:noProof/>
          <w:lang w:val="es-ES_tradnl"/>
        </w:rPr>
        <w:t>producto</w:t>
      </w:r>
      <w:r w:rsidR="002F6E96" w:rsidRPr="006A6E65">
        <w:rPr>
          <w:noProof/>
          <w:lang w:val="es-ES_tradnl"/>
        </w:rPr>
        <w:t>s</w:t>
      </w:r>
      <w:r w:rsidR="00584614" w:rsidRPr="006A6E65">
        <w:rPr>
          <w:noProof/>
          <w:lang w:val="es-ES_tradnl"/>
        </w:rPr>
        <w:t xml:space="preserve"> entregado</w:t>
      </w:r>
      <w:r w:rsidR="002F6E96" w:rsidRPr="006A6E65">
        <w:rPr>
          <w:noProof/>
          <w:lang w:val="es-ES_tradnl"/>
        </w:rPr>
        <w:t>s</w:t>
      </w:r>
      <w:r w:rsidR="00584614" w:rsidRPr="006A6E65">
        <w:rPr>
          <w:noProof/>
          <w:lang w:val="es-ES_tradnl"/>
        </w:rPr>
        <w:t xml:space="preserve"> por la operación son los mecanismos de aseguramiento de calidad y pertinencia mientras que el uso de los mismos en los distintos cursos de capacitación corresponde a un resultado </w:t>
      </w:r>
      <w:r w:rsidR="00FC7F09" w:rsidRPr="006A6E65">
        <w:rPr>
          <w:noProof/>
          <w:lang w:val="es-ES_tradnl"/>
        </w:rPr>
        <w:t xml:space="preserve">intermedio </w:t>
      </w:r>
      <w:r w:rsidR="001532F9" w:rsidRPr="006A6E65">
        <w:rPr>
          <w:noProof/>
          <w:lang w:val="es-ES_tradnl"/>
        </w:rPr>
        <w:t xml:space="preserve">esperado. </w:t>
      </w:r>
    </w:p>
    <w:p w14:paraId="0778824D" w14:textId="6BC6C19C" w:rsidR="001532F9" w:rsidRPr="006A6E65" w:rsidRDefault="001532F9" w:rsidP="001532F9">
      <w:pPr>
        <w:pStyle w:val="ListParagraph"/>
        <w:numPr>
          <w:ilvl w:val="0"/>
          <w:numId w:val="4"/>
        </w:numPr>
        <w:spacing w:after="160" w:line="259" w:lineRule="auto"/>
        <w:ind w:right="90"/>
        <w:jc w:val="both"/>
        <w:rPr>
          <w:noProof/>
          <w:lang w:val="es-ES_tradnl"/>
        </w:rPr>
      </w:pPr>
      <w:r w:rsidRPr="006A6E65">
        <w:rPr>
          <w:noProof/>
          <w:lang w:val="es-ES_tradnl"/>
        </w:rPr>
        <w:t>Los indicadores 3.1. y 3.2. fueron combinados</w:t>
      </w:r>
      <w:r w:rsidR="002F6E96" w:rsidRPr="006A6E65">
        <w:rPr>
          <w:noProof/>
          <w:lang w:val="es-ES_tradnl"/>
        </w:rPr>
        <w:t xml:space="preserve"> en un ú</w:t>
      </w:r>
      <w:r w:rsidRPr="006A6E65">
        <w:rPr>
          <w:noProof/>
          <w:lang w:val="es-ES_tradnl"/>
        </w:rPr>
        <w:t>nico indicador de producto definido como “Base de datos integrada, estandarizada y con estándares de gestión implementada”.</w:t>
      </w:r>
    </w:p>
    <w:p w14:paraId="67A2DB7B" w14:textId="1DE9F150" w:rsidR="001532F9" w:rsidRPr="006A6E65" w:rsidRDefault="001532F9" w:rsidP="00822086">
      <w:pPr>
        <w:spacing w:after="160" w:line="259" w:lineRule="auto"/>
        <w:ind w:right="90"/>
        <w:jc w:val="both"/>
        <w:rPr>
          <w:noProof/>
          <w:u w:val="single"/>
          <w:lang w:val="es-ES_tradnl"/>
        </w:rPr>
      </w:pPr>
    </w:p>
    <w:p w14:paraId="247A442E" w14:textId="6DBAD6F9" w:rsidR="004753B9" w:rsidRPr="006A6E65" w:rsidRDefault="00FC7F09" w:rsidP="006A6E65">
      <w:pPr>
        <w:keepNext/>
        <w:spacing w:after="160" w:line="259" w:lineRule="auto"/>
        <w:ind w:left="187" w:right="86"/>
        <w:jc w:val="both"/>
        <w:rPr>
          <w:i/>
          <w:noProof/>
          <w:u w:val="single"/>
          <w:lang w:val="es-ES_tradnl"/>
        </w:rPr>
      </w:pPr>
      <w:r w:rsidRPr="006A6E65">
        <w:rPr>
          <w:i/>
          <w:noProof/>
          <w:u w:val="single"/>
          <w:lang w:val="es-ES_tradnl"/>
        </w:rPr>
        <w:t>Reformulació</w:t>
      </w:r>
      <w:r w:rsidR="004753B9" w:rsidRPr="006A6E65">
        <w:rPr>
          <w:i/>
          <w:noProof/>
          <w:u w:val="single"/>
          <w:lang w:val="es-ES_tradnl"/>
        </w:rPr>
        <w:t>n de productos para adecuarse a los cambios de prioridades del gobierno</w:t>
      </w:r>
      <w:r w:rsidR="0007799E" w:rsidRPr="006A6E65">
        <w:rPr>
          <w:i/>
          <w:noProof/>
          <w:u w:val="single"/>
          <w:lang w:val="es-ES_tradnl"/>
        </w:rPr>
        <w:t>:</w:t>
      </w:r>
    </w:p>
    <w:p w14:paraId="531AB00D" w14:textId="4C26305A" w:rsidR="001532F9" w:rsidRPr="006A6E65" w:rsidRDefault="001532F9" w:rsidP="006A6E65">
      <w:pPr>
        <w:keepNext/>
        <w:spacing w:after="160" w:line="259" w:lineRule="auto"/>
        <w:ind w:left="187" w:right="86"/>
        <w:jc w:val="both"/>
        <w:rPr>
          <w:noProof/>
          <w:lang w:val="es-ES_tradnl"/>
        </w:rPr>
      </w:pPr>
      <w:r w:rsidRPr="006A6E65">
        <w:rPr>
          <w:noProof/>
          <w:lang w:val="es-ES_tradnl"/>
        </w:rPr>
        <w:t>Como consecuencia de</w:t>
      </w:r>
      <w:r w:rsidR="00D234EC" w:rsidRPr="006A6E65">
        <w:rPr>
          <w:noProof/>
          <w:lang w:val="es-ES_tradnl"/>
        </w:rPr>
        <w:t xml:space="preserve"> </w:t>
      </w:r>
      <w:r w:rsidRPr="006A6E65">
        <w:rPr>
          <w:noProof/>
          <w:lang w:val="es-ES_tradnl"/>
        </w:rPr>
        <w:t>l</w:t>
      </w:r>
      <w:r w:rsidR="00D234EC" w:rsidRPr="006A6E65">
        <w:rPr>
          <w:noProof/>
          <w:lang w:val="es-ES_tradnl"/>
        </w:rPr>
        <w:t xml:space="preserve">a eleccion del nuevo Gobierno el 17 de </w:t>
      </w:r>
      <w:r w:rsidR="006A6E65" w:rsidRPr="006A6E65">
        <w:rPr>
          <w:noProof/>
          <w:lang w:val="es-ES_tradnl"/>
        </w:rPr>
        <w:t>d</w:t>
      </w:r>
      <w:r w:rsidR="00D234EC" w:rsidRPr="006A6E65">
        <w:rPr>
          <w:noProof/>
          <w:lang w:val="es-ES_tradnl"/>
        </w:rPr>
        <w:t>iciembre 2013 y el periodo de transición iniciado a partir de esta fecha</w:t>
      </w:r>
      <w:r w:rsidRPr="006A6E65">
        <w:rPr>
          <w:noProof/>
          <w:lang w:val="es-ES_tradnl"/>
        </w:rPr>
        <w:t xml:space="preserve">, </w:t>
      </w:r>
      <w:r w:rsidR="00FD7DFD" w:rsidRPr="006A6E65">
        <w:rPr>
          <w:noProof/>
          <w:lang w:val="es-ES_tradnl"/>
        </w:rPr>
        <w:t>la nueva administración</w:t>
      </w:r>
      <w:r w:rsidR="00D234EC" w:rsidRPr="006A6E65">
        <w:rPr>
          <w:noProof/>
          <w:lang w:val="es-ES_tradnl"/>
        </w:rPr>
        <w:t xml:space="preserve"> electa informó de la priorización de</w:t>
      </w:r>
      <w:r w:rsidRPr="006A6E65">
        <w:rPr>
          <w:noProof/>
          <w:lang w:val="es-ES_tradnl"/>
        </w:rPr>
        <w:t xml:space="preserve"> la implementación de un nuevo programa de capacitación, ¨Más Capaz¨, el cual, por su magnitud y complejidad de implementación, tensionó las capacidades del SENCE para poder llevarlo a cabo. Las cuestiones de </w:t>
      </w:r>
      <w:r w:rsidR="00FD7DFD" w:rsidRPr="006A6E65">
        <w:rPr>
          <w:noProof/>
          <w:lang w:val="es-ES_tradnl"/>
        </w:rPr>
        <w:t xml:space="preserve">regulación del mercado de la capacitación y de </w:t>
      </w:r>
      <w:r w:rsidRPr="006A6E65">
        <w:rPr>
          <w:noProof/>
          <w:lang w:val="es-ES_tradnl"/>
        </w:rPr>
        <w:t xml:space="preserve">rectoría </w:t>
      </w:r>
      <w:r w:rsidR="00FD7DFD" w:rsidRPr="006A6E65">
        <w:rPr>
          <w:noProof/>
          <w:lang w:val="es-ES_tradnl"/>
        </w:rPr>
        <w:t xml:space="preserve">(componente 1) </w:t>
      </w:r>
      <w:r w:rsidRPr="006A6E65">
        <w:rPr>
          <w:noProof/>
          <w:lang w:val="es-ES_tradnl"/>
        </w:rPr>
        <w:t>no eran prioritarias, sino más bien se priorizaba cumplir con el programa del gobierno</w:t>
      </w:r>
      <w:r w:rsidR="00FD7DFD" w:rsidRPr="006A6E65">
        <w:rPr>
          <w:noProof/>
          <w:lang w:val="es-ES_tradnl"/>
        </w:rPr>
        <w:t xml:space="preserve"> y reforzar las capacidades de ejecución y seguimiento</w:t>
      </w:r>
      <w:r w:rsidRPr="006A6E65">
        <w:rPr>
          <w:noProof/>
          <w:lang w:val="es-ES_tradnl"/>
        </w:rPr>
        <w:t xml:space="preserve"> </w:t>
      </w:r>
      <w:r w:rsidR="00FD7DFD" w:rsidRPr="006A6E65">
        <w:rPr>
          <w:noProof/>
          <w:lang w:val="es-ES_tradnl"/>
        </w:rPr>
        <w:t>d</w:t>
      </w:r>
      <w:r w:rsidRPr="006A6E65">
        <w:rPr>
          <w:noProof/>
          <w:lang w:val="es-ES_tradnl"/>
        </w:rPr>
        <w:t>el SENCE</w:t>
      </w:r>
      <w:r w:rsidR="00FD7DFD" w:rsidRPr="006A6E65">
        <w:rPr>
          <w:noProof/>
          <w:lang w:val="es-ES_tradnl"/>
        </w:rPr>
        <w:t xml:space="preserve"> asi como las capacidades de</w:t>
      </w:r>
      <w:r w:rsidRPr="006A6E65">
        <w:rPr>
          <w:noProof/>
          <w:lang w:val="es-ES_tradnl"/>
        </w:rPr>
        <w:t xml:space="preserve"> acreditación y certificación de los cursos.  </w:t>
      </w:r>
    </w:p>
    <w:p w14:paraId="4E1C01B1" w14:textId="29D52768" w:rsidR="00FD7DFD" w:rsidRPr="006A6E65" w:rsidRDefault="00FD7DFD" w:rsidP="004753B9">
      <w:pPr>
        <w:spacing w:after="160" w:line="259" w:lineRule="auto"/>
        <w:ind w:left="180" w:right="90"/>
        <w:jc w:val="both"/>
        <w:rPr>
          <w:noProof/>
          <w:lang w:val="es-ES_tradnl"/>
        </w:rPr>
      </w:pPr>
      <w:r w:rsidRPr="006A6E65">
        <w:rPr>
          <w:noProof/>
          <w:lang w:val="es-ES_tradnl"/>
        </w:rPr>
        <w:t>Por esta razón, se modificó el producto 1.2. de “Mecanismos de detección de acciones fraudulentas que se llevan a cabo en los cursos de capacitación funcionando” por “Diseño de propuesta e instrumentos para acreditación y seguimiento de capacitación” con el fin de responser a las nuevas prioridades del gobierno.</w:t>
      </w:r>
    </w:p>
    <w:p w14:paraId="700D4F3F" w14:textId="2A690A58" w:rsidR="004753B9" w:rsidRPr="006A6E65" w:rsidRDefault="00FD7DFD" w:rsidP="006A6E65">
      <w:pPr>
        <w:spacing w:after="160" w:line="259" w:lineRule="auto"/>
        <w:ind w:left="180" w:right="90"/>
        <w:jc w:val="both"/>
        <w:rPr>
          <w:noProof/>
          <w:lang w:val="es-ES_tradnl"/>
        </w:rPr>
      </w:pPr>
      <w:r w:rsidRPr="006A6E65">
        <w:rPr>
          <w:noProof/>
          <w:lang w:val="es-ES_tradnl"/>
        </w:rPr>
        <w:t>Como se observa a continuación, los cambios introducidos permitieron adaptarse al nuevo con</w:t>
      </w:r>
      <w:r w:rsidR="00822086" w:rsidRPr="006A6E65">
        <w:rPr>
          <w:noProof/>
          <w:lang w:val="es-ES_tradnl"/>
        </w:rPr>
        <w:t>texto de ejecución sin afectar</w:t>
      </w:r>
      <w:r w:rsidRPr="006A6E65">
        <w:rPr>
          <w:noProof/>
          <w:lang w:val="es-ES_tradnl"/>
        </w:rPr>
        <w:t xml:space="preserve"> la logica vertical inicialmente establecida. Si bien el cambio de gobierno implicó ciertos cambios de prioridades y estrategias, los productos entregados por la operación se relacionan directamente con los objetivos iniciales de la operación.</w:t>
      </w:r>
      <w:r w:rsidR="00FC7F09" w:rsidRPr="006A6E65">
        <w:rPr>
          <w:noProof/>
          <w:lang w:val="es-ES_tradnl"/>
        </w:rPr>
        <w:t xml:space="preserve"> Estos aspectos se analizan en la siguiente sección del documento. </w:t>
      </w:r>
    </w:p>
    <w:p w14:paraId="026D9E97" w14:textId="77777777" w:rsidR="004753B9" w:rsidRPr="006A6E65" w:rsidRDefault="004753B9" w:rsidP="00DF4D24">
      <w:pPr>
        <w:pStyle w:val="ListParagraph"/>
        <w:spacing w:after="160" w:line="259" w:lineRule="auto"/>
        <w:ind w:left="900" w:right="90"/>
        <w:jc w:val="both"/>
        <w:rPr>
          <w:b/>
          <w:noProof/>
          <w:u w:val="single"/>
          <w:lang w:val="es-ES_tradnl"/>
        </w:rPr>
      </w:pPr>
    </w:p>
    <w:p w14:paraId="571C7DC8" w14:textId="6DF6DE64" w:rsidR="00DF4D24" w:rsidRPr="006A6E65" w:rsidRDefault="00DF4D24" w:rsidP="00DF4D24">
      <w:pPr>
        <w:pStyle w:val="ListParagraph"/>
        <w:numPr>
          <w:ilvl w:val="0"/>
          <w:numId w:val="1"/>
        </w:numPr>
        <w:spacing w:after="160" w:line="259" w:lineRule="auto"/>
        <w:ind w:right="90"/>
        <w:jc w:val="both"/>
        <w:rPr>
          <w:b/>
          <w:noProof/>
          <w:u w:val="single"/>
          <w:lang w:val="es-ES_tradnl"/>
        </w:rPr>
      </w:pPr>
      <w:r w:rsidRPr="006A6E65">
        <w:rPr>
          <w:b/>
          <w:noProof/>
          <w:u w:val="single"/>
          <w:lang w:val="es-ES_tradnl"/>
        </w:rPr>
        <w:t>Productos logrados: descripción de los productos al cierre de la operación</w:t>
      </w:r>
    </w:p>
    <w:p w14:paraId="6D8D69CB" w14:textId="65209272" w:rsidR="00B00804" w:rsidRPr="006A6E65" w:rsidRDefault="00B00804" w:rsidP="00B00804">
      <w:pPr>
        <w:keepNext/>
        <w:spacing w:before="20" w:after="20"/>
        <w:rPr>
          <w:rFonts w:eastAsia="Times New Roman" w:cs="Arial"/>
          <w:b/>
          <w:spacing w:val="-3"/>
          <w:sz w:val="20"/>
          <w:szCs w:val="20"/>
          <w:lang w:val="es-ES_tradnl"/>
        </w:rPr>
      </w:pPr>
    </w:p>
    <w:p w14:paraId="2D9F0970" w14:textId="0A6507A6" w:rsidR="00B00804" w:rsidRPr="006A6E65" w:rsidRDefault="00FD7DFD" w:rsidP="0007799E">
      <w:pPr>
        <w:keepNext/>
        <w:spacing w:before="20" w:after="20"/>
        <w:ind w:left="180"/>
        <w:jc w:val="both"/>
        <w:rPr>
          <w:noProof/>
          <w:lang w:val="es-ES_tradnl"/>
        </w:rPr>
      </w:pPr>
      <w:r w:rsidRPr="006A6E65">
        <w:rPr>
          <w:noProof/>
          <w:lang w:val="es-ES_tradnl"/>
        </w:rPr>
        <w:t>En consecuencia a los cambios introducidos a los indicadores de productos (ver sección 1), la matriz de productos final cuenta con 5 indicadores (ver cuadro 2).</w:t>
      </w:r>
      <w:r w:rsidR="0007799E" w:rsidRPr="006A6E65">
        <w:rPr>
          <w:noProof/>
          <w:lang w:val="es-ES_tradnl"/>
        </w:rPr>
        <w:t xml:space="preserve"> En esta sección se detallan los principales productos logrados por la operación asi como los ajustes en prioridades y estrategias que se dieron como consecuencia del cambio de administración en 2014. </w:t>
      </w:r>
    </w:p>
    <w:p w14:paraId="4D93964B" w14:textId="7DFCB863" w:rsidR="00B00804" w:rsidRPr="006A6E65" w:rsidRDefault="00B00804" w:rsidP="00B00804">
      <w:pPr>
        <w:keepNext/>
        <w:spacing w:before="20" w:after="20"/>
        <w:rPr>
          <w:rFonts w:ascii="Times New Roman" w:eastAsia="Times New Roman" w:hAnsi="Times New Roman" w:cs="Times New Roman"/>
          <w:b/>
          <w:spacing w:val="-3"/>
          <w:sz w:val="24"/>
          <w:szCs w:val="24"/>
          <w:lang w:val="es-ES_tradnl"/>
        </w:rPr>
      </w:pPr>
    </w:p>
    <w:p w14:paraId="633ABB21" w14:textId="72D10F9A" w:rsidR="00B00804" w:rsidRPr="006A6E65" w:rsidRDefault="00B00804" w:rsidP="00FD7DFD">
      <w:pPr>
        <w:keepNext/>
        <w:spacing w:before="20" w:after="20"/>
        <w:ind w:firstLine="720"/>
        <w:jc w:val="center"/>
        <w:rPr>
          <w:rFonts w:ascii="Times New Roman" w:eastAsia="Times New Roman" w:hAnsi="Times New Roman" w:cs="Times New Roman"/>
          <w:b/>
          <w:spacing w:val="-3"/>
          <w:sz w:val="24"/>
          <w:szCs w:val="24"/>
          <w:lang w:val="es-ES_tradnl"/>
        </w:rPr>
      </w:pPr>
      <w:r w:rsidRPr="006A6E65">
        <w:rPr>
          <w:rFonts w:eastAsia="Times New Roman" w:cs="Arial"/>
          <w:b/>
          <w:spacing w:val="-3"/>
          <w:sz w:val="20"/>
          <w:szCs w:val="20"/>
          <w:lang w:val="es-ES_tradnl"/>
        </w:rPr>
        <w:t xml:space="preserve">Cuadro </w:t>
      </w:r>
      <w:r w:rsidR="00FD7DFD" w:rsidRPr="006A6E65">
        <w:rPr>
          <w:rFonts w:eastAsia="Times New Roman" w:cs="Arial"/>
          <w:b/>
          <w:spacing w:val="-3"/>
          <w:sz w:val="20"/>
          <w:szCs w:val="20"/>
          <w:lang w:val="es-ES_tradnl"/>
        </w:rPr>
        <w:t>2</w:t>
      </w:r>
      <w:r w:rsidRPr="006A6E65">
        <w:rPr>
          <w:rFonts w:eastAsia="Times New Roman" w:cs="Arial"/>
          <w:b/>
          <w:spacing w:val="-3"/>
          <w:sz w:val="20"/>
          <w:szCs w:val="20"/>
          <w:lang w:val="es-ES_tradnl"/>
        </w:rPr>
        <w:t xml:space="preserve">: Indicadores Asociados a Componentes y Productos definidos en los 60 </w:t>
      </w:r>
      <w:r w:rsidR="00FD7DFD" w:rsidRPr="006A6E65">
        <w:rPr>
          <w:rFonts w:eastAsia="Times New Roman" w:cs="Arial"/>
          <w:b/>
          <w:spacing w:val="-3"/>
          <w:sz w:val="20"/>
          <w:szCs w:val="20"/>
          <w:lang w:val="es-ES_tradnl"/>
        </w:rPr>
        <w:t>días</w:t>
      </w:r>
      <w:r w:rsidRPr="006A6E65">
        <w:rPr>
          <w:rFonts w:eastAsia="Times New Roman" w:cs="Arial"/>
          <w:b/>
          <w:spacing w:val="-3"/>
          <w:sz w:val="20"/>
          <w:szCs w:val="20"/>
          <w:lang w:val="es-ES_tradnl"/>
        </w:rPr>
        <w:t xml:space="preserve"> después de aprobación</w:t>
      </w:r>
    </w:p>
    <w:p w14:paraId="274314D0" w14:textId="77777777" w:rsidR="00B00804" w:rsidRPr="006A6E65" w:rsidRDefault="00B00804" w:rsidP="00B00804">
      <w:pPr>
        <w:keepNext/>
        <w:spacing w:before="20" w:after="20"/>
        <w:rPr>
          <w:rFonts w:ascii="Times New Roman" w:eastAsia="Times New Roman" w:hAnsi="Times New Roman" w:cs="Times New Roman"/>
          <w:b/>
          <w:spacing w:val="-3"/>
          <w:sz w:val="24"/>
          <w:szCs w:val="24"/>
          <w:lang w:val="es-ES_tradnl"/>
        </w:rPr>
      </w:pPr>
    </w:p>
    <w:tbl>
      <w:tblPr>
        <w:tblStyle w:val="TableGrid"/>
        <w:tblW w:w="102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0"/>
        <w:gridCol w:w="1040"/>
        <w:gridCol w:w="1008"/>
        <w:gridCol w:w="991"/>
        <w:gridCol w:w="592"/>
        <w:gridCol w:w="746"/>
        <w:gridCol w:w="1217"/>
        <w:gridCol w:w="2136"/>
      </w:tblGrid>
      <w:tr w:rsidR="00B00804" w:rsidRPr="006A6E65" w14:paraId="1772D6F6" w14:textId="77777777" w:rsidTr="006A6E65">
        <w:trPr>
          <w:tblHeader/>
        </w:trPr>
        <w:tc>
          <w:tcPr>
            <w:tcW w:w="2530" w:type="dxa"/>
            <w:tcBorders>
              <w:top w:val="single" w:sz="4" w:space="0" w:color="auto"/>
              <w:left w:val="dotted" w:sz="4" w:space="0" w:color="auto"/>
              <w:bottom w:val="single" w:sz="4" w:space="0" w:color="auto"/>
              <w:right w:val="dotted" w:sz="4" w:space="0" w:color="auto"/>
            </w:tcBorders>
            <w:vAlign w:val="center"/>
            <w:hideMark/>
          </w:tcPr>
          <w:p w14:paraId="7FEA611B"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Producto</w:t>
            </w:r>
          </w:p>
        </w:tc>
        <w:tc>
          <w:tcPr>
            <w:tcW w:w="1040" w:type="dxa"/>
            <w:tcBorders>
              <w:top w:val="single" w:sz="4" w:space="0" w:color="auto"/>
              <w:left w:val="dotted" w:sz="4" w:space="0" w:color="auto"/>
              <w:bottom w:val="single" w:sz="4" w:space="0" w:color="auto"/>
              <w:right w:val="dotted" w:sz="4" w:space="0" w:color="auto"/>
            </w:tcBorders>
            <w:vAlign w:val="center"/>
            <w:hideMark/>
          </w:tcPr>
          <w:p w14:paraId="5D9C4650"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Unidad de Medida</w:t>
            </w:r>
          </w:p>
        </w:tc>
        <w:tc>
          <w:tcPr>
            <w:tcW w:w="1008" w:type="dxa"/>
            <w:tcBorders>
              <w:top w:val="single" w:sz="4" w:space="0" w:color="auto"/>
              <w:left w:val="dotted" w:sz="4" w:space="0" w:color="auto"/>
              <w:bottom w:val="single" w:sz="4" w:space="0" w:color="auto"/>
              <w:right w:val="dotted" w:sz="4" w:space="0" w:color="auto"/>
            </w:tcBorders>
            <w:vAlign w:val="center"/>
            <w:hideMark/>
          </w:tcPr>
          <w:p w14:paraId="4F424E7E"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Valor de Línea de base</w:t>
            </w:r>
          </w:p>
        </w:tc>
        <w:tc>
          <w:tcPr>
            <w:tcW w:w="991" w:type="dxa"/>
            <w:tcBorders>
              <w:top w:val="single" w:sz="4" w:space="0" w:color="auto"/>
              <w:left w:val="dotted" w:sz="4" w:space="0" w:color="auto"/>
              <w:bottom w:val="single" w:sz="4" w:space="0" w:color="auto"/>
              <w:right w:val="dotted" w:sz="4" w:space="0" w:color="auto"/>
            </w:tcBorders>
            <w:vAlign w:val="center"/>
            <w:hideMark/>
          </w:tcPr>
          <w:p w14:paraId="3DCA1309"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Año de línea de base</w:t>
            </w:r>
          </w:p>
        </w:tc>
        <w:tc>
          <w:tcPr>
            <w:tcW w:w="1338" w:type="dxa"/>
            <w:gridSpan w:val="2"/>
            <w:tcBorders>
              <w:top w:val="single" w:sz="4" w:space="0" w:color="auto"/>
              <w:left w:val="dotted" w:sz="4" w:space="0" w:color="auto"/>
              <w:bottom w:val="single" w:sz="4" w:space="0" w:color="auto"/>
              <w:right w:val="dotted" w:sz="4" w:space="0" w:color="auto"/>
            </w:tcBorders>
            <w:vAlign w:val="center"/>
            <w:hideMark/>
          </w:tcPr>
          <w:p w14:paraId="0C492341"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Metas y alcance real</w:t>
            </w:r>
          </w:p>
        </w:tc>
        <w:tc>
          <w:tcPr>
            <w:tcW w:w="1217" w:type="dxa"/>
            <w:tcBorders>
              <w:top w:val="single" w:sz="4" w:space="0" w:color="auto"/>
              <w:left w:val="dotted" w:sz="4" w:space="0" w:color="auto"/>
              <w:bottom w:val="single" w:sz="4" w:space="0" w:color="auto"/>
              <w:right w:val="dotted" w:sz="4" w:space="0" w:color="auto"/>
            </w:tcBorders>
            <w:vAlign w:val="center"/>
            <w:hideMark/>
          </w:tcPr>
          <w:p w14:paraId="6CDA2610"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 Alcanzado</w:t>
            </w:r>
          </w:p>
        </w:tc>
        <w:tc>
          <w:tcPr>
            <w:tcW w:w="2136" w:type="dxa"/>
            <w:tcBorders>
              <w:top w:val="single" w:sz="4" w:space="0" w:color="auto"/>
              <w:left w:val="dotted" w:sz="4" w:space="0" w:color="auto"/>
              <w:bottom w:val="single" w:sz="4" w:space="0" w:color="auto"/>
              <w:right w:val="dotted" w:sz="4" w:space="0" w:color="auto"/>
            </w:tcBorders>
            <w:vAlign w:val="center"/>
            <w:hideMark/>
          </w:tcPr>
          <w:p w14:paraId="07F32F86" w14:textId="77777777" w:rsidR="00B00804" w:rsidRPr="006A6E65" w:rsidRDefault="00B00804" w:rsidP="00B00804">
            <w:pPr>
              <w:jc w:val="center"/>
              <w:rPr>
                <w:rFonts w:cs="Arial"/>
                <w:b/>
                <w:sz w:val="18"/>
                <w:szCs w:val="18"/>
                <w:lang w:val="es-ES_tradnl"/>
              </w:rPr>
            </w:pPr>
            <w:r w:rsidRPr="006A6E65">
              <w:rPr>
                <w:rFonts w:cs="Arial"/>
                <w:b/>
                <w:sz w:val="20"/>
                <w:szCs w:val="20"/>
                <w:lang w:val="es-ES_tradnl"/>
              </w:rPr>
              <w:t>Medios de verificación</w:t>
            </w:r>
          </w:p>
        </w:tc>
      </w:tr>
      <w:tr w:rsidR="00FC7F09" w:rsidRPr="006A6E65" w14:paraId="559C96FF" w14:textId="77777777" w:rsidTr="00025459">
        <w:tc>
          <w:tcPr>
            <w:tcW w:w="10260" w:type="dxa"/>
            <w:gridSpan w:val="8"/>
            <w:tcBorders>
              <w:top w:val="single" w:sz="4" w:space="0" w:color="auto"/>
              <w:left w:val="dotted" w:sz="4" w:space="0" w:color="auto"/>
              <w:bottom w:val="single" w:sz="4" w:space="0" w:color="auto"/>
              <w:right w:val="dotted" w:sz="4" w:space="0" w:color="auto"/>
            </w:tcBorders>
            <w:vAlign w:val="center"/>
          </w:tcPr>
          <w:p w14:paraId="7E59C9B8" w14:textId="6E8F8F8F" w:rsidR="00FC7F09" w:rsidRPr="006A6E65" w:rsidRDefault="00FC7F09" w:rsidP="00FC7F09">
            <w:pPr>
              <w:rPr>
                <w:rFonts w:cs="Arial"/>
                <w:b/>
                <w:i/>
                <w:sz w:val="20"/>
                <w:szCs w:val="20"/>
                <w:lang w:val="es-ES_tradnl"/>
              </w:rPr>
            </w:pPr>
            <w:r w:rsidRPr="006A6E65">
              <w:rPr>
                <w:rFonts w:cs="Arial"/>
                <w:b/>
                <w:i/>
                <w:sz w:val="20"/>
                <w:szCs w:val="20"/>
                <w:lang w:val="es-ES_tradnl"/>
              </w:rPr>
              <w:t>Mejora de la capacidad de rectoría del MTPS y regulación del SENCE en el ámbito de la capacitación e intermediación laboral</w:t>
            </w:r>
          </w:p>
        </w:tc>
      </w:tr>
      <w:tr w:rsidR="00B00804" w:rsidRPr="006A6E65" w14:paraId="2BF65C96" w14:textId="77777777" w:rsidTr="00FD7DFD">
        <w:tc>
          <w:tcPr>
            <w:tcW w:w="2530" w:type="dxa"/>
            <w:vMerge w:val="restart"/>
            <w:tcBorders>
              <w:top w:val="nil"/>
              <w:left w:val="dotted" w:sz="4" w:space="0" w:color="auto"/>
              <w:bottom w:val="single" w:sz="4" w:space="0" w:color="auto"/>
              <w:right w:val="dotted" w:sz="4" w:space="0" w:color="auto"/>
            </w:tcBorders>
            <w:vAlign w:val="center"/>
            <w:hideMark/>
          </w:tcPr>
          <w:p w14:paraId="2BAD6672" w14:textId="29266A41" w:rsidR="00B00804" w:rsidRPr="006A6E65" w:rsidRDefault="00B00804" w:rsidP="00B00804">
            <w:pPr>
              <w:rPr>
                <w:rFonts w:cs="Arial"/>
                <w:sz w:val="18"/>
                <w:szCs w:val="18"/>
                <w:lang w:val="es-ES_tradnl"/>
              </w:rPr>
            </w:pPr>
            <w:r w:rsidRPr="006A6E65">
              <w:rPr>
                <w:rFonts w:cs="Arial"/>
                <w:sz w:val="18"/>
                <w:szCs w:val="18"/>
                <w:lang w:val="es-ES_tradnl"/>
              </w:rPr>
              <w:t>Producto #1</w:t>
            </w:r>
            <w:r w:rsidR="00FC7F09" w:rsidRPr="006A6E65">
              <w:rPr>
                <w:rFonts w:cs="Arial"/>
                <w:sz w:val="18"/>
                <w:szCs w:val="18"/>
                <w:lang w:val="es-ES_tradnl"/>
              </w:rPr>
              <w:t>.1</w:t>
            </w:r>
            <w:r w:rsidRPr="006A6E65">
              <w:rPr>
                <w:rFonts w:cs="Arial"/>
                <w:sz w:val="18"/>
                <w:szCs w:val="18"/>
                <w:lang w:val="es-ES_tradnl"/>
              </w:rPr>
              <w:t xml:space="preserve"> Evalua</w:t>
            </w:r>
            <w:r w:rsidR="009343BA" w:rsidRPr="006A6E65">
              <w:rPr>
                <w:rFonts w:cs="Arial"/>
                <w:sz w:val="18"/>
                <w:szCs w:val="18"/>
                <w:lang w:val="es-ES_tradnl"/>
              </w:rPr>
              <w:t>c</w:t>
            </w:r>
            <w:r w:rsidRPr="006A6E65">
              <w:rPr>
                <w:rFonts w:cs="Arial"/>
                <w:sz w:val="18"/>
                <w:szCs w:val="18"/>
                <w:lang w:val="es-ES_tradnl"/>
              </w:rPr>
              <w:t>ión y rediseño de programas de capacitación.</w:t>
            </w:r>
          </w:p>
        </w:tc>
        <w:tc>
          <w:tcPr>
            <w:tcW w:w="1040" w:type="dxa"/>
            <w:vMerge w:val="restart"/>
            <w:tcBorders>
              <w:top w:val="nil"/>
              <w:left w:val="dotted" w:sz="4" w:space="0" w:color="auto"/>
              <w:bottom w:val="single" w:sz="4" w:space="0" w:color="auto"/>
              <w:right w:val="dotted" w:sz="4" w:space="0" w:color="auto"/>
            </w:tcBorders>
            <w:vAlign w:val="center"/>
          </w:tcPr>
          <w:p w14:paraId="363FFD67"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número</w:t>
            </w:r>
          </w:p>
        </w:tc>
        <w:tc>
          <w:tcPr>
            <w:tcW w:w="1008" w:type="dxa"/>
            <w:vMerge w:val="restart"/>
            <w:tcBorders>
              <w:top w:val="nil"/>
              <w:left w:val="dotted" w:sz="4" w:space="0" w:color="auto"/>
              <w:bottom w:val="single" w:sz="4" w:space="0" w:color="auto"/>
              <w:right w:val="dotted" w:sz="4" w:space="0" w:color="auto"/>
            </w:tcBorders>
            <w:vAlign w:val="center"/>
          </w:tcPr>
          <w:p w14:paraId="4FE93807"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0</w:t>
            </w:r>
          </w:p>
        </w:tc>
        <w:tc>
          <w:tcPr>
            <w:tcW w:w="991" w:type="dxa"/>
            <w:vMerge w:val="restart"/>
            <w:tcBorders>
              <w:top w:val="nil"/>
              <w:left w:val="dotted" w:sz="4" w:space="0" w:color="auto"/>
              <w:bottom w:val="single" w:sz="4" w:space="0" w:color="auto"/>
              <w:right w:val="dotted" w:sz="4" w:space="0" w:color="auto"/>
            </w:tcBorders>
            <w:vAlign w:val="center"/>
          </w:tcPr>
          <w:p w14:paraId="411735B1"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2012</w:t>
            </w:r>
          </w:p>
        </w:tc>
        <w:tc>
          <w:tcPr>
            <w:tcW w:w="592" w:type="dxa"/>
            <w:tcBorders>
              <w:top w:val="nil"/>
              <w:left w:val="dotted" w:sz="4" w:space="0" w:color="auto"/>
              <w:bottom w:val="nil"/>
              <w:right w:val="dotted" w:sz="4" w:space="0" w:color="auto"/>
            </w:tcBorders>
            <w:vAlign w:val="center"/>
            <w:hideMark/>
          </w:tcPr>
          <w:p w14:paraId="32739647" w14:textId="77777777" w:rsidR="00B00804" w:rsidRPr="006A6E65" w:rsidRDefault="00B00804" w:rsidP="00B00804">
            <w:pPr>
              <w:rPr>
                <w:rFonts w:cs="Arial"/>
                <w:sz w:val="18"/>
                <w:szCs w:val="18"/>
                <w:lang w:val="es-ES_tradnl"/>
              </w:rPr>
            </w:pPr>
            <w:r w:rsidRPr="006A6E65">
              <w:rPr>
                <w:rFonts w:cs="Arial"/>
                <w:sz w:val="18"/>
                <w:szCs w:val="18"/>
                <w:lang w:val="es-ES_tradnl"/>
              </w:rPr>
              <w:t xml:space="preserve">P </w:t>
            </w:r>
          </w:p>
        </w:tc>
        <w:tc>
          <w:tcPr>
            <w:tcW w:w="746" w:type="dxa"/>
            <w:tcBorders>
              <w:top w:val="nil"/>
              <w:left w:val="dotted" w:sz="4" w:space="0" w:color="auto"/>
              <w:bottom w:val="nil"/>
              <w:right w:val="dotted" w:sz="4" w:space="0" w:color="auto"/>
            </w:tcBorders>
            <w:vAlign w:val="center"/>
          </w:tcPr>
          <w:p w14:paraId="1758E681" w14:textId="77777777" w:rsidR="00B00804" w:rsidRPr="006A6E65" w:rsidRDefault="00B00804" w:rsidP="00B00804">
            <w:pPr>
              <w:rPr>
                <w:rFonts w:cs="Arial"/>
                <w:sz w:val="18"/>
                <w:szCs w:val="18"/>
                <w:lang w:val="es-ES_tradnl"/>
              </w:rPr>
            </w:pPr>
            <w:r w:rsidRPr="006A6E65">
              <w:rPr>
                <w:rFonts w:cs="Arial"/>
                <w:sz w:val="18"/>
                <w:szCs w:val="18"/>
                <w:lang w:val="es-ES_tradnl"/>
              </w:rPr>
              <w:t>2</w:t>
            </w:r>
          </w:p>
        </w:tc>
        <w:tc>
          <w:tcPr>
            <w:tcW w:w="1217" w:type="dxa"/>
            <w:vMerge w:val="restart"/>
            <w:tcBorders>
              <w:top w:val="nil"/>
              <w:left w:val="dotted" w:sz="4" w:space="0" w:color="auto"/>
              <w:bottom w:val="single" w:sz="4" w:space="0" w:color="auto"/>
              <w:right w:val="dotted" w:sz="4" w:space="0" w:color="auto"/>
            </w:tcBorders>
            <w:vAlign w:val="center"/>
          </w:tcPr>
          <w:p w14:paraId="488FABFE" w14:textId="77777777" w:rsidR="00B00804" w:rsidRPr="006A6E65" w:rsidRDefault="00B00804" w:rsidP="00B00804">
            <w:pPr>
              <w:rPr>
                <w:rFonts w:cs="Arial"/>
                <w:sz w:val="18"/>
                <w:szCs w:val="18"/>
                <w:lang w:val="es-ES_tradnl"/>
              </w:rPr>
            </w:pPr>
            <w:r w:rsidRPr="006A6E65">
              <w:rPr>
                <w:rFonts w:cs="Arial"/>
                <w:sz w:val="18"/>
                <w:szCs w:val="18"/>
                <w:lang w:val="es-ES_tradnl"/>
              </w:rPr>
              <w:t>100.00</w:t>
            </w:r>
          </w:p>
        </w:tc>
        <w:tc>
          <w:tcPr>
            <w:tcW w:w="2136" w:type="dxa"/>
            <w:tcBorders>
              <w:top w:val="nil"/>
              <w:left w:val="dotted" w:sz="4" w:space="0" w:color="auto"/>
              <w:bottom w:val="nil"/>
              <w:right w:val="dotted" w:sz="4" w:space="0" w:color="auto"/>
            </w:tcBorders>
          </w:tcPr>
          <w:p w14:paraId="4AC613E7" w14:textId="77777777" w:rsidR="00B00804" w:rsidRPr="006A6E65" w:rsidRDefault="00B00804" w:rsidP="00B00804">
            <w:pPr>
              <w:rPr>
                <w:rFonts w:cs="Arial"/>
                <w:sz w:val="18"/>
                <w:szCs w:val="18"/>
                <w:lang w:val="es-ES_tradnl"/>
              </w:rPr>
            </w:pPr>
            <w:r w:rsidRPr="006A6E65">
              <w:rPr>
                <w:rFonts w:cs="Arial"/>
                <w:sz w:val="18"/>
                <w:szCs w:val="18"/>
                <w:lang w:val="es-ES_tradnl"/>
              </w:rPr>
              <w:t>Informes semestrales de progreso</w:t>
            </w:r>
          </w:p>
        </w:tc>
      </w:tr>
      <w:tr w:rsidR="00B00804" w:rsidRPr="006A6E65" w14:paraId="1D6C2223" w14:textId="77777777" w:rsidTr="00FD7DFD">
        <w:tc>
          <w:tcPr>
            <w:tcW w:w="2530" w:type="dxa"/>
            <w:vMerge/>
            <w:tcBorders>
              <w:top w:val="nil"/>
              <w:left w:val="dotted" w:sz="4" w:space="0" w:color="auto"/>
              <w:bottom w:val="single" w:sz="4" w:space="0" w:color="auto"/>
              <w:right w:val="dotted" w:sz="4" w:space="0" w:color="auto"/>
            </w:tcBorders>
            <w:vAlign w:val="center"/>
            <w:hideMark/>
          </w:tcPr>
          <w:p w14:paraId="254AADE7"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vAlign w:val="center"/>
            <w:hideMark/>
          </w:tcPr>
          <w:p w14:paraId="3CFE2E5E"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vAlign w:val="center"/>
            <w:hideMark/>
          </w:tcPr>
          <w:p w14:paraId="7E458F81"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vAlign w:val="center"/>
            <w:hideMark/>
          </w:tcPr>
          <w:p w14:paraId="4D9F5361"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nil"/>
              <w:right w:val="dotted" w:sz="4" w:space="0" w:color="auto"/>
            </w:tcBorders>
            <w:vAlign w:val="center"/>
            <w:hideMark/>
          </w:tcPr>
          <w:p w14:paraId="744E9277" w14:textId="77777777" w:rsidR="00B00804" w:rsidRPr="006A6E65" w:rsidRDefault="00B00804" w:rsidP="00B00804">
            <w:pPr>
              <w:rPr>
                <w:rFonts w:cs="Arial"/>
                <w:sz w:val="18"/>
                <w:szCs w:val="18"/>
                <w:lang w:val="es-ES_tradnl"/>
              </w:rPr>
            </w:pPr>
            <w:r w:rsidRPr="006A6E65">
              <w:rPr>
                <w:rFonts w:cs="Arial"/>
                <w:sz w:val="18"/>
                <w:szCs w:val="18"/>
                <w:lang w:val="es-ES_tradnl"/>
              </w:rPr>
              <w:t>P(a)</w:t>
            </w:r>
          </w:p>
        </w:tc>
        <w:tc>
          <w:tcPr>
            <w:tcW w:w="746" w:type="dxa"/>
            <w:tcBorders>
              <w:top w:val="nil"/>
              <w:left w:val="dotted" w:sz="4" w:space="0" w:color="auto"/>
              <w:bottom w:val="nil"/>
              <w:right w:val="dotted" w:sz="4" w:space="0" w:color="auto"/>
            </w:tcBorders>
            <w:vAlign w:val="center"/>
          </w:tcPr>
          <w:p w14:paraId="0555E475" w14:textId="77777777" w:rsidR="00B00804" w:rsidRPr="006A6E65" w:rsidRDefault="00B00804" w:rsidP="00B00804">
            <w:pPr>
              <w:rPr>
                <w:rFonts w:cs="Arial"/>
                <w:sz w:val="18"/>
                <w:szCs w:val="18"/>
                <w:lang w:val="es-ES_tradnl"/>
              </w:rPr>
            </w:pPr>
            <w:r w:rsidRPr="006A6E65">
              <w:rPr>
                <w:rFonts w:cs="Arial"/>
                <w:sz w:val="18"/>
                <w:szCs w:val="18"/>
                <w:lang w:val="es-ES_tradnl"/>
              </w:rPr>
              <w:t>2</w:t>
            </w:r>
          </w:p>
        </w:tc>
        <w:tc>
          <w:tcPr>
            <w:tcW w:w="0" w:type="auto"/>
            <w:vMerge/>
            <w:tcBorders>
              <w:top w:val="nil"/>
              <w:left w:val="dotted" w:sz="4" w:space="0" w:color="auto"/>
              <w:bottom w:val="single" w:sz="4" w:space="0" w:color="auto"/>
              <w:right w:val="dotted" w:sz="4" w:space="0" w:color="auto"/>
            </w:tcBorders>
            <w:vAlign w:val="center"/>
            <w:hideMark/>
          </w:tcPr>
          <w:p w14:paraId="4B2A0E7B"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nil"/>
              <w:right w:val="dotted" w:sz="4" w:space="0" w:color="auto"/>
            </w:tcBorders>
          </w:tcPr>
          <w:p w14:paraId="277A6472" w14:textId="77777777" w:rsidR="00B00804" w:rsidRPr="006A6E65" w:rsidRDefault="00B00804" w:rsidP="00B00804">
            <w:pPr>
              <w:rPr>
                <w:rFonts w:cs="Arial"/>
                <w:sz w:val="18"/>
                <w:szCs w:val="18"/>
                <w:lang w:val="es-ES_tradnl"/>
              </w:rPr>
            </w:pPr>
          </w:p>
        </w:tc>
      </w:tr>
      <w:tr w:rsidR="00B00804" w:rsidRPr="006A6E65" w14:paraId="37F5B949" w14:textId="77777777" w:rsidTr="00FD7DFD">
        <w:tc>
          <w:tcPr>
            <w:tcW w:w="2530" w:type="dxa"/>
            <w:vMerge/>
            <w:tcBorders>
              <w:top w:val="nil"/>
              <w:left w:val="dotted" w:sz="4" w:space="0" w:color="auto"/>
              <w:bottom w:val="single" w:sz="4" w:space="0" w:color="auto"/>
              <w:right w:val="dotted" w:sz="4" w:space="0" w:color="auto"/>
            </w:tcBorders>
            <w:vAlign w:val="center"/>
            <w:hideMark/>
          </w:tcPr>
          <w:p w14:paraId="58665F72"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vAlign w:val="center"/>
            <w:hideMark/>
          </w:tcPr>
          <w:p w14:paraId="6A68843C"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vAlign w:val="center"/>
            <w:hideMark/>
          </w:tcPr>
          <w:p w14:paraId="46A5DA3F"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vAlign w:val="center"/>
            <w:hideMark/>
          </w:tcPr>
          <w:p w14:paraId="63B284AB"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single" w:sz="4" w:space="0" w:color="auto"/>
              <w:right w:val="dotted" w:sz="4" w:space="0" w:color="auto"/>
            </w:tcBorders>
            <w:vAlign w:val="center"/>
            <w:hideMark/>
          </w:tcPr>
          <w:p w14:paraId="52986F88" w14:textId="77777777" w:rsidR="00B00804" w:rsidRPr="006A6E65" w:rsidRDefault="00B00804" w:rsidP="00B00804">
            <w:pPr>
              <w:rPr>
                <w:rFonts w:cs="Arial"/>
                <w:sz w:val="18"/>
                <w:szCs w:val="18"/>
                <w:lang w:val="es-ES_tradnl"/>
              </w:rPr>
            </w:pPr>
            <w:r w:rsidRPr="006A6E65">
              <w:rPr>
                <w:rFonts w:cs="Arial"/>
                <w:sz w:val="18"/>
                <w:szCs w:val="18"/>
                <w:lang w:val="es-ES_tradnl"/>
              </w:rPr>
              <w:t>A</w:t>
            </w:r>
          </w:p>
        </w:tc>
        <w:tc>
          <w:tcPr>
            <w:tcW w:w="746" w:type="dxa"/>
            <w:tcBorders>
              <w:top w:val="nil"/>
              <w:left w:val="dotted" w:sz="4" w:space="0" w:color="auto"/>
              <w:bottom w:val="single" w:sz="4" w:space="0" w:color="auto"/>
              <w:right w:val="dotted" w:sz="4" w:space="0" w:color="auto"/>
            </w:tcBorders>
            <w:vAlign w:val="center"/>
          </w:tcPr>
          <w:p w14:paraId="3CFBA553" w14:textId="77777777" w:rsidR="00B00804" w:rsidRPr="006A6E65" w:rsidRDefault="00B00804" w:rsidP="00B00804">
            <w:pPr>
              <w:rPr>
                <w:rFonts w:cs="Arial"/>
                <w:sz w:val="18"/>
                <w:szCs w:val="18"/>
                <w:lang w:val="es-ES_tradnl"/>
              </w:rPr>
            </w:pPr>
            <w:r w:rsidRPr="006A6E65">
              <w:rPr>
                <w:rFonts w:cs="Arial"/>
                <w:sz w:val="18"/>
                <w:szCs w:val="18"/>
                <w:lang w:val="es-ES_tradnl"/>
              </w:rPr>
              <w:t>2</w:t>
            </w:r>
          </w:p>
        </w:tc>
        <w:tc>
          <w:tcPr>
            <w:tcW w:w="0" w:type="auto"/>
            <w:vMerge/>
            <w:tcBorders>
              <w:top w:val="nil"/>
              <w:left w:val="dotted" w:sz="4" w:space="0" w:color="auto"/>
              <w:bottom w:val="single" w:sz="4" w:space="0" w:color="auto"/>
              <w:right w:val="dotted" w:sz="4" w:space="0" w:color="auto"/>
            </w:tcBorders>
            <w:vAlign w:val="center"/>
            <w:hideMark/>
          </w:tcPr>
          <w:p w14:paraId="1D0230BB"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single" w:sz="4" w:space="0" w:color="auto"/>
              <w:right w:val="dotted" w:sz="4" w:space="0" w:color="auto"/>
            </w:tcBorders>
          </w:tcPr>
          <w:p w14:paraId="781425A9" w14:textId="77777777" w:rsidR="00B00804" w:rsidRPr="006A6E65" w:rsidRDefault="00B00804" w:rsidP="00B00804">
            <w:pPr>
              <w:rPr>
                <w:rFonts w:cs="Arial"/>
                <w:sz w:val="18"/>
                <w:szCs w:val="18"/>
                <w:lang w:val="es-ES_tradnl"/>
              </w:rPr>
            </w:pPr>
          </w:p>
        </w:tc>
      </w:tr>
      <w:tr w:rsidR="00B00804" w:rsidRPr="006A6E65" w14:paraId="13E342C3" w14:textId="77777777" w:rsidTr="00FD7DFD">
        <w:tc>
          <w:tcPr>
            <w:tcW w:w="2530" w:type="dxa"/>
            <w:vMerge w:val="restart"/>
            <w:tcBorders>
              <w:top w:val="single" w:sz="4" w:space="0" w:color="auto"/>
              <w:left w:val="dotted" w:sz="4" w:space="0" w:color="auto"/>
              <w:bottom w:val="single" w:sz="4" w:space="0" w:color="auto"/>
              <w:right w:val="dotted" w:sz="4" w:space="0" w:color="auto"/>
            </w:tcBorders>
            <w:vAlign w:val="center"/>
            <w:hideMark/>
          </w:tcPr>
          <w:p w14:paraId="68D1E6C8" w14:textId="63F458DE" w:rsidR="00B00804" w:rsidRPr="006A6E65" w:rsidRDefault="00B00804" w:rsidP="00B00804">
            <w:pPr>
              <w:rPr>
                <w:rFonts w:cs="Arial"/>
                <w:sz w:val="18"/>
                <w:szCs w:val="18"/>
                <w:lang w:val="es-ES_tradnl"/>
              </w:rPr>
            </w:pPr>
            <w:r w:rsidRPr="006A6E65">
              <w:rPr>
                <w:rFonts w:cs="Arial"/>
                <w:sz w:val="18"/>
                <w:szCs w:val="18"/>
                <w:lang w:val="es-ES_tradnl"/>
              </w:rPr>
              <w:t>Producto #</w:t>
            </w:r>
            <w:r w:rsidR="00FC7F09" w:rsidRPr="006A6E65">
              <w:rPr>
                <w:rFonts w:cs="Arial"/>
                <w:sz w:val="18"/>
                <w:szCs w:val="18"/>
                <w:lang w:val="es-ES_tradnl"/>
              </w:rPr>
              <w:t>1.</w:t>
            </w:r>
            <w:r w:rsidRPr="006A6E65">
              <w:rPr>
                <w:rFonts w:cs="Arial"/>
                <w:sz w:val="18"/>
                <w:szCs w:val="18"/>
                <w:lang w:val="es-ES_tradnl"/>
              </w:rPr>
              <w:t>2 Diseño de propuesta e instrumentos para acreditación y seguimiento de capacitación.</w:t>
            </w:r>
          </w:p>
        </w:tc>
        <w:tc>
          <w:tcPr>
            <w:tcW w:w="1040" w:type="dxa"/>
            <w:vMerge w:val="restart"/>
            <w:tcBorders>
              <w:top w:val="single" w:sz="4" w:space="0" w:color="auto"/>
              <w:left w:val="dotted" w:sz="4" w:space="0" w:color="auto"/>
              <w:bottom w:val="single" w:sz="4" w:space="0" w:color="auto"/>
              <w:right w:val="dotted" w:sz="4" w:space="0" w:color="auto"/>
            </w:tcBorders>
            <w:vAlign w:val="center"/>
          </w:tcPr>
          <w:p w14:paraId="578F6883"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número</w:t>
            </w:r>
          </w:p>
        </w:tc>
        <w:tc>
          <w:tcPr>
            <w:tcW w:w="1008" w:type="dxa"/>
            <w:vMerge w:val="restart"/>
            <w:tcBorders>
              <w:top w:val="single" w:sz="4" w:space="0" w:color="auto"/>
              <w:left w:val="dotted" w:sz="4" w:space="0" w:color="auto"/>
              <w:bottom w:val="single" w:sz="4" w:space="0" w:color="auto"/>
              <w:right w:val="dotted" w:sz="4" w:space="0" w:color="auto"/>
            </w:tcBorders>
            <w:vAlign w:val="center"/>
          </w:tcPr>
          <w:p w14:paraId="33A94BF9"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0</w:t>
            </w:r>
          </w:p>
        </w:tc>
        <w:tc>
          <w:tcPr>
            <w:tcW w:w="991" w:type="dxa"/>
            <w:vMerge w:val="restart"/>
            <w:tcBorders>
              <w:top w:val="single" w:sz="4" w:space="0" w:color="auto"/>
              <w:left w:val="dotted" w:sz="4" w:space="0" w:color="auto"/>
              <w:bottom w:val="single" w:sz="4" w:space="0" w:color="auto"/>
              <w:right w:val="dotted" w:sz="4" w:space="0" w:color="auto"/>
            </w:tcBorders>
            <w:vAlign w:val="center"/>
          </w:tcPr>
          <w:p w14:paraId="00D455E5"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2012</w:t>
            </w:r>
          </w:p>
        </w:tc>
        <w:tc>
          <w:tcPr>
            <w:tcW w:w="592" w:type="dxa"/>
            <w:tcBorders>
              <w:top w:val="single" w:sz="4" w:space="0" w:color="auto"/>
              <w:left w:val="dotted" w:sz="4" w:space="0" w:color="auto"/>
              <w:bottom w:val="nil"/>
              <w:right w:val="dotted" w:sz="4" w:space="0" w:color="auto"/>
            </w:tcBorders>
            <w:vAlign w:val="center"/>
            <w:hideMark/>
          </w:tcPr>
          <w:p w14:paraId="6CEFDBC6" w14:textId="77777777" w:rsidR="00B00804" w:rsidRPr="006A6E65" w:rsidRDefault="00B00804" w:rsidP="00B00804">
            <w:pPr>
              <w:rPr>
                <w:rFonts w:cs="Arial"/>
                <w:sz w:val="18"/>
                <w:szCs w:val="18"/>
                <w:lang w:val="es-ES_tradnl"/>
              </w:rPr>
            </w:pPr>
            <w:r w:rsidRPr="006A6E65">
              <w:rPr>
                <w:rFonts w:cs="Arial"/>
                <w:sz w:val="18"/>
                <w:szCs w:val="18"/>
                <w:lang w:val="es-ES_tradnl"/>
              </w:rPr>
              <w:t>P</w:t>
            </w:r>
          </w:p>
        </w:tc>
        <w:tc>
          <w:tcPr>
            <w:tcW w:w="746" w:type="dxa"/>
            <w:tcBorders>
              <w:top w:val="single" w:sz="4" w:space="0" w:color="auto"/>
              <w:left w:val="dotted" w:sz="4" w:space="0" w:color="auto"/>
              <w:bottom w:val="nil"/>
              <w:right w:val="dotted" w:sz="4" w:space="0" w:color="auto"/>
            </w:tcBorders>
            <w:vAlign w:val="center"/>
          </w:tcPr>
          <w:p w14:paraId="48CF33DD" w14:textId="77777777" w:rsidR="00B00804" w:rsidRPr="006A6E65" w:rsidRDefault="00B00804" w:rsidP="00B00804">
            <w:pPr>
              <w:rPr>
                <w:rFonts w:cs="Arial"/>
                <w:sz w:val="18"/>
                <w:szCs w:val="18"/>
                <w:lang w:val="es-ES_tradnl"/>
              </w:rPr>
            </w:pPr>
            <w:r w:rsidRPr="006A6E65">
              <w:rPr>
                <w:rFonts w:cs="Arial"/>
                <w:sz w:val="18"/>
                <w:szCs w:val="18"/>
                <w:lang w:val="es-ES_tradnl"/>
              </w:rPr>
              <w:t>1</w:t>
            </w:r>
          </w:p>
        </w:tc>
        <w:tc>
          <w:tcPr>
            <w:tcW w:w="1217" w:type="dxa"/>
            <w:vMerge w:val="restart"/>
            <w:tcBorders>
              <w:top w:val="single" w:sz="4" w:space="0" w:color="auto"/>
              <w:left w:val="dotted" w:sz="4" w:space="0" w:color="auto"/>
              <w:bottom w:val="single" w:sz="4" w:space="0" w:color="auto"/>
              <w:right w:val="dotted" w:sz="4" w:space="0" w:color="auto"/>
            </w:tcBorders>
            <w:vAlign w:val="center"/>
          </w:tcPr>
          <w:p w14:paraId="5005911B" w14:textId="77777777" w:rsidR="00B00804" w:rsidRPr="006A6E65" w:rsidRDefault="00B00804" w:rsidP="00B00804">
            <w:pPr>
              <w:rPr>
                <w:rFonts w:cs="Arial"/>
                <w:sz w:val="18"/>
                <w:szCs w:val="18"/>
                <w:lang w:val="es-ES_tradnl"/>
              </w:rPr>
            </w:pPr>
            <w:r w:rsidRPr="006A6E65">
              <w:rPr>
                <w:rFonts w:cs="Arial"/>
                <w:sz w:val="18"/>
                <w:szCs w:val="18"/>
                <w:lang w:val="es-ES_tradnl"/>
              </w:rPr>
              <w:t>100.00</w:t>
            </w:r>
          </w:p>
        </w:tc>
        <w:tc>
          <w:tcPr>
            <w:tcW w:w="2136" w:type="dxa"/>
            <w:tcBorders>
              <w:top w:val="single" w:sz="4" w:space="0" w:color="auto"/>
              <w:left w:val="dotted" w:sz="4" w:space="0" w:color="auto"/>
              <w:bottom w:val="nil"/>
              <w:right w:val="dotted" w:sz="4" w:space="0" w:color="auto"/>
            </w:tcBorders>
          </w:tcPr>
          <w:p w14:paraId="009CA143" w14:textId="77777777" w:rsidR="00B00804" w:rsidRPr="006A6E65" w:rsidRDefault="00B00804" w:rsidP="00B00804">
            <w:pPr>
              <w:rPr>
                <w:rFonts w:cs="Arial"/>
                <w:sz w:val="18"/>
                <w:szCs w:val="18"/>
                <w:lang w:val="es-ES_tradnl"/>
              </w:rPr>
            </w:pPr>
          </w:p>
        </w:tc>
      </w:tr>
      <w:tr w:rsidR="00B00804" w:rsidRPr="006A6E65" w14:paraId="30DFD9CC" w14:textId="77777777" w:rsidTr="00FD7DFD">
        <w:tc>
          <w:tcPr>
            <w:tcW w:w="2530" w:type="dxa"/>
            <w:vMerge/>
            <w:tcBorders>
              <w:top w:val="single" w:sz="4" w:space="0" w:color="auto"/>
              <w:left w:val="dotted" w:sz="4" w:space="0" w:color="auto"/>
              <w:bottom w:val="single" w:sz="4" w:space="0" w:color="auto"/>
              <w:right w:val="dotted" w:sz="4" w:space="0" w:color="auto"/>
            </w:tcBorders>
            <w:vAlign w:val="center"/>
            <w:hideMark/>
          </w:tcPr>
          <w:p w14:paraId="1084E7E5" w14:textId="77777777" w:rsidR="00B00804" w:rsidRPr="006A6E65" w:rsidRDefault="00B00804" w:rsidP="00B00804">
            <w:pPr>
              <w:rPr>
                <w:rFonts w:cs="Arial"/>
                <w:sz w:val="18"/>
                <w:szCs w:val="18"/>
                <w:lang w:val="es-ES_tradnl"/>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55C0EBE2" w14:textId="77777777" w:rsidR="00B00804" w:rsidRPr="006A6E65" w:rsidRDefault="00B00804" w:rsidP="00B00804">
            <w:pPr>
              <w:rPr>
                <w:rFonts w:cs="Arial"/>
                <w:sz w:val="18"/>
                <w:szCs w:val="18"/>
                <w:lang w:val="es-ES_tradnl"/>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65261B52" w14:textId="77777777" w:rsidR="00B00804" w:rsidRPr="006A6E65" w:rsidRDefault="00B00804" w:rsidP="00B00804">
            <w:pPr>
              <w:rPr>
                <w:rFonts w:cs="Arial"/>
                <w:sz w:val="18"/>
                <w:szCs w:val="18"/>
                <w:lang w:val="es-ES_tradnl"/>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01F315A0"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nil"/>
              <w:right w:val="dotted" w:sz="4" w:space="0" w:color="auto"/>
            </w:tcBorders>
            <w:vAlign w:val="center"/>
            <w:hideMark/>
          </w:tcPr>
          <w:p w14:paraId="65913FC3" w14:textId="77777777" w:rsidR="00B00804" w:rsidRPr="006A6E65" w:rsidRDefault="00B00804" w:rsidP="00B00804">
            <w:pPr>
              <w:rPr>
                <w:rFonts w:cs="Arial"/>
                <w:sz w:val="18"/>
                <w:szCs w:val="18"/>
                <w:lang w:val="es-ES_tradnl"/>
              </w:rPr>
            </w:pPr>
            <w:r w:rsidRPr="006A6E65">
              <w:rPr>
                <w:rFonts w:cs="Arial"/>
                <w:sz w:val="18"/>
                <w:szCs w:val="18"/>
                <w:lang w:val="es-ES_tradnl"/>
              </w:rPr>
              <w:t>P(a)</w:t>
            </w:r>
          </w:p>
        </w:tc>
        <w:tc>
          <w:tcPr>
            <w:tcW w:w="746" w:type="dxa"/>
            <w:tcBorders>
              <w:top w:val="nil"/>
              <w:left w:val="dotted" w:sz="4" w:space="0" w:color="auto"/>
              <w:bottom w:val="nil"/>
              <w:right w:val="dotted" w:sz="4" w:space="0" w:color="auto"/>
            </w:tcBorders>
            <w:vAlign w:val="center"/>
          </w:tcPr>
          <w:p w14:paraId="1048153B" w14:textId="77777777" w:rsidR="00B00804" w:rsidRPr="006A6E65" w:rsidRDefault="00B00804" w:rsidP="00B00804">
            <w:pPr>
              <w:rPr>
                <w:rFonts w:cs="Arial"/>
                <w:sz w:val="18"/>
                <w:szCs w:val="18"/>
                <w:lang w:val="es-ES_tradnl"/>
              </w:rPr>
            </w:pPr>
            <w:r w:rsidRPr="006A6E65">
              <w:rPr>
                <w:rFonts w:cs="Arial"/>
                <w:sz w:val="18"/>
                <w:szCs w:val="18"/>
                <w:lang w:val="es-ES_tradnl"/>
              </w:rPr>
              <w:t>1</w:t>
            </w: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38632671"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nil"/>
              <w:right w:val="dotted" w:sz="4" w:space="0" w:color="auto"/>
            </w:tcBorders>
          </w:tcPr>
          <w:p w14:paraId="4EC684C2" w14:textId="77777777" w:rsidR="00B00804" w:rsidRPr="006A6E65" w:rsidRDefault="00B00804" w:rsidP="00B00804">
            <w:pPr>
              <w:rPr>
                <w:rFonts w:cs="Arial"/>
                <w:sz w:val="18"/>
                <w:szCs w:val="18"/>
                <w:lang w:val="es-ES_tradnl"/>
              </w:rPr>
            </w:pPr>
            <w:r w:rsidRPr="006A6E65">
              <w:rPr>
                <w:rFonts w:cs="Arial"/>
                <w:sz w:val="18"/>
                <w:szCs w:val="18"/>
                <w:lang w:val="es-ES_tradnl"/>
              </w:rPr>
              <w:t>Informes semestrales de progreso</w:t>
            </w:r>
          </w:p>
        </w:tc>
      </w:tr>
      <w:tr w:rsidR="00B00804" w:rsidRPr="006A6E65" w14:paraId="68D423A9" w14:textId="77777777" w:rsidTr="00FD7DFD">
        <w:tc>
          <w:tcPr>
            <w:tcW w:w="2530" w:type="dxa"/>
            <w:vMerge/>
            <w:tcBorders>
              <w:top w:val="single" w:sz="4" w:space="0" w:color="auto"/>
              <w:left w:val="dotted" w:sz="4" w:space="0" w:color="auto"/>
              <w:bottom w:val="single" w:sz="4" w:space="0" w:color="auto"/>
              <w:right w:val="dotted" w:sz="4" w:space="0" w:color="auto"/>
            </w:tcBorders>
            <w:vAlign w:val="center"/>
            <w:hideMark/>
          </w:tcPr>
          <w:p w14:paraId="16B3405A" w14:textId="77777777" w:rsidR="00B00804" w:rsidRPr="006A6E65" w:rsidRDefault="00B00804" w:rsidP="00B00804">
            <w:pPr>
              <w:rPr>
                <w:rFonts w:cs="Arial"/>
                <w:sz w:val="18"/>
                <w:szCs w:val="18"/>
                <w:lang w:val="es-ES_tradnl"/>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75B87CFB" w14:textId="77777777" w:rsidR="00B00804" w:rsidRPr="006A6E65" w:rsidRDefault="00B00804" w:rsidP="00B00804">
            <w:pPr>
              <w:rPr>
                <w:rFonts w:cs="Arial"/>
                <w:sz w:val="18"/>
                <w:szCs w:val="18"/>
                <w:lang w:val="es-ES_tradnl"/>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419FA38B" w14:textId="77777777" w:rsidR="00B00804" w:rsidRPr="006A6E65" w:rsidRDefault="00B00804" w:rsidP="00B00804">
            <w:pPr>
              <w:rPr>
                <w:rFonts w:cs="Arial"/>
                <w:sz w:val="18"/>
                <w:szCs w:val="18"/>
                <w:lang w:val="es-ES_tradnl"/>
              </w:rPr>
            </w:pP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2451D6CD"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single" w:sz="4" w:space="0" w:color="auto"/>
              <w:right w:val="dotted" w:sz="4" w:space="0" w:color="auto"/>
            </w:tcBorders>
            <w:vAlign w:val="center"/>
            <w:hideMark/>
          </w:tcPr>
          <w:p w14:paraId="72AA3F00" w14:textId="77777777" w:rsidR="00B00804" w:rsidRPr="006A6E65" w:rsidRDefault="00B00804" w:rsidP="00B00804">
            <w:pPr>
              <w:rPr>
                <w:rFonts w:cs="Arial"/>
                <w:sz w:val="18"/>
                <w:szCs w:val="18"/>
                <w:lang w:val="es-ES_tradnl"/>
              </w:rPr>
            </w:pPr>
            <w:r w:rsidRPr="006A6E65">
              <w:rPr>
                <w:rFonts w:cs="Arial"/>
                <w:sz w:val="18"/>
                <w:szCs w:val="18"/>
                <w:lang w:val="es-ES_tradnl"/>
              </w:rPr>
              <w:t>A</w:t>
            </w:r>
          </w:p>
        </w:tc>
        <w:tc>
          <w:tcPr>
            <w:tcW w:w="746" w:type="dxa"/>
            <w:tcBorders>
              <w:top w:val="nil"/>
              <w:left w:val="dotted" w:sz="4" w:space="0" w:color="auto"/>
              <w:bottom w:val="single" w:sz="4" w:space="0" w:color="auto"/>
              <w:right w:val="dotted" w:sz="4" w:space="0" w:color="auto"/>
            </w:tcBorders>
            <w:vAlign w:val="center"/>
          </w:tcPr>
          <w:p w14:paraId="083FDC9D" w14:textId="77777777" w:rsidR="00B00804" w:rsidRPr="006A6E65" w:rsidRDefault="00B00804" w:rsidP="00B00804">
            <w:pPr>
              <w:rPr>
                <w:rFonts w:cs="Arial"/>
                <w:sz w:val="18"/>
                <w:szCs w:val="18"/>
                <w:lang w:val="es-ES_tradnl"/>
              </w:rPr>
            </w:pPr>
            <w:r w:rsidRPr="006A6E65">
              <w:rPr>
                <w:rFonts w:cs="Arial"/>
                <w:sz w:val="18"/>
                <w:szCs w:val="18"/>
                <w:lang w:val="es-ES_tradnl"/>
              </w:rPr>
              <w:t>1</w:t>
            </w:r>
          </w:p>
        </w:tc>
        <w:tc>
          <w:tcPr>
            <w:tcW w:w="0" w:type="auto"/>
            <w:vMerge/>
            <w:tcBorders>
              <w:top w:val="single" w:sz="4" w:space="0" w:color="auto"/>
              <w:left w:val="dotted" w:sz="4" w:space="0" w:color="auto"/>
              <w:bottom w:val="single" w:sz="4" w:space="0" w:color="auto"/>
              <w:right w:val="dotted" w:sz="4" w:space="0" w:color="auto"/>
            </w:tcBorders>
            <w:vAlign w:val="center"/>
            <w:hideMark/>
          </w:tcPr>
          <w:p w14:paraId="14FF1F05"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single" w:sz="4" w:space="0" w:color="auto"/>
              <w:right w:val="dotted" w:sz="4" w:space="0" w:color="auto"/>
            </w:tcBorders>
          </w:tcPr>
          <w:p w14:paraId="1A55CE32" w14:textId="77777777" w:rsidR="00B00804" w:rsidRPr="006A6E65" w:rsidRDefault="00B00804" w:rsidP="00B00804">
            <w:pPr>
              <w:rPr>
                <w:rFonts w:cs="Arial"/>
                <w:sz w:val="18"/>
                <w:szCs w:val="18"/>
                <w:lang w:val="es-ES_tradnl"/>
              </w:rPr>
            </w:pPr>
          </w:p>
        </w:tc>
      </w:tr>
      <w:tr w:rsidR="00FC7F09" w:rsidRPr="006A6E65" w14:paraId="5EE78EC2" w14:textId="77777777" w:rsidTr="007F4285">
        <w:tc>
          <w:tcPr>
            <w:tcW w:w="10260" w:type="dxa"/>
            <w:gridSpan w:val="8"/>
            <w:tcBorders>
              <w:top w:val="dotted" w:sz="4" w:space="0" w:color="auto"/>
              <w:left w:val="dotted" w:sz="4" w:space="0" w:color="auto"/>
              <w:bottom w:val="single" w:sz="4" w:space="0" w:color="auto"/>
              <w:right w:val="dotted" w:sz="4" w:space="0" w:color="auto"/>
            </w:tcBorders>
            <w:vAlign w:val="center"/>
          </w:tcPr>
          <w:p w14:paraId="1095D3B5" w14:textId="6B7525BE" w:rsidR="00FC7F09" w:rsidRPr="006A6E65" w:rsidRDefault="00FC7F09" w:rsidP="00B00804">
            <w:pPr>
              <w:rPr>
                <w:rFonts w:cs="Arial"/>
                <w:sz w:val="18"/>
                <w:szCs w:val="18"/>
                <w:lang w:val="es-ES_tradnl"/>
              </w:rPr>
            </w:pPr>
            <w:r w:rsidRPr="006A6E65">
              <w:rPr>
                <w:rFonts w:cs="Arial"/>
                <w:b/>
                <w:i/>
                <w:sz w:val="20"/>
                <w:szCs w:val="20"/>
                <w:lang w:val="es-ES_tradnl"/>
              </w:rPr>
              <w:t>Mejora en la calidad y pertinencia de los programas de capacitación que usan recursos públicos</w:t>
            </w:r>
          </w:p>
        </w:tc>
      </w:tr>
      <w:tr w:rsidR="00B00804" w:rsidRPr="006A6E65" w14:paraId="3858298F" w14:textId="77777777" w:rsidTr="00FD7DFD">
        <w:tc>
          <w:tcPr>
            <w:tcW w:w="2530" w:type="dxa"/>
            <w:vMerge w:val="restart"/>
            <w:tcBorders>
              <w:top w:val="dotted" w:sz="4" w:space="0" w:color="auto"/>
              <w:left w:val="dotted" w:sz="4" w:space="0" w:color="auto"/>
              <w:bottom w:val="single" w:sz="4" w:space="0" w:color="auto"/>
              <w:right w:val="dotted" w:sz="4" w:space="0" w:color="auto"/>
            </w:tcBorders>
            <w:vAlign w:val="center"/>
            <w:hideMark/>
          </w:tcPr>
          <w:p w14:paraId="2D68FFE2" w14:textId="11B6460F" w:rsidR="00B00804" w:rsidRPr="006A6E65" w:rsidRDefault="00FC7F09" w:rsidP="00B00804">
            <w:pPr>
              <w:rPr>
                <w:rFonts w:cs="Arial"/>
                <w:sz w:val="18"/>
                <w:szCs w:val="18"/>
                <w:lang w:val="es-ES_tradnl"/>
              </w:rPr>
            </w:pPr>
            <w:r w:rsidRPr="006A6E65">
              <w:rPr>
                <w:rFonts w:cs="Arial"/>
                <w:sz w:val="18"/>
                <w:szCs w:val="18"/>
                <w:lang w:val="es-ES_tradnl"/>
              </w:rPr>
              <w:t>Producto #2.1</w:t>
            </w:r>
            <w:r w:rsidR="00B00804" w:rsidRPr="006A6E65">
              <w:rPr>
                <w:rFonts w:cs="Arial"/>
                <w:sz w:val="18"/>
                <w:szCs w:val="18"/>
                <w:lang w:val="es-ES_tradnl"/>
              </w:rPr>
              <w:t xml:space="preserve"> </w:t>
            </w:r>
            <w:bookmarkStart w:id="3" w:name="_Hlk511400686"/>
            <w:r w:rsidR="00B00804" w:rsidRPr="006A6E65">
              <w:rPr>
                <w:rFonts w:cs="Arial"/>
                <w:sz w:val="18"/>
                <w:szCs w:val="18"/>
                <w:lang w:val="es-ES_tradnl"/>
              </w:rPr>
              <w:t>Evaluación y/o diseño y rediseño de instrumentos de focalización y seguimiento de intervenciones de capacitación.</w:t>
            </w:r>
            <w:bookmarkEnd w:id="3"/>
          </w:p>
        </w:tc>
        <w:tc>
          <w:tcPr>
            <w:tcW w:w="1040" w:type="dxa"/>
            <w:vMerge w:val="restart"/>
            <w:tcBorders>
              <w:top w:val="dotted" w:sz="4" w:space="0" w:color="auto"/>
              <w:left w:val="dotted" w:sz="4" w:space="0" w:color="auto"/>
              <w:bottom w:val="single" w:sz="4" w:space="0" w:color="auto"/>
              <w:right w:val="dotted" w:sz="4" w:space="0" w:color="auto"/>
            </w:tcBorders>
            <w:vAlign w:val="center"/>
          </w:tcPr>
          <w:p w14:paraId="302D53C0"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número</w:t>
            </w:r>
          </w:p>
        </w:tc>
        <w:tc>
          <w:tcPr>
            <w:tcW w:w="1008" w:type="dxa"/>
            <w:vMerge w:val="restart"/>
            <w:tcBorders>
              <w:top w:val="dotted" w:sz="4" w:space="0" w:color="auto"/>
              <w:left w:val="dotted" w:sz="4" w:space="0" w:color="auto"/>
              <w:bottom w:val="single" w:sz="4" w:space="0" w:color="auto"/>
              <w:right w:val="dotted" w:sz="4" w:space="0" w:color="auto"/>
            </w:tcBorders>
            <w:vAlign w:val="center"/>
          </w:tcPr>
          <w:p w14:paraId="55F2ADA3"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0</w:t>
            </w:r>
          </w:p>
        </w:tc>
        <w:tc>
          <w:tcPr>
            <w:tcW w:w="991" w:type="dxa"/>
            <w:vMerge w:val="restart"/>
            <w:tcBorders>
              <w:top w:val="dotted" w:sz="4" w:space="0" w:color="auto"/>
              <w:left w:val="dotted" w:sz="4" w:space="0" w:color="auto"/>
              <w:bottom w:val="single" w:sz="4" w:space="0" w:color="auto"/>
              <w:right w:val="dotted" w:sz="4" w:space="0" w:color="auto"/>
            </w:tcBorders>
            <w:vAlign w:val="center"/>
          </w:tcPr>
          <w:p w14:paraId="59FC2B97"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2012</w:t>
            </w:r>
          </w:p>
        </w:tc>
        <w:tc>
          <w:tcPr>
            <w:tcW w:w="592" w:type="dxa"/>
            <w:tcBorders>
              <w:top w:val="dotted" w:sz="4" w:space="0" w:color="auto"/>
              <w:left w:val="dotted" w:sz="4" w:space="0" w:color="auto"/>
              <w:bottom w:val="nil"/>
              <w:right w:val="dotted" w:sz="4" w:space="0" w:color="auto"/>
            </w:tcBorders>
            <w:vAlign w:val="center"/>
            <w:hideMark/>
          </w:tcPr>
          <w:p w14:paraId="3A2136D8" w14:textId="77777777" w:rsidR="00B00804" w:rsidRPr="006A6E65" w:rsidRDefault="00B00804" w:rsidP="00B00804">
            <w:pPr>
              <w:rPr>
                <w:rFonts w:cs="Arial"/>
                <w:sz w:val="18"/>
                <w:szCs w:val="18"/>
                <w:lang w:val="es-ES_tradnl"/>
              </w:rPr>
            </w:pPr>
            <w:r w:rsidRPr="006A6E65">
              <w:rPr>
                <w:rFonts w:cs="Arial"/>
                <w:sz w:val="18"/>
                <w:szCs w:val="18"/>
                <w:lang w:val="es-ES_tradnl"/>
              </w:rPr>
              <w:t>P</w:t>
            </w:r>
          </w:p>
        </w:tc>
        <w:tc>
          <w:tcPr>
            <w:tcW w:w="746" w:type="dxa"/>
            <w:tcBorders>
              <w:top w:val="dotted" w:sz="4" w:space="0" w:color="auto"/>
              <w:left w:val="dotted" w:sz="4" w:space="0" w:color="auto"/>
              <w:bottom w:val="nil"/>
              <w:right w:val="dotted" w:sz="4" w:space="0" w:color="auto"/>
            </w:tcBorders>
            <w:vAlign w:val="center"/>
          </w:tcPr>
          <w:p w14:paraId="2741C108" w14:textId="77777777" w:rsidR="00B00804" w:rsidRPr="006A6E65" w:rsidRDefault="00B00804" w:rsidP="00B00804">
            <w:pPr>
              <w:rPr>
                <w:rFonts w:cs="Arial"/>
                <w:sz w:val="18"/>
                <w:szCs w:val="18"/>
                <w:lang w:val="es-ES_tradnl"/>
              </w:rPr>
            </w:pPr>
            <w:r w:rsidRPr="006A6E65">
              <w:rPr>
                <w:rFonts w:cs="Arial"/>
                <w:sz w:val="18"/>
                <w:szCs w:val="18"/>
                <w:lang w:val="es-ES_tradnl"/>
              </w:rPr>
              <w:t>8</w:t>
            </w:r>
          </w:p>
        </w:tc>
        <w:tc>
          <w:tcPr>
            <w:tcW w:w="1217" w:type="dxa"/>
            <w:vMerge w:val="restart"/>
            <w:tcBorders>
              <w:top w:val="dotted" w:sz="4" w:space="0" w:color="auto"/>
              <w:left w:val="dotted" w:sz="4" w:space="0" w:color="auto"/>
              <w:bottom w:val="single" w:sz="4" w:space="0" w:color="auto"/>
              <w:right w:val="dotted" w:sz="4" w:space="0" w:color="auto"/>
            </w:tcBorders>
            <w:vAlign w:val="center"/>
          </w:tcPr>
          <w:p w14:paraId="20970B1A" w14:textId="77777777" w:rsidR="00B00804" w:rsidRPr="006A6E65" w:rsidRDefault="00B00804" w:rsidP="00B00804">
            <w:pPr>
              <w:rPr>
                <w:rFonts w:cs="Arial"/>
                <w:sz w:val="18"/>
                <w:szCs w:val="18"/>
                <w:lang w:val="es-ES_tradnl"/>
              </w:rPr>
            </w:pPr>
            <w:r w:rsidRPr="006A6E65">
              <w:rPr>
                <w:rFonts w:cs="Arial"/>
                <w:sz w:val="18"/>
                <w:szCs w:val="18"/>
                <w:lang w:val="es-ES_tradnl"/>
              </w:rPr>
              <w:t>112.50</w:t>
            </w:r>
          </w:p>
        </w:tc>
        <w:tc>
          <w:tcPr>
            <w:tcW w:w="2136" w:type="dxa"/>
            <w:tcBorders>
              <w:top w:val="dotted" w:sz="4" w:space="0" w:color="auto"/>
              <w:left w:val="dotted" w:sz="4" w:space="0" w:color="auto"/>
              <w:bottom w:val="nil"/>
              <w:right w:val="dotted" w:sz="4" w:space="0" w:color="auto"/>
            </w:tcBorders>
          </w:tcPr>
          <w:p w14:paraId="5D91AAF4" w14:textId="77777777" w:rsidR="00B00804" w:rsidRPr="006A6E65" w:rsidRDefault="00B00804" w:rsidP="00B00804">
            <w:pPr>
              <w:rPr>
                <w:rFonts w:cs="Arial"/>
                <w:sz w:val="18"/>
                <w:szCs w:val="18"/>
                <w:lang w:val="es-ES_tradnl"/>
              </w:rPr>
            </w:pPr>
          </w:p>
        </w:tc>
      </w:tr>
      <w:tr w:rsidR="00B00804" w:rsidRPr="006A6E65" w14:paraId="0608311B" w14:textId="77777777" w:rsidTr="00FD7DFD">
        <w:trPr>
          <w:trHeight w:val="125"/>
        </w:trPr>
        <w:tc>
          <w:tcPr>
            <w:tcW w:w="2530" w:type="dxa"/>
            <w:vMerge/>
            <w:tcBorders>
              <w:top w:val="dotted" w:sz="4" w:space="0" w:color="auto"/>
              <w:left w:val="dotted" w:sz="4" w:space="0" w:color="auto"/>
              <w:bottom w:val="single" w:sz="4" w:space="0" w:color="auto"/>
              <w:right w:val="dotted" w:sz="4" w:space="0" w:color="auto"/>
            </w:tcBorders>
            <w:vAlign w:val="center"/>
            <w:hideMark/>
          </w:tcPr>
          <w:p w14:paraId="293F2167" w14:textId="77777777" w:rsidR="00B00804" w:rsidRPr="006A6E65" w:rsidRDefault="00B00804" w:rsidP="00B00804">
            <w:pPr>
              <w:rPr>
                <w:rFonts w:cs="Arial"/>
                <w:sz w:val="18"/>
                <w:szCs w:val="18"/>
                <w:lang w:val="es-ES_tradnl"/>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75F126B6" w14:textId="77777777" w:rsidR="00B00804" w:rsidRPr="006A6E65" w:rsidRDefault="00B00804" w:rsidP="00B00804">
            <w:pPr>
              <w:rPr>
                <w:rFonts w:cs="Arial"/>
                <w:sz w:val="18"/>
                <w:szCs w:val="18"/>
                <w:lang w:val="es-ES_tradnl"/>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3F66FA18" w14:textId="77777777" w:rsidR="00B00804" w:rsidRPr="006A6E65" w:rsidRDefault="00B00804" w:rsidP="00B00804">
            <w:pPr>
              <w:rPr>
                <w:rFonts w:cs="Arial"/>
                <w:sz w:val="18"/>
                <w:szCs w:val="18"/>
                <w:lang w:val="es-ES_tradnl"/>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6C954CCC"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nil"/>
              <w:right w:val="dotted" w:sz="4" w:space="0" w:color="auto"/>
            </w:tcBorders>
            <w:vAlign w:val="center"/>
            <w:hideMark/>
          </w:tcPr>
          <w:p w14:paraId="36B02565" w14:textId="77777777" w:rsidR="00B00804" w:rsidRPr="006A6E65" w:rsidRDefault="00B00804" w:rsidP="00B00804">
            <w:pPr>
              <w:rPr>
                <w:rFonts w:cs="Arial"/>
                <w:sz w:val="18"/>
                <w:szCs w:val="18"/>
                <w:lang w:val="es-ES_tradnl"/>
              </w:rPr>
            </w:pPr>
            <w:r w:rsidRPr="006A6E65">
              <w:rPr>
                <w:rFonts w:cs="Arial"/>
                <w:sz w:val="18"/>
                <w:szCs w:val="18"/>
                <w:lang w:val="es-ES_tradnl"/>
              </w:rPr>
              <w:t>P(a)</w:t>
            </w:r>
          </w:p>
        </w:tc>
        <w:tc>
          <w:tcPr>
            <w:tcW w:w="746" w:type="dxa"/>
            <w:tcBorders>
              <w:top w:val="nil"/>
              <w:left w:val="dotted" w:sz="4" w:space="0" w:color="auto"/>
              <w:bottom w:val="nil"/>
              <w:right w:val="dotted" w:sz="4" w:space="0" w:color="auto"/>
            </w:tcBorders>
            <w:vAlign w:val="center"/>
          </w:tcPr>
          <w:p w14:paraId="1E977420" w14:textId="77777777" w:rsidR="00B00804" w:rsidRPr="006A6E65" w:rsidRDefault="00B00804" w:rsidP="00B00804">
            <w:pPr>
              <w:rPr>
                <w:rFonts w:cs="Arial"/>
                <w:sz w:val="18"/>
                <w:szCs w:val="18"/>
                <w:lang w:val="es-ES_tradnl"/>
              </w:rPr>
            </w:pPr>
            <w:r w:rsidRPr="006A6E65">
              <w:rPr>
                <w:rFonts w:cs="Arial"/>
                <w:sz w:val="18"/>
                <w:szCs w:val="18"/>
                <w:lang w:val="es-ES_tradnl"/>
              </w:rPr>
              <w:t>9</w:t>
            </w: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334EC0B3"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nil"/>
              <w:right w:val="dotted" w:sz="4" w:space="0" w:color="auto"/>
            </w:tcBorders>
          </w:tcPr>
          <w:p w14:paraId="6F435B08" w14:textId="77777777" w:rsidR="00B00804" w:rsidRPr="006A6E65" w:rsidRDefault="00B00804" w:rsidP="00B00804">
            <w:pPr>
              <w:rPr>
                <w:rFonts w:cs="Arial"/>
                <w:sz w:val="18"/>
                <w:szCs w:val="18"/>
                <w:lang w:val="es-ES_tradnl"/>
              </w:rPr>
            </w:pPr>
          </w:p>
        </w:tc>
      </w:tr>
      <w:tr w:rsidR="00B00804" w:rsidRPr="006A6E65" w14:paraId="3CEFC91D" w14:textId="77777777" w:rsidTr="00FD7DFD">
        <w:trPr>
          <w:trHeight w:val="215"/>
        </w:trPr>
        <w:tc>
          <w:tcPr>
            <w:tcW w:w="2530" w:type="dxa"/>
            <w:vMerge/>
            <w:tcBorders>
              <w:top w:val="dotted" w:sz="4" w:space="0" w:color="auto"/>
              <w:left w:val="dotted" w:sz="4" w:space="0" w:color="auto"/>
              <w:bottom w:val="single" w:sz="4" w:space="0" w:color="auto"/>
              <w:right w:val="dotted" w:sz="4" w:space="0" w:color="auto"/>
            </w:tcBorders>
            <w:vAlign w:val="center"/>
            <w:hideMark/>
          </w:tcPr>
          <w:p w14:paraId="03507B34" w14:textId="77777777" w:rsidR="00B00804" w:rsidRPr="006A6E65" w:rsidRDefault="00B00804" w:rsidP="00B00804">
            <w:pPr>
              <w:rPr>
                <w:rFonts w:cs="Arial"/>
                <w:sz w:val="18"/>
                <w:szCs w:val="18"/>
                <w:lang w:val="es-ES_tradnl"/>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41933BAE" w14:textId="77777777" w:rsidR="00B00804" w:rsidRPr="006A6E65" w:rsidRDefault="00B00804" w:rsidP="00B00804">
            <w:pPr>
              <w:rPr>
                <w:rFonts w:cs="Arial"/>
                <w:sz w:val="18"/>
                <w:szCs w:val="18"/>
                <w:lang w:val="es-ES_tradnl"/>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4865481F" w14:textId="77777777" w:rsidR="00B00804" w:rsidRPr="006A6E65" w:rsidRDefault="00B00804" w:rsidP="00B00804">
            <w:pPr>
              <w:rPr>
                <w:rFonts w:cs="Arial"/>
                <w:sz w:val="18"/>
                <w:szCs w:val="18"/>
                <w:lang w:val="es-ES_tradnl"/>
              </w:rPr>
            </w:pP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708CA9CC"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single" w:sz="4" w:space="0" w:color="auto"/>
              <w:right w:val="dotted" w:sz="4" w:space="0" w:color="auto"/>
            </w:tcBorders>
            <w:vAlign w:val="center"/>
            <w:hideMark/>
          </w:tcPr>
          <w:p w14:paraId="5F5ADD76" w14:textId="77777777" w:rsidR="00B00804" w:rsidRPr="006A6E65" w:rsidRDefault="00B00804" w:rsidP="00B00804">
            <w:pPr>
              <w:rPr>
                <w:rFonts w:cs="Arial"/>
                <w:sz w:val="18"/>
                <w:szCs w:val="18"/>
                <w:lang w:val="es-ES_tradnl"/>
              </w:rPr>
            </w:pPr>
            <w:r w:rsidRPr="006A6E65">
              <w:rPr>
                <w:rFonts w:cs="Arial"/>
                <w:sz w:val="18"/>
                <w:szCs w:val="18"/>
                <w:lang w:val="es-ES_tradnl"/>
              </w:rPr>
              <w:t>A</w:t>
            </w:r>
          </w:p>
        </w:tc>
        <w:tc>
          <w:tcPr>
            <w:tcW w:w="746" w:type="dxa"/>
            <w:tcBorders>
              <w:top w:val="nil"/>
              <w:left w:val="dotted" w:sz="4" w:space="0" w:color="auto"/>
              <w:bottom w:val="single" w:sz="4" w:space="0" w:color="auto"/>
              <w:right w:val="dotted" w:sz="4" w:space="0" w:color="auto"/>
            </w:tcBorders>
            <w:vAlign w:val="center"/>
          </w:tcPr>
          <w:p w14:paraId="3BEED681" w14:textId="77777777" w:rsidR="00B00804" w:rsidRPr="006A6E65" w:rsidRDefault="00B00804" w:rsidP="00B00804">
            <w:pPr>
              <w:rPr>
                <w:rFonts w:cs="Arial"/>
                <w:sz w:val="18"/>
                <w:szCs w:val="18"/>
                <w:lang w:val="es-ES_tradnl"/>
              </w:rPr>
            </w:pPr>
            <w:r w:rsidRPr="006A6E65">
              <w:rPr>
                <w:rFonts w:cs="Arial"/>
                <w:sz w:val="18"/>
                <w:szCs w:val="18"/>
                <w:lang w:val="es-ES_tradnl"/>
              </w:rPr>
              <w:t>9</w:t>
            </w:r>
          </w:p>
        </w:tc>
        <w:tc>
          <w:tcPr>
            <w:tcW w:w="0" w:type="auto"/>
            <w:vMerge/>
            <w:tcBorders>
              <w:top w:val="dotted" w:sz="4" w:space="0" w:color="auto"/>
              <w:left w:val="dotted" w:sz="4" w:space="0" w:color="auto"/>
              <w:bottom w:val="single" w:sz="4" w:space="0" w:color="auto"/>
              <w:right w:val="dotted" w:sz="4" w:space="0" w:color="auto"/>
            </w:tcBorders>
            <w:vAlign w:val="center"/>
            <w:hideMark/>
          </w:tcPr>
          <w:p w14:paraId="54A7D626"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single" w:sz="4" w:space="0" w:color="auto"/>
              <w:right w:val="dotted" w:sz="4" w:space="0" w:color="auto"/>
            </w:tcBorders>
          </w:tcPr>
          <w:p w14:paraId="45CF4DFD" w14:textId="77777777" w:rsidR="00B00804" w:rsidRPr="006A6E65" w:rsidRDefault="00B00804" w:rsidP="00B00804">
            <w:pPr>
              <w:rPr>
                <w:rFonts w:cs="Arial"/>
                <w:sz w:val="18"/>
                <w:szCs w:val="18"/>
                <w:lang w:val="es-ES_tradnl"/>
              </w:rPr>
            </w:pPr>
            <w:r w:rsidRPr="006A6E65">
              <w:rPr>
                <w:rFonts w:cs="Arial"/>
                <w:sz w:val="18"/>
                <w:szCs w:val="18"/>
                <w:lang w:val="es-ES_tradnl"/>
              </w:rPr>
              <w:t>Informes semestrales de progreso</w:t>
            </w:r>
          </w:p>
        </w:tc>
      </w:tr>
      <w:tr w:rsidR="00B00804" w:rsidRPr="006A6E65" w14:paraId="502A48DE" w14:textId="77777777" w:rsidTr="00FD7D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0" w:type="dxa"/>
            <w:vMerge w:val="restart"/>
            <w:tcBorders>
              <w:top w:val="single" w:sz="4" w:space="0" w:color="auto"/>
              <w:left w:val="dotted" w:sz="4" w:space="0" w:color="auto"/>
              <w:bottom w:val="single" w:sz="4" w:space="0" w:color="auto"/>
              <w:right w:val="dotted" w:sz="4" w:space="0" w:color="auto"/>
            </w:tcBorders>
          </w:tcPr>
          <w:p w14:paraId="56032E15" w14:textId="2595D867" w:rsidR="00B00804" w:rsidRPr="006A6E65" w:rsidRDefault="00FC7F09" w:rsidP="00B00804">
            <w:pPr>
              <w:rPr>
                <w:rFonts w:cs="Arial"/>
                <w:sz w:val="18"/>
                <w:szCs w:val="18"/>
                <w:lang w:val="es-ES_tradnl"/>
              </w:rPr>
            </w:pPr>
            <w:r w:rsidRPr="006A6E65">
              <w:rPr>
                <w:rFonts w:cs="Arial"/>
                <w:sz w:val="18"/>
                <w:szCs w:val="18"/>
                <w:lang w:val="es-ES_tradnl"/>
              </w:rPr>
              <w:t>Producto #2.2</w:t>
            </w:r>
            <w:r w:rsidR="00B00804" w:rsidRPr="006A6E65">
              <w:rPr>
                <w:rFonts w:cs="Arial"/>
                <w:sz w:val="18"/>
                <w:szCs w:val="18"/>
                <w:lang w:val="es-ES_tradnl"/>
              </w:rPr>
              <w:t xml:space="preserve"> Mecanismos de aseguramiento de calidad y pertinencia implementados</w:t>
            </w:r>
          </w:p>
        </w:tc>
        <w:tc>
          <w:tcPr>
            <w:tcW w:w="1040" w:type="dxa"/>
            <w:vMerge w:val="restart"/>
            <w:tcBorders>
              <w:top w:val="single" w:sz="4" w:space="0" w:color="auto"/>
              <w:left w:val="dotted" w:sz="4" w:space="0" w:color="auto"/>
              <w:bottom w:val="nil"/>
              <w:right w:val="dotted" w:sz="4" w:space="0" w:color="auto"/>
            </w:tcBorders>
          </w:tcPr>
          <w:p w14:paraId="530BBF95"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número</w:t>
            </w:r>
          </w:p>
        </w:tc>
        <w:tc>
          <w:tcPr>
            <w:tcW w:w="1008" w:type="dxa"/>
            <w:vMerge w:val="restart"/>
            <w:tcBorders>
              <w:top w:val="single" w:sz="4" w:space="0" w:color="auto"/>
              <w:left w:val="dotted" w:sz="4" w:space="0" w:color="auto"/>
              <w:bottom w:val="nil"/>
              <w:right w:val="dotted" w:sz="4" w:space="0" w:color="auto"/>
            </w:tcBorders>
          </w:tcPr>
          <w:p w14:paraId="04C19CCF"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0</w:t>
            </w:r>
          </w:p>
        </w:tc>
        <w:tc>
          <w:tcPr>
            <w:tcW w:w="991" w:type="dxa"/>
            <w:vMerge w:val="restart"/>
            <w:tcBorders>
              <w:top w:val="single" w:sz="4" w:space="0" w:color="auto"/>
              <w:left w:val="dotted" w:sz="4" w:space="0" w:color="auto"/>
              <w:bottom w:val="nil"/>
              <w:right w:val="dotted" w:sz="4" w:space="0" w:color="auto"/>
            </w:tcBorders>
          </w:tcPr>
          <w:p w14:paraId="12A97756"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2012</w:t>
            </w:r>
          </w:p>
        </w:tc>
        <w:tc>
          <w:tcPr>
            <w:tcW w:w="592" w:type="dxa"/>
            <w:tcBorders>
              <w:top w:val="single" w:sz="4" w:space="0" w:color="auto"/>
              <w:left w:val="dotted" w:sz="4" w:space="0" w:color="auto"/>
              <w:bottom w:val="nil"/>
              <w:right w:val="dotted" w:sz="4" w:space="0" w:color="auto"/>
            </w:tcBorders>
          </w:tcPr>
          <w:p w14:paraId="0A53D252" w14:textId="77777777" w:rsidR="00B00804" w:rsidRPr="006A6E65" w:rsidRDefault="00B00804" w:rsidP="00B00804">
            <w:pPr>
              <w:rPr>
                <w:rFonts w:cs="Arial"/>
                <w:sz w:val="18"/>
                <w:szCs w:val="18"/>
                <w:lang w:val="es-ES_tradnl"/>
              </w:rPr>
            </w:pPr>
            <w:r w:rsidRPr="006A6E65">
              <w:rPr>
                <w:rFonts w:cs="Arial"/>
                <w:sz w:val="18"/>
                <w:szCs w:val="18"/>
                <w:lang w:val="es-ES_tradnl"/>
              </w:rPr>
              <w:t>P</w:t>
            </w:r>
          </w:p>
        </w:tc>
        <w:tc>
          <w:tcPr>
            <w:tcW w:w="746" w:type="dxa"/>
            <w:tcBorders>
              <w:top w:val="single" w:sz="4" w:space="0" w:color="auto"/>
              <w:left w:val="dotted" w:sz="4" w:space="0" w:color="auto"/>
              <w:bottom w:val="nil"/>
              <w:right w:val="dotted" w:sz="4" w:space="0" w:color="auto"/>
            </w:tcBorders>
          </w:tcPr>
          <w:p w14:paraId="4CB8507B" w14:textId="77777777" w:rsidR="00B00804" w:rsidRPr="006A6E65" w:rsidRDefault="00B00804" w:rsidP="00B00804">
            <w:pPr>
              <w:rPr>
                <w:rFonts w:cs="Arial"/>
                <w:sz w:val="18"/>
                <w:szCs w:val="18"/>
                <w:lang w:val="es-ES_tradnl"/>
              </w:rPr>
            </w:pPr>
            <w:r w:rsidRPr="006A6E65">
              <w:rPr>
                <w:rFonts w:cs="Arial"/>
                <w:sz w:val="18"/>
                <w:szCs w:val="18"/>
                <w:lang w:val="es-ES_tradnl"/>
              </w:rPr>
              <w:t>2</w:t>
            </w:r>
          </w:p>
        </w:tc>
        <w:tc>
          <w:tcPr>
            <w:tcW w:w="1217" w:type="dxa"/>
            <w:vMerge w:val="restart"/>
            <w:tcBorders>
              <w:top w:val="single" w:sz="4" w:space="0" w:color="auto"/>
              <w:left w:val="dotted" w:sz="4" w:space="0" w:color="auto"/>
              <w:bottom w:val="nil"/>
              <w:right w:val="dotted" w:sz="4" w:space="0" w:color="auto"/>
            </w:tcBorders>
          </w:tcPr>
          <w:p w14:paraId="55F45D78" w14:textId="77777777" w:rsidR="00B00804" w:rsidRPr="006A6E65" w:rsidRDefault="00B00804" w:rsidP="00B00804">
            <w:pPr>
              <w:rPr>
                <w:rFonts w:cs="Arial"/>
                <w:sz w:val="18"/>
                <w:szCs w:val="18"/>
                <w:lang w:val="es-ES_tradnl"/>
              </w:rPr>
            </w:pPr>
            <w:r w:rsidRPr="006A6E65">
              <w:rPr>
                <w:rFonts w:cs="Arial"/>
                <w:sz w:val="18"/>
                <w:szCs w:val="18"/>
                <w:lang w:val="es-ES_tradnl"/>
              </w:rPr>
              <w:t>100.00</w:t>
            </w:r>
          </w:p>
        </w:tc>
        <w:tc>
          <w:tcPr>
            <w:tcW w:w="2136" w:type="dxa"/>
            <w:tcBorders>
              <w:top w:val="single" w:sz="4" w:space="0" w:color="auto"/>
              <w:left w:val="dotted" w:sz="4" w:space="0" w:color="auto"/>
              <w:bottom w:val="nil"/>
              <w:right w:val="dotted" w:sz="4" w:space="0" w:color="auto"/>
            </w:tcBorders>
          </w:tcPr>
          <w:p w14:paraId="1AB295D2" w14:textId="77777777" w:rsidR="00B00804" w:rsidRPr="006A6E65" w:rsidRDefault="00B00804" w:rsidP="00B00804">
            <w:pPr>
              <w:rPr>
                <w:rFonts w:cs="Arial"/>
                <w:sz w:val="18"/>
                <w:szCs w:val="18"/>
                <w:lang w:val="es-ES_tradnl"/>
              </w:rPr>
            </w:pPr>
          </w:p>
        </w:tc>
      </w:tr>
      <w:tr w:rsidR="00B00804" w:rsidRPr="006A6E65" w14:paraId="703EA457" w14:textId="77777777" w:rsidTr="00FD7D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trPr>
        <w:tc>
          <w:tcPr>
            <w:tcW w:w="2530" w:type="dxa"/>
            <w:vMerge/>
            <w:tcBorders>
              <w:top w:val="nil"/>
              <w:left w:val="dotted" w:sz="4" w:space="0" w:color="auto"/>
              <w:bottom w:val="single" w:sz="4" w:space="0" w:color="auto"/>
              <w:right w:val="dotted" w:sz="4" w:space="0" w:color="auto"/>
            </w:tcBorders>
          </w:tcPr>
          <w:p w14:paraId="013A539B"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nil"/>
              <w:right w:val="dotted" w:sz="4" w:space="0" w:color="auto"/>
            </w:tcBorders>
          </w:tcPr>
          <w:p w14:paraId="35A60473"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nil"/>
              <w:right w:val="dotted" w:sz="4" w:space="0" w:color="auto"/>
            </w:tcBorders>
          </w:tcPr>
          <w:p w14:paraId="3D0590E3"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nil"/>
              <w:right w:val="dotted" w:sz="4" w:space="0" w:color="auto"/>
            </w:tcBorders>
          </w:tcPr>
          <w:p w14:paraId="199422FE"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nil"/>
              <w:right w:val="dotted" w:sz="4" w:space="0" w:color="auto"/>
            </w:tcBorders>
          </w:tcPr>
          <w:p w14:paraId="630F2B89" w14:textId="77777777" w:rsidR="00B00804" w:rsidRPr="006A6E65" w:rsidRDefault="00B00804" w:rsidP="00B00804">
            <w:pPr>
              <w:rPr>
                <w:rFonts w:cs="Arial"/>
                <w:sz w:val="18"/>
                <w:szCs w:val="18"/>
                <w:lang w:val="es-ES_tradnl"/>
              </w:rPr>
            </w:pPr>
            <w:r w:rsidRPr="006A6E65">
              <w:rPr>
                <w:rFonts w:cs="Arial"/>
                <w:sz w:val="18"/>
                <w:szCs w:val="18"/>
                <w:lang w:val="es-ES_tradnl"/>
              </w:rPr>
              <w:t>P(a)</w:t>
            </w:r>
          </w:p>
        </w:tc>
        <w:tc>
          <w:tcPr>
            <w:tcW w:w="746" w:type="dxa"/>
            <w:tcBorders>
              <w:top w:val="nil"/>
              <w:left w:val="dotted" w:sz="4" w:space="0" w:color="auto"/>
              <w:bottom w:val="nil"/>
              <w:right w:val="dotted" w:sz="4" w:space="0" w:color="auto"/>
            </w:tcBorders>
          </w:tcPr>
          <w:p w14:paraId="580608A0" w14:textId="77777777" w:rsidR="00B00804" w:rsidRPr="006A6E65" w:rsidRDefault="00B00804" w:rsidP="00B00804">
            <w:pPr>
              <w:rPr>
                <w:rFonts w:cs="Arial"/>
                <w:sz w:val="18"/>
                <w:szCs w:val="18"/>
                <w:lang w:val="es-ES_tradnl"/>
              </w:rPr>
            </w:pPr>
            <w:r w:rsidRPr="006A6E65">
              <w:rPr>
                <w:rFonts w:cs="Arial"/>
                <w:sz w:val="18"/>
                <w:szCs w:val="18"/>
                <w:lang w:val="es-ES_tradnl"/>
              </w:rPr>
              <w:t>2</w:t>
            </w:r>
          </w:p>
        </w:tc>
        <w:tc>
          <w:tcPr>
            <w:tcW w:w="0" w:type="auto"/>
            <w:vMerge/>
            <w:tcBorders>
              <w:top w:val="nil"/>
              <w:left w:val="dotted" w:sz="4" w:space="0" w:color="auto"/>
              <w:bottom w:val="nil"/>
              <w:right w:val="dotted" w:sz="4" w:space="0" w:color="auto"/>
            </w:tcBorders>
          </w:tcPr>
          <w:p w14:paraId="7A85C481"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nil"/>
              <w:right w:val="dotted" w:sz="4" w:space="0" w:color="auto"/>
            </w:tcBorders>
          </w:tcPr>
          <w:p w14:paraId="78D075A8" w14:textId="77777777" w:rsidR="00B00804" w:rsidRPr="006A6E65" w:rsidRDefault="00B00804" w:rsidP="00B00804">
            <w:pPr>
              <w:rPr>
                <w:rFonts w:cs="Arial"/>
                <w:sz w:val="18"/>
                <w:szCs w:val="18"/>
                <w:lang w:val="es-ES_tradnl"/>
              </w:rPr>
            </w:pPr>
            <w:r w:rsidRPr="006A6E65">
              <w:rPr>
                <w:rFonts w:cs="Arial"/>
                <w:sz w:val="18"/>
                <w:szCs w:val="18"/>
                <w:lang w:val="es-ES_tradnl"/>
              </w:rPr>
              <w:t>Informes semestrales de progreso</w:t>
            </w:r>
          </w:p>
        </w:tc>
      </w:tr>
      <w:tr w:rsidR="00B00804" w:rsidRPr="006A6E65" w14:paraId="1FD82BF1" w14:textId="77777777" w:rsidTr="00FD7D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2530" w:type="dxa"/>
            <w:vMerge/>
            <w:tcBorders>
              <w:top w:val="nil"/>
              <w:left w:val="dotted" w:sz="4" w:space="0" w:color="auto"/>
              <w:bottom w:val="single" w:sz="4" w:space="0" w:color="auto"/>
              <w:right w:val="dotted" w:sz="4" w:space="0" w:color="auto"/>
            </w:tcBorders>
            <w:hideMark/>
          </w:tcPr>
          <w:p w14:paraId="2E33969E"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hideMark/>
          </w:tcPr>
          <w:p w14:paraId="0C25EC5D"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hideMark/>
          </w:tcPr>
          <w:p w14:paraId="25E971C5"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hideMark/>
          </w:tcPr>
          <w:p w14:paraId="07BE5F12"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single" w:sz="4" w:space="0" w:color="auto"/>
              <w:right w:val="dotted" w:sz="4" w:space="0" w:color="auto"/>
            </w:tcBorders>
            <w:hideMark/>
          </w:tcPr>
          <w:p w14:paraId="2D51FA79" w14:textId="77777777" w:rsidR="00B00804" w:rsidRPr="006A6E65" w:rsidRDefault="00B00804" w:rsidP="00B00804">
            <w:pPr>
              <w:rPr>
                <w:rFonts w:cs="Arial"/>
                <w:sz w:val="18"/>
                <w:szCs w:val="18"/>
                <w:lang w:val="es-ES_tradnl"/>
              </w:rPr>
            </w:pPr>
            <w:r w:rsidRPr="006A6E65">
              <w:rPr>
                <w:rFonts w:cs="Arial"/>
                <w:sz w:val="18"/>
                <w:szCs w:val="18"/>
                <w:lang w:val="es-ES_tradnl"/>
              </w:rPr>
              <w:t>A</w:t>
            </w:r>
          </w:p>
        </w:tc>
        <w:tc>
          <w:tcPr>
            <w:tcW w:w="746" w:type="dxa"/>
            <w:tcBorders>
              <w:top w:val="nil"/>
              <w:left w:val="dotted" w:sz="4" w:space="0" w:color="auto"/>
              <w:bottom w:val="single" w:sz="4" w:space="0" w:color="auto"/>
              <w:right w:val="dotted" w:sz="4" w:space="0" w:color="auto"/>
            </w:tcBorders>
          </w:tcPr>
          <w:p w14:paraId="3D02D1FE" w14:textId="77777777" w:rsidR="00B00804" w:rsidRPr="006A6E65" w:rsidRDefault="00B00804" w:rsidP="00B00804">
            <w:pPr>
              <w:rPr>
                <w:rFonts w:cs="Arial"/>
                <w:sz w:val="18"/>
                <w:szCs w:val="18"/>
                <w:lang w:val="es-ES_tradnl"/>
              </w:rPr>
            </w:pPr>
            <w:r w:rsidRPr="006A6E65">
              <w:rPr>
                <w:rFonts w:cs="Arial"/>
                <w:sz w:val="18"/>
                <w:szCs w:val="18"/>
                <w:lang w:val="es-ES_tradnl"/>
              </w:rPr>
              <w:t>2</w:t>
            </w:r>
          </w:p>
        </w:tc>
        <w:tc>
          <w:tcPr>
            <w:tcW w:w="0" w:type="auto"/>
            <w:vMerge/>
            <w:tcBorders>
              <w:top w:val="nil"/>
              <w:left w:val="dotted" w:sz="4" w:space="0" w:color="auto"/>
              <w:bottom w:val="single" w:sz="4" w:space="0" w:color="auto"/>
              <w:right w:val="dotted" w:sz="4" w:space="0" w:color="auto"/>
            </w:tcBorders>
            <w:hideMark/>
          </w:tcPr>
          <w:p w14:paraId="303ED58A" w14:textId="77777777" w:rsidR="00B00804" w:rsidRPr="006A6E65" w:rsidRDefault="00B00804" w:rsidP="00B00804">
            <w:pPr>
              <w:rPr>
                <w:rFonts w:cs="Arial"/>
                <w:sz w:val="18"/>
                <w:szCs w:val="18"/>
                <w:lang w:val="es-ES_tradnl"/>
              </w:rPr>
            </w:pPr>
          </w:p>
        </w:tc>
        <w:tc>
          <w:tcPr>
            <w:tcW w:w="2136" w:type="dxa"/>
            <w:tcBorders>
              <w:top w:val="nil"/>
              <w:left w:val="dotted" w:sz="4" w:space="0" w:color="auto"/>
              <w:bottom w:val="single" w:sz="4" w:space="0" w:color="auto"/>
              <w:right w:val="dotted" w:sz="4" w:space="0" w:color="auto"/>
            </w:tcBorders>
          </w:tcPr>
          <w:p w14:paraId="7592E7EB" w14:textId="77777777" w:rsidR="00B00804" w:rsidRPr="006A6E65" w:rsidRDefault="00B00804" w:rsidP="00B00804">
            <w:pPr>
              <w:rPr>
                <w:rFonts w:cs="Arial"/>
                <w:sz w:val="18"/>
                <w:szCs w:val="18"/>
                <w:lang w:val="es-ES_tradnl"/>
              </w:rPr>
            </w:pPr>
          </w:p>
        </w:tc>
      </w:tr>
      <w:tr w:rsidR="00FC7F09" w:rsidRPr="006A6E65" w14:paraId="6927B323" w14:textId="77777777" w:rsidTr="002150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60" w:type="dxa"/>
            <w:gridSpan w:val="8"/>
            <w:tcBorders>
              <w:top w:val="single" w:sz="4" w:space="0" w:color="auto"/>
              <w:left w:val="dotted" w:sz="4" w:space="0" w:color="auto"/>
              <w:bottom w:val="nil"/>
              <w:right w:val="dotted" w:sz="4" w:space="0" w:color="auto"/>
            </w:tcBorders>
          </w:tcPr>
          <w:p w14:paraId="371CDBC4" w14:textId="5519A7FD" w:rsidR="00FC7F09" w:rsidRPr="006A6E65" w:rsidRDefault="00FC7F09" w:rsidP="00B00804">
            <w:pPr>
              <w:rPr>
                <w:rFonts w:cs="Arial"/>
                <w:sz w:val="18"/>
                <w:szCs w:val="18"/>
                <w:lang w:val="es-ES_tradnl"/>
              </w:rPr>
            </w:pPr>
            <w:r w:rsidRPr="006A6E65">
              <w:rPr>
                <w:rFonts w:cs="Arial"/>
                <w:b/>
                <w:i/>
                <w:sz w:val="20"/>
                <w:szCs w:val="20"/>
                <w:lang w:val="es-ES_tradnl"/>
              </w:rPr>
              <w:t>Mejora de la gestión administrativa del SENCE</w:t>
            </w:r>
          </w:p>
        </w:tc>
      </w:tr>
      <w:tr w:rsidR="00B00804" w:rsidRPr="006A6E65" w14:paraId="7F7898C8" w14:textId="77777777" w:rsidTr="00FD7D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0" w:type="dxa"/>
            <w:vMerge w:val="restart"/>
            <w:tcBorders>
              <w:top w:val="single" w:sz="4" w:space="0" w:color="auto"/>
              <w:left w:val="dotted" w:sz="4" w:space="0" w:color="auto"/>
              <w:bottom w:val="nil"/>
              <w:right w:val="dotted" w:sz="4" w:space="0" w:color="auto"/>
            </w:tcBorders>
            <w:hideMark/>
          </w:tcPr>
          <w:p w14:paraId="431A82E9" w14:textId="2407F6FF" w:rsidR="00B00804" w:rsidRPr="006A6E65" w:rsidRDefault="00FC7F09" w:rsidP="00B00804">
            <w:pPr>
              <w:rPr>
                <w:rFonts w:cs="Arial"/>
                <w:sz w:val="18"/>
                <w:szCs w:val="18"/>
                <w:lang w:val="es-ES_tradnl"/>
              </w:rPr>
            </w:pPr>
            <w:r w:rsidRPr="006A6E65">
              <w:rPr>
                <w:rFonts w:cs="Arial"/>
                <w:sz w:val="18"/>
                <w:szCs w:val="18"/>
                <w:lang w:val="es-ES_tradnl"/>
              </w:rPr>
              <w:t>Producto #3.1</w:t>
            </w:r>
            <w:r w:rsidR="00B00804" w:rsidRPr="006A6E65">
              <w:rPr>
                <w:rFonts w:cs="Arial"/>
                <w:sz w:val="18"/>
                <w:szCs w:val="18"/>
                <w:lang w:val="es-ES_tradnl"/>
              </w:rPr>
              <w:t xml:space="preserve"> </w:t>
            </w:r>
            <w:bookmarkStart w:id="4" w:name="_Hlk515290999"/>
            <w:r w:rsidR="00B00804" w:rsidRPr="006A6E65">
              <w:rPr>
                <w:rFonts w:cs="Arial"/>
                <w:sz w:val="18"/>
                <w:szCs w:val="18"/>
                <w:lang w:val="es-ES_tradnl"/>
              </w:rPr>
              <w:t>Base de datos integrada, estandarizada y con estándares de gestión implementada.</w:t>
            </w:r>
            <w:bookmarkEnd w:id="4"/>
          </w:p>
        </w:tc>
        <w:tc>
          <w:tcPr>
            <w:tcW w:w="1040" w:type="dxa"/>
            <w:vMerge w:val="restart"/>
            <w:tcBorders>
              <w:top w:val="single" w:sz="4" w:space="0" w:color="auto"/>
              <w:left w:val="dotted" w:sz="4" w:space="0" w:color="auto"/>
              <w:bottom w:val="nil"/>
              <w:right w:val="dotted" w:sz="4" w:space="0" w:color="auto"/>
            </w:tcBorders>
          </w:tcPr>
          <w:p w14:paraId="6B1CED9F"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número</w:t>
            </w:r>
          </w:p>
        </w:tc>
        <w:tc>
          <w:tcPr>
            <w:tcW w:w="1008" w:type="dxa"/>
            <w:vMerge w:val="restart"/>
            <w:tcBorders>
              <w:top w:val="single" w:sz="4" w:space="0" w:color="auto"/>
              <w:left w:val="dotted" w:sz="4" w:space="0" w:color="auto"/>
              <w:bottom w:val="nil"/>
              <w:right w:val="dotted" w:sz="4" w:space="0" w:color="auto"/>
            </w:tcBorders>
          </w:tcPr>
          <w:p w14:paraId="4FD4E9D1"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0</w:t>
            </w:r>
          </w:p>
        </w:tc>
        <w:tc>
          <w:tcPr>
            <w:tcW w:w="991" w:type="dxa"/>
            <w:vMerge w:val="restart"/>
            <w:tcBorders>
              <w:top w:val="single" w:sz="4" w:space="0" w:color="auto"/>
              <w:left w:val="dotted" w:sz="4" w:space="0" w:color="auto"/>
              <w:bottom w:val="nil"/>
              <w:right w:val="dotted" w:sz="4" w:space="0" w:color="auto"/>
            </w:tcBorders>
          </w:tcPr>
          <w:p w14:paraId="361AD6E9" w14:textId="77777777" w:rsidR="00B00804" w:rsidRPr="006A6E65" w:rsidRDefault="00B00804" w:rsidP="00B00804">
            <w:pPr>
              <w:jc w:val="center"/>
              <w:rPr>
                <w:rFonts w:cs="Arial"/>
                <w:sz w:val="18"/>
                <w:szCs w:val="18"/>
                <w:lang w:val="es-ES_tradnl"/>
              </w:rPr>
            </w:pPr>
            <w:r w:rsidRPr="006A6E65">
              <w:rPr>
                <w:rFonts w:cs="Arial"/>
                <w:sz w:val="18"/>
                <w:szCs w:val="18"/>
                <w:lang w:val="es-ES_tradnl"/>
              </w:rPr>
              <w:t>2012</w:t>
            </w:r>
          </w:p>
        </w:tc>
        <w:tc>
          <w:tcPr>
            <w:tcW w:w="592" w:type="dxa"/>
            <w:tcBorders>
              <w:top w:val="single" w:sz="4" w:space="0" w:color="auto"/>
              <w:left w:val="dotted" w:sz="4" w:space="0" w:color="auto"/>
              <w:bottom w:val="nil"/>
              <w:right w:val="dotted" w:sz="4" w:space="0" w:color="auto"/>
            </w:tcBorders>
            <w:hideMark/>
          </w:tcPr>
          <w:p w14:paraId="3EB37645" w14:textId="77777777" w:rsidR="00B00804" w:rsidRPr="006A6E65" w:rsidRDefault="00B00804" w:rsidP="00B00804">
            <w:pPr>
              <w:rPr>
                <w:rFonts w:cs="Arial"/>
                <w:sz w:val="18"/>
                <w:szCs w:val="18"/>
                <w:lang w:val="es-ES_tradnl"/>
              </w:rPr>
            </w:pPr>
            <w:r w:rsidRPr="006A6E65">
              <w:rPr>
                <w:rFonts w:cs="Arial"/>
                <w:sz w:val="18"/>
                <w:szCs w:val="18"/>
                <w:lang w:val="es-ES_tradnl"/>
              </w:rPr>
              <w:t>P</w:t>
            </w:r>
          </w:p>
        </w:tc>
        <w:tc>
          <w:tcPr>
            <w:tcW w:w="746" w:type="dxa"/>
            <w:tcBorders>
              <w:top w:val="single" w:sz="4" w:space="0" w:color="auto"/>
              <w:left w:val="dotted" w:sz="4" w:space="0" w:color="auto"/>
              <w:bottom w:val="nil"/>
              <w:right w:val="dotted" w:sz="4" w:space="0" w:color="auto"/>
            </w:tcBorders>
          </w:tcPr>
          <w:p w14:paraId="05CD15CD" w14:textId="77777777" w:rsidR="00B00804" w:rsidRPr="006A6E65" w:rsidRDefault="00B00804" w:rsidP="00B00804">
            <w:pPr>
              <w:rPr>
                <w:rFonts w:cs="Arial"/>
                <w:sz w:val="18"/>
                <w:szCs w:val="18"/>
                <w:lang w:val="es-ES_tradnl"/>
              </w:rPr>
            </w:pPr>
            <w:r w:rsidRPr="006A6E65">
              <w:rPr>
                <w:rFonts w:cs="Arial"/>
                <w:sz w:val="18"/>
                <w:szCs w:val="18"/>
                <w:lang w:val="es-ES_tradnl"/>
              </w:rPr>
              <w:t>1</w:t>
            </w:r>
          </w:p>
        </w:tc>
        <w:tc>
          <w:tcPr>
            <w:tcW w:w="1217" w:type="dxa"/>
            <w:vMerge w:val="restart"/>
            <w:tcBorders>
              <w:top w:val="single" w:sz="4" w:space="0" w:color="auto"/>
              <w:left w:val="dotted" w:sz="4" w:space="0" w:color="auto"/>
              <w:bottom w:val="nil"/>
              <w:right w:val="dotted" w:sz="4" w:space="0" w:color="auto"/>
            </w:tcBorders>
          </w:tcPr>
          <w:p w14:paraId="27CA200F" w14:textId="77777777" w:rsidR="00B00804" w:rsidRPr="006A6E65" w:rsidRDefault="00B00804" w:rsidP="00B00804">
            <w:pPr>
              <w:rPr>
                <w:rFonts w:cs="Arial"/>
                <w:sz w:val="18"/>
                <w:szCs w:val="18"/>
                <w:lang w:val="es-ES_tradnl"/>
              </w:rPr>
            </w:pPr>
            <w:r w:rsidRPr="006A6E65">
              <w:rPr>
                <w:rFonts w:cs="Arial"/>
                <w:sz w:val="18"/>
                <w:szCs w:val="18"/>
                <w:lang w:val="es-ES_tradnl"/>
              </w:rPr>
              <w:t>100.00</w:t>
            </w:r>
          </w:p>
        </w:tc>
        <w:tc>
          <w:tcPr>
            <w:tcW w:w="2136" w:type="dxa"/>
            <w:vMerge w:val="restart"/>
            <w:tcBorders>
              <w:top w:val="single" w:sz="4" w:space="0" w:color="auto"/>
              <w:left w:val="dotted" w:sz="4" w:space="0" w:color="auto"/>
              <w:bottom w:val="nil"/>
              <w:right w:val="dotted" w:sz="4" w:space="0" w:color="auto"/>
            </w:tcBorders>
          </w:tcPr>
          <w:p w14:paraId="103C96F9" w14:textId="77777777" w:rsidR="00B00804" w:rsidRPr="006A6E65" w:rsidRDefault="00B00804" w:rsidP="00B00804">
            <w:pPr>
              <w:rPr>
                <w:rFonts w:cs="Arial"/>
                <w:sz w:val="18"/>
                <w:szCs w:val="18"/>
                <w:lang w:val="es-ES_tradnl"/>
              </w:rPr>
            </w:pPr>
            <w:r w:rsidRPr="006A6E65">
              <w:rPr>
                <w:rFonts w:cs="Arial"/>
                <w:sz w:val="18"/>
                <w:szCs w:val="18"/>
                <w:lang w:val="es-ES_tradnl"/>
              </w:rPr>
              <w:t>Informes semestrales de progreso</w:t>
            </w:r>
          </w:p>
        </w:tc>
      </w:tr>
      <w:tr w:rsidR="00B00804" w:rsidRPr="006A6E65" w14:paraId="1DB5C007" w14:textId="77777777" w:rsidTr="00FD7D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trPr>
        <w:tc>
          <w:tcPr>
            <w:tcW w:w="2530" w:type="dxa"/>
            <w:vMerge/>
            <w:tcBorders>
              <w:top w:val="nil"/>
              <w:left w:val="dotted" w:sz="4" w:space="0" w:color="auto"/>
              <w:bottom w:val="single" w:sz="4" w:space="0" w:color="auto"/>
              <w:right w:val="dotted" w:sz="4" w:space="0" w:color="auto"/>
            </w:tcBorders>
            <w:hideMark/>
          </w:tcPr>
          <w:p w14:paraId="508A380D"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hideMark/>
          </w:tcPr>
          <w:p w14:paraId="61952D40"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hideMark/>
          </w:tcPr>
          <w:p w14:paraId="32F5EAFC" w14:textId="77777777" w:rsidR="00B00804" w:rsidRPr="006A6E65" w:rsidRDefault="00B00804" w:rsidP="00B00804">
            <w:pPr>
              <w:rPr>
                <w:rFonts w:cs="Arial"/>
                <w:sz w:val="18"/>
                <w:szCs w:val="18"/>
                <w:lang w:val="es-ES_tradnl"/>
              </w:rPr>
            </w:pPr>
          </w:p>
        </w:tc>
        <w:tc>
          <w:tcPr>
            <w:tcW w:w="0" w:type="auto"/>
            <w:vMerge/>
            <w:tcBorders>
              <w:top w:val="nil"/>
              <w:left w:val="dotted" w:sz="4" w:space="0" w:color="auto"/>
              <w:bottom w:val="single" w:sz="4" w:space="0" w:color="auto"/>
              <w:right w:val="dotted" w:sz="4" w:space="0" w:color="auto"/>
            </w:tcBorders>
            <w:hideMark/>
          </w:tcPr>
          <w:p w14:paraId="1F448D41" w14:textId="77777777" w:rsidR="00B00804" w:rsidRPr="006A6E65" w:rsidRDefault="00B00804" w:rsidP="00B00804">
            <w:pPr>
              <w:rPr>
                <w:rFonts w:cs="Arial"/>
                <w:sz w:val="18"/>
                <w:szCs w:val="18"/>
                <w:lang w:val="es-ES_tradnl"/>
              </w:rPr>
            </w:pPr>
          </w:p>
        </w:tc>
        <w:tc>
          <w:tcPr>
            <w:tcW w:w="592" w:type="dxa"/>
            <w:tcBorders>
              <w:top w:val="nil"/>
              <w:left w:val="dotted" w:sz="4" w:space="0" w:color="auto"/>
              <w:bottom w:val="single" w:sz="4" w:space="0" w:color="auto"/>
              <w:right w:val="dotted" w:sz="4" w:space="0" w:color="auto"/>
            </w:tcBorders>
            <w:hideMark/>
          </w:tcPr>
          <w:p w14:paraId="23EBC9F0" w14:textId="77777777" w:rsidR="00B00804" w:rsidRPr="006A6E65" w:rsidRDefault="00B00804" w:rsidP="00B00804">
            <w:pPr>
              <w:rPr>
                <w:rFonts w:cs="Arial"/>
                <w:sz w:val="18"/>
                <w:szCs w:val="18"/>
                <w:lang w:val="es-ES_tradnl"/>
              </w:rPr>
            </w:pPr>
            <w:r w:rsidRPr="006A6E65">
              <w:rPr>
                <w:rFonts w:cs="Arial"/>
                <w:sz w:val="18"/>
                <w:szCs w:val="18"/>
                <w:lang w:val="es-ES_tradnl"/>
              </w:rPr>
              <w:t>P(a)</w:t>
            </w:r>
          </w:p>
          <w:p w14:paraId="27AEAF11" w14:textId="77777777" w:rsidR="00B00804" w:rsidRPr="006A6E65" w:rsidRDefault="00B00804" w:rsidP="00B00804">
            <w:pPr>
              <w:rPr>
                <w:rFonts w:cs="Arial"/>
                <w:sz w:val="18"/>
                <w:szCs w:val="18"/>
                <w:lang w:val="es-ES_tradnl"/>
              </w:rPr>
            </w:pPr>
            <w:r w:rsidRPr="006A6E65">
              <w:rPr>
                <w:rFonts w:cs="Arial"/>
                <w:sz w:val="18"/>
                <w:szCs w:val="18"/>
                <w:lang w:val="es-ES_tradnl"/>
              </w:rPr>
              <w:t>A</w:t>
            </w:r>
          </w:p>
        </w:tc>
        <w:tc>
          <w:tcPr>
            <w:tcW w:w="746" w:type="dxa"/>
            <w:tcBorders>
              <w:top w:val="nil"/>
              <w:left w:val="dotted" w:sz="4" w:space="0" w:color="auto"/>
              <w:bottom w:val="single" w:sz="4" w:space="0" w:color="auto"/>
              <w:right w:val="dotted" w:sz="4" w:space="0" w:color="auto"/>
            </w:tcBorders>
          </w:tcPr>
          <w:p w14:paraId="737EDF76" w14:textId="77777777" w:rsidR="00B00804" w:rsidRPr="006A6E65" w:rsidRDefault="00B00804" w:rsidP="00B00804">
            <w:pPr>
              <w:rPr>
                <w:rFonts w:cs="Arial"/>
                <w:sz w:val="18"/>
                <w:szCs w:val="18"/>
                <w:lang w:val="es-ES_tradnl"/>
              </w:rPr>
            </w:pPr>
            <w:r w:rsidRPr="006A6E65">
              <w:rPr>
                <w:rFonts w:cs="Arial"/>
                <w:sz w:val="18"/>
                <w:szCs w:val="18"/>
                <w:lang w:val="es-ES_tradnl"/>
              </w:rPr>
              <w:t>1</w:t>
            </w:r>
          </w:p>
          <w:p w14:paraId="654FAC39" w14:textId="77777777" w:rsidR="00B00804" w:rsidRPr="006A6E65" w:rsidRDefault="00B00804" w:rsidP="00B00804">
            <w:pPr>
              <w:rPr>
                <w:rFonts w:cs="Arial"/>
                <w:sz w:val="18"/>
                <w:szCs w:val="18"/>
                <w:lang w:val="es-ES_tradnl"/>
              </w:rPr>
            </w:pPr>
            <w:r w:rsidRPr="006A6E65">
              <w:rPr>
                <w:rFonts w:cs="Arial"/>
                <w:sz w:val="18"/>
                <w:szCs w:val="18"/>
                <w:lang w:val="es-ES_tradnl"/>
              </w:rPr>
              <w:t>1</w:t>
            </w:r>
          </w:p>
        </w:tc>
        <w:tc>
          <w:tcPr>
            <w:tcW w:w="0" w:type="auto"/>
            <w:vMerge/>
            <w:tcBorders>
              <w:top w:val="nil"/>
              <w:left w:val="dotted" w:sz="4" w:space="0" w:color="auto"/>
              <w:bottom w:val="single" w:sz="4" w:space="0" w:color="auto"/>
              <w:right w:val="dotted" w:sz="4" w:space="0" w:color="auto"/>
            </w:tcBorders>
            <w:hideMark/>
          </w:tcPr>
          <w:p w14:paraId="3C8EF860" w14:textId="77777777" w:rsidR="00B00804" w:rsidRPr="006A6E65" w:rsidRDefault="00B00804" w:rsidP="00B00804">
            <w:pPr>
              <w:rPr>
                <w:rFonts w:cs="Arial"/>
                <w:sz w:val="18"/>
                <w:szCs w:val="18"/>
                <w:lang w:val="es-ES_tradnl"/>
              </w:rPr>
            </w:pPr>
          </w:p>
        </w:tc>
        <w:tc>
          <w:tcPr>
            <w:tcW w:w="2136" w:type="dxa"/>
            <w:vMerge/>
            <w:tcBorders>
              <w:top w:val="nil"/>
              <w:left w:val="dotted" w:sz="4" w:space="0" w:color="auto"/>
              <w:bottom w:val="single" w:sz="4" w:space="0" w:color="auto"/>
              <w:right w:val="dotted" w:sz="4" w:space="0" w:color="auto"/>
            </w:tcBorders>
          </w:tcPr>
          <w:p w14:paraId="53DB4368" w14:textId="77777777" w:rsidR="00B00804" w:rsidRPr="006A6E65" w:rsidRDefault="00B00804" w:rsidP="00B00804">
            <w:pPr>
              <w:rPr>
                <w:rFonts w:cs="Arial"/>
                <w:sz w:val="18"/>
                <w:szCs w:val="18"/>
                <w:lang w:val="es-ES_tradnl"/>
              </w:rPr>
            </w:pPr>
          </w:p>
        </w:tc>
      </w:tr>
    </w:tbl>
    <w:p w14:paraId="3FEFC33F" w14:textId="22A6F713" w:rsidR="00B00804" w:rsidRPr="006A6E65" w:rsidRDefault="00B00804" w:rsidP="00B00804">
      <w:pPr>
        <w:ind w:hanging="990"/>
        <w:jc w:val="center"/>
        <w:rPr>
          <w:noProof/>
          <w:u w:val="single"/>
          <w:lang w:val="es-ES_tradnl"/>
        </w:rPr>
      </w:pPr>
    </w:p>
    <w:p w14:paraId="7A614C9F" w14:textId="01C55CDD" w:rsidR="00DF4D24" w:rsidRPr="006A6E65" w:rsidRDefault="00DF4D24" w:rsidP="00B00804">
      <w:pPr>
        <w:ind w:hanging="990"/>
        <w:jc w:val="center"/>
        <w:rPr>
          <w:noProof/>
          <w:u w:val="single"/>
          <w:lang w:val="es-ES_tradnl"/>
        </w:rPr>
      </w:pPr>
    </w:p>
    <w:p w14:paraId="04404EE9" w14:textId="0CD3EB4D" w:rsidR="0007799E" w:rsidRPr="006A6E65" w:rsidRDefault="0007799E" w:rsidP="00822086">
      <w:pPr>
        <w:jc w:val="both"/>
        <w:rPr>
          <w:i/>
          <w:noProof/>
          <w:u w:val="single"/>
          <w:lang w:val="es-ES_tradnl"/>
        </w:rPr>
      </w:pPr>
      <w:r w:rsidRPr="006A6E65">
        <w:rPr>
          <w:i/>
          <w:noProof/>
          <w:u w:val="single"/>
          <w:lang w:val="es-ES_tradnl"/>
        </w:rPr>
        <w:t xml:space="preserve">Productos logrados por la operación: </w:t>
      </w:r>
    </w:p>
    <w:p w14:paraId="0DC887BD" w14:textId="77777777" w:rsidR="0007799E" w:rsidRPr="006A6E65" w:rsidRDefault="0007799E" w:rsidP="00822086">
      <w:pPr>
        <w:jc w:val="both"/>
        <w:rPr>
          <w:noProof/>
          <w:lang w:val="es-ES_tradnl"/>
        </w:rPr>
      </w:pPr>
    </w:p>
    <w:p w14:paraId="70C27B3C" w14:textId="1EC981C5" w:rsidR="00822086" w:rsidRPr="006A6E65" w:rsidRDefault="00822086" w:rsidP="00822086">
      <w:pPr>
        <w:jc w:val="both"/>
        <w:rPr>
          <w:noProof/>
          <w:lang w:val="es-ES_tradnl"/>
        </w:rPr>
      </w:pPr>
      <w:r w:rsidRPr="006A6E65">
        <w:rPr>
          <w:noProof/>
          <w:lang w:val="es-ES_tradnl"/>
        </w:rPr>
        <w:t>Todos los productos esperados de la operación se entregaron en</w:t>
      </w:r>
      <w:r w:rsidR="00B33AC2" w:rsidRPr="006A6E65">
        <w:rPr>
          <w:noProof/>
          <w:lang w:val="es-ES_tradnl"/>
        </w:rPr>
        <w:t xml:space="preserve"> forma satisfactoria</w:t>
      </w:r>
      <w:r w:rsidR="00B33AC2" w:rsidRPr="006A6E65">
        <w:rPr>
          <w:rStyle w:val="FootnoteReference"/>
          <w:noProof/>
          <w:lang w:val="es-ES_tradnl"/>
        </w:rPr>
        <w:footnoteReference w:id="2"/>
      </w:r>
      <w:r w:rsidR="00B33AC2" w:rsidRPr="006A6E65">
        <w:rPr>
          <w:noProof/>
          <w:lang w:val="es-ES_tradnl"/>
        </w:rPr>
        <w:t xml:space="preserve">. El </w:t>
      </w:r>
      <w:r w:rsidRPr="006A6E65">
        <w:rPr>
          <w:noProof/>
          <w:lang w:val="es-ES_tradnl"/>
        </w:rPr>
        <w:t>producto</w:t>
      </w:r>
      <w:r w:rsidR="006A6E65" w:rsidRPr="006A6E65">
        <w:rPr>
          <w:noProof/>
          <w:lang w:val="es-ES_tradnl"/>
        </w:rPr>
        <w:t> </w:t>
      </w:r>
      <w:r w:rsidR="00B33AC2" w:rsidRPr="006A6E65">
        <w:rPr>
          <w:noProof/>
          <w:lang w:val="es-ES_tradnl"/>
        </w:rPr>
        <w:t xml:space="preserve">1.1. </w:t>
      </w:r>
      <w:r w:rsidRPr="006A6E65">
        <w:rPr>
          <w:noProof/>
          <w:lang w:val="es-ES_tradnl"/>
        </w:rPr>
        <w:t xml:space="preserve">se logró a través de la realización de la </w:t>
      </w:r>
      <w:r w:rsidRPr="006A6E65">
        <w:rPr>
          <w:b/>
          <w:noProof/>
          <w:lang w:val="es-ES_tradnl"/>
        </w:rPr>
        <w:t>evaluación de impacto del Programa de Formación para el Trabajo (FOTRAB)</w:t>
      </w:r>
      <w:r w:rsidRPr="006A6E65">
        <w:rPr>
          <w:noProof/>
          <w:lang w:val="es-ES_tradnl"/>
        </w:rPr>
        <w:t>, principal programa del SENCE al momento d</w:t>
      </w:r>
      <w:r w:rsidR="00FC7F09" w:rsidRPr="006A6E65">
        <w:rPr>
          <w:noProof/>
          <w:lang w:val="es-ES_tradnl"/>
        </w:rPr>
        <w:t>e la aprobación de la operación</w:t>
      </w:r>
      <w:r w:rsidRPr="006A6E65">
        <w:rPr>
          <w:noProof/>
          <w:lang w:val="es-ES_tradnl"/>
        </w:rPr>
        <w:t xml:space="preserve">. El producto incluye el diseño de la evaluación experimental, los levantamientos de líneas de base y de seguimiento, y el análisis final de la efectividad de la intervención. Asimismo, en el marco del primer producto se realizó una </w:t>
      </w:r>
      <w:r w:rsidRPr="006A6E65">
        <w:rPr>
          <w:b/>
          <w:noProof/>
          <w:lang w:val="es-ES_tradnl"/>
        </w:rPr>
        <w:t>evaluación de resultados del programa de aprendices</w:t>
      </w:r>
      <w:r w:rsidR="00FC7F09" w:rsidRPr="006A6E65">
        <w:rPr>
          <w:noProof/>
          <w:lang w:val="es-ES_tradnl"/>
        </w:rPr>
        <w:t xml:space="preserve"> </w:t>
      </w:r>
      <w:r w:rsidRPr="006A6E65">
        <w:rPr>
          <w:noProof/>
          <w:lang w:val="es-ES_tradnl"/>
        </w:rPr>
        <w:t xml:space="preserve"> del SENCE con bases de datos administrativas y se formularon recomendaciones para el ajuste del diseño del programa. </w:t>
      </w:r>
    </w:p>
    <w:p w14:paraId="6FFEABDF" w14:textId="77777777" w:rsidR="00822086" w:rsidRPr="006A6E65" w:rsidRDefault="00822086" w:rsidP="00822086">
      <w:pPr>
        <w:jc w:val="both"/>
        <w:rPr>
          <w:noProof/>
          <w:lang w:val="es-ES_tradnl"/>
        </w:rPr>
      </w:pPr>
    </w:p>
    <w:p w14:paraId="18148C9D" w14:textId="72507BFC" w:rsidR="00822086" w:rsidRPr="006A6E65" w:rsidRDefault="00B33AC2" w:rsidP="00822086">
      <w:pPr>
        <w:jc w:val="both"/>
        <w:rPr>
          <w:noProof/>
          <w:lang w:val="es-ES_tradnl"/>
        </w:rPr>
      </w:pPr>
      <w:r w:rsidRPr="006A6E65">
        <w:rPr>
          <w:noProof/>
          <w:lang w:val="es-ES_tradnl"/>
        </w:rPr>
        <w:t>En el marco del</w:t>
      </w:r>
      <w:r w:rsidR="00822086" w:rsidRPr="006A6E65">
        <w:rPr>
          <w:noProof/>
          <w:lang w:val="es-ES_tradnl"/>
        </w:rPr>
        <w:t xml:space="preserve"> producto</w:t>
      </w:r>
      <w:r w:rsidRPr="006A6E65">
        <w:rPr>
          <w:noProof/>
          <w:lang w:val="es-ES_tradnl"/>
        </w:rPr>
        <w:t xml:space="preserve"> 1.2.</w:t>
      </w:r>
      <w:r w:rsidR="00822086" w:rsidRPr="006A6E65">
        <w:rPr>
          <w:noProof/>
          <w:lang w:val="es-ES_tradnl"/>
        </w:rPr>
        <w:t>, la operación</w:t>
      </w:r>
      <w:r w:rsidRPr="006A6E65">
        <w:rPr>
          <w:noProof/>
          <w:lang w:val="es-ES_tradnl"/>
        </w:rPr>
        <w:t xml:space="preserve"> permitió modificar</w:t>
      </w:r>
      <w:r w:rsidR="00822086" w:rsidRPr="006A6E65">
        <w:rPr>
          <w:noProof/>
          <w:lang w:val="es-ES_tradnl"/>
        </w:rPr>
        <w:t xml:space="preserve"> la </w:t>
      </w:r>
      <w:r w:rsidR="00822086" w:rsidRPr="006A6E65">
        <w:rPr>
          <w:b/>
          <w:noProof/>
          <w:lang w:val="es-ES_tradnl"/>
        </w:rPr>
        <w:t>norma de calidad de los Organismos Técnicos de Capacitación (OTEC)</w:t>
      </w:r>
      <w:r w:rsidR="00FC7F09" w:rsidRPr="006A6E65">
        <w:rPr>
          <w:noProof/>
          <w:lang w:val="es-ES_tradnl"/>
        </w:rPr>
        <w:t xml:space="preserve">, </w:t>
      </w:r>
      <w:r w:rsidR="00822086" w:rsidRPr="006A6E65">
        <w:rPr>
          <w:noProof/>
          <w:lang w:val="es-ES_tradnl"/>
        </w:rPr>
        <w:t>logrando que la norma revisada incluya mejores criterios para el monitoreo de la calidad de los proveedo</w:t>
      </w:r>
      <w:r w:rsidRPr="006A6E65">
        <w:rPr>
          <w:noProof/>
          <w:lang w:val="es-ES_tradnl"/>
        </w:rPr>
        <w:t xml:space="preserve">res de capacitación. La norma </w:t>
      </w:r>
      <w:r w:rsidR="00822086" w:rsidRPr="006A6E65">
        <w:rPr>
          <w:noProof/>
          <w:lang w:val="es-ES_tradnl"/>
        </w:rPr>
        <w:t>en</w:t>
      </w:r>
      <w:r w:rsidRPr="006A6E65">
        <w:rPr>
          <w:noProof/>
          <w:lang w:val="es-ES_tradnl"/>
        </w:rPr>
        <w:t>tró en pleno</w:t>
      </w:r>
      <w:r w:rsidR="00822086" w:rsidRPr="006A6E65">
        <w:rPr>
          <w:noProof/>
          <w:lang w:val="es-ES_tradnl"/>
        </w:rPr>
        <w:t xml:space="preserve"> funcionamiento a partir del 21 de </w:t>
      </w:r>
      <w:r w:rsidR="006A6E65" w:rsidRPr="006A6E65">
        <w:rPr>
          <w:noProof/>
          <w:lang w:val="es-ES_tradnl"/>
        </w:rPr>
        <w:t>d</w:t>
      </w:r>
      <w:r w:rsidR="00822086" w:rsidRPr="006A6E65">
        <w:rPr>
          <w:noProof/>
          <w:lang w:val="es-ES_tradnl"/>
        </w:rPr>
        <w:t xml:space="preserve">iciembre del 2017. </w:t>
      </w:r>
    </w:p>
    <w:p w14:paraId="5AD0BAB1" w14:textId="149709AC" w:rsidR="007C68D2" w:rsidRPr="006A6E65" w:rsidRDefault="007C68D2" w:rsidP="00822086">
      <w:pPr>
        <w:jc w:val="both"/>
        <w:rPr>
          <w:noProof/>
          <w:lang w:val="es-ES_tradnl"/>
        </w:rPr>
      </w:pPr>
    </w:p>
    <w:p w14:paraId="5ACEBDD9" w14:textId="19D90762" w:rsidR="007C68D2" w:rsidRPr="006A6E65" w:rsidRDefault="007C68D2" w:rsidP="007C68D2">
      <w:pPr>
        <w:jc w:val="both"/>
        <w:rPr>
          <w:noProof/>
          <w:lang w:val="es-ES_tradnl"/>
        </w:rPr>
      </w:pPr>
      <w:r w:rsidRPr="006A6E65">
        <w:rPr>
          <w:noProof/>
          <w:lang w:val="es-ES_tradnl"/>
        </w:rPr>
        <w:t xml:space="preserve">Finalmente, se diseñó y piloteó un </w:t>
      </w:r>
      <w:r w:rsidRPr="006A6E65">
        <w:rPr>
          <w:b/>
          <w:noProof/>
          <w:lang w:val="es-ES_tradnl"/>
        </w:rPr>
        <w:t>modelo de intermediación laboral en 3 provincias</w:t>
      </w:r>
      <w:r w:rsidRPr="006A6E65">
        <w:rPr>
          <w:noProof/>
          <w:lang w:val="es-ES_tradnl"/>
        </w:rPr>
        <w:t xml:space="preserve"> </w:t>
      </w:r>
      <w:r w:rsidRPr="006A6E65">
        <w:rPr>
          <w:b/>
          <w:noProof/>
          <w:lang w:val="es-ES_tradnl"/>
        </w:rPr>
        <w:t>del país</w:t>
      </w:r>
      <w:r w:rsidRPr="006A6E65">
        <w:rPr>
          <w:noProof/>
          <w:lang w:val="es-ES_tradnl"/>
        </w:rPr>
        <w:t xml:space="preserve">, que permitió reforzar los vínculos operativos entre la capacitación y la intermediación laboral y sirvió de base para la elaboración de una propuesta de política nacional de intermediación. Considerando que la iniciativa se mantivo a nivel de piloto durante la fase ejecucion del programa, no se contabiliza en la matriz de productos como producto logrado. </w:t>
      </w:r>
    </w:p>
    <w:p w14:paraId="015AB825" w14:textId="77777777" w:rsidR="007C68D2" w:rsidRPr="006A6E65" w:rsidRDefault="007C68D2" w:rsidP="00822086">
      <w:pPr>
        <w:jc w:val="both"/>
        <w:rPr>
          <w:noProof/>
          <w:lang w:val="es-ES_tradnl"/>
        </w:rPr>
      </w:pPr>
    </w:p>
    <w:p w14:paraId="136A2F54" w14:textId="26694123" w:rsidR="007C68D2" w:rsidRPr="006A6E65" w:rsidRDefault="00B33AC2" w:rsidP="007C68D2">
      <w:pPr>
        <w:jc w:val="both"/>
        <w:rPr>
          <w:noProof/>
          <w:lang w:val="es-ES_tradnl"/>
        </w:rPr>
      </w:pPr>
      <w:r w:rsidRPr="006A6E65">
        <w:rPr>
          <w:noProof/>
          <w:lang w:val="es-ES_tradnl"/>
        </w:rPr>
        <w:t xml:space="preserve">El </w:t>
      </w:r>
      <w:r w:rsidR="00822086" w:rsidRPr="006A6E65">
        <w:rPr>
          <w:noProof/>
          <w:lang w:val="es-ES_tradnl"/>
        </w:rPr>
        <w:t xml:space="preserve">producto </w:t>
      </w:r>
      <w:r w:rsidRPr="006A6E65">
        <w:rPr>
          <w:noProof/>
          <w:lang w:val="es-ES_tradnl"/>
        </w:rPr>
        <w:t xml:space="preserve">2.1. </w:t>
      </w:r>
      <w:r w:rsidR="00822086" w:rsidRPr="006A6E65">
        <w:rPr>
          <w:noProof/>
          <w:lang w:val="es-ES_tradnl"/>
        </w:rPr>
        <w:t xml:space="preserve">se logró a través de la realización de </w:t>
      </w:r>
      <w:r w:rsidR="00822086" w:rsidRPr="006A6E65">
        <w:rPr>
          <w:b/>
          <w:noProof/>
          <w:lang w:val="es-ES_tradnl"/>
        </w:rPr>
        <w:t>6 evaluaciones de diseño y focalización de programas del SENCE</w:t>
      </w:r>
      <w:r w:rsidRPr="006A6E65">
        <w:rPr>
          <w:noProof/>
          <w:lang w:val="es-ES_tradnl"/>
        </w:rPr>
        <w:t xml:space="preserve">, </w:t>
      </w:r>
      <w:r w:rsidR="00822086" w:rsidRPr="006A6E65">
        <w:rPr>
          <w:noProof/>
          <w:lang w:val="es-ES_tradnl"/>
        </w:rPr>
        <w:t xml:space="preserve">con recomendaciones para su rediseño. </w:t>
      </w:r>
      <w:r w:rsidRPr="006A6E65">
        <w:rPr>
          <w:noProof/>
          <w:lang w:val="es-ES_tradnl"/>
        </w:rPr>
        <w:t xml:space="preserve">La operación financió también el diseño inicial de un </w:t>
      </w:r>
      <w:r w:rsidRPr="006A6E65">
        <w:rPr>
          <w:b/>
          <w:noProof/>
          <w:lang w:val="es-ES_tradnl"/>
        </w:rPr>
        <w:t>marco de cualificaciones</w:t>
      </w:r>
      <w:r w:rsidRPr="006A6E65">
        <w:rPr>
          <w:noProof/>
          <w:lang w:val="es-ES_tradnl"/>
        </w:rPr>
        <w:t xml:space="preserve"> que permita alinear la oferta de capacitación del SENCE con la oferta de certificación de Chile Valora, el producto entregado sirvió de base para la ampliación posterior del marco de cualificaciones técnico profesional. Asimismo, l</w:t>
      </w:r>
      <w:r w:rsidR="00822086" w:rsidRPr="006A6E65">
        <w:rPr>
          <w:noProof/>
          <w:lang w:val="es-ES_tradnl"/>
        </w:rPr>
        <w:t xml:space="preserve">os instrumentos para el seguimiento de las intervenciones de capacitación fueron implementados en una </w:t>
      </w:r>
      <w:r w:rsidR="00822086" w:rsidRPr="006A6E65">
        <w:rPr>
          <w:b/>
          <w:noProof/>
          <w:lang w:val="es-ES_tradnl"/>
        </w:rPr>
        <w:t>Unidad de Desarrollo Estratégico</w:t>
      </w:r>
      <w:r w:rsidRPr="006A6E65">
        <w:rPr>
          <w:noProof/>
          <w:lang w:val="es-ES_tradnl"/>
        </w:rPr>
        <w:t xml:space="preserve">, </w:t>
      </w:r>
      <w:r w:rsidR="00822086" w:rsidRPr="006A6E65">
        <w:rPr>
          <w:noProof/>
          <w:lang w:val="es-ES_tradnl"/>
        </w:rPr>
        <w:t xml:space="preserve">diseñada e instalada con el apoyo de la operación. </w:t>
      </w:r>
      <w:r w:rsidR="007C68D2" w:rsidRPr="006A6E65">
        <w:rPr>
          <w:noProof/>
          <w:lang w:val="es-ES_tradnl"/>
        </w:rPr>
        <w:t xml:space="preserve">Asimismo, en el marco de este producto, la operación entregó también un diseño de </w:t>
      </w:r>
      <w:r w:rsidR="007C68D2" w:rsidRPr="006A6E65">
        <w:rPr>
          <w:b/>
          <w:noProof/>
          <w:lang w:val="es-ES_tradnl"/>
        </w:rPr>
        <w:t xml:space="preserve">instrumento para el diagnóstico de habilidades y la medición de los aprendizajes </w:t>
      </w:r>
      <w:r w:rsidR="007C68D2" w:rsidRPr="006A6E65">
        <w:rPr>
          <w:noProof/>
          <w:lang w:val="es-ES_tradnl"/>
        </w:rPr>
        <w:t xml:space="preserve">de los beneficiarios de la capacitación. Si bien se cuenta con un diseño final y piloteado satisfactoriamente, no se habían implementado estos instrumentos al momento del cierre de la operación, por lo que no se reportaron como avance en el producto 2.1 (referida </w:t>
      </w:r>
      <w:r w:rsidR="000B35B4" w:rsidRPr="006A6E65">
        <w:rPr>
          <w:noProof/>
          <w:lang w:val="es-ES_tradnl"/>
        </w:rPr>
        <w:t xml:space="preserve">instrumentos diseñados) </w:t>
      </w:r>
      <w:r w:rsidR="007C68D2" w:rsidRPr="006A6E65">
        <w:rPr>
          <w:noProof/>
          <w:lang w:val="es-ES_tradnl"/>
        </w:rPr>
        <w:t>y no en la linea de producto 2.2.</w:t>
      </w:r>
      <w:r w:rsidR="000B35B4" w:rsidRPr="006A6E65">
        <w:rPr>
          <w:noProof/>
          <w:lang w:val="es-ES_tradnl"/>
        </w:rPr>
        <w:t xml:space="preserve"> (referida instrumentos implementados) </w:t>
      </w:r>
      <w:r w:rsidR="007C68D2" w:rsidRPr="006A6E65">
        <w:rPr>
          <w:noProof/>
          <w:lang w:val="es-ES_tradnl"/>
        </w:rPr>
        <w:t xml:space="preserve"> </w:t>
      </w:r>
    </w:p>
    <w:p w14:paraId="62D8C96D" w14:textId="11050876" w:rsidR="00822086" w:rsidRPr="006A6E65" w:rsidRDefault="00822086" w:rsidP="00822086">
      <w:pPr>
        <w:jc w:val="both"/>
        <w:rPr>
          <w:noProof/>
          <w:lang w:val="es-ES_tradnl"/>
        </w:rPr>
      </w:pPr>
    </w:p>
    <w:p w14:paraId="6E7C829C" w14:textId="5D2C038D" w:rsidR="00822086" w:rsidRPr="006A6E65" w:rsidRDefault="00B33AC2" w:rsidP="00822086">
      <w:pPr>
        <w:jc w:val="both"/>
        <w:rPr>
          <w:noProof/>
          <w:lang w:val="es-ES_tradnl"/>
        </w:rPr>
      </w:pPr>
      <w:r w:rsidRPr="006A6E65">
        <w:rPr>
          <w:noProof/>
          <w:lang w:val="es-ES_tradnl"/>
        </w:rPr>
        <w:t xml:space="preserve">El </w:t>
      </w:r>
      <w:r w:rsidR="00822086" w:rsidRPr="006A6E65">
        <w:rPr>
          <w:noProof/>
          <w:lang w:val="es-ES_tradnl"/>
        </w:rPr>
        <w:t xml:space="preserve">producto </w:t>
      </w:r>
      <w:r w:rsidRPr="006A6E65">
        <w:rPr>
          <w:noProof/>
          <w:lang w:val="es-ES_tradnl"/>
        </w:rPr>
        <w:t xml:space="preserve">2.2. </w:t>
      </w:r>
      <w:r w:rsidR="00822086" w:rsidRPr="006A6E65">
        <w:rPr>
          <w:noProof/>
          <w:lang w:val="es-ES_tradnl"/>
        </w:rPr>
        <w:t xml:space="preserve">se logró a través de la instalación de un </w:t>
      </w:r>
      <w:r w:rsidR="00822086" w:rsidRPr="006A6E65">
        <w:rPr>
          <w:b/>
          <w:noProof/>
          <w:lang w:val="es-ES_tradnl"/>
        </w:rPr>
        <w:t>observatorio laboral nacional  y de una</w:t>
      </w:r>
      <w:r w:rsidRPr="006A6E65">
        <w:rPr>
          <w:b/>
          <w:noProof/>
          <w:lang w:val="es-ES_tradnl"/>
        </w:rPr>
        <w:t xml:space="preserve"> red de observatorios regionales</w:t>
      </w:r>
      <w:r w:rsidR="00FC7F09" w:rsidRPr="006A6E65">
        <w:rPr>
          <w:noProof/>
          <w:lang w:val="es-ES_tradnl"/>
        </w:rPr>
        <w:t xml:space="preserve"> </w:t>
      </w:r>
      <w:r w:rsidR="00822086" w:rsidRPr="006A6E65">
        <w:rPr>
          <w:noProof/>
          <w:lang w:val="es-ES_tradnl"/>
        </w:rPr>
        <w:t xml:space="preserve">a cargo del análisis de brechas de capital humano y de la detección de necesidades de capacitación. Los observatorios realizaron una serie de análisis para informar la toma de decisiones del SENCE y orientar la oferta de capacitación y diseñaron una serie de instrumentos (encuestas, modelos de proyección de demanda de ocupaciones, entre otros) que permitirán a futuro mejorar la cantidad y calidad de la información disponible para la toma de decisiones. En el marco de este producto, se instaló también un </w:t>
      </w:r>
      <w:r w:rsidR="00822086" w:rsidRPr="006A6E65">
        <w:rPr>
          <w:b/>
          <w:noProof/>
          <w:lang w:val="es-ES_tradnl"/>
        </w:rPr>
        <w:t>modelo de fiscalización de proveedores de capacitación basado en riesg</w:t>
      </w:r>
      <w:r w:rsidRPr="006A6E65">
        <w:rPr>
          <w:b/>
          <w:noProof/>
          <w:lang w:val="es-ES_tradnl"/>
        </w:rPr>
        <w:t>o</w:t>
      </w:r>
      <w:r w:rsidR="00822086" w:rsidRPr="006A6E65">
        <w:rPr>
          <w:noProof/>
          <w:lang w:val="es-ES_tradnl"/>
        </w:rPr>
        <w:t xml:space="preserve">, incluyendo la elaboración de una matriz de riesgos que clasifica a los proveedores de capacitación según su probabilidad de incumplir la norma con el fin de concentrar los esfuerzos de fiscalización hacia las OTECs con menores niveles de calidad. El modelo de fiscalización incluyó además una redefinición de los procesos operativos y la instalación de un nuevo sistema informático para apoyar la gestión operativa. </w:t>
      </w:r>
    </w:p>
    <w:p w14:paraId="39AB824C" w14:textId="77777777" w:rsidR="00822086" w:rsidRPr="006A6E65" w:rsidRDefault="00822086" w:rsidP="00822086">
      <w:pPr>
        <w:jc w:val="both"/>
        <w:rPr>
          <w:noProof/>
          <w:lang w:val="es-ES_tradnl"/>
        </w:rPr>
      </w:pPr>
    </w:p>
    <w:p w14:paraId="321296B7" w14:textId="7F87AFF1" w:rsidR="00DF4D24" w:rsidRPr="006A6E65" w:rsidRDefault="00B33AC2" w:rsidP="00822086">
      <w:pPr>
        <w:jc w:val="both"/>
        <w:rPr>
          <w:noProof/>
          <w:lang w:val="es-ES_tradnl"/>
        </w:rPr>
      </w:pPr>
      <w:r w:rsidRPr="006A6E65">
        <w:rPr>
          <w:noProof/>
          <w:lang w:val="es-ES_tradnl"/>
        </w:rPr>
        <w:t xml:space="preserve">Finalmente, el </w:t>
      </w:r>
      <w:r w:rsidR="00822086" w:rsidRPr="006A6E65">
        <w:rPr>
          <w:noProof/>
          <w:lang w:val="es-ES_tradnl"/>
        </w:rPr>
        <w:t xml:space="preserve">producto </w:t>
      </w:r>
      <w:r w:rsidRPr="006A6E65">
        <w:rPr>
          <w:noProof/>
          <w:lang w:val="es-ES_tradnl"/>
        </w:rPr>
        <w:t xml:space="preserve">3.1. </w:t>
      </w:r>
      <w:r w:rsidR="00822086" w:rsidRPr="006A6E65">
        <w:rPr>
          <w:noProof/>
          <w:lang w:val="es-ES_tradnl"/>
        </w:rPr>
        <w:t xml:space="preserve">se entregó a través de la realización de un amplio esfuerzo de </w:t>
      </w:r>
      <w:r w:rsidR="00822086" w:rsidRPr="006A6E65">
        <w:rPr>
          <w:b/>
          <w:noProof/>
          <w:lang w:val="es-ES_tradnl"/>
        </w:rPr>
        <w:t>levantamiento y optimización de procesos operativos</w:t>
      </w:r>
      <w:r w:rsidR="00822086" w:rsidRPr="006A6E65">
        <w:rPr>
          <w:noProof/>
          <w:lang w:val="es-ES_tradnl"/>
        </w:rPr>
        <w:t xml:space="preserve">, </w:t>
      </w:r>
      <w:r w:rsidR="00822086" w:rsidRPr="006A6E65">
        <w:rPr>
          <w:b/>
          <w:noProof/>
          <w:lang w:val="es-ES_tradnl"/>
        </w:rPr>
        <w:t>de definición de indicadores de desempeño asociado a procesos operativos y programas del SENCE y la instalación de un sistema de cuadro de mando integral que permite un reporte automático de los principales indicadores de gestión</w:t>
      </w:r>
      <w:r w:rsidR="00822086" w:rsidRPr="006A6E65">
        <w:rPr>
          <w:noProof/>
          <w:lang w:val="es-ES_tradnl"/>
        </w:rPr>
        <w:t>. Asimismo, la operación financió la instalación de un comité de expertos en tecnologías de la información que desarrolló un plan de modernización informática con metas de corto y mediano plazo que incluye aspectos de arquitectura institucional, optimización de bases de datos, instalación de un esquema de business intelligence y la instalación de una plataforma de capacitación interna para los funcionarios del SENCE.</w:t>
      </w:r>
    </w:p>
    <w:p w14:paraId="630B963D" w14:textId="6D1D2261" w:rsidR="00DF4D24" w:rsidRPr="006A6E65" w:rsidRDefault="00DF4D24" w:rsidP="00DF4D24">
      <w:pPr>
        <w:jc w:val="both"/>
        <w:rPr>
          <w:noProof/>
          <w:u w:val="single"/>
          <w:lang w:val="es-ES_tradnl"/>
        </w:rPr>
      </w:pPr>
    </w:p>
    <w:p w14:paraId="11BCC998" w14:textId="5E22483F" w:rsidR="00822086" w:rsidRPr="006A6E65" w:rsidRDefault="008000A2" w:rsidP="0007799E">
      <w:pPr>
        <w:jc w:val="both"/>
        <w:rPr>
          <w:i/>
          <w:noProof/>
          <w:u w:val="single"/>
          <w:lang w:val="es-ES_tradnl"/>
        </w:rPr>
      </w:pPr>
      <w:r w:rsidRPr="006A6E65">
        <w:rPr>
          <w:i/>
          <w:noProof/>
          <w:u w:val="single"/>
          <w:lang w:val="es-ES_tradnl"/>
        </w:rPr>
        <w:t>Ajustes en prioridades y estrategias de implementación de los productos</w:t>
      </w:r>
    </w:p>
    <w:p w14:paraId="02328568" w14:textId="77777777" w:rsidR="00822086" w:rsidRPr="006A6E65" w:rsidRDefault="00822086" w:rsidP="00DF4D24">
      <w:pPr>
        <w:jc w:val="both"/>
        <w:rPr>
          <w:noProof/>
          <w:u w:val="single"/>
          <w:lang w:val="es-ES_tradnl"/>
        </w:rPr>
      </w:pPr>
    </w:p>
    <w:p w14:paraId="79E1DCFC" w14:textId="59C63836" w:rsidR="00822086" w:rsidRPr="006A6E65" w:rsidRDefault="006B1AC1" w:rsidP="00FD7DFD">
      <w:pPr>
        <w:jc w:val="both"/>
        <w:rPr>
          <w:noProof/>
          <w:lang w:val="es-ES_tradnl"/>
        </w:rPr>
      </w:pPr>
      <w:r w:rsidRPr="006A6E65">
        <w:rPr>
          <w:noProof/>
          <w:lang w:val="es-ES_tradnl"/>
        </w:rPr>
        <w:t>A continuación se m</w:t>
      </w:r>
      <w:r w:rsidR="008000A2" w:rsidRPr="006A6E65">
        <w:rPr>
          <w:noProof/>
          <w:lang w:val="es-ES_tradnl"/>
        </w:rPr>
        <w:t>encionan los princiaples ajustes</w:t>
      </w:r>
      <w:r w:rsidRPr="006A6E65">
        <w:rPr>
          <w:noProof/>
          <w:lang w:val="es-ES_tradnl"/>
        </w:rPr>
        <w:t xml:space="preserve"> de prioridades y estrategias </w:t>
      </w:r>
      <w:r w:rsidR="0081132D" w:rsidRPr="006A6E65">
        <w:rPr>
          <w:noProof/>
          <w:lang w:val="es-ES_tradnl"/>
        </w:rPr>
        <w:t>que se dieron como consecuencia del cambio de administración en 2014, sin afectar la l</w:t>
      </w:r>
      <w:r w:rsidR="003F4461">
        <w:rPr>
          <w:noProof/>
          <w:lang w:val="es-ES_tradnl"/>
        </w:rPr>
        <w:t>ó</w:t>
      </w:r>
      <w:r w:rsidR="0081132D" w:rsidRPr="006A6E65">
        <w:rPr>
          <w:noProof/>
          <w:lang w:val="es-ES_tradnl"/>
        </w:rPr>
        <w:t xml:space="preserve">gica vertical del programa definida en la fase de diseño. </w:t>
      </w:r>
    </w:p>
    <w:p w14:paraId="1AE3CF5C" w14:textId="469200C0" w:rsidR="00822086" w:rsidRPr="006A6E65" w:rsidRDefault="00822086" w:rsidP="00FD7DFD">
      <w:pPr>
        <w:jc w:val="both"/>
        <w:rPr>
          <w:noProof/>
          <w:u w:val="single"/>
          <w:lang w:val="es-ES_tradnl"/>
        </w:rPr>
      </w:pPr>
    </w:p>
    <w:p w14:paraId="579B68EA" w14:textId="4F8ABEC3" w:rsidR="009343BA" w:rsidRPr="006A6E65" w:rsidRDefault="009343BA" w:rsidP="009343BA">
      <w:pPr>
        <w:jc w:val="both"/>
        <w:rPr>
          <w:i/>
          <w:noProof/>
          <w:u w:val="single"/>
          <w:lang w:val="es-ES_tradnl"/>
        </w:rPr>
      </w:pPr>
      <w:r w:rsidRPr="006A6E65">
        <w:rPr>
          <w:i/>
          <w:noProof/>
          <w:u w:val="single"/>
          <w:lang w:val="es-ES_tradnl"/>
        </w:rPr>
        <w:t>Ajustes en</w:t>
      </w:r>
      <w:r w:rsidR="006B1AC1" w:rsidRPr="006A6E65">
        <w:rPr>
          <w:i/>
          <w:noProof/>
          <w:u w:val="single"/>
          <w:lang w:val="es-ES_tradnl"/>
        </w:rPr>
        <w:t xml:space="preserve"> prioridades y estrategia con relación al componente 1: </w:t>
      </w:r>
    </w:p>
    <w:p w14:paraId="56AFFAA8" w14:textId="65C99BD5" w:rsidR="009343BA" w:rsidRPr="006A6E65" w:rsidRDefault="009343BA" w:rsidP="00FD7DFD">
      <w:pPr>
        <w:jc w:val="both"/>
        <w:rPr>
          <w:noProof/>
          <w:lang w:val="es-ES_tradnl"/>
        </w:rPr>
      </w:pPr>
      <w:r w:rsidRPr="006A6E65">
        <w:rPr>
          <w:noProof/>
          <w:lang w:val="es-ES_tradnl"/>
        </w:rPr>
        <w:t xml:space="preserve">Como </w:t>
      </w:r>
      <w:r w:rsidR="003F4461">
        <w:rPr>
          <w:noProof/>
          <w:lang w:val="es-ES_tradnl"/>
        </w:rPr>
        <w:t xml:space="preserve">fuera </w:t>
      </w:r>
      <w:r w:rsidRPr="006A6E65">
        <w:rPr>
          <w:noProof/>
          <w:lang w:val="es-ES_tradnl"/>
        </w:rPr>
        <w:t>mencionado anteriormente, las actividades relacionadas con la rector</w:t>
      </w:r>
      <w:r w:rsidR="003F4461">
        <w:rPr>
          <w:noProof/>
          <w:lang w:val="es-ES_tradnl"/>
        </w:rPr>
        <w:t>í</w:t>
      </w:r>
      <w:r w:rsidRPr="006A6E65">
        <w:rPr>
          <w:noProof/>
          <w:lang w:val="es-ES_tradnl"/>
        </w:rPr>
        <w:t>a y regulación del mercado de la capacitación no mantuvieron el nivel de relevancia inicialmente previsto. Si bien se dieron importantes avances como la implementación de una nueva norma de calidad para prove</w:t>
      </w:r>
      <w:r w:rsidR="0081132D" w:rsidRPr="006A6E65">
        <w:rPr>
          <w:noProof/>
          <w:lang w:val="es-ES_tradnl"/>
        </w:rPr>
        <w:t>edores de capacitación</w:t>
      </w:r>
      <w:r w:rsidRPr="006A6E65">
        <w:rPr>
          <w:noProof/>
          <w:lang w:val="es-ES_tradnl"/>
        </w:rPr>
        <w:t xml:space="preserve">, el nuevo contexto no permitió avanzar hacia reformas regulatorias más ambiciosas. </w:t>
      </w:r>
    </w:p>
    <w:p w14:paraId="44BD8FF8" w14:textId="77777777" w:rsidR="008000A2" w:rsidRPr="006A6E65" w:rsidRDefault="008000A2" w:rsidP="00FD7DFD">
      <w:pPr>
        <w:jc w:val="both"/>
        <w:rPr>
          <w:noProof/>
          <w:lang w:val="es-ES_tradnl"/>
        </w:rPr>
      </w:pPr>
    </w:p>
    <w:p w14:paraId="2A7067C0" w14:textId="342DA2BB" w:rsidR="009343BA" w:rsidRPr="006A6E65" w:rsidRDefault="009343BA" w:rsidP="00FD7DFD">
      <w:pPr>
        <w:jc w:val="both"/>
        <w:rPr>
          <w:noProof/>
          <w:lang w:val="es-ES_tradnl"/>
        </w:rPr>
      </w:pPr>
      <w:r w:rsidRPr="006A6E65">
        <w:rPr>
          <w:noProof/>
          <w:lang w:val="es-ES_tradnl"/>
        </w:rPr>
        <w:t>C</w:t>
      </w:r>
      <w:r w:rsidR="006B1AC1" w:rsidRPr="006A6E65">
        <w:rPr>
          <w:noProof/>
          <w:lang w:val="es-ES_tradnl"/>
        </w:rPr>
        <w:t xml:space="preserve">omo resultado del cambio de administración </w:t>
      </w:r>
      <w:r w:rsidR="00FD7DFD" w:rsidRPr="006A6E65">
        <w:rPr>
          <w:noProof/>
          <w:lang w:val="es-ES_tradnl"/>
        </w:rPr>
        <w:t xml:space="preserve">se puso un mayor énfasis en el desarrollo de la capacidad de diseño estratégico y de monitoreo de la gestión en el SENCE, asumiendo que la capacidad de incidir desde el Programa hacia el MTPS era acotada, dado que para este último las prioridades gubernamentales estaban definidas en otros ámbitos (reforma laboral, sistema de pensiones). </w:t>
      </w:r>
      <w:r w:rsidR="006A6E65">
        <w:rPr>
          <w:noProof/>
          <w:lang w:val="es-ES_tradnl"/>
        </w:rPr>
        <w:t>S</w:t>
      </w:r>
      <w:r w:rsidRPr="006A6E65">
        <w:rPr>
          <w:noProof/>
          <w:lang w:val="es-ES_tradnl"/>
        </w:rPr>
        <w:t>e consolidaron las capacidades de evaluación, monitoreo y seguimiento de programas de capacitación a través de la realización de evaluaciones de impacto rigurosas, el diseño</w:t>
      </w:r>
      <w:r w:rsidR="008000A2" w:rsidRPr="006A6E65">
        <w:rPr>
          <w:noProof/>
          <w:lang w:val="es-ES_tradnl"/>
        </w:rPr>
        <w:t xml:space="preserve"> y la instalación</w:t>
      </w:r>
      <w:r w:rsidRPr="006A6E65">
        <w:rPr>
          <w:noProof/>
          <w:lang w:val="es-ES_tradnl"/>
        </w:rPr>
        <w:t xml:space="preserve"> de instrumento</w:t>
      </w:r>
      <w:r w:rsidR="008000A2" w:rsidRPr="006A6E65">
        <w:rPr>
          <w:noProof/>
          <w:lang w:val="es-ES_tradnl"/>
        </w:rPr>
        <w:t>s</w:t>
      </w:r>
      <w:r w:rsidRPr="006A6E65">
        <w:rPr>
          <w:noProof/>
          <w:lang w:val="es-ES_tradnl"/>
        </w:rPr>
        <w:t xml:space="preserve"> de seguimiento y monitoreo (encuestas de satisfacción y de inserción laboral). </w:t>
      </w:r>
    </w:p>
    <w:p w14:paraId="4DB239D4" w14:textId="77777777" w:rsidR="009343BA" w:rsidRPr="006A6E65" w:rsidRDefault="009343BA" w:rsidP="00FD7DFD">
      <w:pPr>
        <w:jc w:val="both"/>
        <w:rPr>
          <w:noProof/>
          <w:lang w:val="es-ES_tradnl"/>
        </w:rPr>
      </w:pPr>
    </w:p>
    <w:p w14:paraId="42E8BD78" w14:textId="710A4DF2" w:rsidR="006B1AC1" w:rsidRPr="006A6E65" w:rsidRDefault="009343BA" w:rsidP="00FD7DFD">
      <w:pPr>
        <w:jc w:val="both"/>
        <w:rPr>
          <w:i/>
          <w:noProof/>
          <w:u w:val="single"/>
          <w:lang w:val="es-ES_tradnl"/>
        </w:rPr>
      </w:pPr>
      <w:r w:rsidRPr="006A6E65">
        <w:rPr>
          <w:i/>
          <w:noProof/>
          <w:u w:val="single"/>
          <w:lang w:val="es-ES_tradnl"/>
        </w:rPr>
        <w:t>Ajustes</w:t>
      </w:r>
      <w:r w:rsidR="006B1AC1" w:rsidRPr="006A6E65">
        <w:rPr>
          <w:i/>
          <w:noProof/>
          <w:u w:val="single"/>
          <w:lang w:val="es-ES_tradnl"/>
        </w:rPr>
        <w:t xml:space="preserve"> de prioridades y estrategia con relación al componente 2: </w:t>
      </w:r>
    </w:p>
    <w:p w14:paraId="331F7109" w14:textId="026C22E8" w:rsidR="008000A2" w:rsidRPr="006A6E65" w:rsidRDefault="008000A2" w:rsidP="00FD7DFD">
      <w:pPr>
        <w:jc w:val="both"/>
        <w:rPr>
          <w:noProof/>
          <w:lang w:val="es-ES_tradnl"/>
        </w:rPr>
      </w:pPr>
      <w:r w:rsidRPr="006A6E65">
        <w:rPr>
          <w:noProof/>
          <w:lang w:val="es-ES_tradnl"/>
        </w:rPr>
        <w:t>Como resultado del cambio de administración</w:t>
      </w:r>
      <w:r w:rsidR="00FD7DFD" w:rsidRPr="006A6E65">
        <w:rPr>
          <w:noProof/>
          <w:lang w:val="es-ES_tradnl"/>
        </w:rPr>
        <w:t xml:space="preserve"> se tomó la decisión de no avanzar en el sentido de instalar un modelo de Consejos de Competencias </w:t>
      </w:r>
      <w:r w:rsidR="0081132D" w:rsidRPr="006A6E65">
        <w:rPr>
          <w:noProof/>
          <w:lang w:val="es-ES_tradnl"/>
        </w:rPr>
        <w:t xml:space="preserve">(inicialmente priorizados por la primera administración del presidente Piñera) </w:t>
      </w:r>
      <w:r w:rsidR="00FD7DFD" w:rsidRPr="006A6E65">
        <w:rPr>
          <w:noProof/>
          <w:lang w:val="es-ES_tradnl"/>
        </w:rPr>
        <w:t>para mejorar la pertinencia del sistema de capacitación, considerando el informe de la consultoría internacional contratada con dichos fines. Se optó por pilotear un modelo de observatorio laboral y luego avanzar en la instalación de un sistema de observatorios centrados en producir información sobre brechas ocupacionales en el mercado del</w:t>
      </w:r>
      <w:r w:rsidR="009343BA" w:rsidRPr="006A6E65">
        <w:rPr>
          <w:noProof/>
          <w:lang w:val="es-ES_tradnl"/>
        </w:rPr>
        <w:t xml:space="preserve"> trabajo en Chile. </w:t>
      </w:r>
      <w:r w:rsidRPr="006A6E65">
        <w:rPr>
          <w:noProof/>
          <w:lang w:val="es-ES_tradnl"/>
        </w:rPr>
        <w:t>Cabe observar que los observatorios laborales apuntan también a una mayor participación de los sectores productivos en la definición de la oferta de capacitación, considerando que</w:t>
      </w:r>
      <w:r w:rsidR="003F4461">
        <w:rPr>
          <w:noProof/>
          <w:lang w:val="es-ES_tradnl"/>
        </w:rPr>
        <w:t>:</w:t>
      </w:r>
      <w:r w:rsidRPr="006A6E65">
        <w:rPr>
          <w:noProof/>
          <w:lang w:val="es-ES_tradnl"/>
        </w:rPr>
        <w:t xml:space="preserve"> i) los sectores productivos participan al funcionamiento de los observatorios, ii) los observatorios buscan identificar brechas de capital humano a nivel sectorial, ocupacional y territorial con el fin de orientar la oferta de formación hacia las necesidades del mercado.</w:t>
      </w:r>
    </w:p>
    <w:p w14:paraId="6005B329" w14:textId="77777777" w:rsidR="008000A2" w:rsidRPr="006A6E65" w:rsidRDefault="008000A2" w:rsidP="00FD7DFD">
      <w:pPr>
        <w:jc w:val="both"/>
        <w:rPr>
          <w:noProof/>
          <w:lang w:val="es-ES_tradnl"/>
        </w:rPr>
      </w:pPr>
    </w:p>
    <w:p w14:paraId="1D13D3AF" w14:textId="3828C0B7" w:rsidR="008000A2" w:rsidRPr="006A6E65" w:rsidRDefault="008000A2" w:rsidP="00FD7DFD">
      <w:pPr>
        <w:jc w:val="both"/>
        <w:rPr>
          <w:noProof/>
          <w:lang w:val="es-ES_tradnl"/>
        </w:rPr>
      </w:pPr>
      <w:r w:rsidRPr="006A6E65">
        <w:rPr>
          <w:noProof/>
          <w:lang w:val="es-ES_tradnl"/>
        </w:rPr>
        <w:t xml:space="preserve">La priorización de la instalación de observatorios laborales implicó atrasos en la instalación de otros mecanismos de aseguramiento de calidad y pertinencia, como ser los instrumentos de diagnóstico y medición de habilidades. Dichos instrumentos lograron ser diseñados y piloteados en el marco de la operación pero no totalmente implementados como se preveía en la fase de diseño. </w:t>
      </w:r>
    </w:p>
    <w:p w14:paraId="3EB7482C" w14:textId="07C9B707" w:rsidR="006B1AC1" w:rsidRPr="006A6E65" w:rsidRDefault="006B1AC1" w:rsidP="006B1AC1">
      <w:pPr>
        <w:jc w:val="both"/>
        <w:rPr>
          <w:noProof/>
          <w:lang w:val="es-ES_tradnl"/>
        </w:rPr>
      </w:pPr>
    </w:p>
    <w:p w14:paraId="25462D39" w14:textId="159EA2C5" w:rsidR="006B1AC1" w:rsidRPr="006A6E65" w:rsidRDefault="0007799E" w:rsidP="006B1AC1">
      <w:pPr>
        <w:jc w:val="both"/>
        <w:rPr>
          <w:i/>
          <w:noProof/>
          <w:u w:val="single"/>
          <w:lang w:val="es-ES_tradnl"/>
        </w:rPr>
      </w:pPr>
      <w:r w:rsidRPr="006A6E65">
        <w:rPr>
          <w:i/>
          <w:noProof/>
          <w:u w:val="single"/>
          <w:lang w:val="es-ES_tradnl"/>
        </w:rPr>
        <w:t>Ajustes</w:t>
      </w:r>
      <w:r w:rsidR="006B1AC1" w:rsidRPr="006A6E65">
        <w:rPr>
          <w:i/>
          <w:noProof/>
          <w:u w:val="single"/>
          <w:lang w:val="es-ES_tradnl"/>
        </w:rPr>
        <w:t xml:space="preserve"> de prioridades y estrategia con relación al componente 3: </w:t>
      </w:r>
    </w:p>
    <w:p w14:paraId="45917480" w14:textId="39567F8B" w:rsidR="009343BA" w:rsidRPr="006A6E65" w:rsidRDefault="009343BA" w:rsidP="006B1AC1">
      <w:pPr>
        <w:jc w:val="both"/>
        <w:rPr>
          <w:noProof/>
          <w:lang w:val="es-ES_tradnl"/>
        </w:rPr>
      </w:pPr>
      <w:bookmarkStart w:id="5" w:name="_Hlk515732328"/>
      <w:r w:rsidRPr="006A6E65">
        <w:rPr>
          <w:noProof/>
          <w:lang w:val="es-ES_tradnl"/>
        </w:rPr>
        <w:t>Se puso énfasis especial en el Componente 3, ampliando la gama de productos y relocalizando recursos financieros hacia mejoras en procesos, sistemas y gestión de bases de datos. Ello debido al diagnóstico realizado en el primer año de ejecución del Programa, que mostró la debilidad estructural del SENCE (tanto en procesos de trabajo como en sistemas de información) para sostener los mayores niveles de operación que requería el</w:t>
      </w:r>
      <w:r w:rsidR="008000A2" w:rsidRPr="006A6E65">
        <w:rPr>
          <w:noProof/>
          <w:lang w:val="es-ES_tradnl"/>
        </w:rPr>
        <w:t xml:space="preserve"> programa de capacitación de la nueva administración</w:t>
      </w:r>
      <w:r w:rsidRPr="006A6E65">
        <w:rPr>
          <w:noProof/>
          <w:lang w:val="es-ES_tradnl"/>
        </w:rPr>
        <w:t xml:space="preserve"> </w:t>
      </w:r>
      <w:r w:rsidR="008000A2" w:rsidRPr="006A6E65">
        <w:rPr>
          <w:noProof/>
          <w:lang w:val="es-ES_tradnl"/>
        </w:rPr>
        <w:t>(</w:t>
      </w:r>
      <w:r w:rsidRPr="006A6E65">
        <w:rPr>
          <w:noProof/>
          <w:lang w:val="es-ES_tradnl"/>
        </w:rPr>
        <w:t>Programa Más Capaz</w:t>
      </w:r>
      <w:r w:rsidR="008000A2" w:rsidRPr="006A6E65">
        <w:rPr>
          <w:noProof/>
          <w:lang w:val="es-ES_tradnl"/>
        </w:rPr>
        <w:t>)</w:t>
      </w:r>
      <w:r w:rsidRPr="006A6E65">
        <w:rPr>
          <w:noProof/>
          <w:lang w:val="es-ES_tradnl"/>
        </w:rPr>
        <w:t>.</w:t>
      </w:r>
    </w:p>
    <w:bookmarkEnd w:id="5"/>
    <w:p w14:paraId="249DD4F1" w14:textId="55FEDF37" w:rsidR="008000A2" w:rsidRPr="006A6E65" w:rsidRDefault="008000A2" w:rsidP="006B1AC1">
      <w:pPr>
        <w:jc w:val="both"/>
        <w:rPr>
          <w:noProof/>
          <w:lang w:val="es-ES_tradnl"/>
        </w:rPr>
      </w:pPr>
    </w:p>
    <w:p w14:paraId="61499F17" w14:textId="06419D22" w:rsidR="008000A2" w:rsidRPr="006A6E65" w:rsidRDefault="008000A2" w:rsidP="006B1AC1">
      <w:pPr>
        <w:jc w:val="both"/>
        <w:rPr>
          <w:noProof/>
          <w:lang w:val="es-ES_tradnl"/>
        </w:rPr>
      </w:pPr>
      <w:r w:rsidRPr="006A6E65">
        <w:rPr>
          <w:noProof/>
          <w:lang w:val="es-ES_tradnl"/>
        </w:rPr>
        <w:t xml:space="preserve">Finalmente, la integración de bases de datos tomó más tiempo de lo previsto a raíz de un cambio en la estrategia de integración. La estrategia inicialmente prevista de instalación rápida de un DataWarehouse fue remplazada por una estrategia progresiva de integración de datos por bloques (DataMart). A pesar de este cambio, se lograron los objetivos esperados en términos de automatización de indicadores de gestión y procesos estandarizados.  </w:t>
      </w:r>
    </w:p>
    <w:p w14:paraId="3D0519F8" w14:textId="07C21A96" w:rsidR="008000A2" w:rsidRPr="006A6E65" w:rsidRDefault="008000A2" w:rsidP="006B1AC1">
      <w:pPr>
        <w:jc w:val="both"/>
        <w:rPr>
          <w:noProof/>
          <w:lang w:val="es-ES_tradnl"/>
        </w:rPr>
      </w:pPr>
    </w:p>
    <w:p w14:paraId="3E5B1CEA" w14:textId="234ED76B" w:rsidR="0007799E" w:rsidRPr="006A6E65" w:rsidRDefault="00262966" w:rsidP="006B1AC1">
      <w:pPr>
        <w:jc w:val="both"/>
        <w:rPr>
          <w:noProof/>
          <w:lang w:val="es-ES_tradnl"/>
        </w:rPr>
      </w:pPr>
      <w:r w:rsidRPr="006A6E65">
        <w:rPr>
          <w:noProof/>
          <w:lang w:val="es-ES_tradnl"/>
        </w:rPr>
        <w:t>A pesar</w:t>
      </w:r>
      <w:r w:rsidR="0007799E" w:rsidRPr="006A6E65">
        <w:rPr>
          <w:noProof/>
          <w:lang w:val="es-ES_tradnl"/>
        </w:rPr>
        <w:t xml:space="preserve"> de</w:t>
      </w:r>
      <w:r w:rsidRPr="006A6E65">
        <w:rPr>
          <w:noProof/>
          <w:lang w:val="es-ES_tradnl"/>
        </w:rPr>
        <w:t xml:space="preserve"> los ajustes </w:t>
      </w:r>
      <w:r w:rsidR="008000A2" w:rsidRPr="006A6E65">
        <w:rPr>
          <w:noProof/>
          <w:lang w:val="es-ES_tradnl"/>
        </w:rPr>
        <w:t>ocu</w:t>
      </w:r>
      <w:r w:rsidRPr="006A6E65">
        <w:rPr>
          <w:noProof/>
          <w:lang w:val="es-ES_tradnl"/>
        </w:rPr>
        <w:t>rridos se considera que los productos entr</w:t>
      </w:r>
      <w:r w:rsidR="0007799E" w:rsidRPr="006A6E65">
        <w:rPr>
          <w:noProof/>
          <w:lang w:val="es-ES_tradnl"/>
        </w:rPr>
        <w:t>egados por la operación se alinean con el diseño inicial y con la cadena causal incialmente establecida (ver figura 1). La lógica vertical de la operación plantea que, para mejorar la cobertura y la efectividad de las acciones de capacitación, es necesario fortalecer tres pilares en forma simultánea que son</w:t>
      </w:r>
      <w:r w:rsidR="003F4461">
        <w:rPr>
          <w:noProof/>
          <w:lang w:val="es-ES_tradnl"/>
        </w:rPr>
        <w:t>:</w:t>
      </w:r>
      <w:r w:rsidR="0007799E" w:rsidRPr="006A6E65">
        <w:rPr>
          <w:noProof/>
          <w:lang w:val="es-ES_tradnl"/>
        </w:rPr>
        <w:t xml:space="preserve"> i) la capacidad de rectoría del MTPS y regulación del SENCE, ii) la calidad y pertinencia de los programas de capacitación</w:t>
      </w:r>
      <w:r w:rsidR="003F4461">
        <w:rPr>
          <w:noProof/>
          <w:lang w:val="es-ES_tradnl"/>
        </w:rPr>
        <w:t>;</w:t>
      </w:r>
      <w:r w:rsidR="0007799E" w:rsidRPr="006A6E65">
        <w:rPr>
          <w:noProof/>
          <w:lang w:val="es-ES_tradnl"/>
        </w:rPr>
        <w:t xml:space="preserve"> y iii) la gestión administrativa del SENCE. Si bien se dieron cambios en </w:t>
      </w:r>
      <w:r w:rsidR="002F6E96" w:rsidRPr="006A6E65">
        <w:rPr>
          <w:noProof/>
          <w:lang w:val="es-ES_tradnl"/>
        </w:rPr>
        <w:t>prioridades y estrategias se considera que</w:t>
      </w:r>
      <w:r w:rsidR="0007799E" w:rsidRPr="006A6E65">
        <w:rPr>
          <w:noProof/>
          <w:lang w:val="es-ES_tradnl"/>
        </w:rPr>
        <w:t xml:space="preserve"> la cadena causal definida al momento del diseño de la operación mantuvo relevancia a lo largo de toda la fase de ejecución</w:t>
      </w:r>
      <w:r w:rsidR="002F6E96" w:rsidRPr="006A6E65">
        <w:rPr>
          <w:noProof/>
          <w:lang w:val="es-ES_tradnl"/>
        </w:rPr>
        <w:t xml:space="preserve"> y que</w:t>
      </w:r>
      <w:r w:rsidR="0007799E" w:rsidRPr="006A6E65">
        <w:rPr>
          <w:noProof/>
          <w:lang w:val="es-ES_tradnl"/>
        </w:rPr>
        <w:t xml:space="preserve"> los productos entregados por la operación siguieron apuntando a fortalecer en forma simultanea los tres pilares mencionados.</w:t>
      </w:r>
      <w:r w:rsidR="002F6E96" w:rsidRPr="006A6E65">
        <w:rPr>
          <w:noProof/>
          <w:lang w:val="es-ES_tradnl"/>
        </w:rPr>
        <w:t xml:space="preserve"> </w:t>
      </w:r>
    </w:p>
    <w:p w14:paraId="35585693" w14:textId="77777777" w:rsidR="0007799E" w:rsidRPr="006A6E65" w:rsidRDefault="0007799E" w:rsidP="006B1AC1">
      <w:pPr>
        <w:jc w:val="both"/>
        <w:rPr>
          <w:noProof/>
          <w:lang w:val="es-ES_tradnl"/>
        </w:rPr>
      </w:pPr>
    </w:p>
    <w:p w14:paraId="3C8297A7" w14:textId="22AADF6F" w:rsidR="008000A2" w:rsidRPr="006A6E65" w:rsidRDefault="008000A2" w:rsidP="006B1AC1">
      <w:pPr>
        <w:jc w:val="both"/>
        <w:rPr>
          <w:noProof/>
          <w:lang w:val="es-ES_tradnl"/>
        </w:rPr>
        <w:sectPr w:rsidR="008000A2" w:rsidRPr="006A6E65" w:rsidSect="00BD67BE">
          <w:headerReference w:type="default" r:id="rId8"/>
          <w:footerReference w:type="default" r:id="rId9"/>
          <w:pgSz w:w="12240" w:h="15840"/>
          <w:pgMar w:top="1440" w:right="1350" w:bottom="1440" w:left="1260" w:header="720" w:footer="720" w:gutter="0"/>
          <w:cols w:space="720"/>
          <w:docGrid w:linePitch="360"/>
        </w:sectPr>
      </w:pPr>
    </w:p>
    <w:p w14:paraId="61221AA5" w14:textId="2D6CBF33" w:rsidR="00EB7A75" w:rsidRPr="006A6E65" w:rsidRDefault="00EB7A75" w:rsidP="00B00804">
      <w:pPr>
        <w:ind w:hanging="990"/>
        <w:jc w:val="center"/>
        <w:rPr>
          <w:noProof/>
          <w:u w:val="single"/>
          <w:lang w:val="es-ES_tradnl"/>
        </w:rPr>
      </w:pPr>
      <w:r w:rsidRPr="006A6E65">
        <w:rPr>
          <w:noProof/>
          <w:u w:val="single"/>
          <w:lang w:val="es-ES_tradnl"/>
        </w:rPr>
        <w:t>Figura 1: Cadena Causal del Programa</w:t>
      </w:r>
    </w:p>
    <w:p w14:paraId="74651A15" w14:textId="3241CEC0" w:rsidR="00EB7A75" w:rsidRPr="006A6E65" w:rsidRDefault="00EB7A75" w:rsidP="00EB7A75">
      <w:pPr>
        <w:ind w:hanging="990"/>
        <w:jc w:val="both"/>
        <w:rPr>
          <w:rFonts w:cs="Arial"/>
          <w:b/>
          <w:bCs/>
          <w:lang w:val="es-ES_tradnl"/>
        </w:rPr>
      </w:pPr>
    </w:p>
    <w:p w14:paraId="65A69847" w14:textId="16A49908" w:rsidR="00EB7A75" w:rsidRPr="006A6E65" w:rsidRDefault="00B00804" w:rsidP="00EB7A75">
      <w:pPr>
        <w:ind w:hanging="990"/>
        <w:jc w:val="both"/>
        <w:rPr>
          <w:rFonts w:cs="Arial"/>
          <w:b/>
          <w:bCs/>
          <w:lang w:val="es-ES_tradnl"/>
        </w:rPr>
      </w:pPr>
      <w:r w:rsidRPr="006A6E65">
        <w:rPr>
          <w:noProof/>
          <w:lang w:val="es-ES_tradnl"/>
        </w:rPr>
        <w:drawing>
          <wp:inline distT="0" distB="0" distL="0" distR="0" wp14:anchorId="438F7F34" wp14:editId="7ED6797C">
            <wp:extent cx="8666018" cy="5652770"/>
            <wp:effectExtent l="0" t="0" r="190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74742" cy="5658461"/>
                    </a:xfrm>
                    <a:prstGeom prst="rect">
                      <a:avLst/>
                    </a:prstGeom>
                  </pic:spPr>
                </pic:pic>
              </a:graphicData>
            </a:graphic>
          </wp:inline>
        </w:drawing>
      </w:r>
    </w:p>
    <w:p w14:paraId="432CD75A" w14:textId="432ACFF2" w:rsidR="00EB7A75" w:rsidRPr="006A6E65" w:rsidRDefault="00EB7A75" w:rsidP="00EB7A75">
      <w:pPr>
        <w:jc w:val="both"/>
        <w:rPr>
          <w:rFonts w:cs="Arial"/>
          <w:bCs/>
          <w:sz w:val="14"/>
          <w:lang w:val="es-ES_tradnl"/>
        </w:rPr>
      </w:pPr>
      <w:r w:rsidRPr="006A6E65">
        <w:rPr>
          <w:rFonts w:cs="Arial"/>
          <w:bCs/>
          <w:sz w:val="14"/>
          <w:lang w:val="es-ES_tradnl"/>
        </w:rPr>
        <w:t>Nota:</w:t>
      </w:r>
      <w:r w:rsidR="00DF4D24" w:rsidRPr="006A6E65">
        <w:rPr>
          <w:rFonts w:cs="Arial"/>
          <w:bCs/>
          <w:sz w:val="14"/>
          <w:lang w:val="es-ES_tradnl"/>
        </w:rPr>
        <w:t xml:space="preserve"> </w:t>
      </w:r>
      <w:r w:rsidRPr="006A6E65">
        <w:rPr>
          <w:rFonts w:cs="Arial"/>
          <w:bCs/>
          <w:sz w:val="14"/>
          <w:lang w:val="es-ES_tradnl"/>
        </w:rPr>
        <w:t>En verde se presentan los productos y resultados logrados, en amarrillo los parcialmente logrados y en rojo los que no fueron logrados.</w:t>
      </w:r>
    </w:p>
    <w:p w14:paraId="2A4E5F54" w14:textId="77777777" w:rsidR="00EB7A75" w:rsidRPr="006A6E65" w:rsidRDefault="00EB7A75" w:rsidP="00EB7A75">
      <w:pPr>
        <w:ind w:hanging="990"/>
        <w:jc w:val="both"/>
        <w:rPr>
          <w:rFonts w:cs="Arial"/>
          <w:b/>
          <w:bCs/>
          <w:lang w:val="es-ES_tradnl"/>
        </w:rPr>
      </w:pPr>
    </w:p>
    <w:p w14:paraId="731E9DA1" w14:textId="789220FF" w:rsidR="00B00804" w:rsidRPr="006A6E65" w:rsidRDefault="00B00804" w:rsidP="00952EED">
      <w:pPr>
        <w:jc w:val="both"/>
        <w:rPr>
          <w:rFonts w:eastAsia="Times New Roman" w:cs="Arial"/>
          <w:lang w:val="es-ES_tradnl"/>
        </w:rPr>
        <w:sectPr w:rsidR="00B00804" w:rsidRPr="006A6E65" w:rsidSect="00B00804">
          <w:pgSz w:w="15840" w:h="12240" w:orient="landscape"/>
          <w:pgMar w:top="446" w:right="1440" w:bottom="547" w:left="1440" w:header="720" w:footer="720" w:gutter="0"/>
          <w:cols w:space="720"/>
          <w:docGrid w:linePitch="360"/>
        </w:sectPr>
      </w:pPr>
    </w:p>
    <w:p w14:paraId="3A4503ED" w14:textId="77777777" w:rsidR="002F6E96" w:rsidRPr="006A6E65" w:rsidRDefault="002F6E96" w:rsidP="002F6E96">
      <w:pPr>
        <w:pStyle w:val="ListParagraph"/>
        <w:numPr>
          <w:ilvl w:val="0"/>
          <w:numId w:val="1"/>
        </w:numPr>
        <w:ind w:right="987" w:firstLine="0"/>
        <w:jc w:val="both"/>
        <w:rPr>
          <w:b/>
          <w:noProof/>
          <w:u w:val="single"/>
          <w:lang w:val="es-ES_tradnl"/>
        </w:rPr>
      </w:pPr>
      <w:r w:rsidRPr="006A6E65">
        <w:rPr>
          <w:b/>
          <w:noProof/>
          <w:u w:val="single"/>
          <w:lang w:val="es-ES_tradnl"/>
        </w:rPr>
        <w:t xml:space="preserve">Monitoreo de indicadores de resultados intermedios </w:t>
      </w:r>
    </w:p>
    <w:p w14:paraId="22C8B46E" w14:textId="77777777" w:rsidR="002F6E96" w:rsidRPr="006A6E65" w:rsidRDefault="002F6E96" w:rsidP="002F6E96">
      <w:pPr>
        <w:ind w:left="180" w:right="987"/>
        <w:jc w:val="both"/>
        <w:rPr>
          <w:noProof/>
          <w:lang w:val="es-ES_tradnl"/>
        </w:rPr>
      </w:pPr>
    </w:p>
    <w:p w14:paraId="25B6C590" w14:textId="43CB3E7E" w:rsidR="007B18CC" w:rsidRPr="006A6E65" w:rsidRDefault="007B18CC" w:rsidP="007B18CC">
      <w:pPr>
        <w:spacing w:after="160" w:line="259" w:lineRule="auto"/>
        <w:ind w:right="447"/>
        <w:rPr>
          <w:noProof/>
          <w:lang w:val="es-ES_tradnl"/>
        </w:rPr>
      </w:pPr>
    </w:p>
    <w:p w14:paraId="057A963F" w14:textId="104A5911" w:rsidR="007B18CC" w:rsidRPr="006A6E65" w:rsidRDefault="007B18CC" w:rsidP="007B18CC">
      <w:pPr>
        <w:ind w:left="720" w:right="987"/>
        <w:jc w:val="both"/>
        <w:rPr>
          <w:noProof/>
          <w:lang w:val="es-ES_tradnl"/>
        </w:rPr>
      </w:pPr>
      <w:r w:rsidRPr="006A6E65">
        <w:rPr>
          <w:noProof/>
          <w:lang w:val="es-ES_tradnl"/>
        </w:rPr>
        <w:t>En complemento a la matriz de resultados del programa, se realizó un monitoreo de indicadores de re</w:t>
      </w:r>
      <w:r w:rsidR="0081132D" w:rsidRPr="006A6E65">
        <w:rPr>
          <w:noProof/>
          <w:lang w:val="es-ES_tradnl"/>
        </w:rPr>
        <w:t>sultados intermedios con el fin de</w:t>
      </w:r>
      <w:r w:rsidRPr="006A6E65">
        <w:rPr>
          <w:noProof/>
          <w:lang w:val="es-ES_tradnl"/>
        </w:rPr>
        <w:t xml:space="preserve"> entender mejor los mecanismos por los cuales se obtuvieron los resultados del programa y las dificultades que surgieron en la fase de ejecución. </w:t>
      </w:r>
      <w:r w:rsidR="00426155" w:rsidRPr="006A6E65">
        <w:rPr>
          <w:noProof/>
          <w:lang w:val="es-ES_tradnl"/>
        </w:rPr>
        <w:t>E</w:t>
      </w:r>
      <w:r w:rsidR="00C21A3B" w:rsidRPr="006A6E65">
        <w:rPr>
          <w:noProof/>
          <w:lang w:val="es-ES_tradnl"/>
        </w:rPr>
        <w:t xml:space="preserve">n particular, </w:t>
      </w:r>
      <w:r w:rsidR="00426155" w:rsidRPr="006A6E65">
        <w:rPr>
          <w:noProof/>
          <w:lang w:val="es-ES_tradnl"/>
        </w:rPr>
        <w:t>l</w:t>
      </w:r>
      <w:r w:rsidR="00C21A3B" w:rsidRPr="006A6E65">
        <w:rPr>
          <w:noProof/>
          <w:lang w:val="es-ES_tradnl"/>
        </w:rPr>
        <w:t>a matriz de indicadores de resultados intermedios permite</w:t>
      </w:r>
      <w:r w:rsidR="00426155" w:rsidRPr="006A6E65">
        <w:rPr>
          <w:noProof/>
          <w:lang w:val="es-ES_tradnl"/>
        </w:rPr>
        <w:t xml:space="preserve"> contar con información más detallada sobre la implementaci</w:t>
      </w:r>
      <w:r w:rsidR="00C21A3B" w:rsidRPr="006A6E65">
        <w:rPr>
          <w:noProof/>
          <w:lang w:val="es-ES_tradnl"/>
        </w:rPr>
        <w:t xml:space="preserve">ón de nuevos procesos y </w:t>
      </w:r>
      <w:r w:rsidR="00426155" w:rsidRPr="006A6E65">
        <w:rPr>
          <w:noProof/>
          <w:lang w:val="es-ES_tradnl"/>
        </w:rPr>
        <w:t xml:space="preserve">funciones en el SENCE. </w:t>
      </w:r>
    </w:p>
    <w:p w14:paraId="3A13DD11" w14:textId="0A39E2CF" w:rsidR="00426155" w:rsidRPr="006A6E65" w:rsidRDefault="00426155" w:rsidP="00426155">
      <w:pPr>
        <w:ind w:right="987"/>
        <w:jc w:val="both"/>
        <w:rPr>
          <w:noProof/>
          <w:lang w:val="es-ES_tradnl"/>
        </w:rPr>
      </w:pPr>
    </w:p>
    <w:p w14:paraId="0D324E66" w14:textId="74623109" w:rsidR="00426155" w:rsidRPr="006A6E65" w:rsidRDefault="00426155" w:rsidP="007B18CC">
      <w:pPr>
        <w:ind w:left="720" w:right="987"/>
        <w:jc w:val="both"/>
        <w:rPr>
          <w:noProof/>
          <w:lang w:val="es-ES_tradnl"/>
        </w:rPr>
      </w:pPr>
      <w:r w:rsidRPr="006A6E65">
        <w:rPr>
          <w:noProof/>
          <w:lang w:val="es-ES_tradnl"/>
        </w:rPr>
        <w:t xml:space="preserve">La matriz de resultados intermedios (cuadro 3) muestra que los principales productos de la operación  lograron ser instalados en forma satisfactoria y producir los resultados intermedios esperados. En particular, en el componente 1, se observa que, como resultado de la instalación de nuevos instrumentos de seguimiento, el 100% de los programas del SENCE cuenta con encuestas de seguimiento laboral y/o de satisfacción, lo que permite evidenciar el fortalecimiento de las funciones de monitoreo y seguimiento a cargo de la Unidad de Desarrollo Estrategico instalada en el marco de la operación. En el marco del componente 2, se observan resultados satisfactorios con respecto a la instalación de observatorios laborales a nivel regional (11 de las 16 regiones cuentan con observatorios funcionando), al fortalecimiento de los procesos de intermediación laboral en las oficinas municipales de información laboral (OMILs), y al uso de la matriz de riesgos para la fiscalización. Finalmente, el componente 3 muestra resultados satisfactorios tanto a nivel de optimización de procesos </w:t>
      </w:r>
      <w:r w:rsidR="00F45595" w:rsidRPr="006A6E65">
        <w:rPr>
          <w:noProof/>
          <w:lang w:val="es-ES_tradnl"/>
        </w:rPr>
        <w:t xml:space="preserve">en distintas unidades y departamentos del SENCE </w:t>
      </w:r>
      <w:r w:rsidRPr="006A6E65">
        <w:rPr>
          <w:noProof/>
          <w:lang w:val="es-ES_tradnl"/>
        </w:rPr>
        <w:t>como a nivel de automatización de indicadores de gestión con base en información administrativa integrada</w:t>
      </w:r>
      <w:r w:rsidR="00F45595" w:rsidRPr="006A6E65">
        <w:rPr>
          <w:noProof/>
          <w:lang w:val="es-ES_tradnl"/>
        </w:rPr>
        <w:t xml:space="preserve"> y a la implementación de buenas prácticas en la gestión de tecnologías de la información y comunicación</w:t>
      </w:r>
      <w:r w:rsidRPr="006A6E65">
        <w:rPr>
          <w:noProof/>
          <w:lang w:val="es-ES_tradnl"/>
        </w:rPr>
        <w:t xml:space="preserve">. </w:t>
      </w:r>
    </w:p>
    <w:p w14:paraId="24EE5C7D" w14:textId="5BEE2A0A" w:rsidR="00426155" w:rsidRPr="006A6E65" w:rsidRDefault="00426155" w:rsidP="00426155">
      <w:pPr>
        <w:ind w:right="987"/>
        <w:jc w:val="both"/>
        <w:rPr>
          <w:noProof/>
          <w:lang w:val="es-ES_tradnl"/>
        </w:rPr>
      </w:pPr>
    </w:p>
    <w:p w14:paraId="009E35AF" w14:textId="700292FB" w:rsidR="00426155" w:rsidRPr="006A6E65" w:rsidRDefault="00426155" w:rsidP="007B18CC">
      <w:pPr>
        <w:ind w:left="720" w:right="987"/>
        <w:jc w:val="both"/>
        <w:rPr>
          <w:noProof/>
          <w:lang w:val="es-ES_tradnl"/>
        </w:rPr>
      </w:pPr>
      <w:r w:rsidRPr="006A6E65">
        <w:rPr>
          <w:noProof/>
          <w:lang w:val="es-ES_tradnl"/>
        </w:rPr>
        <w:t>Sin embargo, la matriz de resultados intermedios refleja también  la implementación más lenta de otros productos. En particular, en el componente 1, se dieron importantes atrasos en la implementación de productos vinculados con la regulación del mercado de la ca</w:t>
      </w:r>
      <w:r w:rsidR="00F45595" w:rsidRPr="006A6E65">
        <w:rPr>
          <w:noProof/>
          <w:lang w:val="es-ES_tradnl"/>
        </w:rPr>
        <w:t xml:space="preserve">pacitación (indicadores 1 y 2). </w:t>
      </w:r>
      <w:r w:rsidRPr="006A6E65">
        <w:rPr>
          <w:noProof/>
          <w:lang w:val="es-ES_tradnl"/>
        </w:rPr>
        <w:t xml:space="preserve">Lo anterior refleja la dificultad </w:t>
      </w:r>
      <w:r w:rsidR="00895124" w:rsidRPr="006A6E65">
        <w:rPr>
          <w:noProof/>
          <w:lang w:val="es-ES_tradnl"/>
        </w:rPr>
        <w:t>de avanzar hacia una regulación más optima del mercado de la capacitación. Los factores que explican los atrasos se relacionan con el surgimiento de nuevas prioridades al momento del cambio de gobierno y con las características de la economía política del mercado de la capacitación que dificulta</w:t>
      </w:r>
      <w:r w:rsidR="00C21A3B" w:rsidRPr="006A6E65">
        <w:rPr>
          <w:noProof/>
          <w:lang w:val="es-ES_tradnl"/>
        </w:rPr>
        <w:t>n</w:t>
      </w:r>
      <w:r w:rsidR="00895124" w:rsidRPr="006A6E65">
        <w:rPr>
          <w:noProof/>
          <w:lang w:val="es-ES_tradnl"/>
        </w:rPr>
        <w:t xml:space="preserve"> las reformas ambiciosas en un per</w:t>
      </w:r>
      <w:r w:rsidR="003F4461">
        <w:rPr>
          <w:noProof/>
          <w:lang w:val="es-ES_tradnl"/>
        </w:rPr>
        <w:t>íodo</w:t>
      </w:r>
      <w:r w:rsidR="00895124" w:rsidRPr="006A6E65">
        <w:rPr>
          <w:noProof/>
          <w:lang w:val="es-ES_tradnl"/>
        </w:rPr>
        <w:t xml:space="preserve"> acotado de tiempo. Con respecto al componente 2, se observan los atrasos relacionados con la implementación de herramientas de diagn</w:t>
      </w:r>
      <w:r w:rsidR="00C21A3B" w:rsidRPr="006A6E65">
        <w:rPr>
          <w:noProof/>
          <w:lang w:val="es-ES_tradnl"/>
        </w:rPr>
        <w:t>óstico de habilidades</w:t>
      </w:r>
      <w:r w:rsidR="00895124" w:rsidRPr="006A6E65">
        <w:rPr>
          <w:noProof/>
          <w:lang w:val="es-ES_tradnl"/>
        </w:rPr>
        <w:t xml:space="preserve">, debido a la priorización de otros mecanismos de aseguramiento de la calidad y pertinencia. </w:t>
      </w:r>
    </w:p>
    <w:p w14:paraId="47EAF7AA" w14:textId="423D8A32" w:rsidR="00895124" w:rsidRPr="006A6E65" w:rsidRDefault="00895124" w:rsidP="00895124">
      <w:pPr>
        <w:ind w:right="987"/>
        <w:jc w:val="both"/>
        <w:rPr>
          <w:noProof/>
          <w:lang w:val="es-ES_tradnl"/>
        </w:rPr>
      </w:pPr>
    </w:p>
    <w:p w14:paraId="725F5DB9" w14:textId="55C1A6DD" w:rsidR="00895124" w:rsidRPr="006A6E65" w:rsidRDefault="00895124" w:rsidP="007B18CC">
      <w:pPr>
        <w:ind w:left="720" w:right="987"/>
        <w:jc w:val="both"/>
        <w:rPr>
          <w:noProof/>
          <w:lang w:val="es-ES_tradnl"/>
        </w:rPr>
        <w:sectPr w:rsidR="00895124" w:rsidRPr="006A6E65" w:rsidSect="00B00804">
          <w:pgSz w:w="12240" w:h="15840"/>
          <w:pgMar w:top="1440" w:right="446" w:bottom="1440" w:left="547" w:header="720" w:footer="720" w:gutter="0"/>
          <w:cols w:space="720"/>
          <w:docGrid w:linePitch="360"/>
        </w:sectPr>
      </w:pPr>
      <w:r w:rsidRPr="006A6E65">
        <w:rPr>
          <w:noProof/>
          <w:lang w:val="es-ES_tradnl"/>
        </w:rPr>
        <w:t xml:space="preserve">Dado lo anterior, la matriz de resultados intermedios permite dar mayores detalles sobre los alcances de la operación y permite una mejor interpretación de los resultados mixtos del Programa de Apoyo a la Efectividad del SENCE.  </w:t>
      </w:r>
    </w:p>
    <w:p w14:paraId="4AE2A5CF" w14:textId="6CD53836" w:rsidR="007B18CC" w:rsidRPr="006A6E65" w:rsidRDefault="007B18CC" w:rsidP="007B18CC">
      <w:pPr>
        <w:keepNext/>
        <w:spacing w:before="20" w:after="20"/>
        <w:ind w:firstLine="720"/>
        <w:jc w:val="center"/>
        <w:rPr>
          <w:rFonts w:eastAsia="Times New Roman" w:cs="Arial"/>
          <w:b/>
          <w:spacing w:val="-3"/>
          <w:sz w:val="20"/>
          <w:szCs w:val="20"/>
          <w:lang w:val="es-ES_tradnl"/>
        </w:rPr>
      </w:pPr>
      <w:r w:rsidRPr="006A6E65">
        <w:rPr>
          <w:rFonts w:eastAsia="Times New Roman" w:cs="Arial"/>
          <w:b/>
          <w:spacing w:val="-3"/>
          <w:sz w:val="20"/>
          <w:szCs w:val="20"/>
          <w:lang w:val="es-ES_tradnl"/>
        </w:rPr>
        <w:t>Cuadro 3: Matriz de resultados intermedios</w:t>
      </w:r>
    </w:p>
    <w:p w14:paraId="4ADA5931" w14:textId="7FEDF999" w:rsidR="007B18CC" w:rsidRPr="006A6E65" w:rsidRDefault="007B18CC" w:rsidP="008211F8">
      <w:pPr>
        <w:keepNext/>
        <w:spacing w:before="20" w:after="20"/>
        <w:ind w:firstLine="720"/>
        <w:rPr>
          <w:rFonts w:eastAsia="Times New Roman" w:cs="Arial"/>
          <w:b/>
          <w:spacing w:val="-3"/>
          <w:sz w:val="20"/>
          <w:szCs w:val="20"/>
          <w:lang w:val="es-ES_tradnl"/>
        </w:rPr>
      </w:pPr>
    </w:p>
    <w:p w14:paraId="678D69C0" w14:textId="6BBFDD04" w:rsidR="008211F8" w:rsidRPr="006A6E65" w:rsidRDefault="008211F8" w:rsidP="008211F8">
      <w:pPr>
        <w:keepNext/>
        <w:spacing w:before="20" w:after="20"/>
        <w:ind w:firstLine="720"/>
        <w:rPr>
          <w:rFonts w:eastAsia="Times New Roman" w:cs="Arial"/>
          <w:spacing w:val="-3"/>
          <w:sz w:val="20"/>
          <w:szCs w:val="20"/>
          <w:lang w:val="es-ES_tradnl"/>
        </w:rPr>
      </w:pPr>
      <w:r w:rsidRPr="006A6E65">
        <w:rPr>
          <w:rFonts w:eastAsia="Times New Roman" w:cs="Arial"/>
          <w:b/>
          <w:noProof/>
          <w:spacing w:val="-3"/>
          <w:sz w:val="20"/>
          <w:szCs w:val="20"/>
          <w:lang w:val="es-ES_tradnl"/>
        </w:rPr>
        <mc:AlternateContent>
          <mc:Choice Requires="wps">
            <w:drawing>
              <wp:anchor distT="0" distB="0" distL="114300" distR="114300" simplePos="0" relativeHeight="251659264" behindDoc="0" locked="0" layoutInCell="1" allowOverlap="1" wp14:anchorId="6503DAF4" wp14:editId="443C0491">
                <wp:simplePos x="0" y="0"/>
                <wp:positionH relativeFrom="column">
                  <wp:posOffset>466725</wp:posOffset>
                </wp:positionH>
                <wp:positionV relativeFrom="paragraph">
                  <wp:posOffset>31115</wp:posOffset>
                </wp:positionV>
                <wp:extent cx="129540" cy="114300"/>
                <wp:effectExtent l="0" t="0" r="22860" b="19050"/>
                <wp:wrapNone/>
                <wp:docPr id="1" name="Rectangle: Rounded Corners 1"/>
                <wp:cNvGraphicFramePr/>
                <a:graphic xmlns:a="http://schemas.openxmlformats.org/drawingml/2006/main">
                  <a:graphicData uri="http://schemas.microsoft.com/office/word/2010/wordprocessingShape">
                    <wps:wsp>
                      <wps:cNvSpPr/>
                      <wps:spPr>
                        <a:xfrm>
                          <a:off x="0" y="0"/>
                          <a:ext cx="129540" cy="114300"/>
                        </a:xfrm>
                        <a:prstGeom prst="round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68B3AD1" id="Rectangle: Rounded Corners 1" o:spid="_x0000_s1026" style="position:absolute;margin-left:36.75pt;margin-top:2.45pt;width:10.2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KK3nwIAAMMFAAAOAAAAZHJzL2Uyb0RvYy54bWysVMFu2zAMvQ/YPwi6r7azZFuNOkWQosOA&#10;oi3aDj0rspQYkEWNUuJkXz9KdtyuLXYoloMimuQj+UTy7HzfGrZT6BuwFS9Ocs6UlVA3dl3xnw+X&#10;n75x5oOwtTBgVcUPyvPz+ccPZ50r1QQ2YGqFjECsLztX8U0IrswyLzeqFf4EnLKk1ICtCCTiOqtR&#10;dITemmyS51+yDrB2CFJ5T18veiWfJ3ytlQw3WnsVmKk45RbSielcxTObn4lyjcJtGjmkId6RRSsa&#10;S0FHqAsRBNti8wqqbSSCBx1OJLQZaN1IlWqgaor8RTX3G+FUqoXI8W6kyf8/WHm9u0XW1PR2nFnR&#10;0hPdEWnCro0q2R1sba1qtgS09MasiHx1zpfkdu9ucZA8XWPxe41t/Key2D5xfBg5VvvAJH0sJqez&#10;Kb2EJFVRTD/n6Q2yJ2eHPnxX0LJ4qTjGFGJKiV6xu/KBopL90S4G9GCa+rIxJgm4Xi0Nsp2gNz+d&#10;XOSzY4i/zIx9nyeFjq5ZpKEvPN3CwagIaOyd0kQolTpJKadWVmNCQkplQ9GrNqJWfZ6znH6RXYIf&#10;PZKUACOypvpG7AEgjslr7B5msI+uKk3C6Jz/K7HeefRIkcGG0bltLOBbAIaqGiL39keSemoiSyuo&#10;D9RuCP0ceicvG3rlK+HDrUAaPGoMWibhhg5toKs4DDfONoC/3/oe7WkeSMtZR4Nccf9rK1BxZn5Y&#10;mpTTYhr7LSRhOvs6IQGfa1bPNXbbLoH6hqaBskvXaB/M8aoR2kfaOYsYlVTCSopdcRnwKCxDv2Bo&#10;a0m1WCQzmnYnwpW9dzKCR1ZjAz/sHwW6odUDzcg1HIdelC+avbeNnhYW2wC6SZPwxOvAN22K1DjD&#10;Vour6LmcrJ527/wPAAAA//8DAFBLAwQUAAYACAAAACEADNE9E90AAAAGAQAADwAAAGRycy9kb3du&#10;cmV2LnhtbEyOwU7DMBBE70j8g7VI3KhDCpSEbCqEBBdEK1rE2Y2NE2qvQ+y6CV+POcFpNJrRzKuW&#10;ozUsqsF3jhAuZxkwRY2THWmEt+3jxS0wHwRJYRwphEl5WNanJ5UopTvSq4qboFkaIV8KhDaEvuTc&#10;N62yws9cryhlH26wIiQ7aC4HcUzj1vA8y264FR2lh1b06qFVzX5zsAjvZj1NuvkUT1HvY3xevay/&#10;vgPi+dl4fwcsqDH8leEXP6FDnZh27kDSM4OwmF+nJsJVASzFxTzpDiHPC+B1xf/j1z8AAAD//wMA&#10;UEsBAi0AFAAGAAgAAAAhALaDOJL+AAAA4QEAABMAAAAAAAAAAAAAAAAAAAAAAFtDb250ZW50X1R5&#10;cGVzXS54bWxQSwECLQAUAAYACAAAACEAOP0h/9YAAACUAQAACwAAAAAAAAAAAAAAAAAvAQAAX3Jl&#10;bHMvLnJlbHNQSwECLQAUAAYACAAAACEA8tCit58CAADDBQAADgAAAAAAAAAAAAAAAAAuAgAAZHJz&#10;L2Uyb0RvYy54bWxQSwECLQAUAAYACAAAACEADNE9E90AAAAGAQAADwAAAAAAAAAAAAAAAAD5BAAA&#10;ZHJzL2Rvd25yZXYueG1sUEsFBgAAAAAEAAQA8wAAAAMGAAAAAA==&#10;" fillcolor="#92d050" strokecolor="#92d050" strokeweight="1pt">
                <v:stroke joinstyle="miter"/>
              </v:roundrect>
            </w:pict>
          </mc:Fallback>
        </mc:AlternateContent>
      </w:r>
      <w:r w:rsidRPr="006A6E65">
        <w:rPr>
          <w:rFonts w:eastAsia="Times New Roman" w:cs="Arial"/>
          <w:b/>
          <w:spacing w:val="-3"/>
          <w:sz w:val="20"/>
          <w:szCs w:val="20"/>
          <w:lang w:val="es-ES_tradnl"/>
        </w:rPr>
        <w:t xml:space="preserve">      </w:t>
      </w:r>
      <w:r w:rsidRPr="006A6E65">
        <w:rPr>
          <w:rFonts w:eastAsia="Times New Roman" w:cs="Arial"/>
          <w:spacing w:val="-3"/>
          <w:sz w:val="20"/>
          <w:szCs w:val="20"/>
          <w:lang w:val="es-ES_tradnl"/>
        </w:rPr>
        <w:t>Cumplimiento del indicador</w:t>
      </w:r>
    </w:p>
    <w:p w14:paraId="3A8ECEE0" w14:textId="55313141" w:rsidR="008211F8" w:rsidRPr="006A6E65" w:rsidRDefault="008211F8" w:rsidP="008211F8">
      <w:pPr>
        <w:keepNext/>
        <w:spacing w:before="20" w:after="20"/>
        <w:ind w:firstLine="720"/>
        <w:rPr>
          <w:rFonts w:eastAsia="Times New Roman" w:cs="Arial"/>
          <w:spacing w:val="-3"/>
          <w:sz w:val="20"/>
          <w:szCs w:val="20"/>
          <w:lang w:val="es-ES_tradnl"/>
        </w:rPr>
      </w:pPr>
      <w:r w:rsidRPr="006A6E65">
        <w:rPr>
          <w:rFonts w:eastAsia="Times New Roman" w:cs="Arial"/>
          <w:noProof/>
          <w:spacing w:val="-3"/>
          <w:sz w:val="20"/>
          <w:szCs w:val="20"/>
          <w:lang w:val="es-ES_tradnl"/>
        </w:rPr>
        <mc:AlternateContent>
          <mc:Choice Requires="wps">
            <w:drawing>
              <wp:anchor distT="0" distB="0" distL="114300" distR="114300" simplePos="0" relativeHeight="251661312" behindDoc="0" locked="0" layoutInCell="1" allowOverlap="1" wp14:anchorId="40BFED6F" wp14:editId="129F51B9">
                <wp:simplePos x="0" y="0"/>
                <wp:positionH relativeFrom="column">
                  <wp:posOffset>464820</wp:posOffset>
                </wp:positionH>
                <wp:positionV relativeFrom="paragraph">
                  <wp:posOffset>51435</wp:posOffset>
                </wp:positionV>
                <wp:extent cx="129540" cy="114300"/>
                <wp:effectExtent l="0" t="0" r="22860" b="19050"/>
                <wp:wrapNone/>
                <wp:docPr id="3" name="Rectangle: Rounded Corners 3"/>
                <wp:cNvGraphicFramePr/>
                <a:graphic xmlns:a="http://schemas.openxmlformats.org/drawingml/2006/main">
                  <a:graphicData uri="http://schemas.microsoft.com/office/word/2010/wordprocessingShape">
                    <wps:wsp>
                      <wps:cNvSpPr/>
                      <wps:spPr>
                        <a:xfrm>
                          <a:off x="0" y="0"/>
                          <a:ext cx="129540" cy="114300"/>
                        </a:xfrm>
                        <a:prstGeom prst="round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5B33B43" id="Rectangle: Rounded Corners 3" o:spid="_x0000_s1026" style="position:absolute;margin-left:36.6pt;margin-top:4.05pt;width:10.2pt;height:9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kxPnQIAAMMFAAAOAAAAZHJzL2Uyb0RvYy54bWysVMFu2zAMvQ/YPwi6r7bTdFuNOkWQIsOA&#10;oi3aDj0rspQYkEWNUuJkXz9KdtyuHXYodpFFk3wkn0heXO5bw3YKfQO24sVJzpmyEurGriv+43H5&#10;6StnPghbCwNWVfygPL+cffxw0blSTWADplbICMT6snMV34TgyizzcqNa4U/AKUtKDdiKQCKusxpF&#10;R+itySZ5/jnrAGuHIJX39PeqV/JZwtdayXCrtVeBmYpTbiGdmM5VPLPZhSjXKNymkUMa4h1ZtKKx&#10;FHSEuhJBsC02b6DaRiJ40OFEQpuB1o1UqQaqpshfVfOwEU6lWogc70aa/P+DlTe7O2RNXfFTzqxo&#10;6YnuiTRh10aV7B62tlY1WwBaemN2GvnqnC/J7cHd4SB5usbi9xrb+KWy2D5xfBg5VvvAJP0sJudn&#10;U3oJSaqimJ7m6Q2yZ2eHPnxT0LJ4qTjGFGJKiV6xu/aBopL90S4G9GCaetkYkwRcrxYG2U7Qmy+X&#10;i3wM8YeZse/zpNDRNYs09IWnWzgYFQGNvVeaCKVSJynl1MpqTEhIqWwoetVG1KrP84yyPDIxeqQ6&#10;E2BE1lTfiD0AxDF5i90TNNhHV5UmYXTO/5VY7zx6pMhgw+jcNhbwbwCGqhoi9/ZHknpqIksrqA/U&#10;bgj9HHonlw298rXw4U4gDR41Bi2TcEuHNtBVHIYbZxvAX3/7H+1pHkjLWUeDXHH/cytQcWa+W5qU&#10;82Ia+y0kYXr2ZUICvtSsXmrstl0A9U1Ba8vJdI32wRyvGqF9op0zj1FJJayk2BWXAY/CIvQLhraW&#10;VPN5MqNpdyJc2wcnI3hkNTbw4/5JoBtaPdCM3MBx6EX5qtl72+hpYb4NoJs0Cc+8DnzTpkiNM2y1&#10;uIpeysnqeffOfgMAAP//AwBQSwMEFAAGAAgAAAAhAHbjm5TdAAAABgEAAA8AAABkcnMvZG93bnJl&#10;di54bWxMjk1Pg0AURfcm/ofJM3FnB2iCFXk0fsQYw6rYRJdT5hWIzBtkhhb+veNKlzf35tyTb2fT&#10;ixONrrOMEK8iEMS11R03CPv3l5sNCOcVa9VbJoSFHGyLy4tcZdqeeUenyjciQNhlCqH1fsikdHVL&#10;RrmVHYhDd7SjUT7EsZF6VOcAN71MoiiVRnUcHlo10FNL9Vc1GYRBN8fP6rubyv1b+vhRlot7fV4Q&#10;r6/mh3sQnmb/N4Zf/aAORXA62Im1Ez3C7ToJS4RNDCLUd+sUxAEhSWOQRS7/6xc/AAAA//8DAFBL&#10;AQItABQABgAIAAAAIQC2gziS/gAAAOEBAAATAAAAAAAAAAAAAAAAAAAAAABbQ29udGVudF9UeXBl&#10;c10ueG1sUEsBAi0AFAAGAAgAAAAhADj9If/WAAAAlAEAAAsAAAAAAAAAAAAAAAAALwEAAF9yZWxz&#10;Ly5yZWxzUEsBAi0AFAAGAAgAAAAhAOwyTE+dAgAAwwUAAA4AAAAAAAAAAAAAAAAALgIAAGRycy9l&#10;Mm9Eb2MueG1sUEsBAi0AFAAGAAgAAAAhAHbjm5TdAAAABgEAAA8AAAAAAAAAAAAAAAAA9wQAAGRy&#10;cy9kb3ducmV2LnhtbFBLBQYAAAAABAAEAPMAAAABBgAAAAA=&#10;" fillcolor="#ffc000" strokecolor="#ffc000" strokeweight="1pt">
                <v:stroke joinstyle="miter"/>
              </v:roundrect>
            </w:pict>
          </mc:Fallback>
        </mc:AlternateContent>
      </w:r>
      <w:r w:rsidRPr="006A6E65">
        <w:rPr>
          <w:rFonts w:eastAsia="Times New Roman" w:cs="Arial"/>
          <w:spacing w:val="-3"/>
          <w:sz w:val="20"/>
          <w:szCs w:val="20"/>
          <w:lang w:val="es-ES_tradnl"/>
        </w:rPr>
        <w:t xml:space="preserve">      Cumplimiento parcial del indicador</w:t>
      </w:r>
    </w:p>
    <w:p w14:paraId="65CF4081" w14:textId="1BA14C7A" w:rsidR="008211F8" w:rsidRPr="006A6E65" w:rsidRDefault="008211F8" w:rsidP="008211F8">
      <w:pPr>
        <w:keepNext/>
        <w:spacing w:before="20" w:after="20"/>
        <w:ind w:firstLine="720"/>
        <w:rPr>
          <w:rFonts w:eastAsia="Times New Roman" w:cs="Arial"/>
          <w:spacing w:val="-3"/>
          <w:sz w:val="20"/>
          <w:szCs w:val="20"/>
          <w:lang w:val="es-ES_tradnl"/>
        </w:rPr>
      </w:pPr>
      <w:r w:rsidRPr="006A6E65">
        <w:rPr>
          <w:rFonts w:eastAsia="Times New Roman" w:cs="Arial"/>
          <w:noProof/>
          <w:spacing w:val="-3"/>
          <w:sz w:val="20"/>
          <w:szCs w:val="20"/>
          <w:lang w:val="es-ES_tradnl"/>
        </w:rPr>
        <mc:AlternateContent>
          <mc:Choice Requires="wps">
            <w:drawing>
              <wp:anchor distT="0" distB="0" distL="114300" distR="114300" simplePos="0" relativeHeight="251663360" behindDoc="0" locked="0" layoutInCell="1" allowOverlap="1" wp14:anchorId="078986DE" wp14:editId="28ADE0AD">
                <wp:simplePos x="0" y="0"/>
                <wp:positionH relativeFrom="column">
                  <wp:posOffset>466725</wp:posOffset>
                </wp:positionH>
                <wp:positionV relativeFrom="paragraph">
                  <wp:posOffset>56515</wp:posOffset>
                </wp:positionV>
                <wp:extent cx="129540" cy="114300"/>
                <wp:effectExtent l="0" t="0" r="22860" b="19050"/>
                <wp:wrapNone/>
                <wp:docPr id="4" name="Rectangle: Rounded Corners 4"/>
                <wp:cNvGraphicFramePr/>
                <a:graphic xmlns:a="http://schemas.openxmlformats.org/drawingml/2006/main">
                  <a:graphicData uri="http://schemas.microsoft.com/office/word/2010/wordprocessingShape">
                    <wps:wsp>
                      <wps:cNvSpPr/>
                      <wps:spPr>
                        <a:xfrm>
                          <a:off x="0" y="0"/>
                          <a:ext cx="129540" cy="114300"/>
                        </a:xfrm>
                        <a:prstGeom prst="round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473DABB" id="Rectangle: Rounded Corners 4" o:spid="_x0000_s1026" style="position:absolute;margin-left:36.75pt;margin-top:4.45pt;width:10.2pt;height:9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sugoAIAAMMFAAAOAAAAZHJzL2Uyb0RvYy54bWysVE1v2zAMvQ/YfxB0X21n6dYadYogRYcB&#10;RVu0HXpWZDk2IIsapcTJfv0o+aNZV+xQLAdFNMlH8onkxeW+1Wyn0DVgCp6dpJwpI6FszKbgP56u&#10;P51x5rwwpdBgVMEPyvHLxccPF53N1Qxq0KVCRiDG5Z0teO29zZPEyVq1wp2AVYaUFWArPIm4SUoU&#10;HaG3Opml6ZekAywtglTO0derXskXEb+qlPR3VeWUZ7rglJuPJ8ZzHc5kcSHyDQpbN3JIQ7wji1Y0&#10;hoJOUFfCC7bF5i+otpEIDip/IqFNoKoaqWINVE2WvqrmsRZWxVqIHGcnmtz/g5W3u3tkTVnwOWdG&#10;tPRED0SaMButcvYAW1Oqkq0ADb0xmwe+Outycnu09zhIjq6h+H2Fbfinstg+cnyYOFZ7zyR9zGbn&#10;p3N6CUmqLJt/TuMbJC/OFp3/pqBl4VJwDCmElCK9YnfjPEUl+9EuBHSgm/K60ToKuFmvNLKdoDdf&#10;peEX0iaXP8y0eZ8n4QTXJNDQFx5v/qBVANTmQVVEKJU6iynHVlZTQkJKZXzWq2pRqj7P0+M0Q/MH&#10;j5h0BAzIFdU3YQ8Ao2UPMmL31Q72wVXFSZic038l1jtPHjEyGD85t40BfAtAU1VD5N5+JKmnJrC0&#10;hvJA7YbQz6Gz8rqhV74Rzt8LpMGjxqBl4u/oqDR0BYfhxlkN+Out78Ge5oG0nHU0yAV3P7cCFWf6&#10;u6FJOc/mod98FOanX2ck4LFmfawx23YF1DcZrS0r4zXYez1eK4T2mXbOMkQllTCSYhdcehyFle8X&#10;DG0tqZbLaEbTboW/MY9WBvDAamjgp/2zQDu0uqcZuYVx6EX+qtl72+BpYLn1UDVxEl54HfimTREb&#10;Z9hqYRUdy9HqZfcufgMAAP//AwBQSwMEFAAGAAgAAAAhALsJ9g/cAAAABgEAAA8AAABkcnMvZG93&#10;bnJldi54bWxMjkFLw0AUhO+C/2F5gje7McXYxGyKCMWTB2tAvG2yr9nQ7NuQ3bTpv+/zpKdhmGHm&#10;K7eLG8QJp9B7UvC4SkAgtd701Cmov3YPGxAhajJ68IQKLhhgW93elLow/kyfeNrHTvAIhUIrsDGO&#10;hZShteh0WPkRibODn5yObKdOmkmfedwNMk2STDrdEz9YPeKbxfa4n52CXVvXH/aHsnls0mPaZfL9&#10;uz8odX+3vL6AiLjEvzL84jM6VMzU+JlMEIOC5/UTNxVschAc52vWRkGa5SCrUv7Hr64AAAD//wMA&#10;UEsBAi0AFAAGAAgAAAAhALaDOJL+AAAA4QEAABMAAAAAAAAAAAAAAAAAAAAAAFtDb250ZW50X1R5&#10;cGVzXS54bWxQSwECLQAUAAYACAAAACEAOP0h/9YAAACUAQAACwAAAAAAAAAAAAAAAAAvAQAAX3Jl&#10;bHMvLnJlbHNQSwECLQAUAAYACAAAACEAobbLoKACAADDBQAADgAAAAAAAAAAAAAAAAAuAgAAZHJz&#10;L2Uyb0RvYy54bWxQSwECLQAUAAYACAAAACEAuwn2D9wAAAAGAQAADwAAAAAAAAAAAAAAAAD6BAAA&#10;ZHJzL2Rvd25yZXYueG1sUEsFBgAAAAAEAAQA8wAAAAMGAAAAAA==&#10;" fillcolor="#c00000" strokecolor="#c00000" strokeweight="1pt">
                <v:stroke joinstyle="miter"/>
              </v:roundrect>
            </w:pict>
          </mc:Fallback>
        </mc:AlternateContent>
      </w:r>
      <w:r w:rsidRPr="006A6E65">
        <w:rPr>
          <w:rFonts w:eastAsia="Times New Roman" w:cs="Arial"/>
          <w:spacing w:val="-3"/>
          <w:sz w:val="20"/>
          <w:szCs w:val="20"/>
          <w:lang w:val="es-ES_tradnl"/>
        </w:rPr>
        <w:t xml:space="preserve">      No cumplimiento parcial del indicador</w:t>
      </w:r>
    </w:p>
    <w:p w14:paraId="073A578C" w14:textId="70483AAB" w:rsidR="008211F8" w:rsidRPr="006A6E65" w:rsidRDefault="008211F8" w:rsidP="008211F8">
      <w:pPr>
        <w:keepNext/>
        <w:spacing w:before="20" w:after="20"/>
        <w:ind w:firstLine="720"/>
        <w:rPr>
          <w:rFonts w:eastAsia="Times New Roman" w:cs="Arial"/>
          <w:b/>
          <w:spacing w:val="-3"/>
          <w:sz w:val="20"/>
          <w:szCs w:val="20"/>
          <w:lang w:val="es-ES_tradnl"/>
        </w:rPr>
      </w:pPr>
    </w:p>
    <w:p w14:paraId="26FE1A90" w14:textId="77777777" w:rsidR="008211F8" w:rsidRPr="006A6E65" w:rsidRDefault="008211F8" w:rsidP="008211F8">
      <w:pPr>
        <w:keepNext/>
        <w:spacing w:before="20" w:after="20"/>
        <w:ind w:firstLine="720"/>
        <w:rPr>
          <w:rFonts w:eastAsia="Times New Roman" w:cs="Arial"/>
          <w:b/>
          <w:spacing w:val="-3"/>
          <w:sz w:val="20"/>
          <w:szCs w:val="20"/>
          <w:lang w:val="es-ES_tradnl"/>
        </w:rPr>
      </w:pPr>
    </w:p>
    <w:p w14:paraId="73FFD581" w14:textId="77777777" w:rsidR="007B18CC" w:rsidRPr="006A6E65" w:rsidRDefault="007B18CC" w:rsidP="007B18CC">
      <w:pPr>
        <w:spacing w:after="120"/>
        <w:rPr>
          <w:rFonts w:cs="Arial"/>
          <w:b/>
          <w:bCs/>
          <w:sz w:val="20"/>
          <w:lang w:val="es-ES_tradnl"/>
        </w:rPr>
      </w:pPr>
      <w:r w:rsidRPr="006A6E65">
        <w:rPr>
          <w:rFonts w:cs="Arial"/>
          <w:b/>
          <w:bCs/>
          <w:sz w:val="20"/>
          <w:lang w:val="es-ES_tradnl"/>
        </w:rPr>
        <w:t>COMPONENTE 1: Apoyo a la mejora de las capacidades de rectoría y regulación en ámbito de la capacitación e intermediación laboral</w:t>
      </w:r>
    </w:p>
    <w:tbl>
      <w:tblPr>
        <w:tblStyle w:val="TableGrid"/>
        <w:tblW w:w="15074" w:type="dxa"/>
        <w:tblInd w:w="-1039" w:type="dxa"/>
        <w:tblLayout w:type="fixed"/>
        <w:tblLook w:val="04A0" w:firstRow="1" w:lastRow="0" w:firstColumn="1" w:lastColumn="0" w:noHBand="0" w:noVBand="1"/>
      </w:tblPr>
      <w:tblGrid>
        <w:gridCol w:w="1754"/>
        <w:gridCol w:w="3960"/>
        <w:gridCol w:w="3354"/>
        <w:gridCol w:w="1440"/>
        <w:gridCol w:w="1282"/>
        <w:gridCol w:w="1148"/>
        <w:gridCol w:w="2136"/>
      </w:tblGrid>
      <w:tr w:rsidR="007B18CC" w:rsidRPr="006A6E65" w14:paraId="34FA642F" w14:textId="77777777" w:rsidTr="006A6E65">
        <w:tc>
          <w:tcPr>
            <w:tcW w:w="1754" w:type="dxa"/>
            <w:shd w:val="clear" w:color="auto" w:fill="F2F2F2" w:themeFill="background1" w:themeFillShade="F2"/>
          </w:tcPr>
          <w:p w14:paraId="38AEB7DD"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Actividad/producto</w:t>
            </w:r>
          </w:p>
        </w:tc>
        <w:tc>
          <w:tcPr>
            <w:tcW w:w="3960" w:type="dxa"/>
            <w:shd w:val="clear" w:color="auto" w:fill="F2F2F2" w:themeFill="background1" w:themeFillShade="F2"/>
          </w:tcPr>
          <w:p w14:paraId="21D078D2" w14:textId="05C26A4D" w:rsidR="007B18CC" w:rsidRPr="006A6E65" w:rsidRDefault="007B18CC" w:rsidP="007B18CC">
            <w:pPr>
              <w:rPr>
                <w:rFonts w:cs="Arial"/>
                <w:b/>
                <w:bCs/>
                <w:sz w:val="18"/>
                <w:szCs w:val="22"/>
                <w:lang w:val="es-ES_tradnl"/>
              </w:rPr>
            </w:pPr>
            <w:r w:rsidRPr="006A6E65">
              <w:rPr>
                <w:rFonts w:cs="Arial"/>
                <w:b/>
                <w:bCs/>
                <w:sz w:val="18"/>
                <w:szCs w:val="22"/>
                <w:lang w:val="es-ES_tradnl"/>
              </w:rPr>
              <w:t>Resultado intermedio</w:t>
            </w:r>
          </w:p>
        </w:tc>
        <w:tc>
          <w:tcPr>
            <w:tcW w:w="3354" w:type="dxa"/>
            <w:shd w:val="clear" w:color="auto" w:fill="F2F2F2" w:themeFill="background1" w:themeFillShade="F2"/>
          </w:tcPr>
          <w:p w14:paraId="55B7DA78"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Indicador</w:t>
            </w:r>
          </w:p>
        </w:tc>
        <w:tc>
          <w:tcPr>
            <w:tcW w:w="1440" w:type="dxa"/>
            <w:shd w:val="clear" w:color="auto" w:fill="F2F2F2" w:themeFill="background1" w:themeFillShade="F2"/>
          </w:tcPr>
          <w:p w14:paraId="094500B1"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Línea de base</w:t>
            </w:r>
          </w:p>
        </w:tc>
        <w:tc>
          <w:tcPr>
            <w:tcW w:w="1282" w:type="dxa"/>
            <w:shd w:val="clear" w:color="auto" w:fill="F2F2F2" w:themeFill="background1" w:themeFillShade="F2"/>
          </w:tcPr>
          <w:p w14:paraId="37384AA3"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Meta</w:t>
            </w:r>
          </w:p>
          <w:p w14:paraId="05941BDF"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(2017)</w:t>
            </w:r>
          </w:p>
        </w:tc>
        <w:tc>
          <w:tcPr>
            <w:tcW w:w="1148" w:type="dxa"/>
            <w:shd w:val="clear" w:color="auto" w:fill="F2F2F2" w:themeFill="background1" w:themeFillShade="F2"/>
          </w:tcPr>
          <w:p w14:paraId="1DFDE686"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Logro</w:t>
            </w:r>
          </w:p>
          <w:p w14:paraId="3081521C"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(2017)</w:t>
            </w:r>
          </w:p>
        </w:tc>
        <w:tc>
          <w:tcPr>
            <w:tcW w:w="2136" w:type="dxa"/>
            <w:shd w:val="clear" w:color="auto" w:fill="F2F2F2" w:themeFill="background1" w:themeFillShade="F2"/>
          </w:tcPr>
          <w:p w14:paraId="6C37D52F"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Comentario</w:t>
            </w:r>
          </w:p>
        </w:tc>
      </w:tr>
      <w:tr w:rsidR="007B18CC" w:rsidRPr="006A6E65" w14:paraId="164E8A78" w14:textId="77777777" w:rsidTr="006A6E65">
        <w:tc>
          <w:tcPr>
            <w:tcW w:w="1754" w:type="dxa"/>
          </w:tcPr>
          <w:p w14:paraId="04E23F83" w14:textId="60DBB8D4" w:rsidR="007B18CC" w:rsidRPr="006A6E65" w:rsidRDefault="007B18CC" w:rsidP="007B18CC">
            <w:pPr>
              <w:rPr>
                <w:rFonts w:cs="Arial"/>
                <w:sz w:val="18"/>
                <w:szCs w:val="22"/>
                <w:lang w:val="es-ES_tradnl"/>
              </w:rPr>
            </w:pPr>
            <w:r w:rsidRPr="006A6E65">
              <w:rPr>
                <w:rFonts w:cs="Arial"/>
                <w:sz w:val="18"/>
                <w:szCs w:val="22"/>
                <w:lang w:val="es-ES_tradnl"/>
              </w:rPr>
              <w:t>Rectoría y regulación del mercado de la capacitación</w:t>
            </w:r>
          </w:p>
        </w:tc>
        <w:tc>
          <w:tcPr>
            <w:tcW w:w="3960" w:type="dxa"/>
          </w:tcPr>
          <w:p w14:paraId="76AB2F4C" w14:textId="77777777" w:rsidR="007B18CC" w:rsidRPr="006A6E65" w:rsidRDefault="007B18CC" w:rsidP="007B18CC">
            <w:pPr>
              <w:pStyle w:val="ListParagraph"/>
              <w:numPr>
                <w:ilvl w:val="0"/>
                <w:numId w:val="5"/>
              </w:numPr>
              <w:rPr>
                <w:rFonts w:cs="Arial"/>
                <w:sz w:val="18"/>
                <w:szCs w:val="22"/>
                <w:lang w:val="es-ES_tradnl"/>
              </w:rPr>
            </w:pPr>
            <w:r w:rsidRPr="006A6E65">
              <w:rPr>
                <w:rFonts w:cs="Arial"/>
                <w:sz w:val="18"/>
                <w:szCs w:val="22"/>
                <w:lang w:val="es-ES_tradnl"/>
              </w:rPr>
              <w:t>La información financiera de los OTIC (declaración de renta y estados financieros) es entregada de acuerdo con las normas contables IFRS</w:t>
            </w:r>
          </w:p>
          <w:p w14:paraId="204264FB" w14:textId="77777777" w:rsidR="007B18CC" w:rsidRPr="006A6E65" w:rsidRDefault="007B18CC" w:rsidP="007B18CC">
            <w:pPr>
              <w:rPr>
                <w:rFonts w:cs="Arial"/>
                <w:b/>
                <w:sz w:val="18"/>
                <w:szCs w:val="22"/>
                <w:lang w:val="es-ES_tradnl"/>
              </w:rPr>
            </w:pPr>
          </w:p>
        </w:tc>
        <w:tc>
          <w:tcPr>
            <w:tcW w:w="3354" w:type="dxa"/>
          </w:tcPr>
          <w:p w14:paraId="2E28BA17" w14:textId="77777777" w:rsidR="007B18CC" w:rsidRPr="006A6E65" w:rsidRDefault="007B18CC" w:rsidP="007B18CC">
            <w:pPr>
              <w:rPr>
                <w:rFonts w:cs="Arial"/>
                <w:sz w:val="18"/>
                <w:szCs w:val="22"/>
                <w:lang w:val="es-ES_tradnl"/>
              </w:rPr>
            </w:pPr>
            <w:r w:rsidRPr="006A6E65">
              <w:rPr>
                <w:rFonts w:cs="Arial"/>
                <w:sz w:val="18"/>
                <w:szCs w:val="22"/>
                <w:lang w:val="es-ES_tradnl"/>
              </w:rPr>
              <w:t xml:space="preserve">Nº de OTIC con la información financiera (estados financieros) entregada </w:t>
            </w:r>
            <w:proofErr w:type="gramStart"/>
            <w:r w:rsidRPr="006A6E65">
              <w:rPr>
                <w:rFonts w:cs="Arial"/>
                <w:sz w:val="18"/>
                <w:szCs w:val="22"/>
                <w:lang w:val="es-ES_tradnl"/>
              </w:rPr>
              <w:t>de acuerdo a</w:t>
            </w:r>
            <w:proofErr w:type="gramEnd"/>
            <w:r w:rsidRPr="006A6E65">
              <w:rPr>
                <w:rFonts w:cs="Arial"/>
                <w:sz w:val="18"/>
                <w:szCs w:val="22"/>
                <w:lang w:val="es-ES_tradnl"/>
              </w:rPr>
              <w:t xml:space="preserve"> las normas contables IFRS</w:t>
            </w:r>
          </w:p>
        </w:tc>
        <w:tc>
          <w:tcPr>
            <w:tcW w:w="1440" w:type="dxa"/>
            <w:shd w:val="clear" w:color="auto" w:fill="auto"/>
          </w:tcPr>
          <w:p w14:paraId="6B77D414" w14:textId="77777777" w:rsidR="007B18CC" w:rsidRPr="006A6E65" w:rsidRDefault="007B18CC" w:rsidP="007B18CC">
            <w:pPr>
              <w:rPr>
                <w:rFonts w:cs="Arial"/>
                <w:sz w:val="18"/>
                <w:szCs w:val="22"/>
                <w:lang w:val="es-ES_tradnl"/>
              </w:rPr>
            </w:pPr>
            <w:r w:rsidRPr="006A6E65">
              <w:rPr>
                <w:rFonts w:cs="Arial"/>
                <w:sz w:val="18"/>
                <w:szCs w:val="22"/>
                <w:lang w:val="es-ES_tradnl"/>
              </w:rPr>
              <w:t>0 de 19 (2016)</w:t>
            </w:r>
          </w:p>
        </w:tc>
        <w:tc>
          <w:tcPr>
            <w:tcW w:w="1282" w:type="dxa"/>
            <w:shd w:val="clear" w:color="auto" w:fill="auto"/>
          </w:tcPr>
          <w:p w14:paraId="6F0FE74B" w14:textId="23A93120" w:rsidR="007B18CC" w:rsidRPr="006A6E65" w:rsidRDefault="008211F8" w:rsidP="007B18CC">
            <w:pPr>
              <w:rPr>
                <w:rFonts w:cs="Arial"/>
                <w:sz w:val="18"/>
                <w:szCs w:val="22"/>
                <w:lang w:val="es-ES_tradnl"/>
              </w:rPr>
            </w:pPr>
            <w:r w:rsidRPr="006A6E65">
              <w:rPr>
                <w:rFonts w:cs="Arial"/>
                <w:sz w:val="18"/>
                <w:szCs w:val="22"/>
                <w:lang w:val="es-ES_tradnl"/>
              </w:rPr>
              <w:t>19</w:t>
            </w:r>
            <w:r w:rsidR="007B18CC" w:rsidRPr="006A6E65">
              <w:rPr>
                <w:rFonts w:cs="Arial"/>
                <w:sz w:val="18"/>
                <w:szCs w:val="22"/>
                <w:lang w:val="es-ES_tradnl"/>
              </w:rPr>
              <w:t xml:space="preserve"> de 19 </w:t>
            </w:r>
          </w:p>
        </w:tc>
        <w:tc>
          <w:tcPr>
            <w:tcW w:w="1148" w:type="dxa"/>
            <w:shd w:val="clear" w:color="auto" w:fill="FFD966" w:themeFill="accent4" w:themeFillTint="99"/>
          </w:tcPr>
          <w:p w14:paraId="502914F7" w14:textId="07F5275A" w:rsidR="007B18CC" w:rsidRPr="006A6E65" w:rsidRDefault="0073403E" w:rsidP="007B18CC">
            <w:pPr>
              <w:rPr>
                <w:rFonts w:cs="Arial"/>
                <w:sz w:val="18"/>
                <w:szCs w:val="22"/>
                <w:lang w:val="es-ES_tradnl"/>
              </w:rPr>
            </w:pPr>
            <w:r w:rsidRPr="006A6E65">
              <w:rPr>
                <w:rFonts w:cs="Arial"/>
                <w:sz w:val="18"/>
                <w:szCs w:val="22"/>
                <w:lang w:val="es-ES_tradnl"/>
              </w:rPr>
              <w:t>18</w:t>
            </w:r>
            <w:r w:rsidR="007B18CC" w:rsidRPr="006A6E65">
              <w:rPr>
                <w:rFonts w:cs="Arial"/>
                <w:sz w:val="18"/>
                <w:szCs w:val="22"/>
                <w:lang w:val="es-ES_tradnl"/>
              </w:rPr>
              <w:t xml:space="preserve"> de 19 </w:t>
            </w:r>
          </w:p>
        </w:tc>
        <w:tc>
          <w:tcPr>
            <w:tcW w:w="2136" w:type="dxa"/>
          </w:tcPr>
          <w:p w14:paraId="53163726" w14:textId="16207E50" w:rsidR="007B18CC" w:rsidRPr="006A6E65" w:rsidRDefault="007B18CC" w:rsidP="007B18CC">
            <w:pPr>
              <w:rPr>
                <w:rFonts w:cs="Arial"/>
                <w:sz w:val="18"/>
                <w:szCs w:val="22"/>
                <w:lang w:val="es-ES_tradnl"/>
              </w:rPr>
            </w:pPr>
          </w:p>
        </w:tc>
      </w:tr>
      <w:tr w:rsidR="007B18CC" w:rsidRPr="006A6E65" w14:paraId="280FE1C4" w14:textId="77777777" w:rsidTr="006A6E65">
        <w:tc>
          <w:tcPr>
            <w:tcW w:w="1754" w:type="dxa"/>
          </w:tcPr>
          <w:p w14:paraId="5E22D304" w14:textId="2CF44D2D" w:rsidR="007B18CC" w:rsidRPr="006A6E65" w:rsidRDefault="007B18CC" w:rsidP="007B18CC">
            <w:pPr>
              <w:rPr>
                <w:rFonts w:cs="Arial"/>
                <w:sz w:val="18"/>
                <w:szCs w:val="22"/>
                <w:lang w:val="es-ES_tradnl"/>
              </w:rPr>
            </w:pPr>
            <w:r w:rsidRPr="006A6E65">
              <w:rPr>
                <w:rFonts w:cs="Arial"/>
                <w:sz w:val="18"/>
                <w:szCs w:val="22"/>
                <w:lang w:val="es-ES_tradnl"/>
              </w:rPr>
              <w:t xml:space="preserve">Rectoría y regulación del mercado de la capacitación </w:t>
            </w:r>
          </w:p>
        </w:tc>
        <w:tc>
          <w:tcPr>
            <w:tcW w:w="3960" w:type="dxa"/>
          </w:tcPr>
          <w:p w14:paraId="79062DD8" w14:textId="7CADE640" w:rsidR="007B18CC" w:rsidRPr="006A6E65" w:rsidRDefault="007B18CC" w:rsidP="007B18CC">
            <w:pPr>
              <w:pStyle w:val="ListParagraph"/>
              <w:numPr>
                <w:ilvl w:val="0"/>
                <w:numId w:val="5"/>
              </w:numPr>
              <w:rPr>
                <w:rFonts w:cs="Arial"/>
                <w:sz w:val="18"/>
                <w:szCs w:val="22"/>
                <w:lang w:val="es-ES_tradnl"/>
              </w:rPr>
            </w:pPr>
            <w:r w:rsidRPr="006A6E65">
              <w:rPr>
                <w:rFonts w:cs="Arial"/>
                <w:sz w:val="18"/>
                <w:szCs w:val="22"/>
                <w:lang w:val="es-ES_tradnl"/>
              </w:rPr>
              <w:t>Los proveedores de capacitación (OTEC) adoptan nuevos criterios de gestión de calidad</w:t>
            </w:r>
          </w:p>
        </w:tc>
        <w:tc>
          <w:tcPr>
            <w:tcW w:w="3354" w:type="dxa"/>
          </w:tcPr>
          <w:p w14:paraId="7D19BF29" w14:textId="77777777" w:rsidR="007B18CC" w:rsidRPr="006A6E65" w:rsidRDefault="007B18CC" w:rsidP="007B18CC">
            <w:pPr>
              <w:rPr>
                <w:rFonts w:cs="Arial"/>
                <w:sz w:val="18"/>
                <w:szCs w:val="22"/>
                <w:lang w:val="es-ES_tradnl"/>
              </w:rPr>
            </w:pPr>
            <w:r w:rsidRPr="006A6E65">
              <w:rPr>
                <w:rFonts w:cs="Arial"/>
                <w:sz w:val="18"/>
                <w:szCs w:val="22"/>
                <w:lang w:val="es-ES_tradnl"/>
              </w:rPr>
              <w:t xml:space="preserve">Nº de OTEC con norma de calidad actualizada </w:t>
            </w:r>
          </w:p>
        </w:tc>
        <w:tc>
          <w:tcPr>
            <w:tcW w:w="1440" w:type="dxa"/>
            <w:shd w:val="clear" w:color="auto" w:fill="auto"/>
          </w:tcPr>
          <w:p w14:paraId="5FC7864C" w14:textId="77777777" w:rsidR="007B18CC" w:rsidRPr="006A6E65" w:rsidRDefault="007B18CC" w:rsidP="007B18CC">
            <w:pPr>
              <w:rPr>
                <w:rFonts w:cs="Arial"/>
                <w:sz w:val="18"/>
                <w:szCs w:val="22"/>
                <w:lang w:val="es-ES_tradnl"/>
              </w:rPr>
            </w:pPr>
            <w:r w:rsidRPr="006A6E65">
              <w:rPr>
                <w:rFonts w:cs="Arial"/>
                <w:sz w:val="18"/>
                <w:szCs w:val="22"/>
                <w:lang w:val="es-ES_tradnl"/>
              </w:rPr>
              <w:t>0% de las OTEC (2016)</w:t>
            </w:r>
          </w:p>
        </w:tc>
        <w:tc>
          <w:tcPr>
            <w:tcW w:w="1282" w:type="dxa"/>
            <w:shd w:val="clear" w:color="auto" w:fill="auto"/>
          </w:tcPr>
          <w:p w14:paraId="0477FBF0" w14:textId="77777777" w:rsidR="007B18CC" w:rsidRPr="006A6E65" w:rsidRDefault="007B18CC" w:rsidP="007B18CC">
            <w:pPr>
              <w:rPr>
                <w:rFonts w:cs="Arial"/>
                <w:sz w:val="18"/>
                <w:szCs w:val="22"/>
                <w:lang w:val="es-ES_tradnl"/>
              </w:rPr>
            </w:pPr>
            <w:r w:rsidRPr="006A6E65">
              <w:rPr>
                <w:rFonts w:cs="Arial"/>
                <w:sz w:val="18"/>
                <w:szCs w:val="22"/>
                <w:lang w:val="es-ES_tradnl"/>
              </w:rPr>
              <w:t>50% de las OTECs</w:t>
            </w:r>
          </w:p>
        </w:tc>
        <w:tc>
          <w:tcPr>
            <w:tcW w:w="1148" w:type="dxa"/>
            <w:shd w:val="clear" w:color="auto" w:fill="E94545"/>
          </w:tcPr>
          <w:p w14:paraId="0A08D000" w14:textId="77777777" w:rsidR="007B18CC" w:rsidRPr="006A6E65" w:rsidRDefault="007B18CC" w:rsidP="007B18CC">
            <w:pPr>
              <w:rPr>
                <w:rFonts w:cs="Arial"/>
                <w:sz w:val="18"/>
                <w:szCs w:val="22"/>
                <w:lang w:val="es-ES_tradnl"/>
              </w:rPr>
            </w:pPr>
            <w:r w:rsidRPr="006A6E65">
              <w:rPr>
                <w:rFonts w:cs="Arial"/>
                <w:sz w:val="18"/>
                <w:szCs w:val="22"/>
                <w:lang w:val="es-ES_tradnl"/>
              </w:rPr>
              <w:t>2.5% de las OTECs</w:t>
            </w:r>
          </w:p>
        </w:tc>
        <w:tc>
          <w:tcPr>
            <w:tcW w:w="2136" w:type="dxa"/>
          </w:tcPr>
          <w:p w14:paraId="0F20511E" w14:textId="307E4339" w:rsidR="007B18CC" w:rsidRPr="006A6E65" w:rsidRDefault="007B18CC" w:rsidP="007B18CC">
            <w:pPr>
              <w:rPr>
                <w:rFonts w:cs="Arial"/>
                <w:sz w:val="18"/>
                <w:szCs w:val="22"/>
                <w:lang w:val="es-ES_tradnl"/>
              </w:rPr>
            </w:pPr>
            <w:r w:rsidRPr="006A6E65">
              <w:rPr>
                <w:rFonts w:cs="Arial"/>
                <w:sz w:val="18"/>
                <w:szCs w:val="22"/>
                <w:lang w:val="es-ES_tradnl"/>
              </w:rPr>
              <w:t>En abril 2017 solo 75</w:t>
            </w:r>
            <w:r w:rsidR="006A6E65" w:rsidRPr="006A6E65">
              <w:rPr>
                <w:rFonts w:cs="Arial"/>
                <w:sz w:val="18"/>
                <w:szCs w:val="22"/>
                <w:lang w:val="es-ES_tradnl"/>
              </w:rPr>
              <w:t> </w:t>
            </w:r>
            <w:r w:rsidRPr="006A6E65">
              <w:rPr>
                <w:rFonts w:cs="Arial"/>
                <w:sz w:val="18"/>
                <w:szCs w:val="22"/>
                <w:lang w:val="es-ES_tradnl"/>
              </w:rPr>
              <w:t>OTECs (de más de 3000 existentes en el mercado) habían actualizado su norma de calidad</w:t>
            </w:r>
          </w:p>
          <w:p w14:paraId="65D49974" w14:textId="77777777"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Unidad de Regulación de mercados</w:t>
            </w:r>
          </w:p>
        </w:tc>
      </w:tr>
      <w:tr w:rsidR="007B18CC" w:rsidRPr="006A6E65" w14:paraId="1C4851BB" w14:textId="77777777" w:rsidTr="006A6E65">
        <w:tc>
          <w:tcPr>
            <w:tcW w:w="1754" w:type="dxa"/>
          </w:tcPr>
          <w:p w14:paraId="0454E1E4" w14:textId="77777777" w:rsidR="007B18CC" w:rsidRPr="006A6E65" w:rsidRDefault="007B18CC" w:rsidP="007B18CC">
            <w:pPr>
              <w:rPr>
                <w:rFonts w:cs="Arial"/>
                <w:sz w:val="18"/>
                <w:szCs w:val="22"/>
                <w:lang w:val="es-ES_tradnl"/>
              </w:rPr>
            </w:pPr>
            <w:r w:rsidRPr="006A6E65">
              <w:rPr>
                <w:rFonts w:cs="Arial"/>
                <w:sz w:val="18"/>
                <w:szCs w:val="22"/>
                <w:lang w:val="es-ES_tradnl"/>
              </w:rPr>
              <w:t xml:space="preserve">Diseño y seguimiento de programas de capacitación </w:t>
            </w:r>
          </w:p>
        </w:tc>
        <w:tc>
          <w:tcPr>
            <w:tcW w:w="3960" w:type="dxa"/>
          </w:tcPr>
          <w:p w14:paraId="476A9875" w14:textId="77777777" w:rsidR="007B18CC" w:rsidRPr="006A6E65" w:rsidRDefault="007B18CC" w:rsidP="007B18CC">
            <w:pPr>
              <w:pStyle w:val="ListParagraph"/>
              <w:numPr>
                <w:ilvl w:val="0"/>
                <w:numId w:val="5"/>
              </w:numPr>
              <w:rPr>
                <w:rFonts w:cs="Arial"/>
                <w:sz w:val="18"/>
                <w:szCs w:val="22"/>
                <w:lang w:val="es-ES_tradnl"/>
              </w:rPr>
            </w:pPr>
            <w:r w:rsidRPr="006A6E65">
              <w:rPr>
                <w:rFonts w:cs="Arial"/>
                <w:sz w:val="18"/>
                <w:szCs w:val="22"/>
                <w:lang w:val="es-ES_tradnl"/>
              </w:rPr>
              <w:t xml:space="preserve">Los programas de capacitación cuentan con información de satisfacción y seguimiento laboral </w:t>
            </w:r>
          </w:p>
        </w:tc>
        <w:tc>
          <w:tcPr>
            <w:tcW w:w="3354" w:type="dxa"/>
          </w:tcPr>
          <w:p w14:paraId="5F6795EC" w14:textId="77777777" w:rsidR="007B18CC" w:rsidRPr="006A6E65" w:rsidRDefault="007B18CC" w:rsidP="007B18CC">
            <w:pPr>
              <w:rPr>
                <w:rFonts w:cs="Arial"/>
                <w:sz w:val="18"/>
                <w:szCs w:val="22"/>
                <w:lang w:val="es-ES_tradnl"/>
              </w:rPr>
            </w:pPr>
            <w:r w:rsidRPr="006A6E65">
              <w:rPr>
                <w:rFonts w:cs="Arial"/>
                <w:sz w:val="18"/>
                <w:szCs w:val="22"/>
                <w:lang w:val="es-ES_tradnl"/>
              </w:rPr>
              <w:t>Nº de programas con encuestas de satisfacción y / seguimiento laboral aplicadas</w:t>
            </w:r>
          </w:p>
        </w:tc>
        <w:tc>
          <w:tcPr>
            <w:tcW w:w="1440" w:type="dxa"/>
            <w:shd w:val="clear" w:color="auto" w:fill="auto"/>
          </w:tcPr>
          <w:p w14:paraId="23EF5B46" w14:textId="77777777" w:rsidR="007B18CC" w:rsidRPr="006A6E65" w:rsidRDefault="007B18CC" w:rsidP="007B18CC">
            <w:pPr>
              <w:rPr>
                <w:rFonts w:cs="Arial"/>
                <w:sz w:val="18"/>
                <w:szCs w:val="22"/>
                <w:lang w:val="es-ES_tradnl"/>
              </w:rPr>
            </w:pPr>
            <w:r w:rsidRPr="006A6E65">
              <w:rPr>
                <w:rFonts w:cs="Arial"/>
                <w:sz w:val="18"/>
                <w:szCs w:val="22"/>
                <w:lang w:val="es-ES_tradnl"/>
              </w:rPr>
              <w:t>0% (2014)</w:t>
            </w:r>
          </w:p>
        </w:tc>
        <w:tc>
          <w:tcPr>
            <w:tcW w:w="1282" w:type="dxa"/>
            <w:shd w:val="clear" w:color="auto" w:fill="auto"/>
          </w:tcPr>
          <w:p w14:paraId="308D4C6B" w14:textId="77777777" w:rsidR="007B18CC" w:rsidRPr="006A6E65" w:rsidRDefault="007B18CC" w:rsidP="007B18CC">
            <w:pPr>
              <w:rPr>
                <w:rFonts w:cs="Arial"/>
                <w:sz w:val="18"/>
                <w:szCs w:val="22"/>
                <w:lang w:val="es-ES_tradnl"/>
              </w:rPr>
            </w:pPr>
            <w:r w:rsidRPr="006A6E65">
              <w:rPr>
                <w:rFonts w:cs="Arial"/>
                <w:sz w:val="18"/>
                <w:szCs w:val="22"/>
                <w:lang w:val="es-ES_tradnl"/>
              </w:rPr>
              <w:t>80%</w:t>
            </w:r>
          </w:p>
        </w:tc>
        <w:tc>
          <w:tcPr>
            <w:tcW w:w="1148" w:type="dxa"/>
            <w:shd w:val="clear" w:color="auto" w:fill="92D050"/>
          </w:tcPr>
          <w:p w14:paraId="37B9835B" w14:textId="77777777" w:rsidR="007B18CC" w:rsidRPr="006A6E65" w:rsidRDefault="007B18CC" w:rsidP="007B18CC">
            <w:pPr>
              <w:rPr>
                <w:rFonts w:cs="Arial"/>
                <w:sz w:val="18"/>
                <w:szCs w:val="22"/>
                <w:lang w:val="es-ES_tradnl"/>
              </w:rPr>
            </w:pPr>
            <w:r w:rsidRPr="006A6E65">
              <w:rPr>
                <w:rFonts w:cs="Arial"/>
                <w:sz w:val="18"/>
                <w:szCs w:val="22"/>
                <w:lang w:val="es-ES_tradnl"/>
              </w:rPr>
              <w:t>100%</w:t>
            </w:r>
          </w:p>
        </w:tc>
        <w:tc>
          <w:tcPr>
            <w:tcW w:w="2136" w:type="dxa"/>
          </w:tcPr>
          <w:p w14:paraId="62F115C5" w14:textId="77777777" w:rsidR="007B18CC" w:rsidRPr="006A6E65" w:rsidRDefault="007B18CC" w:rsidP="007B18CC">
            <w:pPr>
              <w:rPr>
                <w:rFonts w:cs="Arial"/>
                <w:sz w:val="18"/>
                <w:szCs w:val="22"/>
                <w:lang w:val="es-ES_tradnl"/>
              </w:rPr>
            </w:pPr>
            <w:r w:rsidRPr="006A6E65">
              <w:rPr>
                <w:rFonts w:cs="Arial"/>
                <w:sz w:val="18"/>
                <w:szCs w:val="22"/>
                <w:lang w:val="es-ES_tradnl"/>
              </w:rPr>
              <w:t>11 programas cuentan con encuestas de satisfacción y 2 con encuestas de seguimiento laboral</w:t>
            </w:r>
          </w:p>
          <w:p w14:paraId="55DD0CFE" w14:textId="11D51D3F"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Unidad de Desarrollo Estratégico </w:t>
            </w:r>
          </w:p>
        </w:tc>
      </w:tr>
    </w:tbl>
    <w:p w14:paraId="55E1C9CE" w14:textId="77777777" w:rsidR="007B18CC" w:rsidRPr="006A6E65" w:rsidRDefault="007B18CC" w:rsidP="007B18CC">
      <w:pPr>
        <w:rPr>
          <w:rFonts w:cs="Arial"/>
          <w:b/>
          <w:bCs/>
          <w:lang w:val="es-ES_tradnl"/>
        </w:rPr>
      </w:pPr>
    </w:p>
    <w:p w14:paraId="7F78D197" w14:textId="20D63CA8" w:rsidR="007B18CC" w:rsidRPr="006A6E65" w:rsidRDefault="007B18CC" w:rsidP="007B18CC">
      <w:pPr>
        <w:rPr>
          <w:rFonts w:cs="Arial"/>
          <w:b/>
          <w:bCs/>
          <w:sz w:val="20"/>
          <w:lang w:val="es-ES_tradnl"/>
        </w:rPr>
      </w:pPr>
      <w:r w:rsidRPr="006A6E65">
        <w:rPr>
          <w:rFonts w:cs="Arial"/>
          <w:b/>
          <w:bCs/>
          <w:sz w:val="20"/>
          <w:lang w:val="es-ES_tradnl"/>
        </w:rPr>
        <w:t>COMPONENTE 2: Apoyo a la mejora de la calidad y pertinencia de los programas de capacitación del SENCE</w:t>
      </w:r>
    </w:p>
    <w:tbl>
      <w:tblPr>
        <w:tblStyle w:val="TableGrid"/>
        <w:tblW w:w="15109" w:type="dxa"/>
        <w:tblInd w:w="-1081" w:type="dxa"/>
        <w:tblLayout w:type="fixed"/>
        <w:tblLook w:val="04A0" w:firstRow="1" w:lastRow="0" w:firstColumn="1" w:lastColumn="0" w:noHBand="0" w:noVBand="1"/>
      </w:tblPr>
      <w:tblGrid>
        <w:gridCol w:w="1796"/>
        <w:gridCol w:w="3960"/>
        <w:gridCol w:w="3341"/>
        <w:gridCol w:w="1530"/>
        <w:gridCol w:w="1242"/>
        <w:gridCol w:w="1170"/>
        <w:gridCol w:w="2070"/>
      </w:tblGrid>
      <w:tr w:rsidR="007B18CC" w:rsidRPr="006A6E65" w14:paraId="57084B8C" w14:textId="77777777" w:rsidTr="006A6E65">
        <w:trPr>
          <w:cantSplit/>
          <w:tblHeader/>
        </w:trPr>
        <w:tc>
          <w:tcPr>
            <w:tcW w:w="1796" w:type="dxa"/>
            <w:shd w:val="clear" w:color="auto" w:fill="F2F2F2" w:themeFill="background1" w:themeFillShade="F2"/>
          </w:tcPr>
          <w:p w14:paraId="590D9D91"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Actividad/producto</w:t>
            </w:r>
          </w:p>
        </w:tc>
        <w:tc>
          <w:tcPr>
            <w:tcW w:w="3960" w:type="dxa"/>
            <w:shd w:val="clear" w:color="auto" w:fill="F2F2F2" w:themeFill="background1" w:themeFillShade="F2"/>
          </w:tcPr>
          <w:p w14:paraId="7A62AC7F" w14:textId="5DE74F98" w:rsidR="007B18CC" w:rsidRPr="006A6E65" w:rsidRDefault="007B18CC" w:rsidP="007B18CC">
            <w:pPr>
              <w:rPr>
                <w:rFonts w:cs="Arial"/>
                <w:b/>
                <w:bCs/>
                <w:sz w:val="18"/>
                <w:szCs w:val="22"/>
                <w:lang w:val="es-ES_tradnl"/>
              </w:rPr>
            </w:pPr>
            <w:r w:rsidRPr="006A6E65">
              <w:rPr>
                <w:rFonts w:cs="Arial"/>
                <w:b/>
                <w:bCs/>
                <w:sz w:val="18"/>
                <w:szCs w:val="22"/>
                <w:lang w:val="es-ES_tradnl"/>
              </w:rPr>
              <w:t>Resultado intermedio</w:t>
            </w:r>
          </w:p>
        </w:tc>
        <w:tc>
          <w:tcPr>
            <w:tcW w:w="3341" w:type="dxa"/>
            <w:shd w:val="clear" w:color="auto" w:fill="F2F2F2" w:themeFill="background1" w:themeFillShade="F2"/>
          </w:tcPr>
          <w:p w14:paraId="368088C3"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Indicador</w:t>
            </w:r>
          </w:p>
        </w:tc>
        <w:tc>
          <w:tcPr>
            <w:tcW w:w="1530" w:type="dxa"/>
            <w:shd w:val="clear" w:color="auto" w:fill="F2F2F2" w:themeFill="background1" w:themeFillShade="F2"/>
          </w:tcPr>
          <w:p w14:paraId="7C0B67CB"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Línea de base</w:t>
            </w:r>
          </w:p>
        </w:tc>
        <w:tc>
          <w:tcPr>
            <w:tcW w:w="1242" w:type="dxa"/>
            <w:shd w:val="clear" w:color="auto" w:fill="F2F2F2" w:themeFill="background1" w:themeFillShade="F2"/>
          </w:tcPr>
          <w:p w14:paraId="5C99D779"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Meta</w:t>
            </w:r>
          </w:p>
        </w:tc>
        <w:tc>
          <w:tcPr>
            <w:tcW w:w="1170" w:type="dxa"/>
            <w:shd w:val="clear" w:color="auto" w:fill="F2F2F2" w:themeFill="background1" w:themeFillShade="F2"/>
          </w:tcPr>
          <w:p w14:paraId="14EC1932"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Logro</w:t>
            </w:r>
          </w:p>
        </w:tc>
        <w:tc>
          <w:tcPr>
            <w:tcW w:w="2070" w:type="dxa"/>
            <w:shd w:val="clear" w:color="auto" w:fill="F2F2F2" w:themeFill="background1" w:themeFillShade="F2"/>
          </w:tcPr>
          <w:p w14:paraId="408F5DA5" w14:textId="77777777" w:rsidR="007B18CC" w:rsidRPr="006A6E65" w:rsidRDefault="007B18CC" w:rsidP="007B18CC">
            <w:pPr>
              <w:jc w:val="center"/>
              <w:rPr>
                <w:rFonts w:cs="Arial"/>
                <w:b/>
                <w:bCs/>
                <w:sz w:val="18"/>
                <w:szCs w:val="22"/>
                <w:lang w:val="es-ES_tradnl"/>
              </w:rPr>
            </w:pPr>
            <w:r w:rsidRPr="006A6E65">
              <w:rPr>
                <w:rFonts w:cs="Arial"/>
                <w:b/>
                <w:bCs/>
                <w:sz w:val="18"/>
                <w:szCs w:val="22"/>
                <w:lang w:val="es-ES_tradnl"/>
              </w:rPr>
              <w:t>Comentarios</w:t>
            </w:r>
          </w:p>
        </w:tc>
      </w:tr>
      <w:tr w:rsidR="007B18CC" w:rsidRPr="006A6E65" w14:paraId="1FE6B5F4" w14:textId="77777777" w:rsidTr="006A6E65">
        <w:tc>
          <w:tcPr>
            <w:tcW w:w="1796" w:type="dxa"/>
          </w:tcPr>
          <w:p w14:paraId="74471412" w14:textId="77777777" w:rsidR="007B18CC" w:rsidRPr="006A6E65" w:rsidRDefault="007B18CC" w:rsidP="007B18CC">
            <w:pPr>
              <w:rPr>
                <w:rFonts w:cs="Arial"/>
                <w:sz w:val="18"/>
                <w:szCs w:val="22"/>
                <w:lang w:val="es-ES_tradnl"/>
              </w:rPr>
            </w:pPr>
            <w:r w:rsidRPr="006A6E65">
              <w:rPr>
                <w:rFonts w:cs="Arial"/>
                <w:sz w:val="18"/>
                <w:szCs w:val="22"/>
                <w:lang w:val="es-ES_tradnl"/>
              </w:rPr>
              <w:t>Observatorio Laboral</w:t>
            </w:r>
          </w:p>
        </w:tc>
        <w:tc>
          <w:tcPr>
            <w:tcW w:w="3960" w:type="dxa"/>
          </w:tcPr>
          <w:p w14:paraId="65D9EB0D" w14:textId="77777777" w:rsidR="007B18CC" w:rsidRPr="006A6E65" w:rsidRDefault="007B18CC" w:rsidP="007B18CC">
            <w:pPr>
              <w:pStyle w:val="ListParagraph"/>
              <w:numPr>
                <w:ilvl w:val="0"/>
                <w:numId w:val="5"/>
              </w:numPr>
              <w:rPr>
                <w:rFonts w:cs="Arial"/>
                <w:sz w:val="18"/>
                <w:szCs w:val="22"/>
                <w:lang w:val="es-ES_tradnl"/>
              </w:rPr>
            </w:pPr>
            <w:r w:rsidRPr="006A6E65">
              <w:rPr>
                <w:rFonts w:cs="Arial"/>
                <w:sz w:val="18"/>
                <w:szCs w:val="22"/>
                <w:lang w:val="es-ES_tradnl"/>
              </w:rPr>
              <w:t>Cobertura territorial de los observatorios laborales aumentada</w:t>
            </w:r>
          </w:p>
          <w:p w14:paraId="741B3CF1" w14:textId="77777777" w:rsidR="007B18CC" w:rsidRPr="006A6E65" w:rsidRDefault="007B18CC" w:rsidP="007B18CC">
            <w:pPr>
              <w:rPr>
                <w:rFonts w:cs="Arial"/>
                <w:b/>
                <w:sz w:val="18"/>
                <w:szCs w:val="22"/>
                <w:lang w:val="es-ES_tradnl"/>
              </w:rPr>
            </w:pPr>
          </w:p>
        </w:tc>
        <w:tc>
          <w:tcPr>
            <w:tcW w:w="3341" w:type="dxa"/>
          </w:tcPr>
          <w:p w14:paraId="53FDE6FB" w14:textId="77777777" w:rsidR="007B18CC" w:rsidRPr="006A6E65" w:rsidRDefault="007B18CC" w:rsidP="007B18CC">
            <w:pPr>
              <w:pStyle w:val="ListParagraph"/>
              <w:ind w:left="360"/>
              <w:rPr>
                <w:rFonts w:cs="Arial"/>
                <w:sz w:val="18"/>
                <w:szCs w:val="22"/>
                <w:lang w:val="es-ES_tradnl"/>
              </w:rPr>
            </w:pPr>
            <w:r w:rsidRPr="006A6E65">
              <w:rPr>
                <w:rFonts w:cs="Arial"/>
                <w:sz w:val="18"/>
                <w:szCs w:val="22"/>
                <w:lang w:val="es-ES_tradnl"/>
              </w:rPr>
              <w:t>Número de regiones con observatorios laborales funcionando</w:t>
            </w:r>
          </w:p>
        </w:tc>
        <w:tc>
          <w:tcPr>
            <w:tcW w:w="1530" w:type="dxa"/>
          </w:tcPr>
          <w:p w14:paraId="4E9307B8" w14:textId="77777777" w:rsidR="007B18CC" w:rsidRPr="006A6E65" w:rsidRDefault="007B18CC" w:rsidP="007B18CC">
            <w:pPr>
              <w:rPr>
                <w:rFonts w:cs="Arial"/>
                <w:sz w:val="18"/>
                <w:szCs w:val="22"/>
                <w:lang w:val="es-ES_tradnl"/>
              </w:rPr>
            </w:pPr>
            <w:r w:rsidRPr="006A6E65">
              <w:rPr>
                <w:rFonts w:cs="Arial"/>
                <w:sz w:val="18"/>
                <w:szCs w:val="22"/>
                <w:lang w:val="es-ES_tradnl"/>
              </w:rPr>
              <w:t>Enero 2015: 0</w:t>
            </w:r>
          </w:p>
        </w:tc>
        <w:tc>
          <w:tcPr>
            <w:tcW w:w="1242" w:type="dxa"/>
          </w:tcPr>
          <w:p w14:paraId="799C0431" w14:textId="77777777" w:rsidR="007B18CC" w:rsidRPr="006A6E65" w:rsidRDefault="007B18CC" w:rsidP="007B18CC">
            <w:pPr>
              <w:rPr>
                <w:rFonts w:cs="Arial"/>
                <w:sz w:val="18"/>
                <w:szCs w:val="22"/>
                <w:lang w:val="es-ES_tradnl"/>
              </w:rPr>
            </w:pPr>
            <w:r w:rsidRPr="006A6E65">
              <w:rPr>
                <w:rFonts w:cs="Arial"/>
                <w:sz w:val="18"/>
                <w:szCs w:val="22"/>
                <w:lang w:val="es-ES_tradnl"/>
              </w:rPr>
              <w:t>10</w:t>
            </w:r>
          </w:p>
        </w:tc>
        <w:tc>
          <w:tcPr>
            <w:tcW w:w="1170" w:type="dxa"/>
            <w:shd w:val="clear" w:color="auto" w:fill="92D050"/>
          </w:tcPr>
          <w:p w14:paraId="7159D0A5" w14:textId="77777777" w:rsidR="007B18CC" w:rsidRPr="006A6E65" w:rsidRDefault="007B18CC" w:rsidP="007B18CC">
            <w:pPr>
              <w:rPr>
                <w:rFonts w:cs="Arial"/>
                <w:sz w:val="18"/>
                <w:szCs w:val="22"/>
                <w:lang w:val="es-ES_tradnl"/>
              </w:rPr>
            </w:pPr>
            <w:r w:rsidRPr="006A6E65">
              <w:rPr>
                <w:rFonts w:cs="Arial"/>
                <w:sz w:val="18"/>
                <w:szCs w:val="22"/>
                <w:lang w:val="es-ES_tradnl"/>
              </w:rPr>
              <w:t>11</w:t>
            </w:r>
          </w:p>
        </w:tc>
        <w:tc>
          <w:tcPr>
            <w:tcW w:w="2070" w:type="dxa"/>
          </w:tcPr>
          <w:p w14:paraId="1DA64C18" w14:textId="77777777"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Unidad de Observatorio Laboral</w:t>
            </w:r>
          </w:p>
          <w:p w14:paraId="0FC1FBD4" w14:textId="77777777" w:rsidR="007B18CC" w:rsidRPr="006A6E65" w:rsidRDefault="007B18CC" w:rsidP="007B18CC">
            <w:pPr>
              <w:rPr>
                <w:rFonts w:cs="Arial"/>
                <w:color w:val="FF0000"/>
                <w:sz w:val="18"/>
                <w:szCs w:val="22"/>
                <w:lang w:val="es-ES_tradnl"/>
              </w:rPr>
            </w:pPr>
          </w:p>
        </w:tc>
      </w:tr>
      <w:tr w:rsidR="007B18CC" w:rsidRPr="006A6E65" w14:paraId="75569959" w14:textId="77777777" w:rsidTr="006A6E65">
        <w:tc>
          <w:tcPr>
            <w:tcW w:w="1796" w:type="dxa"/>
          </w:tcPr>
          <w:p w14:paraId="70DF257C" w14:textId="77777777" w:rsidR="007B18CC" w:rsidRPr="006A6E65" w:rsidRDefault="007B18CC" w:rsidP="007B18CC">
            <w:pPr>
              <w:rPr>
                <w:rFonts w:cs="Arial"/>
                <w:sz w:val="18"/>
                <w:szCs w:val="22"/>
                <w:lang w:val="es-ES_tradnl"/>
              </w:rPr>
            </w:pPr>
            <w:r w:rsidRPr="006A6E65">
              <w:rPr>
                <w:rFonts w:cs="Arial"/>
                <w:sz w:val="18"/>
                <w:szCs w:val="22"/>
                <w:lang w:val="es-ES_tradnl"/>
              </w:rPr>
              <w:t>Proyecto piloto de Intermediación Laboral</w:t>
            </w:r>
          </w:p>
        </w:tc>
        <w:tc>
          <w:tcPr>
            <w:tcW w:w="3960" w:type="dxa"/>
          </w:tcPr>
          <w:p w14:paraId="3BADE9B4" w14:textId="77777777" w:rsidR="007B18CC" w:rsidRPr="006A6E65" w:rsidRDefault="007B18CC" w:rsidP="007B18CC">
            <w:pPr>
              <w:pStyle w:val="ListParagraph"/>
              <w:numPr>
                <w:ilvl w:val="0"/>
                <w:numId w:val="5"/>
              </w:numPr>
              <w:rPr>
                <w:rFonts w:cs="Arial"/>
                <w:sz w:val="18"/>
                <w:szCs w:val="22"/>
                <w:lang w:val="es-ES_tradnl"/>
              </w:rPr>
            </w:pPr>
            <w:r w:rsidRPr="006A6E65">
              <w:rPr>
                <w:rFonts w:cs="Arial"/>
                <w:sz w:val="18"/>
                <w:szCs w:val="22"/>
                <w:lang w:val="es-ES_tradnl"/>
              </w:rPr>
              <w:t>Número de OMILs con un modelo de prestación de servicios de intermediación laboral fortalecido</w:t>
            </w:r>
          </w:p>
        </w:tc>
        <w:tc>
          <w:tcPr>
            <w:tcW w:w="3341" w:type="dxa"/>
          </w:tcPr>
          <w:p w14:paraId="19EB6859" w14:textId="3E64C77C" w:rsidR="007B18CC" w:rsidRPr="006A6E65" w:rsidRDefault="007B18CC" w:rsidP="007B18CC">
            <w:pPr>
              <w:pStyle w:val="ListParagraph"/>
              <w:ind w:left="360"/>
              <w:rPr>
                <w:rFonts w:cs="Arial"/>
                <w:sz w:val="18"/>
                <w:szCs w:val="22"/>
                <w:lang w:val="es-ES_tradnl"/>
              </w:rPr>
            </w:pPr>
            <w:r w:rsidRPr="006A6E65">
              <w:rPr>
                <w:rFonts w:cs="Arial"/>
                <w:sz w:val="18"/>
                <w:szCs w:val="22"/>
                <w:lang w:val="es-ES_tradnl"/>
              </w:rPr>
              <w:t xml:space="preserve">Número de OMILs que adoptaron nuevos procesos de intermediación laboral a través del FOMIL </w:t>
            </w:r>
            <w:r w:rsidR="006A6E65" w:rsidRPr="006A6E65">
              <w:rPr>
                <w:rFonts w:cs="Arial"/>
                <w:sz w:val="18"/>
                <w:szCs w:val="22"/>
                <w:lang w:val="es-ES_tradnl"/>
              </w:rPr>
              <w:t>círculo</w:t>
            </w:r>
            <w:r w:rsidRPr="006A6E65">
              <w:rPr>
                <w:rFonts w:cs="Arial"/>
                <w:sz w:val="18"/>
                <w:szCs w:val="22"/>
                <w:lang w:val="es-ES_tradnl"/>
              </w:rPr>
              <w:t xml:space="preserve"> de empleo</w:t>
            </w:r>
          </w:p>
        </w:tc>
        <w:tc>
          <w:tcPr>
            <w:tcW w:w="1530" w:type="dxa"/>
            <w:shd w:val="clear" w:color="auto" w:fill="auto"/>
          </w:tcPr>
          <w:p w14:paraId="770EDC85" w14:textId="77777777" w:rsidR="007B18CC" w:rsidRPr="006A6E65" w:rsidRDefault="007B18CC" w:rsidP="007B18CC">
            <w:pPr>
              <w:rPr>
                <w:rFonts w:cs="Arial"/>
                <w:sz w:val="18"/>
                <w:szCs w:val="22"/>
                <w:lang w:val="es-ES_tradnl"/>
              </w:rPr>
            </w:pPr>
            <w:r w:rsidRPr="006A6E65">
              <w:rPr>
                <w:rFonts w:cs="Arial"/>
                <w:sz w:val="18"/>
                <w:szCs w:val="22"/>
                <w:lang w:val="es-ES_tradnl"/>
              </w:rPr>
              <w:t>Enero 2016: 0</w:t>
            </w:r>
          </w:p>
        </w:tc>
        <w:tc>
          <w:tcPr>
            <w:tcW w:w="1242" w:type="dxa"/>
            <w:shd w:val="clear" w:color="auto" w:fill="auto"/>
          </w:tcPr>
          <w:p w14:paraId="102ED161" w14:textId="77777777" w:rsidR="007B18CC" w:rsidRPr="006A6E65" w:rsidRDefault="007B18CC" w:rsidP="007B18CC">
            <w:pPr>
              <w:rPr>
                <w:rFonts w:cs="Arial"/>
                <w:sz w:val="18"/>
                <w:szCs w:val="22"/>
                <w:lang w:val="es-ES_tradnl"/>
              </w:rPr>
            </w:pPr>
            <w:r w:rsidRPr="006A6E65">
              <w:rPr>
                <w:rFonts w:cs="Arial"/>
                <w:sz w:val="18"/>
                <w:szCs w:val="22"/>
                <w:lang w:val="es-ES_tradnl"/>
              </w:rPr>
              <w:t>31</w:t>
            </w:r>
          </w:p>
        </w:tc>
        <w:tc>
          <w:tcPr>
            <w:tcW w:w="1170" w:type="dxa"/>
            <w:shd w:val="clear" w:color="auto" w:fill="92D050"/>
          </w:tcPr>
          <w:p w14:paraId="6F2341D7" w14:textId="77777777" w:rsidR="007B18CC" w:rsidRPr="006A6E65" w:rsidRDefault="007B18CC" w:rsidP="007B18CC">
            <w:pPr>
              <w:rPr>
                <w:rFonts w:cs="Arial"/>
                <w:sz w:val="18"/>
                <w:szCs w:val="22"/>
                <w:lang w:val="es-ES_tradnl"/>
              </w:rPr>
            </w:pPr>
            <w:r w:rsidRPr="006A6E65">
              <w:rPr>
                <w:rFonts w:cs="Arial"/>
                <w:sz w:val="18"/>
                <w:szCs w:val="22"/>
                <w:lang w:val="es-ES_tradnl"/>
              </w:rPr>
              <w:t>31</w:t>
            </w:r>
          </w:p>
        </w:tc>
        <w:tc>
          <w:tcPr>
            <w:tcW w:w="2070" w:type="dxa"/>
          </w:tcPr>
          <w:p w14:paraId="36A1B983" w14:textId="77777777"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Unidad de intermediación laboral</w:t>
            </w:r>
          </w:p>
        </w:tc>
      </w:tr>
      <w:tr w:rsidR="007B18CC" w:rsidRPr="006A6E65" w14:paraId="01C920A4" w14:textId="77777777" w:rsidTr="006A6E65">
        <w:tc>
          <w:tcPr>
            <w:tcW w:w="1796" w:type="dxa"/>
            <w:vAlign w:val="center"/>
          </w:tcPr>
          <w:p w14:paraId="1645E578" w14:textId="77777777" w:rsidR="007B18CC" w:rsidRPr="006A6E65" w:rsidRDefault="007B18CC" w:rsidP="007B18CC">
            <w:pPr>
              <w:rPr>
                <w:rFonts w:cs="Arial"/>
                <w:sz w:val="18"/>
                <w:szCs w:val="22"/>
                <w:lang w:val="es-ES_tradnl"/>
              </w:rPr>
            </w:pPr>
            <w:r w:rsidRPr="006A6E65">
              <w:rPr>
                <w:rFonts w:cs="Arial"/>
                <w:sz w:val="18"/>
                <w:szCs w:val="22"/>
                <w:lang w:val="es-ES_tradnl"/>
              </w:rPr>
              <w:t>Diagnóstico habilidades</w:t>
            </w:r>
          </w:p>
        </w:tc>
        <w:tc>
          <w:tcPr>
            <w:tcW w:w="3960" w:type="dxa"/>
          </w:tcPr>
          <w:p w14:paraId="1280E312" w14:textId="77777777" w:rsidR="007B18CC" w:rsidRPr="006A6E65" w:rsidRDefault="007B18CC" w:rsidP="007B18CC">
            <w:pPr>
              <w:pStyle w:val="ListParagraph"/>
              <w:numPr>
                <w:ilvl w:val="0"/>
                <w:numId w:val="5"/>
              </w:numPr>
              <w:rPr>
                <w:rFonts w:cs="Arial"/>
                <w:sz w:val="18"/>
                <w:szCs w:val="22"/>
                <w:lang w:val="es-ES_tradnl"/>
              </w:rPr>
            </w:pPr>
            <w:r w:rsidRPr="006A6E65">
              <w:rPr>
                <w:rFonts w:cs="Arial"/>
                <w:sz w:val="18"/>
                <w:szCs w:val="22"/>
                <w:lang w:val="es-ES_tradnl"/>
              </w:rPr>
              <w:t>Aplicación del instrumento de diagnóstico de habilidades a beneficiarios de la capacitación (Franquicia Tributaria y Programas Sociales)</w:t>
            </w:r>
          </w:p>
        </w:tc>
        <w:tc>
          <w:tcPr>
            <w:tcW w:w="3341" w:type="dxa"/>
          </w:tcPr>
          <w:p w14:paraId="44E050A2" w14:textId="213BCD1E" w:rsidR="007B18CC" w:rsidRPr="006A6E65" w:rsidRDefault="007B18CC" w:rsidP="003F4461">
            <w:pPr>
              <w:pStyle w:val="ListParagraph"/>
              <w:ind w:left="360"/>
              <w:rPr>
                <w:rFonts w:cs="Arial"/>
                <w:sz w:val="18"/>
                <w:szCs w:val="22"/>
                <w:lang w:val="es-ES_tradnl"/>
              </w:rPr>
            </w:pPr>
            <w:r w:rsidRPr="006A6E65">
              <w:rPr>
                <w:rFonts w:cs="Arial"/>
                <w:sz w:val="18"/>
                <w:szCs w:val="22"/>
                <w:lang w:val="es-ES_tradnl"/>
              </w:rPr>
              <w:t xml:space="preserve">Número de egresados de los programas a los que se le aplica el test de competencias transversales sobre el total de egresados </w:t>
            </w:r>
          </w:p>
        </w:tc>
        <w:tc>
          <w:tcPr>
            <w:tcW w:w="1530" w:type="dxa"/>
            <w:shd w:val="clear" w:color="auto" w:fill="auto"/>
          </w:tcPr>
          <w:p w14:paraId="6C823423" w14:textId="77777777" w:rsidR="007B18CC" w:rsidRPr="006A6E65" w:rsidRDefault="007B18CC" w:rsidP="007B18CC">
            <w:pPr>
              <w:rPr>
                <w:rFonts w:cs="Arial"/>
                <w:sz w:val="18"/>
                <w:szCs w:val="22"/>
                <w:lang w:val="es-ES_tradnl"/>
              </w:rPr>
            </w:pPr>
            <w:r w:rsidRPr="006A6E65">
              <w:rPr>
                <w:rFonts w:cs="Arial"/>
                <w:sz w:val="18"/>
                <w:szCs w:val="22"/>
                <w:lang w:val="es-ES_tradnl"/>
              </w:rPr>
              <w:t xml:space="preserve">Octubre 2013: </w:t>
            </w:r>
          </w:p>
          <w:p w14:paraId="5A170206" w14:textId="77777777" w:rsidR="007B18CC" w:rsidRPr="006A6E65" w:rsidRDefault="007B18CC" w:rsidP="007B18CC">
            <w:pPr>
              <w:rPr>
                <w:rFonts w:cs="Arial"/>
                <w:sz w:val="18"/>
                <w:szCs w:val="22"/>
                <w:lang w:val="es-ES_tradnl"/>
              </w:rPr>
            </w:pPr>
            <w:r w:rsidRPr="006A6E65">
              <w:rPr>
                <w:rFonts w:cs="Arial"/>
                <w:sz w:val="18"/>
                <w:szCs w:val="22"/>
                <w:lang w:val="es-ES_tradnl"/>
              </w:rPr>
              <w:t>0</w:t>
            </w:r>
          </w:p>
        </w:tc>
        <w:tc>
          <w:tcPr>
            <w:tcW w:w="1242" w:type="dxa"/>
            <w:shd w:val="clear" w:color="auto" w:fill="auto"/>
          </w:tcPr>
          <w:p w14:paraId="3FB57BD1" w14:textId="77777777" w:rsidR="007B18CC" w:rsidRPr="006A6E65" w:rsidRDefault="007B18CC" w:rsidP="007B18CC">
            <w:pPr>
              <w:rPr>
                <w:rFonts w:cs="Arial"/>
                <w:sz w:val="18"/>
                <w:szCs w:val="22"/>
                <w:lang w:val="es-ES_tradnl"/>
              </w:rPr>
            </w:pPr>
            <w:r w:rsidRPr="006A6E65">
              <w:rPr>
                <w:rFonts w:cs="Arial"/>
                <w:sz w:val="18"/>
                <w:szCs w:val="22"/>
                <w:lang w:val="es-ES_tradnl"/>
              </w:rPr>
              <w:t xml:space="preserve"> 1.900.000</w:t>
            </w:r>
          </w:p>
        </w:tc>
        <w:tc>
          <w:tcPr>
            <w:tcW w:w="1170" w:type="dxa"/>
            <w:shd w:val="clear" w:color="auto" w:fill="E94545"/>
          </w:tcPr>
          <w:p w14:paraId="305BE063" w14:textId="77777777" w:rsidR="007B18CC" w:rsidRPr="006A6E65" w:rsidRDefault="007B18CC" w:rsidP="007B18CC">
            <w:pPr>
              <w:rPr>
                <w:rFonts w:cs="Arial"/>
                <w:sz w:val="18"/>
                <w:szCs w:val="22"/>
                <w:lang w:val="es-ES_tradnl"/>
              </w:rPr>
            </w:pPr>
            <w:r w:rsidRPr="006A6E65">
              <w:rPr>
                <w:rFonts w:cs="Arial"/>
                <w:sz w:val="18"/>
                <w:szCs w:val="22"/>
                <w:lang w:val="es-ES_tradnl"/>
              </w:rPr>
              <w:t>10,637</w:t>
            </w:r>
          </w:p>
        </w:tc>
        <w:tc>
          <w:tcPr>
            <w:tcW w:w="2070" w:type="dxa"/>
          </w:tcPr>
          <w:p w14:paraId="79530A90" w14:textId="77777777" w:rsidR="007B18CC" w:rsidRPr="006A6E65" w:rsidRDefault="007B18CC" w:rsidP="007B18CC">
            <w:pPr>
              <w:rPr>
                <w:rFonts w:cs="Arial"/>
                <w:color w:val="FF0000"/>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Informes del MideUC</w:t>
            </w:r>
          </w:p>
        </w:tc>
      </w:tr>
      <w:tr w:rsidR="007B18CC" w:rsidRPr="006A6E65" w14:paraId="768B0DEE" w14:textId="77777777" w:rsidTr="006A6E65">
        <w:tc>
          <w:tcPr>
            <w:tcW w:w="1796" w:type="dxa"/>
          </w:tcPr>
          <w:p w14:paraId="1BF5DD77" w14:textId="77777777" w:rsidR="007B18CC" w:rsidRPr="006A6E65" w:rsidRDefault="007B18CC" w:rsidP="007B18CC">
            <w:pPr>
              <w:rPr>
                <w:rFonts w:cs="Arial"/>
                <w:sz w:val="18"/>
                <w:szCs w:val="22"/>
                <w:lang w:val="es-ES_tradnl"/>
              </w:rPr>
            </w:pPr>
            <w:r w:rsidRPr="006A6E65">
              <w:rPr>
                <w:rFonts w:cs="Arial"/>
                <w:sz w:val="18"/>
                <w:szCs w:val="22"/>
                <w:lang w:val="es-ES_tradnl"/>
              </w:rPr>
              <w:t>Nuevo modelo de fiscalización (matriz de riesgos)</w:t>
            </w:r>
          </w:p>
        </w:tc>
        <w:tc>
          <w:tcPr>
            <w:tcW w:w="3960" w:type="dxa"/>
          </w:tcPr>
          <w:p w14:paraId="5BB971DD" w14:textId="0E38C00F" w:rsidR="007B18CC" w:rsidRPr="006A6E65" w:rsidRDefault="007B18CC" w:rsidP="003F4461">
            <w:pPr>
              <w:rPr>
                <w:rFonts w:cs="Arial"/>
                <w:b/>
                <w:sz w:val="18"/>
                <w:szCs w:val="22"/>
                <w:lang w:val="es-ES_tradnl"/>
              </w:rPr>
            </w:pPr>
            <w:r w:rsidRPr="006A6E65">
              <w:rPr>
                <w:rFonts w:cs="Arial"/>
                <w:sz w:val="18"/>
                <w:szCs w:val="22"/>
                <w:lang w:val="es-ES_tradnl"/>
              </w:rPr>
              <w:t>7. Incremento del grado de utilización de la matriz de riesgo en los planes de trabajo (cargas de trabajo) de los equipos regionales de fiscalización</w:t>
            </w:r>
          </w:p>
        </w:tc>
        <w:tc>
          <w:tcPr>
            <w:tcW w:w="3341" w:type="dxa"/>
          </w:tcPr>
          <w:p w14:paraId="74520D37" w14:textId="77777777" w:rsidR="007B18CC" w:rsidRPr="006A6E65" w:rsidRDefault="007B18CC" w:rsidP="007B18CC">
            <w:pPr>
              <w:pStyle w:val="ListParagraph"/>
              <w:ind w:left="360"/>
              <w:rPr>
                <w:rFonts w:cs="Arial"/>
                <w:sz w:val="18"/>
                <w:szCs w:val="22"/>
                <w:lang w:val="es-ES_tradnl"/>
              </w:rPr>
            </w:pPr>
            <w:r w:rsidRPr="006A6E65">
              <w:rPr>
                <w:rFonts w:cs="Arial"/>
                <w:sz w:val="18"/>
                <w:szCs w:val="22"/>
                <w:lang w:val="es-ES_tradnl"/>
              </w:rPr>
              <w:t>% de OTEC incluidos en los planes de fiscalización, que aparecen priorizados en el ranking de la matriz de riesgo en los niveles 3, 4 y 5</w:t>
            </w:r>
          </w:p>
        </w:tc>
        <w:tc>
          <w:tcPr>
            <w:tcW w:w="1530" w:type="dxa"/>
            <w:shd w:val="clear" w:color="auto" w:fill="auto"/>
          </w:tcPr>
          <w:p w14:paraId="0AD1E055" w14:textId="77777777" w:rsidR="007B18CC" w:rsidRPr="006A6E65" w:rsidRDefault="007B18CC" w:rsidP="007B18CC">
            <w:pPr>
              <w:rPr>
                <w:rFonts w:cs="Arial"/>
                <w:sz w:val="18"/>
                <w:szCs w:val="22"/>
                <w:lang w:val="es-ES_tradnl"/>
              </w:rPr>
            </w:pPr>
            <w:r w:rsidRPr="006A6E65">
              <w:rPr>
                <w:rFonts w:cs="Arial"/>
                <w:sz w:val="18"/>
                <w:szCs w:val="22"/>
                <w:lang w:val="es-ES_tradnl"/>
              </w:rPr>
              <w:t>Septiembre 2016: 0%</w:t>
            </w:r>
          </w:p>
        </w:tc>
        <w:tc>
          <w:tcPr>
            <w:tcW w:w="1242" w:type="dxa"/>
            <w:shd w:val="clear" w:color="auto" w:fill="auto"/>
          </w:tcPr>
          <w:p w14:paraId="3097DF57" w14:textId="502DD9F0" w:rsidR="007B18CC" w:rsidRPr="006A6E65" w:rsidRDefault="0073403E" w:rsidP="007B18CC">
            <w:pPr>
              <w:rPr>
                <w:rFonts w:cs="Arial"/>
                <w:sz w:val="18"/>
                <w:szCs w:val="22"/>
                <w:lang w:val="es-ES_tradnl"/>
              </w:rPr>
            </w:pPr>
            <w:r w:rsidRPr="006A6E65">
              <w:rPr>
                <w:rFonts w:cs="Arial"/>
                <w:sz w:val="18"/>
                <w:szCs w:val="22"/>
                <w:lang w:val="es-ES_tradnl"/>
              </w:rPr>
              <w:t>25</w:t>
            </w:r>
            <w:r w:rsidR="007B18CC" w:rsidRPr="006A6E65">
              <w:rPr>
                <w:rFonts w:cs="Arial"/>
                <w:sz w:val="18"/>
                <w:szCs w:val="22"/>
                <w:lang w:val="es-ES_tradnl"/>
              </w:rPr>
              <w:t>%</w:t>
            </w:r>
          </w:p>
        </w:tc>
        <w:tc>
          <w:tcPr>
            <w:tcW w:w="1170" w:type="dxa"/>
            <w:shd w:val="clear" w:color="auto" w:fill="92D050"/>
          </w:tcPr>
          <w:p w14:paraId="4D5FEADD" w14:textId="2905BEB5" w:rsidR="007B18CC" w:rsidRPr="006A6E65" w:rsidRDefault="0073403E" w:rsidP="007B18CC">
            <w:pPr>
              <w:rPr>
                <w:rFonts w:cs="Arial"/>
                <w:sz w:val="18"/>
                <w:szCs w:val="22"/>
                <w:lang w:val="es-ES_tradnl"/>
              </w:rPr>
            </w:pPr>
            <w:r w:rsidRPr="006A6E65">
              <w:rPr>
                <w:rFonts w:cs="Arial"/>
                <w:sz w:val="18"/>
                <w:szCs w:val="22"/>
                <w:lang w:val="es-ES_tradnl"/>
              </w:rPr>
              <w:t>58</w:t>
            </w:r>
            <w:r w:rsidR="007B18CC" w:rsidRPr="006A6E65">
              <w:rPr>
                <w:rFonts w:cs="Arial"/>
                <w:sz w:val="18"/>
                <w:szCs w:val="22"/>
                <w:lang w:val="es-ES_tradnl"/>
              </w:rPr>
              <w:t>%</w:t>
            </w:r>
          </w:p>
        </w:tc>
        <w:tc>
          <w:tcPr>
            <w:tcW w:w="2070" w:type="dxa"/>
          </w:tcPr>
          <w:p w14:paraId="73C20D74" w14:textId="77777777"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Unidad de fiscalización</w:t>
            </w:r>
          </w:p>
        </w:tc>
      </w:tr>
    </w:tbl>
    <w:p w14:paraId="2F704FE5" w14:textId="77777777" w:rsidR="007B18CC" w:rsidRPr="006A6E65" w:rsidRDefault="007B18CC" w:rsidP="007B18CC">
      <w:pPr>
        <w:spacing w:after="120"/>
        <w:rPr>
          <w:rFonts w:cs="Arial"/>
          <w:b/>
          <w:bCs/>
          <w:sz w:val="20"/>
          <w:lang w:val="es-ES_tradnl"/>
        </w:rPr>
      </w:pPr>
      <w:r w:rsidRPr="006A6E65">
        <w:rPr>
          <w:rFonts w:cs="Arial"/>
          <w:b/>
          <w:bCs/>
          <w:sz w:val="20"/>
          <w:lang w:val="es-ES_tradnl"/>
        </w:rPr>
        <w:t>COMPONENTE 3: Apoyo a la mejora administrativa del SENCE</w:t>
      </w:r>
    </w:p>
    <w:tbl>
      <w:tblPr>
        <w:tblStyle w:val="TableGrid"/>
        <w:tblW w:w="15120" w:type="dxa"/>
        <w:tblInd w:w="-1085" w:type="dxa"/>
        <w:tblLayout w:type="fixed"/>
        <w:tblLook w:val="04A0" w:firstRow="1" w:lastRow="0" w:firstColumn="1" w:lastColumn="0" w:noHBand="0" w:noVBand="1"/>
      </w:tblPr>
      <w:tblGrid>
        <w:gridCol w:w="1800"/>
        <w:gridCol w:w="3960"/>
        <w:gridCol w:w="3330"/>
        <w:gridCol w:w="1530"/>
        <w:gridCol w:w="1260"/>
        <w:gridCol w:w="1170"/>
        <w:gridCol w:w="2070"/>
      </w:tblGrid>
      <w:tr w:rsidR="007B18CC" w:rsidRPr="006A6E65" w14:paraId="7DEC25E7" w14:textId="77777777" w:rsidTr="003F4461">
        <w:trPr>
          <w:cantSplit/>
          <w:tblHeader/>
        </w:trPr>
        <w:tc>
          <w:tcPr>
            <w:tcW w:w="1800" w:type="dxa"/>
            <w:shd w:val="clear" w:color="auto" w:fill="F2F2F2" w:themeFill="background1" w:themeFillShade="F2"/>
          </w:tcPr>
          <w:p w14:paraId="02B5DC63"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Actividad/producto</w:t>
            </w:r>
          </w:p>
        </w:tc>
        <w:tc>
          <w:tcPr>
            <w:tcW w:w="3960" w:type="dxa"/>
            <w:shd w:val="clear" w:color="auto" w:fill="F2F2F2" w:themeFill="background1" w:themeFillShade="F2"/>
          </w:tcPr>
          <w:p w14:paraId="15D46D6D" w14:textId="4214B2A8" w:rsidR="007B18CC" w:rsidRPr="006A6E65" w:rsidRDefault="007B18CC" w:rsidP="007B18CC">
            <w:pPr>
              <w:rPr>
                <w:rFonts w:cs="Arial"/>
                <w:b/>
                <w:bCs/>
                <w:sz w:val="18"/>
                <w:szCs w:val="22"/>
                <w:lang w:val="es-ES_tradnl"/>
              </w:rPr>
            </w:pPr>
            <w:r w:rsidRPr="006A6E65">
              <w:rPr>
                <w:rFonts w:cs="Arial"/>
                <w:b/>
                <w:bCs/>
                <w:sz w:val="18"/>
                <w:szCs w:val="22"/>
                <w:lang w:val="es-ES_tradnl"/>
              </w:rPr>
              <w:t>Resultado intermedio</w:t>
            </w:r>
          </w:p>
        </w:tc>
        <w:tc>
          <w:tcPr>
            <w:tcW w:w="3330" w:type="dxa"/>
            <w:shd w:val="clear" w:color="auto" w:fill="F2F2F2" w:themeFill="background1" w:themeFillShade="F2"/>
          </w:tcPr>
          <w:p w14:paraId="1176AF91"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Indicador</w:t>
            </w:r>
          </w:p>
        </w:tc>
        <w:tc>
          <w:tcPr>
            <w:tcW w:w="1530" w:type="dxa"/>
            <w:shd w:val="clear" w:color="auto" w:fill="F2F2F2" w:themeFill="background1" w:themeFillShade="F2"/>
          </w:tcPr>
          <w:p w14:paraId="113A044D"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Línea de base</w:t>
            </w:r>
          </w:p>
        </w:tc>
        <w:tc>
          <w:tcPr>
            <w:tcW w:w="1260" w:type="dxa"/>
            <w:shd w:val="clear" w:color="auto" w:fill="F2F2F2" w:themeFill="background1" w:themeFillShade="F2"/>
          </w:tcPr>
          <w:p w14:paraId="79C3C168"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Meta</w:t>
            </w:r>
          </w:p>
        </w:tc>
        <w:tc>
          <w:tcPr>
            <w:tcW w:w="1170" w:type="dxa"/>
            <w:shd w:val="clear" w:color="auto" w:fill="F2F2F2" w:themeFill="background1" w:themeFillShade="F2"/>
          </w:tcPr>
          <w:p w14:paraId="65DF9EE7"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Logro</w:t>
            </w:r>
          </w:p>
        </w:tc>
        <w:tc>
          <w:tcPr>
            <w:tcW w:w="2070" w:type="dxa"/>
            <w:shd w:val="clear" w:color="auto" w:fill="F2F2F2" w:themeFill="background1" w:themeFillShade="F2"/>
          </w:tcPr>
          <w:p w14:paraId="4EDFE1F4" w14:textId="77777777" w:rsidR="007B18CC" w:rsidRPr="006A6E65" w:rsidRDefault="007B18CC" w:rsidP="007B18CC">
            <w:pPr>
              <w:rPr>
                <w:rFonts w:cs="Arial"/>
                <w:b/>
                <w:bCs/>
                <w:sz w:val="18"/>
                <w:szCs w:val="22"/>
                <w:lang w:val="es-ES_tradnl"/>
              </w:rPr>
            </w:pPr>
            <w:r w:rsidRPr="006A6E65">
              <w:rPr>
                <w:rFonts w:cs="Arial"/>
                <w:b/>
                <w:bCs/>
                <w:sz w:val="18"/>
                <w:szCs w:val="22"/>
                <w:lang w:val="es-ES_tradnl"/>
              </w:rPr>
              <w:t>Comentarios</w:t>
            </w:r>
          </w:p>
        </w:tc>
      </w:tr>
      <w:tr w:rsidR="007B18CC" w:rsidRPr="006A6E65" w14:paraId="533D1F4D" w14:textId="77777777" w:rsidTr="003F4461">
        <w:tc>
          <w:tcPr>
            <w:tcW w:w="1800" w:type="dxa"/>
          </w:tcPr>
          <w:p w14:paraId="67770E12" w14:textId="77777777" w:rsidR="007B18CC" w:rsidRPr="006A6E65" w:rsidRDefault="007B18CC" w:rsidP="007B18CC">
            <w:pPr>
              <w:rPr>
                <w:rFonts w:cs="Arial"/>
                <w:sz w:val="18"/>
                <w:szCs w:val="22"/>
                <w:lang w:val="es-ES_tradnl"/>
              </w:rPr>
            </w:pPr>
            <w:r w:rsidRPr="006A6E65">
              <w:rPr>
                <w:rFonts w:cs="Arial"/>
                <w:sz w:val="18"/>
                <w:szCs w:val="22"/>
                <w:lang w:val="es-ES_tradnl"/>
              </w:rPr>
              <w:t>Cuadro de Mando Integral (CMI)</w:t>
            </w:r>
          </w:p>
        </w:tc>
        <w:tc>
          <w:tcPr>
            <w:tcW w:w="3960" w:type="dxa"/>
          </w:tcPr>
          <w:p w14:paraId="09F7C643" w14:textId="2729C83F" w:rsidR="007B18CC" w:rsidRPr="006A6E65" w:rsidRDefault="007B18CC" w:rsidP="003F4461">
            <w:pPr>
              <w:rPr>
                <w:rFonts w:cs="Arial"/>
                <w:sz w:val="18"/>
                <w:szCs w:val="22"/>
                <w:lang w:val="es-ES_tradnl"/>
              </w:rPr>
            </w:pPr>
            <w:r w:rsidRPr="006A6E65">
              <w:rPr>
                <w:rFonts w:cs="Arial"/>
                <w:sz w:val="18"/>
                <w:szCs w:val="22"/>
                <w:lang w:val="es-ES_tradnl"/>
              </w:rPr>
              <w:t xml:space="preserve">8. Indicadores de la gestión operativa del SENCE automatizables generados a partir de las bases de datos operacionales </w:t>
            </w:r>
          </w:p>
        </w:tc>
        <w:tc>
          <w:tcPr>
            <w:tcW w:w="3330" w:type="dxa"/>
          </w:tcPr>
          <w:p w14:paraId="017DA90C" w14:textId="77777777" w:rsidR="007B18CC" w:rsidRPr="006A6E65" w:rsidRDefault="007B18CC" w:rsidP="003F4461">
            <w:pPr>
              <w:pStyle w:val="ListParagraph"/>
              <w:ind w:left="73"/>
              <w:rPr>
                <w:rFonts w:cs="Arial"/>
                <w:sz w:val="18"/>
                <w:szCs w:val="22"/>
                <w:lang w:val="es-ES_tradnl"/>
              </w:rPr>
            </w:pPr>
            <w:r w:rsidRPr="006A6E65">
              <w:rPr>
                <w:rFonts w:cs="Arial"/>
                <w:sz w:val="18"/>
                <w:szCs w:val="22"/>
                <w:lang w:val="es-ES_tradnl"/>
              </w:rPr>
              <w:t>Nº de indicadores del CMI generados de forma automática por las bases de datos operacionales sobre el total de indicadores estratégicos automatizables, incluidos en el actual sistema CMI manual</w:t>
            </w:r>
          </w:p>
        </w:tc>
        <w:tc>
          <w:tcPr>
            <w:tcW w:w="1530" w:type="dxa"/>
            <w:shd w:val="clear" w:color="auto" w:fill="auto"/>
          </w:tcPr>
          <w:p w14:paraId="4CCAE762" w14:textId="77777777" w:rsidR="007B18CC" w:rsidRPr="006A6E65" w:rsidRDefault="007B18CC" w:rsidP="007B18CC">
            <w:pPr>
              <w:rPr>
                <w:rFonts w:cs="Arial"/>
                <w:sz w:val="18"/>
                <w:szCs w:val="22"/>
                <w:lang w:val="es-ES_tradnl"/>
              </w:rPr>
            </w:pPr>
            <w:r w:rsidRPr="006A6E65">
              <w:rPr>
                <w:rFonts w:cs="Arial"/>
                <w:sz w:val="18"/>
                <w:szCs w:val="22"/>
                <w:lang w:val="es-ES_tradnl"/>
              </w:rPr>
              <w:t>Enero 2016: 0 indicadores automatizados</w:t>
            </w:r>
          </w:p>
        </w:tc>
        <w:tc>
          <w:tcPr>
            <w:tcW w:w="1260" w:type="dxa"/>
            <w:shd w:val="clear" w:color="auto" w:fill="auto"/>
          </w:tcPr>
          <w:p w14:paraId="1F1B7305" w14:textId="77777777" w:rsidR="007B18CC" w:rsidRPr="006A6E65" w:rsidRDefault="007B18CC" w:rsidP="007B18CC">
            <w:pPr>
              <w:rPr>
                <w:rFonts w:cs="Arial"/>
                <w:sz w:val="18"/>
                <w:szCs w:val="22"/>
                <w:lang w:val="es-ES_tradnl"/>
              </w:rPr>
            </w:pPr>
            <w:r w:rsidRPr="006A6E65">
              <w:rPr>
                <w:rFonts w:cs="Arial"/>
                <w:sz w:val="18"/>
                <w:szCs w:val="22"/>
                <w:lang w:val="es-ES_tradnl"/>
              </w:rPr>
              <w:t>21 indicadores</w:t>
            </w:r>
          </w:p>
        </w:tc>
        <w:tc>
          <w:tcPr>
            <w:tcW w:w="1170" w:type="dxa"/>
            <w:shd w:val="clear" w:color="auto" w:fill="92D050"/>
          </w:tcPr>
          <w:p w14:paraId="7B1852A4" w14:textId="77777777" w:rsidR="007B18CC" w:rsidRPr="006A6E65" w:rsidRDefault="007B18CC" w:rsidP="007B18CC">
            <w:pPr>
              <w:rPr>
                <w:rFonts w:cs="Arial"/>
                <w:sz w:val="18"/>
                <w:szCs w:val="22"/>
                <w:lang w:val="es-ES_tradnl"/>
              </w:rPr>
            </w:pPr>
            <w:r w:rsidRPr="006A6E65">
              <w:rPr>
                <w:rFonts w:cs="Arial"/>
                <w:sz w:val="18"/>
                <w:szCs w:val="22"/>
                <w:lang w:val="es-ES_tradnl"/>
              </w:rPr>
              <w:t>46</w:t>
            </w:r>
          </w:p>
        </w:tc>
        <w:tc>
          <w:tcPr>
            <w:tcW w:w="2070" w:type="dxa"/>
          </w:tcPr>
          <w:p w14:paraId="6F2756E2" w14:textId="0085F89E"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w:t>
            </w:r>
            <w:r w:rsidR="008211F8" w:rsidRPr="006A6E65">
              <w:rPr>
                <w:rFonts w:cs="Arial"/>
                <w:sz w:val="18"/>
                <w:szCs w:val="22"/>
                <w:lang w:val="es-ES_tradnl"/>
              </w:rPr>
              <w:t>UEP (Ultimo PMR)</w:t>
            </w:r>
          </w:p>
        </w:tc>
      </w:tr>
      <w:tr w:rsidR="0073403E" w:rsidRPr="006A6E65" w14:paraId="61626837" w14:textId="77777777" w:rsidTr="003F4461">
        <w:tc>
          <w:tcPr>
            <w:tcW w:w="1800" w:type="dxa"/>
          </w:tcPr>
          <w:p w14:paraId="4769E24C" w14:textId="540448A3" w:rsidR="0073403E" w:rsidRPr="006A6E65" w:rsidRDefault="0073403E" w:rsidP="007B18CC">
            <w:pPr>
              <w:rPr>
                <w:rFonts w:cs="Arial"/>
                <w:sz w:val="18"/>
                <w:lang w:val="es-ES_tradnl"/>
              </w:rPr>
            </w:pPr>
            <w:r w:rsidRPr="006A6E65">
              <w:rPr>
                <w:rFonts w:cs="Arial"/>
                <w:i/>
                <w:sz w:val="18"/>
                <w:lang w:val="es-ES_tradnl"/>
              </w:rPr>
              <w:t>Quick wins</w:t>
            </w:r>
            <w:r w:rsidRPr="006A6E65">
              <w:rPr>
                <w:rFonts w:cs="Arial"/>
                <w:sz w:val="18"/>
                <w:lang w:val="es-ES_tradnl"/>
              </w:rPr>
              <w:t xml:space="preserve"> de procesos operativos</w:t>
            </w:r>
          </w:p>
        </w:tc>
        <w:tc>
          <w:tcPr>
            <w:tcW w:w="3960" w:type="dxa"/>
          </w:tcPr>
          <w:p w14:paraId="441B5A4C" w14:textId="3B6AE34C" w:rsidR="0073403E" w:rsidRPr="006A6E65" w:rsidRDefault="0073403E" w:rsidP="007B18CC">
            <w:pPr>
              <w:rPr>
                <w:rFonts w:cs="Arial"/>
                <w:sz w:val="18"/>
                <w:lang w:val="es-ES_tradnl"/>
              </w:rPr>
            </w:pPr>
            <w:r w:rsidRPr="006A6E65">
              <w:rPr>
                <w:rFonts w:cs="Arial"/>
                <w:sz w:val="18"/>
                <w:lang w:val="es-ES_tradnl"/>
              </w:rPr>
              <w:t>9. % de Quick Wins implementados</w:t>
            </w:r>
          </w:p>
        </w:tc>
        <w:tc>
          <w:tcPr>
            <w:tcW w:w="3330" w:type="dxa"/>
          </w:tcPr>
          <w:p w14:paraId="6863E388" w14:textId="02E7F22A" w:rsidR="0073403E" w:rsidRPr="006A6E65" w:rsidRDefault="0073403E" w:rsidP="003F4461">
            <w:pPr>
              <w:ind w:left="73"/>
              <w:rPr>
                <w:rFonts w:cs="Arial"/>
                <w:sz w:val="18"/>
                <w:lang w:val="es-ES_tradnl"/>
              </w:rPr>
            </w:pPr>
            <w:r w:rsidRPr="006A6E65">
              <w:rPr>
                <w:rFonts w:cs="Arial"/>
                <w:sz w:val="18"/>
                <w:lang w:val="es-ES_tradnl"/>
              </w:rPr>
              <w:t>Nº de mejoras implementados / N° total de mejoras priorizados) * 100</w:t>
            </w:r>
          </w:p>
        </w:tc>
        <w:tc>
          <w:tcPr>
            <w:tcW w:w="1530" w:type="dxa"/>
            <w:shd w:val="clear" w:color="auto" w:fill="auto"/>
          </w:tcPr>
          <w:p w14:paraId="705BF0FF" w14:textId="77777777" w:rsidR="0073403E" w:rsidRPr="006A6E65" w:rsidRDefault="0073403E" w:rsidP="007B18CC">
            <w:pPr>
              <w:rPr>
                <w:rFonts w:cs="Arial"/>
                <w:sz w:val="18"/>
                <w:lang w:val="es-ES_tradnl"/>
              </w:rPr>
            </w:pPr>
            <w:r w:rsidRPr="006A6E65">
              <w:rPr>
                <w:rFonts w:cs="Arial"/>
                <w:sz w:val="18"/>
                <w:lang w:val="es-ES_tradnl"/>
              </w:rPr>
              <w:t xml:space="preserve">0 </w:t>
            </w:r>
          </w:p>
          <w:p w14:paraId="5B1CD503" w14:textId="3FC8C54D" w:rsidR="0073403E" w:rsidRPr="006A6E65" w:rsidRDefault="0073403E" w:rsidP="007B18CC">
            <w:pPr>
              <w:rPr>
                <w:rFonts w:cs="Arial"/>
                <w:sz w:val="18"/>
                <w:lang w:val="es-ES_tradnl"/>
              </w:rPr>
            </w:pPr>
            <w:r w:rsidRPr="006A6E65">
              <w:rPr>
                <w:rFonts w:cs="Arial"/>
                <w:sz w:val="18"/>
                <w:lang w:val="es-ES_tradnl"/>
              </w:rPr>
              <w:t>(2016)</w:t>
            </w:r>
          </w:p>
        </w:tc>
        <w:tc>
          <w:tcPr>
            <w:tcW w:w="1260" w:type="dxa"/>
            <w:shd w:val="clear" w:color="auto" w:fill="auto"/>
          </w:tcPr>
          <w:p w14:paraId="7C24B08C" w14:textId="6E6326A0" w:rsidR="0073403E" w:rsidRPr="006A6E65" w:rsidRDefault="0073403E" w:rsidP="007B18CC">
            <w:pPr>
              <w:rPr>
                <w:rFonts w:cs="Arial"/>
                <w:sz w:val="18"/>
                <w:lang w:val="es-ES_tradnl"/>
              </w:rPr>
            </w:pPr>
            <w:r w:rsidRPr="006A6E65">
              <w:rPr>
                <w:rFonts w:cs="Arial"/>
                <w:sz w:val="18"/>
                <w:lang w:val="es-ES_tradnl"/>
              </w:rPr>
              <w:t>70%</w:t>
            </w:r>
          </w:p>
        </w:tc>
        <w:tc>
          <w:tcPr>
            <w:tcW w:w="1170" w:type="dxa"/>
            <w:shd w:val="clear" w:color="auto" w:fill="92D050"/>
          </w:tcPr>
          <w:p w14:paraId="2695F09C" w14:textId="10CC6EFC" w:rsidR="0073403E" w:rsidRPr="006A6E65" w:rsidRDefault="0073403E" w:rsidP="007B18CC">
            <w:pPr>
              <w:rPr>
                <w:rFonts w:cs="Arial"/>
                <w:sz w:val="18"/>
                <w:lang w:val="es-ES_tradnl"/>
              </w:rPr>
            </w:pPr>
            <w:r w:rsidRPr="006A6E65">
              <w:rPr>
                <w:rFonts w:cs="Arial"/>
                <w:sz w:val="18"/>
                <w:lang w:val="es-ES_tradnl"/>
              </w:rPr>
              <w:t>100%</w:t>
            </w:r>
          </w:p>
        </w:tc>
        <w:tc>
          <w:tcPr>
            <w:tcW w:w="2070" w:type="dxa"/>
          </w:tcPr>
          <w:p w14:paraId="613C4CFD" w14:textId="19AC0716" w:rsidR="0073403E" w:rsidRPr="006A6E65" w:rsidRDefault="0073403E" w:rsidP="003F4461">
            <w:pPr>
              <w:rPr>
                <w:rFonts w:cs="Arial"/>
                <w:sz w:val="18"/>
                <w:u w:val="single"/>
                <w:lang w:val="es-ES_tradnl"/>
              </w:rPr>
            </w:pPr>
            <w:r w:rsidRPr="006A6E65">
              <w:rPr>
                <w:rFonts w:cs="Arial"/>
                <w:sz w:val="18"/>
                <w:u w:val="single"/>
                <w:lang w:val="es-ES_tradnl"/>
              </w:rPr>
              <w:t xml:space="preserve">Fuente: </w:t>
            </w:r>
            <w:r w:rsidRPr="006A6E65">
              <w:rPr>
                <w:rFonts w:cs="Arial"/>
                <w:sz w:val="18"/>
                <w:lang w:val="es-ES_tradnl"/>
              </w:rPr>
              <w:t>Unidad de Procesos</w:t>
            </w:r>
            <w:r w:rsidRPr="006A6E65">
              <w:rPr>
                <w:rFonts w:cs="Arial"/>
                <w:sz w:val="18"/>
                <w:u w:val="single"/>
                <w:lang w:val="es-ES_tradnl"/>
              </w:rPr>
              <w:t xml:space="preserve"> </w:t>
            </w:r>
          </w:p>
        </w:tc>
      </w:tr>
      <w:tr w:rsidR="007B18CC" w:rsidRPr="006A6E65" w14:paraId="6CE8BF23" w14:textId="77777777" w:rsidTr="003F4461">
        <w:tc>
          <w:tcPr>
            <w:tcW w:w="1800" w:type="dxa"/>
          </w:tcPr>
          <w:p w14:paraId="6AE6A8E8" w14:textId="77777777" w:rsidR="007B18CC" w:rsidRPr="006A6E65" w:rsidRDefault="007B18CC" w:rsidP="007B18CC">
            <w:pPr>
              <w:rPr>
                <w:rFonts w:cs="Arial"/>
                <w:sz w:val="18"/>
                <w:szCs w:val="22"/>
                <w:lang w:val="es-ES_tradnl"/>
              </w:rPr>
            </w:pPr>
            <w:r w:rsidRPr="006A6E65">
              <w:rPr>
                <w:rFonts w:cs="Arial"/>
                <w:sz w:val="18"/>
                <w:szCs w:val="22"/>
                <w:lang w:val="es-ES_tradnl"/>
              </w:rPr>
              <w:t>Mejoras en los procesos de trabajo de la DAF</w:t>
            </w:r>
          </w:p>
        </w:tc>
        <w:tc>
          <w:tcPr>
            <w:tcW w:w="3960" w:type="dxa"/>
          </w:tcPr>
          <w:p w14:paraId="38CF8315" w14:textId="33F638E5" w:rsidR="007B18CC" w:rsidRPr="006A6E65" w:rsidRDefault="0073403E" w:rsidP="003F4461">
            <w:pPr>
              <w:rPr>
                <w:rFonts w:cs="Arial"/>
                <w:b/>
                <w:sz w:val="18"/>
                <w:szCs w:val="22"/>
                <w:lang w:val="es-ES_tradnl"/>
              </w:rPr>
            </w:pPr>
            <w:r w:rsidRPr="006A6E65">
              <w:rPr>
                <w:rFonts w:cs="Arial"/>
                <w:sz w:val="18"/>
                <w:szCs w:val="22"/>
                <w:lang w:val="es-ES_tradnl"/>
              </w:rPr>
              <w:t>10</w:t>
            </w:r>
            <w:r w:rsidR="007B18CC" w:rsidRPr="006A6E65">
              <w:rPr>
                <w:rFonts w:cs="Arial"/>
                <w:sz w:val="18"/>
                <w:szCs w:val="22"/>
                <w:lang w:val="es-ES_tradnl"/>
              </w:rPr>
              <w:t>. Reducción de los tiempos del proceso de pago a proveedores</w:t>
            </w:r>
          </w:p>
        </w:tc>
        <w:tc>
          <w:tcPr>
            <w:tcW w:w="3330" w:type="dxa"/>
          </w:tcPr>
          <w:p w14:paraId="0BE490A1" w14:textId="77777777" w:rsidR="007B18CC" w:rsidRPr="006A6E65" w:rsidRDefault="007B18CC" w:rsidP="003F4461">
            <w:pPr>
              <w:pStyle w:val="ListParagraph"/>
              <w:ind w:left="73"/>
              <w:rPr>
                <w:rFonts w:cs="Arial"/>
                <w:sz w:val="18"/>
                <w:szCs w:val="22"/>
                <w:lang w:val="es-ES_tradnl"/>
              </w:rPr>
            </w:pPr>
            <w:r w:rsidRPr="006A6E65">
              <w:rPr>
                <w:rFonts w:cs="Arial"/>
                <w:sz w:val="18"/>
                <w:szCs w:val="22"/>
                <w:lang w:val="es-ES_tradnl"/>
              </w:rPr>
              <w:t>% de pagos a proveedores que se realizan dentro de los 30 días</w:t>
            </w:r>
          </w:p>
        </w:tc>
        <w:tc>
          <w:tcPr>
            <w:tcW w:w="1530" w:type="dxa"/>
            <w:shd w:val="clear" w:color="auto" w:fill="auto"/>
          </w:tcPr>
          <w:p w14:paraId="5A8D155A" w14:textId="77777777" w:rsidR="007B18CC" w:rsidRPr="006A6E65" w:rsidRDefault="007B18CC" w:rsidP="007B18CC">
            <w:pPr>
              <w:rPr>
                <w:rFonts w:cs="Arial"/>
                <w:sz w:val="18"/>
                <w:szCs w:val="22"/>
                <w:lang w:val="es-ES_tradnl"/>
              </w:rPr>
            </w:pPr>
            <w:r w:rsidRPr="006A6E65">
              <w:rPr>
                <w:rFonts w:cs="Arial"/>
                <w:sz w:val="18"/>
                <w:szCs w:val="22"/>
                <w:lang w:val="es-ES_tradnl"/>
              </w:rPr>
              <w:t>Diciembre 2015: 77,1%</w:t>
            </w:r>
          </w:p>
        </w:tc>
        <w:tc>
          <w:tcPr>
            <w:tcW w:w="1260" w:type="dxa"/>
            <w:shd w:val="clear" w:color="auto" w:fill="auto"/>
          </w:tcPr>
          <w:p w14:paraId="7179059E" w14:textId="69E56F5E" w:rsidR="007B18CC" w:rsidRPr="006A6E65" w:rsidRDefault="008211F8" w:rsidP="007B18CC">
            <w:pPr>
              <w:rPr>
                <w:rFonts w:cs="Arial"/>
                <w:sz w:val="18"/>
                <w:szCs w:val="22"/>
                <w:lang w:val="es-ES_tradnl"/>
              </w:rPr>
            </w:pPr>
            <w:r w:rsidRPr="006A6E65">
              <w:rPr>
                <w:rFonts w:cs="Arial"/>
                <w:sz w:val="18"/>
                <w:szCs w:val="22"/>
                <w:lang w:val="es-ES_tradnl"/>
              </w:rPr>
              <w:t>9</w:t>
            </w:r>
            <w:r w:rsidR="007B18CC" w:rsidRPr="006A6E65">
              <w:rPr>
                <w:rFonts w:cs="Arial"/>
                <w:sz w:val="18"/>
                <w:szCs w:val="22"/>
                <w:lang w:val="es-ES_tradnl"/>
              </w:rPr>
              <w:t>0%</w:t>
            </w:r>
          </w:p>
        </w:tc>
        <w:tc>
          <w:tcPr>
            <w:tcW w:w="1170" w:type="dxa"/>
            <w:shd w:val="clear" w:color="auto" w:fill="FFD966" w:themeFill="accent4" w:themeFillTint="99"/>
          </w:tcPr>
          <w:p w14:paraId="4AD97C21" w14:textId="241C3C4E" w:rsidR="007B18CC" w:rsidRPr="006A6E65" w:rsidRDefault="0073403E" w:rsidP="007B18CC">
            <w:pPr>
              <w:rPr>
                <w:rFonts w:cs="Arial"/>
                <w:sz w:val="18"/>
                <w:szCs w:val="22"/>
                <w:lang w:val="es-ES_tradnl"/>
              </w:rPr>
            </w:pPr>
            <w:r w:rsidRPr="006A6E65">
              <w:rPr>
                <w:rFonts w:cs="Arial"/>
                <w:sz w:val="18"/>
                <w:szCs w:val="22"/>
                <w:lang w:val="es-ES_tradnl"/>
              </w:rPr>
              <w:t>80.23</w:t>
            </w:r>
            <w:r w:rsidR="007B18CC" w:rsidRPr="006A6E65">
              <w:rPr>
                <w:rFonts w:cs="Arial"/>
                <w:sz w:val="18"/>
                <w:szCs w:val="22"/>
                <w:lang w:val="es-ES_tradnl"/>
              </w:rPr>
              <w:t>%</w:t>
            </w:r>
          </w:p>
        </w:tc>
        <w:tc>
          <w:tcPr>
            <w:tcW w:w="2070" w:type="dxa"/>
          </w:tcPr>
          <w:p w14:paraId="147BD00A" w14:textId="77777777"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DAF</w:t>
            </w:r>
          </w:p>
        </w:tc>
      </w:tr>
      <w:tr w:rsidR="0073403E" w:rsidRPr="006A6E65" w14:paraId="71FDA9FB" w14:textId="77777777" w:rsidTr="003F4461">
        <w:tc>
          <w:tcPr>
            <w:tcW w:w="1800" w:type="dxa"/>
          </w:tcPr>
          <w:p w14:paraId="234121BE" w14:textId="530ADC5B" w:rsidR="0073403E" w:rsidRPr="006A6E65" w:rsidRDefault="0073403E" w:rsidP="007B18CC">
            <w:pPr>
              <w:rPr>
                <w:rFonts w:cs="Arial"/>
                <w:sz w:val="18"/>
                <w:lang w:val="es-ES_tradnl"/>
              </w:rPr>
            </w:pPr>
            <w:r w:rsidRPr="006A6E65">
              <w:rPr>
                <w:rFonts w:cs="Arial"/>
                <w:sz w:val="18"/>
                <w:lang w:val="es-ES_tradnl"/>
              </w:rPr>
              <w:t>Mejoras en procesos de la Franquicia Tributaria</w:t>
            </w:r>
          </w:p>
        </w:tc>
        <w:tc>
          <w:tcPr>
            <w:tcW w:w="3960" w:type="dxa"/>
          </w:tcPr>
          <w:p w14:paraId="14B84A78" w14:textId="53D2C2E4" w:rsidR="0073403E" w:rsidRPr="006A6E65" w:rsidRDefault="0073403E" w:rsidP="003F4461">
            <w:pPr>
              <w:rPr>
                <w:rFonts w:cs="Arial"/>
                <w:sz w:val="18"/>
                <w:lang w:val="es-ES_tradnl"/>
              </w:rPr>
            </w:pPr>
            <w:r w:rsidRPr="006A6E65">
              <w:rPr>
                <w:rFonts w:cs="Arial"/>
                <w:sz w:val="18"/>
                <w:lang w:val="es-ES_tradnl"/>
              </w:rPr>
              <w:t>11. Porcentaje de cursos Franquicia Tributaria evaluados en un plazo máximo de 9</w:t>
            </w:r>
            <w:r w:rsidR="003F4461">
              <w:rPr>
                <w:rFonts w:cs="Arial"/>
                <w:sz w:val="18"/>
                <w:lang w:val="es-ES_tradnl"/>
              </w:rPr>
              <w:t> </w:t>
            </w:r>
            <w:r w:rsidRPr="006A6E65">
              <w:rPr>
                <w:rFonts w:cs="Arial"/>
                <w:sz w:val="18"/>
                <w:lang w:val="es-ES_tradnl"/>
              </w:rPr>
              <w:t>días hábiles, respecto al total de cursos de Franquicia Tributaria ingresados para su evaluación</w:t>
            </w:r>
          </w:p>
        </w:tc>
        <w:tc>
          <w:tcPr>
            <w:tcW w:w="3330" w:type="dxa"/>
          </w:tcPr>
          <w:p w14:paraId="7D0DAC44" w14:textId="5FA75084" w:rsidR="0073403E" w:rsidRPr="006A6E65" w:rsidRDefault="0073403E" w:rsidP="003F4461">
            <w:pPr>
              <w:pStyle w:val="ListParagraph"/>
              <w:ind w:left="73"/>
              <w:rPr>
                <w:rFonts w:cs="Arial"/>
                <w:sz w:val="18"/>
                <w:lang w:val="es-ES_tradnl"/>
              </w:rPr>
            </w:pPr>
            <w:r w:rsidRPr="006A6E65">
              <w:rPr>
                <w:rFonts w:cs="Arial"/>
                <w:sz w:val="18"/>
                <w:lang w:val="es-ES_tradnl"/>
              </w:rPr>
              <w:t>(Número de cursos Franquicia Tributaria evaluados en un plazo máximo de 9 días hábiles / Número de cursos Franquicia Tributaria ingresados para su evaluación) * 100</w:t>
            </w:r>
          </w:p>
        </w:tc>
        <w:tc>
          <w:tcPr>
            <w:tcW w:w="1530" w:type="dxa"/>
            <w:shd w:val="clear" w:color="auto" w:fill="auto"/>
          </w:tcPr>
          <w:p w14:paraId="1096A245" w14:textId="39B80C3E" w:rsidR="0073403E" w:rsidRPr="006A6E65" w:rsidRDefault="008211F8" w:rsidP="007B18CC">
            <w:pPr>
              <w:rPr>
                <w:rFonts w:cs="Arial"/>
                <w:sz w:val="18"/>
                <w:lang w:val="es-ES_tradnl"/>
              </w:rPr>
            </w:pPr>
            <w:r w:rsidRPr="006A6E65">
              <w:rPr>
                <w:rFonts w:cs="Arial"/>
                <w:sz w:val="18"/>
                <w:lang w:val="es-ES_tradnl"/>
              </w:rPr>
              <w:t>-</w:t>
            </w:r>
          </w:p>
        </w:tc>
        <w:tc>
          <w:tcPr>
            <w:tcW w:w="1260" w:type="dxa"/>
            <w:shd w:val="clear" w:color="auto" w:fill="auto"/>
          </w:tcPr>
          <w:p w14:paraId="7DDBE464" w14:textId="3BB922DE" w:rsidR="0073403E" w:rsidRPr="006A6E65" w:rsidRDefault="0073403E" w:rsidP="007B18CC">
            <w:pPr>
              <w:rPr>
                <w:rFonts w:cs="Arial"/>
                <w:sz w:val="18"/>
                <w:lang w:val="es-ES_tradnl"/>
              </w:rPr>
            </w:pPr>
            <w:r w:rsidRPr="006A6E65">
              <w:rPr>
                <w:rFonts w:cs="Arial"/>
                <w:sz w:val="18"/>
                <w:lang w:val="es-ES_tradnl"/>
              </w:rPr>
              <w:t>90%</w:t>
            </w:r>
          </w:p>
        </w:tc>
        <w:tc>
          <w:tcPr>
            <w:tcW w:w="1170" w:type="dxa"/>
            <w:shd w:val="clear" w:color="auto" w:fill="92D050"/>
          </w:tcPr>
          <w:p w14:paraId="77D5BA6C" w14:textId="4E9BD5CC" w:rsidR="0073403E" w:rsidRPr="006A6E65" w:rsidRDefault="0073403E" w:rsidP="007B18CC">
            <w:pPr>
              <w:rPr>
                <w:rFonts w:cs="Arial"/>
                <w:sz w:val="18"/>
                <w:lang w:val="es-ES_tradnl"/>
              </w:rPr>
            </w:pPr>
            <w:r w:rsidRPr="006A6E65">
              <w:rPr>
                <w:rFonts w:cs="Arial"/>
                <w:sz w:val="18"/>
                <w:lang w:val="es-ES_tradnl"/>
              </w:rPr>
              <w:t>99%</w:t>
            </w:r>
          </w:p>
        </w:tc>
        <w:tc>
          <w:tcPr>
            <w:tcW w:w="2070" w:type="dxa"/>
          </w:tcPr>
          <w:p w14:paraId="5D5DC93A" w14:textId="700BD33D" w:rsidR="0073403E" w:rsidRPr="006A6E65" w:rsidRDefault="008211F8" w:rsidP="007B18CC">
            <w:pPr>
              <w:rPr>
                <w:rFonts w:cs="Arial"/>
                <w:sz w:val="18"/>
                <w:u w:val="single"/>
                <w:lang w:val="es-ES_tradnl"/>
              </w:rPr>
            </w:pPr>
            <w:r w:rsidRPr="006A6E65">
              <w:rPr>
                <w:rFonts w:cs="Arial"/>
                <w:sz w:val="18"/>
                <w:u w:val="single"/>
                <w:lang w:val="es-ES_tradnl"/>
              </w:rPr>
              <w:t xml:space="preserve">Fuente: </w:t>
            </w:r>
            <w:r w:rsidRPr="006A6E65">
              <w:rPr>
                <w:rFonts w:cs="Arial"/>
                <w:sz w:val="18"/>
                <w:lang w:val="es-ES_tradnl"/>
              </w:rPr>
              <w:t>Unidad de control de gestión</w:t>
            </w:r>
          </w:p>
        </w:tc>
      </w:tr>
      <w:tr w:rsidR="008211F8" w:rsidRPr="006A6E65" w14:paraId="286D79E5" w14:textId="77777777" w:rsidTr="003F4461">
        <w:tc>
          <w:tcPr>
            <w:tcW w:w="1800" w:type="dxa"/>
          </w:tcPr>
          <w:p w14:paraId="2DDE26DA" w14:textId="62AA5977" w:rsidR="008211F8" w:rsidRPr="006A6E65" w:rsidRDefault="008211F8" w:rsidP="007B18CC">
            <w:pPr>
              <w:rPr>
                <w:rFonts w:cs="Arial"/>
                <w:sz w:val="18"/>
                <w:lang w:val="es-ES_tradnl"/>
              </w:rPr>
            </w:pPr>
            <w:r w:rsidRPr="006A6E65">
              <w:rPr>
                <w:rFonts w:cs="Arial"/>
                <w:sz w:val="18"/>
                <w:lang w:val="es-ES_tradnl"/>
              </w:rPr>
              <w:t>Mejoras en procesos de atención ciudadana</w:t>
            </w:r>
          </w:p>
        </w:tc>
        <w:tc>
          <w:tcPr>
            <w:tcW w:w="3960" w:type="dxa"/>
          </w:tcPr>
          <w:p w14:paraId="3E8536C9" w14:textId="0F951DEB" w:rsidR="008211F8" w:rsidRPr="006A6E65" w:rsidRDefault="008211F8" w:rsidP="003F4461">
            <w:pPr>
              <w:rPr>
                <w:rFonts w:cs="Arial"/>
                <w:sz w:val="18"/>
                <w:lang w:val="es-ES_tradnl"/>
              </w:rPr>
            </w:pPr>
            <w:r w:rsidRPr="006A6E65">
              <w:rPr>
                <w:rFonts w:cs="Arial"/>
                <w:sz w:val="18"/>
                <w:lang w:val="es-ES_tradnl"/>
              </w:rPr>
              <w:t>12. Porcentaje de solicitudes de atención ciudadana (preguntas, reclamos, sugerencias y felicitaciones) respondidas en un plazo menor o igual a 10 días hábiles, respecto al total de solicitudes ingresadas en el Buzón Ciudadano (OIRS virtual)</w:t>
            </w:r>
          </w:p>
        </w:tc>
        <w:tc>
          <w:tcPr>
            <w:tcW w:w="3330" w:type="dxa"/>
          </w:tcPr>
          <w:p w14:paraId="1793A2B3" w14:textId="4565EE33" w:rsidR="008211F8" w:rsidRPr="006A6E65" w:rsidRDefault="008211F8" w:rsidP="003F4461">
            <w:pPr>
              <w:pStyle w:val="ListParagraph"/>
              <w:ind w:left="73"/>
              <w:rPr>
                <w:rFonts w:cs="Arial"/>
                <w:sz w:val="18"/>
                <w:lang w:val="es-ES_tradnl"/>
              </w:rPr>
            </w:pPr>
            <w:r w:rsidRPr="006A6E65">
              <w:rPr>
                <w:rFonts w:cs="Arial"/>
                <w:sz w:val="18"/>
                <w:lang w:val="es-ES_tradnl"/>
              </w:rPr>
              <w:t>(Número de solicitudes ingresadas en el Número total de solicitudes ingresadas en el Buzón Ciudadano respondidas en plazo menor o igual a 10 días hábiles / Número total de solicitudes ingresadas en el Buzón Ciudadano) * 100</w:t>
            </w:r>
          </w:p>
        </w:tc>
        <w:tc>
          <w:tcPr>
            <w:tcW w:w="1530" w:type="dxa"/>
            <w:shd w:val="clear" w:color="auto" w:fill="auto"/>
          </w:tcPr>
          <w:p w14:paraId="15D5732A" w14:textId="63DB2D29" w:rsidR="008211F8" w:rsidRPr="006A6E65" w:rsidRDefault="008211F8" w:rsidP="007B18CC">
            <w:pPr>
              <w:rPr>
                <w:rFonts w:cs="Arial"/>
                <w:sz w:val="18"/>
                <w:lang w:val="es-ES_tradnl"/>
              </w:rPr>
            </w:pPr>
            <w:r w:rsidRPr="006A6E65">
              <w:rPr>
                <w:rFonts w:cs="Arial"/>
                <w:sz w:val="18"/>
                <w:lang w:val="es-ES_tradnl"/>
              </w:rPr>
              <w:t>-</w:t>
            </w:r>
          </w:p>
        </w:tc>
        <w:tc>
          <w:tcPr>
            <w:tcW w:w="1260" w:type="dxa"/>
            <w:shd w:val="clear" w:color="auto" w:fill="auto"/>
          </w:tcPr>
          <w:p w14:paraId="38AFC655" w14:textId="2723A794" w:rsidR="008211F8" w:rsidRPr="006A6E65" w:rsidRDefault="008211F8" w:rsidP="007B18CC">
            <w:pPr>
              <w:rPr>
                <w:rFonts w:cs="Arial"/>
                <w:sz w:val="18"/>
                <w:lang w:val="es-ES_tradnl"/>
              </w:rPr>
            </w:pPr>
            <w:r w:rsidRPr="006A6E65">
              <w:rPr>
                <w:rFonts w:cs="Arial"/>
                <w:sz w:val="18"/>
                <w:lang w:val="es-ES_tradnl"/>
              </w:rPr>
              <w:t>90%</w:t>
            </w:r>
          </w:p>
        </w:tc>
        <w:tc>
          <w:tcPr>
            <w:tcW w:w="1170" w:type="dxa"/>
            <w:shd w:val="clear" w:color="auto" w:fill="92D050"/>
          </w:tcPr>
          <w:p w14:paraId="4A588DEF" w14:textId="3B47AE45" w:rsidR="008211F8" w:rsidRPr="006A6E65" w:rsidRDefault="008211F8" w:rsidP="007B18CC">
            <w:pPr>
              <w:rPr>
                <w:rFonts w:cs="Arial"/>
                <w:sz w:val="18"/>
                <w:lang w:val="es-ES_tradnl"/>
              </w:rPr>
            </w:pPr>
            <w:r w:rsidRPr="006A6E65">
              <w:rPr>
                <w:rFonts w:cs="Arial"/>
                <w:sz w:val="18"/>
                <w:lang w:val="es-ES_tradnl"/>
              </w:rPr>
              <w:t>99%</w:t>
            </w:r>
          </w:p>
        </w:tc>
        <w:tc>
          <w:tcPr>
            <w:tcW w:w="2070" w:type="dxa"/>
          </w:tcPr>
          <w:p w14:paraId="4249E89C" w14:textId="0163DFEC" w:rsidR="008211F8" w:rsidRPr="006A6E65" w:rsidRDefault="008211F8" w:rsidP="007B18CC">
            <w:pPr>
              <w:rPr>
                <w:rFonts w:cs="Arial"/>
                <w:sz w:val="18"/>
                <w:u w:val="single"/>
                <w:lang w:val="es-ES_tradnl"/>
              </w:rPr>
            </w:pPr>
            <w:r w:rsidRPr="006A6E65">
              <w:rPr>
                <w:rFonts w:cs="Arial"/>
                <w:sz w:val="18"/>
                <w:u w:val="single"/>
                <w:lang w:val="es-ES_tradnl"/>
              </w:rPr>
              <w:t xml:space="preserve">Fuente: </w:t>
            </w:r>
            <w:r w:rsidRPr="006A6E65">
              <w:rPr>
                <w:rFonts w:cs="Arial"/>
                <w:sz w:val="18"/>
                <w:lang w:val="es-ES_tradnl"/>
              </w:rPr>
              <w:t>Unidad de control de gestión</w:t>
            </w:r>
          </w:p>
        </w:tc>
      </w:tr>
      <w:tr w:rsidR="007B18CC" w:rsidRPr="006A6E65" w14:paraId="61609113" w14:textId="77777777" w:rsidTr="003F4461">
        <w:tc>
          <w:tcPr>
            <w:tcW w:w="1800" w:type="dxa"/>
          </w:tcPr>
          <w:p w14:paraId="37F981B3" w14:textId="77777777" w:rsidR="007B18CC" w:rsidRPr="006A6E65" w:rsidRDefault="007B18CC" w:rsidP="007B18CC">
            <w:pPr>
              <w:rPr>
                <w:rFonts w:cs="Arial"/>
                <w:sz w:val="18"/>
                <w:szCs w:val="22"/>
                <w:lang w:val="es-ES_tradnl"/>
              </w:rPr>
            </w:pPr>
            <w:r w:rsidRPr="006A6E65">
              <w:rPr>
                <w:rFonts w:cs="Arial"/>
                <w:sz w:val="18"/>
                <w:szCs w:val="22"/>
                <w:lang w:val="es-ES_tradnl"/>
              </w:rPr>
              <w:t>Mejora en los TI y BI</w:t>
            </w:r>
          </w:p>
        </w:tc>
        <w:tc>
          <w:tcPr>
            <w:tcW w:w="3960" w:type="dxa"/>
          </w:tcPr>
          <w:p w14:paraId="40713045" w14:textId="578B9764" w:rsidR="007B18CC" w:rsidRPr="006A6E65" w:rsidRDefault="008211F8" w:rsidP="003F4461">
            <w:pPr>
              <w:rPr>
                <w:rFonts w:cs="Arial"/>
                <w:b/>
                <w:sz w:val="18"/>
                <w:szCs w:val="22"/>
                <w:lang w:val="es-ES_tradnl"/>
              </w:rPr>
            </w:pPr>
            <w:r w:rsidRPr="006A6E65">
              <w:rPr>
                <w:rFonts w:cs="Arial"/>
                <w:sz w:val="18"/>
                <w:szCs w:val="22"/>
                <w:lang w:val="es-ES_tradnl"/>
              </w:rPr>
              <w:t>13</w:t>
            </w:r>
            <w:r w:rsidR="007B18CC" w:rsidRPr="006A6E65">
              <w:rPr>
                <w:rFonts w:cs="Arial"/>
                <w:sz w:val="18"/>
                <w:szCs w:val="22"/>
                <w:lang w:val="es-ES_tradnl"/>
              </w:rPr>
              <w:t>. Utilización de buenas prácticas en la gestión tecnológica: indicador sintético de buenas prácticas</w:t>
            </w:r>
          </w:p>
        </w:tc>
        <w:tc>
          <w:tcPr>
            <w:tcW w:w="3330" w:type="dxa"/>
          </w:tcPr>
          <w:p w14:paraId="5155AFE4" w14:textId="77777777" w:rsidR="007B18CC" w:rsidRPr="006A6E65" w:rsidRDefault="007B18CC" w:rsidP="003F4461">
            <w:pPr>
              <w:pStyle w:val="ListParagraph"/>
              <w:ind w:left="73"/>
              <w:rPr>
                <w:rFonts w:cs="Arial"/>
                <w:sz w:val="18"/>
                <w:szCs w:val="22"/>
                <w:lang w:val="es-ES_tradnl"/>
              </w:rPr>
            </w:pPr>
            <w:r w:rsidRPr="006A6E65">
              <w:rPr>
                <w:rFonts w:cs="Arial"/>
                <w:sz w:val="18"/>
                <w:szCs w:val="22"/>
                <w:lang w:val="es-ES_tradnl"/>
              </w:rPr>
              <w:t>Nº de ítems de buenas prácticas utilizados sobre el total de ítems de buenas prácticas</w:t>
            </w:r>
          </w:p>
        </w:tc>
        <w:tc>
          <w:tcPr>
            <w:tcW w:w="1530" w:type="dxa"/>
            <w:shd w:val="clear" w:color="auto" w:fill="auto"/>
          </w:tcPr>
          <w:p w14:paraId="5F499C16" w14:textId="77777777" w:rsidR="007B18CC" w:rsidRPr="006A6E65" w:rsidRDefault="007B18CC" w:rsidP="007B18CC">
            <w:pPr>
              <w:rPr>
                <w:rFonts w:cs="Arial"/>
                <w:sz w:val="18"/>
                <w:szCs w:val="22"/>
                <w:lang w:val="es-ES_tradnl"/>
              </w:rPr>
            </w:pPr>
            <w:r w:rsidRPr="006A6E65">
              <w:rPr>
                <w:rFonts w:cs="Arial"/>
                <w:sz w:val="18"/>
                <w:szCs w:val="22"/>
                <w:lang w:val="es-ES_tradnl"/>
              </w:rPr>
              <w:t>Diciembre 2016: 0 de 8</w:t>
            </w:r>
          </w:p>
        </w:tc>
        <w:tc>
          <w:tcPr>
            <w:tcW w:w="1260" w:type="dxa"/>
            <w:shd w:val="clear" w:color="auto" w:fill="auto"/>
          </w:tcPr>
          <w:p w14:paraId="25F5E52A" w14:textId="668628C7" w:rsidR="007B18CC" w:rsidRPr="006A6E65" w:rsidRDefault="008211F8" w:rsidP="007B18CC">
            <w:pPr>
              <w:rPr>
                <w:rFonts w:cs="Arial"/>
                <w:sz w:val="18"/>
                <w:szCs w:val="22"/>
                <w:lang w:val="es-ES_tradnl"/>
              </w:rPr>
            </w:pPr>
            <w:r w:rsidRPr="006A6E65">
              <w:rPr>
                <w:rFonts w:cs="Arial"/>
                <w:sz w:val="18"/>
                <w:szCs w:val="22"/>
                <w:lang w:val="es-ES_tradnl"/>
              </w:rPr>
              <w:t>8</w:t>
            </w:r>
            <w:r w:rsidR="007B18CC" w:rsidRPr="006A6E65">
              <w:rPr>
                <w:rFonts w:cs="Arial"/>
                <w:sz w:val="18"/>
                <w:szCs w:val="22"/>
                <w:lang w:val="es-ES_tradnl"/>
              </w:rPr>
              <w:t xml:space="preserve"> de 8</w:t>
            </w:r>
          </w:p>
        </w:tc>
        <w:tc>
          <w:tcPr>
            <w:tcW w:w="1170" w:type="dxa"/>
            <w:shd w:val="clear" w:color="auto" w:fill="92D050"/>
          </w:tcPr>
          <w:p w14:paraId="656548AF" w14:textId="70FFB44E" w:rsidR="007B18CC" w:rsidRPr="006A6E65" w:rsidRDefault="0073403E" w:rsidP="007B18CC">
            <w:pPr>
              <w:rPr>
                <w:rFonts w:cs="Arial"/>
                <w:sz w:val="18"/>
                <w:szCs w:val="22"/>
                <w:lang w:val="es-ES_tradnl"/>
              </w:rPr>
            </w:pPr>
            <w:r w:rsidRPr="006A6E65">
              <w:rPr>
                <w:rFonts w:cs="Arial"/>
                <w:sz w:val="18"/>
                <w:szCs w:val="22"/>
                <w:lang w:val="es-ES_tradnl"/>
              </w:rPr>
              <w:t>8</w:t>
            </w:r>
            <w:r w:rsidR="007B18CC" w:rsidRPr="006A6E65">
              <w:rPr>
                <w:rFonts w:cs="Arial"/>
                <w:sz w:val="18"/>
                <w:szCs w:val="22"/>
                <w:lang w:val="es-ES_tradnl"/>
              </w:rPr>
              <w:t xml:space="preserve"> de 8</w:t>
            </w:r>
          </w:p>
        </w:tc>
        <w:tc>
          <w:tcPr>
            <w:tcW w:w="2070" w:type="dxa"/>
          </w:tcPr>
          <w:p w14:paraId="79A245E6" w14:textId="77777777" w:rsidR="007B18CC" w:rsidRPr="006A6E65" w:rsidRDefault="007B18CC" w:rsidP="007B18CC">
            <w:pPr>
              <w:rPr>
                <w:rFonts w:cs="Arial"/>
                <w:sz w:val="18"/>
                <w:szCs w:val="22"/>
                <w:lang w:val="es-ES_tradnl"/>
              </w:rPr>
            </w:pPr>
            <w:r w:rsidRPr="006A6E65">
              <w:rPr>
                <w:rFonts w:cs="Arial"/>
                <w:sz w:val="18"/>
                <w:szCs w:val="22"/>
                <w:u w:val="single"/>
                <w:lang w:val="es-ES_tradnl"/>
              </w:rPr>
              <w:t>Fuente:</w:t>
            </w:r>
            <w:r w:rsidRPr="006A6E65">
              <w:rPr>
                <w:rFonts w:cs="Arial"/>
                <w:sz w:val="18"/>
                <w:szCs w:val="22"/>
                <w:lang w:val="es-ES_tradnl"/>
              </w:rPr>
              <w:t xml:space="preserve"> TI</w:t>
            </w:r>
          </w:p>
        </w:tc>
      </w:tr>
    </w:tbl>
    <w:p w14:paraId="712A5D6E" w14:textId="77777777" w:rsidR="00DA1EAA" w:rsidRPr="006A6E65" w:rsidRDefault="00DA1EAA" w:rsidP="00300B87">
      <w:pPr>
        <w:keepNext/>
        <w:keepLines/>
        <w:spacing w:before="120" w:after="120"/>
        <w:outlineLvl w:val="1"/>
        <w:rPr>
          <w:lang w:val="es-ES_tradnl"/>
        </w:rPr>
      </w:pPr>
      <w:bookmarkStart w:id="6" w:name="_Toc517423956"/>
      <w:bookmarkEnd w:id="6"/>
    </w:p>
    <w:sectPr w:rsidR="00DA1EAA" w:rsidRPr="006A6E65" w:rsidSect="007B18CC">
      <w:footerReference w:type="even" r:id="rId11"/>
      <w:footerReference w:type="default" r:id="rId12"/>
      <w:pgSz w:w="15840" w:h="12240" w:orient="landscape"/>
      <w:pgMar w:top="446" w:right="1440" w:bottom="54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966AC" w14:textId="77777777" w:rsidR="00D96552" w:rsidRDefault="00D96552" w:rsidP="004753B9">
      <w:r>
        <w:separator/>
      </w:r>
    </w:p>
  </w:endnote>
  <w:endnote w:type="continuationSeparator" w:id="0">
    <w:p w14:paraId="56EE9D03" w14:textId="77777777" w:rsidR="00D96552" w:rsidRDefault="00D96552" w:rsidP="0047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439129"/>
      <w:docPartObj>
        <w:docPartGallery w:val="Page Numbers (Bottom of Page)"/>
        <w:docPartUnique/>
      </w:docPartObj>
    </w:sdtPr>
    <w:sdtEndPr>
      <w:rPr>
        <w:noProof/>
      </w:rPr>
    </w:sdtEndPr>
    <w:sdtContent>
      <w:p w14:paraId="4B058BEA" w14:textId="4A0E753D" w:rsidR="00F90FF6" w:rsidRDefault="00F90FF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273E7E" w14:textId="77777777" w:rsidR="00F90FF6" w:rsidRDefault="00F90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38612776"/>
      <w:docPartObj>
        <w:docPartGallery w:val="Page Numbers (Bottom of Page)"/>
        <w:docPartUnique/>
      </w:docPartObj>
    </w:sdtPr>
    <w:sdtEndPr>
      <w:rPr>
        <w:rStyle w:val="PageNumber"/>
      </w:rPr>
    </w:sdtEndPr>
    <w:sdtContent>
      <w:p w14:paraId="32E2D0CD" w14:textId="77777777" w:rsidR="007B18CC" w:rsidRDefault="007B18CC" w:rsidP="007B18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7111AE" w14:textId="77777777" w:rsidR="007B18CC" w:rsidRDefault="007B18CC" w:rsidP="007B18C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8"/>
      <w:gridCol w:w="6482"/>
    </w:tblGrid>
    <w:tr w:rsidR="007B18CC" w14:paraId="1604BE19" w14:textId="77777777" w:rsidTr="007B18CC">
      <w:sdt>
        <w:sdtPr>
          <w:rPr>
            <w:sz w:val="20"/>
          </w:rPr>
          <w:alias w:val="Fecha de publicación"/>
          <w:tag w:val=""/>
          <w:id w:val="959225302"/>
          <w:showingPlcHdr/>
          <w:dataBinding w:prefixMappings="xmlns:ns0='http://schemas.microsoft.com/office/2006/coverPageProps' " w:xpath="/ns0:CoverPageProperties[1]/ns0:PublishDate[1]" w:storeItemID="{55AF091B-3C7A-41E3-B477-F2FDAA23CFDA}"/>
          <w:date w:fullDate="2016-12-20T00:00:00Z">
            <w:dateFormat w:val="dd/MM/yyyy"/>
            <w:lid w:val="es-ES"/>
            <w:storeMappedDataAs w:val="dateTime"/>
            <w:calendar w:val="gregorian"/>
          </w:date>
        </w:sdtPr>
        <w:sdtEndPr/>
        <w:sdtContent>
          <w:tc>
            <w:tcPr>
              <w:tcW w:w="6713" w:type="dxa"/>
            </w:tcPr>
            <w:p w14:paraId="0F9DB9F6" w14:textId="77777777" w:rsidR="007B18CC" w:rsidRDefault="007B18CC" w:rsidP="007B18CC">
              <w:pPr>
                <w:pStyle w:val="Footer"/>
                <w:ind w:right="360"/>
              </w:pPr>
              <w:r>
                <w:rPr>
                  <w:sz w:val="20"/>
                </w:rPr>
                <w:t xml:space="preserve">     </w:t>
              </w:r>
            </w:p>
          </w:tc>
        </w:sdtContent>
      </w:sdt>
      <w:tc>
        <w:tcPr>
          <w:tcW w:w="6713" w:type="dxa"/>
        </w:tcPr>
        <w:p w14:paraId="30F3DA26" w14:textId="52CF1157" w:rsidR="007B18CC" w:rsidRDefault="007B18CC" w:rsidP="007B18CC">
          <w:pPr>
            <w:pStyle w:val="Footer"/>
            <w:ind w:right="360"/>
            <w:jc w:val="right"/>
          </w:pPr>
          <w:r>
            <w:fldChar w:fldCharType="begin"/>
          </w:r>
          <w:r>
            <w:instrText>PAGE   \* MERGEFORMAT</w:instrText>
          </w:r>
          <w:r>
            <w:fldChar w:fldCharType="separate"/>
          </w:r>
          <w:r w:rsidR="00E71770">
            <w:rPr>
              <w:noProof/>
            </w:rPr>
            <w:t>14</w:t>
          </w:r>
          <w:r>
            <w:fldChar w:fldCharType="end"/>
          </w:r>
        </w:p>
      </w:tc>
    </w:tr>
  </w:tbl>
  <w:p w14:paraId="4EFD73D6" w14:textId="77777777" w:rsidR="007B18CC" w:rsidRDefault="007B18CC" w:rsidP="007B18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91B28" w14:textId="77777777" w:rsidR="00D96552" w:rsidRDefault="00D96552" w:rsidP="004753B9">
      <w:r>
        <w:separator/>
      </w:r>
    </w:p>
  </w:footnote>
  <w:footnote w:type="continuationSeparator" w:id="0">
    <w:p w14:paraId="041505EB" w14:textId="77777777" w:rsidR="00D96552" w:rsidRDefault="00D96552" w:rsidP="004753B9">
      <w:r>
        <w:continuationSeparator/>
      </w:r>
    </w:p>
  </w:footnote>
  <w:footnote w:id="1">
    <w:p w14:paraId="35085644" w14:textId="316C6005" w:rsidR="007B18CC" w:rsidRPr="004753B9" w:rsidRDefault="007B18CC" w:rsidP="00FC7F09">
      <w:pPr>
        <w:pStyle w:val="FootnoteText"/>
        <w:rPr>
          <w:lang w:val="en-US"/>
        </w:rPr>
      </w:pPr>
      <w:r>
        <w:rPr>
          <w:rStyle w:val="FootnoteReference"/>
        </w:rPr>
        <w:footnoteRef/>
      </w:r>
      <w:r w:rsidRPr="00FC7F09">
        <w:rPr>
          <w:lang w:val="en-US"/>
        </w:rPr>
        <w:t xml:space="preserve"> </w:t>
      </w:r>
      <w:r w:rsidR="00FC7F09" w:rsidRPr="00FC7F09">
        <w:rPr>
          <w:lang w:val="en-US"/>
        </w:rPr>
        <w:t xml:space="preserve">SPD, </w:t>
      </w:r>
      <w:r w:rsidR="00FC7F09">
        <w:rPr>
          <w:lang w:val="en-US"/>
        </w:rPr>
        <w:t xml:space="preserve">Quick Reference for Designing </w:t>
      </w:r>
      <w:r w:rsidR="00FC7F09" w:rsidRPr="00FC7F09">
        <w:rPr>
          <w:lang w:val="en-US"/>
        </w:rPr>
        <w:t>Results Matrices</w:t>
      </w:r>
    </w:p>
  </w:footnote>
  <w:footnote w:id="2">
    <w:p w14:paraId="0A3A3640" w14:textId="7EA5A077" w:rsidR="00B33AC2" w:rsidRPr="00B33AC2" w:rsidRDefault="00B33AC2">
      <w:pPr>
        <w:pStyle w:val="FootnoteText"/>
        <w:rPr>
          <w:lang w:val="es-ES_tradnl"/>
        </w:rPr>
      </w:pPr>
      <w:r w:rsidRPr="00B33AC2">
        <w:rPr>
          <w:rStyle w:val="FootnoteReference"/>
          <w:sz w:val="18"/>
        </w:rPr>
        <w:footnoteRef/>
      </w:r>
      <w:r w:rsidRPr="00B33AC2">
        <w:rPr>
          <w:sz w:val="18"/>
        </w:rPr>
        <w:t xml:space="preserve"> </w:t>
      </w:r>
      <w:r w:rsidRPr="00B33AC2">
        <w:rPr>
          <w:sz w:val="18"/>
          <w:lang w:val="es-ES_tradnl"/>
        </w:rPr>
        <w:t>En negrilla se destacan los productos reportados en la matriz de productos (cuadro 2) en la columna “alcance real”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71428" w14:textId="5E79D810" w:rsidR="00E71770" w:rsidRDefault="00E71770">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C45967"/>
    <w:multiLevelType w:val="hybridMultilevel"/>
    <w:tmpl w:val="6A34EF34"/>
    <w:lvl w:ilvl="0" w:tplc="57803A8C">
      <w:start w:val="1"/>
      <w:numFmt w:val="upp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4A6B20DF"/>
    <w:multiLevelType w:val="hybridMultilevel"/>
    <w:tmpl w:val="435EDA3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5D3C7ED2"/>
    <w:multiLevelType w:val="hybridMultilevel"/>
    <w:tmpl w:val="0E92780A"/>
    <w:lvl w:ilvl="0" w:tplc="09EA9830">
      <w:start w:val="2"/>
      <w:numFmt w:val="bullet"/>
      <w:lvlText w:val="-"/>
      <w:lvlJc w:val="left"/>
      <w:pPr>
        <w:ind w:left="540" w:hanging="360"/>
      </w:pPr>
      <w:rPr>
        <w:rFonts w:ascii="Arial" w:eastAsiaTheme="minorHAnsi"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6E463934"/>
    <w:multiLevelType w:val="hybridMultilevel"/>
    <w:tmpl w:val="D3FCE586"/>
    <w:lvl w:ilvl="0" w:tplc="3D4CE5BA">
      <w:start w:val="2"/>
      <w:numFmt w:val="bullet"/>
      <w:lvlText w:val="-"/>
      <w:lvlJc w:val="left"/>
      <w:pPr>
        <w:ind w:left="540" w:hanging="360"/>
      </w:pPr>
      <w:rPr>
        <w:rFonts w:ascii="Arial" w:eastAsiaTheme="minorHAnsi"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7AAE3B7B"/>
    <w:multiLevelType w:val="hybridMultilevel"/>
    <w:tmpl w:val="39B08C46"/>
    <w:lvl w:ilvl="0" w:tplc="C256E6A0">
      <w:start w:val="1"/>
      <w:numFmt w:val="upp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EED"/>
    <w:rsid w:val="000471EB"/>
    <w:rsid w:val="0007799E"/>
    <w:rsid w:val="000B35B4"/>
    <w:rsid w:val="001532F9"/>
    <w:rsid w:val="00262966"/>
    <w:rsid w:val="002F17BF"/>
    <w:rsid w:val="002F6E96"/>
    <w:rsid w:val="00300B87"/>
    <w:rsid w:val="00354A0F"/>
    <w:rsid w:val="00382609"/>
    <w:rsid w:val="003B35FB"/>
    <w:rsid w:val="003B6235"/>
    <w:rsid w:val="003E4693"/>
    <w:rsid w:val="003F4461"/>
    <w:rsid w:val="00426155"/>
    <w:rsid w:val="004753B9"/>
    <w:rsid w:val="00530FAF"/>
    <w:rsid w:val="00584614"/>
    <w:rsid w:val="006924EC"/>
    <w:rsid w:val="006A6E65"/>
    <w:rsid w:val="006B1AC1"/>
    <w:rsid w:val="0073403E"/>
    <w:rsid w:val="00734216"/>
    <w:rsid w:val="0075027F"/>
    <w:rsid w:val="007B18CC"/>
    <w:rsid w:val="007C68D2"/>
    <w:rsid w:val="008000A2"/>
    <w:rsid w:val="0081132D"/>
    <w:rsid w:val="008211F8"/>
    <w:rsid w:val="00822086"/>
    <w:rsid w:val="00895124"/>
    <w:rsid w:val="009343BA"/>
    <w:rsid w:val="00952EED"/>
    <w:rsid w:val="00994770"/>
    <w:rsid w:val="00B00804"/>
    <w:rsid w:val="00B12BF9"/>
    <w:rsid w:val="00B33AC2"/>
    <w:rsid w:val="00B93EC1"/>
    <w:rsid w:val="00BB28C0"/>
    <w:rsid w:val="00BB3EB0"/>
    <w:rsid w:val="00BD67BE"/>
    <w:rsid w:val="00C21A3B"/>
    <w:rsid w:val="00C30D6C"/>
    <w:rsid w:val="00CA6E56"/>
    <w:rsid w:val="00CC0AAA"/>
    <w:rsid w:val="00CD1F84"/>
    <w:rsid w:val="00D234EC"/>
    <w:rsid w:val="00D906FC"/>
    <w:rsid w:val="00D96552"/>
    <w:rsid w:val="00DA1EAA"/>
    <w:rsid w:val="00DF4D24"/>
    <w:rsid w:val="00E51265"/>
    <w:rsid w:val="00E71770"/>
    <w:rsid w:val="00EB7A75"/>
    <w:rsid w:val="00F07C50"/>
    <w:rsid w:val="00F45595"/>
    <w:rsid w:val="00F90FF6"/>
    <w:rsid w:val="00FC7F09"/>
    <w:rsid w:val="00FD7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AEA5"/>
  <w15:chartTrackingRefBased/>
  <w15:docId w15:val="{C778F3E3-6A40-42E4-A673-D6480FF4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2EED"/>
    <w:pPr>
      <w:spacing w:after="0" w:line="240" w:lineRule="auto"/>
    </w:pPr>
    <w:rPr>
      <w:rFonts w:ascii="Arial" w:hAnsi="Arial"/>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2EED"/>
    <w:rPr>
      <w:sz w:val="16"/>
      <w:szCs w:val="16"/>
    </w:rPr>
  </w:style>
  <w:style w:type="paragraph" w:styleId="CommentText">
    <w:name w:val="annotation text"/>
    <w:basedOn w:val="Normal"/>
    <w:link w:val="CommentTextChar"/>
    <w:uiPriority w:val="99"/>
    <w:unhideWhenUsed/>
    <w:rsid w:val="00952EED"/>
    <w:rPr>
      <w:sz w:val="20"/>
      <w:szCs w:val="20"/>
    </w:rPr>
  </w:style>
  <w:style w:type="character" w:customStyle="1" w:styleId="CommentTextChar">
    <w:name w:val="Comment Text Char"/>
    <w:basedOn w:val="DefaultParagraphFont"/>
    <w:link w:val="CommentText"/>
    <w:uiPriority w:val="99"/>
    <w:rsid w:val="00952EED"/>
    <w:rPr>
      <w:rFonts w:ascii="Arial" w:hAnsi="Arial"/>
      <w:sz w:val="20"/>
      <w:szCs w:val="20"/>
      <w:lang w:val="es-ES"/>
    </w:rPr>
  </w:style>
  <w:style w:type="paragraph" w:styleId="BalloonText">
    <w:name w:val="Balloon Text"/>
    <w:basedOn w:val="Normal"/>
    <w:link w:val="BalloonTextChar"/>
    <w:uiPriority w:val="99"/>
    <w:semiHidden/>
    <w:unhideWhenUsed/>
    <w:rsid w:val="00952E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2EED"/>
    <w:rPr>
      <w:rFonts w:ascii="Segoe UI" w:hAnsi="Segoe UI" w:cs="Segoe UI"/>
      <w:sz w:val="18"/>
      <w:szCs w:val="18"/>
      <w:lang w:val="es-ES"/>
    </w:rPr>
  </w:style>
  <w:style w:type="table" w:styleId="TableGrid">
    <w:name w:val="Table Grid"/>
    <w:basedOn w:val="TableNormal"/>
    <w:uiPriority w:val="39"/>
    <w:rsid w:val="00B00804"/>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4D24"/>
    <w:pPr>
      <w:ind w:left="720"/>
      <w:contextualSpacing/>
    </w:pPr>
  </w:style>
  <w:style w:type="paragraph" w:styleId="FootnoteText">
    <w:name w:val="footnote text"/>
    <w:basedOn w:val="Normal"/>
    <w:link w:val="FootnoteTextChar"/>
    <w:uiPriority w:val="99"/>
    <w:semiHidden/>
    <w:unhideWhenUsed/>
    <w:rsid w:val="004753B9"/>
    <w:rPr>
      <w:sz w:val="20"/>
      <w:szCs w:val="20"/>
    </w:rPr>
  </w:style>
  <w:style w:type="character" w:customStyle="1" w:styleId="FootnoteTextChar">
    <w:name w:val="Footnote Text Char"/>
    <w:basedOn w:val="DefaultParagraphFont"/>
    <w:link w:val="FootnoteText"/>
    <w:uiPriority w:val="99"/>
    <w:semiHidden/>
    <w:rsid w:val="004753B9"/>
    <w:rPr>
      <w:rFonts w:ascii="Arial" w:hAnsi="Arial"/>
      <w:sz w:val="20"/>
      <w:szCs w:val="20"/>
      <w:lang w:val="es-ES"/>
    </w:rPr>
  </w:style>
  <w:style w:type="character" w:styleId="FootnoteReference">
    <w:name w:val="footnote reference"/>
    <w:basedOn w:val="DefaultParagraphFont"/>
    <w:uiPriority w:val="99"/>
    <w:semiHidden/>
    <w:unhideWhenUsed/>
    <w:rsid w:val="004753B9"/>
    <w:rPr>
      <w:vertAlign w:val="superscript"/>
    </w:rPr>
  </w:style>
  <w:style w:type="paragraph" w:styleId="Footer">
    <w:name w:val="footer"/>
    <w:basedOn w:val="Normal"/>
    <w:link w:val="FooterChar"/>
    <w:uiPriority w:val="99"/>
    <w:rsid w:val="007B18CC"/>
    <w:pPr>
      <w:tabs>
        <w:tab w:val="center" w:pos="4252"/>
        <w:tab w:val="right" w:pos="8504"/>
      </w:tabs>
      <w:jc w:val="both"/>
    </w:pPr>
    <w:rPr>
      <w:rFonts w:ascii="Times New Roman" w:eastAsia="Times New Roman" w:hAnsi="Times New Roman" w:cs="Times New Roman"/>
      <w:lang w:eastAsia="es-ES"/>
    </w:rPr>
  </w:style>
  <w:style w:type="character" w:customStyle="1" w:styleId="FooterChar">
    <w:name w:val="Footer Char"/>
    <w:basedOn w:val="DefaultParagraphFont"/>
    <w:link w:val="Footer"/>
    <w:uiPriority w:val="99"/>
    <w:rsid w:val="007B18CC"/>
    <w:rPr>
      <w:rFonts w:ascii="Times New Roman" w:eastAsia="Times New Roman" w:hAnsi="Times New Roman" w:cs="Times New Roman"/>
      <w:lang w:val="es-ES" w:eastAsia="es-ES"/>
    </w:rPr>
  </w:style>
  <w:style w:type="character" w:styleId="PageNumber">
    <w:name w:val="page number"/>
    <w:basedOn w:val="DefaultParagraphFont"/>
    <w:uiPriority w:val="99"/>
    <w:semiHidden/>
    <w:unhideWhenUsed/>
    <w:rsid w:val="007B18CC"/>
  </w:style>
  <w:style w:type="paragraph" w:styleId="Header">
    <w:name w:val="header"/>
    <w:basedOn w:val="Normal"/>
    <w:link w:val="HeaderChar"/>
    <w:uiPriority w:val="99"/>
    <w:unhideWhenUsed/>
    <w:rsid w:val="00E71770"/>
    <w:pPr>
      <w:tabs>
        <w:tab w:val="center" w:pos="4680"/>
        <w:tab w:val="right" w:pos="9360"/>
      </w:tabs>
    </w:pPr>
  </w:style>
  <w:style w:type="character" w:customStyle="1" w:styleId="HeaderChar">
    <w:name w:val="Header Char"/>
    <w:basedOn w:val="DefaultParagraphFont"/>
    <w:link w:val="Header"/>
    <w:uiPriority w:val="99"/>
    <w:rsid w:val="00E71770"/>
    <w:rPr>
      <w:rFonts w:ascii="Arial" w:hAnsi="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782CF2F9C70A14B8F165F1BADF9BF13" ma:contentTypeVersion="2116" ma:contentTypeDescription="A content type to manage public (operations) IDB documents" ma:contentTypeScope="" ma:versionID="3f63d1d46ca2434396fd9e4b36f08031">
  <xsd:schema xmlns:xsd="http://www.w3.org/2001/XMLSchema" xmlns:xs="http://www.w3.org/2001/XMLSchema" xmlns:p="http://schemas.microsoft.com/office/2006/metadata/properties" xmlns:ns2="cdc7663a-08f0-4737-9e8c-148ce897a09c" targetNamespace="http://schemas.microsoft.com/office/2006/metadata/properties" ma:root="true" ma:fieldsID="ee52ff3e3faabb71d9e778ea34c66aa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2793/OC-CH;</Approval_x0020_Number>
    <Phase xmlns="cdc7663a-08f0-4737-9e8c-148ce897a09c" xsi:nil="true"/>
    <Document_x0020_Author xmlns="cdc7663a-08f0-4737-9e8c-148ce897a09c">Rucci, Graciana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32</Value>
      <Value>31</Value>
      <Value>25</Value>
      <Value>1</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CH-L1064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R0002358633</Record_x0020_Number>
    <_dlc_DocId xmlns="cdc7663a-08f0-4737-9e8c-148ce897a09c">EZSHARE-1565212777-5</_dlc_DocId>
    <_dlc_DocIdUrl xmlns="cdc7663a-08f0-4737-9e8c-148ce897a09c">
      <Url>https://idbg.sharepoint.com/teams/EZ-CH-LON/CH-L1064/_layouts/15/DocIdRedir.aspx?ID=EZSHARE-1565212777-5</Url>
      <Description>EZSHARE-1565212777-5</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078FDC9-D3B0-46EC-8224-8A518228597B}">
  <ds:schemaRefs>
    <ds:schemaRef ds:uri="http://schemas.openxmlformats.org/officeDocument/2006/bibliography"/>
  </ds:schemaRefs>
</ds:datastoreItem>
</file>

<file path=customXml/itemProps2.xml><?xml version="1.0" encoding="utf-8"?>
<ds:datastoreItem xmlns:ds="http://schemas.openxmlformats.org/officeDocument/2006/customXml" ds:itemID="{8B24648C-377C-4BF8-BD51-06DE8FB4925D}"/>
</file>

<file path=customXml/itemProps3.xml><?xml version="1.0" encoding="utf-8"?>
<ds:datastoreItem xmlns:ds="http://schemas.openxmlformats.org/officeDocument/2006/customXml" ds:itemID="{44AD0063-B026-4FC3-8EA9-C9B165E24033}"/>
</file>

<file path=customXml/itemProps4.xml><?xml version="1.0" encoding="utf-8"?>
<ds:datastoreItem xmlns:ds="http://schemas.openxmlformats.org/officeDocument/2006/customXml" ds:itemID="{67430B96-B662-41F4-9456-3FCCBD13802C}"/>
</file>

<file path=customXml/itemProps5.xml><?xml version="1.0" encoding="utf-8"?>
<ds:datastoreItem xmlns:ds="http://schemas.openxmlformats.org/officeDocument/2006/customXml" ds:itemID="{7A642B4A-0C37-4FD5-91C8-4583679F43CB}"/>
</file>

<file path=customXml/itemProps6.xml><?xml version="1.0" encoding="utf-8"?>
<ds:datastoreItem xmlns:ds="http://schemas.openxmlformats.org/officeDocument/2006/customXml" ds:itemID="{12FD5939-18D0-4F3E-A7F4-8B4324B140FC}"/>
</file>

<file path=customXml/itemProps7.xml><?xml version="1.0" encoding="utf-8"?>
<ds:datastoreItem xmlns:ds="http://schemas.openxmlformats.org/officeDocument/2006/customXml" ds:itemID="{D154A986-7FF2-4368-A27E-3E8F8D598F73}"/>
</file>

<file path=docProps/app.xml><?xml version="1.0" encoding="utf-8"?>
<Properties xmlns="http://schemas.openxmlformats.org/officeDocument/2006/extended-properties" xmlns:vt="http://schemas.openxmlformats.org/officeDocument/2006/docPropsVTypes">
  <Template>Normal.dotm</Template>
  <TotalTime>23</TotalTime>
  <Pages>11</Pages>
  <Words>4122</Words>
  <Characters>23497</Characters>
  <Application>Microsoft Office Word</Application>
  <DocSecurity>0</DocSecurity>
  <Lines>195</Lines>
  <Paragraphs>55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27564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Bagolle, Alexandre</dc:creator>
  <cp:keywords/>
  <dc:description/>
  <cp:lastModifiedBy>Muhlstein, Ethel Rosa</cp:lastModifiedBy>
  <cp:revision>3</cp:revision>
  <cp:lastPrinted>2018-06-22T17:05:00Z</cp:lastPrinted>
  <dcterms:created xsi:type="dcterms:W3CDTF">2018-07-05T18:34:00Z</dcterms:created>
  <dcterms:modified xsi:type="dcterms:W3CDTF">2018-07-06T20:39:00Z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32;#LABOR INTERMEDIATION SYSTEMS|72d0edb0-5336-43b6-bb2f-05b457738b24</vt:lpwstr>
  </property>
  <property fmtid="{D5CDD505-2E9C-101B-9397-08002B2CF9AE}" pid="7" name="Fund IDB">
    <vt:lpwstr>28;#ORC|c028a4b2-ad8b-4cf4-9cac-a2ae6a778e23</vt:lpwstr>
  </property>
  <property fmtid="{D5CDD505-2E9C-101B-9397-08002B2CF9AE}" pid="8" name="Country">
    <vt:lpwstr>25;#Chile|0646c65c-e431-42e3-a932-0671c6b608b9</vt:lpwstr>
  </property>
  <property fmtid="{D5CDD505-2E9C-101B-9397-08002B2CF9AE}" pid="9" name="Sector IDB">
    <vt:lpwstr>31;#SOCIAL INVESTMENT|3f908695-d5b5-49f6-941f-76876b39564f</vt:lpwstr>
  </property>
  <property fmtid="{D5CDD505-2E9C-101B-9397-08002B2CF9AE}" pid="10" name="Function Operations IDB">
    <vt:lpwstr>1;#Monitoring and Reporting|df3c2aa1-d63e-41aa-b1f5-bb15dee691ca</vt:lpwstr>
  </property>
  <property fmtid="{D5CDD505-2E9C-101B-9397-08002B2CF9AE}" pid="11" name="_dlc_DocIdItemGuid">
    <vt:lpwstr>a1c6f5c0-fcb4-4e00-90a7-6edff0d43237</vt:lpwstr>
  </property>
  <property fmtid="{D5CDD505-2E9C-101B-9397-08002B2CF9AE}" pid="12" name="ContentTypeId">
    <vt:lpwstr>0x0101001A458A224826124E8B45B1D613300CFC006782CF2F9C70A14B8F165F1BADF9BF13</vt:lpwstr>
  </property>
</Properties>
</file>