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olors1.xml" ContentType="application/vnd.ms-office.chartcolorstyle+xml"/>
  <Override PartName="/word/charts/style1.xml" ContentType="application/vnd.ms-office.chartstyl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FB" w:rsidRDefault="00756FBA" w:rsidP="00EA70FB">
      <w:pPr>
        <w:jc w:val="center"/>
        <w:rPr>
          <w:rFonts w:ascii="Arial" w:hAnsi="Arial" w:cs="Arial"/>
          <w:b/>
          <w:lang w:val="es-ES_tradnl"/>
        </w:rPr>
      </w:pPr>
      <w:proofErr w:type="spellStart"/>
      <w:r>
        <w:rPr>
          <w:rFonts w:ascii="Arial" w:hAnsi="Arial" w:cs="Arial"/>
          <w:b/>
        </w:rPr>
        <w:t>An</w:t>
      </w:r>
      <w:r>
        <w:rPr>
          <w:rFonts w:ascii="Arial" w:hAnsi="Arial" w:cs="Arial"/>
          <w:b/>
          <w:lang w:val="es-ES_tradnl"/>
        </w:rPr>
        <w:t>álisis</w:t>
      </w:r>
      <w:proofErr w:type="spellEnd"/>
      <w:r>
        <w:rPr>
          <w:rFonts w:ascii="Arial" w:hAnsi="Arial" w:cs="Arial"/>
          <w:b/>
          <w:lang w:val="es-ES_tradnl"/>
        </w:rPr>
        <w:t xml:space="preserve"> Costo Beneficio PCR CH-L1064</w:t>
      </w:r>
    </w:p>
    <w:p w:rsidR="00756FBA" w:rsidRPr="00EA70FB" w:rsidRDefault="00756FBA" w:rsidP="00EA70FB">
      <w:pPr>
        <w:jc w:val="center"/>
        <w:rPr>
          <w:rFonts w:ascii="Arial" w:hAnsi="Arial" w:cs="Arial"/>
          <w:b/>
        </w:rPr>
      </w:pPr>
    </w:p>
    <w:p w:rsidR="00CD196F" w:rsidRDefault="00CD196F" w:rsidP="00C27728">
      <w:pPr>
        <w:jc w:val="both"/>
        <w:rPr>
          <w:rFonts w:ascii="Arial" w:hAnsi="Arial" w:cs="Arial"/>
        </w:rPr>
      </w:pPr>
      <w:r w:rsidRPr="00CD196F">
        <w:rPr>
          <w:rFonts w:ascii="Arial" w:hAnsi="Arial" w:cs="Arial"/>
        </w:rPr>
        <w:t xml:space="preserve">En esta sección se detalla el análisis de costo-beneficio </w:t>
      </w:r>
      <w:r w:rsidR="00502556">
        <w:rPr>
          <w:rFonts w:ascii="Arial" w:hAnsi="Arial" w:cs="Arial"/>
        </w:rPr>
        <w:t xml:space="preserve">(ACB) </w:t>
      </w:r>
      <w:r w:rsidRPr="00CD196F">
        <w:rPr>
          <w:rFonts w:ascii="Arial" w:hAnsi="Arial" w:cs="Arial"/>
        </w:rPr>
        <w:t xml:space="preserve">que se realizó para medir la eficiencia del programa. En primer </w:t>
      </w:r>
      <w:r w:rsidR="002B2938" w:rsidRPr="00CD196F">
        <w:rPr>
          <w:rFonts w:ascii="Arial" w:hAnsi="Arial" w:cs="Arial"/>
        </w:rPr>
        <w:t>lugar,</w:t>
      </w:r>
      <w:r w:rsidRPr="00CD196F">
        <w:rPr>
          <w:rFonts w:ascii="Arial" w:hAnsi="Arial" w:cs="Arial"/>
        </w:rPr>
        <w:t xml:space="preserve"> se detallan los costos </w:t>
      </w:r>
      <w:r w:rsidR="002B2938" w:rsidRPr="00CD196F">
        <w:rPr>
          <w:rFonts w:ascii="Arial" w:hAnsi="Arial" w:cs="Arial"/>
        </w:rPr>
        <w:t>imputados</w:t>
      </w:r>
      <w:r w:rsidRPr="00CD196F">
        <w:rPr>
          <w:rFonts w:ascii="Arial" w:hAnsi="Arial" w:cs="Arial"/>
        </w:rPr>
        <w:t xml:space="preserve"> al programa. Luego se detalla el </w:t>
      </w:r>
      <w:r w:rsidR="002B2938" w:rsidRPr="00CD196F">
        <w:rPr>
          <w:rFonts w:ascii="Arial" w:hAnsi="Arial" w:cs="Arial"/>
        </w:rPr>
        <w:t>cálculo</w:t>
      </w:r>
      <w:r w:rsidRPr="00CD196F">
        <w:rPr>
          <w:rFonts w:ascii="Arial" w:hAnsi="Arial" w:cs="Arial"/>
        </w:rPr>
        <w:t xml:space="preserve"> de los beneficios monetarios, los que se derivan de la cuantificación monetaria de los indicadores de </w:t>
      </w:r>
      <w:r w:rsidR="0012491D">
        <w:rPr>
          <w:rFonts w:ascii="Arial" w:hAnsi="Arial" w:cs="Arial"/>
        </w:rPr>
        <w:t>resultado</w:t>
      </w:r>
      <w:r w:rsidR="0012491D" w:rsidRPr="00CD196F">
        <w:rPr>
          <w:rFonts w:ascii="Arial" w:hAnsi="Arial" w:cs="Arial"/>
        </w:rPr>
        <w:t xml:space="preserve"> </w:t>
      </w:r>
      <w:r w:rsidRPr="00CD196F">
        <w:rPr>
          <w:rFonts w:ascii="Arial" w:hAnsi="Arial" w:cs="Arial"/>
        </w:rPr>
        <w:t xml:space="preserve">del programa descritos en la </w:t>
      </w:r>
      <w:r w:rsidR="002B2938" w:rsidRPr="00CD196F">
        <w:rPr>
          <w:rFonts w:ascii="Arial" w:hAnsi="Arial" w:cs="Arial"/>
        </w:rPr>
        <w:t>Sección</w:t>
      </w:r>
      <w:r w:rsidRPr="00CD196F">
        <w:rPr>
          <w:rFonts w:ascii="Arial" w:hAnsi="Arial" w:cs="Arial"/>
        </w:rPr>
        <w:t xml:space="preserve"> 2.2. Por </w:t>
      </w:r>
      <w:r w:rsidR="002B2938" w:rsidRPr="00CD196F">
        <w:rPr>
          <w:rFonts w:ascii="Arial" w:hAnsi="Arial" w:cs="Arial"/>
        </w:rPr>
        <w:t>último,</w:t>
      </w:r>
      <w:r w:rsidRPr="00CD196F">
        <w:rPr>
          <w:rFonts w:ascii="Arial" w:hAnsi="Arial" w:cs="Arial"/>
        </w:rPr>
        <w:t xml:space="preserve"> se describ</w:t>
      </w:r>
      <w:r w:rsidR="00A91047">
        <w:rPr>
          <w:rFonts w:ascii="Arial" w:hAnsi="Arial" w:cs="Arial"/>
        </w:rPr>
        <w:t xml:space="preserve">e el análisis </w:t>
      </w:r>
      <w:r w:rsidRPr="00CD196F">
        <w:rPr>
          <w:rFonts w:ascii="Arial" w:hAnsi="Arial" w:cs="Arial"/>
        </w:rPr>
        <w:t xml:space="preserve">de sensibilidad de los resultados. </w:t>
      </w:r>
    </w:p>
    <w:p w:rsidR="00511E39" w:rsidRDefault="00756FBA" w:rsidP="00C27728">
      <w:pPr>
        <w:jc w:val="both"/>
        <w:rPr>
          <w:rFonts w:ascii="Arial" w:hAnsi="Arial" w:cs="Arial"/>
        </w:rPr>
      </w:pPr>
      <w:r>
        <w:rPr>
          <w:rFonts w:ascii="Arial" w:hAnsi="Arial" w:cs="Arial"/>
        </w:rPr>
        <w:t>P</w:t>
      </w:r>
      <w:r w:rsidR="00511E39" w:rsidRPr="00511E39">
        <w:rPr>
          <w:rFonts w:ascii="Arial" w:hAnsi="Arial" w:cs="Arial"/>
        </w:rPr>
        <w:t>ara el análisis de eficiencia al cierre de este programa se realizó un análisis económico ex-post utilizando un análisis costo-beneficio (ACB). Se priorizó esta metodología por sobre un cálculo de costo-efectividad por las siguientes dos razones: (i) la heterogeneidad de las actividades incluidas en el préstamo dificulta crear una única métrica de efectividad; y (ii)</w:t>
      </w:r>
      <w:r>
        <w:rPr>
          <w:rFonts w:ascii="Arial" w:hAnsi="Arial" w:cs="Arial"/>
        </w:rPr>
        <w:t> </w:t>
      </w:r>
      <w:r w:rsidR="00511E39" w:rsidRPr="00511E39">
        <w:rPr>
          <w:rFonts w:ascii="Arial" w:hAnsi="Arial" w:cs="Arial"/>
        </w:rPr>
        <w:t>las métricas para medir los resultados esperados del programa se refieren a salarios y tasas de ocupación, beneficios que son cuantificables desde un punto de vista monetario, sin la necesidad de supuestos complejos.</w:t>
      </w:r>
    </w:p>
    <w:p w:rsidR="00A8284E" w:rsidRDefault="00A42B39" w:rsidP="00C27728">
      <w:pPr>
        <w:jc w:val="both"/>
        <w:rPr>
          <w:rFonts w:ascii="Arial" w:hAnsi="Arial" w:cs="Arial"/>
        </w:rPr>
      </w:pPr>
      <w:r>
        <w:rPr>
          <w:rFonts w:ascii="Arial" w:hAnsi="Arial" w:cs="Arial"/>
          <w:b/>
        </w:rPr>
        <w:t>Como resultado</w:t>
      </w:r>
      <w:r w:rsidR="00BB78A9" w:rsidRPr="00BB78A9">
        <w:rPr>
          <w:rFonts w:ascii="Arial" w:hAnsi="Arial" w:cs="Arial"/>
          <w:b/>
        </w:rPr>
        <w:t xml:space="preserve"> </w:t>
      </w:r>
      <w:r>
        <w:rPr>
          <w:rFonts w:ascii="Arial" w:hAnsi="Arial" w:cs="Arial"/>
          <w:b/>
        </w:rPr>
        <w:t>del ACB se obtiene que e</w:t>
      </w:r>
      <w:r w:rsidR="00BB78A9" w:rsidRPr="00A44914">
        <w:rPr>
          <w:rFonts w:ascii="Arial" w:hAnsi="Arial" w:cs="Arial"/>
          <w:b/>
        </w:rPr>
        <w:t xml:space="preserve">l Valor Presente Neto del programa CH-L1064 asciende a </w:t>
      </w:r>
      <w:r w:rsidR="00756FBA">
        <w:rPr>
          <w:rFonts w:ascii="Arial" w:hAnsi="Arial" w:cs="Arial"/>
          <w:b/>
        </w:rPr>
        <w:t>US$</w:t>
      </w:r>
      <w:r w:rsidR="00BB78A9" w:rsidRPr="00A44914">
        <w:rPr>
          <w:rFonts w:ascii="Arial" w:hAnsi="Arial" w:cs="Arial"/>
          <w:b/>
        </w:rPr>
        <w:t>139.2 millones en el largo plazo, con una tasa interna de retorno (TIR) del 34% y un ratio beneficio-costo de 2.45.</w:t>
      </w:r>
      <w:r w:rsidR="00BB78A9">
        <w:rPr>
          <w:rFonts w:ascii="Arial" w:hAnsi="Arial" w:cs="Arial"/>
        </w:rPr>
        <w:t xml:space="preserve"> Es importante señalar que tanto para el corto, mediano como largo plazo el VAN del programa es positivo. </w:t>
      </w:r>
      <w:r w:rsidR="00811F80">
        <w:rPr>
          <w:rFonts w:ascii="Arial" w:hAnsi="Arial" w:cs="Arial"/>
        </w:rPr>
        <w:t>El Cuadro</w:t>
      </w:r>
      <w:r w:rsidR="00BB78A9">
        <w:rPr>
          <w:rFonts w:ascii="Arial" w:hAnsi="Arial" w:cs="Arial"/>
        </w:rPr>
        <w:t xml:space="preserve"> 5 señala estos 3 indicadores para cada uno de los 3 períodos: corto, mediano y largo plazo.</w:t>
      </w:r>
    </w:p>
    <w:p w:rsidR="00511E39" w:rsidRPr="00CD196F" w:rsidRDefault="00511E39" w:rsidP="00C27728">
      <w:pPr>
        <w:jc w:val="both"/>
        <w:rPr>
          <w:rFonts w:ascii="Arial" w:hAnsi="Arial" w:cs="Arial"/>
        </w:rPr>
      </w:pPr>
    </w:p>
    <w:p w:rsidR="004920EE" w:rsidRPr="002B2938" w:rsidRDefault="00CD196F" w:rsidP="00CD196F">
      <w:pPr>
        <w:pStyle w:val="ListParagraph"/>
        <w:numPr>
          <w:ilvl w:val="0"/>
          <w:numId w:val="1"/>
        </w:numPr>
        <w:rPr>
          <w:rFonts w:ascii="Arial" w:hAnsi="Arial" w:cs="Arial"/>
          <w:b/>
        </w:rPr>
      </w:pPr>
      <w:r w:rsidRPr="002B2938">
        <w:rPr>
          <w:rFonts w:ascii="Arial" w:hAnsi="Arial" w:cs="Arial"/>
          <w:b/>
        </w:rPr>
        <w:t>Costos del programa</w:t>
      </w:r>
    </w:p>
    <w:p w:rsidR="00CD196F" w:rsidRPr="00CD196F" w:rsidRDefault="00CD196F" w:rsidP="00C27728">
      <w:pPr>
        <w:jc w:val="both"/>
        <w:rPr>
          <w:rFonts w:ascii="Arial" w:hAnsi="Arial" w:cs="Arial"/>
        </w:rPr>
      </w:pPr>
      <w:r w:rsidRPr="00CD196F">
        <w:rPr>
          <w:rFonts w:ascii="Arial" w:hAnsi="Arial" w:cs="Arial"/>
        </w:rPr>
        <w:t xml:space="preserve">El costo total directo del programa CH-L1064 asciende a </w:t>
      </w:r>
      <w:r w:rsidR="00756FBA">
        <w:rPr>
          <w:rFonts w:ascii="Arial" w:hAnsi="Arial" w:cs="Arial"/>
        </w:rPr>
        <w:t>US$</w:t>
      </w:r>
      <w:r w:rsidRPr="00CD196F">
        <w:rPr>
          <w:rFonts w:ascii="Arial" w:hAnsi="Arial" w:cs="Arial"/>
        </w:rPr>
        <w:t xml:space="preserve">11,508,200. Este monto corresponde al gasto total de las actividades para cada uno de los 3 componentes </w:t>
      </w:r>
      <w:r w:rsidR="00502556" w:rsidRPr="00CD196F">
        <w:rPr>
          <w:rFonts w:ascii="Arial" w:hAnsi="Arial" w:cs="Arial"/>
        </w:rPr>
        <w:t>más</w:t>
      </w:r>
      <w:r w:rsidRPr="00CD196F">
        <w:rPr>
          <w:rFonts w:ascii="Arial" w:hAnsi="Arial" w:cs="Arial"/>
        </w:rPr>
        <w:t xml:space="preserve"> el gasto en personal de la unidad ejecutora del programa</w:t>
      </w:r>
      <w:r w:rsidR="00502556">
        <w:rPr>
          <w:rFonts w:ascii="Arial" w:hAnsi="Arial" w:cs="Arial"/>
        </w:rPr>
        <w:t xml:space="preserve">. El desglose de los costos se detalla en </w:t>
      </w:r>
      <w:r w:rsidR="00811F80">
        <w:rPr>
          <w:rFonts w:ascii="Arial" w:hAnsi="Arial" w:cs="Arial"/>
        </w:rPr>
        <w:t>el Cuadro</w:t>
      </w:r>
      <w:r w:rsidR="00502556">
        <w:rPr>
          <w:rFonts w:ascii="Arial" w:hAnsi="Arial" w:cs="Arial"/>
        </w:rPr>
        <w:t xml:space="preserve"> 1</w:t>
      </w:r>
      <w:r w:rsidRPr="00CD196F">
        <w:rPr>
          <w:rFonts w:ascii="Arial" w:hAnsi="Arial" w:cs="Arial"/>
        </w:rPr>
        <w:t>.</w:t>
      </w:r>
      <w:r w:rsidR="00502556">
        <w:rPr>
          <w:rFonts w:ascii="Arial" w:hAnsi="Arial" w:cs="Arial"/>
        </w:rPr>
        <w:t xml:space="preserve"> </w:t>
      </w:r>
    </w:p>
    <w:p w:rsidR="00502556" w:rsidRPr="00502556" w:rsidRDefault="00811F80" w:rsidP="00A91047">
      <w:pPr>
        <w:pStyle w:val="Caption"/>
      </w:pPr>
      <w:r>
        <w:t>Cuadro</w:t>
      </w:r>
      <w:r w:rsidRPr="00502556">
        <w:t xml:space="preserve">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1</w:t>
      </w:r>
      <w:r w:rsidR="008B1632">
        <w:rPr>
          <w:noProof/>
        </w:rPr>
        <w:fldChar w:fldCharType="end"/>
      </w:r>
      <w:r w:rsidR="00502556" w:rsidRPr="00502556">
        <w:t>: Costos directos del programa CH-L1064</w:t>
      </w:r>
    </w:p>
    <w:tbl>
      <w:tblPr>
        <w:tblW w:w="6980" w:type="dxa"/>
        <w:jc w:val="center"/>
        <w:tblCellMar>
          <w:left w:w="70" w:type="dxa"/>
          <w:right w:w="70" w:type="dxa"/>
        </w:tblCellMar>
        <w:tblLook w:val="04A0" w:firstRow="1" w:lastRow="0" w:firstColumn="1" w:lastColumn="0" w:noHBand="0" w:noVBand="1"/>
      </w:tblPr>
      <w:tblGrid>
        <w:gridCol w:w="5380"/>
        <w:gridCol w:w="1600"/>
      </w:tblGrid>
      <w:tr w:rsidR="00502556" w:rsidRPr="00502556" w:rsidTr="00502556">
        <w:trPr>
          <w:trHeight w:val="300"/>
          <w:jc w:val="center"/>
        </w:trPr>
        <w:tc>
          <w:tcPr>
            <w:tcW w:w="538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502556" w:rsidRPr="00502556" w:rsidRDefault="00502556" w:rsidP="00502556">
            <w:pPr>
              <w:spacing w:after="0" w:line="240" w:lineRule="auto"/>
              <w:jc w:val="center"/>
              <w:rPr>
                <w:rFonts w:ascii="Arial" w:eastAsia="Times New Roman" w:hAnsi="Arial" w:cs="Arial"/>
                <w:b/>
                <w:bCs/>
                <w:color w:val="000000"/>
                <w:sz w:val="20"/>
                <w:lang w:eastAsia="es-CL"/>
              </w:rPr>
            </w:pPr>
            <w:r w:rsidRPr="00502556">
              <w:rPr>
                <w:rFonts w:ascii="Arial" w:eastAsia="Times New Roman" w:hAnsi="Arial" w:cs="Arial"/>
                <w:b/>
                <w:bCs/>
                <w:color w:val="000000"/>
                <w:sz w:val="20"/>
                <w:lang w:eastAsia="es-CL"/>
              </w:rPr>
              <w:t>Componente</w:t>
            </w:r>
          </w:p>
        </w:tc>
        <w:tc>
          <w:tcPr>
            <w:tcW w:w="1600" w:type="dxa"/>
            <w:tcBorders>
              <w:top w:val="single" w:sz="4" w:space="0" w:color="auto"/>
              <w:left w:val="nil"/>
              <w:bottom w:val="single" w:sz="4" w:space="0" w:color="auto"/>
              <w:right w:val="single" w:sz="4" w:space="0" w:color="auto"/>
            </w:tcBorders>
            <w:shd w:val="clear" w:color="000000" w:fill="A6A6A6"/>
            <w:noWrap/>
            <w:vAlign w:val="center"/>
            <w:hideMark/>
          </w:tcPr>
          <w:p w:rsidR="00502556" w:rsidRPr="00502556" w:rsidRDefault="00502556" w:rsidP="00502556">
            <w:pPr>
              <w:spacing w:after="0" w:line="240" w:lineRule="auto"/>
              <w:jc w:val="center"/>
              <w:rPr>
                <w:rFonts w:ascii="Arial" w:eastAsia="Times New Roman" w:hAnsi="Arial" w:cs="Arial"/>
                <w:b/>
                <w:bCs/>
                <w:color w:val="000000"/>
                <w:sz w:val="20"/>
                <w:lang w:eastAsia="es-CL"/>
              </w:rPr>
            </w:pPr>
            <w:r w:rsidRPr="00502556">
              <w:rPr>
                <w:rFonts w:ascii="Arial" w:eastAsia="Times New Roman" w:hAnsi="Arial" w:cs="Arial"/>
                <w:b/>
                <w:bCs/>
                <w:color w:val="000000"/>
                <w:sz w:val="20"/>
                <w:lang w:eastAsia="es-CL"/>
              </w:rPr>
              <w:t>Costo</w:t>
            </w:r>
            <w:r w:rsidRPr="00C27728">
              <w:rPr>
                <w:rFonts w:ascii="Arial" w:eastAsia="Times New Roman" w:hAnsi="Arial" w:cs="Arial"/>
                <w:b/>
                <w:bCs/>
                <w:color w:val="000000"/>
                <w:sz w:val="20"/>
                <w:lang w:eastAsia="es-CL"/>
              </w:rPr>
              <w:t xml:space="preserve"> (</w:t>
            </w:r>
            <w:r w:rsidR="00756FBA">
              <w:rPr>
                <w:rFonts w:ascii="Arial" w:eastAsia="Times New Roman" w:hAnsi="Arial" w:cs="Arial"/>
                <w:b/>
                <w:bCs/>
                <w:color w:val="000000"/>
                <w:sz w:val="20"/>
                <w:lang w:eastAsia="es-CL"/>
              </w:rPr>
              <w:t>US$</w:t>
            </w:r>
            <w:r w:rsidRPr="00C27728">
              <w:rPr>
                <w:rFonts w:ascii="Arial" w:eastAsia="Times New Roman" w:hAnsi="Arial" w:cs="Arial"/>
                <w:b/>
                <w:bCs/>
                <w:color w:val="000000"/>
                <w:sz w:val="20"/>
                <w:lang w:eastAsia="es-CL"/>
              </w:rPr>
              <w:t>)</w:t>
            </w:r>
          </w:p>
        </w:tc>
      </w:tr>
      <w:tr w:rsidR="002005F2" w:rsidRPr="00502556" w:rsidTr="00502556">
        <w:trPr>
          <w:trHeight w:val="855"/>
          <w:jc w:val="center"/>
        </w:trPr>
        <w:tc>
          <w:tcPr>
            <w:tcW w:w="5380" w:type="dxa"/>
            <w:tcBorders>
              <w:top w:val="nil"/>
              <w:left w:val="single" w:sz="4" w:space="0" w:color="auto"/>
              <w:bottom w:val="single" w:sz="4" w:space="0" w:color="auto"/>
              <w:right w:val="single" w:sz="4" w:space="0" w:color="auto"/>
            </w:tcBorders>
            <w:shd w:val="clear" w:color="auto" w:fill="auto"/>
            <w:vAlign w:val="center"/>
            <w:hideMark/>
          </w:tcPr>
          <w:p w:rsidR="002005F2" w:rsidRPr="00502556" w:rsidRDefault="002005F2" w:rsidP="002005F2">
            <w:pPr>
              <w:spacing w:after="0" w:line="240" w:lineRule="auto"/>
              <w:rPr>
                <w:rFonts w:ascii="Arial" w:eastAsia="Times New Roman" w:hAnsi="Arial" w:cs="Arial"/>
                <w:bCs/>
                <w:color w:val="000000"/>
                <w:sz w:val="20"/>
                <w:lang w:eastAsia="es-CL"/>
              </w:rPr>
            </w:pPr>
            <w:r w:rsidRPr="00502556">
              <w:rPr>
                <w:rFonts w:ascii="Arial" w:eastAsia="Times New Roman" w:hAnsi="Arial" w:cs="Arial"/>
                <w:bCs/>
                <w:color w:val="000000"/>
                <w:sz w:val="20"/>
                <w:lang w:eastAsia="es-CL"/>
              </w:rPr>
              <w:t>1) Apoyo a la mejora de las capacidades de rectoría y regulación de la capacitación</w:t>
            </w:r>
          </w:p>
        </w:tc>
        <w:tc>
          <w:tcPr>
            <w:tcW w:w="1600" w:type="dxa"/>
            <w:tcBorders>
              <w:top w:val="nil"/>
              <w:left w:val="nil"/>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jc w:val="right"/>
              <w:rPr>
                <w:rFonts w:ascii="Arial" w:eastAsia="Times New Roman" w:hAnsi="Arial" w:cs="Arial"/>
                <w:color w:val="000000"/>
                <w:sz w:val="20"/>
                <w:lang w:eastAsia="es-CL"/>
              </w:rPr>
            </w:pPr>
            <w:r>
              <w:rPr>
                <w:rFonts w:ascii="Arial" w:hAnsi="Arial" w:cs="Arial"/>
                <w:color w:val="000000"/>
                <w:sz w:val="20"/>
                <w:szCs w:val="20"/>
              </w:rPr>
              <w:t>2,481,501.56</w:t>
            </w:r>
          </w:p>
        </w:tc>
      </w:tr>
      <w:tr w:rsidR="002005F2" w:rsidRPr="00502556" w:rsidTr="00502556">
        <w:trPr>
          <w:trHeight w:val="855"/>
          <w:jc w:val="center"/>
        </w:trPr>
        <w:tc>
          <w:tcPr>
            <w:tcW w:w="5380" w:type="dxa"/>
            <w:tcBorders>
              <w:top w:val="nil"/>
              <w:left w:val="single" w:sz="4" w:space="0" w:color="auto"/>
              <w:bottom w:val="single" w:sz="4" w:space="0" w:color="auto"/>
              <w:right w:val="single" w:sz="4" w:space="0" w:color="auto"/>
            </w:tcBorders>
            <w:shd w:val="clear" w:color="auto" w:fill="auto"/>
            <w:vAlign w:val="center"/>
            <w:hideMark/>
          </w:tcPr>
          <w:p w:rsidR="002005F2" w:rsidRPr="00502556" w:rsidRDefault="002005F2" w:rsidP="002005F2">
            <w:pPr>
              <w:spacing w:after="0" w:line="240" w:lineRule="auto"/>
              <w:rPr>
                <w:rFonts w:ascii="Arial" w:eastAsia="Times New Roman" w:hAnsi="Arial" w:cs="Arial"/>
                <w:bCs/>
                <w:color w:val="000000"/>
                <w:sz w:val="20"/>
                <w:lang w:eastAsia="es-CL"/>
              </w:rPr>
            </w:pPr>
            <w:r w:rsidRPr="00502556">
              <w:rPr>
                <w:rFonts w:ascii="Arial" w:eastAsia="Times New Roman" w:hAnsi="Arial" w:cs="Arial"/>
                <w:bCs/>
                <w:color w:val="000000"/>
                <w:sz w:val="20"/>
                <w:lang w:eastAsia="es-CL"/>
              </w:rPr>
              <w:t>2) Apoyo a la mejora de la calidad y pertinencia de los programas de capacitación del SENCE</w:t>
            </w:r>
          </w:p>
        </w:tc>
        <w:tc>
          <w:tcPr>
            <w:tcW w:w="1600" w:type="dxa"/>
            <w:tcBorders>
              <w:top w:val="nil"/>
              <w:left w:val="nil"/>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jc w:val="right"/>
              <w:rPr>
                <w:rFonts w:ascii="Arial" w:eastAsia="Times New Roman" w:hAnsi="Arial" w:cs="Arial"/>
                <w:color w:val="000000"/>
                <w:sz w:val="20"/>
                <w:lang w:eastAsia="es-CL"/>
              </w:rPr>
            </w:pPr>
            <w:r>
              <w:rPr>
                <w:rFonts w:ascii="Calibri" w:hAnsi="Calibri" w:cs="Calibri"/>
                <w:color w:val="000000"/>
              </w:rPr>
              <w:t>4,417,388.78</w:t>
            </w:r>
          </w:p>
        </w:tc>
      </w:tr>
      <w:tr w:rsidR="002005F2" w:rsidRPr="00502556" w:rsidTr="00502556">
        <w:trPr>
          <w:trHeight w:val="855"/>
          <w:jc w:val="center"/>
        </w:trPr>
        <w:tc>
          <w:tcPr>
            <w:tcW w:w="5380" w:type="dxa"/>
            <w:tcBorders>
              <w:top w:val="nil"/>
              <w:left w:val="single" w:sz="4" w:space="0" w:color="auto"/>
              <w:bottom w:val="single" w:sz="4" w:space="0" w:color="auto"/>
              <w:right w:val="single" w:sz="4" w:space="0" w:color="auto"/>
            </w:tcBorders>
            <w:shd w:val="clear" w:color="auto" w:fill="auto"/>
            <w:vAlign w:val="center"/>
            <w:hideMark/>
          </w:tcPr>
          <w:p w:rsidR="002005F2" w:rsidRPr="00502556" w:rsidRDefault="002005F2" w:rsidP="002005F2">
            <w:pPr>
              <w:spacing w:after="0" w:line="240" w:lineRule="auto"/>
              <w:rPr>
                <w:rFonts w:ascii="Arial" w:eastAsia="Times New Roman" w:hAnsi="Arial" w:cs="Arial"/>
                <w:bCs/>
                <w:color w:val="000000"/>
                <w:sz w:val="20"/>
                <w:lang w:eastAsia="es-CL"/>
              </w:rPr>
            </w:pPr>
            <w:r w:rsidRPr="00502556">
              <w:rPr>
                <w:rFonts w:ascii="Arial" w:eastAsia="Times New Roman" w:hAnsi="Arial" w:cs="Arial"/>
                <w:bCs/>
                <w:color w:val="000000"/>
                <w:sz w:val="20"/>
                <w:lang w:eastAsia="es-CL"/>
              </w:rPr>
              <w:t>3) Apoyo a la mejora administrativa</w:t>
            </w:r>
          </w:p>
        </w:tc>
        <w:tc>
          <w:tcPr>
            <w:tcW w:w="1600" w:type="dxa"/>
            <w:tcBorders>
              <w:top w:val="nil"/>
              <w:left w:val="nil"/>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jc w:val="right"/>
              <w:rPr>
                <w:rFonts w:ascii="Arial" w:eastAsia="Times New Roman" w:hAnsi="Arial" w:cs="Arial"/>
                <w:color w:val="000000"/>
                <w:sz w:val="20"/>
                <w:lang w:eastAsia="es-CL"/>
              </w:rPr>
            </w:pPr>
            <w:r>
              <w:rPr>
                <w:rFonts w:ascii="Calibri" w:hAnsi="Calibri" w:cs="Calibri"/>
                <w:color w:val="000000"/>
              </w:rPr>
              <w:t>2,618,482.28</w:t>
            </w:r>
          </w:p>
        </w:tc>
      </w:tr>
      <w:tr w:rsidR="002005F2" w:rsidRPr="00502556" w:rsidTr="005F47AA">
        <w:trPr>
          <w:trHeight w:val="300"/>
          <w:jc w:val="center"/>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rPr>
                <w:rFonts w:ascii="Arial" w:eastAsia="Times New Roman" w:hAnsi="Arial" w:cs="Arial"/>
                <w:bCs/>
                <w:color w:val="000000"/>
                <w:sz w:val="20"/>
                <w:lang w:eastAsia="es-CL"/>
              </w:rPr>
            </w:pPr>
            <w:r>
              <w:rPr>
                <w:rFonts w:ascii="Arial" w:eastAsia="Times New Roman" w:hAnsi="Arial" w:cs="Arial"/>
                <w:bCs/>
                <w:color w:val="000000"/>
                <w:sz w:val="20"/>
                <w:lang w:eastAsia="es-CL"/>
              </w:rPr>
              <w:t>Total Componentes</w:t>
            </w:r>
          </w:p>
        </w:tc>
        <w:tc>
          <w:tcPr>
            <w:tcW w:w="1600" w:type="dxa"/>
            <w:tcBorders>
              <w:top w:val="nil"/>
              <w:left w:val="nil"/>
              <w:bottom w:val="single" w:sz="4" w:space="0" w:color="auto"/>
              <w:right w:val="single" w:sz="4" w:space="0" w:color="auto"/>
            </w:tcBorders>
            <w:shd w:val="clear" w:color="auto" w:fill="auto"/>
            <w:noWrap/>
            <w:vAlign w:val="bottom"/>
            <w:hideMark/>
          </w:tcPr>
          <w:p w:rsidR="002005F2" w:rsidRPr="00502556" w:rsidRDefault="002005F2" w:rsidP="002005F2">
            <w:pPr>
              <w:spacing w:after="0" w:line="240" w:lineRule="auto"/>
              <w:jc w:val="right"/>
              <w:rPr>
                <w:rFonts w:ascii="Arial" w:eastAsia="Times New Roman" w:hAnsi="Arial" w:cs="Arial"/>
                <w:color w:val="000000"/>
                <w:sz w:val="20"/>
                <w:lang w:eastAsia="es-CL"/>
              </w:rPr>
            </w:pPr>
            <w:r>
              <w:rPr>
                <w:rFonts w:ascii="Calibri" w:hAnsi="Calibri" w:cs="Calibri"/>
                <w:color w:val="000000"/>
              </w:rPr>
              <w:t>9,517,372.62</w:t>
            </w:r>
          </w:p>
        </w:tc>
      </w:tr>
      <w:tr w:rsidR="002005F2" w:rsidRPr="00502556" w:rsidTr="005F47AA">
        <w:trPr>
          <w:trHeight w:val="300"/>
          <w:jc w:val="center"/>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rPr>
                <w:rFonts w:ascii="Arial" w:eastAsia="Times New Roman" w:hAnsi="Arial" w:cs="Arial"/>
                <w:bCs/>
                <w:color w:val="000000"/>
                <w:sz w:val="20"/>
                <w:lang w:eastAsia="es-CL"/>
              </w:rPr>
            </w:pPr>
            <w:r w:rsidRPr="00A91047">
              <w:rPr>
                <w:rFonts w:ascii="Arial" w:eastAsia="Times New Roman" w:hAnsi="Arial" w:cs="Arial"/>
                <w:bCs/>
                <w:color w:val="000000"/>
                <w:sz w:val="20"/>
                <w:lang w:eastAsia="es-CL"/>
              </w:rPr>
              <w:t>Gasto equipo Unidad Ejecutora Programa</w:t>
            </w:r>
            <w:r w:rsidRPr="00502556">
              <w:rPr>
                <w:rFonts w:ascii="Arial" w:eastAsia="Times New Roman" w:hAnsi="Arial" w:cs="Arial"/>
                <w:bCs/>
                <w:color w:val="000000"/>
                <w:sz w:val="20"/>
                <w:lang w:eastAsia="es-CL"/>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2005F2" w:rsidRPr="00502556" w:rsidRDefault="002005F2" w:rsidP="002005F2">
            <w:pPr>
              <w:spacing w:after="0" w:line="240" w:lineRule="auto"/>
              <w:jc w:val="right"/>
              <w:rPr>
                <w:rFonts w:ascii="Arial" w:eastAsia="Times New Roman" w:hAnsi="Arial" w:cs="Arial"/>
                <w:color w:val="000000"/>
                <w:sz w:val="20"/>
                <w:lang w:eastAsia="es-CL"/>
              </w:rPr>
            </w:pPr>
            <w:r>
              <w:rPr>
                <w:rFonts w:ascii="Calibri" w:hAnsi="Calibri" w:cs="Calibri"/>
                <w:color w:val="000000"/>
              </w:rPr>
              <w:t>1,990,827.38</w:t>
            </w:r>
          </w:p>
        </w:tc>
      </w:tr>
      <w:tr w:rsidR="002005F2" w:rsidRPr="00502556" w:rsidTr="005F47AA">
        <w:trPr>
          <w:trHeight w:val="300"/>
          <w:jc w:val="center"/>
        </w:trPr>
        <w:tc>
          <w:tcPr>
            <w:tcW w:w="5380" w:type="dxa"/>
            <w:tcBorders>
              <w:top w:val="nil"/>
              <w:left w:val="single" w:sz="4" w:space="0" w:color="auto"/>
              <w:bottom w:val="single" w:sz="4" w:space="0" w:color="auto"/>
              <w:right w:val="single" w:sz="4" w:space="0" w:color="auto"/>
            </w:tcBorders>
            <w:shd w:val="clear" w:color="auto" w:fill="auto"/>
            <w:noWrap/>
            <w:vAlign w:val="center"/>
            <w:hideMark/>
          </w:tcPr>
          <w:p w:rsidR="002005F2" w:rsidRPr="00502556" w:rsidRDefault="002005F2" w:rsidP="002005F2">
            <w:pPr>
              <w:spacing w:after="0" w:line="240" w:lineRule="auto"/>
              <w:rPr>
                <w:rFonts w:ascii="Arial" w:eastAsia="Times New Roman" w:hAnsi="Arial" w:cs="Arial"/>
                <w:b/>
                <w:bCs/>
                <w:color w:val="000000"/>
                <w:sz w:val="20"/>
                <w:lang w:eastAsia="es-CL"/>
              </w:rPr>
            </w:pPr>
            <w:r w:rsidRPr="00502556">
              <w:rPr>
                <w:rFonts w:ascii="Arial" w:eastAsia="Times New Roman" w:hAnsi="Arial" w:cs="Arial"/>
                <w:b/>
                <w:bCs/>
                <w:color w:val="000000"/>
                <w:sz w:val="20"/>
                <w:lang w:eastAsia="es-CL"/>
              </w:rPr>
              <w:t>Total Programa CH-L1064</w:t>
            </w:r>
          </w:p>
        </w:tc>
        <w:tc>
          <w:tcPr>
            <w:tcW w:w="1600" w:type="dxa"/>
            <w:tcBorders>
              <w:top w:val="nil"/>
              <w:left w:val="nil"/>
              <w:bottom w:val="single" w:sz="4" w:space="0" w:color="auto"/>
              <w:right w:val="single" w:sz="4" w:space="0" w:color="auto"/>
            </w:tcBorders>
            <w:shd w:val="clear" w:color="auto" w:fill="auto"/>
            <w:noWrap/>
            <w:vAlign w:val="bottom"/>
            <w:hideMark/>
          </w:tcPr>
          <w:p w:rsidR="002005F2" w:rsidRPr="00502556" w:rsidRDefault="002005F2" w:rsidP="002005F2">
            <w:pPr>
              <w:spacing w:after="0" w:line="240" w:lineRule="auto"/>
              <w:jc w:val="right"/>
              <w:rPr>
                <w:rFonts w:ascii="Arial" w:eastAsia="Times New Roman" w:hAnsi="Arial" w:cs="Arial"/>
                <w:b/>
                <w:color w:val="000000"/>
                <w:sz w:val="20"/>
                <w:lang w:eastAsia="es-CL"/>
              </w:rPr>
            </w:pPr>
            <w:r>
              <w:rPr>
                <w:rFonts w:ascii="Arial" w:hAnsi="Arial" w:cs="Arial"/>
                <w:b/>
                <w:bCs/>
                <w:color w:val="000000"/>
                <w:sz w:val="20"/>
                <w:szCs w:val="20"/>
              </w:rPr>
              <w:t>11,508,200</w:t>
            </w:r>
            <w:r w:rsidR="00A42B39">
              <w:rPr>
                <w:rFonts w:ascii="Arial" w:hAnsi="Arial" w:cs="Arial"/>
                <w:b/>
                <w:bCs/>
                <w:color w:val="000000"/>
                <w:sz w:val="20"/>
                <w:szCs w:val="20"/>
              </w:rPr>
              <w:t>.00</w:t>
            </w:r>
          </w:p>
        </w:tc>
      </w:tr>
    </w:tbl>
    <w:p w:rsidR="00502556" w:rsidRDefault="00502556" w:rsidP="00CD196F">
      <w:pPr>
        <w:rPr>
          <w:rFonts w:ascii="Arial" w:hAnsi="Arial" w:cs="Arial"/>
        </w:rPr>
      </w:pPr>
    </w:p>
    <w:p w:rsidR="00CD196F" w:rsidRDefault="00502556" w:rsidP="00C27728">
      <w:pPr>
        <w:jc w:val="both"/>
        <w:rPr>
          <w:rFonts w:ascii="Arial" w:hAnsi="Arial" w:cs="Arial"/>
        </w:rPr>
      </w:pPr>
      <w:r>
        <w:rPr>
          <w:rFonts w:ascii="Arial" w:hAnsi="Arial" w:cs="Arial"/>
        </w:rPr>
        <w:lastRenderedPageBreak/>
        <w:t xml:space="preserve">Para el </w:t>
      </w:r>
      <w:r w:rsidR="002B2938">
        <w:rPr>
          <w:rFonts w:ascii="Arial" w:hAnsi="Arial" w:cs="Arial"/>
        </w:rPr>
        <w:t xml:space="preserve">ACB </w:t>
      </w:r>
      <w:r w:rsidR="002B2938" w:rsidRPr="00CD196F">
        <w:rPr>
          <w:rFonts w:ascii="Arial" w:hAnsi="Arial" w:cs="Arial"/>
        </w:rPr>
        <w:t>también</w:t>
      </w:r>
      <w:r>
        <w:rPr>
          <w:rFonts w:ascii="Arial" w:hAnsi="Arial" w:cs="Arial"/>
        </w:rPr>
        <w:t xml:space="preserve"> se considera el costo indirecto de los programas de capacitación durante el período en que ejecutó el </w:t>
      </w:r>
      <w:r w:rsidR="00A91047">
        <w:rPr>
          <w:rFonts w:ascii="Arial" w:hAnsi="Arial" w:cs="Arial"/>
        </w:rPr>
        <w:t>préstamo</w:t>
      </w:r>
      <w:r>
        <w:rPr>
          <w:rFonts w:ascii="Arial" w:hAnsi="Arial" w:cs="Arial"/>
        </w:rPr>
        <w:t xml:space="preserve">. Este costo es medido como el costo de oportunidad de los capacitados por estar fuera del mercado laboral mientras se están capacitando. Los programas </w:t>
      </w:r>
      <w:r w:rsidR="002B2938">
        <w:rPr>
          <w:rFonts w:ascii="Arial" w:hAnsi="Arial" w:cs="Arial"/>
        </w:rPr>
        <w:t>incorporados</w:t>
      </w:r>
      <w:r>
        <w:rPr>
          <w:rFonts w:ascii="Arial" w:hAnsi="Arial" w:cs="Arial"/>
        </w:rPr>
        <w:t xml:space="preserve"> en este cálculo son los mismos </w:t>
      </w:r>
      <w:r w:rsidR="00511E39">
        <w:rPr>
          <w:rFonts w:ascii="Arial" w:hAnsi="Arial" w:cs="Arial"/>
        </w:rPr>
        <w:t>tres</w:t>
      </w:r>
      <w:r>
        <w:rPr>
          <w:rFonts w:ascii="Arial" w:hAnsi="Arial" w:cs="Arial"/>
        </w:rPr>
        <w:t xml:space="preserve"> programas sobre los que se calculan los indicadores de efectividad: Programa Aprendices, Programa Capacitación en Oficios y Franquicia Tributaria. Para el cálculo del costo indirecto se multiplica, para la ejecución anual cada uno de estos programas, las horas promedio de capacitación por el </w:t>
      </w:r>
      <w:r w:rsidR="002B2938">
        <w:rPr>
          <w:rFonts w:ascii="Arial" w:hAnsi="Arial" w:cs="Arial"/>
        </w:rPr>
        <w:t>número</w:t>
      </w:r>
      <w:r>
        <w:rPr>
          <w:rFonts w:ascii="Arial" w:hAnsi="Arial" w:cs="Arial"/>
        </w:rPr>
        <w:t xml:space="preserve"> de beneficiarios por el salario por hora promedio de los </w:t>
      </w:r>
      <w:r w:rsidR="00511E39">
        <w:rPr>
          <w:rFonts w:ascii="Arial" w:hAnsi="Arial" w:cs="Arial"/>
        </w:rPr>
        <w:t>cuatro</w:t>
      </w:r>
      <w:r>
        <w:rPr>
          <w:rFonts w:ascii="Arial" w:hAnsi="Arial" w:cs="Arial"/>
        </w:rPr>
        <w:t xml:space="preserve"> primeros deciles, según la </w:t>
      </w:r>
      <w:r w:rsidRPr="00502556">
        <w:rPr>
          <w:rFonts w:ascii="Arial" w:hAnsi="Arial" w:cs="Arial"/>
        </w:rPr>
        <w:t>Enc</w:t>
      </w:r>
      <w:r>
        <w:rPr>
          <w:rFonts w:ascii="Arial" w:hAnsi="Arial" w:cs="Arial"/>
        </w:rPr>
        <w:t xml:space="preserve">uesta Suplementaria de Ingresos del </w:t>
      </w:r>
      <w:r w:rsidR="002B2938">
        <w:rPr>
          <w:rFonts w:ascii="Arial" w:hAnsi="Arial" w:cs="Arial"/>
        </w:rPr>
        <w:t>Instituto</w:t>
      </w:r>
      <w:r>
        <w:rPr>
          <w:rFonts w:ascii="Arial" w:hAnsi="Arial" w:cs="Arial"/>
        </w:rPr>
        <w:t xml:space="preserve"> Nacional de </w:t>
      </w:r>
      <w:r w:rsidR="002B2938">
        <w:rPr>
          <w:rFonts w:ascii="Arial" w:hAnsi="Arial" w:cs="Arial"/>
        </w:rPr>
        <w:t>Estadísticas</w:t>
      </w:r>
      <w:r>
        <w:rPr>
          <w:rFonts w:ascii="Arial" w:hAnsi="Arial" w:cs="Arial"/>
        </w:rPr>
        <w:t xml:space="preserve"> (INE). Tanto las horas promedio de capacitación, como el </w:t>
      </w:r>
      <w:r w:rsidR="002B2938">
        <w:rPr>
          <w:rFonts w:ascii="Arial" w:hAnsi="Arial" w:cs="Arial"/>
        </w:rPr>
        <w:t>número</w:t>
      </w:r>
      <w:r>
        <w:rPr>
          <w:rFonts w:ascii="Arial" w:hAnsi="Arial" w:cs="Arial"/>
        </w:rPr>
        <w:t xml:space="preserve"> de </w:t>
      </w:r>
      <w:r w:rsidR="002B2938">
        <w:rPr>
          <w:rFonts w:ascii="Arial" w:hAnsi="Arial" w:cs="Arial"/>
        </w:rPr>
        <w:t>beneficiaros</w:t>
      </w:r>
      <w:r>
        <w:rPr>
          <w:rFonts w:ascii="Arial" w:hAnsi="Arial" w:cs="Arial"/>
        </w:rPr>
        <w:t xml:space="preserve"> anuales es obtenido de los anuarios estadísticos de SENCE, disponibles en su sitio web. </w:t>
      </w:r>
      <w:r w:rsidR="00811F80">
        <w:rPr>
          <w:rFonts w:ascii="Arial" w:hAnsi="Arial" w:cs="Arial"/>
        </w:rPr>
        <w:t>El Cuadro</w:t>
      </w:r>
      <w:r>
        <w:rPr>
          <w:rFonts w:ascii="Arial" w:hAnsi="Arial" w:cs="Arial"/>
        </w:rPr>
        <w:t xml:space="preserve"> 2 detalla el costo indirecto para cada uno de los programas descritos durante el período en que se ejecutó el programa (2013-2016). </w:t>
      </w:r>
      <w:r w:rsidR="002B2938">
        <w:rPr>
          <w:rFonts w:ascii="Arial" w:hAnsi="Arial" w:cs="Arial"/>
        </w:rPr>
        <w:t xml:space="preserve">El costo indirecto del programa Aprendices es cero ya que la modalidad de dicho programa de capacitación es </w:t>
      </w:r>
      <w:r w:rsidR="002B2938" w:rsidRPr="002B2938">
        <w:rPr>
          <w:rFonts w:ascii="Arial" w:hAnsi="Arial" w:cs="Arial"/>
          <w:i/>
        </w:rPr>
        <w:t>on-the-job</w:t>
      </w:r>
      <w:r w:rsidR="002B2938">
        <w:rPr>
          <w:rFonts w:ascii="Arial" w:hAnsi="Arial" w:cs="Arial"/>
        </w:rPr>
        <w:t>, es decir, los capacitados se capacitan directamente en sus puestos de trabajo.</w:t>
      </w:r>
      <w:r w:rsidR="006351FA">
        <w:rPr>
          <w:rStyle w:val="FootnoteReference"/>
          <w:rFonts w:ascii="Arial" w:hAnsi="Arial" w:cs="Arial"/>
        </w:rPr>
        <w:footnoteReference w:id="1"/>
      </w:r>
      <w:r w:rsidR="002B2938">
        <w:rPr>
          <w:rFonts w:ascii="Arial" w:hAnsi="Arial" w:cs="Arial"/>
        </w:rPr>
        <w:t xml:space="preserve"> </w:t>
      </w:r>
    </w:p>
    <w:p w:rsidR="00502556" w:rsidRDefault="00502556" w:rsidP="00502556">
      <w:pPr>
        <w:rPr>
          <w:rFonts w:ascii="Arial" w:hAnsi="Arial" w:cs="Arial"/>
        </w:rPr>
      </w:pPr>
    </w:p>
    <w:p w:rsidR="002B2938" w:rsidRDefault="00811F80" w:rsidP="00A91047">
      <w:pPr>
        <w:pStyle w:val="Caption"/>
      </w:pPr>
      <w:r>
        <w:t xml:space="preserve">Cuadro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2</w:t>
      </w:r>
      <w:r w:rsidR="008B1632">
        <w:rPr>
          <w:noProof/>
        </w:rPr>
        <w:fldChar w:fldCharType="end"/>
      </w:r>
      <w:r w:rsidR="002B2938">
        <w:t>: Costos indirectos del programa CH-L1064</w:t>
      </w:r>
    </w:p>
    <w:tbl>
      <w:tblPr>
        <w:tblW w:w="5000" w:type="pct"/>
        <w:tblCellMar>
          <w:left w:w="70" w:type="dxa"/>
          <w:right w:w="70" w:type="dxa"/>
        </w:tblCellMar>
        <w:tblLook w:val="04A0" w:firstRow="1" w:lastRow="0" w:firstColumn="1" w:lastColumn="0" w:noHBand="0" w:noVBand="1"/>
      </w:tblPr>
      <w:tblGrid>
        <w:gridCol w:w="1544"/>
        <w:gridCol w:w="820"/>
        <w:gridCol w:w="1397"/>
        <w:gridCol w:w="1352"/>
        <w:gridCol w:w="1274"/>
        <w:gridCol w:w="1253"/>
        <w:gridCol w:w="1198"/>
      </w:tblGrid>
      <w:tr w:rsidR="00502556" w:rsidRPr="00502556" w:rsidTr="00502556">
        <w:trPr>
          <w:trHeight w:val="315"/>
        </w:trPr>
        <w:tc>
          <w:tcPr>
            <w:tcW w:w="5000" w:type="pct"/>
            <w:gridSpan w:val="7"/>
            <w:tcBorders>
              <w:top w:val="nil"/>
              <w:left w:val="nil"/>
              <w:bottom w:val="double" w:sz="6" w:space="0" w:color="auto"/>
              <w:right w:val="nil"/>
            </w:tcBorders>
            <w:shd w:val="clear" w:color="auto" w:fill="auto"/>
            <w:noWrap/>
            <w:vAlign w:val="bottom"/>
            <w:hideMark/>
          </w:tcPr>
          <w:p w:rsidR="00502556" w:rsidRPr="00502556"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Beneficiarios y gastos por programa</w:t>
            </w:r>
          </w:p>
        </w:tc>
      </w:tr>
      <w:tr w:rsidR="00502556" w:rsidRPr="00502556" w:rsidTr="002B2938">
        <w:trPr>
          <w:trHeight w:val="780"/>
        </w:trPr>
        <w:tc>
          <w:tcPr>
            <w:tcW w:w="873" w:type="pct"/>
            <w:tcBorders>
              <w:top w:val="nil"/>
              <w:left w:val="nil"/>
              <w:bottom w:val="single" w:sz="4" w:space="0" w:color="auto"/>
              <w:right w:val="nil"/>
            </w:tcBorders>
            <w:shd w:val="clear" w:color="auto" w:fill="auto"/>
            <w:vAlign w:val="center"/>
            <w:hideMark/>
          </w:tcPr>
          <w:p w:rsidR="00502556" w:rsidRPr="00502556"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Programa</w:t>
            </w:r>
          </w:p>
        </w:tc>
        <w:tc>
          <w:tcPr>
            <w:tcW w:w="464" w:type="pct"/>
            <w:tcBorders>
              <w:top w:val="nil"/>
              <w:left w:val="nil"/>
              <w:bottom w:val="single" w:sz="4" w:space="0" w:color="auto"/>
              <w:right w:val="nil"/>
            </w:tcBorders>
            <w:shd w:val="clear" w:color="auto" w:fill="auto"/>
            <w:vAlign w:val="center"/>
            <w:hideMark/>
          </w:tcPr>
          <w:p w:rsidR="00502556" w:rsidRPr="00502556"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Año</w:t>
            </w:r>
          </w:p>
        </w:tc>
        <w:tc>
          <w:tcPr>
            <w:tcW w:w="790" w:type="pct"/>
            <w:tcBorders>
              <w:top w:val="nil"/>
              <w:left w:val="nil"/>
              <w:bottom w:val="single" w:sz="4" w:space="0" w:color="auto"/>
              <w:right w:val="nil"/>
            </w:tcBorders>
            <w:shd w:val="clear" w:color="auto" w:fill="auto"/>
            <w:vAlign w:val="center"/>
            <w:hideMark/>
          </w:tcPr>
          <w:p w:rsidR="00502556" w:rsidRPr="00502556"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Beneficiarios</w:t>
            </w:r>
          </w:p>
        </w:tc>
        <w:tc>
          <w:tcPr>
            <w:tcW w:w="765" w:type="pct"/>
            <w:tcBorders>
              <w:top w:val="nil"/>
              <w:left w:val="nil"/>
              <w:bottom w:val="single" w:sz="4" w:space="0" w:color="auto"/>
              <w:right w:val="nil"/>
            </w:tcBorders>
            <w:shd w:val="clear" w:color="auto" w:fill="auto"/>
            <w:vAlign w:val="center"/>
            <w:hideMark/>
          </w:tcPr>
          <w:p w:rsidR="006351FA"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 xml:space="preserve">Tiempo </w:t>
            </w:r>
            <w:r w:rsidR="002B2938" w:rsidRPr="00502556">
              <w:rPr>
                <w:rFonts w:ascii="Arial" w:eastAsia="Times New Roman" w:hAnsi="Arial" w:cs="Arial"/>
                <w:b/>
                <w:bCs/>
                <w:color w:val="000000"/>
                <w:sz w:val="20"/>
                <w:szCs w:val="20"/>
                <w:lang w:eastAsia="es-CL"/>
              </w:rPr>
              <w:t>capacitación</w:t>
            </w:r>
          </w:p>
          <w:p w:rsidR="00502556" w:rsidRPr="00502556" w:rsidRDefault="006351FA" w:rsidP="00502556">
            <w:pPr>
              <w:spacing w:after="0" w:line="240" w:lineRule="auto"/>
              <w:jc w:val="center"/>
              <w:rPr>
                <w:rFonts w:ascii="Arial" w:eastAsia="Times New Roman" w:hAnsi="Arial" w:cs="Arial"/>
                <w:b/>
                <w:bCs/>
                <w:color w:val="000000"/>
                <w:sz w:val="20"/>
                <w:szCs w:val="20"/>
                <w:lang w:eastAsia="es-CL"/>
              </w:rPr>
            </w:pPr>
            <w:r w:rsidRPr="006351FA">
              <w:rPr>
                <w:rFonts w:ascii="Arial" w:eastAsia="Times New Roman" w:hAnsi="Arial" w:cs="Arial"/>
                <w:b/>
                <w:bCs/>
                <w:color w:val="000000"/>
                <w:sz w:val="20"/>
                <w:szCs w:val="20"/>
                <w:lang w:eastAsia="es-CL"/>
              </w:rPr>
              <w:t>en aula</w:t>
            </w:r>
            <w:r w:rsidR="00502556" w:rsidRPr="00502556">
              <w:rPr>
                <w:rFonts w:ascii="Arial" w:eastAsia="Times New Roman" w:hAnsi="Arial" w:cs="Arial"/>
                <w:b/>
                <w:bCs/>
                <w:color w:val="000000"/>
                <w:sz w:val="20"/>
                <w:szCs w:val="20"/>
                <w:lang w:eastAsia="es-CL"/>
              </w:rPr>
              <w:t xml:space="preserve"> (horas)</w:t>
            </w:r>
          </w:p>
        </w:tc>
        <w:tc>
          <w:tcPr>
            <w:tcW w:w="721" w:type="pct"/>
            <w:tcBorders>
              <w:top w:val="nil"/>
              <w:left w:val="nil"/>
              <w:bottom w:val="single" w:sz="4" w:space="0" w:color="auto"/>
              <w:right w:val="nil"/>
            </w:tcBorders>
            <w:shd w:val="clear" w:color="auto" w:fill="auto"/>
            <w:vAlign w:val="center"/>
            <w:hideMark/>
          </w:tcPr>
          <w:p w:rsidR="00502556" w:rsidRPr="00502556" w:rsidRDefault="00502556" w:rsidP="00502556">
            <w:pPr>
              <w:spacing w:after="0" w:line="240" w:lineRule="auto"/>
              <w:jc w:val="center"/>
              <w:rPr>
                <w:rFonts w:ascii="Arial" w:eastAsia="Times New Roman" w:hAnsi="Arial" w:cs="Arial"/>
                <w:b/>
                <w:bCs/>
                <w:color w:val="000000"/>
                <w:sz w:val="20"/>
                <w:szCs w:val="20"/>
                <w:lang w:eastAsia="es-CL"/>
              </w:rPr>
            </w:pPr>
            <w:r w:rsidRPr="00502556">
              <w:rPr>
                <w:rFonts w:ascii="Arial" w:eastAsia="Times New Roman" w:hAnsi="Arial" w:cs="Arial"/>
                <w:b/>
                <w:bCs/>
                <w:color w:val="000000"/>
                <w:sz w:val="20"/>
                <w:szCs w:val="20"/>
                <w:lang w:eastAsia="es-CL"/>
              </w:rPr>
              <w:t>Salario por hora promedio deciles 1-4 (</w:t>
            </w:r>
            <w:r w:rsidR="00756FBA">
              <w:rPr>
                <w:rFonts w:ascii="Arial" w:eastAsia="Times New Roman" w:hAnsi="Arial" w:cs="Arial"/>
                <w:b/>
                <w:bCs/>
                <w:color w:val="000000"/>
                <w:sz w:val="20"/>
                <w:szCs w:val="20"/>
                <w:lang w:eastAsia="es-CL"/>
              </w:rPr>
              <w:t>US$</w:t>
            </w:r>
            <w:r w:rsidRPr="00502556">
              <w:rPr>
                <w:rFonts w:ascii="Arial" w:eastAsia="Times New Roman" w:hAnsi="Arial" w:cs="Arial"/>
                <w:b/>
                <w:bCs/>
                <w:color w:val="000000"/>
                <w:sz w:val="20"/>
                <w:szCs w:val="20"/>
                <w:lang w:eastAsia="es-CL"/>
              </w:rPr>
              <w:t>)</w:t>
            </w:r>
          </w:p>
        </w:tc>
        <w:tc>
          <w:tcPr>
            <w:tcW w:w="709" w:type="pct"/>
            <w:tcBorders>
              <w:top w:val="nil"/>
              <w:left w:val="nil"/>
              <w:bottom w:val="single" w:sz="4" w:space="0" w:color="auto"/>
              <w:right w:val="nil"/>
            </w:tcBorders>
            <w:shd w:val="clear" w:color="auto" w:fill="auto"/>
            <w:vAlign w:val="center"/>
            <w:hideMark/>
          </w:tcPr>
          <w:p w:rsidR="00502556" w:rsidRPr="00502556" w:rsidRDefault="006351FA" w:rsidP="00502556">
            <w:pPr>
              <w:spacing w:after="0" w:line="240" w:lineRule="auto"/>
              <w:jc w:val="center"/>
              <w:rPr>
                <w:rFonts w:ascii="Arial" w:eastAsia="Times New Roman" w:hAnsi="Arial" w:cs="Arial"/>
                <w:b/>
                <w:bCs/>
                <w:color w:val="000000"/>
                <w:sz w:val="20"/>
                <w:szCs w:val="20"/>
                <w:lang w:eastAsia="es-CL"/>
              </w:rPr>
            </w:pPr>
            <w:r>
              <w:rPr>
                <w:rFonts w:ascii="Arial" w:eastAsia="Times New Roman" w:hAnsi="Arial" w:cs="Arial"/>
                <w:b/>
                <w:bCs/>
                <w:color w:val="000000"/>
                <w:sz w:val="20"/>
                <w:szCs w:val="20"/>
                <w:lang w:eastAsia="es-CL"/>
              </w:rPr>
              <w:t>Costo</w:t>
            </w:r>
            <w:r w:rsidRPr="00502556">
              <w:rPr>
                <w:rFonts w:ascii="Arial" w:eastAsia="Times New Roman" w:hAnsi="Arial" w:cs="Arial"/>
                <w:b/>
                <w:bCs/>
                <w:color w:val="000000"/>
                <w:sz w:val="20"/>
                <w:szCs w:val="20"/>
                <w:lang w:eastAsia="es-CL"/>
              </w:rPr>
              <w:t xml:space="preserve"> </w:t>
            </w:r>
            <w:r w:rsidR="00502556" w:rsidRPr="00502556">
              <w:rPr>
                <w:rFonts w:ascii="Arial" w:eastAsia="Times New Roman" w:hAnsi="Arial" w:cs="Arial"/>
                <w:b/>
                <w:bCs/>
                <w:color w:val="000000"/>
                <w:sz w:val="20"/>
                <w:szCs w:val="20"/>
                <w:lang w:eastAsia="es-CL"/>
              </w:rPr>
              <w:t>directo (</w:t>
            </w:r>
            <w:r w:rsidR="00756FBA">
              <w:rPr>
                <w:rFonts w:ascii="Arial" w:eastAsia="Times New Roman" w:hAnsi="Arial" w:cs="Arial"/>
                <w:b/>
                <w:bCs/>
                <w:color w:val="000000"/>
                <w:sz w:val="20"/>
                <w:szCs w:val="20"/>
                <w:lang w:eastAsia="es-CL"/>
              </w:rPr>
              <w:t>US$</w:t>
            </w:r>
            <w:r w:rsidR="00502556" w:rsidRPr="00502556">
              <w:rPr>
                <w:rFonts w:ascii="Arial" w:eastAsia="Times New Roman" w:hAnsi="Arial" w:cs="Arial"/>
                <w:b/>
                <w:bCs/>
                <w:color w:val="000000"/>
                <w:sz w:val="20"/>
                <w:szCs w:val="20"/>
                <w:lang w:eastAsia="es-CL"/>
              </w:rPr>
              <w:t>)</w:t>
            </w:r>
          </w:p>
        </w:tc>
        <w:tc>
          <w:tcPr>
            <w:tcW w:w="678" w:type="pct"/>
            <w:tcBorders>
              <w:top w:val="nil"/>
              <w:left w:val="nil"/>
              <w:bottom w:val="single" w:sz="4" w:space="0" w:color="auto"/>
              <w:right w:val="nil"/>
            </w:tcBorders>
            <w:shd w:val="clear" w:color="auto" w:fill="auto"/>
            <w:vAlign w:val="center"/>
            <w:hideMark/>
          </w:tcPr>
          <w:p w:rsidR="00502556" w:rsidRPr="00502556" w:rsidRDefault="006351FA" w:rsidP="00502556">
            <w:pPr>
              <w:spacing w:after="0" w:line="240" w:lineRule="auto"/>
              <w:jc w:val="center"/>
              <w:rPr>
                <w:rFonts w:ascii="Arial" w:eastAsia="Times New Roman" w:hAnsi="Arial" w:cs="Arial"/>
                <w:b/>
                <w:bCs/>
                <w:color w:val="000000"/>
                <w:sz w:val="20"/>
                <w:szCs w:val="20"/>
                <w:lang w:eastAsia="es-CL"/>
              </w:rPr>
            </w:pPr>
            <w:r>
              <w:rPr>
                <w:rFonts w:ascii="Arial" w:eastAsia="Times New Roman" w:hAnsi="Arial" w:cs="Arial"/>
                <w:b/>
                <w:bCs/>
                <w:color w:val="000000"/>
                <w:sz w:val="20"/>
                <w:szCs w:val="20"/>
                <w:lang w:eastAsia="es-CL"/>
              </w:rPr>
              <w:t>Costo</w:t>
            </w:r>
            <w:r w:rsidRPr="00502556">
              <w:rPr>
                <w:rFonts w:ascii="Arial" w:eastAsia="Times New Roman" w:hAnsi="Arial" w:cs="Arial"/>
                <w:b/>
                <w:bCs/>
                <w:color w:val="000000"/>
                <w:sz w:val="20"/>
                <w:szCs w:val="20"/>
                <w:lang w:eastAsia="es-CL"/>
              </w:rPr>
              <w:t xml:space="preserve"> </w:t>
            </w:r>
            <w:r w:rsidR="00502556" w:rsidRPr="00502556">
              <w:rPr>
                <w:rFonts w:ascii="Arial" w:eastAsia="Times New Roman" w:hAnsi="Arial" w:cs="Arial"/>
                <w:b/>
                <w:bCs/>
                <w:color w:val="000000"/>
                <w:sz w:val="20"/>
                <w:szCs w:val="20"/>
                <w:lang w:eastAsia="es-CL"/>
              </w:rPr>
              <w:t>Indirecto* (</w:t>
            </w:r>
            <w:r w:rsidR="00756FBA">
              <w:rPr>
                <w:rFonts w:ascii="Arial" w:eastAsia="Times New Roman" w:hAnsi="Arial" w:cs="Arial"/>
                <w:b/>
                <w:bCs/>
                <w:color w:val="000000"/>
                <w:sz w:val="20"/>
                <w:szCs w:val="20"/>
                <w:lang w:eastAsia="es-CL"/>
              </w:rPr>
              <w:t>US$</w:t>
            </w:r>
            <w:r w:rsidR="00502556" w:rsidRPr="00502556">
              <w:rPr>
                <w:rFonts w:ascii="Arial" w:eastAsia="Times New Roman" w:hAnsi="Arial" w:cs="Arial"/>
                <w:b/>
                <w:bCs/>
                <w:color w:val="000000"/>
                <w:sz w:val="20"/>
                <w:szCs w:val="20"/>
                <w:lang w:eastAsia="es-CL"/>
              </w:rPr>
              <w:t>)</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Aprendices</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2013</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3,901</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1.7</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3,704,545</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Aprendices</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2014</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3,386</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1.9</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5,722,116</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Aprendices</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2015</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1,373</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6,618,036</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r>
      <w:tr w:rsidR="00502556" w:rsidRPr="00502556" w:rsidTr="002B2938">
        <w:trPr>
          <w:trHeight w:val="300"/>
        </w:trPr>
        <w:tc>
          <w:tcPr>
            <w:tcW w:w="873"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Aprendices</w:t>
            </w:r>
          </w:p>
        </w:tc>
        <w:tc>
          <w:tcPr>
            <w:tcW w:w="464"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2016</w:t>
            </w:r>
          </w:p>
        </w:tc>
        <w:tc>
          <w:tcPr>
            <w:tcW w:w="790"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993</w:t>
            </w:r>
          </w:p>
        </w:tc>
        <w:tc>
          <w:tcPr>
            <w:tcW w:w="765"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c>
          <w:tcPr>
            <w:tcW w:w="721"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2.1</w:t>
            </w:r>
          </w:p>
        </w:tc>
        <w:tc>
          <w:tcPr>
            <w:tcW w:w="709"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1,973,259</w:t>
            </w:r>
          </w:p>
        </w:tc>
        <w:tc>
          <w:tcPr>
            <w:tcW w:w="678"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0</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CAP</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2013</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15,860</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472</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1.7</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17,982,702</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12,893,067</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CAP</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2014</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10,254</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639</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1.9</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23,520,746</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12,456,376</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CAP</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2015</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8,512</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586</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18,264,474</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10,189,334</w:t>
            </w:r>
          </w:p>
        </w:tc>
      </w:tr>
      <w:tr w:rsidR="00502556" w:rsidRPr="00502556" w:rsidTr="002B2938">
        <w:trPr>
          <w:trHeight w:val="300"/>
        </w:trPr>
        <w:tc>
          <w:tcPr>
            <w:tcW w:w="873"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CAP</w:t>
            </w:r>
          </w:p>
        </w:tc>
        <w:tc>
          <w:tcPr>
            <w:tcW w:w="464"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2016</w:t>
            </w:r>
          </w:p>
        </w:tc>
        <w:tc>
          <w:tcPr>
            <w:tcW w:w="790"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3,703</w:t>
            </w:r>
          </w:p>
        </w:tc>
        <w:tc>
          <w:tcPr>
            <w:tcW w:w="765"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430</w:t>
            </w:r>
          </w:p>
        </w:tc>
        <w:tc>
          <w:tcPr>
            <w:tcW w:w="721"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2.1</w:t>
            </w:r>
          </w:p>
        </w:tc>
        <w:tc>
          <w:tcPr>
            <w:tcW w:w="709"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12,952,428</w:t>
            </w:r>
          </w:p>
        </w:tc>
        <w:tc>
          <w:tcPr>
            <w:tcW w:w="678"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3,307,478</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FT</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2013</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357,035</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19</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1.7</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32,606,829</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11,794,380</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FT</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2014</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218,666</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24</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1.9</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24,941,631</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9,927,658</w:t>
            </w:r>
          </w:p>
        </w:tc>
      </w:tr>
      <w:tr w:rsidR="00502556" w:rsidRPr="00502556" w:rsidTr="002B2938">
        <w:trPr>
          <w:trHeight w:val="300"/>
        </w:trPr>
        <w:tc>
          <w:tcPr>
            <w:tcW w:w="873"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FT</w:t>
            </w:r>
          </w:p>
        </w:tc>
        <w:tc>
          <w:tcPr>
            <w:tcW w:w="464"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2015</w:t>
            </w:r>
          </w:p>
        </w:tc>
        <w:tc>
          <w:tcPr>
            <w:tcW w:w="790"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217,268</w:t>
            </w:r>
          </w:p>
        </w:tc>
        <w:tc>
          <w:tcPr>
            <w:tcW w:w="765"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25</w:t>
            </w:r>
          </w:p>
        </w:tc>
        <w:tc>
          <w:tcPr>
            <w:tcW w:w="721"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w:t>
            </w:r>
          </w:p>
        </w:tc>
        <w:tc>
          <w:tcPr>
            <w:tcW w:w="709"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27,283,115</w:t>
            </w:r>
          </w:p>
        </w:tc>
        <w:tc>
          <w:tcPr>
            <w:tcW w:w="678" w:type="pct"/>
            <w:tcBorders>
              <w:top w:val="nil"/>
              <w:left w:val="nil"/>
              <w:bottom w:val="nil"/>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10,953,198</w:t>
            </w:r>
          </w:p>
        </w:tc>
      </w:tr>
      <w:tr w:rsidR="00502556" w:rsidRPr="00502556" w:rsidTr="002B2938">
        <w:trPr>
          <w:trHeight w:val="300"/>
        </w:trPr>
        <w:tc>
          <w:tcPr>
            <w:tcW w:w="873"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FT</w:t>
            </w:r>
          </w:p>
        </w:tc>
        <w:tc>
          <w:tcPr>
            <w:tcW w:w="464"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2016</w:t>
            </w:r>
          </w:p>
        </w:tc>
        <w:tc>
          <w:tcPr>
            <w:tcW w:w="790"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245,886</w:t>
            </w:r>
          </w:p>
        </w:tc>
        <w:tc>
          <w:tcPr>
            <w:tcW w:w="765"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24</w:t>
            </w:r>
          </w:p>
        </w:tc>
        <w:tc>
          <w:tcPr>
            <w:tcW w:w="721"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2.1</w:t>
            </w:r>
          </w:p>
        </w:tc>
        <w:tc>
          <w:tcPr>
            <w:tcW w:w="709"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31,141,555</w:t>
            </w:r>
          </w:p>
        </w:tc>
        <w:tc>
          <w:tcPr>
            <w:tcW w:w="678" w:type="pct"/>
            <w:tcBorders>
              <w:top w:val="nil"/>
              <w:left w:val="nil"/>
              <w:bottom w:val="single" w:sz="4" w:space="0" w:color="auto"/>
              <w:right w:val="nil"/>
            </w:tcBorders>
            <w:shd w:val="clear" w:color="auto" w:fill="auto"/>
            <w:noWrap/>
            <w:vAlign w:val="center"/>
            <w:hideMark/>
          </w:tcPr>
          <w:p w:rsidR="00502556" w:rsidRPr="00502556" w:rsidRDefault="00502556" w:rsidP="00502556">
            <w:pPr>
              <w:spacing w:after="0" w:line="240" w:lineRule="auto"/>
              <w:jc w:val="center"/>
              <w:rPr>
                <w:rFonts w:ascii="Arial" w:eastAsia="Times New Roman" w:hAnsi="Arial" w:cs="Arial"/>
                <w:color w:val="000000"/>
                <w:sz w:val="20"/>
                <w:szCs w:val="20"/>
                <w:lang w:eastAsia="es-CL"/>
              </w:rPr>
            </w:pPr>
            <w:r w:rsidRPr="00502556">
              <w:rPr>
                <w:rFonts w:ascii="Arial" w:eastAsia="Times New Roman" w:hAnsi="Arial" w:cs="Arial"/>
                <w:color w:val="000000"/>
                <w:sz w:val="20"/>
                <w:szCs w:val="20"/>
                <w:lang w:eastAsia="es-CL"/>
              </w:rPr>
              <w:t>12,265,141</w:t>
            </w:r>
          </w:p>
        </w:tc>
      </w:tr>
      <w:tr w:rsidR="00502556" w:rsidRPr="00502556" w:rsidTr="00502556">
        <w:trPr>
          <w:trHeight w:val="885"/>
        </w:trPr>
        <w:tc>
          <w:tcPr>
            <w:tcW w:w="5000" w:type="pct"/>
            <w:gridSpan w:val="7"/>
            <w:tcBorders>
              <w:top w:val="single" w:sz="4" w:space="0" w:color="auto"/>
              <w:left w:val="nil"/>
              <w:bottom w:val="nil"/>
              <w:right w:val="nil"/>
            </w:tcBorders>
            <w:shd w:val="clear" w:color="auto" w:fill="auto"/>
            <w:hideMark/>
          </w:tcPr>
          <w:p w:rsidR="00502556" w:rsidRPr="00502556" w:rsidRDefault="00502556" w:rsidP="002005F2">
            <w:pPr>
              <w:spacing w:after="0" w:line="240" w:lineRule="auto"/>
              <w:jc w:val="both"/>
              <w:rPr>
                <w:rFonts w:ascii="Arial" w:eastAsia="Times New Roman" w:hAnsi="Arial" w:cs="Arial"/>
                <w:i/>
                <w:iCs/>
                <w:color w:val="000000"/>
                <w:sz w:val="18"/>
                <w:szCs w:val="18"/>
                <w:lang w:eastAsia="es-CL"/>
              </w:rPr>
            </w:pPr>
            <w:r w:rsidRPr="00502556">
              <w:rPr>
                <w:rFonts w:ascii="Arial" w:eastAsia="Times New Roman" w:hAnsi="Arial" w:cs="Arial"/>
                <w:i/>
                <w:iCs/>
                <w:color w:val="000000"/>
                <w:sz w:val="18"/>
                <w:szCs w:val="18"/>
                <w:lang w:eastAsia="es-CL"/>
              </w:rPr>
              <w:t xml:space="preserve">* El </w:t>
            </w:r>
            <w:r w:rsidR="006351FA">
              <w:rPr>
                <w:rFonts w:ascii="Arial" w:eastAsia="Times New Roman" w:hAnsi="Arial" w:cs="Arial"/>
                <w:i/>
                <w:iCs/>
                <w:color w:val="000000"/>
                <w:sz w:val="18"/>
                <w:szCs w:val="18"/>
                <w:lang w:eastAsia="es-CL"/>
              </w:rPr>
              <w:t>costo</w:t>
            </w:r>
            <w:r w:rsidR="006351FA" w:rsidRPr="00502556">
              <w:rPr>
                <w:rFonts w:ascii="Arial" w:eastAsia="Times New Roman" w:hAnsi="Arial" w:cs="Arial"/>
                <w:i/>
                <w:iCs/>
                <w:color w:val="000000"/>
                <w:sz w:val="18"/>
                <w:szCs w:val="18"/>
                <w:lang w:eastAsia="es-CL"/>
              </w:rPr>
              <w:t xml:space="preserve"> </w:t>
            </w:r>
            <w:r w:rsidRPr="00502556">
              <w:rPr>
                <w:rFonts w:ascii="Arial" w:eastAsia="Times New Roman" w:hAnsi="Arial" w:cs="Arial"/>
                <w:i/>
                <w:iCs/>
                <w:color w:val="000000"/>
                <w:sz w:val="18"/>
                <w:szCs w:val="18"/>
                <w:lang w:eastAsia="es-CL"/>
              </w:rPr>
              <w:t>indirecto corresponde al costo de oportunidad de los capacitados por estar fuera del mercado laboral. Se calcula como la multiplicación del salario por hora promedio de los cuatro primeros deciles de ingreso con el número de horas promedio de capacitación de cada programa y el número total de capacitados por programa.</w:t>
            </w:r>
            <w:r w:rsidR="006351FA">
              <w:t xml:space="preserve"> </w:t>
            </w:r>
            <w:r w:rsidR="006351FA" w:rsidRPr="006351FA">
              <w:rPr>
                <w:rFonts w:ascii="Arial" w:eastAsia="Times New Roman" w:hAnsi="Arial" w:cs="Arial"/>
                <w:i/>
                <w:iCs/>
                <w:color w:val="000000"/>
                <w:sz w:val="18"/>
                <w:szCs w:val="18"/>
                <w:lang w:eastAsia="es-CL"/>
              </w:rPr>
              <w:t>En el caso del programa de Aprendices se asume que los costos indirectos son cero o que los beneficiarios no tendrían un trabajo alternativo al de aprendices.</w:t>
            </w:r>
          </w:p>
        </w:tc>
      </w:tr>
    </w:tbl>
    <w:p w:rsidR="00502556" w:rsidRPr="00502556" w:rsidRDefault="00502556" w:rsidP="00502556">
      <w:pPr>
        <w:rPr>
          <w:rFonts w:ascii="Arial" w:hAnsi="Arial" w:cs="Arial"/>
        </w:rPr>
      </w:pPr>
    </w:p>
    <w:p w:rsidR="002B2938" w:rsidRDefault="002B2938" w:rsidP="00C27728">
      <w:pPr>
        <w:jc w:val="both"/>
        <w:rPr>
          <w:rFonts w:ascii="Arial" w:hAnsi="Arial" w:cs="Arial"/>
        </w:rPr>
      </w:pPr>
      <w:r>
        <w:rPr>
          <w:rFonts w:ascii="Arial" w:hAnsi="Arial" w:cs="Arial"/>
        </w:rPr>
        <w:t xml:space="preserve">Por último, se calculan los costos futuros que </w:t>
      </w:r>
      <w:r w:rsidR="000C5C47">
        <w:rPr>
          <w:rFonts w:ascii="Arial" w:hAnsi="Arial" w:cs="Arial"/>
        </w:rPr>
        <w:t xml:space="preserve">tendría </w:t>
      </w:r>
      <w:r>
        <w:rPr>
          <w:rFonts w:ascii="Arial" w:hAnsi="Arial" w:cs="Arial"/>
        </w:rPr>
        <w:t xml:space="preserve">el programa para el periodo 2018-2027. Muchas de las actividades que se ejecutaron como parte del programa, implican costos futuros ya que estas perduran en el tiempo, más allá de la ejecución del programa. En particular, estos costos corresponden a la renovación de licencias de softwares adquiridos para mejorar la gestión interna de SENCE, junto con la renovación de servidores informáticos. </w:t>
      </w:r>
      <w:r w:rsidR="00811F80">
        <w:rPr>
          <w:rFonts w:ascii="Arial" w:hAnsi="Arial" w:cs="Arial"/>
        </w:rPr>
        <w:t>El Cuadro</w:t>
      </w:r>
      <w:r>
        <w:rPr>
          <w:rFonts w:ascii="Arial" w:hAnsi="Arial" w:cs="Arial"/>
        </w:rPr>
        <w:t xml:space="preserve"> 3 detalla cada uno de estos sistemas, su costo, y período de renovación.</w:t>
      </w:r>
    </w:p>
    <w:p w:rsidR="002B2938" w:rsidRDefault="00811F80" w:rsidP="00A91047">
      <w:pPr>
        <w:pStyle w:val="Caption"/>
      </w:pPr>
      <w:r>
        <w:t xml:space="preserve">Cuadro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3</w:t>
      </w:r>
      <w:r w:rsidR="008B1632">
        <w:rPr>
          <w:noProof/>
        </w:rPr>
        <w:fldChar w:fldCharType="end"/>
      </w:r>
      <w:r w:rsidR="002B2938">
        <w:t>: Costos futuros del programa Ch-L1064</w:t>
      </w:r>
    </w:p>
    <w:tbl>
      <w:tblPr>
        <w:tblW w:w="5000" w:type="pct"/>
        <w:tblLayout w:type="fixed"/>
        <w:tblCellMar>
          <w:left w:w="70" w:type="dxa"/>
          <w:right w:w="70" w:type="dxa"/>
        </w:tblCellMar>
        <w:tblLook w:val="04A0" w:firstRow="1" w:lastRow="0" w:firstColumn="1" w:lastColumn="0" w:noHBand="0" w:noVBand="1"/>
      </w:tblPr>
      <w:tblGrid>
        <w:gridCol w:w="3114"/>
        <w:gridCol w:w="2267"/>
        <w:gridCol w:w="1388"/>
        <w:gridCol w:w="2059"/>
      </w:tblGrid>
      <w:tr w:rsidR="002B2938" w:rsidRPr="002B2938" w:rsidTr="002B2938">
        <w:trPr>
          <w:trHeight w:val="315"/>
        </w:trPr>
        <w:tc>
          <w:tcPr>
            <w:tcW w:w="1764"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2B2938" w:rsidRPr="002B2938" w:rsidRDefault="002B2938" w:rsidP="002B2938">
            <w:pPr>
              <w:spacing w:after="0" w:line="240" w:lineRule="auto"/>
              <w:jc w:val="center"/>
              <w:rPr>
                <w:rFonts w:ascii="Arial" w:eastAsia="Times New Roman" w:hAnsi="Arial" w:cs="Arial"/>
                <w:b/>
                <w:color w:val="000000"/>
                <w:sz w:val="20"/>
                <w:szCs w:val="20"/>
                <w:lang w:eastAsia="es-CL"/>
              </w:rPr>
            </w:pPr>
            <w:r w:rsidRPr="002B2938">
              <w:rPr>
                <w:rFonts w:ascii="Arial" w:eastAsia="Times New Roman" w:hAnsi="Arial" w:cs="Arial"/>
                <w:b/>
                <w:color w:val="000000"/>
                <w:sz w:val="20"/>
                <w:szCs w:val="20"/>
                <w:lang w:eastAsia="es-CL"/>
              </w:rPr>
              <w:t>Sistema</w:t>
            </w:r>
          </w:p>
        </w:tc>
        <w:tc>
          <w:tcPr>
            <w:tcW w:w="1284"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2B2938" w:rsidRPr="002B2938" w:rsidRDefault="002B2938" w:rsidP="002B2938">
            <w:pPr>
              <w:spacing w:after="0" w:line="240" w:lineRule="auto"/>
              <w:jc w:val="center"/>
              <w:rPr>
                <w:rFonts w:ascii="Arial" w:eastAsia="Times New Roman" w:hAnsi="Arial" w:cs="Arial"/>
                <w:b/>
                <w:color w:val="000000"/>
                <w:sz w:val="20"/>
                <w:szCs w:val="20"/>
                <w:lang w:eastAsia="es-CL"/>
              </w:rPr>
            </w:pPr>
            <w:r w:rsidRPr="002B2938">
              <w:rPr>
                <w:rFonts w:ascii="Arial" w:eastAsia="Times New Roman" w:hAnsi="Arial" w:cs="Arial"/>
                <w:b/>
                <w:color w:val="000000"/>
                <w:sz w:val="20"/>
                <w:szCs w:val="20"/>
                <w:lang w:eastAsia="es-CL"/>
              </w:rPr>
              <w:t>Tipo de Mantenimiento</w:t>
            </w:r>
          </w:p>
        </w:tc>
        <w:tc>
          <w:tcPr>
            <w:tcW w:w="786"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2005F2" w:rsidRDefault="002B2938" w:rsidP="002B2938">
            <w:pPr>
              <w:spacing w:after="0" w:line="240" w:lineRule="auto"/>
              <w:jc w:val="center"/>
              <w:rPr>
                <w:rFonts w:ascii="Arial" w:eastAsia="Times New Roman" w:hAnsi="Arial" w:cs="Arial"/>
                <w:b/>
                <w:color w:val="000000"/>
                <w:sz w:val="20"/>
                <w:szCs w:val="20"/>
                <w:lang w:eastAsia="es-CL"/>
              </w:rPr>
            </w:pPr>
            <w:r w:rsidRPr="002B2938">
              <w:rPr>
                <w:rFonts w:ascii="Arial" w:eastAsia="Times New Roman" w:hAnsi="Arial" w:cs="Arial"/>
                <w:b/>
                <w:color w:val="000000"/>
                <w:sz w:val="20"/>
                <w:szCs w:val="20"/>
                <w:lang w:eastAsia="es-CL"/>
              </w:rPr>
              <w:t>Costo</w:t>
            </w:r>
            <w:r w:rsidR="002005F2">
              <w:rPr>
                <w:rFonts w:ascii="Arial" w:eastAsia="Times New Roman" w:hAnsi="Arial" w:cs="Arial"/>
                <w:b/>
                <w:color w:val="000000"/>
                <w:sz w:val="20"/>
                <w:szCs w:val="20"/>
                <w:lang w:eastAsia="es-CL"/>
              </w:rPr>
              <w:t xml:space="preserve"> por periodo</w:t>
            </w:r>
            <w:r w:rsidR="00A42B39">
              <w:rPr>
                <w:rFonts w:ascii="Arial" w:eastAsia="Times New Roman" w:hAnsi="Arial" w:cs="Arial"/>
                <w:b/>
                <w:color w:val="000000"/>
                <w:sz w:val="20"/>
                <w:szCs w:val="20"/>
                <w:lang w:eastAsia="es-CL"/>
              </w:rPr>
              <w:t xml:space="preserve"> de renovación</w:t>
            </w:r>
          </w:p>
          <w:p w:rsidR="002B2938" w:rsidRPr="002B2938" w:rsidRDefault="002B2938" w:rsidP="002B2938">
            <w:pPr>
              <w:spacing w:after="0" w:line="240" w:lineRule="auto"/>
              <w:jc w:val="center"/>
              <w:rPr>
                <w:rFonts w:ascii="Arial" w:eastAsia="Times New Roman" w:hAnsi="Arial" w:cs="Arial"/>
                <w:b/>
                <w:color w:val="000000"/>
                <w:sz w:val="20"/>
                <w:szCs w:val="20"/>
                <w:lang w:eastAsia="es-CL"/>
              </w:rPr>
            </w:pPr>
            <w:r w:rsidRPr="002B2938">
              <w:rPr>
                <w:rFonts w:ascii="Arial" w:eastAsia="Times New Roman" w:hAnsi="Arial" w:cs="Arial"/>
                <w:b/>
                <w:color w:val="000000"/>
                <w:sz w:val="20"/>
                <w:szCs w:val="20"/>
                <w:lang w:eastAsia="es-CL"/>
              </w:rPr>
              <w:t>(CLP)</w:t>
            </w:r>
          </w:p>
        </w:tc>
        <w:tc>
          <w:tcPr>
            <w:tcW w:w="1166" w:type="pct"/>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rsidR="002B2938" w:rsidRPr="002B2938" w:rsidRDefault="002B2938" w:rsidP="002B2938">
            <w:pPr>
              <w:spacing w:after="0" w:line="240" w:lineRule="auto"/>
              <w:jc w:val="center"/>
              <w:rPr>
                <w:rFonts w:ascii="Arial" w:eastAsia="Times New Roman" w:hAnsi="Arial" w:cs="Arial"/>
                <w:b/>
                <w:color w:val="000000"/>
                <w:sz w:val="20"/>
                <w:szCs w:val="20"/>
                <w:lang w:eastAsia="es-CL"/>
              </w:rPr>
            </w:pPr>
            <w:r w:rsidRPr="002B2938">
              <w:rPr>
                <w:rFonts w:ascii="Arial" w:eastAsia="Times New Roman" w:hAnsi="Arial" w:cs="Arial"/>
                <w:b/>
                <w:color w:val="000000"/>
                <w:sz w:val="20"/>
                <w:szCs w:val="20"/>
                <w:lang w:eastAsia="es-CL"/>
              </w:rPr>
              <w:t>Periodicidad renovación</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CMI</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6,300,000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CMI</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GPE</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6,300,000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GPE</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Tableu</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sz w:val="20"/>
                <w:szCs w:val="20"/>
                <w:lang w:eastAsia="es-CL"/>
              </w:rPr>
            </w:pPr>
            <w:r w:rsidRPr="002B2938">
              <w:rPr>
                <w:rFonts w:ascii="Arial" w:eastAsia="Times New Roman" w:hAnsi="Arial" w:cs="Arial"/>
                <w:sz w:val="20"/>
                <w:szCs w:val="20"/>
                <w:lang w:eastAsia="es-CL"/>
              </w:rPr>
              <w:t>4,000,000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Tableu</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20,000,000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SAF (Sistema Administración Fiscalización)</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SAF (Sistema Administración Fiscalización)</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10,000,000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Observatorio Laboral</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4,788,000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Observatorio Laboral</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Bolsa de horas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7,980,000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SISTEMA DE AUTODIAGNÓSTICO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1,500,000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SISTEMA DE AUTODIAGNÓSTICO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1,000,000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SISTEMA DE AUTODIAGNÓSTICO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Banco de preguntas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5,000,000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2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sz w:val="20"/>
                <w:szCs w:val="20"/>
                <w:lang w:eastAsia="es-CL"/>
              </w:rPr>
            </w:pPr>
            <w:r w:rsidRPr="002B2938">
              <w:rPr>
                <w:rFonts w:ascii="Arial" w:eastAsia="Times New Roman" w:hAnsi="Arial" w:cs="Arial"/>
                <w:sz w:val="20"/>
                <w:szCs w:val="20"/>
                <w:lang w:eastAsia="es-CL"/>
              </w:rPr>
              <w:t>SharePoint</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sz w:val="20"/>
                <w:szCs w:val="20"/>
                <w:lang w:eastAsia="es-CL"/>
              </w:rPr>
            </w:pPr>
            <w:r w:rsidRPr="002B2938">
              <w:rPr>
                <w:rFonts w:ascii="Arial" w:eastAsia="Times New Roman" w:hAnsi="Arial" w:cs="Arial"/>
                <w:sz w:val="20"/>
                <w:szCs w:val="20"/>
                <w:lang w:eastAsia="es-CL"/>
              </w:rPr>
              <w:t>Mantención</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sz w:val="20"/>
                <w:szCs w:val="20"/>
                <w:lang w:eastAsia="es-CL"/>
              </w:rPr>
            </w:pPr>
            <w:r w:rsidRPr="002B2938">
              <w:rPr>
                <w:rFonts w:ascii="Arial" w:eastAsia="Times New Roman" w:hAnsi="Arial" w:cs="Arial"/>
                <w:sz w:val="20"/>
                <w:szCs w:val="20"/>
                <w:lang w:eastAsia="es-CL"/>
              </w:rPr>
              <w:t>8,000,000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sz w:val="20"/>
                <w:szCs w:val="20"/>
                <w:lang w:eastAsia="es-CL"/>
              </w:rPr>
            </w:pPr>
            <w:r w:rsidRPr="002B2938">
              <w:rPr>
                <w:rFonts w:ascii="Arial" w:eastAsia="Times New Roman" w:hAnsi="Arial" w:cs="Arial"/>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Mi SENCE</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Mi SENCE</w:t>
            </w:r>
            <w:bookmarkStart w:id="0" w:name="_GoBack"/>
            <w:bookmarkEnd w:id="0"/>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5,000,000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RUDO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RUDO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10,000,000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Cada 3 años</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Moodle</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3,000,000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Web Circulo de Empleo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Mantención licencias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500,000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r w:rsidR="002B2938" w:rsidRPr="002B2938" w:rsidTr="002B2938">
        <w:trPr>
          <w:trHeight w:val="315"/>
        </w:trPr>
        <w:tc>
          <w:tcPr>
            <w:tcW w:w="1764" w:type="pct"/>
            <w:tcBorders>
              <w:top w:val="nil"/>
              <w:left w:val="single" w:sz="4" w:space="0" w:color="auto"/>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Web Circulo de Empleo</w:t>
            </w:r>
          </w:p>
        </w:tc>
        <w:tc>
          <w:tcPr>
            <w:tcW w:w="1284"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Servidores</w:t>
            </w:r>
          </w:p>
        </w:tc>
        <w:tc>
          <w:tcPr>
            <w:tcW w:w="786" w:type="pct"/>
            <w:tcBorders>
              <w:top w:val="nil"/>
              <w:left w:val="nil"/>
              <w:bottom w:val="single" w:sz="4" w:space="0" w:color="auto"/>
              <w:right w:val="single" w:sz="4" w:space="0" w:color="auto"/>
            </w:tcBorders>
            <w:shd w:val="clear" w:color="auto" w:fill="auto"/>
            <w:noWrap/>
            <w:vAlign w:val="center"/>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500,000</w:t>
            </w:r>
          </w:p>
        </w:tc>
        <w:tc>
          <w:tcPr>
            <w:tcW w:w="1166" w:type="pct"/>
            <w:tcBorders>
              <w:top w:val="nil"/>
              <w:left w:val="nil"/>
              <w:bottom w:val="single" w:sz="4" w:space="0" w:color="auto"/>
              <w:right w:val="single" w:sz="4" w:space="0" w:color="auto"/>
            </w:tcBorders>
            <w:shd w:val="clear" w:color="auto" w:fill="auto"/>
            <w:noWrap/>
            <w:vAlign w:val="bottom"/>
            <w:hideMark/>
          </w:tcPr>
          <w:p w:rsidR="002B2938" w:rsidRPr="002B2938" w:rsidRDefault="002B2938" w:rsidP="002B2938">
            <w:pPr>
              <w:spacing w:after="0" w:line="240" w:lineRule="auto"/>
              <w:jc w:val="center"/>
              <w:rPr>
                <w:rFonts w:ascii="Arial" w:eastAsia="Times New Roman" w:hAnsi="Arial" w:cs="Arial"/>
                <w:color w:val="000000"/>
                <w:sz w:val="20"/>
                <w:szCs w:val="20"/>
                <w:lang w:eastAsia="es-CL"/>
              </w:rPr>
            </w:pPr>
            <w:r w:rsidRPr="002B2938">
              <w:rPr>
                <w:rFonts w:ascii="Arial" w:eastAsia="Times New Roman" w:hAnsi="Arial" w:cs="Arial"/>
                <w:color w:val="000000"/>
                <w:sz w:val="20"/>
                <w:szCs w:val="20"/>
                <w:lang w:eastAsia="es-CL"/>
              </w:rPr>
              <w:t>Anual</w:t>
            </w:r>
          </w:p>
        </w:tc>
      </w:tr>
    </w:tbl>
    <w:p w:rsidR="00CD196F" w:rsidRPr="00CD196F" w:rsidRDefault="002B2938" w:rsidP="00CD196F">
      <w:pPr>
        <w:rPr>
          <w:rFonts w:ascii="Arial" w:hAnsi="Arial" w:cs="Arial"/>
        </w:rPr>
      </w:pPr>
      <w:r>
        <w:rPr>
          <w:rFonts w:ascii="Arial" w:hAnsi="Arial" w:cs="Arial"/>
        </w:rPr>
        <w:t xml:space="preserve"> </w:t>
      </w:r>
    </w:p>
    <w:p w:rsidR="00CD196F" w:rsidRPr="00A91047" w:rsidRDefault="00C27728" w:rsidP="00C27728">
      <w:pPr>
        <w:pStyle w:val="ListParagraph"/>
        <w:numPr>
          <w:ilvl w:val="0"/>
          <w:numId w:val="1"/>
        </w:numPr>
        <w:rPr>
          <w:rFonts w:ascii="Arial" w:hAnsi="Arial" w:cs="Arial"/>
          <w:b/>
        </w:rPr>
      </w:pPr>
      <w:r w:rsidRPr="00A91047">
        <w:rPr>
          <w:rFonts w:ascii="Arial" w:hAnsi="Arial" w:cs="Arial"/>
          <w:b/>
        </w:rPr>
        <w:t>Cuantificación de los beneficios del programa</w:t>
      </w:r>
    </w:p>
    <w:p w:rsidR="00C27728" w:rsidRDefault="00C27728" w:rsidP="00C27728">
      <w:pPr>
        <w:jc w:val="both"/>
        <w:rPr>
          <w:rFonts w:ascii="Arial" w:hAnsi="Arial" w:cs="Arial"/>
        </w:rPr>
      </w:pPr>
      <w:r>
        <w:rPr>
          <w:rFonts w:ascii="Arial" w:hAnsi="Arial" w:cs="Arial"/>
        </w:rPr>
        <w:t xml:space="preserve">Para cuantificar los beneficios monetarios del programa, se utiliza la matriz de indicadores de </w:t>
      </w:r>
      <w:r w:rsidR="000C5C47">
        <w:rPr>
          <w:rFonts w:ascii="Arial" w:hAnsi="Arial" w:cs="Arial"/>
        </w:rPr>
        <w:t xml:space="preserve">resultados </w:t>
      </w:r>
      <w:r>
        <w:rPr>
          <w:rFonts w:ascii="Arial" w:hAnsi="Arial" w:cs="Arial"/>
        </w:rPr>
        <w:t>detallada en la Sección 2.3. Los resultados logrados del programa se pueden dividir en dos: aumento en salarios de los capacitados y aumento en la empleabilidad de los capacitados.</w:t>
      </w:r>
      <w:r w:rsidR="00C44BF8">
        <w:rPr>
          <w:rFonts w:ascii="Arial" w:hAnsi="Arial" w:cs="Arial"/>
        </w:rPr>
        <w:t xml:space="preserve"> </w:t>
      </w:r>
      <w:r w:rsidR="00C44BF8" w:rsidRPr="00C44BF8">
        <w:rPr>
          <w:rFonts w:ascii="Arial" w:hAnsi="Arial" w:cs="Arial"/>
        </w:rPr>
        <w:t xml:space="preserve">La cuantificación del beneficio monetario del indicador 1 </w:t>
      </w:r>
      <w:r w:rsidR="00C44BF8">
        <w:rPr>
          <w:rFonts w:ascii="Arial" w:hAnsi="Arial" w:cs="Arial"/>
        </w:rPr>
        <w:t>(</w:t>
      </w:r>
      <w:r w:rsidR="00C44BF8" w:rsidRPr="00C44BF8">
        <w:rPr>
          <w:rFonts w:ascii="Arial" w:hAnsi="Arial" w:cs="Arial"/>
        </w:rPr>
        <w:t>% de personas que usó un servicio del SENCE y tiene mejor salario</w:t>
      </w:r>
      <w:r w:rsidR="00C44BF8">
        <w:rPr>
          <w:rFonts w:ascii="Arial" w:hAnsi="Arial" w:cs="Arial"/>
        </w:rPr>
        <w:t xml:space="preserve">, </w:t>
      </w:r>
      <w:r w:rsidR="00C44BF8" w:rsidRPr="00C44BF8">
        <w:rPr>
          <w:rFonts w:ascii="Arial" w:hAnsi="Arial" w:cs="Arial"/>
        </w:rPr>
        <w:t>respecto a promedio de grupo comparable</w:t>
      </w:r>
      <w:r w:rsidR="00C44BF8">
        <w:rPr>
          <w:rFonts w:ascii="Arial" w:hAnsi="Arial" w:cs="Arial"/>
        </w:rPr>
        <w:t xml:space="preserve">) </w:t>
      </w:r>
      <w:r w:rsidR="00C44BF8" w:rsidRPr="00C44BF8">
        <w:rPr>
          <w:rFonts w:ascii="Arial" w:hAnsi="Arial" w:cs="Arial"/>
        </w:rPr>
        <w:t>está contenida en el indicador 4</w:t>
      </w:r>
      <w:r w:rsidR="00C44BF8">
        <w:rPr>
          <w:rFonts w:ascii="Arial" w:hAnsi="Arial" w:cs="Arial"/>
        </w:rPr>
        <w:t xml:space="preserve"> (</w:t>
      </w:r>
      <w:r w:rsidR="00C44BF8" w:rsidRPr="00C44BF8">
        <w:rPr>
          <w:rFonts w:ascii="Arial" w:hAnsi="Arial" w:cs="Arial"/>
        </w:rPr>
        <w:t>% de diferencia entre el salario promedio de personas capacitadas por medio de SENCE en comparación el salario promedio de grupo comparable que no se capacitó</w:t>
      </w:r>
      <w:r w:rsidR="00C44BF8">
        <w:rPr>
          <w:rFonts w:ascii="Arial" w:hAnsi="Arial" w:cs="Arial"/>
        </w:rPr>
        <w:t>)</w:t>
      </w:r>
      <w:r w:rsidR="00C44BF8" w:rsidRPr="00C44BF8">
        <w:rPr>
          <w:rFonts w:ascii="Arial" w:hAnsi="Arial" w:cs="Arial"/>
        </w:rPr>
        <w:t>.</w:t>
      </w:r>
      <w:r w:rsidR="002005F2">
        <w:rPr>
          <w:rFonts w:ascii="Arial" w:hAnsi="Arial" w:cs="Arial"/>
        </w:rPr>
        <w:t xml:space="preserve"> Esto, ya que el logro del indicador 4 se aplica a todos los </w:t>
      </w:r>
      <w:r w:rsidR="0025395F">
        <w:rPr>
          <w:rFonts w:ascii="Arial" w:hAnsi="Arial" w:cs="Arial"/>
        </w:rPr>
        <w:t xml:space="preserve">beneficiarios, mientras que el indicador 1 sólo da cuenta de un subgrupo beneficiarios que ven aumentado su salario. </w:t>
      </w:r>
      <w:r>
        <w:rPr>
          <w:rFonts w:ascii="Arial" w:hAnsi="Arial" w:cs="Arial"/>
        </w:rPr>
        <w:t>Los resultados obtenidos en relación al número de personas al que se les aplica una herramienta de diagnóstico de habilidades no se incorpora</w:t>
      </w:r>
      <w:r w:rsidR="00352AD5">
        <w:rPr>
          <w:rFonts w:ascii="Arial" w:hAnsi="Arial" w:cs="Arial"/>
        </w:rPr>
        <w:t>n</w:t>
      </w:r>
      <w:r>
        <w:rPr>
          <w:rFonts w:ascii="Arial" w:hAnsi="Arial" w:cs="Arial"/>
        </w:rPr>
        <w:t xml:space="preserve"> en el presente análisis </w:t>
      </w:r>
      <w:r w:rsidRPr="00C27728">
        <w:rPr>
          <w:rFonts w:ascii="Arial" w:hAnsi="Arial" w:cs="Arial"/>
        </w:rPr>
        <w:t xml:space="preserve">ya que no se cuenta con supuestos confiables para calcular el beneficio monetario de aplicar </w:t>
      </w:r>
      <w:r>
        <w:rPr>
          <w:rFonts w:ascii="Arial" w:hAnsi="Arial" w:cs="Arial"/>
        </w:rPr>
        <w:t>este tipo de instrumentos</w:t>
      </w:r>
      <w:r w:rsidRPr="00C27728">
        <w:rPr>
          <w:rFonts w:ascii="Arial" w:hAnsi="Arial" w:cs="Arial"/>
        </w:rPr>
        <w:t>.</w:t>
      </w:r>
      <w:r>
        <w:rPr>
          <w:rFonts w:ascii="Arial" w:hAnsi="Arial" w:cs="Arial"/>
        </w:rPr>
        <w:t xml:space="preserve"> </w:t>
      </w:r>
    </w:p>
    <w:p w:rsidR="00E73302" w:rsidRPr="00E73302" w:rsidRDefault="00E73302" w:rsidP="00C27728">
      <w:pPr>
        <w:jc w:val="both"/>
        <w:rPr>
          <w:rFonts w:ascii="Arial" w:hAnsi="Arial" w:cs="Arial"/>
          <w:b/>
          <w:i/>
        </w:rPr>
      </w:pPr>
      <w:r w:rsidRPr="00E73302">
        <w:rPr>
          <w:rFonts w:ascii="Arial" w:hAnsi="Arial" w:cs="Arial"/>
          <w:b/>
          <w:i/>
        </w:rPr>
        <w:t>Beneficio 1: Aumento en salarios</w:t>
      </w:r>
    </w:p>
    <w:p w:rsidR="00E73302" w:rsidRDefault="00E73302" w:rsidP="00E73302">
      <w:pPr>
        <w:jc w:val="both"/>
        <w:rPr>
          <w:rFonts w:ascii="Arial" w:hAnsi="Arial" w:cs="Arial"/>
        </w:rPr>
      </w:pPr>
      <w:r>
        <w:rPr>
          <w:rFonts w:ascii="Arial" w:hAnsi="Arial" w:cs="Arial"/>
        </w:rPr>
        <w:t>L</w:t>
      </w:r>
      <w:r w:rsidRPr="00E73302">
        <w:rPr>
          <w:rFonts w:ascii="Arial" w:hAnsi="Arial" w:cs="Arial"/>
        </w:rPr>
        <w:t>a intervención contribuyó a aumentar la diferencia en el salario promedio de personas capacitadas por medio de SENCE en comparación al salario promedio de un grupo comparable que no se capacitó (indicador de resultado #4). Dicha diferencia pasó de 10.36% antes de la intervención a 16.56% después de la intervención, superando ampliamente la meta de 12% establecida al momento del diseño.</w:t>
      </w:r>
      <w:r>
        <w:rPr>
          <w:rFonts w:ascii="Arial" w:hAnsi="Arial" w:cs="Arial"/>
        </w:rPr>
        <w:t xml:space="preserve"> </w:t>
      </w:r>
    </w:p>
    <w:p w:rsidR="00E73302" w:rsidRDefault="00E73302" w:rsidP="00E73302">
      <w:pPr>
        <w:jc w:val="both"/>
        <w:rPr>
          <w:rFonts w:ascii="Arial" w:hAnsi="Arial" w:cs="Arial"/>
        </w:rPr>
      </w:pPr>
      <w:r>
        <w:rPr>
          <w:rFonts w:ascii="Arial" w:hAnsi="Arial" w:cs="Arial"/>
        </w:rPr>
        <w:t xml:space="preserve">Utilizando este indicador de </w:t>
      </w:r>
      <w:r w:rsidR="00EF690E">
        <w:rPr>
          <w:rFonts w:ascii="Arial" w:hAnsi="Arial" w:cs="Arial"/>
        </w:rPr>
        <w:t>resultado</w:t>
      </w:r>
      <w:r>
        <w:rPr>
          <w:rFonts w:ascii="Arial" w:hAnsi="Arial" w:cs="Arial"/>
        </w:rPr>
        <w:t>, se calcula al beneficio monetario anual de la siguiente manera:</w:t>
      </w:r>
    </w:p>
    <w:p w:rsidR="00E73302" w:rsidRDefault="00E73302" w:rsidP="00E73302">
      <w:pPr>
        <w:pStyle w:val="ListParagraph"/>
        <w:numPr>
          <w:ilvl w:val="0"/>
          <w:numId w:val="2"/>
        </w:numPr>
        <w:jc w:val="both"/>
        <w:rPr>
          <w:rFonts w:ascii="Arial" w:hAnsi="Arial" w:cs="Arial"/>
        </w:rPr>
      </w:pPr>
      <w:r>
        <w:rPr>
          <w:rFonts w:ascii="Arial" w:hAnsi="Arial" w:cs="Arial"/>
        </w:rPr>
        <w:t xml:space="preserve">(16.56-10.36) * N° beneficiarios anuales </w:t>
      </w:r>
      <w:r w:rsidR="00F96825">
        <w:rPr>
          <w:rFonts w:ascii="Arial" w:hAnsi="Arial" w:cs="Arial"/>
        </w:rPr>
        <w:t xml:space="preserve">SENCE </w:t>
      </w:r>
      <w:r>
        <w:rPr>
          <w:rFonts w:ascii="Arial" w:hAnsi="Arial" w:cs="Arial"/>
        </w:rPr>
        <w:t>* 3 (meses) * Salario promedio</w:t>
      </w:r>
    </w:p>
    <w:p w:rsidR="00E73302" w:rsidRDefault="00A07091" w:rsidP="00E73302">
      <w:pPr>
        <w:jc w:val="both"/>
        <w:rPr>
          <w:rFonts w:ascii="Arial" w:hAnsi="Arial" w:cs="Arial"/>
        </w:rPr>
      </w:pPr>
      <w:r>
        <w:rPr>
          <w:rFonts w:ascii="Arial" w:hAnsi="Arial" w:cs="Arial"/>
        </w:rPr>
        <w:t>De manera conservadora y basado en la evidencia para poblaciones similares en el país (Alaimo et al., 2015), s</w:t>
      </w:r>
      <w:r w:rsidR="00E73302">
        <w:rPr>
          <w:rFonts w:ascii="Arial" w:hAnsi="Arial" w:cs="Arial"/>
        </w:rPr>
        <w:t>e asume que la duración promedio de los empleos de los beneficiarios SENCE es d</w:t>
      </w:r>
      <w:r w:rsidR="00F96825">
        <w:rPr>
          <w:rFonts w:ascii="Arial" w:hAnsi="Arial" w:cs="Arial"/>
        </w:rPr>
        <w:t>e 3 meses. Por su parte, el salario promedio de se calcula utilizando datos de</w:t>
      </w:r>
      <w:r w:rsidR="00E73302">
        <w:rPr>
          <w:rFonts w:ascii="Arial" w:hAnsi="Arial" w:cs="Arial"/>
        </w:rPr>
        <w:t xml:space="preserve"> </w:t>
      </w:r>
      <w:r w:rsidR="00F96825">
        <w:rPr>
          <w:rFonts w:ascii="Arial" w:hAnsi="Arial" w:cs="Arial"/>
        </w:rPr>
        <w:t>la Encuesta Suplementaria de Ingresos (NESI) del INE, para los 4 primeros deciles de ingreso (población objetivo SENCE). Este salario promedio, para 2017 ascendía a CLP 237,016.</w:t>
      </w:r>
    </w:p>
    <w:p w:rsidR="00C27728" w:rsidRPr="009739CB" w:rsidRDefault="00F96825" w:rsidP="00F96825">
      <w:pPr>
        <w:jc w:val="both"/>
        <w:rPr>
          <w:rFonts w:ascii="Arial" w:hAnsi="Arial" w:cs="Arial"/>
        </w:rPr>
      </w:pPr>
      <w:r>
        <w:rPr>
          <w:rFonts w:ascii="Arial" w:hAnsi="Arial" w:cs="Arial"/>
        </w:rPr>
        <w:t>Para el cálculo del valor presente neto de este beneficio se asume que los beneficiaros anuales de SENCE crecen a la misma tasa que crece la población chilena al año (</w:t>
      </w:r>
      <w:r w:rsidRPr="00F96825">
        <w:rPr>
          <w:rFonts w:ascii="Arial" w:hAnsi="Arial" w:cs="Arial"/>
        </w:rPr>
        <w:t>0.0825%</w:t>
      </w:r>
      <w:r>
        <w:rPr>
          <w:rFonts w:ascii="Arial" w:hAnsi="Arial" w:cs="Arial"/>
        </w:rPr>
        <w:t xml:space="preserve">, según el Banco Mundial) y que los salarios nominales crecerán al mismo ritmo que la inflación (cero crecimiento de los salarios reales). </w:t>
      </w:r>
      <w:r w:rsidRPr="009739CB">
        <w:rPr>
          <w:rFonts w:ascii="Arial" w:hAnsi="Arial" w:cs="Arial"/>
        </w:rPr>
        <w:t xml:space="preserve">De esta manera, el valor presente neto </w:t>
      </w:r>
      <w:r w:rsidR="00320C17" w:rsidRPr="009739CB">
        <w:rPr>
          <w:rFonts w:ascii="Arial" w:hAnsi="Arial" w:cs="Arial"/>
        </w:rPr>
        <w:t xml:space="preserve">(2018-2027) </w:t>
      </w:r>
      <w:r w:rsidRPr="009739CB">
        <w:rPr>
          <w:rFonts w:ascii="Arial" w:hAnsi="Arial" w:cs="Arial"/>
        </w:rPr>
        <w:t xml:space="preserve">de </w:t>
      </w:r>
      <w:r w:rsidR="00320C17" w:rsidRPr="009739CB">
        <w:rPr>
          <w:rFonts w:ascii="Arial" w:hAnsi="Arial" w:cs="Arial"/>
        </w:rPr>
        <w:t>la mejora en salarios de los beneficiarios SENCE asciende</w:t>
      </w:r>
      <w:r w:rsidRPr="009739CB">
        <w:rPr>
          <w:rFonts w:ascii="Arial" w:hAnsi="Arial" w:cs="Arial"/>
        </w:rPr>
        <w:t xml:space="preserve"> a </w:t>
      </w:r>
      <w:r w:rsidR="00756FBA">
        <w:rPr>
          <w:rFonts w:ascii="Arial" w:hAnsi="Arial" w:cs="Arial"/>
        </w:rPr>
        <w:t>US$</w:t>
      </w:r>
      <w:r w:rsidRPr="009739CB">
        <w:rPr>
          <w:rFonts w:ascii="Arial" w:hAnsi="Arial" w:cs="Arial"/>
        </w:rPr>
        <w:t>142,120,353</w:t>
      </w:r>
      <w:r w:rsidR="00A07091">
        <w:rPr>
          <w:rFonts w:ascii="Arial" w:hAnsi="Arial" w:cs="Arial"/>
        </w:rPr>
        <w:t>.</w:t>
      </w:r>
    </w:p>
    <w:p w:rsidR="00F96825" w:rsidRPr="0025395F" w:rsidRDefault="00F96825" w:rsidP="00F96825">
      <w:pPr>
        <w:jc w:val="both"/>
        <w:rPr>
          <w:rFonts w:ascii="Arial" w:hAnsi="Arial" w:cs="Arial"/>
          <w:b/>
          <w:i/>
        </w:rPr>
      </w:pPr>
      <w:r w:rsidRPr="0025395F">
        <w:rPr>
          <w:rFonts w:ascii="Arial" w:hAnsi="Arial" w:cs="Arial"/>
          <w:b/>
          <w:i/>
        </w:rPr>
        <w:t>Beneficio 2: Aumento en la empleabilidad</w:t>
      </w:r>
    </w:p>
    <w:p w:rsidR="00F96825" w:rsidRPr="00F96825" w:rsidRDefault="00F96825" w:rsidP="00F96825">
      <w:pPr>
        <w:jc w:val="both"/>
        <w:rPr>
          <w:rFonts w:ascii="Arial" w:hAnsi="Arial" w:cs="Arial"/>
        </w:rPr>
      </w:pPr>
      <w:r w:rsidRPr="00F96825">
        <w:rPr>
          <w:rFonts w:ascii="Arial" w:hAnsi="Arial" w:cs="Arial"/>
        </w:rPr>
        <w:t>La intervención contribuyó</w:t>
      </w:r>
      <w:r w:rsidR="00C44BF8">
        <w:rPr>
          <w:rFonts w:ascii="Arial" w:hAnsi="Arial" w:cs="Arial"/>
        </w:rPr>
        <w:t xml:space="preserve"> también</w:t>
      </w:r>
      <w:r w:rsidRPr="00F96825">
        <w:rPr>
          <w:rFonts w:ascii="Arial" w:hAnsi="Arial" w:cs="Arial"/>
        </w:rPr>
        <w:t xml:space="preserve"> a aumentar el porcentaje de personas que usaron un servicio del SENCE y tienen un empleo formal respecto a promedio de grupo comparable (indicador de resultado #2). Dicho porcentaje pasó de 62.84% antes de la intervención a 68.65% después de la intervención, superando así la meta establecida al momento del diseño de 66.20%.</w:t>
      </w:r>
      <w:r>
        <w:rPr>
          <w:rFonts w:ascii="Arial" w:hAnsi="Arial" w:cs="Arial"/>
        </w:rPr>
        <w:t xml:space="preserve"> </w:t>
      </w:r>
    </w:p>
    <w:p w:rsidR="00F96825" w:rsidRDefault="00F96825" w:rsidP="00F96825">
      <w:pPr>
        <w:jc w:val="both"/>
        <w:rPr>
          <w:rFonts w:ascii="Arial" w:hAnsi="Arial" w:cs="Arial"/>
        </w:rPr>
      </w:pPr>
      <w:r>
        <w:rPr>
          <w:rFonts w:ascii="Arial" w:hAnsi="Arial" w:cs="Arial"/>
        </w:rPr>
        <w:t>Utilizando este indicador de logro, se calcula al beneficio monetario anual de la siguiente manera:</w:t>
      </w:r>
    </w:p>
    <w:p w:rsidR="00F96825" w:rsidRDefault="00F96825" w:rsidP="00F96825">
      <w:pPr>
        <w:pStyle w:val="ListParagraph"/>
        <w:numPr>
          <w:ilvl w:val="0"/>
          <w:numId w:val="2"/>
        </w:numPr>
        <w:jc w:val="both"/>
        <w:rPr>
          <w:rFonts w:ascii="Arial" w:hAnsi="Arial" w:cs="Arial"/>
        </w:rPr>
      </w:pPr>
      <w:r>
        <w:rPr>
          <w:rFonts w:ascii="Arial" w:hAnsi="Arial" w:cs="Arial"/>
        </w:rPr>
        <w:t>(68.56-62.84) * N° beneficiarios anuales SENCE * 3 (meses) * Salario promedio</w:t>
      </w:r>
    </w:p>
    <w:p w:rsidR="00F96825" w:rsidRPr="009739CB" w:rsidRDefault="00320C17" w:rsidP="00F96825">
      <w:pPr>
        <w:jc w:val="both"/>
        <w:rPr>
          <w:rFonts w:ascii="Arial" w:hAnsi="Arial" w:cs="Arial"/>
        </w:rPr>
      </w:pPr>
      <w:r w:rsidRPr="009739CB">
        <w:rPr>
          <w:rFonts w:ascii="Arial" w:hAnsi="Arial" w:cs="Arial"/>
        </w:rPr>
        <w:t xml:space="preserve">Utilizando los mismos parámetros descritos anteriormente, obtenemos que el valor presente neto (2018-2027) de la mejora en empleabilidad de los beneficiarios SENCE asciende a </w:t>
      </w:r>
      <w:r w:rsidR="00756FBA">
        <w:rPr>
          <w:rFonts w:ascii="Arial" w:hAnsi="Arial" w:cs="Arial"/>
        </w:rPr>
        <w:t>US$</w:t>
      </w:r>
      <w:r w:rsidRPr="009739CB">
        <w:rPr>
          <w:rFonts w:ascii="Arial" w:hAnsi="Arial" w:cs="Arial"/>
        </w:rPr>
        <w:t>92,908,292</w:t>
      </w:r>
      <w:r w:rsidR="009739CB" w:rsidRPr="009739CB">
        <w:rPr>
          <w:rFonts w:ascii="Arial" w:hAnsi="Arial" w:cs="Arial"/>
        </w:rPr>
        <w:t>.</w:t>
      </w:r>
    </w:p>
    <w:p w:rsidR="00320C17" w:rsidRDefault="00811F80" w:rsidP="00F96825">
      <w:pPr>
        <w:jc w:val="both"/>
        <w:rPr>
          <w:rFonts w:ascii="Arial" w:hAnsi="Arial" w:cs="Arial"/>
        </w:rPr>
      </w:pPr>
      <w:r>
        <w:rPr>
          <w:rFonts w:ascii="Arial" w:hAnsi="Arial" w:cs="Arial"/>
        </w:rPr>
        <w:t>El Cuadro</w:t>
      </w:r>
      <w:r w:rsidR="00320C17" w:rsidRPr="00320C17">
        <w:rPr>
          <w:rFonts w:ascii="Arial" w:hAnsi="Arial" w:cs="Arial"/>
        </w:rPr>
        <w:t xml:space="preserve"> 4, resume los resultados descritos</w:t>
      </w:r>
      <w:r w:rsidR="00320C17">
        <w:rPr>
          <w:rFonts w:ascii="Arial" w:hAnsi="Arial" w:cs="Arial"/>
        </w:rPr>
        <w:t>:</w:t>
      </w:r>
      <w:r w:rsidR="00320C17">
        <w:rPr>
          <w:rFonts w:ascii="Arial" w:hAnsi="Arial" w:cs="Arial"/>
          <w:b/>
        </w:rPr>
        <w:t xml:space="preserve"> </w:t>
      </w:r>
    </w:p>
    <w:p w:rsidR="00320C17" w:rsidRDefault="00811F80" w:rsidP="00A91047">
      <w:pPr>
        <w:pStyle w:val="Caption"/>
      </w:pPr>
      <w:r>
        <w:t xml:space="preserve">Cuadro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4</w:t>
      </w:r>
      <w:r w:rsidR="008B1632">
        <w:rPr>
          <w:noProof/>
        </w:rPr>
        <w:fldChar w:fldCharType="end"/>
      </w:r>
      <w:r w:rsidR="00320C17">
        <w:t>: Cuantificación monetario de los beneficios del programa CH-L1064</w:t>
      </w:r>
    </w:p>
    <w:tbl>
      <w:tblPr>
        <w:tblW w:w="8308" w:type="dxa"/>
        <w:jc w:val="center"/>
        <w:tblLayout w:type="fixed"/>
        <w:tblCellMar>
          <w:left w:w="70" w:type="dxa"/>
          <w:right w:w="70" w:type="dxa"/>
        </w:tblCellMar>
        <w:tblLook w:val="04A0" w:firstRow="1" w:lastRow="0" w:firstColumn="1" w:lastColumn="0" w:noHBand="0" w:noVBand="1"/>
      </w:tblPr>
      <w:tblGrid>
        <w:gridCol w:w="2972"/>
        <w:gridCol w:w="1134"/>
        <w:gridCol w:w="1134"/>
        <w:gridCol w:w="1418"/>
        <w:gridCol w:w="1650"/>
      </w:tblGrid>
      <w:tr w:rsidR="00C27728" w:rsidRPr="00C27728" w:rsidTr="00320C17">
        <w:trPr>
          <w:trHeight w:val="765"/>
          <w:jc w:val="center"/>
        </w:trPr>
        <w:tc>
          <w:tcPr>
            <w:tcW w:w="297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Indicador</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Resultados Línea Base</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Resultados Línea de Salida (%)</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 xml:space="preserve">Logro </w:t>
            </w:r>
          </w:p>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(Línea Salida - Línea Base)</w:t>
            </w:r>
          </w:p>
        </w:tc>
        <w:tc>
          <w:tcPr>
            <w:tcW w:w="1650" w:type="dxa"/>
            <w:tcBorders>
              <w:top w:val="single" w:sz="4" w:space="0" w:color="auto"/>
              <w:left w:val="nil"/>
              <w:bottom w:val="single" w:sz="4" w:space="0" w:color="auto"/>
              <w:right w:val="single" w:sz="4" w:space="0" w:color="auto"/>
            </w:tcBorders>
            <w:shd w:val="clear" w:color="000000" w:fill="D9D9D9"/>
            <w:vAlign w:val="center"/>
            <w:hideMark/>
          </w:tcPr>
          <w:p w:rsidR="00C27728" w:rsidRPr="00C27728" w:rsidRDefault="00C27728" w:rsidP="00052AAC">
            <w:pPr>
              <w:jc w:val="center"/>
              <w:rPr>
                <w:rFonts w:ascii="Arial" w:eastAsia="Times New Roman" w:hAnsi="Arial" w:cs="Arial"/>
                <w:b/>
                <w:bCs/>
                <w:color w:val="000000"/>
                <w:sz w:val="20"/>
                <w:szCs w:val="20"/>
                <w:lang w:eastAsia="es-CL"/>
              </w:rPr>
            </w:pPr>
            <w:r w:rsidRPr="00C27728">
              <w:rPr>
                <w:rFonts w:ascii="Arial" w:eastAsia="Times New Roman" w:hAnsi="Arial" w:cs="Arial"/>
                <w:b/>
                <w:bCs/>
                <w:color w:val="000000"/>
                <w:sz w:val="20"/>
                <w:szCs w:val="20"/>
                <w:lang w:eastAsia="es-CL"/>
              </w:rPr>
              <w:t>VPN Beneficios 2017-2027 (</w:t>
            </w:r>
            <w:r w:rsidR="00756FBA">
              <w:rPr>
                <w:rFonts w:ascii="Arial" w:eastAsia="Times New Roman" w:hAnsi="Arial" w:cs="Arial"/>
                <w:b/>
                <w:bCs/>
                <w:color w:val="000000"/>
                <w:sz w:val="20"/>
                <w:szCs w:val="20"/>
                <w:lang w:eastAsia="es-CL"/>
              </w:rPr>
              <w:t>US$</w:t>
            </w:r>
            <w:r w:rsidRPr="00C27728">
              <w:rPr>
                <w:rFonts w:ascii="Arial" w:eastAsia="Times New Roman" w:hAnsi="Arial" w:cs="Arial"/>
                <w:b/>
                <w:bCs/>
                <w:color w:val="000000"/>
                <w:sz w:val="20"/>
                <w:szCs w:val="20"/>
                <w:lang w:eastAsia="es-CL"/>
              </w:rPr>
              <w:t>)</w:t>
            </w:r>
          </w:p>
        </w:tc>
      </w:tr>
      <w:tr w:rsidR="00C27728" w:rsidRPr="00C27728" w:rsidTr="00320C17">
        <w:trPr>
          <w:trHeight w:val="102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27728" w:rsidRPr="00C27728" w:rsidRDefault="00320C17" w:rsidP="00052AAC">
            <w:pPr>
              <w:jc w:val="both"/>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1</w:t>
            </w:r>
            <w:r w:rsidR="00C27728" w:rsidRPr="00C27728">
              <w:rPr>
                <w:rFonts w:ascii="Arial" w:eastAsia="Times New Roman" w:hAnsi="Arial" w:cs="Arial"/>
                <w:color w:val="000000"/>
                <w:sz w:val="20"/>
                <w:szCs w:val="20"/>
                <w:lang w:eastAsia="es-CL"/>
              </w:rPr>
              <w:t>. % de personas que usó un servicio del SENCE y tiene un empleo formal (respecto a promedio de grupo comparable)</w:t>
            </w:r>
          </w:p>
        </w:tc>
        <w:tc>
          <w:tcPr>
            <w:tcW w:w="1134"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62.84</w:t>
            </w:r>
          </w:p>
        </w:tc>
        <w:tc>
          <w:tcPr>
            <w:tcW w:w="1134" w:type="dxa"/>
            <w:tcBorders>
              <w:top w:val="nil"/>
              <w:left w:val="nil"/>
              <w:bottom w:val="single" w:sz="4" w:space="0" w:color="auto"/>
              <w:right w:val="single" w:sz="4" w:space="0" w:color="auto"/>
            </w:tcBorders>
            <w:shd w:val="clear" w:color="auto" w:fill="auto"/>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68.65</w:t>
            </w:r>
          </w:p>
        </w:tc>
        <w:tc>
          <w:tcPr>
            <w:tcW w:w="1418"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5.81</w:t>
            </w:r>
          </w:p>
        </w:tc>
        <w:tc>
          <w:tcPr>
            <w:tcW w:w="1650"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hAnsi="Arial" w:cs="Arial"/>
                <w:color w:val="000000"/>
                <w:sz w:val="20"/>
                <w:szCs w:val="20"/>
              </w:rPr>
              <w:t xml:space="preserve"> 92,908,292 </w:t>
            </w:r>
          </w:p>
        </w:tc>
      </w:tr>
      <w:tr w:rsidR="00C27728" w:rsidRPr="00C27728" w:rsidTr="00320C17">
        <w:trPr>
          <w:trHeight w:val="102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27728" w:rsidRPr="00C27728" w:rsidRDefault="00320C17" w:rsidP="00052AAC">
            <w:pPr>
              <w:jc w:val="both"/>
              <w:rPr>
                <w:rFonts w:ascii="Arial" w:eastAsia="Times New Roman" w:hAnsi="Arial" w:cs="Arial"/>
                <w:color w:val="000000"/>
                <w:sz w:val="20"/>
                <w:szCs w:val="20"/>
                <w:lang w:eastAsia="es-CL"/>
              </w:rPr>
            </w:pPr>
            <w:r>
              <w:rPr>
                <w:rFonts w:ascii="Arial" w:eastAsia="Times New Roman" w:hAnsi="Arial" w:cs="Arial"/>
                <w:color w:val="000000"/>
                <w:sz w:val="20"/>
                <w:szCs w:val="20"/>
                <w:lang w:eastAsia="es-CL"/>
              </w:rPr>
              <w:t>2</w:t>
            </w:r>
            <w:r w:rsidR="00C27728" w:rsidRPr="00C27728">
              <w:rPr>
                <w:rFonts w:ascii="Arial" w:eastAsia="Times New Roman" w:hAnsi="Arial" w:cs="Arial"/>
                <w:color w:val="000000"/>
                <w:sz w:val="20"/>
                <w:szCs w:val="20"/>
                <w:lang w:eastAsia="es-CL"/>
              </w:rPr>
              <w:t>. % de diferencia entre el salario promedio de personas capacitadas por medio de SENCE en comparación el salario promedio de grupo comparable que no se capacitó.</w:t>
            </w:r>
          </w:p>
        </w:tc>
        <w:tc>
          <w:tcPr>
            <w:tcW w:w="1134"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10.36</w:t>
            </w:r>
          </w:p>
        </w:tc>
        <w:tc>
          <w:tcPr>
            <w:tcW w:w="1134" w:type="dxa"/>
            <w:tcBorders>
              <w:top w:val="nil"/>
              <w:left w:val="nil"/>
              <w:bottom w:val="single" w:sz="4" w:space="0" w:color="auto"/>
              <w:right w:val="single" w:sz="4" w:space="0" w:color="auto"/>
            </w:tcBorders>
            <w:shd w:val="clear" w:color="auto" w:fill="auto"/>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16.56</w:t>
            </w:r>
          </w:p>
        </w:tc>
        <w:tc>
          <w:tcPr>
            <w:tcW w:w="1418"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eastAsia="Times New Roman" w:hAnsi="Arial" w:cs="Arial"/>
                <w:color w:val="000000"/>
                <w:sz w:val="20"/>
                <w:szCs w:val="20"/>
                <w:lang w:eastAsia="es-CL"/>
              </w:rPr>
              <w:t>6.2</w:t>
            </w:r>
          </w:p>
        </w:tc>
        <w:tc>
          <w:tcPr>
            <w:tcW w:w="1650" w:type="dxa"/>
            <w:tcBorders>
              <w:top w:val="nil"/>
              <w:left w:val="nil"/>
              <w:bottom w:val="single" w:sz="4" w:space="0" w:color="auto"/>
              <w:right w:val="single" w:sz="4" w:space="0" w:color="auto"/>
            </w:tcBorders>
            <w:shd w:val="clear" w:color="auto" w:fill="auto"/>
            <w:noWrap/>
            <w:vAlign w:val="center"/>
            <w:hideMark/>
          </w:tcPr>
          <w:p w:rsidR="00C27728" w:rsidRPr="00C27728" w:rsidRDefault="00C27728" w:rsidP="00052AAC">
            <w:pPr>
              <w:jc w:val="center"/>
              <w:rPr>
                <w:rFonts w:ascii="Arial" w:eastAsia="Times New Roman" w:hAnsi="Arial" w:cs="Arial"/>
                <w:color w:val="000000"/>
                <w:sz w:val="20"/>
                <w:szCs w:val="20"/>
                <w:lang w:eastAsia="es-CL"/>
              </w:rPr>
            </w:pPr>
            <w:r w:rsidRPr="00C27728">
              <w:rPr>
                <w:rFonts w:ascii="Arial" w:hAnsi="Arial" w:cs="Arial"/>
                <w:color w:val="000000"/>
                <w:sz w:val="20"/>
                <w:szCs w:val="20"/>
              </w:rPr>
              <w:t xml:space="preserve"> 142,120,353 </w:t>
            </w:r>
          </w:p>
        </w:tc>
      </w:tr>
    </w:tbl>
    <w:p w:rsidR="00C27728" w:rsidRDefault="00C27728" w:rsidP="00C27728">
      <w:pPr>
        <w:rPr>
          <w:rFonts w:ascii="Arial" w:hAnsi="Arial" w:cs="Arial"/>
        </w:rPr>
      </w:pPr>
      <w:r>
        <w:rPr>
          <w:rFonts w:ascii="Arial" w:hAnsi="Arial" w:cs="Arial"/>
        </w:rPr>
        <w:t xml:space="preserve"> </w:t>
      </w:r>
    </w:p>
    <w:p w:rsidR="009F4B52" w:rsidRPr="009F4B52" w:rsidRDefault="009F4B52" w:rsidP="00C27728">
      <w:pPr>
        <w:rPr>
          <w:rFonts w:ascii="Arial" w:hAnsi="Arial" w:cs="Arial"/>
        </w:rPr>
      </w:pPr>
      <w:r w:rsidRPr="009F4B52">
        <w:rPr>
          <w:rFonts w:ascii="Arial" w:hAnsi="Arial" w:cs="Arial"/>
        </w:rPr>
        <w:t>A continuación, se resumen cada uno de los supuestos relevantes para al análisis de costo-beneficio:</w:t>
      </w:r>
    </w:p>
    <w:p w:rsidR="009F4B52" w:rsidRPr="009F4B52" w:rsidRDefault="009F4B52" w:rsidP="00A91047">
      <w:pPr>
        <w:pStyle w:val="ListParagraph"/>
        <w:numPr>
          <w:ilvl w:val="0"/>
          <w:numId w:val="3"/>
        </w:numPr>
        <w:spacing w:before="60" w:after="60" w:line="240" w:lineRule="auto"/>
        <w:ind w:left="357" w:hanging="357"/>
        <w:contextualSpacing w:val="0"/>
        <w:jc w:val="both"/>
        <w:rPr>
          <w:rFonts w:ascii="Arial" w:hAnsi="Arial" w:cs="Arial"/>
        </w:rPr>
      </w:pPr>
      <w:r w:rsidRPr="009F4B52">
        <w:rPr>
          <w:rFonts w:ascii="Arial" w:hAnsi="Arial" w:cs="Arial"/>
        </w:rPr>
        <w:t>Temporalidad de los beneficios: para cuantificar los beneficios se definió un plazo máximo de 10 años, distinguiendo beneficios de corto plazo (2017-2021); mediano plazo (2017-2023) y largo plazo (2017-2027).</w:t>
      </w:r>
      <w:r w:rsidRPr="009F4B52">
        <w:rPr>
          <w:rStyle w:val="FootnoteReference"/>
          <w:rFonts w:ascii="Arial" w:hAnsi="Arial" w:cs="Arial"/>
        </w:rPr>
        <w:footnoteReference w:id="2"/>
      </w:r>
    </w:p>
    <w:p w:rsidR="009F4B52" w:rsidRPr="009F4B52" w:rsidRDefault="009F4B52" w:rsidP="00A91047">
      <w:pPr>
        <w:pStyle w:val="ListParagraph"/>
        <w:numPr>
          <w:ilvl w:val="0"/>
          <w:numId w:val="3"/>
        </w:numPr>
        <w:spacing w:before="60" w:after="60" w:line="240" w:lineRule="auto"/>
        <w:ind w:left="357" w:hanging="357"/>
        <w:contextualSpacing w:val="0"/>
        <w:jc w:val="both"/>
        <w:rPr>
          <w:rFonts w:ascii="Arial" w:hAnsi="Arial" w:cs="Arial"/>
        </w:rPr>
      </w:pPr>
      <w:r w:rsidRPr="009F4B52">
        <w:rPr>
          <w:rFonts w:ascii="Arial" w:hAnsi="Arial" w:cs="Arial"/>
        </w:rPr>
        <w:t xml:space="preserve">Número de beneficiarios: corresponde a los beneficiarios 2013-2016 de los programas Aprendices, Capacitación en Oficios y Franquicia Tributaria. </w:t>
      </w:r>
    </w:p>
    <w:p w:rsidR="009F4B52" w:rsidRPr="009F4B52" w:rsidRDefault="009F4B52" w:rsidP="00A91047">
      <w:pPr>
        <w:pStyle w:val="ListParagraph"/>
        <w:numPr>
          <w:ilvl w:val="0"/>
          <w:numId w:val="3"/>
        </w:numPr>
        <w:spacing w:before="60" w:after="60" w:line="240" w:lineRule="auto"/>
        <w:ind w:left="357" w:hanging="357"/>
        <w:contextualSpacing w:val="0"/>
        <w:jc w:val="both"/>
        <w:rPr>
          <w:rFonts w:ascii="Arial" w:hAnsi="Arial" w:cs="Arial"/>
        </w:rPr>
      </w:pPr>
      <w:r w:rsidRPr="009F4B52">
        <w:rPr>
          <w:rFonts w:ascii="Arial" w:hAnsi="Arial" w:cs="Arial"/>
        </w:rPr>
        <w:t>Costos: se incluye el costo total del préstamo CH-L1064, el costo de oportunidad de los capacitados por estar fuera del mercado laboral</w:t>
      </w:r>
      <w:r w:rsidRPr="009F4B52">
        <w:rPr>
          <w:rStyle w:val="FootnoteReference"/>
          <w:rFonts w:ascii="Arial" w:hAnsi="Arial" w:cs="Arial"/>
        </w:rPr>
        <w:footnoteReference w:id="3"/>
      </w:r>
      <w:r w:rsidRPr="009F4B52">
        <w:rPr>
          <w:rFonts w:ascii="Arial" w:hAnsi="Arial" w:cs="Arial"/>
        </w:rPr>
        <w:t xml:space="preserve"> y los costos futuros que aseguran la sostenibilidad</w:t>
      </w:r>
      <w:r>
        <w:rPr>
          <w:rFonts w:ascii="Arial" w:hAnsi="Arial" w:cs="Arial"/>
        </w:rPr>
        <w:t xml:space="preserve"> del préstamo.</w:t>
      </w:r>
    </w:p>
    <w:p w:rsidR="009F4B52" w:rsidRPr="009F4B52" w:rsidRDefault="009F4B52" w:rsidP="00A91047">
      <w:pPr>
        <w:pStyle w:val="ListParagraph"/>
        <w:numPr>
          <w:ilvl w:val="0"/>
          <w:numId w:val="3"/>
        </w:numPr>
        <w:spacing w:before="60" w:after="60" w:line="240" w:lineRule="auto"/>
        <w:ind w:left="357" w:hanging="357"/>
        <w:contextualSpacing w:val="0"/>
        <w:jc w:val="both"/>
        <w:rPr>
          <w:rFonts w:ascii="Arial" w:hAnsi="Arial" w:cs="Arial"/>
        </w:rPr>
      </w:pPr>
      <w:r w:rsidRPr="009F4B52">
        <w:rPr>
          <w:rFonts w:ascii="Arial" w:hAnsi="Arial" w:cs="Arial"/>
        </w:rPr>
        <w:t>Tasa de descuento: se utiliza una tasa de descuento del 12% según los lineamientos metodológicos del Banco.</w:t>
      </w:r>
      <w:r w:rsidRPr="009F4B52">
        <w:rPr>
          <w:rStyle w:val="FootnoteReference"/>
          <w:rFonts w:ascii="Arial" w:hAnsi="Arial" w:cs="Arial"/>
        </w:rPr>
        <w:footnoteReference w:id="4"/>
      </w:r>
    </w:p>
    <w:p w:rsidR="009F4B52" w:rsidRPr="009F4B52" w:rsidRDefault="009F4B52" w:rsidP="00A91047">
      <w:pPr>
        <w:pStyle w:val="ListParagraph"/>
        <w:numPr>
          <w:ilvl w:val="0"/>
          <w:numId w:val="3"/>
        </w:numPr>
        <w:spacing w:before="60" w:after="60" w:line="240" w:lineRule="auto"/>
        <w:ind w:left="357" w:hanging="357"/>
        <w:contextualSpacing w:val="0"/>
        <w:jc w:val="both"/>
        <w:rPr>
          <w:rFonts w:ascii="Arial" w:hAnsi="Arial" w:cs="Arial"/>
        </w:rPr>
      </w:pPr>
      <w:r w:rsidRPr="009F4B52">
        <w:rPr>
          <w:rFonts w:ascii="Arial" w:hAnsi="Arial" w:cs="Arial"/>
        </w:rPr>
        <w:t xml:space="preserve">Salarios: para cuantificar el beneficio de los indicadores de resultados relativos a salarios </w:t>
      </w:r>
      <w:r>
        <w:rPr>
          <w:rFonts w:ascii="Arial" w:hAnsi="Arial" w:cs="Arial"/>
        </w:rPr>
        <w:t xml:space="preserve">y empleo </w:t>
      </w:r>
      <w:r w:rsidRPr="009F4B52">
        <w:rPr>
          <w:rFonts w:ascii="Arial" w:hAnsi="Arial" w:cs="Arial"/>
        </w:rPr>
        <w:t>se utiliza el salario promedio de los hogares pertenecientes a los cuatro primeros deciles de ingreso.</w:t>
      </w:r>
      <w:r w:rsidRPr="009F4B52">
        <w:rPr>
          <w:rStyle w:val="FootnoteReference"/>
          <w:rFonts w:ascii="Arial" w:hAnsi="Arial" w:cs="Arial"/>
        </w:rPr>
        <w:footnoteReference w:id="5"/>
      </w:r>
    </w:p>
    <w:p w:rsidR="009F4B52" w:rsidRPr="009F4B52" w:rsidRDefault="009F4B52" w:rsidP="00A91047">
      <w:pPr>
        <w:pStyle w:val="ListParagraph"/>
        <w:numPr>
          <w:ilvl w:val="0"/>
          <w:numId w:val="3"/>
        </w:numPr>
        <w:spacing w:before="60" w:after="60" w:line="240" w:lineRule="auto"/>
        <w:ind w:left="357" w:hanging="357"/>
        <w:contextualSpacing w:val="0"/>
        <w:rPr>
          <w:rFonts w:ascii="Arial" w:hAnsi="Arial" w:cs="Arial"/>
        </w:rPr>
      </w:pPr>
      <w:r w:rsidRPr="009F4B52">
        <w:rPr>
          <w:rFonts w:ascii="Arial" w:hAnsi="Arial" w:cs="Arial"/>
        </w:rPr>
        <w:t xml:space="preserve">Empleos: se establece que la duración promedio de los empleos que acceden los beneficiarios SENCE es de 3 meses. </w:t>
      </w:r>
    </w:p>
    <w:p w:rsidR="009F4B52" w:rsidRPr="009F4B52" w:rsidRDefault="009F4B52" w:rsidP="00A91047">
      <w:pPr>
        <w:pStyle w:val="ListParagraph"/>
        <w:numPr>
          <w:ilvl w:val="0"/>
          <w:numId w:val="3"/>
        </w:numPr>
        <w:spacing w:before="60" w:after="60" w:line="240" w:lineRule="auto"/>
        <w:ind w:left="357" w:hanging="357"/>
        <w:contextualSpacing w:val="0"/>
        <w:rPr>
          <w:rFonts w:ascii="Arial" w:hAnsi="Arial" w:cs="Arial"/>
        </w:rPr>
      </w:pPr>
      <w:r w:rsidRPr="009F4B52">
        <w:rPr>
          <w:rFonts w:ascii="Arial" w:hAnsi="Arial" w:cs="Arial"/>
        </w:rPr>
        <w:t>Crecimiento anual de beneficiarios SENCE: se utiliza el último dato disponible de la tasa de crecimiento de la población chilena (0.0825% anual al 2016).</w:t>
      </w:r>
      <w:r w:rsidRPr="009F4B52">
        <w:rPr>
          <w:rStyle w:val="FootnoteReference"/>
          <w:rFonts w:ascii="Arial" w:hAnsi="Arial" w:cs="Arial"/>
        </w:rPr>
        <w:footnoteReference w:id="6"/>
      </w:r>
    </w:p>
    <w:p w:rsidR="009F4B52" w:rsidRDefault="009F4B52" w:rsidP="00A91047">
      <w:pPr>
        <w:pStyle w:val="ListParagraph"/>
        <w:numPr>
          <w:ilvl w:val="0"/>
          <w:numId w:val="3"/>
        </w:numPr>
        <w:spacing w:before="60" w:after="60" w:line="240" w:lineRule="auto"/>
        <w:ind w:left="357" w:hanging="357"/>
        <w:contextualSpacing w:val="0"/>
        <w:rPr>
          <w:rFonts w:ascii="Arial" w:hAnsi="Arial" w:cs="Arial"/>
        </w:rPr>
      </w:pPr>
      <w:r w:rsidRPr="009F4B52">
        <w:rPr>
          <w:rFonts w:ascii="Arial" w:hAnsi="Arial" w:cs="Arial"/>
        </w:rPr>
        <w:t>Tipo de cambio: se asume un tipo de cambio de CLP/</w:t>
      </w:r>
      <w:r w:rsidR="00756FBA">
        <w:rPr>
          <w:rFonts w:ascii="Arial" w:hAnsi="Arial" w:cs="Arial"/>
        </w:rPr>
        <w:t>US$</w:t>
      </w:r>
      <w:r w:rsidRPr="009F4B52">
        <w:rPr>
          <w:rFonts w:ascii="Arial" w:hAnsi="Arial" w:cs="Arial"/>
        </w:rPr>
        <w:t xml:space="preserve">de 620. </w:t>
      </w:r>
    </w:p>
    <w:p w:rsidR="009F4B52" w:rsidRDefault="009F4B52" w:rsidP="00A91047">
      <w:pPr>
        <w:pStyle w:val="ListParagraph"/>
        <w:numPr>
          <w:ilvl w:val="0"/>
          <w:numId w:val="3"/>
        </w:numPr>
        <w:spacing w:before="60" w:after="60" w:line="240" w:lineRule="auto"/>
        <w:ind w:left="357" w:hanging="357"/>
        <w:contextualSpacing w:val="0"/>
        <w:rPr>
          <w:rFonts w:ascii="Arial" w:hAnsi="Arial" w:cs="Arial"/>
        </w:rPr>
      </w:pPr>
      <w:r w:rsidRPr="009F4B52">
        <w:rPr>
          <w:rFonts w:ascii="Arial" w:hAnsi="Arial" w:cs="Arial"/>
        </w:rPr>
        <w:t>Atribución de impactos al programa: se asume que los logros del programa señalados en la Sección 2.2 son atribuibles en un 100% al Programa.</w:t>
      </w:r>
    </w:p>
    <w:p w:rsidR="009F4B52" w:rsidRDefault="009F4B52" w:rsidP="009F4B52">
      <w:pPr>
        <w:spacing w:before="120" w:after="120" w:line="240" w:lineRule="auto"/>
        <w:rPr>
          <w:rFonts w:ascii="Arial" w:hAnsi="Arial" w:cs="Arial"/>
        </w:rPr>
      </w:pPr>
    </w:p>
    <w:p w:rsidR="009F4B52" w:rsidRPr="009F4B52" w:rsidRDefault="009F4B52" w:rsidP="009F4B52">
      <w:pPr>
        <w:spacing w:before="120" w:after="120" w:line="240" w:lineRule="auto"/>
        <w:rPr>
          <w:rFonts w:ascii="Arial" w:hAnsi="Arial" w:cs="Arial"/>
        </w:rPr>
      </w:pPr>
      <w:r w:rsidRPr="00A44914">
        <w:rPr>
          <w:rFonts w:ascii="Arial" w:hAnsi="Arial" w:cs="Arial"/>
          <w:b/>
        </w:rPr>
        <w:t xml:space="preserve">El Valor Presente Neto del programa CH-L1064 asciende a </w:t>
      </w:r>
      <w:r w:rsidR="00756FBA">
        <w:rPr>
          <w:rFonts w:ascii="Arial" w:hAnsi="Arial" w:cs="Arial"/>
          <w:b/>
        </w:rPr>
        <w:t>US$</w:t>
      </w:r>
      <w:r w:rsidRPr="00A44914">
        <w:rPr>
          <w:rFonts w:ascii="Arial" w:hAnsi="Arial" w:cs="Arial"/>
          <w:b/>
        </w:rPr>
        <w:t>139.2 millones en el largo plazo, con una tasa interna de retorno (TIR) del 34% y un ratio beneficio-costo de 2.45.</w:t>
      </w:r>
      <w:r>
        <w:rPr>
          <w:rFonts w:ascii="Arial" w:hAnsi="Arial" w:cs="Arial"/>
        </w:rPr>
        <w:t xml:space="preserve"> Es importante señalar que tanto para el corto, mediano como largo plazo</w:t>
      </w:r>
      <w:r w:rsidR="00A44914">
        <w:rPr>
          <w:rFonts w:ascii="Arial" w:hAnsi="Arial" w:cs="Arial"/>
        </w:rPr>
        <w:t xml:space="preserve"> el VAN del programa es positivo. </w:t>
      </w:r>
      <w:r w:rsidR="00811F80">
        <w:rPr>
          <w:rFonts w:ascii="Arial" w:hAnsi="Arial" w:cs="Arial"/>
        </w:rPr>
        <w:t>El Cuadro</w:t>
      </w:r>
      <w:r w:rsidR="009739CB">
        <w:rPr>
          <w:rFonts w:ascii="Arial" w:hAnsi="Arial" w:cs="Arial"/>
        </w:rPr>
        <w:t xml:space="preserve"> 5 señala estos 3 indicadores para cada uno de los 3 períodos: corto, mediano y largo plazo. </w:t>
      </w:r>
    </w:p>
    <w:p w:rsidR="009F4B52" w:rsidRDefault="009F4B52" w:rsidP="009F4B52">
      <w:pPr>
        <w:spacing w:after="0" w:line="240" w:lineRule="auto"/>
        <w:rPr>
          <w:rFonts w:ascii="Arial" w:hAnsi="Arial" w:cs="Arial"/>
        </w:rPr>
      </w:pPr>
    </w:p>
    <w:p w:rsidR="00A91047" w:rsidRDefault="00811F80" w:rsidP="00A91047">
      <w:pPr>
        <w:pStyle w:val="Caption"/>
      </w:pPr>
      <w:r>
        <w:t xml:space="preserve">Cuadro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5</w:t>
      </w:r>
      <w:r w:rsidR="008B1632">
        <w:rPr>
          <w:noProof/>
        </w:rPr>
        <w:fldChar w:fldCharType="end"/>
      </w:r>
      <w:r w:rsidR="00A91047">
        <w:t>: Principales resultados ACB del programa CH-L1064</w:t>
      </w:r>
    </w:p>
    <w:tbl>
      <w:tblPr>
        <w:tblW w:w="5000" w:type="pct"/>
        <w:tblCellMar>
          <w:left w:w="70" w:type="dxa"/>
          <w:right w:w="70" w:type="dxa"/>
        </w:tblCellMar>
        <w:tblLook w:val="04A0" w:firstRow="1" w:lastRow="0" w:firstColumn="1" w:lastColumn="0" w:noHBand="0" w:noVBand="1"/>
      </w:tblPr>
      <w:tblGrid>
        <w:gridCol w:w="3071"/>
        <w:gridCol w:w="1919"/>
        <w:gridCol w:w="1919"/>
        <w:gridCol w:w="1919"/>
      </w:tblGrid>
      <w:tr w:rsidR="009F4B52" w:rsidRPr="009F4B52" w:rsidTr="00A44914">
        <w:trPr>
          <w:trHeight w:val="152"/>
        </w:trPr>
        <w:tc>
          <w:tcPr>
            <w:tcW w:w="1739" w:type="pct"/>
            <w:vMerge w:val="restart"/>
            <w:tcBorders>
              <w:top w:val="single" w:sz="4" w:space="0" w:color="auto"/>
              <w:left w:val="single" w:sz="4" w:space="0" w:color="auto"/>
              <w:bottom w:val="nil"/>
              <w:right w:val="nil"/>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eastAsia="Times New Roman" w:hAnsi="Arial" w:cs="Arial"/>
                <w:color w:val="000000"/>
                <w:sz w:val="20"/>
                <w:szCs w:val="20"/>
                <w:lang w:eastAsia="es-CL"/>
              </w:rPr>
              <w:t> </w:t>
            </w:r>
          </w:p>
        </w:tc>
        <w:tc>
          <w:tcPr>
            <w:tcW w:w="1087" w:type="pct"/>
            <w:tcBorders>
              <w:top w:val="single" w:sz="4" w:space="0" w:color="auto"/>
              <w:left w:val="single" w:sz="4" w:space="0" w:color="auto"/>
              <w:bottom w:val="nil"/>
              <w:right w:val="nil"/>
            </w:tcBorders>
            <w:shd w:val="clear" w:color="auto" w:fill="auto"/>
            <w:vAlign w:val="center"/>
            <w:hideMark/>
          </w:tcPr>
          <w:p w:rsidR="009F4B52" w:rsidRPr="009F4B52" w:rsidRDefault="009F4B52" w:rsidP="00A91047">
            <w:pPr>
              <w:spacing w:after="0"/>
              <w:jc w:val="center"/>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Corto Plazo</w:t>
            </w:r>
          </w:p>
        </w:tc>
        <w:tc>
          <w:tcPr>
            <w:tcW w:w="1087" w:type="pct"/>
            <w:tcBorders>
              <w:top w:val="single" w:sz="4" w:space="0" w:color="auto"/>
              <w:left w:val="single" w:sz="4" w:space="0" w:color="auto"/>
              <w:bottom w:val="nil"/>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Mediano Plazo</w:t>
            </w:r>
          </w:p>
        </w:tc>
        <w:tc>
          <w:tcPr>
            <w:tcW w:w="1087" w:type="pct"/>
            <w:tcBorders>
              <w:top w:val="single" w:sz="4" w:space="0" w:color="auto"/>
              <w:left w:val="nil"/>
              <w:bottom w:val="nil"/>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Largo Plazo</w:t>
            </w:r>
          </w:p>
        </w:tc>
      </w:tr>
      <w:tr w:rsidR="009F4B52" w:rsidRPr="009F4B52" w:rsidTr="00A44914">
        <w:trPr>
          <w:trHeight w:val="158"/>
        </w:trPr>
        <w:tc>
          <w:tcPr>
            <w:tcW w:w="1739" w:type="pct"/>
            <w:vMerge/>
            <w:tcBorders>
              <w:top w:val="single" w:sz="4" w:space="0" w:color="auto"/>
              <w:left w:val="single" w:sz="4" w:space="0" w:color="auto"/>
              <w:bottom w:val="nil"/>
              <w:right w:val="nil"/>
            </w:tcBorders>
            <w:vAlign w:val="center"/>
            <w:hideMark/>
          </w:tcPr>
          <w:p w:rsidR="009F4B52" w:rsidRPr="009F4B52" w:rsidRDefault="009F4B52" w:rsidP="00A91047">
            <w:pPr>
              <w:spacing w:after="0"/>
              <w:rPr>
                <w:rFonts w:ascii="Arial" w:eastAsia="Times New Roman" w:hAnsi="Arial" w:cs="Arial"/>
                <w:color w:val="000000"/>
                <w:sz w:val="20"/>
                <w:szCs w:val="20"/>
                <w:lang w:eastAsia="es-CL"/>
              </w:rPr>
            </w:pPr>
          </w:p>
        </w:tc>
        <w:tc>
          <w:tcPr>
            <w:tcW w:w="1087" w:type="pct"/>
            <w:tcBorders>
              <w:top w:val="nil"/>
              <w:left w:val="single" w:sz="4" w:space="0" w:color="auto"/>
              <w:bottom w:val="single" w:sz="4" w:space="0" w:color="auto"/>
              <w:right w:val="nil"/>
            </w:tcBorders>
            <w:shd w:val="clear" w:color="auto" w:fill="auto"/>
            <w:vAlign w:val="center"/>
            <w:hideMark/>
          </w:tcPr>
          <w:p w:rsidR="009F4B52" w:rsidRPr="009F4B52" w:rsidRDefault="009F4B52" w:rsidP="00A91047">
            <w:pPr>
              <w:spacing w:after="0"/>
              <w:jc w:val="center"/>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(2017-2021)</w:t>
            </w:r>
          </w:p>
        </w:tc>
        <w:tc>
          <w:tcPr>
            <w:tcW w:w="1087" w:type="pct"/>
            <w:tcBorders>
              <w:top w:val="nil"/>
              <w:left w:val="single" w:sz="4" w:space="0" w:color="auto"/>
              <w:bottom w:val="single" w:sz="4" w:space="0" w:color="auto"/>
              <w:right w:val="single" w:sz="4" w:space="0" w:color="auto"/>
            </w:tcBorders>
            <w:shd w:val="clear" w:color="auto" w:fill="auto"/>
            <w:vAlign w:val="center"/>
            <w:hideMark/>
          </w:tcPr>
          <w:p w:rsidR="009F4B52" w:rsidRPr="009F4B52" w:rsidRDefault="00A44914" w:rsidP="00A91047">
            <w:pPr>
              <w:spacing w:after="0"/>
              <w:jc w:val="center"/>
              <w:rPr>
                <w:rFonts w:ascii="Arial" w:eastAsia="Times New Roman" w:hAnsi="Arial" w:cs="Arial"/>
                <w:b/>
                <w:bCs/>
                <w:color w:val="000000"/>
                <w:sz w:val="20"/>
                <w:szCs w:val="20"/>
                <w:lang w:eastAsia="es-CL"/>
              </w:rPr>
            </w:pPr>
            <w:r>
              <w:rPr>
                <w:rFonts w:ascii="Arial" w:eastAsia="Times New Roman" w:hAnsi="Arial" w:cs="Arial"/>
                <w:b/>
                <w:bCs/>
                <w:color w:val="000000"/>
                <w:sz w:val="20"/>
                <w:szCs w:val="20"/>
                <w:lang w:eastAsia="es-CL"/>
              </w:rPr>
              <w:t>(2017-2023</w:t>
            </w:r>
            <w:r w:rsidR="009F4B52" w:rsidRPr="009F4B52">
              <w:rPr>
                <w:rFonts w:ascii="Arial" w:eastAsia="Times New Roman" w:hAnsi="Arial" w:cs="Arial"/>
                <w:b/>
                <w:bCs/>
                <w:color w:val="000000"/>
                <w:sz w:val="20"/>
                <w:szCs w:val="20"/>
                <w:lang w:eastAsia="es-CL"/>
              </w:rPr>
              <w:t>)</w:t>
            </w:r>
          </w:p>
        </w:tc>
        <w:tc>
          <w:tcPr>
            <w:tcW w:w="1087" w:type="pct"/>
            <w:tcBorders>
              <w:top w:val="nil"/>
              <w:left w:val="nil"/>
              <w:bottom w:val="single" w:sz="4" w:space="0" w:color="auto"/>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(2017-2027)</w:t>
            </w:r>
          </w:p>
        </w:tc>
      </w:tr>
      <w:tr w:rsidR="009F4B52" w:rsidRPr="009F4B52" w:rsidTr="00052AAC">
        <w:trPr>
          <w:trHeight w:val="510"/>
        </w:trPr>
        <w:tc>
          <w:tcPr>
            <w:tcW w:w="1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4B52" w:rsidRPr="009F4B52" w:rsidRDefault="009F4B52" w:rsidP="00A91047">
            <w:pPr>
              <w:spacing w:after="0"/>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Valor Presente Neto (</w:t>
            </w:r>
            <w:r w:rsidR="00756FBA">
              <w:rPr>
                <w:rFonts w:ascii="Arial" w:eastAsia="Times New Roman" w:hAnsi="Arial" w:cs="Arial"/>
                <w:b/>
                <w:bCs/>
                <w:color w:val="000000"/>
                <w:sz w:val="20"/>
                <w:szCs w:val="20"/>
                <w:lang w:eastAsia="es-CL"/>
              </w:rPr>
              <w:t>US$</w:t>
            </w:r>
            <w:r w:rsidRPr="009F4B52">
              <w:rPr>
                <w:rFonts w:ascii="Arial" w:eastAsia="Times New Roman" w:hAnsi="Arial" w:cs="Arial"/>
                <w:b/>
                <w:bCs/>
                <w:color w:val="000000"/>
                <w:sz w:val="20"/>
                <w:szCs w:val="20"/>
                <w:lang w:eastAsia="es-CL"/>
              </w:rPr>
              <w:t>MM)</w:t>
            </w:r>
          </w:p>
        </w:tc>
        <w:tc>
          <w:tcPr>
            <w:tcW w:w="1087" w:type="pct"/>
            <w:tcBorders>
              <w:top w:val="single" w:sz="4" w:space="0" w:color="auto"/>
              <w:left w:val="single" w:sz="4" w:space="0" w:color="auto"/>
              <w:bottom w:val="single" w:sz="4" w:space="0" w:color="auto"/>
              <w:right w:val="nil"/>
            </w:tcBorders>
            <w:shd w:val="clear" w:color="auto" w:fill="auto"/>
            <w:noWrap/>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37.8</w:t>
            </w:r>
          </w:p>
        </w:tc>
        <w:tc>
          <w:tcPr>
            <w:tcW w:w="10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94.7</w:t>
            </w:r>
          </w:p>
        </w:tc>
        <w:tc>
          <w:tcPr>
            <w:tcW w:w="1087" w:type="pct"/>
            <w:tcBorders>
              <w:top w:val="nil"/>
              <w:left w:val="nil"/>
              <w:bottom w:val="single" w:sz="4" w:space="0" w:color="auto"/>
              <w:right w:val="single" w:sz="4" w:space="0" w:color="auto"/>
            </w:tcBorders>
            <w:shd w:val="clear" w:color="auto" w:fill="auto"/>
            <w:noWrap/>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139.2</w:t>
            </w:r>
          </w:p>
        </w:tc>
      </w:tr>
      <w:tr w:rsidR="009F4B52" w:rsidRPr="009F4B52" w:rsidTr="00052AAC">
        <w:trPr>
          <w:trHeight w:val="510"/>
        </w:trPr>
        <w:tc>
          <w:tcPr>
            <w:tcW w:w="1739" w:type="pct"/>
            <w:tcBorders>
              <w:top w:val="nil"/>
              <w:left w:val="single" w:sz="4" w:space="0" w:color="auto"/>
              <w:bottom w:val="single" w:sz="4" w:space="0" w:color="auto"/>
              <w:right w:val="single" w:sz="4" w:space="0" w:color="auto"/>
            </w:tcBorders>
            <w:shd w:val="clear" w:color="auto" w:fill="auto"/>
            <w:vAlign w:val="center"/>
            <w:hideMark/>
          </w:tcPr>
          <w:p w:rsidR="009F4B52" w:rsidRPr="009F4B52" w:rsidRDefault="009F4B52" w:rsidP="00A91047">
            <w:pPr>
              <w:spacing w:after="0"/>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Tasa Interna de Retorno (%)</w:t>
            </w:r>
          </w:p>
        </w:tc>
        <w:tc>
          <w:tcPr>
            <w:tcW w:w="1087" w:type="pct"/>
            <w:tcBorders>
              <w:top w:val="nil"/>
              <w:left w:val="single" w:sz="4" w:space="0" w:color="auto"/>
              <w:bottom w:val="single" w:sz="4" w:space="0" w:color="auto"/>
              <w:right w:val="nil"/>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21.4</w:t>
            </w:r>
          </w:p>
        </w:tc>
        <w:tc>
          <w:tcPr>
            <w:tcW w:w="1087" w:type="pct"/>
            <w:tcBorders>
              <w:top w:val="nil"/>
              <w:left w:val="single" w:sz="4" w:space="0" w:color="auto"/>
              <w:bottom w:val="single" w:sz="4" w:space="0" w:color="auto"/>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31.0</w:t>
            </w:r>
          </w:p>
        </w:tc>
        <w:tc>
          <w:tcPr>
            <w:tcW w:w="1087" w:type="pct"/>
            <w:tcBorders>
              <w:top w:val="nil"/>
              <w:left w:val="nil"/>
              <w:bottom w:val="single" w:sz="4" w:space="0" w:color="auto"/>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34.0</w:t>
            </w:r>
          </w:p>
        </w:tc>
      </w:tr>
      <w:tr w:rsidR="009F4B52" w:rsidRPr="009F4B52" w:rsidTr="00052AAC">
        <w:trPr>
          <w:trHeight w:val="510"/>
        </w:trPr>
        <w:tc>
          <w:tcPr>
            <w:tcW w:w="1739" w:type="pct"/>
            <w:tcBorders>
              <w:top w:val="nil"/>
              <w:left w:val="single" w:sz="4" w:space="0" w:color="auto"/>
              <w:bottom w:val="single" w:sz="4" w:space="0" w:color="auto"/>
              <w:right w:val="single" w:sz="4" w:space="0" w:color="auto"/>
            </w:tcBorders>
            <w:shd w:val="clear" w:color="auto" w:fill="auto"/>
            <w:vAlign w:val="center"/>
            <w:hideMark/>
          </w:tcPr>
          <w:p w:rsidR="009F4B52" w:rsidRPr="009F4B52" w:rsidRDefault="009F4B52" w:rsidP="00A91047">
            <w:pPr>
              <w:spacing w:after="0"/>
              <w:rPr>
                <w:rFonts w:ascii="Arial" w:eastAsia="Times New Roman" w:hAnsi="Arial" w:cs="Arial"/>
                <w:b/>
                <w:bCs/>
                <w:color w:val="000000"/>
                <w:sz w:val="20"/>
                <w:szCs w:val="20"/>
                <w:lang w:eastAsia="es-CL"/>
              </w:rPr>
            </w:pPr>
            <w:r w:rsidRPr="009F4B52">
              <w:rPr>
                <w:rFonts w:ascii="Arial" w:eastAsia="Times New Roman" w:hAnsi="Arial" w:cs="Arial"/>
                <w:b/>
                <w:bCs/>
                <w:color w:val="000000"/>
                <w:sz w:val="20"/>
                <w:szCs w:val="20"/>
                <w:lang w:eastAsia="es-CL"/>
              </w:rPr>
              <w:t>Ratio Beneficio – Costo</w:t>
            </w:r>
          </w:p>
        </w:tc>
        <w:tc>
          <w:tcPr>
            <w:tcW w:w="1087" w:type="pct"/>
            <w:tcBorders>
              <w:top w:val="nil"/>
              <w:left w:val="single" w:sz="4" w:space="0" w:color="auto"/>
              <w:bottom w:val="single" w:sz="4" w:space="0" w:color="auto"/>
              <w:right w:val="nil"/>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1.40</w:t>
            </w:r>
          </w:p>
        </w:tc>
        <w:tc>
          <w:tcPr>
            <w:tcW w:w="1087" w:type="pct"/>
            <w:tcBorders>
              <w:top w:val="nil"/>
              <w:left w:val="single" w:sz="4" w:space="0" w:color="auto"/>
              <w:bottom w:val="single" w:sz="4" w:space="0" w:color="auto"/>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1.99</w:t>
            </w:r>
          </w:p>
        </w:tc>
        <w:tc>
          <w:tcPr>
            <w:tcW w:w="1087" w:type="pct"/>
            <w:tcBorders>
              <w:top w:val="nil"/>
              <w:left w:val="nil"/>
              <w:bottom w:val="single" w:sz="4" w:space="0" w:color="auto"/>
              <w:right w:val="single" w:sz="4" w:space="0" w:color="auto"/>
            </w:tcBorders>
            <w:shd w:val="clear" w:color="auto" w:fill="auto"/>
            <w:vAlign w:val="center"/>
            <w:hideMark/>
          </w:tcPr>
          <w:p w:rsidR="009F4B52" w:rsidRPr="009F4B52" w:rsidRDefault="009F4B52" w:rsidP="00A91047">
            <w:pPr>
              <w:spacing w:after="0"/>
              <w:jc w:val="center"/>
              <w:rPr>
                <w:rFonts w:ascii="Arial" w:eastAsia="Times New Roman" w:hAnsi="Arial" w:cs="Arial"/>
                <w:color w:val="000000"/>
                <w:sz w:val="20"/>
                <w:szCs w:val="20"/>
                <w:lang w:eastAsia="es-CL"/>
              </w:rPr>
            </w:pPr>
            <w:r w:rsidRPr="009F4B52">
              <w:rPr>
                <w:rFonts w:ascii="Arial" w:hAnsi="Arial" w:cs="Arial"/>
                <w:color w:val="000000"/>
                <w:sz w:val="20"/>
                <w:szCs w:val="20"/>
              </w:rPr>
              <w:t>2.45</w:t>
            </w:r>
          </w:p>
        </w:tc>
      </w:tr>
    </w:tbl>
    <w:p w:rsidR="00A44914" w:rsidRDefault="00A44914" w:rsidP="009F4B52">
      <w:pPr>
        <w:spacing w:after="0" w:line="240" w:lineRule="auto"/>
        <w:rPr>
          <w:rFonts w:ascii="Arial" w:hAnsi="Arial" w:cs="Arial"/>
        </w:rPr>
        <w:sectPr w:rsidR="00A44914">
          <w:pgSz w:w="12240" w:h="15840"/>
          <w:pgMar w:top="1417" w:right="1701" w:bottom="1417" w:left="1701" w:header="708" w:footer="708" w:gutter="0"/>
          <w:cols w:space="708"/>
          <w:docGrid w:linePitch="360"/>
        </w:sectPr>
      </w:pPr>
    </w:p>
    <w:p w:rsidR="009F4B52" w:rsidRDefault="00811F80" w:rsidP="009F4B52">
      <w:pPr>
        <w:spacing w:after="0" w:line="240" w:lineRule="auto"/>
        <w:rPr>
          <w:rFonts w:ascii="Arial" w:hAnsi="Arial" w:cs="Arial"/>
        </w:rPr>
      </w:pPr>
      <w:r>
        <w:rPr>
          <w:rFonts w:ascii="Arial" w:hAnsi="Arial" w:cs="Arial"/>
        </w:rPr>
        <w:t>El Cuadro</w:t>
      </w:r>
      <w:r w:rsidR="009739CB">
        <w:rPr>
          <w:rFonts w:ascii="Arial" w:hAnsi="Arial" w:cs="Arial"/>
        </w:rPr>
        <w:t xml:space="preserve"> 6 describe el detalle de costos y beneficios anuales (en </w:t>
      </w:r>
      <w:r w:rsidR="00756FBA">
        <w:rPr>
          <w:rFonts w:ascii="Arial" w:hAnsi="Arial" w:cs="Arial"/>
        </w:rPr>
        <w:t>US$</w:t>
      </w:r>
      <w:r w:rsidR="009739CB">
        <w:rPr>
          <w:rFonts w:ascii="Arial" w:hAnsi="Arial" w:cs="Arial"/>
        </w:rPr>
        <w:t xml:space="preserve">) que sostienen a los indicadores de eficiencia del programa, junto con el valor de cada uno de los parámetros utilizados en dicho cálculo. </w:t>
      </w:r>
    </w:p>
    <w:p w:rsidR="009F4B52" w:rsidRPr="009F4B52" w:rsidRDefault="009F4B52" w:rsidP="009F4B52">
      <w:pPr>
        <w:spacing w:after="0" w:line="240" w:lineRule="auto"/>
        <w:rPr>
          <w:rFonts w:ascii="Arial" w:hAnsi="Arial" w:cs="Arial"/>
        </w:rPr>
      </w:pPr>
    </w:p>
    <w:p w:rsidR="00A91047" w:rsidRDefault="00811F80" w:rsidP="00A91047">
      <w:pPr>
        <w:pStyle w:val="Caption"/>
      </w:pPr>
      <w:r>
        <w:t xml:space="preserve">Cuadro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6</w:t>
      </w:r>
      <w:r w:rsidR="008B1632">
        <w:rPr>
          <w:noProof/>
        </w:rPr>
        <w:fldChar w:fldCharType="end"/>
      </w:r>
      <w:r w:rsidR="00A91047">
        <w:t>: Detalle de los costos y beneficios anuales del programa CH-L1064, 2017-2027</w:t>
      </w:r>
    </w:p>
    <w:p w:rsidR="00CD196F" w:rsidRPr="00CD196F" w:rsidRDefault="00CD196F" w:rsidP="00CD196F">
      <w:pPr>
        <w:rPr>
          <w:rFonts w:ascii="Arial" w:hAnsi="Arial" w:cs="Arial"/>
        </w:rPr>
      </w:pPr>
      <w:r w:rsidRPr="00CD196F">
        <w:rPr>
          <w:rFonts w:ascii="Arial" w:hAnsi="Arial" w:cs="Arial"/>
          <w:noProof/>
          <w:lang w:val="en-US"/>
        </w:rPr>
        <w:drawing>
          <wp:inline distT="0" distB="0" distL="0" distR="0" wp14:anchorId="17231A2F" wp14:editId="38B03832">
            <wp:extent cx="8114397" cy="3086100"/>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9849" cy="3088174"/>
                    </a:xfrm>
                    <a:prstGeom prst="rect">
                      <a:avLst/>
                    </a:prstGeom>
                    <a:noFill/>
                    <a:ln>
                      <a:noFill/>
                    </a:ln>
                  </pic:spPr>
                </pic:pic>
              </a:graphicData>
            </a:graphic>
          </wp:inline>
        </w:drawing>
      </w:r>
    </w:p>
    <w:p w:rsidR="00A44914" w:rsidRDefault="00A44914">
      <w:pPr>
        <w:rPr>
          <w:rFonts w:ascii="Arial" w:hAnsi="Arial" w:cs="Arial"/>
        </w:rPr>
      </w:pPr>
      <w:r>
        <w:rPr>
          <w:rFonts w:ascii="Arial" w:hAnsi="Arial" w:cs="Arial"/>
        </w:rPr>
        <w:br w:type="page"/>
      </w:r>
    </w:p>
    <w:p w:rsidR="00A44914" w:rsidRDefault="00A44914" w:rsidP="00CD196F">
      <w:pPr>
        <w:rPr>
          <w:rFonts w:ascii="Arial" w:hAnsi="Arial" w:cs="Arial"/>
        </w:rPr>
        <w:sectPr w:rsidR="00A44914" w:rsidSect="00A44914">
          <w:pgSz w:w="15840" w:h="12240" w:orient="landscape"/>
          <w:pgMar w:top="1701" w:right="1418" w:bottom="1701" w:left="1418" w:header="709" w:footer="709" w:gutter="0"/>
          <w:cols w:space="708"/>
          <w:docGrid w:linePitch="360"/>
        </w:sectPr>
      </w:pPr>
    </w:p>
    <w:p w:rsidR="00CD196F" w:rsidRPr="00A91047" w:rsidRDefault="00A44914" w:rsidP="00A44914">
      <w:pPr>
        <w:pStyle w:val="ListParagraph"/>
        <w:numPr>
          <w:ilvl w:val="0"/>
          <w:numId w:val="1"/>
        </w:numPr>
        <w:rPr>
          <w:rFonts w:ascii="Arial" w:hAnsi="Arial" w:cs="Arial"/>
          <w:b/>
        </w:rPr>
      </w:pPr>
      <w:r w:rsidRPr="00A91047">
        <w:rPr>
          <w:rFonts w:ascii="Arial" w:hAnsi="Arial" w:cs="Arial"/>
          <w:b/>
        </w:rPr>
        <w:t>Análisis de sensibilidad</w:t>
      </w:r>
    </w:p>
    <w:p w:rsidR="00A44914" w:rsidRPr="00A44914" w:rsidRDefault="00A44914" w:rsidP="00A44914">
      <w:pPr>
        <w:jc w:val="both"/>
        <w:rPr>
          <w:rFonts w:ascii="Arial" w:hAnsi="Arial" w:cs="Arial"/>
          <w:color w:val="000000"/>
        </w:rPr>
      </w:pPr>
      <w:r w:rsidRPr="00A44914">
        <w:rPr>
          <w:rFonts w:ascii="Arial" w:hAnsi="Arial" w:cs="Arial"/>
          <w:color w:val="000000"/>
        </w:rPr>
        <w:t>Uno de los supuestos críticos de</w:t>
      </w:r>
      <w:r>
        <w:rPr>
          <w:rFonts w:ascii="Arial" w:hAnsi="Arial" w:cs="Arial"/>
          <w:color w:val="000000"/>
        </w:rPr>
        <w:t xml:space="preserve">l análisis costo-beneficio </w:t>
      </w:r>
      <w:r w:rsidRPr="00A44914">
        <w:rPr>
          <w:rFonts w:ascii="Arial" w:hAnsi="Arial" w:cs="Arial"/>
          <w:color w:val="000000"/>
        </w:rPr>
        <w:t>es que el logro de resultados del programa, tanto en empleo como en salarios, se mantiene constante en el tiempo. En esta sección relajamos este supuesto, para analizar cómo se comportan los indicadores de eficiencia del Programa. En particular, se construyen tres escenarios alternativos:</w:t>
      </w:r>
    </w:p>
    <w:p w:rsidR="00A44914" w:rsidRPr="00A44914" w:rsidRDefault="00A44914" w:rsidP="00A44914">
      <w:pPr>
        <w:pStyle w:val="ListParagraph"/>
        <w:numPr>
          <w:ilvl w:val="0"/>
          <w:numId w:val="4"/>
        </w:numPr>
        <w:spacing w:after="0" w:line="240" w:lineRule="auto"/>
        <w:jc w:val="both"/>
        <w:rPr>
          <w:rFonts w:ascii="Arial" w:hAnsi="Arial" w:cs="Arial"/>
          <w:color w:val="000000"/>
        </w:rPr>
      </w:pPr>
      <w:r w:rsidRPr="00A44914">
        <w:rPr>
          <w:rFonts w:ascii="Arial" w:hAnsi="Arial" w:cs="Arial"/>
          <w:color w:val="000000"/>
        </w:rPr>
        <w:t>Escenario alto: los resultados del programa se deprecian a una tasa anual de 10%;</w:t>
      </w:r>
    </w:p>
    <w:p w:rsidR="00A44914" w:rsidRPr="00A44914" w:rsidRDefault="00A44914" w:rsidP="00A44914">
      <w:pPr>
        <w:pStyle w:val="ListParagraph"/>
        <w:numPr>
          <w:ilvl w:val="0"/>
          <w:numId w:val="4"/>
        </w:numPr>
        <w:spacing w:after="0" w:line="240" w:lineRule="auto"/>
        <w:jc w:val="both"/>
        <w:rPr>
          <w:rFonts w:ascii="Arial" w:hAnsi="Arial" w:cs="Arial"/>
          <w:color w:val="000000"/>
        </w:rPr>
      </w:pPr>
      <w:r w:rsidRPr="00A44914">
        <w:rPr>
          <w:rFonts w:ascii="Arial" w:hAnsi="Arial" w:cs="Arial"/>
          <w:color w:val="000000"/>
        </w:rPr>
        <w:t>Escenario medio: los resultados del programa se deprecian a una tasa anual de 15%; y</w:t>
      </w:r>
    </w:p>
    <w:p w:rsidR="00A44914" w:rsidRPr="00A44914" w:rsidRDefault="00A44914" w:rsidP="00A44914">
      <w:pPr>
        <w:pStyle w:val="ListParagraph"/>
        <w:numPr>
          <w:ilvl w:val="0"/>
          <w:numId w:val="4"/>
        </w:numPr>
        <w:spacing w:after="0" w:line="240" w:lineRule="auto"/>
        <w:jc w:val="both"/>
        <w:rPr>
          <w:rFonts w:ascii="Arial" w:hAnsi="Arial" w:cs="Arial"/>
          <w:color w:val="000000"/>
        </w:rPr>
      </w:pPr>
      <w:r w:rsidRPr="00A44914">
        <w:rPr>
          <w:rFonts w:ascii="Arial" w:hAnsi="Arial" w:cs="Arial"/>
          <w:color w:val="000000"/>
        </w:rPr>
        <w:t>Escenario bajo: los resultados del programa se deprecian a una tasa anual de 20%</w:t>
      </w:r>
    </w:p>
    <w:p w:rsidR="00A44914" w:rsidRPr="00A44914" w:rsidRDefault="00A44914" w:rsidP="00A44914">
      <w:pPr>
        <w:jc w:val="both"/>
        <w:rPr>
          <w:rFonts w:ascii="Arial" w:hAnsi="Arial" w:cs="Arial"/>
          <w:color w:val="000000"/>
        </w:rPr>
      </w:pPr>
    </w:p>
    <w:p w:rsidR="00A91047" w:rsidRPr="00A91047" w:rsidRDefault="00A91047" w:rsidP="00A91047">
      <w:pPr>
        <w:pStyle w:val="Caption"/>
      </w:pPr>
      <w:r w:rsidRPr="00A91047">
        <w:t>Gr</w:t>
      </w:r>
      <w:r w:rsidR="00C44BF8">
        <w:t>á</w:t>
      </w:r>
      <w:r w:rsidRPr="00A91047">
        <w:t xml:space="preserve">fico </w:t>
      </w:r>
      <w:r w:rsidR="007C0540">
        <w:fldChar w:fldCharType="begin"/>
      </w:r>
      <w:r w:rsidR="007C0540">
        <w:instrText xml:space="preserve"> SEQ Grafico \* ARABIC </w:instrText>
      </w:r>
      <w:r w:rsidR="007C0540">
        <w:fldChar w:fldCharType="separate"/>
      </w:r>
      <w:r w:rsidRPr="00A91047">
        <w:t>1</w:t>
      </w:r>
      <w:r w:rsidR="007C0540">
        <w:fldChar w:fldCharType="end"/>
      </w:r>
      <w:r w:rsidRPr="00A91047">
        <w:t>: Depreciación acumulada de los resultados del programa en el tiempo</w:t>
      </w:r>
    </w:p>
    <w:p w:rsidR="00A91047" w:rsidRDefault="0025395F" w:rsidP="00A91047">
      <w:pPr>
        <w:keepNext/>
        <w:jc w:val="center"/>
      </w:pPr>
      <w:r>
        <w:rPr>
          <w:noProof/>
          <w:lang w:val="en-US"/>
        </w:rPr>
        <w:drawing>
          <wp:inline distT="0" distB="0" distL="0" distR="0" wp14:anchorId="7747E29E" wp14:editId="3ED14351">
            <wp:extent cx="4572000" cy="2743200"/>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91047" w:rsidRDefault="00A44914" w:rsidP="00A91047">
      <w:pPr>
        <w:jc w:val="both"/>
        <w:rPr>
          <w:rFonts w:ascii="Arial" w:hAnsi="Arial" w:cs="Arial"/>
          <w:color w:val="000000"/>
        </w:rPr>
      </w:pPr>
      <w:r w:rsidRPr="00A91047">
        <w:rPr>
          <w:rFonts w:ascii="Arial" w:hAnsi="Arial" w:cs="Arial"/>
          <w:color w:val="000000"/>
        </w:rPr>
        <w:t>El análisis d</w:t>
      </w:r>
      <w:r w:rsidR="00A91047" w:rsidRPr="00A91047">
        <w:rPr>
          <w:rFonts w:ascii="Arial" w:hAnsi="Arial" w:cs="Arial"/>
          <w:color w:val="000000"/>
        </w:rPr>
        <w:t>e sensibilidad</w:t>
      </w:r>
      <w:r w:rsidRPr="00A91047">
        <w:rPr>
          <w:rFonts w:ascii="Arial" w:hAnsi="Arial" w:cs="Arial"/>
          <w:color w:val="000000"/>
        </w:rPr>
        <w:t xml:space="preserve"> nos revela que incluso en el peor escenario (depreciación anual </w:t>
      </w:r>
      <w:r w:rsidR="00A91047" w:rsidRPr="00A91047">
        <w:rPr>
          <w:rFonts w:ascii="Arial" w:hAnsi="Arial" w:cs="Arial"/>
          <w:color w:val="000000"/>
        </w:rPr>
        <w:t xml:space="preserve">de los resultados a una tasa de 20%), el VAN de largo plazo del programa es positiva y asciende a </w:t>
      </w:r>
      <w:r w:rsidR="00756FBA">
        <w:rPr>
          <w:rFonts w:ascii="Arial" w:hAnsi="Arial" w:cs="Arial"/>
          <w:color w:val="000000"/>
        </w:rPr>
        <w:t>US$</w:t>
      </w:r>
      <w:r w:rsidR="00A91047" w:rsidRPr="00A91047">
        <w:rPr>
          <w:rFonts w:ascii="Arial" w:hAnsi="Arial" w:cs="Arial"/>
          <w:color w:val="000000"/>
        </w:rPr>
        <w:t xml:space="preserve">24.9 millones. En este caso, sin bien los resultados de corto plazo del programa son negativos (VAN de corto plazo de -10.4 millones), ya en el mediano plazo el programa exhibe retornos positivos (VAN de 6.1 millones). Los resultados se detallan a continuación, en </w:t>
      </w:r>
      <w:r w:rsidR="00811F80">
        <w:rPr>
          <w:rFonts w:ascii="Arial" w:hAnsi="Arial" w:cs="Arial"/>
          <w:color w:val="000000"/>
        </w:rPr>
        <w:t>el Cuadro</w:t>
      </w:r>
      <w:r w:rsidR="00A91047" w:rsidRPr="00A91047">
        <w:rPr>
          <w:rFonts w:ascii="Arial" w:hAnsi="Arial" w:cs="Arial"/>
          <w:color w:val="000000"/>
        </w:rPr>
        <w:t xml:space="preserve"> 5. </w:t>
      </w:r>
    </w:p>
    <w:p w:rsidR="00A91047" w:rsidRDefault="00A91047">
      <w:pPr>
        <w:rPr>
          <w:rFonts w:ascii="Arial" w:hAnsi="Arial" w:cs="Arial"/>
          <w:color w:val="000000"/>
        </w:rPr>
      </w:pPr>
      <w:r>
        <w:rPr>
          <w:rFonts w:ascii="Arial" w:hAnsi="Arial" w:cs="Arial"/>
          <w:color w:val="000000"/>
        </w:rPr>
        <w:br w:type="page"/>
      </w:r>
    </w:p>
    <w:p w:rsidR="00A44914" w:rsidRPr="00A91047" w:rsidRDefault="00A44914" w:rsidP="00A91047">
      <w:pPr>
        <w:jc w:val="both"/>
        <w:rPr>
          <w:rFonts w:ascii="Arial" w:hAnsi="Arial" w:cs="Arial"/>
          <w:color w:val="000000"/>
        </w:rPr>
      </w:pPr>
    </w:p>
    <w:p w:rsidR="00A44914" w:rsidRPr="00A91047" w:rsidRDefault="00811F80" w:rsidP="00A91047">
      <w:pPr>
        <w:pStyle w:val="Caption"/>
      </w:pPr>
      <w:r>
        <w:t>Cuadro</w:t>
      </w:r>
      <w:r w:rsidRPr="00A91047">
        <w:t xml:space="preserve"> </w:t>
      </w:r>
      <w:r w:rsidR="008B1632">
        <w:rPr>
          <w:noProof/>
        </w:rPr>
        <w:fldChar w:fldCharType="begin"/>
      </w:r>
      <w:r w:rsidR="008B1632">
        <w:rPr>
          <w:noProof/>
        </w:rPr>
        <w:instrText xml:space="preserve"> SEQ Tabla \* ARABIC </w:instrText>
      </w:r>
      <w:r w:rsidR="008B1632">
        <w:rPr>
          <w:noProof/>
        </w:rPr>
        <w:fldChar w:fldCharType="separate"/>
      </w:r>
      <w:r w:rsidR="00A91047">
        <w:rPr>
          <w:noProof/>
        </w:rPr>
        <w:t>7</w:t>
      </w:r>
      <w:r w:rsidR="008B1632">
        <w:rPr>
          <w:noProof/>
        </w:rPr>
        <w:fldChar w:fldCharType="end"/>
      </w:r>
      <w:r w:rsidR="00A44914" w:rsidRPr="00A91047">
        <w:t>: Análisis de sensibilidad ACB</w:t>
      </w:r>
    </w:p>
    <w:tbl>
      <w:tblPr>
        <w:tblW w:w="5460" w:type="dxa"/>
        <w:jc w:val="center"/>
        <w:tblCellMar>
          <w:left w:w="70" w:type="dxa"/>
          <w:right w:w="70" w:type="dxa"/>
        </w:tblCellMar>
        <w:tblLook w:val="04A0" w:firstRow="1" w:lastRow="0" w:firstColumn="1" w:lastColumn="0" w:noHBand="0" w:noVBand="1"/>
      </w:tblPr>
      <w:tblGrid>
        <w:gridCol w:w="2218"/>
        <w:gridCol w:w="842"/>
        <w:gridCol w:w="1200"/>
        <w:gridCol w:w="1200"/>
      </w:tblGrid>
      <w:tr w:rsidR="00A44914" w:rsidRPr="00A91047" w:rsidTr="00A44914">
        <w:trPr>
          <w:trHeight w:val="300"/>
          <w:jc w:val="center"/>
        </w:trPr>
        <w:tc>
          <w:tcPr>
            <w:tcW w:w="3060" w:type="dxa"/>
            <w:gridSpan w:val="2"/>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b/>
                <w:bCs/>
                <w:color w:val="000000"/>
                <w:sz w:val="20"/>
                <w:szCs w:val="20"/>
                <w:lang w:eastAsia="es-CL"/>
              </w:rPr>
            </w:pPr>
            <w:r w:rsidRPr="00A91047">
              <w:rPr>
                <w:rFonts w:ascii="Arial" w:eastAsia="Times New Roman" w:hAnsi="Arial" w:cs="Arial"/>
                <w:b/>
                <w:bCs/>
                <w:color w:val="000000"/>
                <w:sz w:val="20"/>
                <w:szCs w:val="20"/>
                <w:lang w:eastAsia="es-CL"/>
              </w:rPr>
              <w:t>Valor Presente Neto (</w:t>
            </w:r>
            <w:r w:rsidR="00756FBA">
              <w:rPr>
                <w:rFonts w:ascii="Arial" w:eastAsia="Times New Roman" w:hAnsi="Arial" w:cs="Arial"/>
                <w:b/>
                <w:bCs/>
                <w:color w:val="000000"/>
                <w:sz w:val="20"/>
                <w:szCs w:val="20"/>
                <w:lang w:eastAsia="es-CL"/>
              </w:rPr>
              <w:t>US$</w:t>
            </w:r>
            <w:r w:rsidRPr="00A91047">
              <w:rPr>
                <w:rFonts w:ascii="Arial" w:eastAsia="Times New Roman" w:hAnsi="Arial" w:cs="Arial"/>
                <w:b/>
                <w:bCs/>
                <w:color w:val="000000"/>
                <w:sz w:val="20"/>
                <w:szCs w:val="20"/>
                <w:lang w:eastAsia="es-CL"/>
              </w:rPr>
              <w:t>MM)</w:t>
            </w: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b/>
                <w:bCs/>
                <w:color w:val="000000"/>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r>
      <w:tr w:rsidR="00A44914" w:rsidRPr="00A91047" w:rsidTr="00A44914">
        <w:trPr>
          <w:trHeight w:val="300"/>
          <w:jc w:val="center"/>
        </w:trPr>
        <w:tc>
          <w:tcPr>
            <w:tcW w:w="2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bajo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alto</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Corto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-10.4</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6.1</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24.9</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Mediano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3.7</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27.8</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57.7</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Largo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9.3</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38.2</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76.2</w:t>
            </w:r>
          </w:p>
        </w:tc>
      </w:tr>
      <w:tr w:rsidR="00A44914" w:rsidRPr="00A91047" w:rsidTr="00A44914">
        <w:trPr>
          <w:trHeight w:val="300"/>
          <w:jc w:val="center"/>
        </w:trPr>
        <w:tc>
          <w:tcPr>
            <w:tcW w:w="2218"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p>
        </w:tc>
        <w:tc>
          <w:tcPr>
            <w:tcW w:w="842"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r>
      <w:tr w:rsidR="00A44914" w:rsidRPr="00A91047" w:rsidTr="00A44914">
        <w:trPr>
          <w:trHeight w:val="315"/>
          <w:jc w:val="center"/>
        </w:trPr>
        <w:tc>
          <w:tcPr>
            <w:tcW w:w="2218" w:type="dxa"/>
            <w:tcBorders>
              <w:top w:val="nil"/>
              <w:left w:val="nil"/>
              <w:bottom w:val="nil"/>
              <w:right w:val="nil"/>
            </w:tcBorders>
            <w:shd w:val="clear" w:color="auto" w:fill="auto"/>
            <w:noWrap/>
            <w:vAlign w:val="bottom"/>
            <w:hideMark/>
          </w:tcPr>
          <w:p w:rsidR="00A44914" w:rsidRPr="00A91047" w:rsidRDefault="00A44914" w:rsidP="00A44914">
            <w:pPr>
              <w:rPr>
                <w:rFonts w:ascii="Arial" w:eastAsia="Times New Roman" w:hAnsi="Arial" w:cs="Arial"/>
                <w:b/>
                <w:bCs/>
                <w:color w:val="000000"/>
                <w:sz w:val="20"/>
                <w:szCs w:val="20"/>
                <w:lang w:eastAsia="es-CL"/>
              </w:rPr>
            </w:pPr>
            <w:r w:rsidRPr="00A91047">
              <w:rPr>
                <w:rFonts w:ascii="Arial" w:eastAsia="Times New Roman" w:hAnsi="Arial" w:cs="Arial"/>
                <w:b/>
                <w:bCs/>
                <w:color w:val="000000"/>
                <w:sz w:val="20"/>
                <w:szCs w:val="20"/>
                <w:lang w:eastAsia="es-CL"/>
              </w:rPr>
              <w:t>TIR (%)</w:t>
            </w:r>
          </w:p>
        </w:tc>
        <w:tc>
          <w:tcPr>
            <w:tcW w:w="842"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b/>
                <w:bCs/>
                <w:color w:val="000000"/>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r>
      <w:tr w:rsidR="00A44914" w:rsidRPr="00A91047" w:rsidTr="00A44914">
        <w:trPr>
          <w:trHeight w:val="300"/>
          <w:jc w:val="center"/>
        </w:trPr>
        <w:tc>
          <w:tcPr>
            <w:tcW w:w="2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bajo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alto</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Corto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2.2</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9.7</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17.3</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Mediano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9.3</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17.1</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25.0</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Largo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11.3</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19.2</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27.1</w:t>
            </w:r>
          </w:p>
        </w:tc>
      </w:tr>
      <w:tr w:rsidR="00A44914" w:rsidRPr="00A91047" w:rsidTr="00A44914">
        <w:trPr>
          <w:trHeight w:val="300"/>
          <w:jc w:val="center"/>
        </w:trPr>
        <w:tc>
          <w:tcPr>
            <w:tcW w:w="2218"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p>
        </w:tc>
        <w:tc>
          <w:tcPr>
            <w:tcW w:w="842"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r>
      <w:tr w:rsidR="00A44914" w:rsidRPr="00A91047" w:rsidTr="00A44914">
        <w:trPr>
          <w:trHeight w:val="315"/>
          <w:jc w:val="center"/>
        </w:trPr>
        <w:tc>
          <w:tcPr>
            <w:tcW w:w="3060" w:type="dxa"/>
            <w:gridSpan w:val="2"/>
            <w:tcBorders>
              <w:top w:val="nil"/>
              <w:left w:val="nil"/>
              <w:bottom w:val="nil"/>
              <w:right w:val="nil"/>
            </w:tcBorders>
            <w:shd w:val="clear" w:color="auto" w:fill="auto"/>
            <w:noWrap/>
            <w:vAlign w:val="bottom"/>
            <w:hideMark/>
          </w:tcPr>
          <w:p w:rsidR="00A44914" w:rsidRPr="00A91047" w:rsidRDefault="00A44914" w:rsidP="00A44914">
            <w:pPr>
              <w:rPr>
                <w:rFonts w:ascii="Arial" w:eastAsia="Times New Roman" w:hAnsi="Arial" w:cs="Arial"/>
                <w:b/>
                <w:bCs/>
                <w:color w:val="000000"/>
                <w:sz w:val="20"/>
                <w:szCs w:val="20"/>
                <w:lang w:eastAsia="es-CL"/>
              </w:rPr>
            </w:pPr>
            <w:r w:rsidRPr="00A91047">
              <w:rPr>
                <w:rFonts w:ascii="Arial" w:eastAsia="Times New Roman" w:hAnsi="Arial" w:cs="Arial"/>
                <w:b/>
                <w:bCs/>
                <w:color w:val="000000"/>
                <w:sz w:val="20"/>
                <w:szCs w:val="20"/>
                <w:lang w:eastAsia="es-CL"/>
              </w:rPr>
              <w:t>Ratio Beneficio - Costo</w:t>
            </w: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b/>
                <w:bCs/>
                <w:color w:val="000000"/>
                <w:sz w:val="20"/>
                <w:szCs w:val="20"/>
                <w:lang w:eastAsia="es-CL"/>
              </w:rPr>
            </w:pPr>
          </w:p>
        </w:tc>
        <w:tc>
          <w:tcPr>
            <w:tcW w:w="1200" w:type="dxa"/>
            <w:tcBorders>
              <w:top w:val="nil"/>
              <w:left w:val="nil"/>
              <w:bottom w:val="nil"/>
              <w:right w:val="nil"/>
            </w:tcBorders>
            <w:shd w:val="clear" w:color="auto" w:fill="auto"/>
            <w:noWrap/>
            <w:vAlign w:val="center"/>
            <w:hideMark/>
          </w:tcPr>
          <w:p w:rsidR="00A44914" w:rsidRPr="00A91047" w:rsidRDefault="00A44914" w:rsidP="00A44914">
            <w:pPr>
              <w:jc w:val="center"/>
              <w:rPr>
                <w:rFonts w:ascii="Arial" w:eastAsia="Times New Roman" w:hAnsi="Arial" w:cs="Arial"/>
                <w:sz w:val="20"/>
                <w:szCs w:val="20"/>
                <w:lang w:eastAsia="es-CL"/>
              </w:rPr>
            </w:pPr>
          </w:p>
        </w:tc>
      </w:tr>
      <w:tr w:rsidR="00A44914" w:rsidRPr="00A91047" w:rsidTr="00A44914">
        <w:trPr>
          <w:trHeight w:val="300"/>
          <w:jc w:val="center"/>
        </w:trPr>
        <w:tc>
          <w:tcPr>
            <w:tcW w:w="22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p>
        </w:tc>
        <w:tc>
          <w:tcPr>
            <w:tcW w:w="842"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bajo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alto</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Corto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0.9</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1.1</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1.3</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Mediano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1.0</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1.3</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1.6</w:t>
            </w:r>
          </w:p>
        </w:tc>
      </w:tr>
      <w:tr w:rsidR="00A44914" w:rsidRPr="00A91047" w:rsidTr="00A44914">
        <w:trPr>
          <w:trHeight w:val="315"/>
          <w:jc w:val="center"/>
        </w:trPr>
        <w:tc>
          <w:tcPr>
            <w:tcW w:w="2218" w:type="dxa"/>
            <w:tcBorders>
              <w:top w:val="nil"/>
              <w:left w:val="single" w:sz="4" w:space="0" w:color="auto"/>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Largo Plazo</w:t>
            </w:r>
          </w:p>
        </w:tc>
        <w:tc>
          <w:tcPr>
            <w:tcW w:w="842"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1.1</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1.4</w:t>
            </w:r>
          </w:p>
        </w:tc>
        <w:tc>
          <w:tcPr>
            <w:tcW w:w="1200" w:type="dxa"/>
            <w:tcBorders>
              <w:top w:val="nil"/>
              <w:left w:val="nil"/>
              <w:bottom w:val="single" w:sz="4" w:space="0" w:color="auto"/>
              <w:right w:val="single" w:sz="4" w:space="0" w:color="auto"/>
            </w:tcBorders>
            <w:shd w:val="clear" w:color="auto" w:fill="auto"/>
            <w:noWrap/>
            <w:vAlign w:val="center"/>
            <w:hideMark/>
          </w:tcPr>
          <w:p w:rsidR="00A44914" w:rsidRPr="00A91047" w:rsidRDefault="00A44914" w:rsidP="00A44914">
            <w:pPr>
              <w:jc w:val="center"/>
              <w:rPr>
                <w:rFonts w:ascii="Arial" w:eastAsia="Times New Roman" w:hAnsi="Arial" w:cs="Arial"/>
                <w:color w:val="000000"/>
                <w:sz w:val="20"/>
                <w:szCs w:val="20"/>
                <w:lang w:eastAsia="es-CL"/>
              </w:rPr>
            </w:pPr>
            <w:r w:rsidRPr="00A91047">
              <w:rPr>
                <w:rFonts w:ascii="Arial" w:eastAsia="Times New Roman" w:hAnsi="Arial" w:cs="Arial"/>
                <w:color w:val="000000"/>
                <w:sz w:val="20"/>
                <w:szCs w:val="20"/>
                <w:lang w:eastAsia="es-CL"/>
              </w:rPr>
              <w:t>1.8</w:t>
            </w:r>
          </w:p>
        </w:tc>
      </w:tr>
    </w:tbl>
    <w:p w:rsidR="00A8284E" w:rsidRPr="00A91047" w:rsidRDefault="00A8284E" w:rsidP="00A8284E">
      <w:pPr>
        <w:rPr>
          <w:rFonts w:ascii="Arial" w:hAnsi="Arial" w:cs="Arial"/>
        </w:rPr>
      </w:pPr>
    </w:p>
    <w:sectPr w:rsidR="00A8284E" w:rsidRPr="00A91047" w:rsidSect="00A44914">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540" w:rsidRDefault="007C0540" w:rsidP="009F4B52">
      <w:pPr>
        <w:spacing w:after="0" w:line="240" w:lineRule="auto"/>
      </w:pPr>
      <w:r>
        <w:separator/>
      </w:r>
    </w:p>
  </w:endnote>
  <w:endnote w:type="continuationSeparator" w:id="0">
    <w:p w:rsidR="007C0540" w:rsidRDefault="007C0540" w:rsidP="009F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00000287" w:usb1="08070000" w:usb2="00000010"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540" w:rsidRDefault="007C0540" w:rsidP="009F4B52">
      <w:pPr>
        <w:spacing w:after="0" w:line="240" w:lineRule="auto"/>
      </w:pPr>
      <w:r>
        <w:separator/>
      </w:r>
    </w:p>
  </w:footnote>
  <w:footnote w:type="continuationSeparator" w:id="0">
    <w:p w:rsidR="007C0540" w:rsidRDefault="007C0540" w:rsidP="009F4B52">
      <w:pPr>
        <w:spacing w:after="0" w:line="240" w:lineRule="auto"/>
      </w:pPr>
      <w:r>
        <w:continuationSeparator/>
      </w:r>
    </w:p>
  </w:footnote>
  <w:footnote w:id="1">
    <w:p w:rsidR="006351FA" w:rsidRPr="00F82F6E" w:rsidRDefault="006351FA" w:rsidP="00F82F6E">
      <w:pPr>
        <w:pStyle w:val="FootnoteText"/>
        <w:jc w:val="both"/>
        <w:rPr>
          <w:rFonts w:ascii="Arial" w:hAnsi="Arial" w:cs="Arial"/>
          <w:sz w:val="20"/>
          <w:szCs w:val="20"/>
        </w:rPr>
      </w:pPr>
      <w:r w:rsidRPr="00F82F6E">
        <w:rPr>
          <w:rStyle w:val="FootnoteReference"/>
          <w:rFonts w:ascii="Arial" w:hAnsi="Arial" w:cs="Arial"/>
          <w:sz w:val="20"/>
          <w:szCs w:val="20"/>
        </w:rPr>
        <w:footnoteRef/>
      </w:r>
      <w:r w:rsidRPr="00F82F6E">
        <w:rPr>
          <w:rFonts w:ascii="Arial" w:hAnsi="Arial" w:cs="Arial"/>
          <w:sz w:val="20"/>
          <w:szCs w:val="20"/>
        </w:rPr>
        <w:t xml:space="preserve"> En el caso del programa de Aprendices se asume que los costos indirectos son cero o que los beneficiarios no tendrían un trabajo alternativo al de aprendices.</w:t>
      </w:r>
    </w:p>
  </w:footnote>
  <w:footnote w:id="2">
    <w:p w:rsidR="009F4B52" w:rsidRPr="00F82F6E" w:rsidRDefault="009F4B52" w:rsidP="00F82F6E">
      <w:pPr>
        <w:pStyle w:val="FootnoteText"/>
        <w:jc w:val="both"/>
        <w:rPr>
          <w:rFonts w:ascii="Arial" w:hAnsi="Arial" w:cs="Arial"/>
          <w:sz w:val="18"/>
          <w:szCs w:val="18"/>
          <w:lang w:val="es-CL"/>
        </w:rPr>
      </w:pPr>
      <w:r w:rsidRPr="00F82F6E">
        <w:rPr>
          <w:rStyle w:val="FootnoteReference"/>
          <w:rFonts w:ascii="Arial" w:hAnsi="Arial" w:cs="Arial"/>
          <w:sz w:val="18"/>
          <w:szCs w:val="18"/>
        </w:rPr>
        <w:footnoteRef/>
      </w:r>
      <w:r w:rsidRPr="00F82F6E">
        <w:rPr>
          <w:rFonts w:ascii="Arial" w:hAnsi="Arial" w:cs="Arial"/>
          <w:sz w:val="18"/>
          <w:szCs w:val="18"/>
        </w:rPr>
        <w:t xml:space="preserve">   </w:t>
      </w:r>
      <w:r w:rsidRPr="00F82F6E">
        <w:rPr>
          <w:rFonts w:ascii="Arial" w:hAnsi="Arial" w:cs="Arial"/>
          <w:sz w:val="18"/>
          <w:szCs w:val="18"/>
          <w:lang w:val="es-ES_tradnl"/>
        </w:rPr>
        <w:t>Los plazos utilizados en el análisis de costo-beneficio se definieron en base a la duración misma del programa (6 años), la naturaleza de las actividades ejecutadas y los lineamientos metodológicos del banco (https://www.iadb.org/en/topics/development-effectiveness/evaluation-hub/cost-benefit-cost-effectiveness%2C17864.html).</w:t>
      </w:r>
    </w:p>
  </w:footnote>
  <w:footnote w:id="3">
    <w:p w:rsidR="009F4B52" w:rsidRPr="00F82F6E" w:rsidRDefault="009F4B52" w:rsidP="00F82F6E">
      <w:pPr>
        <w:pStyle w:val="FootnoteText"/>
        <w:jc w:val="both"/>
        <w:rPr>
          <w:rFonts w:ascii="Arial" w:hAnsi="Arial" w:cs="Arial"/>
          <w:sz w:val="18"/>
          <w:szCs w:val="18"/>
          <w:lang w:val="es-ES_tradnl"/>
        </w:rPr>
      </w:pPr>
      <w:r w:rsidRPr="00F82F6E">
        <w:rPr>
          <w:rFonts w:ascii="Arial" w:hAnsi="Arial" w:cs="Arial"/>
          <w:sz w:val="18"/>
          <w:szCs w:val="18"/>
          <w:vertAlign w:val="superscript"/>
          <w:lang w:val="en-US"/>
        </w:rPr>
        <w:footnoteRef/>
      </w:r>
      <w:r w:rsidRPr="00F82F6E">
        <w:rPr>
          <w:rFonts w:ascii="Arial" w:hAnsi="Arial" w:cs="Arial"/>
          <w:sz w:val="18"/>
          <w:szCs w:val="18"/>
          <w:lang w:val="es-ES_tradnl"/>
        </w:rPr>
        <w:t xml:space="preserve"> Estos costos se calculan como la multiplicación del salario por hora promedio de los cuatro primeros deciles de ingreso con el número de horas promedio de capacitación de cada programa y el número total de capacitados por programa. Para más detalle ver </w:t>
      </w:r>
      <w:r w:rsidR="00811F80" w:rsidRPr="005C77DA">
        <w:rPr>
          <w:rFonts w:ascii="Arial" w:hAnsi="Arial" w:cs="Arial"/>
          <w:sz w:val="18"/>
          <w:szCs w:val="18"/>
          <w:lang w:val="es-ES_tradnl"/>
        </w:rPr>
        <w:t>Cuadro 2.</w:t>
      </w:r>
    </w:p>
  </w:footnote>
  <w:footnote w:id="4">
    <w:p w:rsidR="009F4B52" w:rsidRPr="00F82F6E" w:rsidRDefault="009F4B52" w:rsidP="00F82F6E">
      <w:pPr>
        <w:pStyle w:val="FootnoteText"/>
        <w:jc w:val="both"/>
        <w:rPr>
          <w:rFonts w:ascii="Arial" w:hAnsi="Arial" w:cs="Arial"/>
          <w:sz w:val="18"/>
          <w:szCs w:val="18"/>
          <w:lang w:val="es-CL"/>
        </w:rPr>
      </w:pPr>
      <w:r w:rsidRPr="00F82F6E">
        <w:rPr>
          <w:rStyle w:val="FootnoteReference"/>
          <w:rFonts w:ascii="Arial" w:hAnsi="Arial" w:cs="Arial"/>
          <w:sz w:val="18"/>
          <w:szCs w:val="18"/>
        </w:rPr>
        <w:footnoteRef/>
      </w:r>
      <w:hyperlink r:id="rId1" w:history="1">
        <w:r w:rsidR="00F82F6E" w:rsidRPr="00A34D08">
          <w:rPr>
            <w:rStyle w:val="Hyperlink"/>
            <w:rFonts w:ascii="Arial" w:hAnsi="Arial" w:cs="Arial"/>
            <w:sz w:val="18"/>
            <w:szCs w:val="18"/>
            <w:lang w:val="es-ES_tradnl"/>
          </w:rPr>
          <w:t>https://www.iadb.org/es/temas/efectividad-en-el-desarrollo/evaluation-hub/analisis-costo-beneficio%2C17891.html</w:t>
        </w:r>
      </w:hyperlink>
      <w:r w:rsidRPr="00F82F6E">
        <w:rPr>
          <w:rFonts w:ascii="Arial" w:hAnsi="Arial" w:cs="Arial"/>
          <w:sz w:val="18"/>
          <w:szCs w:val="18"/>
          <w:lang w:val="es-ES_tradnl"/>
        </w:rPr>
        <w:t>. Dicha tasa fue también utilizada en el análisis ex ante.</w:t>
      </w:r>
    </w:p>
  </w:footnote>
  <w:footnote w:id="5">
    <w:p w:rsidR="009F4B52" w:rsidRPr="00F82F6E" w:rsidRDefault="009F4B52" w:rsidP="00F82F6E">
      <w:pPr>
        <w:pStyle w:val="FootnoteText"/>
        <w:jc w:val="both"/>
        <w:rPr>
          <w:rFonts w:ascii="Arial" w:hAnsi="Arial" w:cs="Arial"/>
          <w:sz w:val="18"/>
          <w:szCs w:val="18"/>
          <w:lang w:val="es-CL"/>
        </w:rPr>
      </w:pPr>
      <w:r w:rsidRPr="00F82F6E">
        <w:rPr>
          <w:rFonts w:ascii="Arial" w:hAnsi="Arial" w:cs="Arial"/>
          <w:sz w:val="18"/>
          <w:szCs w:val="18"/>
          <w:vertAlign w:val="superscript"/>
          <w:lang w:val="en-US"/>
        </w:rPr>
        <w:footnoteRef/>
      </w:r>
      <w:r w:rsidRPr="00F82F6E">
        <w:rPr>
          <w:rFonts w:ascii="Arial" w:hAnsi="Arial" w:cs="Arial"/>
          <w:sz w:val="18"/>
          <w:szCs w:val="18"/>
          <w:lang w:val="es-ES_tradnl"/>
        </w:rPr>
        <w:t xml:space="preserve"> Fuente: Encuesta Suplementaria de Ingresos, INE.</w:t>
      </w:r>
      <w:r w:rsidRPr="00F82F6E">
        <w:rPr>
          <w:rFonts w:ascii="Arial" w:hAnsi="Arial" w:cs="Arial"/>
          <w:sz w:val="18"/>
          <w:szCs w:val="18"/>
          <w:lang w:val="es-CL"/>
        </w:rPr>
        <w:t xml:space="preserve"> </w:t>
      </w:r>
    </w:p>
  </w:footnote>
  <w:footnote w:id="6">
    <w:p w:rsidR="009F4B52" w:rsidRPr="00F82F6E" w:rsidRDefault="009F4B52" w:rsidP="00F82F6E">
      <w:pPr>
        <w:pStyle w:val="FootnoteText"/>
        <w:jc w:val="both"/>
        <w:rPr>
          <w:rFonts w:ascii="Arial" w:hAnsi="Arial" w:cs="Arial"/>
          <w:sz w:val="18"/>
          <w:szCs w:val="18"/>
          <w:lang w:val="en-US"/>
        </w:rPr>
      </w:pPr>
      <w:r w:rsidRPr="00F82F6E">
        <w:rPr>
          <w:rStyle w:val="FootnoteReference"/>
          <w:rFonts w:ascii="Arial" w:hAnsi="Arial" w:cs="Arial"/>
          <w:sz w:val="18"/>
          <w:szCs w:val="18"/>
        </w:rPr>
        <w:footnoteRef/>
      </w:r>
      <w:r w:rsidRPr="00F82F6E">
        <w:rPr>
          <w:rFonts w:ascii="Arial" w:hAnsi="Arial" w:cs="Arial"/>
          <w:sz w:val="18"/>
          <w:szCs w:val="18"/>
          <w:lang w:val="en-US"/>
        </w:rPr>
        <w:t xml:space="preserve"> Fuente: World Development Indicators, Banco Mundial.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F0A21"/>
    <w:multiLevelType w:val="hybridMultilevel"/>
    <w:tmpl w:val="69F69C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3CC92C86"/>
    <w:multiLevelType w:val="hybridMultilevel"/>
    <w:tmpl w:val="8594EE9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82A127B"/>
    <w:multiLevelType w:val="hybridMultilevel"/>
    <w:tmpl w:val="53B0116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 w15:restartNumberingAfterBreak="0">
    <w:nsid w:val="6A1615AE"/>
    <w:multiLevelType w:val="hybridMultilevel"/>
    <w:tmpl w:val="09EE65B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96F"/>
    <w:rsid w:val="000A118B"/>
    <w:rsid w:val="000C5C47"/>
    <w:rsid w:val="0012491D"/>
    <w:rsid w:val="001C2E6F"/>
    <w:rsid w:val="002005F2"/>
    <w:rsid w:val="002215F4"/>
    <w:rsid w:val="0025395F"/>
    <w:rsid w:val="002B2938"/>
    <w:rsid w:val="00320C17"/>
    <w:rsid w:val="00352AD5"/>
    <w:rsid w:val="00430F4A"/>
    <w:rsid w:val="004920EE"/>
    <w:rsid w:val="00502556"/>
    <w:rsid w:val="00511E39"/>
    <w:rsid w:val="005C77DA"/>
    <w:rsid w:val="006351FA"/>
    <w:rsid w:val="00756FBA"/>
    <w:rsid w:val="007C0540"/>
    <w:rsid w:val="007F0604"/>
    <w:rsid w:val="00811F80"/>
    <w:rsid w:val="008B1632"/>
    <w:rsid w:val="009739CB"/>
    <w:rsid w:val="009F4B52"/>
    <w:rsid w:val="00A07091"/>
    <w:rsid w:val="00A42B39"/>
    <w:rsid w:val="00A44914"/>
    <w:rsid w:val="00A8284E"/>
    <w:rsid w:val="00A91047"/>
    <w:rsid w:val="00B33026"/>
    <w:rsid w:val="00BB78A9"/>
    <w:rsid w:val="00BE455C"/>
    <w:rsid w:val="00C27728"/>
    <w:rsid w:val="00C44BF8"/>
    <w:rsid w:val="00CD196F"/>
    <w:rsid w:val="00CE64B4"/>
    <w:rsid w:val="00D70233"/>
    <w:rsid w:val="00D824AC"/>
    <w:rsid w:val="00DF2AAC"/>
    <w:rsid w:val="00E56657"/>
    <w:rsid w:val="00E73302"/>
    <w:rsid w:val="00EA70FB"/>
    <w:rsid w:val="00EF690E"/>
    <w:rsid w:val="00F82F6E"/>
    <w:rsid w:val="00F96825"/>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1C0CA6F-BBDD-40EB-8C6A-E7B21B009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96F"/>
    <w:pPr>
      <w:ind w:left="720"/>
      <w:contextualSpacing/>
    </w:pPr>
  </w:style>
  <w:style w:type="paragraph" w:styleId="Caption">
    <w:name w:val="caption"/>
    <w:basedOn w:val="Normal"/>
    <w:next w:val="Normal"/>
    <w:uiPriority w:val="35"/>
    <w:unhideWhenUsed/>
    <w:qFormat/>
    <w:rsid w:val="00A91047"/>
    <w:pPr>
      <w:keepNext/>
      <w:spacing w:after="200" w:line="240" w:lineRule="auto"/>
      <w:jc w:val="center"/>
    </w:pPr>
    <w:rPr>
      <w:rFonts w:ascii="Arial" w:hAnsi="Arial" w:cs="Arial"/>
      <w:i/>
      <w:iCs/>
      <w:color w:val="44546A" w:themeColor="text2"/>
      <w:sz w:val="20"/>
      <w:szCs w:val="18"/>
    </w:rPr>
  </w:style>
  <w:style w:type="character" w:styleId="CommentReference">
    <w:name w:val="annotation reference"/>
    <w:basedOn w:val="DefaultParagraphFont"/>
    <w:uiPriority w:val="99"/>
    <w:semiHidden/>
    <w:unhideWhenUsed/>
    <w:rsid w:val="00C27728"/>
    <w:rPr>
      <w:sz w:val="16"/>
      <w:szCs w:val="16"/>
    </w:rPr>
  </w:style>
  <w:style w:type="paragraph" w:styleId="CommentText">
    <w:name w:val="annotation text"/>
    <w:basedOn w:val="Normal"/>
    <w:link w:val="CommentTextChar"/>
    <w:uiPriority w:val="99"/>
    <w:unhideWhenUsed/>
    <w:rsid w:val="00C27728"/>
    <w:pPr>
      <w:spacing w:after="0" w:line="240" w:lineRule="auto"/>
    </w:pPr>
    <w:rPr>
      <w:rFonts w:ascii="Arial" w:hAnsi="Arial"/>
      <w:sz w:val="20"/>
      <w:szCs w:val="20"/>
      <w:lang w:val="es-ES"/>
    </w:rPr>
  </w:style>
  <w:style w:type="character" w:customStyle="1" w:styleId="CommentTextChar">
    <w:name w:val="Comment Text Char"/>
    <w:basedOn w:val="DefaultParagraphFont"/>
    <w:link w:val="CommentText"/>
    <w:uiPriority w:val="99"/>
    <w:rsid w:val="00C27728"/>
    <w:rPr>
      <w:rFonts w:ascii="Arial" w:hAnsi="Arial"/>
      <w:sz w:val="20"/>
      <w:szCs w:val="20"/>
      <w:lang w:val="es-ES"/>
    </w:rPr>
  </w:style>
  <w:style w:type="paragraph" w:styleId="BalloonText">
    <w:name w:val="Balloon Text"/>
    <w:basedOn w:val="Normal"/>
    <w:link w:val="BalloonTextChar"/>
    <w:uiPriority w:val="99"/>
    <w:semiHidden/>
    <w:unhideWhenUsed/>
    <w:rsid w:val="00C27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728"/>
    <w:rPr>
      <w:rFonts w:ascii="Segoe UI" w:hAnsi="Segoe UI" w:cs="Segoe UI"/>
      <w:sz w:val="18"/>
      <w:szCs w:val="18"/>
    </w:rPr>
  </w:style>
  <w:style w:type="character" w:styleId="Hyperlink">
    <w:name w:val="Hyperlink"/>
    <w:basedOn w:val="DefaultParagraphFont"/>
    <w:uiPriority w:val="99"/>
    <w:unhideWhenUsed/>
    <w:rsid w:val="009F4B52"/>
    <w:rPr>
      <w:color w:val="0563C1" w:themeColor="hyperlink"/>
      <w:u w:val="single"/>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 Car Char"/>
    <w:basedOn w:val="DefaultParagraphFont"/>
    <w:link w:val="FootnoteText"/>
    <w:uiPriority w:val="99"/>
    <w:locked/>
    <w:rsid w:val="009F4B52"/>
    <w:rPr>
      <w:rFonts w:ascii="Times New Roman" w:eastAsia="Times New Roman" w:hAnsi="Times New Roman" w:cs="Times New Roman"/>
      <w:sz w:val="24"/>
      <w:szCs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 Car,single space,ft"/>
    <w:basedOn w:val="Normal"/>
    <w:link w:val="FootnoteTextChar"/>
    <w:uiPriority w:val="99"/>
    <w:unhideWhenUsed/>
    <w:rsid w:val="009F4B52"/>
    <w:pPr>
      <w:spacing w:after="0" w:line="240" w:lineRule="auto"/>
    </w:pPr>
    <w:rPr>
      <w:rFonts w:ascii="Times New Roman" w:eastAsia="Times New Roman" w:hAnsi="Times New Roman" w:cs="Times New Roman"/>
      <w:sz w:val="24"/>
      <w:szCs w:val="24"/>
      <w:lang w:val="es-ES"/>
    </w:rPr>
  </w:style>
  <w:style w:type="character" w:customStyle="1" w:styleId="TextonotapieCar1">
    <w:name w:val="Texto nota pie Car1"/>
    <w:basedOn w:val="DefaultParagraphFont"/>
    <w:uiPriority w:val="99"/>
    <w:semiHidden/>
    <w:rsid w:val="009F4B52"/>
    <w:rPr>
      <w:sz w:val="20"/>
      <w:szCs w:val="20"/>
    </w:rPr>
  </w:style>
  <w:style w:type="character" w:styleId="FootnoteReference">
    <w:name w:val="footnote reference"/>
    <w:aliases w:val="titulo 2,Style 24,pie pddes,referencia nota al pie,Fußnotenzeichen DISS,16 Point,Superscript 6 Point,ftref,FC"/>
    <w:uiPriority w:val="99"/>
    <w:unhideWhenUsed/>
    <w:rsid w:val="009F4B52"/>
    <w:rPr>
      <w:vertAlign w:val="superscript"/>
    </w:rPr>
  </w:style>
  <w:style w:type="paragraph" w:styleId="NormalWeb">
    <w:name w:val="Normal (Web)"/>
    <w:basedOn w:val="Normal"/>
    <w:uiPriority w:val="99"/>
    <w:semiHidden/>
    <w:unhideWhenUsed/>
    <w:rsid w:val="00A91047"/>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CommentSubject">
    <w:name w:val="annotation subject"/>
    <w:basedOn w:val="CommentText"/>
    <w:next w:val="CommentText"/>
    <w:link w:val="CommentSubjectChar"/>
    <w:uiPriority w:val="99"/>
    <w:semiHidden/>
    <w:unhideWhenUsed/>
    <w:rsid w:val="00BE455C"/>
    <w:pPr>
      <w:spacing w:after="160"/>
    </w:pPr>
    <w:rPr>
      <w:rFonts w:asciiTheme="minorHAnsi" w:hAnsiTheme="minorHAnsi"/>
      <w:b/>
      <w:bCs/>
      <w:lang w:val="es-CL"/>
    </w:rPr>
  </w:style>
  <w:style w:type="character" w:customStyle="1" w:styleId="CommentSubjectChar">
    <w:name w:val="Comment Subject Char"/>
    <w:basedOn w:val="CommentTextChar"/>
    <w:link w:val="CommentSubject"/>
    <w:uiPriority w:val="99"/>
    <w:semiHidden/>
    <w:rsid w:val="00BE455C"/>
    <w:rPr>
      <w:rFonts w:ascii="Arial" w:hAnsi="Arial"/>
      <w:b/>
      <w:bCs/>
      <w:sz w:val="20"/>
      <w:szCs w:val="20"/>
      <w:lang w:val="es-ES"/>
    </w:rPr>
  </w:style>
  <w:style w:type="character" w:customStyle="1" w:styleId="UnresolvedMention1">
    <w:name w:val="Unresolved Mention1"/>
    <w:basedOn w:val="DefaultParagraphFont"/>
    <w:uiPriority w:val="99"/>
    <w:semiHidden/>
    <w:unhideWhenUsed/>
    <w:rsid w:val="00F82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9602">
      <w:bodyDiv w:val="1"/>
      <w:marLeft w:val="0"/>
      <w:marRight w:val="0"/>
      <w:marTop w:val="0"/>
      <w:marBottom w:val="0"/>
      <w:divBdr>
        <w:top w:val="none" w:sz="0" w:space="0" w:color="auto"/>
        <w:left w:val="none" w:sz="0" w:space="0" w:color="auto"/>
        <w:bottom w:val="none" w:sz="0" w:space="0" w:color="auto"/>
        <w:right w:val="none" w:sz="0" w:space="0" w:color="auto"/>
      </w:divBdr>
    </w:div>
    <w:div w:id="425884830">
      <w:bodyDiv w:val="1"/>
      <w:marLeft w:val="0"/>
      <w:marRight w:val="0"/>
      <w:marTop w:val="0"/>
      <w:marBottom w:val="0"/>
      <w:divBdr>
        <w:top w:val="none" w:sz="0" w:space="0" w:color="auto"/>
        <w:left w:val="none" w:sz="0" w:space="0" w:color="auto"/>
        <w:bottom w:val="none" w:sz="0" w:space="0" w:color="auto"/>
        <w:right w:val="none" w:sz="0" w:space="0" w:color="auto"/>
      </w:divBdr>
    </w:div>
    <w:div w:id="432212685">
      <w:bodyDiv w:val="1"/>
      <w:marLeft w:val="0"/>
      <w:marRight w:val="0"/>
      <w:marTop w:val="0"/>
      <w:marBottom w:val="0"/>
      <w:divBdr>
        <w:top w:val="none" w:sz="0" w:space="0" w:color="auto"/>
        <w:left w:val="none" w:sz="0" w:space="0" w:color="auto"/>
        <w:bottom w:val="none" w:sz="0" w:space="0" w:color="auto"/>
        <w:right w:val="none" w:sz="0" w:space="0" w:color="auto"/>
      </w:divBdr>
    </w:div>
    <w:div w:id="641882466">
      <w:bodyDiv w:val="1"/>
      <w:marLeft w:val="0"/>
      <w:marRight w:val="0"/>
      <w:marTop w:val="0"/>
      <w:marBottom w:val="0"/>
      <w:divBdr>
        <w:top w:val="none" w:sz="0" w:space="0" w:color="auto"/>
        <w:left w:val="none" w:sz="0" w:space="0" w:color="auto"/>
        <w:bottom w:val="none" w:sz="0" w:space="0" w:color="auto"/>
        <w:right w:val="none" w:sz="0" w:space="0" w:color="auto"/>
      </w:divBdr>
    </w:div>
    <w:div w:id="653533262">
      <w:bodyDiv w:val="1"/>
      <w:marLeft w:val="0"/>
      <w:marRight w:val="0"/>
      <w:marTop w:val="0"/>
      <w:marBottom w:val="0"/>
      <w:divBdr>
        <w:top w:val="none" w:sz="0" w:space="0" w:color="auto"/>
        <w:left w:val="none" w:sz="0" w:space="0" w:color="auto"/>
        <w:bottom w:val="none" w:sz="0" w:space="0" w:color="auto"/>
        <w:right w:val="none" w:sz="0" w:space="0" w:color="auto"/>
      </w:divBdr>
    </w:div>
    <w:div w:id="794561265">
      <w:bodyDiv w:val="1"/>
      <w:marLeft w:val="0"/>
      <w:marRight w:val="0"/>
      <w:marTop w:val="0"/>
      <w:marBottom w:val="0"/>
      <w:divBdr>
        <w:top w:val="none" w:sz="0" w:space="0" w:color="auto"/>
        <w:left w:val="none" w:sz="0" w:space="0" w:color="auto"/>
        <w:bottom w:val="none" w:sz="0" w:space="0" w:color="auto"/>
        <w:right w:val="none" w:sz="0" w:space="0" w:color="auto"/>
      </w:divBdr>
    </w:div>
    <w:div w:id="1073964142">
      <w:bodyDiv w:val="1"/>
      <w:marLeft w:val="0"/>
      <w:marRight w:val="0"/>
      <w:marTop w:val="0"/>
      <w:marBottom w:val="0"/>
      <w:divBdr>
        <w:top w:val="none" w:sz="0" w:space="0" w:color="auto"/>
        <w:left w:val="none" w:sz="0" w:space="0" w:color="auto"/>
        <w:bottom w:val="none" w:sz="0" w:space="0" w:color="auto"/>
        <w:right w:val="none" w:sz="0" w:space="0" w:color="auto"/>
      </w:divBdr>
    </w:div>
    <w:div w:id="19272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iadb.org/es/temas/efectividad-en-el-desarrollo/evaluation-hub/analisis-costo-beneficio%2C17891.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jobach\Dropbox\PCR%20BID-SENCE\CBA%20Indicadores%20Finale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Sensibilidad!$B$4</c:f>
              <c:strCache>
                <c:ptCount val="1"/>
                <c:pt idx="0">
                  <c:v>bajo</c:v>
                </c:pt>
              </c:strCache>
            </c:strRef>
          </c:tx>
          <c:spPr>
            <a:ln w="28575" cap="rnd">
              <a:solidFill>
                <a:schemeClr val="accent1"/>
              </a:solidFill>
              <a:round/>
            </a:ln>
            <a:effectLst/>
          </c:spPr>
          <c:marker>
            <c:symbol val="none"/>
          </c:marker>
          <c:cat>
            <c:numRef>
              <c:f>Sensibilidad!$C$3:$M$3</c:f>
              <c:numCache>
                <c:formatCode>General</c:formatCode>
                <c:ptCount val="11"/>
                <c:pt idx="0">
                  <c:v>2017</c:v>
                </c:pt>
                <c:pt idx="1">
                  <c:v>2018</c:v>
                </c:pt>
                <c:pt idx="2">
                  <c:v>2019</c:v>
                </c:pt>
                <c:pt idx="3">
                  <c:v>2020</c:v>
                </c:pt>
                <c:pt idx="4">
                  <c:v>2021</c:v>
                </c:pt>
                <c:pt idx="5">
                  <c:v>2022</c:v>
                </c:pt>
                <c:pt idx="6">
                  <c:v>2023</c:v>
                </c:pt>
                <c:pt idx="7">
                  <c:v>2024</c:v>
                </c:pt>
                <c:pt idx="8">
                  <c:v>2025</c:v>
                </c:pt>
                <c:pt idx="9">
                  <c:v>2026</c:v>
                </c:pt>
                <c:pt idx="10">
                  <c:v>2027</c:v>
                </c:pt>
              </c:numCache>
            </c:numRef>
          </c:cat>
          <c:val>
            <c:numRef>
              <c:f>Sensibilidad!$C$4:$M$4</c:f>
              <c:numCache>
                <c:formatCode>0%</c:formatCode>
                <c:ptCount val="11"/>
                <c:pt idx="0">
                  <c:v>1</c:v>
                </c:pt>
                <c:pt idx="1">
                  <c:v>0.8</c:v>
                </c:pt>
                <c:pt idx="2">
                  <c:v>0.64</c:v>
                </c:pt>
                <c:pt idx="3">
                  <c:v>0.51200000000000001</c:v>
                </c:pt>
                <c:pt idx="4">
                  <c:v>0.40960000000000002</c:v>
                </c:pt>
                <c:pt idx="5">
                  <c:v>0.32768000000000003</c:v>
                </c:pt>
                <c:pt idx="6">
                  <c:v>0.26214399999999999</c:v>
                </c:pt>
                <c:pt idx="7">
                  <c:v>0.20971519999999999</c:v>
                </c:pt>
                <c:pt idx="8">
                  <c:v>0.16777216</c:v>
                </c:pt>
                <c:pt idx="9">
                  <c:v>0.13421772800000001</c:v>
                </c:pt>
                <c:pt idx="10">
                  <c:v>0.1073741824</c:v>
                </c:pt>
              </c:numCache>
            </c:numRef>
          </c:val>
          <c:smooth val="0"/>
          <c:extLst>
            <c:ext xmlns:c16="http://schemas.microsoft.com/office/drawing/2014/chart" uri="{C3380CC4-5D6E-409C-BE32-E72D297353CC}">
              <c16:uniqueId val="{00000000-9497-4BE0-B5BA-45ACD7540D69}"/>
            </c:ext>
          </c:extLst>
        </c:ser>
        <c:ser>
          <c:idx val="1"/>
          <c:order val="1"/>
          <c:tx>
            <c:strRef>
              <c:f>Sensibilidad!$B$5</c:f>
              <c:strCache>
                <c:ptCount val="1"/>
                <c:pt idx="0">
                  <c:v>medio</c:v>
                </c:pt>
              </c:strCache>
            </c:strRef>
          </c:tx>
          <c:spPr>
            <a:ln w="28575" cap="rnd">
              <a:solidFill>
                <a:schemeClr val="accent2"/>
              </a:solidFill>
              <a:round/>
            </a:ln>
            <a:effectLst/>
          </c:spPr>
          <c:marker>
            <c:symbol val="none"/>
          </c:marker>
          <c:cat>
            <c:numRef>
              <c:f>Sensibilidad!$C$3:$M$3</c:f>
              <c:numCache>
                <c:formatCode>General</c:formatCode>
                <c:ptCount val="11"/>
                <c:pt idx="0">
                  <c:v>2017</c:v>
                </c:pt>
                <c:pt idx="1">
                  <c:v>2018</c:v>
                </c:pt>
                <c:pt idx="2">
                  <c:v>2019</c:v>
                </c:pt>
                <c:pt idx="3">
                  <c:v>2020</c:v>
                </c:pt>
                <c:pt idx="4">
                  <c:v>2021</c:v>
                </c:pt>
                <c:pt idx="5">
                  <c:v>2022</c:v>
                </c:pt>
                <c:pt idx="6">
                  <c:v>2023</c:v>
                </c:pt>
                <c:pt idx="7">
                  <c:v>2024</c:v>
                </c:pt>
                <c:pt idx="8">
                  <c:v>2025</c:v>
                </c:pt>
                <c:pt idx="9">
                  <c:v>2026</c:v>
                </c:pt>
                <c:pt idx="10">
                  <c:v>2027</c:v>
                </c:pt>
              </c:numCache>
            </c:numRef>
          </c:cat>
          <c:val>
            <c:numRef>
              <c:f>Sensibilidad!$C$5:$M$5</c:f>
              <c:numCache>
                <c:formatCode>0%</c:formatCode>
                <c:ptCount val="11"/>
                <c:pt idx="0">
                  <c:v>1</c:v>
                </c:pt>
                <c:pt idx="1">
                  <c:v>0.85</c:v>
                </c:pt>
                <c:pt idx="2">
                  <c:v>0.72250000000000003</c:v>
                </c:pt>
                <c:pt idx="3">
                  <c:v>0.61412500000000003</c:v>
                </c:pt>
                <c:pt idx="4">
                  <c:v>0.52200625</c:v>
                </c:pt>
                <c:pt idx="5">
                  <c:v>0.4437053125</c:v>
                </c:pt>
                <c:pt idx="6">
                  <c:v>0.37714951562499999</c:v>
                </c:pt>
                <c:pt idx="7">
                  <c:v>0.32057708828124998</c:v>
                </c:pt>
                <c:pt idx="8">
                  <c:v>0.27249052503906201</c:v>
                </c:pt>
                <c:pt idx="9">
                  <c:v>0.23161694628320301</c:v>
                </c:pt>
                <c:pt idx="10">
                  <c:v>0.19687440434072301</c:v>
                </c:pt>
              </c:numCache>
            </c:numRef>
          </c:val>
          <c:smooth val="0"/>
          <c:extLst>
            <c:ext xmlns:c16="http://schemas.microsoft.com/office/drawing/2014/chart" uri="{C3380CC4-5D6E-409C-BE32-E72D297353CC}">
              <c16:uniqueId val="{00000001-9497-4BE0-B5BA-45ACD7540D69}"/>
            </c:ext>
          </c:extLst>
        </c:ser>
        <c:ser>
          <c:idx val="2"/>
          <c:order val="2"/>
          <c:tx>
            <c:strRef>
              <c:f>Sensibilidad!$B$6</c:f>
              <c:strCache>
                <c:ptCount val="1"/>
                <c:pt idx="0">
                  <c:v>alto</c:v>
                </c:pt>
              </c:strCache>
            </c:strRef>
          </c:tx>
          <c:spPr>
            <a:ln w="28575" cap="rnd">
              <a:solidFill>
                <a:schemeClr val="accent3"/>
              </a:solidFill>
              <a:round/>
            </a:ln>
            <a:effectLst/>
          </c:spPr>
          <c:marker>
            <c:symbol val="none"/>
          </c:marker>
          <c:cat>
            <c:numRef>
              <c:f>Sensibilidad!$C$3:$M$3</c:f>
              <c:numCache>
                <c:formatCode>General</c:formatCode>
                <c:ptCount val="11"/>
                <c:pt idx="0">
                  <c:v>2017</c:v>
                </c:pt>
                <c:pt idx="1">
                  <c:v>2018</c:v>
                </c:pt>
                <c:pt idx="2">
                  <c:v>2019</c:v>
                </c:pt>
                <c:pt idx="3">
                  <c:v>2020</c:v>
                </c:pt>
                <c:pt idx="4">
                  <c:v>2021</c:v>
                </c:pt>
                <c:pt idx="5">
                  <c:v>2022</c:v>
                </c:pt>
                <c:pt idx="6">
                  <c:v>2023</c:v>
                </c:pt>
                <c:pt idx="7">
                  <c:v>2024</c:v>
                </c:pt>
                <c:pt idx="8">
                  <c:v>2025</c:v>
                </c:pt>
                <c:pt idx="9">
                  <c:v>2026</c:v>
                </c:pt>
                <c:pt idx="10">
                  <c:v>2027</c:v>
                </c:pt>
              </c:numCache>
            </c:numRef>
          </c:cat>
          <c:val>
            <c:numRef>
              <c:f>Sensibilidad!$C$6:$M$6</c:f>
              <c:numCache>
                <c:formatCode>0%</c:formatCode>
                <c:ptCount val="11"/>
                <c:pt idx="0">
                  <c:v>1</c:v>
                </c:pt>
                <c:pt idx="1">
                  <c:v>0.9</c:v>
                </c:pt>
                <c:pt idx="2">
                  <c:v>0.81</c:v>
                </c:pt>
                <c:pt idx="3">
                  <c:v>0.72899999999999998</c:v>
                </c:pt>
                <c:pt idx="4">
                  <c:v>0.65610000000000002</c:v>
                </c:pt>
                <c:pt idx="5">
                  <c:v>0.59048999999999996</c:v>
                </c:pt>
                <c:pt idx="6">
                  <c:v>0.53144100000000005</c:v>
                </c:pt>
                <c:pt idx="7">
                  <c:v>0.47829690000000002</c:v>
                </c:pt>
                <c:pt idx="8">
                  <c:v>0.43046720999999999</c:v>
                </c:pt>
                <c:pt idx="9">
                  <c:v>0.38742048899999998</c:v>
                </c:pt>
                <c:pt idx="10">
                  <c:v>0.34867844009999999</c:v>
                </c:pt>
              </c:numCache>
            </c:numRef>
          </c:val>
          <c:smooth val="0"/>
          <c:extLst>
            <c:ext xmlns:c16="http://schemas.microsoft.com/office/drawing/2014/chart" uri="{C3380CC4-5D6E-409C-BE32-E72D297353CC}">
              <c16:uniqueId val="{00000002-9497-4BE0-B5BA-45ACD7540D69}"/>
            </c:ext>
          </c:extLst>
        </c:ser>
        <c:dLbls>
          <c:showLegendKey val="0"/>
          <c:showVal val="0"/>
          <c:showCatName val="0"/>
          <c:showSerName val="0"/>
          <c:showPercent val="0"/>
          <c:showBubbleSize val="0"/>
        </c:dLbls>
        <c:smooth val="0"/>
        <c:axId val="2101426936"/>
        <c:axId val="2037155928"/>
      </c:lineChart>
      <c:catAx>
        <c:axId val="2101426936"/>
        <c:scaling>
          <c:orientation val="minMax"/>
        </c:scaling>
        <c:delete val="0"/>
        <c:axPos val="b"/>
        <c:numFmt formatCode="General" sourceLinked="1"/>
        <c:majorTickMark val="none"/>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2037155928"/>
        <c:crosses val="autoZero"/>
        <c:auto val="1"/>
        <c:lblAlgn val="ctr"/>
        <c:lblOffset val="100"/>
        <c:noMultiLvlLbl val="0"/>
      </c:catAx>
      <c:valAx>
        <c:axId val="203715592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2101426936"/>
        <c:crosses val="autoZero"/>
        <c:crossBetween val="between"/>
      </c:valAx>
      <c:spPr>
        <a:noFill/>
        <a:ln w="6350">
          <a:solidFill>
            <a:schemeClr val="tx1"/>
          </a:solidFill>
        </a:ln>
        <a:effectLst/>
      </c:spPr>
    </c:plotArea>
    <c:legend>
      <c:legendPos val="b"/>
      <c:layout>
        <c:manualLayout>
          <c:xMode val="edge"/>
          <c:yMode val="edge"/>
          <c:x val="0.23008005249343799"/>
          <c:y val="0.89409667541557303"/>
          <c:w val="0.57872856517935301"/>
          <c:h val="7.8125546806649196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000">
          <a:solidFill>
            <a:schemeClr val="tx1"/>
          </a:solidFill>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25C76007829AD48BB6A3A3057823CE2" ma:contentTypeVersion="554" ma:contentTypeDescription="The base project type from which other project content types inherit their information." ma:contentTypeScope="" ma:versionID="c72b12569aae31e9297f841647fb6581">
  <xsd:schema xmlns:xsd="http://www.w3.org/2001/XMLSchema" xmlns:xs="http://www.w3.org/2001/XMLSchema" xmlns:p="http://schemas.microsoft.com/office/2006/metadata/properties" xmlns:ns2="cdc7663a-08f0-4737-9e8c-148ce897a09c" targetNamespace="http://schemas.microsoft.com/office/2006/metadata/properties" ma:root="true" ma:fieldsID="bc4a429398925c5f870ebbe41369e7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82CF2F9C70A14B8F165F1BADF9BF13" ma:contentTypeVersion="2116" ma:contentTypeDescription="A content type to manage public (operations) IDB documents" ma:contentTypeScope="" ma:versionID="3f63d1d46ca2434396fd9e4b36f08031">
  <xsd:schema xmlns:xsd="http://www.w3.org/2001/XMLSchema" xmlns:xs="http://www.w3.org/2001/XMLSchema" xmlns:p="http://schemas.microsoft.com/office/2006/metadata/properties" xmlns:ns2="cdc7663a-08f0-4737-9e8c-148ce897a09c" targetNamespace="http://schemas.microsoft.com/office/2006/metadata/properties" ma:root="true" ma:fieldsID="ee52ff3e3faabb71d9e778ea34c66a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R0002359557</Record_x0020_Number>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Rucci, Graciana</Document_x0020_Author>
    <_dlc_DocId xmlns="cdc7663a-08f0-4737-9e8c-148ce897a09c">EZSHARE-1565212777-9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TaxCatchAll xmlns="cdc7663a-08f0-4737-9e8c-148ce897a09c">
      <Value>32</Value>
      <Value>31</Value>
      <Value>25</Value>
      <Value>1</Value>
      <Value>28</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CH-L1064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2793/OC-CH;</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Document_x0020_Language_x0020_IDB xmlns="cdc7663a-08f0-4737-9e8c-148ce897a09c">Spanish</Document_x0020_Language_x0020_IDB>
    <_dlc_DocIdUrl xmlns="cdc7663a-08f0-4737-9e8c-148ce897a09c">
      <Url>https://idbg.sharepoint.com/teams/EZ-CH-LON/CH-L1064/_layouts/15/DocIdRedir.aspx?ID=EZSHARE-1565212777-9</Url>
      <Description>EZSHARE-1565212777-9</Description>
    </_dlc_DocIdUrl>
    <Phase xmlns="cdc7663a-08f0-4737-9e8c-148ce897a09c" xsi:nil="true"/>
    <Other_x0020_Author xmlns="cdc7663a-08f0-4737-9e8c-148ce897a09c" xsi:nil="true"/>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787F4B9-6106-4BEE-9F5B-912C9F0DBA64}">
  <ds:schemaRefs>
    <ds:schemaRef ds:uri="http://schemas.openxmlformats.org/officeDocument/2006/bibliography"/>
  </ds:schemaRefs>
</ds:datastoreItem>
</file>

<file path=customXml/itemProps2.xml><?xml version="1.0" encoding="utf-8"?>
<ds:datastoreItem xmlns:ds="http://schemas.openxmlformats.org/officeDocument/2006/customXml" ds:itemID="{14D67C6E-1EE9-49F5-802C-31E7938A88B6}"/>
</file>

<file path=customXml/itemProps3.xml><?xml version="1.0" encoding="utf-8"?>
<ds:datastoreItem xmlns:ds="http://schemas.openxmlformats.org/officeDocument/2006/customXml" ds:itemID="{125C4B16-9BF4-482E-B7F9-A97DB672476A}"/>
</file>

<file path=customXml/itemProps4.xml><?xml version="1.0" encoding="utf-8"?>
<ds:datastoreItem xmlns:ds="http://schemas.openxmlformats.org/officeDocument/2006/customXml" ds:itemID="{E59B1D2E-7872-4C47-8030-15BB6AB6A22A}"/>
</file>

<file path=customXml/itemProps5.xml><?xml version="1.0" encoding="utf-8"?>
<ds:datastoreItem xmlns:ds="http://schemas.openxmlformats.org/officeDocument/2006/customXml" ds:itemID="{3432E7DC-DCA6-4F00-AF2B-6819C0BF85ED}"/>
</file>

<file path=customXml/itemProps6.xml><?xml version="1.0" encoding="utf-8"?>
<ds:datastoreItem xmlns:ds="http://schemas.openxmlformats.org/officeDocument/2006/customXml" ds:itemID="{13696C18-6434-424E-8DB9-1C43CA427BBB}"/>
</file>

<file path=customXml/itemProps7.xml><?xml version="1.0" encoding="utf-8"?>
<ds:datastoreItem xmlns:ds="http://schemas.openxmlformats.org/officeDocument/2006/customXml" ds:itemID="{E650F07B-E2E2-40C7-A62E-5AD411B8B136}"/>
</file>

<file path=customXml/itemProps8.xml><?xml version="1.0" encoding="utf-8"?>
<ds:datastoreItem xmlns:ds="http://schemas.openxmlformats.org/officeDocument/2006/customXml" ds:itemID="{41DDD10F-4BCF-4E13-AC76-C0A835BD1262}"/>
</file>

<file path=customXml/itemProps9.xml><?xml version="1.0" encoding="utf-8"?>
<ds:datastoreItem xmlns:ds="http://schemas.openxmlformats.org/officeDocument/2006/customXml" ds:itemID="{A3434DB9-3299-4EF3-B0CF-DFDCE0D05780}"/>
</file>

<file path=docProps/app.xml><?xml version="1.0" encoding="utf-8"?>
<Properties xmlns="http://schemas.openxmlformats.org/officeDocument/2006/extended-properties" xmlns:vt="http://schemas.openxmlformats.org/officeDocument/2006/docPropsVTypes">
  <Template>Normal.dotm</Template>
  <TotalTime>1</TotalTime>
  <Pages>9</Pages>
  <Words>2097</Words>
  <Characters>12650</Characters>
  <Application>Microsoft Office Word</Application>
  <DocSecurity>0</DocSecurity>
  <Lines>301</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Jose Obach Granifo</dc:creator>
  <cp:keywords/>
  <dc:description/>
  <cp:lastModifiedBy>Muhlstein, Ethel Rosa</cp:lastModifiedBy>
  <cp:revision>3</cp:revision>
  <dcterms:created xsi:type="dcterms:W3CDTF">2018-07-10T14:46:00Z</dcterms:created>
  <dcterms:modified xsi:type="dcterms:W3CDTF">2018-07-10T14:47:00Z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32;#LABOR INTERMEDIATION SYSTEMS|72d0edb0-5336-43b6-bb2f-05b457738b24</vt:lpwstr>
  </property>
  <property fmtid="{D5CDD505-2E9C-101B-9397-08002B2CF9AE}" pid="7" name="Country">
    <vt:lpwstr>25;#Chile|0646c65c-e431-42e3-a932-0671c6b608b9</vt:lpwstr>
  </property>
  <property fmtid="{D5CDD505-2E9C-101B-9397-08002B2CF9AE}" pid="8" name="Fund IDB">
    <vt:lpwstr>28;#ORC|c028a4b2-ad8b-4cf4-9cac-a2ae6a778e23</vt:lpwstr>
  </property>
  <property fmtid="{D5CDD505-2E9C-101B-9397-08002B2CF9AE}" pid="9" name="_dlc_DocIdItemGuid">
    <vt:lpwstr>ce186fbb-b08f-456e-8712-bbb0cb8bb75f</vt:lpwstr>
  </property>
  <property fmtid="{D5CDD505-2E9C-101B-9397-08002B2CF9AE}" pid="10" name="Sector IDB">
    <vt:lpwstr>31;#SOCIAL INVESTMENT|3f908695-d5b5-49f6-941f-76876b39564f</vt:lpwstr>
  </property>
  <property fmtid="{D5CDD505-2E9C-101B-9397-08002B2CF9AE}" pid="11" name="Function Operations IDB">
    <vt:lpwstr>1;#Monitoring and Reporting|df3c2aa1-d63e-41aa-b1f5-bb15dee691ca</vt:lpwstr>
  </property>
  <property fmtid="{D5CDD505-2E9C-101B-9397-08002B2CF9AE}" pid="12" name="ContentTypeId">
    <vt:lpwstr>0x0101001A458A224826124E8B45B1D613300CFC006782CF2F9C70A14B8F165F1BADF9BF13</vt:lpwstr>
  </property>
</Properties>
</file>