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F974D" w14:textId="77777777" w:rsidR="00AA41B7" w:rsidRPr="00B622C8" w:rsidRDefault="003744A2" w:rsidP="00661E4C">
      <w:pPr>
        <w:jc w:val="center"/>
        <w:rPr>
          <w:rFonts w:ascii="Arial" w:hAnsi="Arial" w:cs="Arial"/>
          <w:b/>
          <w:lang w:val="es-ES_tradnl"/>
        </w:rPr>
      </w:pPr>
      <w:r w:rsidRPr="00B622C8">
        <w:rPr>
          <w:rFonts w:ascii="Arial" w:hAnsi="Arial" w:cs="Arial"/>
          <w:b/>
          <w:lang w:val="es-ES_tradnl"/>
        </w:rPr>
        <w:t>ANEXO</w:t>
      </w:r>
    </w:p>
    <w:p w14:paraId="5D7C47CD" w14:textId="1954B6D3" w:rsidR="00661E4C" w:rsidRPr="00B622C8" w:rsidRDefault="00661E4C" w:rsidP="00661E4C">
      <w:pPr>
        <w:jc w:val="center"/>
        <w:rPr>
          <w:rFonts w:ascii="Arial" w:hAnsi="Arial" w:cs="Arial"/>
          <w:b/>
          <w:lang w:val="es-ES_tradnl"/>
        </w:rPr>
      </w:pPr>
      <w:r w:rsidRPr="00B622C8">
        <w:rPr>
          <w:rFonts w:ascii="Arial" w:hAnsi="Arial" w:cs="Arial"/>
          <w:b/>
          <w:lang w:val="es-ES_tradnl"/>
        </w:rPr>
        <w:t xml:space="preserve">Contabilidad del crecimiento </w:t>
      </w:r>
    </w:p>
    <w:p w14:paraId="4BE28DFF" w14:textId="5C7428BB" w:rsidR="00AE7850" w:rsidRPr="00B622C8" w:rsidRDefault="00661E4C" w:rsidP="00797767">
      <w:pPr>
        <w:spacing w:line="240" w:lineRule="auto"/>
        <w:jc w:val="both"/>
        <w:rPr>
          <w:rFonts w:ascii="Arial" w:hAnsi="Arial" w:cs="Arial"/>
          <w:lang w:val="es-ES_tradnl"/>
        </w:rPr>
      </w:pPr>
      <w:r w:rsidRPr="00B622C8">
        <w:rPr>
          <w:rFonts w:ascii="Arial" w:hAnsi="Arial" w:cs="Arial"/>
          <w:lang w:val="es-ES_tradnl"/>
        </w:rPr>
        <w:t xml:space="preserve">En el presente anexo se realiza un ejercicio de contabilidad del crecimiento </w:t>
      </w:r>
      <w:r w:rsidR="00224C26" w:rsidRPr="00B622C8">
        <w:rPr>
          <w:rFonts w:ascii="Arial" w:hAnsi="Arial" w:cs="Arial"/>
          <w:lang w:val="es-ES_tradnl"/>
        </w:rPr>
        <w:t>económico</w:t>
      </w:r>
      <w:r w:rsidRPr="00B622C8">
        <w:rPr>
          <w:rFonts w:ascii="Arial" w:hAnsi="Arial" w:cs="Arial"/>
          <w:lang w:val="es-ES_tradnl"/>
        </w:rPr>
        <w:t xml:space="preserve"> de Uruguay</w:t>
      </w:r>
      <w:r w:rsidR="00C277F0" w:rsidRPr="00B622C8">
        <w:rPr>
          <w:rFonts w:ascii="Arial" w:hAnsi="Arial" w:cs="Arial"/>
          <w:lang w:val="es-ES_tradnl"/>
        </w:rPr>
        <w:t xml:space="preserve"> </w:t>
      </w:r>
      <w:r w:rsidR="0090620A" w:rsidRPr="00B622C8">
        <w:rPr>
          <w:rFonts w:ascii="Arial" w:hAnsi="Arial" w:cs="Arial"/>
          <w:lang w:val="es-ES_tradnl"/>
        </w:rPr>
        <w:t>en</w:t>
      </w:r>
      <w:r w:rsidR="00C277F0" w:rsidRPr="00B622C8">
        <w:rPr>
          <w:rFonts w:ascii="Arial" w:hAnsi="Arial" w:cs="Arial"/>
          <w:lang w:val="es-ES_tradnl"/>
        </w:rPr>
        <w:t xml:space="preserve"> el período 1960-2018. Este ejercicio permite</w:t>
      </w:r>
      <w:r w:rsidRPr="00B622C8">
        <w:rPr>
          <w:rFonts w:ascii="Arial" w:hAnsi="Arial" w:cs="Arial"/>
          <w:lang w:val="es-US"/>
        </w:rPr>
        <w:t xml:space="preserve"> cuantificar la contribución de cada uno de los factores p</w:t>
      </w:r>
      <w:r w:rsidR="001F62A5" w:rsidRPr="00B622C8">
        <w:rPr>
          <w:rFonts w:ascii="Arial" w:hAnsi="Arial" w:cs="Arial"/>
          <w:lang w:val="es-US"/>
        </w:rPr>
        <w:t>roductivos</w:t>
      </w:r>
      <w:r w:rsidRPr="00B622C8">
        <w:rPr>
          <w:rFonts w:ascii="Arial" w:hAnsi="Arial" w:cs="Arial"/>
          <w:lang w:val="es-US"/>
        </w:rPr>
        <w:t xml:space="preserve"> al crecimiento económico agregado, es decir del stock de capital físico, el capital humano y la productividad total de factores (PTF).</w:t>
      </w:r>
      <w:r w:rsidR="00797767" w:rsidRPr="00B622C8">
        <w:rPr>
          <w:rFonts w:ascii="Arial" w:hAnsi="Arial" w:cs="Arial"/>
          <w:lang w:val="es-US"/>
        </w:rPr>
        <w:t xml:space="preserve"> </w:t>
      </w:r>
      <w:r w:rsidR="00AE7850" w:rsidRPr="00B622C8">
        <w:rPr>
          <w:rFonts w:ascii="Arial" w:hAnsi="Arial" w:cs="Arial"/>
          <w:lang w:val="es-US"/>
        </w:rPr>
        <w:t>La PTF</w:t>
      </w:r>
      <w:r w:rsidR="00FC2A9C" w:rsidRPr="00B622C8">
        <w:rPr>
          <w:rFonts w:ascii="Arial" w:hAnsi="Arial" w:cs="Arial"/>
          <w:lang w:val="es-US"/>
        </w:rPr>
        <w:t xml:space="preserve"> refleja la eficiencia con la cual el trabajo y el capital son utilizados, la cual se ve afectada por varios factores, entre ellos, la innovación, el cambio tecnológico, las políticas de gestión, el cambio organizacional y más generalmente mejores maneras de producir bienes y servicios</w:t>
      </w:r>
      <w:r w:rsidR="001F62A5" w:rsidRPr="00B622C8">
        <w:rPr>
          <w:rFonts w:ascii="Arial" w:hAnsi="Arial" w:cs="Arial"/>
          <w:lang w:val="es-US"/>
        </w:rPr>
        <w:t>.</w:t>
      </w:r>
      <w:r w:rsidR="00FC2A9C" w:rsidRPr="00B622C8">
        <w:rPr>
          <w:rStyle w:val="FootnoteReference"/>
          <w:rFonts w:ascii="Arial" w:hAnsi="Arial" w:cs="Arial"/>
          <w:lang w:val="es-US"/>
        </w:rPr>
        <w:footnoteReference w:id="1"/>
      </w:r>
      <w:r w:rsidR="0052191E" w:rsidRPr="00B622C8">
        <w:rPr>
          <w:rFonts w:ascii="Arial" w:hAnsi="Arial" w:cs="Arial"/>
          <w:lang w:val="es-US"/>
        </w:rPr>
        <w:t xml:space="preserve"> </w:t>
      </w:r>
      <w:r w:rsidR="0052191E" w:rsidRPr="00B622C8">
        <w:rPr>
          <w:rFonts w:ascii="Arial" w:hAnsi="Arial" w:cs="Arial"/>
          <w:lang w:val="es-ES_tradnl"/>
        </w:rPr>
        <w:t>La teoría económica y la evidencia empírica señalan que un país no puede crecer sostenidamente en el largo plazo sin alcanzar mejoras sustantivas de su productividad</w:t>
      </w:r>
      <w:r w:rsidR="001F62A5" w:rsidRPr="00B622C8">
        <w:rPr>
          <w:rFonts w:ascii="Arial" w:hAnsi="Arial" w:cs="Arial"/>
          <w:lang w:val="es-ES_tradnl"/>
        </w:rPr>
        <w:t>.</w:t>
      </w:r>
      <w:r w:rsidR="0052191E" w:rsidRPr="00B622C8">
        <w:rPr>
          <w:rStyle w:val="FootnoteReference"/>
          <w:rFonts w:ascii="Arial" w:hAnsi="Arial" w:cs="Arial"/>
          <w:lang w:val="es-ES_tradnl"/>
        </w:rPr>
        <w:footnoteReference w:id="2"/>
      </w:r>
      <w:r w:rsidR="0052191E" w:rsidRPr="00B622C8">
        <w:rPr>
          <w:rFonts w:ascii="Arial" w:hAnsi="Arial" w:cs="Arial"/>
          <w:lang w:val="es-ES_tradnl"/>
        </w:rPr>
        <w:t xml:space="preserve"> </w:t>
      </w:r>
    </w:p>
    <w:p w14:paraId="18D23858" w14:textId="6ED42438" w:rsidR="00CF74C4" w:rsidRPr="00B622C8" w:rsidRDefault="00CF74C4" w:rsidP="00CF74C4">
      <w:pPr>
        <w:spacing w:line="240" w:lineRule="auto"/>
        <w:jc w:val="both"/>
        <w:rPr>
          <w:rFonts w:ascii="Arial" w:hAnsi="Arial" w:cs="Arial"/>
          <w:lang w:val="es-ES_tradnl"/>
        </w:rPr>
      </w:pPr>
      <w:r w:rsidRPr="00B622C8">
        <w:rPr>
          <w:rFonts w:ascii="Arial" w:hAnsi="Arial" w:cs="Arial"/>
          <w:lang w:val="es-ES_tradnl"/>
        </w:rPr>
        <w:t>Para ello</w:t>
      </w:r>
      <w:r w:rsidR="000A6932">
        <w:rPr>
          <w:rFonts w:ascii="Arial" w:hAnsi="Arial" w:cs="Arial"/>
          <w:lang w:val="es-ES_tradnl"/>
        </w:rPr>
        <w:t>,</w:t>
      </w:r>
      <w:r w:rsidRPr="00B622C8">
        <w:rPr>
          <w:rFonts w:ascii="Arial" w:hAnsi="Arial" w:cs="Arial"/>
          <w:lang w:val="es-ES_tradnl"/>
        </w:rPr>
        <w:t xml:space="preserve"> se parte de una función de producción neoclásica:</w:t>
      </w:r>
    </w:p>
    <w:p w14:paraId="53C83D18" w14:textId="77777777" w:rsidR="00CF74C4" w:rsidRPr="00B622C8" w:rsidRDefault="00CF74C4" w:rsidP="00CF74C4">
      <w:pPr>
        <w:spacing w:line="240" w:lineRule="auto"/>
        <w:jc w:val="center"/>
        <w:rPr>
          <w:rFonts w:ascii="Arial" w:hAnsi="Arial" w:cs="Arial"/>
          <w:lang w:val="es-ES_tradnl"/>
        </w:rPr>
      </w:pPr>
      <m:oMath>
        <m:r>
          <w:rPr>
            <w:rFonts w:ascii="Cambria Math" w:hAnsi="Cambria Math" w:cs="Arial"/>
          </w:rPr>
          <m:t>Y</m:t>
        </m:r>
        <m:r>
          <w:rPr>
            <w:rFonts w:ascii="Cambria Math" w:hAnsi="Cambria Math" w:cs="Arial"/>
            <w:lang w:val="es-ES_tradnl"/>
          </w:rPr>
          <m:t>=</m:t>
        </m:r>
        <m:r>
          <w:rPr>
            <w:rFonts w:ascii="Cambria Math" w:hAnsi="Cambria Math" w:cs="Arial"/>
          </w:rPr>
          <m:t>A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K</m:t>
            </m:r>
          </m:e>
          <m:sup>
            <m:r>
              <w:rPr>
                <w:rFonts w:ascii="Cambria Math" w:hAnsi="Cambria Math" w:cs="Arial"/>
                <w:lang w:val="es-ES_tradnl"/>
              </w:rPr>
              <m:t>∝</m:t>
            </m:r>
          </m:sup>
        </m:sSup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H</m:t>
            </m:r>
          </m:e>
          <m:sup>
            <m:r>
              <w:rPr>
                <w:rFonts w:ascii="Cambria Math" w:hAnsi="Cambria Math" w:cs="Arial"/>
                <w:lang w:val="es-ES_tradnl"/>
              </w:rPr>
              <m:t>1-∝</m:t>
            </m:r>
          </m:sup>
        </m:sSup>
        <m:r>
          <w:rPr>
            <w:rFonts w:ascii="Cambria Math" w:hAnsi="Cambria Math" w:cs="Arial"/>
            <w:lang w:val="es-ES_tradnl"/>
          </w:rPr>
          <m:t>=</m:t>
        </m:r>
        <m:r>
          <w:rPr>
            <w:rFonts w:ascii="Cambria Math" w:hAnsi="Cambria Math" w:cs="Arial"/>
          </w:rPr>
          <m:t>A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K</m:t>
            </m:r>
          </m:e>
          <m:sup>
            <m:r>
              <w:rPr>
                <w:rFonts w:ascii="Cambria Math" w:hAnsi="Cambria Math" w:cs="Arial"/>
                <w:lang w:val="es-ES_tradnl"/>
              </w:rPr>
              <m:t>∝</m:t>
            </m:r>
          </m:sup>
        </m:sSup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  <w:lang w:val="es-ES_tradnl"/>
              </w:rPr>
              <m:t>(h</m:t>
            </m:r>
            <m:r>
              <w:rPr>
                <w:rFonts w:ascii="Cambria Math" w:hAnsi="Cambria Math" w:cs="Arial"/>
              </w:rPr>
              <m:t>L</m:t>
            </m:r>
            <m:r>
              <w:rPr>
                <w:rFonts w:ascii="Cambria Math" w:hAnsi="Cambria Math" w:cs="Arial"/>
                <w:lang w:val="es-ES_tradnl"/>
              </w:rPr>
              <m:t>)</m:t>
            </m:r>
          </m:e>
          <m:sup>
            <m:r>
              <w:rPr>
                <w:rFonts w:ascii="Cambria Math" w:hAnsi="Cambria Math" w:cs="Arial"/>
                <w:lang w:val="es-ES_tradnl"/>
              </w:rPr>
              <m:t>1-∝</m:t>
            </m:r>
          </m:sup>
        </m:sSup>
      </m:oMath>
      <w:r w:rsidRPr="00B622C8">
        <w:rPr>
          <w:rFonts w:ascii="Arial" w:hAnsi="Arial" w:cs="Arial"/>
          <w:lang w:val="es-ES_tradnl"/>
        </w:rPr>
        <w:t xml:space="preserve"> </w:t>
      </w:r>
      <w:r w:rsidRPr="00B622C8">
        <w:rPr>
          <w:rFonts w:ascii="Arial" w:hAnsi="Arial" w:cs="Arial"/>
          <w:lang w:val="es-ES_tradnl"/>
        </w:rPr>
        <w:tab/>
      </w:r>
      <w:r w:rsidRPr="00B622C8">
        <w:rPr>
          <w:rFonts w:ascii="Arial" w:hAnsi="Arial" w:cs="Arial"/>
          <w:lang w:val="es-ES_tradnl"/>
        </w:rPr>
        <w:tab/>
        <w:t>(1)</w:t>
      </w:r>
    </w:p>
    <w:p w14:paraId="43DC933E" w14:textId="50F84014" w:rsidR="004D4815" w:rsidRPr="00B622C8" w:rsidRDefault="00CF74C4" w:rsidP="0012613D">
      <w:pPr>
        <w:spacing w:line="240" w:lineRule="auto"/>
        <w:jc w:val="both"/>
        <w:rPr>
          <w:rFonts w:ascii="Arial" w:hAnsi="Arial" w:cs="Arial"/>
          <w:lang w:val="es-ES_tradnl"/>
        </w:rPr>
      </w:pPr>
      <w:r w:rsidRPr="00B622C8">
        <w:rPr>
          <w:rFonts w:ascii="Arial" w:hAnsi="Arial" w:cs="Arial"/>
          <w:lang w:val="es-ES_tradnl"/>
        </w:rPr>
        <w:t>donde el producto (</w:t>
      </w:r>
      <w:r w:rsidRPr="00B622C8">
        <w:rPr>
          <w:rFonts w:ascii="Arial" w:hAnsi="Arial" w:cs="Arial"/>
          <w:i/>
          <w:lang w:val="es-ES_tradnl"/>
        </w:rPr>
        <w:t>Y</w:t>
      </w:r>
      <w:r w:rsidRPr="00B622C8">
        <w:rPr>
          <w:rFonts w:ascii="Arial" w:hAnsi="Arial" w:cs="Arial"/>
          <w:lang w:val="es-ES_tradnl"/>
        </w:rPr>
        <w:t>) depende del capital físico (</w:t>
      </w:r>
      <w:r w:rsidRPr="00B622C8">
        <w:rPr>
          <w:rFonts w:ascii="Arial" w:hAnsi="Arial" w:cs="Arial"/>
          <w:i/>
          <w:lang w:val="es-ES_tradnl"/>
        </w:rPr>
        <w:t>K</w:t>
      </w:r>
      <w:r w:rsidRPr="00B622C8">
        <w:rPr>
          <w:rFonts w:ascii="Arial" w:hAnsi="Arial" w:cs="Arial"/>
          <w:lang w:val="es-ES_tradnl"/>
        </w:rPr>
        <w:t>), el capital humano (</w:t>
      </w:r>
      <w:r w:rsidRPr="00B622C8">
        <w:rPr>
          <w:rFonts w:ascii="Arial" w:hAnsi="Arial" w:cs="Arial"/>
          <w:i/>
          <w:lang w:val="es-ES_tradnl"/>
        </w:rPr>
        <w:t>H</w:t>
      </w:r>
      <w:r w:rsidRPr="00B622C8">
        <w:rPr>
          <w:rFonts w:ascii="Arial" w:hAnsi="Arial" w:cs="Arial"/>
          <w:lang w:val="es-ES_tradnl"/>
        </w:rPr>
        <w:t>) y la PTF (</w:t>
      </w:r>
      <w:r w:rsidRPr="00B622C8">
        <w:rPr>
          <w:rFonts w:ascii="Arial" w:hAnsi="Arial" w:cs="Arial"/>
          <w:i/>
          <w:lang w:val="es-ES_tradnl"/>
        </w:rPr>
        <w:t>A</w:t>
      </w:r>
      <w:r w:rsidRPr="00B622C8">
        <w:rPr>
          <w:rFonts w:ascii="Arial" w:hAnsi="Arial" w:cs="Arial"/>
          <w:lang w:val="es-ES_tradnl"/>
        </w:rPr>
        <w:t>)</w:t>
      </w:r>
      <w:r w:rsidR="0090620A" w:rsidRPr="00B622C8">
        <w:rPr>
          <w:rFonts w:ascii="Arial" w:hAnsi="Arial" w:cs="Arial"/>
          <w:lang w:val="es-ES_tradnl"/>
        </w:rPr>
        <w:t>, en tanto</w:t>
      </w:r>
      <w:r w:rsidR="0012613D" w:rsidRPr="00B622C8">
        <w:rPr>
          <w:rFonts w:ascii="Arial" w:hAnsi="Arial" w:cs="Arial"/>
          <w:lang w:val="es-ES_tradnl"/>
        </w:rPr>
        <w:t xml:space="preserve"> </w:t>
      </w:r>
      <w:r w:rsidR="0012613D" w:rsidRPr="00B622C8">
        <w:rPr>
          <w:rFonts w:ascii="Arial" w:hAnsi="Arial" w:cs="Arial"/>
        </w:rPr>
        <w:t>α</w:t>
      </w:r>
      <w:r w:rsidR="0012613D" w:rsidRPr="00B622C8">
        <w:rPr>
          <w:rFonts w:ascii="Arial" w:hAnsi="Arial" w:cs="Arial"/>
          <w:lang w:val="es-ES_tradnl"/>
        </w:rPr>
        <w:t xml:space="preserve"> es la elasticidad ingreso del capital físico</w:t>
      </w:r>
      <w:r w:rsidR="004806DE" w:rsidRPr="00B622C8">
        <w:rPr>
          <w:rFonts w:ascii="Arial" w:hAnsi="Arial" w:cs="Arial"/>
          <w:lang w:val="es-ES_tradnl"/>
        </w:rPr>
        <w:t xml:space="preserve">. </w:t>
      </w:r>
      <w:r w:rsidRPr="00B622C8">
        <w:rPr>
          <w:rFonts w:ascii="Arial" w:hAnsi="Arial" w:cs="Arial"/>
          <w:lang w:val="es-ES_tradnl"/>
        </w:rPr>
        <w:t>El capital humano es el producto de la fuerza de trabajo (</w:t>
      </w:r>
      <w:r w:rsidRPr="00B622C8">
        <w:rPr>
          <w:rFonts w:ascii="Arial" w:hAnsi="Arial" w:cs="Arial"/>
          <w:i/>
          <w:lang w:val="es-ES_tradnl"/>
        </w:rPr>
        <w:t>L</w:t>
      </w:r>
      <w:r w:rsidRPr="00B622C8">
        <w:rPr>
          <w:rFonts w:ascii="Arial" w:hAnsi="Arial" w:cs="Arial"/>
          <w:lang w:val="es-ES_tradnl"/>
        </w:rPr>
        <w:t>) y el nivel de preparación o educación promedio (</w:t>
      </w:r>
      <w:r w:rsidRPr="00B622C8">
        <w:rPr>
          <w:rFonts w:ascii="Arial" w:hAnsi="Arial" w:cs="Arial"/>
          <w:i/>
          <w:lang w:val="es-ES_tradnl"/>
        </w:rPr>
        <w:t>h</w:t>
      </w:r>
      <w:r w:rsidRPr="00B622C8">
        <w:rPr>
          <w:rFonts w:ascii="Arial" w:hAnsi="Arial" w:cs="Arial"/>
          <w:lang w:val="es-ES_tradnl"/>
        </w:rPr>
        <w:t>)</w:t>
      </w:r>
      <w:r w:rsidR="008C222F" w:rsidRPr="00B622C8">
        <w:rPr>
          <w:rStyle w:val="FootnoteReference"/>
          <w:rFonts w:ascii="Arial" w:hAnsi="Arial" w:cs="Arial"/>
          <w:lang w:val="es-ES_tradnl"/>
        </w:rPr>
        <w:footnoteReference w:id="3"/>
      </w:r>
      <w:r w:rsidR="002E2C0F" w:rsidRPr="00B622C8">
        <w:rPr>
          <w:rFonts w:ascii="Arial" w:hAnsi="Arial" w:cs="Arial"/>
          <w:lang w:val="es-ES_tradnl"/>
        </w:rPr>
        <w:t xml:space="preserve">. </w:t>
      </w:r>
      <w:r w:rsidR="0090620A" w:rsidRPr="00B622C8">
        <w:rPr>
          <w:rFonts w:ascii="Arial" w:hAnsi="Arial" w:cs="Arial"/>
          <w:lang w:val="es-ES_tradnl"/>
        </w:rPr>
        <w:t>C</w:t>
      </w:r>
      <w:r w:rsidR="002E2C0F" w:rsidRPr="00B622C8">
        <w:rPr>
          <w:rFonts w:ascii="Arial" w:hAnsi="Arial" w:cs="Arial"/>
          <w:lang w:val="es-ES_tradnl"/>
        </w:rPr>
        <w:t>omo alternativa al capital físico</w:t>
      </w:r>
      <w:r w:rsidR="0090620A" w:rsidRPr="00B622C8">
        <w:rPr>
          <w:rFonts w:ascii="Arial" w:hAnsi="Arial" w:cs="Arial"/>
          <w:lang w:val="es-ES_tradnl"/>
        </w:rPr>
        <w:t xml:space="preserve"> se utiliza</w:t>
      </w:r>
      <w:r w:rsidR="002E2C0F" w:rsidRPr="00B622C8">
        <w:rPr>
          <w:rFonts w:ascii="Arial" w:hAnsi="Arial" w:cs="Arial"/>
          <w:lang w:val="es-ES_tradnl"/>
        </w:rPr>
        <w:t xml:space="preserve"> una medida de consumo de energía eléctrica no residencial</w:t>
      </w:r>
      <w:r w:rsidR="0018414A" w:rsidRPr="00B622C8">
        <w:rPr>
          <w:rFonts w:ascii="Arial" w:hAnsi="Arial" w:cs="Arial"/>
          <w:lang w:val="es-ES_tradnl"/>
        </w:rPr>
        <w:t>,</w:t>
      </w:r>
      <w:r w:rsidR="002E2C0F" w:rsidRPr="00B622C8">
        <w:rPr>
          <w:rFonts w:ascii="Arial" w:hAnsi="Arial" w:cs="Arial"/>
          <w:lang w:val="es-ES_tradnl"/>
        </w:rPr>
        <w:t xml:space="preserve"> ya que se considera que esta constituye una señal de la evolución del capital </w:t>
      </w:r>
      <w:r w:rsidR="001F62A5" w:rsidRPr="00B622C8">
        <w:rPr>
          <w:rFonts w:ascii="Arial" w:hAnsi="Arial" w:cs="Arial"/>
          <w:lang w:val="es-ES_tradnl"/>
        </w:rPr>
        <w:t>físico, depurada</w:t>
      </w:r>
      <w:r w:rsidR="002E2C0F" w:rsidRPr="00B622C8">
        <w:rPr>
          <w:rFonts w:ascii="Arial" w:hAnsi="Arial" w:cs="Arial"/>
          <w:lang w:val="es-ES_tradnl"/>
        </w:rPr>
        <w:t xml:space="preserve"> por el nivel de utilización del capital</w:t>
      </w:r>
      <w:r w:rsidR="0012613D" w:rsidRPr="00B622C8">
        <w:rPr>
          <w:rFonts w:ascii="Arial" w:hAnsi="Arial" w:cs="Arial"/>
          <w:lang w:val="es-ES_tradnl"/>
        </w:rPr>
        <w:t>.</w:t>
      </w:r>
      <w:r w:rsidRPr="00B622C8">
        <w:rPr>
          <w:rFonts w:ascii="Arial" w:hAnsi="Arial" w:cs="Arial"/>
          <w:lang w:val="es-ES_tradnl"/>
        </w:rPr>
        <w:t xml:space="preserve"> </w:t>
      </w:r>
      <w:r w:rsidR="008C222F" w:rsidRPr="00B622C8">
        <w:rPr>
          <w:rFonts w:ascii="Arial" w:eastAsiaTheme="minorEastAsia" w:hAnsi="Arial" w:cs="Arial"/>
          <w:lang w:val="es-US"/>
        </w:rPr>
        <w:t xml:space="preserve">El valor de </w:t>
      </w:r>
      <m:oMath>
        <m:r>
          <w:rPr>
            <w:rFonts w:ascii="Cambria Math" w:eastAsiaTheme="minorEastAsia" w:hAnsi="Cambria Math" w:cs="Arial"/>
            <w:lang w:val="es-US"/>
          </w:rPr>
          <m:t>α</m:t>
        </m:r>
      </m:oMath>
      <w:r w:rsidR="008C222F" w:rsidRPr="00B622C8">
        <w:rPr>
          <w:rFonts w:ascii="Arial" w:eastAsiaTheme="minorEastAsia" w:hAnsi="Arial" w:cs="Arial"/>
          <w:lang w:val="es-US"/>
        </w:rPr>
        <w:t xml:space="preserve"> fue establecido en 1/3, en línea con lo utilizado por la literatura en el tema. </w:t>
      </w:r>
      <w:r w:rsidR="008C222F" w:rsidRPr="00B622C8">
        <w:rPr>
          <w:rFonts w:ascii="Arial" w:hAnsi="Arial" w:cs="Arial"/>
          <w:szCs w:val="18"/>
          <w:lang w:val="es-ES_tradnl"/>
        </w:rPr>
        <w:t>Los datos se filtraron con un filtro HP y λ=7 para reducir la incidencia del ciclo económico.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4104"/>
        <w:gridCol w:w="270"/>
      </w:tblGrid>
      <w:tr w:rsidR="003645A1" w:rsidRPr="00B622C8" w14:paraId="3F02A15D" w14:textId="77777777" w:rsidTr="001F62A5">
        <w:trPr>
          <w:jc w:val="center"/>
        </w:trPr>
        <w:tc>
          <w:tcPr>
            <w:tcW w:w="250" w:type="dxa"/>
          </w:tcPr>
          <w:p w14:paraId="5FBFE920" w14:textId="77777777" w:rsidR="003645A1" w:rsidRPr="00B622C8" w:rsidRDefault="003645A1" w:rsidP="009217C2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  <w:highlight w:val="yellow"/>
                <w:lang w:val="es-ES_tradnl"/>
              </w:rPr>
            </w:pPr>
          </w:p>
        </w:tc>
        <w:tc>
          <w:tcPr>
            <w:tcW w:w="4104" w:type="dxa"/>
            <w:tcBorders>
              <w:top w:val="single" w:sz="8" w:space="0" w:color="BFBFBF" w:themeColor="background1" w:themeShade="BF"/>
            </w:tcBorders>
            <w:shd w:val="clear" w:color="auto" w:fill="auto"/>
          </w:tcPr>
          <w:p w14:paraId="46A71A90" w14:textId="77777777" w:rsidR="00276ACF" w:rsidRPr="00B622C8" w:rsidRDefault="003645A1" w:rsidP="003645A1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</w:pPr>
            <w:r w:rsidRPr="00B622C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  <w:t xml:space="preserve">Gráfico </w:t>
            </w:r>
            <w:r w:rsidR="00A32C6C" w:rsidRPr="00B622C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  <w:t xml:space="preserve">1 </w:t>
            </w:r>
            <w:r w:rsidR="004B73A6" w:rsidRPr="00B622C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  <w:t xml:space="preserve">Descomposición del </w:t>
            </w:r>
            <w:r w:rsidR="00A32C6C" w:rsidRPr="00B622C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  <w:t xml:space="preserve">crecimiento del PIB </w:t>
            </w:r>
          </w:p>
          <w:p w14:paraId="45912CFB" w14:textId="6246869D" w:rsidR="003645A1" w:rsidRPr="00B622C8" w:rsidRDefault="00A32C6C" w:rsidP="003645A1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</w:pPr>
            <w:r w:rsidRPr="00B622C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  <w:t>1960-201</w:t>
            </w:r>
            <w:r w:rsidR="002C21EA" w:rsidRPr="00B622C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  <w:t>8</w:t>
            </w:r>
          </w:p>
          <w:p w14:paraId="54155BD2" w14:textId="5E66E547" w:rsidR="002C21EA" w:rsidRPr="00B622C8" w:rsidRDefault="00137D67" w:rsidP="004B73A6">
            <w:pPr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es-ES_tradnl"/>
              </w:rPr>
            </w:pPr>
            <w:r w:rsidRPr="00B622C8">
              <w:rPr>
                <w:rFonts w:ascii="Arial" w:hAnsi="Arial" w:cs="Arial"/>
                <w:i/>
                <w:noProof/>
                <w:color w:val="000000" w:themeColor="text1"/>
                <w:sz w:val="16"/>
                <w:szCs w:val="16"/>
                <w:lang w:val="es-ES_tradnl"/>
              </w:rPr>
              <w:drawing>
                <wp:inline distT="0" distB="0" distL="0" distR="0" wp14:anchorId="63D2B431" wp14:editId="2EEB6AA2">
                  <wp:extent cx="2468880" cy="1938873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8880" cy="1938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tcBorders>
              <w:top w:val="single" w:sz="8" w:space="0" w:color="BFBFBF" w:themeColor="background1" w:themeShade="BF"/>
            </w:tcBorders>
          </w:tcPr>
          <w:p w14:paraId="52707343" w14:textId="77777777" w:rsidR="003645A1" w:rsidRPr="00B622C8" w:rsidRDefault="003645A1" w:rsidP="009217C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</w:pPr>
          </w:p>
        </w:tc>
      </w:tr>
      <w:tr w:rsidR="003645A1" w:rsidRPr="00B622C8" w14:paraId="0CD35BFE" w14:textId="77777777" w:rsidTr="001F62A5">
        <w:trPr>
          <w:trHeight w:val="378"/>
          <w:jc w:val="center"/>
        </w:trPr>
        <w:tc>
          <w:tcPr>
            <w:tcW w:w="250" w:type="dxa"/>
          </w:tcPr>
          <w:p w14:paraId="62F54653" w14:textId="77777777" w:rsidR="003645A1" w:rsidRPr="00B622C8" w:rsidRDefault="003645A1" w:rsidP="009217C2">
            <w:pPr>
              <w:pStyle w:val="ListParagraph"/>
              <w:ind w:left="0"/>
              <w:rPr>
                <w:rFonts w:ascii="Arial" w:hAnsi="Arial" w:cs="Arial"/>
                <w:color w:val="000000" w:themeColor="text1"/>
                <w:sz w:val="14"/>
                <w:szCs w:val="14"/>
                <w:highlight w:val="yellow"/>
                <w:lang w:val="es-ES_tradnl"/>
              </w:rPr>
            </w:pPr>
          </w:p>
        </w:tc>
        <w:tc>
          <w:tcPr>
            <w:tcW w:w="4104" w:type="dxa"/>
            <w:shd w:val="clear" w:color="auto" w:fill="auto"/>
          </w:tcPr>
          <w:p w14:paraId="7697BA50" w14:textId="44C7B107" w:rsidR="003645A1" w:rsidRPr="00B622C8" w:rsidRDefault="003645A1" w:rsidP="009217C2">
            <w:pPr>
              <w:pStyle w:val="ListParagraph"/>
              <w:ind w:left="0"/>
              <w:rPr>
                <w:rFonts w:ascii="Arial" w:hAnsi="Arial" w:cs="Arial"/>
                <w:color w:val="000000" w:themeColor="text1"/>
                <w:sz w:val="14"/>
                <w:szCs w:val="14"/>
                <w:lang w:val="es-ES_tradnl"/>
              </w:rPr>
            </w:pPr>
            <w:r w:rsidRPr="00B622C8">
              <w:rPr>
                <w:rFonts w:ascii="Arial" w:hAnsi="Arial" w:cs="Arial"/>
                <w:color w:val="000000" w:themeColor="text1"/>
                <w:sz w:val="14"/>
                <w:szCs w:val="14"/>
                <w:lang w:val="es-ES_tradnl"/>
              </w:rPr>
              <w:t xml:space="preserve">Fuente: </w:t>
            </w:r>
            <w:r w:rsidR="00A32C6C" w:rsidRPr="00B622C8">
              <w:rPr>
                <w:rFonts w:ascii="Arial" w:hAnsi="Arial" w:cs="Arial"/>
                <w:color w:val="000000" w:themeColor="text1"/>
                <w:sz w:val="14"/>
                <w:szCs w:val="14"/>
                <w:lang w:val="es-ES_tradnl"/>
              </w:rPr>
              <w:t>Cálculos propios</w:t>
            </w:r>
          </w:p>
        </w:tc>
        <w:tc>
          <w:tcPr>
            <w:tcW w:w="270" w:type="dxa"/>
          </w:tcPr>
          <w:p w14:paraId="35D378F0" w14:textId="77777777" w:rsidR="003645A1" w:rsidRPr="00B622C8" w:rsidRDefault="003645A1" w:rsidP="009217C2">
            <w:pPr>
              <w:pStyle w:val="ListParagraph"/>
              <w:ind w:left="0"/>
              <w:rPr>
                <w:rFonts w:ascii="Arial" w:hAnsi="Arial" w:cs="Arial"/>
                <w:color w:val="000000" w:themeColor="text1"/>
                <w:sz w:val="14"/>
                <w:szCs w:val="14"/>
                <w:lang w:val="es-ES_tradnl"/>
              </w:rPr>
            </w:pPr>
          </w:p>
        </w:tc>
      </w:tr>
    </w:tbl>
    <w:p w14:paraId="4063589B" w14:textId="3E4B03FB" w:rsidR="0047712F" w:rsidRPr="00B622C8" w:rsidRDefault="0047712F" w:rsidP="00FC2A9C">
      <w:pPr>
        <w:spacing w:after="0" w:line="240" w:lineRule="auto"/>
        <w:jc w:val="both"/>
        <w:rPr>
          <w:rFonts w:ascii="Arial" w:hAnsi="Arial" w:cs="Arial"/>
          <w:color w:val="000000" w:themeColor="text1"/>
          <w:lang w:val="es-US"/>
        </w:rPr>
      </w:pPr>
    </w:p>
    <w:p w14:paraId="697D864E" w14:textId="77777777" w:rsidR="001F62A5" w:rsidRPr="00B622C8" w:rsidRDefault="001F62A5" w:rsidP="001A6886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13ECC5E1" w14:textId="10B5B7F8" w:rsidR="001F62A5" w:rsidRPr="00B622C8" w:rsidRDefault="001F62A5" w:rsidP="001A6886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B622C8">
        <w:rPr>
          <w:rFonts w:ascii="Arial" w:hAnsi="Arial" w:cs="Arial"/>
          <w:lang w:val="es-ES_tradnl"/>
        </w:rPr>
        <w:t>Los resultados muestran que el producto tendencial creció en promedio 2,4% anual durante 1960-2018, siendo el capital humano el factor que más contribuyó al crecimiento (1,1 p.p.), luego el capital físico (0,8 p.p.) y finalmente la PTF (0,5 p.p.)  (gráfico 1). Sin embargo, el proceso de crecimiento no fue homogéneo en estos años, distinguiéndose dos períodos</w:t>
      </w:r>
      <w:r w:rsidR="00176BCD" w:rsidRPr="00B622C8">
        <w:rPr>
          <w:rFonts w:ascii="Arial" w:hAnsi="Arial" w:cs="Arial"/>
          <w:lang w:val="es-ES_tradnl"/>
        </w:rPr>
        <w:t>, antes y después de la crisis de 1999-2002</w:t>
      </w:r>
      <w:r w:rsidRPr="00B622C8">
        <w:rPr>
          <w:rFonts w:ascii="Arial" w:hAnsi="Arial" w:cs="Arial"/>
          <w:lang w:val="es-ES_tradnl"/>
        </w:rPr>
        <w:t>.</w:t>
      </w:r>
    </w:p>
    <w:p w14:paraId="352B9BDB" w14:textId="77777777" w:rsidR="001F62A5" w:rsidRPr="00B622C8" w:rsidRDefault="001F62A5" w:rsidP="001A6886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AC48975" w14:textId="56D968A9" w:rsidR="000465AA" w:rsidRPr="00B622C8" w:rsidRDefault="00E5572E" w:rsidP="001A6886">
      <w:pPr>
        <w:spacing w:after="0" w:line="240" w:lineRule="auto"/>
        <w:jc w:val="both"/>
        <w:rPr>
          <w:rFonts w:ascii="Arial" w:hAnsi="Arial" w:cs="Arial"/>
          <w:color w:val="000000" w:themeColor="text1"/>
          <w:lang w:val="es-US"/>
        </w:rPr>
      </w:pPr>
      <w:r w:rsidRPr="00B622C8">
        <w:rPr>
          <w:rFonts w:ascii="Arial" w:hAnsi="Arial" w:cs="Arial"/>
          <w:lang w:val="es-ES_tradnl"/>
        </w:rPr>
        <w:t>E</w:t>
      </w:r>
      <w:r w:rsidR="00A12A70" w:rsidRPr="00B622C8">
        <w:rPr>
          <w:rFonts w:ascii="Arial" w:hAnsi="Arial" w:cs="Arial"/>
          <w:lang w:val="es-ES_tradnl"/>
        </w:rPr>
        <w:t xml:space="preserve">n el </w:t>
      </w:r>
      <w:r w:rsidR="0047712F" w:rsidRPr="00B622C8">
        <w:rPr>
          <w:rFonts w:ascii="Arial" w:hAnsi="Arial" w:cs="Arial"/>
          <w:lang w:val="es-ES_tradnl"/>
        </w:rPr>
        <w:t>primer período</w:t>
      </w:r>
      <w:r w:rsidR="00656481" w:rsidRPr="00B622C8">
        <w:rPr>
          <w:rFonts w:ascii="Arial" w:hAnsi="Arial" w:cs="Arial"/>
          <w:lang w:val="es-ES_tradnl"/>
        </w:rPr>
        <w:t xml:space="preserve"> (1960-1998)</w:t>
      </w:r>
      <w:r w:rsidR="006D7A0B" w:rsidRPr="00B622C8">
        <w:rPr>
          <w:rFonts w:ascii="Arial" w:hAnsi="Arial" w:cs="Arial"/>
          <w:lang w:val="es-ES_tradnl"/>
        </w:rPr>
        <w:t xml:space="preserve">, el </w:t>
      </w:r>
      <w:r w:rsidR="00A12A70" w:rsidRPr="00B622C8">
        <w:rPr>
          <w:rFonts w:ascii="Arial" w:hAnsi="Arial" w:cs="Arial"/>
          <w:lang w:val="es-US"/>
        </w:rPr>
        <w:t xml:space="preserve">crecimiento económico </w:t>
      </w:r>
      <w:r w:rsidR="00A12A70" w:rsidRPr="00B622C8">
        <w:rPr>
          <w:rFonts w:ascii="Arial" w:hAnsi="Arial" w:cs="Arial"/>
          <w:lang w:val="es-ES_tradnl"/>
        </w:rPr>
        <w:t xml:space="preserve">fue </w:t>
      </w:r>
      <w:r w:rsidRPr="00B622C8">
        <w:rPr>
          <w:rFonts w:ascii="Arial" w:hAnsi="Arial" w:cs="Arial"/>
          <w:lang w:val="es-ES_tradnl"/>
        </w:rPr>
        <w:t xml:space="preserve">heterogéneo y </w:t>
      </w:r>
      <w:r w:rsidR="0047712F" w:rsidRPr="00B622C8">
        <w:rPr>
          <w:rFonts w:ascii="Arial" w:hAnsi="Arial" w:cs="Arial"/>
          <w:lang w:val="es-ES_tradnl"/>
        </w:rPr>
        <w:t>en general,</w:t>
      </w:r>
      <w:r w:rsidR="00A12A70" w:rsidRPr="00B622C8">
        <w:rPr>
          <w:rFonts w:ascii="Arial" w:hAnsi="Arial" w:cs="Arial"/>
          <w:lang w:val="es-ES_tradnl"/>
        </w:rPr>
        <w:t xml:space="preserve"> estuvo</w:t>
      </w:r>
      <w:r w:rsidRPr="00B622C8">
        <w:rPr>
          <w:rFonts w:ascii="Arial" w:hAnsi="Arial" w:cs="Arial"/>
          <w:lang w:val="es-ES_tradnl"/>
        </w:rPr>
        <w:t xml:space="preserve"> </w:t>
      </w:r>
      <w:r w:rsidR="0047712F" w:rsidRPr="00B622C8">
        <w:rPr>
          <w:rFonts w:ascii="Arial" w:hAnsi="Arial" w:cs="Arial"/>
          <w:lang w:val="es-ES_tradnl"/>
        </w:rPr>
        <w:t>acompañad</w:t>
      </w:r>
      <w:r w:rsidRPr="00B622C8">
        <w:rPr>
          <w:rFonts w:ascii="Arial" w:hAnsi="Arial" w:cs="Arial"/>
          <w:lang w:val="es-ES_tradnl"/>
        </w:rPr>
        <w:t>o</w:t>
      </w:r>
      <w:r w:rsidR="0047712F" w:rsidRPr="00B622C8">
        <w:rPr>
          <w:rFonts w:ascii="Arial" w:hAnsi="Arial" w:cs="Arial"/>
          <w:lang w:val="es-ES_tradnl"/>
        </w:rPr>
        <w:t xml:space="preserve"> de inestabilidad macroeconómica.</w:t>
      </w:r>
      <w:r w:rsidRPr="00B622C8">
        <w:rPr>
          <w:rStyle w:val="FootnoteReference"/>
          <w:rFonts w:ascii="Arial" w:hAnsi="Arial" w:cs="Arial"/>
          <w:lang w:val="es-ES_tradnl"/>
        </w:rPr>
        <w:t xml:space="preserve"> </w:t>
      </w:r>
      <w:r w:rsidR="0047712F" w:rsidRPr="00B622C8">
        <w:rPr>
          <w:rFonts w:ascii="Arial" w:hAnsi="Arial" w:cs="Arial"/>
          <w:lang w:val="es-ES_tradnl"/>
        </w:rPr>
        <w:t xml:space="preserve">De hecho, </w:t>
      </w:r>
      <w:r w:rsidR="0047712F" w:rsidRPr="00B622C8">
        <w:rPr>
          <w:rFonts w:ascii="Arial" w:hAnsi="Arial" w:cs="Arial"/>
          <w:color w:val="000000" w:themeColor="text1"/>
          <w:lang w:val="es-US"/>
        </w:rPr>
        <w:t>l</w:t>
      </w:r>
      <w:r w:rsidR="006D6864" w:rsidRPr="00B622C8">
        <w:rPr>
          <w:rFonts w:ascii="Arial" w:hAnsi="Arial" w:cs="Arial"/>
          <w:color w:val="000000" w:themeColor="text1"/>
          <w:lang w:val="es-US"/>
        </w:rPr>
        <w:t xml:space="preserve">a </w:t>
      </w:r>
      <w:r w:rsidR="00085BB3" w:rsidRPr="00B622C8">
        <w:rPr>
          <w:rFonts w:ascii="Arial" w:hAnsi="Arial" w:cs="Arial"/>
          <w:color w:val="000000" w:themeColor="text1"/>
          <w:lang w:val="es-US"/>
        </w:rPr>
        <w:t>década de los sesenta y la primera mitad de los setenta corresponden a un período de bajo crecimiento, mientras que la segunda mitad de los setenta corresponde a un período de mayor dinamismo</w:t>
      </w:r>
      <w:r w:rsidR="008C6842" w:rsidRPr="00B622C8">
        <w:rPr>
          <w:rFonts w:ascii="Arial" w:hAnsi="Arial" w:cs="Arial"/>
          <w:color w:val="000000" w:themeColor="text1"/>
          <w:lang w:val="es-US"/>
        </w:rPr>
        <w:t xml:space="preserve">. </w:t>
      </w:r>
      <w:r w:rsidR="00085BB3" w:rsidRPr="00B622C8">
        <w:rPr>
          <w:rFonts w:ascii="Arial" w:hAnsi="Arial" w:cs="Arial"/>
          <w:color w:val="000000" w:themeColor="text1"/>
          <w:lang w:val="es-US"/>
        </w:rPr>
        <w:t xml:space="preserve">Esta dinámica fue interrumpida por la crisis de la deuda que afectó a América Latina a principios de los ochenta. </w:t>
      </w:r>
      <w:r w:rsidR="008C6842" w:rsidRPr="00B622C8">
        <w:rPr>
          <w:rFonts w:ascii="Arial" w:hAnsi="Arial" w:cs="Arial"/>
          <w:color w:val="000000" w:themeColor="text1"/>
          <w:lang w:val="es-US"/>
        </w:rPr>
        <w:t>En los noventa, el ritmo de crecimiento fue mayor al observado</w:t>
      </w:r>
      <w:r w:rsidR="00085BB3" w:rsidRPr="00B622C8">
        <w:rPr>
          <w:rFonts w:ascii="Arial" w:hAnsi="Arial" w:cs="Arial"/>
          <w:color w:val="000000" w:themeColor="text1"/>
          <w:lang w:val="es-US"/>
        </w:rPr>
        <w:t xml:space="preserve"> en los setenta</w:t>
      </w:r>
      <w:r w:rsidR="00262D3B" w:rsidRPr="00B622C8">
        <w:rPr>
          <w:rFonts w:ascii="Arial" w:hAnsi="Arial" w:cs="Arial"/>
          <w:color w:val="000000" w:themeColor="text1"/>
          <w:lang w:val="es-US"/>
        </w:rPr>
        <w:t xml:space="preserve"> y</w:t>
      </w:r>
      <w:r w:rsidR="00085BB3" w:rsidRPr="00B622C8">
        <w:rPr>
          <w:rFonts w:ascii="Arial" w:hAnsi="Arial" w:cs="Arial"/>
          <w:color w:val="000000" w:themeColor="text1"/>
          <w:lang w:val="es-US"/>
        </w:rPr>
        <w:t xml:space="preserve"> brevemente interrumpido por la crisis mexicana de 1994. </w:t>
      </w:r>
      <w:r w:rsidR="000465AA" w:rsidRPr="00B622C8">
        <w:rPr>
          <w:rFonts w:ascii="Arial" w:hAnsi="Arial" w:cs="Arial"/>
          <w:color w:val="000000" w:themeColor="text1"/>
          <w:lang w:val="es-US"/>
        </w:rPr>
        <w:t xml:space="preserve">Entre 1960-1998, </w:t>
      </w:r>
      <w:r w:rsidR="000465AA" w:rsidRPr="00B622C8">
        <w:rPr>
          <w:rFonts w:ascii="Arial" w:hAnsi="Arial" w:cs="Arial"/>
          <w:lang w:val="es-ES_tradnl"/>
        </w:rPr>
        <w:t xml:space="preserve">el producto tendencial se expandió </w:t>
      </w:r>
      <w:r w:rsidR="000465AA" w:rsidRPr="00B622C8">
        <w:rPr>
          <w:rFonts w:ascii="Arial" w:hAnsi="Arial" w:cs="Arial"/>
          <w:color w:val="000000" w:themeColor="text1"/>
          <w:lang w:val="es-US"/>
        </w:rPr>
        <w:t xml:space="preserve">2,2% promedio anual, </w:t>
      </w:r>
      <w:r w:rsidR="000465AA" w:rsidRPr="00B622C8">
        <w:rPr>
          <w:rFonts w:ascii="Arial" w:hAnsi="Arial" w:cs="Arial"/>
          <w:lang w:val="es-US"/>
        </w:rPr>
        <w:t>con preponderancia del capital humano como</w:t>
      </w:r>
      <w:r w:rsidR="000465AA" w:rsidRPr="00B622C8">
        <w:rPr>
          <w:rFonts w:ascii="Arial" w:hAnsi="Arial" w:cs="Arial"/>
          <w:color w:val="000000" w:themeColor="text1"/>
          <w:lang w:val="es-US"/>
        </w:rPr>
        <w:t xml:space="preserve"> factor explicativo (+1,2 </w:t>
      </w:r>
      <w:proofErr w:type="spellStart"/>
      <w:r w:rsidR="000465AA" w:rsidRPr="00B622C8">
        <w:rPr>
          <w:rFonts w:ascii="Arial" w:hAnsi="Arial" w:cs="Arial"/>
          <w:color w:val="000000" w:themeColor="text1"/>
          <w:lang w:val="es-US"/>
        </w:rPr>
        <w:t>p.p</w:t>
      </w:r>
      <w:proofErr w:type="spellEnd"/>
      <w:r w:rsidR="000465AA" w:rsidRPr="00B622C8">
        <w:rPr>
          <w:rFonts w:ascii="Arial" w:hAnsi="Arial" w:cs="Arial"/>
          <w:color w:val="000000" w:themeColor="text1"/>
          <w:lang w:val="es-US"/>
        </w:rPr>
        <w:t>), seguido por la PTF (+0,6 p.p.) y el capital físico (+0,4 p.p.) (gráfico 2).</w:t>
      </w:r>
    </w:p>
    <w:p w14:paraId="2EB0AF6F" w14:textId="77777777" w:rsidR="000465AA" w:rsidRPr="00B622C8" w:rsidRDefault="000465AA" w:rsidP="001A6886">
      <w:pPr>
        <w:spacing w:after="0" w:line="240" w:lineRule="auto"/>
        <w:jc w:val="both"/>
        <w:rPr>
          <w:rFonts w:ascii="Arial" w:hAnsi="Arial" w:cs="Arial"/>
          <w:color w:val="000000" w:themeColor="text1"/>
          <w:lang w:val="es-US"/>
        </w:rPr>
      </w:pPr>
    </w:p>
    <w:p w14:paraId="16DE532A" w14:textId="0AFAE201" w:rsidR="00F72AD9" w:rsidRPr="00B622C8" w:rsidRDefault="00085BB3" w:rsidP="001A6886">
      <w:pPr>
        <w:spacing w:after="0" w:line="240" w:lineRule="auto"/>
        <w:jc w:val="both"/>
        <w:rPr>
          <w:rFonts w:ascii="Arial" w:hAnsi="Arial" w:cs="Arial"/>
          <w:color w:val="000000" w:themeColor="text1"/>
          <w:lang w:val="es-US"/>
        </w:rPr>
      </w:pPr>
      <w:r w:rsidRPr="00B622C8">
        <w:rPr>
          <w:rFonts w:ascii="Arial" w:hAnsi="Arial" w:cs="Arial"/>
          <w:color w:val="000000" w:themeColor="text1"/>
          <w:lang w:val="es-US"/>
        </w:rPr>
        <w:t xml:space="preserve">La devaluación del real en 1999 y la crisis argentina de 2001 marcaron un nuevo cambio en la tendencia de crecimiento, derivando en una profunda crisis financiera y fiscal en Uruguay en </w:t>
      </w:r>
      <w:r w:rsidR="006D6864" w:rsidRPr="00B622C8">
        <w:rPr>
          <w:rFonts w:ascii="Arial" w:hAnsi="Arial" w:cs="Arial"/>
          <w:color w:val="000000" w:themeColor="text1"/>
          <w:lang w:val="es-US"/>
        </w:rPr>
        <w:t>1999-</w:t>
      </w:r>
      <w:r w:rsidRPr="00B622C8">
        <w:rPr>
          <w:rFonts w:ascii="Arial" w:hAnsi="Arial" w:cs="Arial"/>
          <w:color w:val="000000" w:themeColor="text1"/>
          <w:lang w:val="es-US"/>
        </w:rPr>
        <w:t xml:space="preserve">2002. </w:t>
      </w:r>
    </w:p>
    <w:p w14:paraId="49965B0B" w14:textId="32775CA0" w:rsidR="001A6886" w:rsidRPr="00B622C8" w:rsidRDefault="001A6886" w:rsidP="001A6886">
      <w:pPr>
        <w:spacing w:after="0" w:line="240" w:lineRule="auto"/>
        <w:jc w:val="both"/>
        <w:rPr>
          <w:rFonts w:ascii="Arial" w:hAnsi="Arial" w:cs="Arial"/>
          <w:color w:val="000000" w:themeColor="text1"/>
          <w:lang w:val="es-US"/>
        </w:rPr>
      </w:pPr>
      <w:bookmarkStart w:id="0" w:name="_Hlk10123312"/>
    </w:p>
    <w:p w14:paraId="036D5B5B" w14:textId="7808319C" w:rsidR="003645A1" w:rsidRPr="00B622C8" w:rsidRDefault="00F903A0" w:rsidP="00F903A0">
      <w:pPr>
        <w:spacing w:after="0" w:line="240" w:lineRule="auto"/>
        <w:jc w:val="both"/>
        <w:rPr>
          <w:rFonts w:ascii="Arial" w:hAnsi="Arial" w:cs="Arial"/>
          <w:color w:val="000000" w:themeColor="text1"/>
          <w:lang w:val="es-US"/>
        </w:rPr>
      </w:pPr>
      <w:r w:rsidRPr="00B622C8">
        <w:rPr>
          <w:rFonts w:ascii="Arial" w:hAnsi="Arial" w:cs="Arial"/>
          <w:color w:val="000000" w:themeColor="text1"/>
          <w:lang w:val="es-US"/>
        </w:rPr>
        <w:t xml:space="preserve">El desempeño de la economía en el segundo período </w:t>
      </w:r>
      <w:r w:rsidR="00B55852" w:rsidRPr="00B622C8">
        <w:rPr>
          <w:rFonts w:ascii="Arial" w:hAnsi="Arial" w:cs="Arial"/>
          <w:color w:val="000000" w:themeColor="text1"/>
          <w:lang w:val="es-US"/>
        </w:rPr>
        <w:t xml:space="preserve">analizado </w:t>
      </w:r>
      <w:r w:rsidRPr="00B622C8">
        <w:rPr>
          <w:rFonts w:ascii="Arial" w:hAnsi="Arial" w:cs="Arial"/>
          <w:color w:val="000000" w:themeColor="text1"/>
          <w:lang w:val="es-US"/>
        </w:rPr>
        <w:t xml:space="preserve">(2003-2018) contrasta con lo observado en la segunda mitad del siglo XX. De hecho, </w:t>
      </w:r>
      <w:r w:rsidR="006A20D4" w:rsidRPr="00B622C8">
        <w:rPr>
          <w:rFonts w:ascii="Arial" w:hAnsi="Arial" w:cs="Arial"/>
          <w:color w:val="000000" w:themeColor="text1"/>
          <w:lang w:val="es-US"/>
        </w:rPr>
        <w:t xml:space="preserve">la economía uruguaya registró 16 años de crecimiento ininterrumpido, con una expansión </w:t>
      </w:r>
      <w:r w:rsidR="006A20D4" w:rsidRPr="00B622C8">
        <w:rPr>
          <w:rFonts w:ascii="Arial" w:hAnsi="Arial" w:cs="Arial"/>
          <w:lang w:val="es-ES_tradnl"/>
        </w:rPr>
        <w:t xml:space="preserve">promedio anual (tendencial) que </w:t>
      </w:r>
      <w:r w:rsidR="00B55852" w:rsidRPr="00B622C8">
        <w:rPr>
          <w:rFonts w:ascii="Arial" w:hAnsi="Arial" w:cs="Arial"/>
          <w:lang w:val="es-ES_tradnl"/>
        </w:rPr>
        <w:t xml:space="preserve">casi </w:t>
      </w:r>
      <w:r w:rsidR="006A20D4" w:rsidRPr="00B622C8">
        <w:rPr>
          <w:rFonts w:ascii="Arial" w:hAnsi="Arial" w:cs="Arial"/>
          <w:lang w:val="es-ES_tradnl"/>
        </w:rPr>
        <w:t xml:space="preserve">duplicó </w:t>
      </w:r>
      <w:r w:rsidR="00B55852" w:rsidRPr="00B622C8">
        <w:rPr>
          <w:rFonts w:ascii="Arial" w:hAnsi="Arial" w:cs="Arial"/>
          <w:lang w:val="es-ES_tradnl"/>
        </w:rPr>
        <w:t xml:space="preserve">a </w:t>
      </w:r>
      <w:r w:rsidR="006A20D4" w:rsidRPr="00B622C8">
        <w:rPr>
          <w:rFonts w:ascii="Arial" w:hAnsi="Arial" w:cs="Arial"/>
          <w:lang w:val="es-ES_tradnl"/>
        </w:rPr>
        <w:t xml:space="preserve">la del primer período (3,8%) y que se explicó fundamentalmente </w:t>
      </w:r>
      <w:r w:rsidR="00B55852" w:rsidRPr="00B622C8">
        <w:rPr>
          <w:rFonts w:ascii="Arial" w:hAnsi="Arial" w:cs="Arial"/>
          <w:lang w:val="es-ES_tradnl"/>
        </w:rPr>
        <w:t xml:space="preserve">por la alta contribución del </w:t>
      </w:r>
      <w:r w:rsidR="00503E3C" w:rsidRPr="00B622C8">
        <w:rPr>
          <w:rFonts w:ascii="Arial" w:hAnsi="Arial" w:cs="Arial"/>
          <w:lang w:val="es-ES_tradnl"/>
        </w:rPr>
        <w:t>capital físic</w:t>
      </w:r>
      <w:r w:rsidR="00907253" w:rsidRPr="00B622C8">
        <w:rPr>
          <w:rFonts w:ascii="Arial" w:hAnsi="Arial" w:cs="Arial"/>
          <w:lang w:val="es-ES_tradnl"/>
        </w:rPr>
        <w:t>o</w:t>
      </w:r>
      <w:r w:rsidR="00B55852" w:rsidRPr="00B622C8">
        <w:rPr>
          <w:rFonts w:ascii="Arial" w:hAnsi="Arial" w:cs="Arial"/>
          <w:lang w:val="es-ES_tradnl"/>
        </w:rPr>
        <w:t xml:space="preserve"> </w:t>
      </w:r>
      <w:r w:rsidR="00503E3C" w:rsidRPr="00B622C8">
        <w:rPr>
          <w:rFonts w:ascii="Arial" w:hAnsi="Arial" w:cs="Arial"/>
          <w:lang w:val="es-ES_tradnl"/>
        </w:rPr>
        <w:t>sobre el crecimiento del PIB (pasando a ser el factor de mayor contribución)</w:t>
      </w:r>
      <w:r w:rsidR="00262D3B" w:rsidRPr="00B622C8">
        <w:rPr>
          <w:rFonts w:ascii="Arial" w:hAnsi="Arial" w:cs="Arial"/>
          <w:lang w:val="es-ES_tradnl"/>
        </w:rPr>
        <w:t xml:space="preserve">. En efecto, las estimaciones para este segundo período arrojan </w:t>
      </w:r>
      <w:r w:rsidR="0083056C" w:rsidRPr="00B622C8">
        <w:rPr>
          <w:rFonts w:ascii="Arial" w:hAnsi="Arial" w:cs="Arial"/>
          <w:lang w:val="es-ES_tradnl"/>
        </w:rPr>
        <w:t xml:space="preserve">una incidencia </w:t>
      </w:r>
      <w:r w:rsidR="00262D3B" w:rsidRPr="00B622C8">
        <w:rPr>
          <w:rFonts w:ascii="Arial" w:hAnsi="Arial" w:cs="Arial"/>
          <w:lang w:val="es-ES_tradnl"/>
        </w:rPr>
        <w:t>de 2 p.p. para el capital físico</w:t>
      </w:r>
      <w:r w:rsidR="0083056C" w:rsidRPr="00B622C8">
        <w:rPr>
          <w:rFonts w:ascii="Arial" w:hAnsi="Arial" w:cs="Arial"/>
          <w:lang w:val="es-ES_tradnl"/>
        </w:rPr>
        <w:t xml:space="preserve"> y</w:t>
      </w:r>
      <w:r w:rsidR="00933D64" w:rsidRPr="00B622C8">
        <w:rPr>
          <w:rFonts w:ascii="Arial" w:hAnsi="Arial" w:cs="Arial"/>
          <w:lang w:val="es-ES_tradnl"/>
        </w:rPr>
        <w:t xml:space="preserve"> contribuciones similares a las del primer período para el capital humano </w:t>
      </w:r>
      <w:r w:rsidR="006638AA" w:rsidRPr="00B622C8">
        <w:rPr>
          <w:rFonts w:ascii="Arial" w:hAnsi="Arial" w:cs="Arial"/>
          <w:lang w:val="es-ES_tradnl"/>
        </w:rPr>
        <w:t xml:space="preserve">(1,2 p.p.) </w:t>
      </w:r>
      <w:r w:rsidR="00933D64" w:rsidRPr="00B622C8">
        <w:rPr>
          <w:rFonts w:ascii="Arial" w:hAnsi="Arial" w:cs="Arial"/>
          <w:lang w:val="es-ES_tradnl"/>
        </w:rPr>
        <w:t xml:space="preserve">y la PTF </w:t>
      </w:r>
      <w:r w:rsidR="0083056C" w:rsidRPr="00B622C8">
        <w:rPr>
          <w:rFonts w:ascii="Arial" w:hAnsi="Arial" w:cs="Arial"/>
          <w:lang w:val="es-ES_tradnl"/>
        </w:rPr>
        <w:t>(0,5 p.p.)</w:t>
      </w:r>
      <w:r w:rsidR="00896C8F" w:rsidRPr="00B622C8">
        <w:rPr>
          <w:rFonts w:ascii="Arial" w:hAnsi="Arial" w:cs="Arial"/>
          <w:lang w:val="es-ES_tradnl"/>
        </w:rPr>
        <w:t xml:space="preserve"> (gráfico 3)</w:t>
      </w:r>
      <w:r w:rsidR="0083056C" w:rsidRPr="00B622C8">
        <w:rPr>
          <w:rFonts w:ascii="Arial" w:hAnsi="Arial" w:cs="Arial"/>
          <w:lang w:val="es-ES_tradnl"/>
        </w:rPr>
        <w:t>.</w:t>
      </w:r>
      <w:r w:rsidR="00896C8F" w:rsidRPr="00B622C8">
        <w:rPr>
          <w:rFonts w:ascii="Arial" w:hAnsi="Arial" w:cs="Arial"/>
          <w:color w:val="000000" w:themeColor="text1"/>
          <w:lang w:val="es-US"/>
        </w:rPr>
        <w:t xml:space="preserve"> </w:t>
      </w:r>
      <w:bookmarkEnd w:id="0"/>
    </w:p>
    <w:p w14:paraId="70FF37BC" w14:textId="77777777" w:rsidR="00896C8F" w:rsidRPr="00B622C8" w:rsidRDefault="00896C8F" w:rsidP="00F72AD9">
      <w:pPr>
        <w:spacing w:line="240" w:lineRule="auto"/>
        <w:jc w:val="both"/>
        <w:rPr>
          <w:rFonts w:ascii="Arial" w:hAnsi="Arial" w:cs="Arial"/>
          <w:color w:val="000000" w:themeColor="text1"/>
          <w:lang w:val="es-U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6"/>
        <w:gridCol w:w="222"/>
        <w:gridCol w:w="4155"/>
      </w:tblGrid>
      <w:tr w:rsidR="003645A1" w:rsidRPr="00B622C8" w14:paraId="6F0A4331" w14:textId="77777777" w:rsidTr="00CA4E44">
        <w:trPr>
          <w:jc w:val="center"/>
        </w:trPr>
        <w:tc>
          <w:tcPr>
            <w:tcW w:w="4156" w:type="dxa"/>
            <w:tcBorders>
              <w:top w:val="single" w:sz="8" w:space="0" w:color="BFBFBF" w:themeColor="background1" w:themeShade="BF"/>
            </w:tcBorders>
          </w:tcPr>
          <w:p w14:paraId="358E19AD" w14:textId="77777777" w:rsidR="00BF0A2B" w:rsidRPr="00B622C8" w:rsidRDefault="003645A1" w:rsidP="009217C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</w:pPr>
            <w:r w:rsidRPr="00B622C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  <w:t>Gráfico</w:t>
            </w:r>
            <w:r w:rsidR="00A32C6C" w:rsidRPr="00B622C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  <w:t xml:space="preserve"> 2 </w:t>
            </w:r>
            <w:r w:rsidR="004B73A6" w:rsidRPr="00B622C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  <w:t>Descomposición del</w:t>
            </w:r>
            <w:r w:rsidR="00A32C6C" w:rsidRPr="00B622C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  <w:t xml:space="preserve"> crecimiento del PIB </w:t>
            </w:r>
          </w:p>
          <w:p w14:paraId="3B78C577" w14:textId="54394EBA" w:rsidR="003645A1" w:rsidRPr="00B622C8" w:rsidRDefault="00A32C6C" w:rsidP="009217C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</w:pPr>
            <w:r w:rsidRPr="00B622C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  <w:t>1960-1998</w:t>
            </w:r>
          </w:p>
          <w:p w14:paraId="5ACE9490" w14:textId="22AA4CE2" w:rsidR="003645A1" w:rsidRPr="00B622C8" w:rsidRDefault="003645A1" w:rsidP="009217C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</w:pPr>
          </w:p>
          <w:p w14:paraId="422631C7" w14:textId="374459E4" w:rsidR="003645A1" w:rsidRPr="00B622C8" w:rsidRDefault="00BF0A2B" w:rsidP="009217C2">
            <w:pPr>
              <w:jc w:val="both"/>
              <w:rPr>
                <w:rFonts w:ascii="Arial" w:hAnsi="Arial" w:cs="Arial"/>
                <w:i/>
                <w:color w:val="000000" w:themeColor="text1"/>
                <w:lang w:val="es-ES_tradnl"/>
              </w:rPr>
            </w:pPr>
            <w:r w:rsidRPr="00B622C8">
              <w:rPr>
                <w:rFonts w:ascii="Arial" w:hAnsi="Arial" w:cs="Arial"/>
                <w:i/>
                <w:noProof/>
                <w:color w:val="000000" w:themeColor="text1"/>
                <w:lang w:val="es-ES_tradnl"/>
              </w:rPr>
              <w:drawing>
                <wp:inline distT="0" distB="0" distL="0" distR="0" wp14:anchorId="6B91F043" wp14:editId="53C4D656">
                  <wp:extent cx="2468880" cy="1938872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8880" cy="1938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14:paraId="4E50747C" w14:textId="77777777" w:rsidR="003645A1" w:rsidRPr="00B622C8" w:rsidRDefault="003645A1" w:rsidP="009217C2">
            <w:pPr>
              <w:pStyle w:val="ListParagraph"/>
              <w:ind w:left="0"/>
              <w:rPr>
                <w:rFonts w:ascii="Arial" w:hAnsi="Arial" w:cs="Arial"/>
                <w:color w:val="000000" w:themeColor="text1"/>
                <w:lang w:val="es-ES_tradnl"/>
              </w:rPr>
            </w:pPr>
          </w:p>
        </w:tc>
        <w:tc>
          <w:tcPr>
            <w:tcW w:w="4155" w:type="dxa"/>
            <w:tcBorders>
              <w:top w:val="single" w:sz="8" w:space="0" w:color="BFBFBF" w:themeColor="background1" w:themeShade="BF"/>
            </w:tcBorders>
          </w:tcPr>
          <w:p w14:paraId="38944B70" w14:textId="77777777" w:rsidR="00BF0A2B" w:rsidRPr="00B622C8" w:rsidRDefault="003645A1" w:rsidP="003645A1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</w:pPr>
            <w:r w:rsidRPr="00B622C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  <w:t>Gráfico</w:t>
            </w:r>
            <w:r w:rsidR="00A32C6C" w:rsidRPr="00B622C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  <w:t xml:space="preserve"> 3 </w:t>
            </w:r>
            <w:r w:rsidR="004B73A6" w:rsidRPr="00B622C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  <w:t xml:space="preserve">Descomposición del </w:t>
            </w:r>
            <w:r w:rsidR="00A32C6C" w:rsidRPr="00B622C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  <w:t xml:space="preserve">crecimiento del PIB </w:t>
            </w:r>
          </w:p>
          <w:p w14:paraId="11C21D5A" w14:textId="3B61F8D8" w:rsidR="003645A1" w:rsidRPr="00B622C8" w:rsidRDefault="00A32C6C" w:rsidP="003645A1">
            <w:pPr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es-ES_tradnl"/>
              </w:rPr>
            </w:pPr>
            <w:r w:rsidRPr="00B622C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  <w:t>2003-2018</w:t>
            </w:r>
            <w:r w:rsidR="009F53AF" w:rsidRPr="00B622C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  <w:t xml:space="preserve"> </w:t>
            </w:r>
          </w:p>
          <w:p w14:paraId="5EECBCC4" w14:textId="2C93287E" w:rsidR="003645A1" w:rsidRPr="00B622C8" w:rsidRDefault="003645A1" w:rsidP="009217C2">
            <w:pPr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es-ES_tradnl"/>
              </w:rPr>
            </w:pPr>
          </w:p>
          <w:p w14:paraId="3B129873" w14:textId="117FB481" w:rsidR="003645A1" w:rsidRPr="00B622C8" w:rsidRDefault="00BF0A2B" w:rsidP="009217C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</w:pPr>
            <w:r w:rsidRPr="00B622C8">
              <w:rPr>
                <w:rFonts w:ascii="Arial" w:hAnsi="Arial" w:cs="Arial"/>
                <w:b/>
                <w:noProof/>
                <w:color w:val="000000" w:themeColor="text1"/>
                <w:sz w:val="16"/>
                <w:szCs w:val="16"/>
                <w:lang w:val="es-ES_tradnl"/>
              </w:rPr>
              <w:drawing>
                <wp:inline distT="0" distB="0" distL="0" distR="0" wp14:anchorId="5EDFAEA9" wp14:editId="0B50F209">
                  <wp:extent cx="2468880" cy="1938872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8880" cy="1938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6F472C" w14:textId="77777777" w:rsidR="003645A1" w:rsidRPr="00B622C8" w:rsidRDefault="003645A1" w:rsidP="009217C2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_tradnl"/>
              </w:rPr>
            </w:pPr>
          </w:p>
        </w:tc>
      </w:tr>
      <w:tr w:rsidR="003645A1" w:rsidRPr="00B622C8" w14:paraId="53B9A816" w14:textId="77777777" w:rsidTr="00CA4E44">
        <w:trPr>
          <w:jc w:val="center"/>
        </w:trPr>
        <w:tc>
          <w:tcPr>
            <w:tcW w:w="4156" w:type="dxa"/>
          </w:tcPr>
          <w:p w14:paraId="77C09154" w14:textId="5CF3FF57" w:rsidR="003645A1" w:rsidRPr="00B622C8" w:rsidRDefault="003645A1" w:rsidP="009217C2">
            <w:pPr>
              <w:pStyle w:val="ListParagraph"/>
              <w:ind w:left="0"/>
              <w:rPr>
                <w:rFonts w:ascii="Arial" w:hAnsi="Arial" w:cs="Arial"/>
                <w:color w:val="000000" w:themeColor="text1"/>
                <w:sz w:val="14"/>
                <w:szCs w:val="14"/>
                <w:lang w:val="es-ES_tradnl"/>
              </w:rPr>
            </w:pPr>
            <w:r w:rsidRPr="00B622C8">
              <w:rPr>
                <w:rFonts w:ascii="Arial" w:hAnsi="Arial" w:cs="Arial"/>
                <w:color w:val="000000" w:themeColor="text1"/>
                <w:sz w:val="14"/>
                <w:szCs w:val="14"/>
                <w:lang w:val="es-ES_tradnl"/>
              </w:rPr>
              <w:t xml:space="preserve">Fuente: </w:t>
            </w:r>
            <w:r w:rsidR="00A32C6C" w:rsidRPr="00B622C8">
              <w:rPr>
                <w:rFonts w:ascii="Arial" w:hAnsi="Arial" w:cs="Arial"/>
                <w:color w:val="000000" w:themeColor="text1"/>
                <w:sz w:val="14"/>
                <w:szCs w:val="14"/>
                <w:lang w:val="es-ES_tradnl"/>
              </w:rPr>
              <w:t>Cálculos propios</w:t>
            </w:r>
          </w:p>
        </w:tc>
        <w:tc>
          <w:tcPr>
            <w:tcW w:w="222" w:type="dxa"/>
          </w:tcPr>
          <w:p w14:paraId="31943E53" w14:textId="77777777" w:rsidR="003645A1" w:rsidRPr="00B622C8" w:rsidRDefault="003645A1" w:rsidP="009217C2">
            <w:pPr>
              <w:pStyle w:val="ListParagraph"/>
              <w:ind w:left="0"/>
              <w:rPr>
                <w:rFonts w:ascii="Arial" w:hAnsi="Arial" w:cs="Arial"/>
                <w:color w:val="000000" w:themeColor="text1"/>
                <w:sz w:val="14"/>
                <w:szCs w:val="14"/>
                <w:lang w:val="es-ES_tradnl"/>
              </w:rPr>
            </w:pPr>
          </w:p>
        </w:tc>
        <w:tc>
          <w:tcPr>
            <w:tcW w:w="4155" w:type="dxa"/>
          </w:tcPr>
          <w:p w14:paraId="1F27C4E8" w14:textId="17978E21" w:rsidR="003645A1" w:rsidRPr="00B622C8" w:rsidRDefault="003645A1" w:rsidP="009217C2">
            <w:pPr>
              <w:pStyle w:val="ListParagraph"/>
              <w:ind w:left="0"/>
              <w:rPr>
                <w:rFonts w:ascii="Arial" w:hAnsi="Arial" w:cs="Arial"/>
                <w:color w:val="000000" w:themeColor="text1"/>
                <w:sz w:val="14"/>
                <w:szCs w:val="14"/>
                <w:lang w:val="es-ES_tradnl"/>
              </w:rPr>
            </w:pPr>
            <w:r w:rsidRPr="00B622C8">
              <w:rPr>
                <w:rFonts w:ascii="Arial" w:hAnsi="Arial" w:cs="Arial"/>
                <w:color w:val="000000" w:themeColor="text1"/>
                <w:sz w:val="14"/>
                <w:szCs w:val="14"/>
                <w:lang w:val="es-ES_tradnl"/>
              </w:rPr>
              <w:t xml:space="preserve">Fuente: </w:t>
            </w:r>
            <w:r w:rsidR="00A32C6C" w:rsidRPr="00B622C8">
              <w:rPr>
                <w:rFonts w:ascii="Arial" w:hAnsi="Arial" w:cs="Arial"/>
                <w:color w:val="000000" w:themeColor="text1"/>
                <w:sz w:val="14"/>
                <w:szCs w:val="14"/>
                <w:lang w:val="es-ES_tradnl"/>
              </w:rPr>
              <w:t>Cálculos propios</w:t>
            </w:r>
          </w:p>
        </w:tc>
      </w:tr>
    </w:tbl>
    <w:p w14:paraId="30427645" w14:textId="00BFF163" w:rsidR="003645A1" w:rsidRPr="00B622C8" w:rsidRDefault="003645A1" w:rsidP="00F72AD9">
      <w:pPr>
        <w:spacing w:line="240" w:lineRule="auto"/>
        <w:jc w:val="both"/>
        <w:rPr>
          <w:rFonts w:ascii="Arial" w:hAnsi="Arial" w:cs="Arial"/>
          <w:lang w:val="es-ES_tradnl"/>
        </w:rPr>
      </w:pPr>
    </w:p>
    <w:p w14:paraId="1C6ED7BB" w14:textId="77777777" w:rsidR="00E25620" w:rsidRDefault="001A6886" w:rsidP="00C73AE5">
      <w:pPr>
        <w:spacing w:line="240" w:lineRule="auto"/>
        <w:jc w:val="both"/>
        <w:rPr>
          <w:rFonts w:ascii="Arial" w:hAnsi="Arial" w:cs="Arial"/>
          <w:lang w:val="es-US"/>
        </w:rPr>
      </w:pPr>
      <w:r w:rsidRPr="00B622C8">
        <w:rPr>
          <w:rFonts w:ascii="Arial" w:hAnsi="Arial" w:cs="Arial"/>
          <w:lang w:val="es-US"/>
        </w:rPr>
        <w:t>En definitiva</w:t>
      </w:r>
      <w:r w:rsidR="00AE3B12" w:rsidRPr="00B622C8">
        <w:rPr>
          <w:rFonts w:ascii="Arial" w:hAnsi="Arial" w:cs="Arial"/>
          <w:lang w:val="es-US"/>
        </w:rPr>
        <w:t xml:space="preserve">, </w:t>
      </w:r>
      <w:r w:rsidR="00AE3B12" w:rsidRPr="00B622C8">
        <w:rPr>
          <w:rFonts w:ascii="Arial" w:hAnsi="Arial" w:cs="Arial"/>
          <w:lang w:val="es-ES_tradnl"/>
        </w:rPr>
        <w:t xml:space="preserve">la </w:t>
      </w:r>
      <w:r w:rsidR="00AE3B12" w:rsidRPr="00B622C8">
        <w:rPr>
          <w:rFonts w:ascii="Arial" w:eastAsiaTheme="minorEastAsia" w:hAnsi="Arial" w:cs="Arial"/>
          <w:lang w:val="es-US"/>
        </w:rPr>
        <w:t xml:space="preserve">acumulación de factores ha sido el principal motor de crecimiento </w:t>
      </w:r>
      <w:r w:rsidR="00AE3B12" w:rsidRPr="00B622C8">
        <w:rPr>
          <w:rFonts w:ascii="Arial" w:hAnsi="Arial" w:cs="Arial"/>
          <w:lang w:val="es-ES_tradnl"/>
        </w:rPr>
        <w:t>durante 1960-2018</w:t>
      </w:r>
      <w:r w:rsidR="00685810" w:rsidRPr="00B622C8">
        <w:rPr>
          <w:rFonts w:ascii="Arial" w:hAnsi="Arial" w:cs="Arial"/>
          <w:lang w:val="es-ES_tradnl"/>
        </w:rPr>
        <w:t xml:space="preserve">  (cerca del 80% del crecimiento del PIB)</w:t>
      </w:r>
      <w:r w:rsidR="003E4C77" w:rsidRPr="00B622C8">
        <w:rPr>
          <w:rFonts w:ascii="Arial" w:hAnsi="Arial" w:cs="Arial"/>
          <w:lang w:val="es-ES_tradnl"/>
        </w:rPr>
        <w:t xml:space="preserve">, en tanto la </w:t>
      </w:r>
      <w:r w:rsidR="00AE3B12" w:rsidRPr="00B622C8">
        <w:rPr>
          <w:rFonts w:ascii="Arial" w:hAnsi="Arial" w:cs="Arial"/>
          <w:lang w:val="es-ES_tradnl"/>
        </w:rPr>
        <w:t xml:space="preserve">PTF habría </w:t>
      </w:r>
      <w:r w:rsidR="006524B5" w:rsidRPr="00B622C8">
        <w:rPr>
          <w:rFonts w:ascii="Arial" w:hAnsi="Arial" w:cs="Arial"/>
          <w:lang w:val="es-ES_tradnl"/>
        </w:rPr>
        <w:t>contribuido 20%</w:t>
      </w:r>
      <w:r w:rsidR="00AE3B12" w:rsidRPr="00B622C8">
        <w:rPr>
          <w:rFonts w:ascii="Arial" w:eastAsiaTheme="minorEastAsia" w:hAnsi="Arial" w:cs="Arial"/>
          <w:lang w:val="es-US"/>
        </w:rPr>
        <w:t xml:space="preserve">. </w:t>
      </w:r>
      <w:r w:rsidR="004C004F" w:rsidRPr="00B622C8">
        <w:rPr>
          <w:rFonts w:ascii="Arial" w:eastAsiaTheme="minorEastAsia" w:hAnsi="Arial" w:cs="Arial"/>
          <w:lang w:val="es-US"/>
        </w:rPr>
        <w:t xml:space="preserve">Al considerar el segundo período (2003-2018) se observa un mayor </w:t>
      </w:r>
      <w:r w:rsidR="00685810" w:rsidRPr="00B622C8">
        <w:rPr>
          <w:rFonts w:ascii="Arial" w:eastAsiaTheme="minorEastAsia" w:hAnsi="Arial" w:cs="Arial"/>
          <w:lang w:val="es-US"/>
        </w:rPr>
        <w:t>dinamismo económico</w:t>
      </w:r>
      <w:r w:rsidR="004C004F" w:rsidRPr="00B622C8">
        <w:rPr>
          <w:rFonts w:ascii="Arial" w:eastAsiaTheme="minorEastAsia" w:hAnsi="Arial" w:cs="Arial"/>
          <w:lang w:val="es-US"/>
        </w:rPr>
        <w:t>, explicado fundamentalmente por un</w:t>
      </w:r>
      <w:r w:rsidR="00FF275A" w:rsidRPr="00B622C8">
        <w:rPr>
          <w:rFonts w:ascii="Arial" w:eastAsiaTheme="minorEastAsia" w:hAnsi="Arial" w:cs="Arial"/>
          <w:lang w:val="es-US"/>
        </w:rPr>
        <w:t xml:space="preserve"> importante</w:t>
      </w:r>
      <w:r w:rsidR="009A5286" w:rsidRPr="00B622C8">
        <w:rPr>
          <w:rFonts w:ascii="Arial" w:eastAsiaTheme="minorEastAsia" w:hAnsi="Arial" w:cs="Arial"/>
          <w:lang w:val="es-US"/>
        </w:rPr>
        <w:t xml:space="preserve"> incremento en la</w:t>
      </w:r>
      <w:r w:rsidR="004C004F" w:rsidRPr="00B622C8">
        <w:rPr>
          <w:rFonts w:ascii="Arial" w:eastAsiaTheme="minorEastAsia" w:hAnsi="Arial" w:cs="Arial"/>
          <w:lang w:val="es-US"/>
        </w:rPr>
        <w:t xml:space="preserve"> contribución del capital físico.</w:t>
      </w:r>
      <w:r w:rsidR="004C004F" w:rsidRPr="00B622C8">
        <w:rPr>
          <w:rFonts w:ascii="Arial" w:hAnsi="Arial" w:cs="Arial"/>
          <w:lang w:val="es-US"/>
        </w:rPr>
        <w:t xml:space="preserve"> </w:t>
      </w:r>
    </w:p>
    <w:p w14:paraId="19DC9B3E" w14:textId="4A6D9F6E" w:rsidR="00E25620" w:rsidRDefault="008306D6" w:rsidP="00C73AE5">
      <w:pPr>
        <w:spacing w:line="240" w:lineRule="auto"/>
        <w:jc w:val="both"/>
        <w:rPr>
          <w:rFonts w:ascii="Arial" w:hAnsi="Arial" w:cs="Arial"/>
          <w:lang w:val="es-ES_tradnl"/>
        </w:rPr>
      </w:pPr>
      <w:r w:rsidRPr="00B622C8">
        <w:rPr>
          <w:rFonts w:ascii="Arial" w:hAnsi="Arial" w:cs="Arial"/>
          <w:lang w:val="es-US"/>
        </w:rPr>
        <w:t xml:space="preserve">Sin embargo, </w:t>
      </w:r>
      <w:r w:rsidR="008C222F" w:rsidRPr="00B622C8">
        <w:rPr>
          <w:rFonts w:ascii="Arial" w:hAnsi="Arial" w:cs="Arial"/>
          <w:lang w:val="es-ES_tradnl"/>
        </w:rPr>
        <w:t xml:space="preserve">la acumulación de capital humano y físico </w:t>
      </w:r>
      <w:r w:rsidR="00E25620">
        <w:rPr>
          <w:rFonts w:ascii="Arial" w:hAnsi="Arial" w:cs="Arial"/>
          <w:lang w:val="es-ES_tradnl"/>
        </w:rPr>
        <w:t>enfrentan desafíos</w:t>
      </w:r>
      <w:r w:rsidR="008C222F" w:rsidRPr="00B622C8">
        <w:rPr>
          <w:rFonts w:ascii="Arial" w:hAnsi="Arial" w:cs="Arial"/>
          <w:lang w:val="es-ES_tradnl"/>
        </w:rPr>
        <w:t xml:space="preserve"> en los próximos años. Por un lado, el margen para continuar creciendo en base al aumento del capital humano presenta limitaciones, ya que Uruguay muestra bajo crecimiento demográfico y bajos indicadores de calidad de la educación y formación de la mano de obra. Por otro lado, en cuanto a la acumulación del capital físico</w:t>
      </w:r>
      <w:r w:rsidR="00F53E54">
        <w:rPr>
          <w:rFonts w:ascii="Arial" w:hAnsi="Arial" w:cs="Arial"/>
          <w:lang w:val="es-ES_tradnl"/>
        </w:rPr>
        <w:t>,</w:t>
      </w:r>
      <w:r w:rsidR="008C222F" w:rsidRPr="00B622C8">
        <w:rPr>
          <w:rFonts w:ascii="Arial" w:hAnsi="Arial" w:cs="Arial"/>
          <w:lang w:val="es-ES_tradnl"/>
        </w:rPr>
        <w:t xml:space="preserve"> existe incertidumbre </w:t>
      </w:r>
      <w:r w:rsidR="00F53E54">
        <w:rPr>
          <w:rFonts w:ascii="Arial" w:hAnsi="Arial" w:cs="Arial"/>
          <w:lang w:val="es-ES_tradnl"/>
        </w:rPr>
        <w:t xml:space="preserve">sobre los niveles de inversión futura </w:t>
      </w:r>
      <w:r w:rsidR="00582EFA">
        <w:rPr>
          <w:rFonts w:ascii="Arial" w:hAnsi="Arial" w:cs="Arial"/>
          <w:lang w:val="es-ES_tradnl"/>
        </w:rPr>
        <w:t>dada</w:t>
      </w:r>
      <w:r w:rsidR="00F87FD8">
        <w:rPr>
          <w:rFonts w:ascii="Arial" w:hAnsi="Arial" w:cs="Arial"/>
          <w:lang w:val="es-ES_tradnl"/>
        </w:rPr>
        <w:t>s</w:t>
      </w:r>
      <w:r w:rsidR="00582EFA">
        <w:rPr>
          <w:rFonts w:ascii="Arial" w:hAnsi="Arial" w:cs="Arial"/>
          <w:lang w:val="es-ES_tradnl"/>
        </w:rPr>
        <w:t xml:space="preserve"> las </w:t>
      </w:r>
      <w:r w:rsidR="008C222F" w:rsidRPr="00B622C8">
        <w:rPr>
          <w:rFonts w:ascii="Arial" w:hAnsi="Arial" w:cs="Arial"/>
          <w:lang w:val="es-ES_tradnl"/>
        </w:rPr>
        <w:t xml:space="preserve">menores perspectivas de crecimiento de las economías vecinas y </w:t>
      </w:r>
      <w:r w:rsidR="00285142" w:rsidRPr="00B622C8">
        <w:rPr>
          <w:rFonts w:ascii="Arial" w:hAnsi="Arial" w:cs="Arial"/>
          <w:lang w:val="es-ES_tradnl"/>
        </w:rPr>
        <w:t xml:space="preserve">las </w:t>
      </w:r>
      <w:r w:rsidR="008C222F" w:rsidRPr="00B622C8">
        <w:rPr>
          <w:rFonts w:ascii="Arial" w:hAnsi="Arial" w:cs="Arial"/>
          <w:lang w:val="es-ES_tradnl"/>
        </w:rPr>
        <w:t>condiciones globales más restrictivas.</w:t>
      </w:r>
      <w:r w:rsidR="00A27A5C" w:rsidRPr="00B622C8">
        <w:rPr>
          <w:rFonts w:ascii="Arial" w:hAnsi="Arial" w:cs="Arial"/>
          <w:lang w:val="es-ES_tradnl"/>
        </w:rPr>
        <w:t xml:space="preserve"> </w:t>
      </w:r>
    </w:p>
    <w:p w14:paraId="713AC9A1" w14:textId="69556E6C" w:rsidR="008C222F" w:rsidRPr="00B622C8" w:rsidRDefault="00A27A5C" w:rsidP="00C73AE5">
      <w:pPr>
        <w:spacing w:line="240" w:lineRule="auto"/>
        <w:jc w:val="both"/>
        <w:rPr>
          <w:rFonts w:ascii="Arial" w:hAnsi="Arial" w:cs="Arial"/>
          <w:lang w:val="es-US"/>
        </w:rPr>
      </w:pPr>
      <w:r w:rsidRPr="00B622C8">
        <w:rPr>
          <w:rFonts w:ascii="Arial" w:hAnsi="Arial" w:cs="Arial"/>
          <w:lang w:val="es-ES_tradnl"/>
        </w:rPr>
        <w:t xml:space="preserve">Así, Uruguay necesita </w:t>
      </w:r>
      <w:r w:rsidR="00582EFA">
        <w:rPr>
          <w:rFonts w:ascii="Arial" w:hAnsi="Arial" w:cs="Arial"/>
          <w:lang w:val="es-ES_tradnl"/>
        </w:rPr>
        <w:t xml:space="preserve">redoblar esfuerzos para </w:t>
      </w:r>
      <w:r w:rsidRPr="00B622C8">
        <w:rPr>
          <w:rFonts w:ascii="Arial" w:hAnsi="Arial" w:cs="Arial"/>
          <w:lang w:val="es-ES_tradnl"/>
        </w:rPr>
        <w:t>acelerar y darle sostenibilidad al crecimiento</w:t>
      </w:r>
      <w:r w:rsidR="008763DD">
        <w:rPr>
          <w:rFonts w:ascii="Arial" w:hAnsi="Arial" w:cs="Arial"/>
          <w:lang w:val="es-ES_tradnl"/>
        </w:rPr>
        <w:t xml:space="preserve"> actuando de forma simultánea en la mejora y aumento de la dotación de capital </w:t>
      </w:r>
      <w:r w:rsidR="00F17F02">
        <w:rPr>
          <w:rFonts w:ascii="Arial" w:hAnsi="Arial" w:cs="Arial"/>
          <w:lang w:val="es-ES_tradnl"/>
        </w:rPr>
        <w:t>-físico y humano-</w:t>
      </w:r>
      <w:r w:rsidR="00F53E54">
        <w:rPr>
          <w:rFonts w:ascii="Arial" w:hAnsi="Arial" w:cs="Arial"/>
          <w:lang w:val="es-ES_tradnl"/>
        </w:rPr>
        <w:t xml:space="preserve"> e impulsando </w:t>
      </w:r>
      <w:r w:rsidR="008763DD">
        <w:rPr>
          <w:rFonts w:ascii="Arial" w:hAnsi="Arial" w:cs="Arial"/>
          <w:lang w:val="es-ES_tradnl"/>
        </w:rPr>
        <w:t xml:space="preserve"> actividades de innovación para </w:t>
      </w:r>
      <w:r w:rsidR="00F53E54">
        <w:rPr>
          <w:rFonts w:ascii="Arial" w:hAnsi="Arial" w:cs="Arial"/>
          <w:lang w:val="es-ES_tradnl"/>
        </w:rPr>
        <w:t xml:space="preserve">aumentar </w:t>
      </w:r>
      <w:r w:rsidR="008763DD">
        <w:rPr>
          <w:rFonts w:ascii="Arial" w:hAnsi="Arial" w:cs="Arial"/>
          <w:lang w:val="es-ES_tradnl"/>
        </w:rPr>
        <w:t xml:space="preserve"> la productividad</w:t>
      </w:r>
      <w:r w:rsidR="00F53E54">
        <w:rPr>
          <w:rFonts w:ascii="Arial" w:hAnsi="Arial" w:cs="Arial"/>
          <w:lang w:val="es-ES_tradnl"/>
        </w:rPr>
        <w:t xml:space="preserve">, </w:t>
      </w:r>
      <w:r w:rsidR="008763DD">
        <w:rPr>
          <w:rFonts w:ascii="Arial" w:hAnsi="Arial" w:cs="Arial"/>
          <w:lang w:val="es-ES_tradnl"/>
        </w:rPr>
        <w:t xml:space="preserve"> y </w:t>
      </w:r>
      <w:r w:rsidR="00F53E54">
        <w:rPr>
          <w:rFonts w:ascii="Arial" w:hAnsi="Arial" w:cs="Arial"/>
          <w:lang w:val="es-ES_tradnl"/>
        </w:rPr>
        <w:t xml:space="preserve">así </w:t>
      </w:r>
      <w:r w:rsidR="008763DD">
        <w:rPr>
          <w:rFonts w:ascii="Arial" w:hAnsi="Arial" w:cs="Arial"/>
          <w:lang w:val="es-ES_tradnl"/>
        </w:rPr>
        <w:t xml:space="preserve">afrontar las restricciones que podrían condicionar el crecimiento sostenido de la economía del país </w:t>
      </w:r>
      <w:r w:rsidRPr="00B622C8">
        <w:rPr>
          <w:rFonts w:ascii="Arial" w:hAnsi="Arial" w:cs="Arial"/>
          <w:lang w:val="es-ES_tradnl"/>
        </w:rPr>
        <w:t>los próximos años</w:t>
      </w:r>
      <w:r w:rsidR="008763DD">
        <w:rPr>
          <w:rFonts w:ascii="Arial" w:hAnsi="Arial" w:cs="Arial"/>
          <w:lang w:val="es-ES_tradnl"/>
        </w:rPr>
        <w:t>.</w:t>
      </w:r>
    </w:p>
    <w:p w14:paraId="77560DB6" w14:textId="220476A8" w:rsidR="008C222F" w:rsidRPr="00B622C8" w:rsidRDefault="008C222F" w:rsidP="00661E4C">
      <w:pPr>
        <w:jc w:val="both"/>
        <w:rPr>
          <w:rFonts w:ascii="Arial" w:hAnsi="Arial" w:cs="Arial"/>
          <w:lang w:val="es-US"/>
        </w:rPr>
      </w:pPr>
    </w:p>
    <w:p w14:paraId="2FFD44D3" w14:textId="5AE6EA4D" w:rsidR="00D44A57" w:rsidRPr="00B622C8" w:rsidRDefault="00D44A57" w:rsidP="00661E4C">
      <w:pPr>
        <w:jc w:val="both"/>
        <w:rPr>
          <w:rFonts w:ascii="Arial" w:hAnsi="Arial" w:cs="Arial"/>
          <w:lang w:val="es-ES_tradnl"/>
        </w:rPr>
      </w:pPr>
    </w:p>
    <w:sectPr w:rsidR="00D44A57" w:rsidRPr="00B622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895BB5" w14:textId="77777777" w:rsidR="00096DC9" w:rsidRDefault="00096DC9" w:rsidP="00661E4C">
      <w:pPr>
        <w:spacing w:after="0" w:line="240" w:lineRule="auto"/>
      </w:pPr>
      <w:r>
        <w:separator/>
      </w:r>
    </w:p>
  </w:endnote>
  <w:endnote w:type="continuationSeparator" w:id="0">
    <w:p w14:paraId="08B83DAF" w14:textId="77777777" w:rsidR="00096DC9" w:rsidRDefault="00096DC9" w:rsidP="00661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AEFCED" w14:textId="77777777" w:rsidR="00096DC9" w:rsidRDefault="00096DC9" w:rsidP="00661E4C">
      <w:pPr>
        <w:spacing w:after="0" w:line="240" w:lineRule="auto"/>
      </w:pPr>
      <w:r>
        <w:separator/>
      </w:r>
    </w:p>
  </w:footnote>
  <w:footnote w:type="continuationSeparator" w:id="0">
    <w:p w14:paraId="01F08AB8" w14:textId="77777777" w:rsidR="00096DC9" w:rsidRDefault="00096DC9" w:rsidP="00661E4C">
      <w:pPr>
        <w:spacing w:after="0" w:line="240" w:lineRule="auto"/>
      </w:pPr>
      <w:r>
        <w:continuationSeparator/>
      </w:r>
    </w:p>
  </w:footnote>
  <w:footnote w:id="1">
    <w:p w14:paraId="00C39BBD" w14:textId="36534DBD" w:rsidR="00FC2A9C" w:rsidRPr="00BB0E8B" w:rsidRDefault="00FC2A9C" w:rsidP="00FC2A9C">
      <w:pPr>
        <w:pStyle w:val="FootnoteText"/>
        <w:jc w:val="both"/>
        <w:rPr>
          <w:rFonts w:cstheme="minorHAnsi"/>
          <w:sz w:val="18"/>
          <w:szCs w:val="18"/>
          <w:lang w:val="es-ES_tradnl"/>
        </w:rPr>
      </w:pPr>
      <w:r w:rsidRPr="00BB0E8B">
        <w:rPr>
          <w:rStyle w:val="FootnoteReference"/>
          <w:rFonts w:cstheme="minorHAnsi"/>
          <w:sz w:val="18"/>
          <w:szCs w:val="18"/>
        </w:rPr>
        <w:footnoteRef/>
      </w:r>
      <w:r w:rsidRPr="00BB0E8B">
        <w:rPr>
          <w:rFonts w:cstheme="minorHAnsi"/>
          <w:sz w:val="18"/>
          <w:szCs w:val="18"/>
          <w:lang w:val="pt-BR"/>
        </w:rPr>
        <w:t xml:space="preserve"> </w:t>
      </w:r>
      <w:proofErr w:type="spellStart"/>
      <w:r w:rsidRPr="00BB0E8B">
        <w:rPr>
          <w:rFonts w:cstheme="minorHAnsi"/>
          <w:sz w:val="18"/>
          <w:szCs w:val="18"/>
          <w:lang w:val="pt-BR"/>
        </w:rPr>
        <w:t>Domínguez</w:t>
      </w:r>
      <w:proofErr w:type="spellEnd"/>
      <w:r w:rsidRPr="00BB0E8B">
        <w:rPr>
          <w:rFonts w:cstheme="minorHAnsi"/>
          <w:sz w:val="18"/>
          <w:szCs w:val="18"/>
          <w:lang w:val="pt-BR"/>
        </w:rPr>
        <w:t xml:space="preserve">, M., Lanzilotta, B., Rego, S.  </w:t>
      </w:r>
      <w:r w:rsidRPr="00BB0E8B">
        <w:rPr>
          <w:rFonts w:cstheme="minorHAnsi"/>
          <w:sz w:val="18"/>
          <w:szCs w:val="18"/>
          <w:lang w:val="es-ES_tradnl"/>
        </w:rPr>
        <w:t xml:space="preserve">y </w:t>
      </w:r>
      <w:proofErr w:type="spellStart"/>
      <w:r w:rsidRPr="00BB0E8B">
        <w:rPr>
          <w:rFonts w:cstheme="minorHAnsi"/>
          <w:sz w:val="18"/>
          <w:szCs w:val="18"/>
          <w:lang w:val="es-ES_tradnl"/>
        </w:rPr>
        <w:t>Regueira</w:t>
      </w:r>
      <w:proofErr w:type="spellEnd"/>
      <w:r w:rsidRPr="00BB0E8B">
        <w:rPr>
          <w:rFonts w:cstheme="minorHAnsi"/>
          <w:sz w:val="18"/>
          <w:szCs w:val="18"/>
          <w:lang w:val="es-ES_tradnl"/>
        </w:rPr>
        <w:t>, P. Productividad Total de los Factores en Uruguay (1991-2013).</w:t>
      </w:r>
    </w:p>
  </w:footnote>
  <w:footnote w:id="2">
    <w:p w14:paraId="21F2C2AE" w14:textId="28A080E3" w:rsidR="0052191E" w:rsidRPr="0052191E" w:rsidRDefault="0052191E" w:rsidP="0052191E">
      <w:pPr>
        <w:pStyle w:val="FootnoteText"/>
        <w:jc w:val="both"/>
        <w:rPr>
          <w:lang w:val="es-ES_tradnl"/>
        </w:rPr>
      </w:pPr>
      <w:r>
        <w:rPr>
          <w:rStyle w:val="FootnoteReference"/>
        </w:rPr>
        <w:footnoteRef/>
      </w:r>
      <w:r w:rsidRPr="0052191E">
        <w:rPr>
          <w:lang w:val="es-ES_tradnl"/>
        </w:rPr>
        <w:t xml:space="preserve"> </w:t>
      </w:r>
      <w:r w:rsidRPr="00F903A0">
        <w:rPr>
          <w:rFonts w:cstheme="minorHAnsi"/>
          <w:sz w:val="18"/>
          <w:szCs w:val="18"/>
          <w:lang w:val="es-ES_tradnl"/>
        </w:rPr>
        <w:t xml:space="preserve">Oddone, G., Deagosto, G., Fraga, F., Gonzalez, R. y Pirrocco, D. (2014). </w:t>
      </w:r>
      <w:r w:rsidRPr="00B622C8">
        <w:rPr>
          <w:rFonts w:cstheme="minorHAnsi"/>
          <w:sz w:val="18"/>
          <w:szCs w:val="18"/>
          <w:lang w:val="es-ES_tradnl"/>
        </w:rPr>
        <w:t>Desafíos para el crecimiento en Uruguay: una mirada desde los fundamentos de largo plazo.</w:t>
      </w:r>
    </w:p>
  </w:footnote>
  <w:footnote w:id="3">
    <w:p w14:paraId="13B24683" w14:textId="324B52B6" w:rsidR="008C222F" w:rsidRPr="00BB0E8B" w:rsidRDefault="008C222F" w:rsidP="002415F5">
      <w:pPr>
        <w:pStyle w:val="FootnoteText"/>
        <w:jc w:val="both"/>
        <w:rPr>
          <w:rFonts w:cstheme="minorHAnsi"/>
          <w:sz w:val="18"/>
          <w:szCs w:val="18"/>
          <w:lang w:val="es-US"/>
        </w:rPr>
      </w:pPr>
      <w:r w:rsidRPr="00BB0E8B">
        <w:rPr>
          <w:rStyle w:val="FootnoteReference"/>
          <w:rFonts w:cstheme="minorHAnsi"/>
          <w:sz w:val="18"/>
          <w:szCs w:val="18"/>
        </w:rPr>
        <w:footnoteRef/>
      </w:r>
      <w:r w:rsidRPr="00BB0E8B">
        <w:rPr>
          <w:rFonts w:cstheme="minorHAnsi"/>
          <w:sz w:val="18"/>
          <w:szCs w:val="18"/>
          <w:lang w:val="es-ES_tradnl"/>
        </w:rPr>
        <w:t xml:space="preserve"> </w:t>
      </w:r>
      <w:r w:rsidRPr="00BB0E8B">
        <w:rPr>
          <w:rFonts w:cstheme="minorHAnsi"/>
          <w:sz w:val="18"/>
          <w:szCs w:val="18"/>
          <w:lang w:val="es-US"/>
        </w:rPr>
        <w:t xml:space="preserve">Se define </w:t>
      </w:r>
      <m:oMath>
        <m:r>
          <w:rPr>
            <w:rFonts w:ascii="Cambria Math" w:hAnsi="Cambria Math" w:cstheme="minorHAnsi"/>
            <w:sz w:val="18"/>
            <w:szCs w:val="18"/>
            <w:lang w:val="es-US"/>
          </w:rPr>
          <m:t>h=</m:t>
        </m:r>
        <m:sSup>
          <m:sSupPr>
            <m:ctrlPr>
              <w:rPr>
                <w:rFonts w:ascii="Cambria Math" w:hAnsi="Cambria Math" w:cstheme="minorHAnsi"/>
                <w:i/>
                <w:sz w:val="18"/>
                <w:szCs w:val="18"/>
                <w:lang w:val="es-US"/>
              </w:rPr>
            </m:ctrlPr>
          </m:sSupPr>
          <m:e>
            <m:r>
              <w:rPr>
                <w:rFonts w:ascii="Cambria Math" w:hAnsi="Cambria Math" w:cstheme="minorHAnsi"/>
                <w:sz w:val="18"/>
                <w:szCs w:val="18"/>
                <w:lang w:val="es-US"/>
              </w:rPr>
              <m:t>e</m:t>
            </m:r>
          </m:e>
          <m:sup>
            <m:r>
              <w:rPr>
                <w:rFonts w:ascii="Cambria Math" w:hAnsi="Cambria Math" w:cstheme="minorHAnsi"/>
                <w:sz w:val="18"/>
                <w:szCs w:val="18"/>
                <w:lang w:val="es-US"/>
              </w:rPr>
              <m:t>∅(</m:t>
            </m:r>
            <m:sSub>
              <m:sSubPr>
                <m:ctrlPr>
                  <w:rPr>
                    <w:rFonts w:ascii="Cambria Math" w:hAnsi="Cambria Math" w:cstheme="minorHAnsi"/>
                    <w:i/>
                    <w:sz w:val="18"/>
                    <w:szCs w:val="18"/>
                    <w:lang w:val="es-US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18"/>
                    <w:szCs w:val="18"/>
                    <w:lang w:val="es-US"/>
                  </w:rPr>
                  <m:t>S</m:t>
                </m:r>
              </m:e>
              <m:sub>
                <m:r>
                  <w:rPr>
                    <w:rFonts w:ascii="Cambria Math" w:hAnsi="Cambria Math" w:cstheme="minorHAnsi"/>
                    <w:sz w:val="18"/>
                    <w:szCs w:val="18"/>
                    <w:lang w:val="es-US"/>
                  </w:rPr>
                  <m:t>it</m:t>
                </m:r>
              </m:sub>
            </m:sSub>
            <m:r>
              <w:rPr>
                <w:rFonts w:ascii="Cambria Math" w:hAnsi="Cambria Math" w:cstheme="minorHAnsi"/>
                <w:sz w:val="18"/>
                <w:szCs w:val="18"/>
                <w:lang w:val="es-US"/>
              </w:rPr>
              <m:t>)</m:t>
            </m:r>
          </m:sup>
        </m:sSup>
      </m:oMath>
      <w:r w:rsidRPr="00BB0E8B">
        <w:rPr>
          <w:rFonts w:eastAsiaTheme="minorEastAsia" w:cstheme="minorHAnsi"/>
          <w:sz w:val="18"/>
          <w:szCs w:val="18"/>
          <w:lang w:val="es-US"/>
        </w:rPr>
        <w:t xml:space="preserve"> donde </w:t>
      </w:r>
      <m:oMath>
        <m:sSub>
          <m:sSubPr>
            <m:ctrlPr>
              <w:rPr>
                <w:rFonts w:ascii="Cambria Math" w:hAnsi="Cambria Math" w:cstheme="minorHAnsi"/>
                <w:i/>
                <w:sz w:val="18"/>
                <w:szCs w:val="18"/>
                <w:lang w:val="es-US"/>
              </w:rPr>
            </m:ctrlPr>
          </m:sSubPr>
          <m:e>
            <m:r>
              <w:rPr>
                <w:rFonts w:ascii="Cambria Math" w:hAnsi="Cambria Math" w:cstheme="minorHAnsi"/>
                <w:sz w:val="18"/>
                <w:szCs w:val="18"/>
                <w:lang w:val="es-US"/>
              </w:rPr>
              <m:t>S</m:t>
            </m:r>
          </m:e>
          <m:sub>
            <m:r>
              <w:rPr>
                <w:rFonts w:ascii="Cambria Math" w:hAnsi="Cambria Math" w:cstheme="minorHAnsi"/>
                <w:sz w:val="18"/>
                <w:szCs w:val="18"/>
                <w:lang w:val="es-US"/>
              </w:rPr>
              <m:t>it</m:t>
            </m:r>
          </m:sub>
        </m:sSub>
      </m:oMath>
      <w:r w:rsidRPr="00BB0E8B">
        <w:rPr>
          <w:rFonts w:eastAsiaTheme="minorEastAsia" w:cstheme="minorHAnsi"/>
          <w:sz w:val="18"/>
          <w:szCs w:val="18"/>
          <w:lang w:val="es-US"/>
        </w:rPr>
        <w:t xml:space="preserve"> es el promedio de años de educación y </w:t>
      </w:r>
      <m:oMath>
        <m:r>
          <w:rPr>
            <w:rFonts w:ascii="Cambria Math" w:eastAsiaTheme="minorEastAsia" w:hAnsi="Cambria Math" w:cstheme="minorHAnsi"/>
            <w:sz w:val="18"/>
            <w:szCs w:val="18"/>
            <w:lang w:val="es-US"/>
          </w:rPr>
          <m:t>∅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18"/>
                <w:szCs w:val="18"/>
                <w:lang w:val="es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18"/>
                    <w:szCs w:val="18"/>
                    <w:lang w:val="es-US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18"/>
                    <w:szCs w:val="18"/>
                    <w:lang w:val="es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18"/>
                    <w:szCs w:val="18"/>
                    <w:lang w:val="es-US"/>
                  </w:rPr>
                  <m:t>it</m:t>
                </m:r>
              </m:sub>
            </m:sSub>
          </m:e>
        </m:d>
      </m:oMath>
      <w:r w:rsidRPr="00BB0E8B">
        <w:rPr>
          <w:rFonts w:eastAsiaTheme="minorEastAsia" w:cstheme="minorHAnsi"/>
          <w:sz w:val="18"/>
          <w:szCs w:val="18"/>
          <w:lang w:val="es-US"/>
        </w:rPr>
        <w:t xml:space="preserve"> es una ecuación de mincer que queda definida como: </w:t>
      </w:r>
      <m:oMath>
        <m:r>
          <w:rPr>
            <w:rFonts w:ascii="Cambria Math" w:eastAsiaTheme="minorEastAsia" w:hAnsi="Cambria Math" w:cstheme="minorHAnsi"/>
            <w:sz w:val="18"/>
            <w:szCs w:val="18"/>
            <w:lang w:val="es-US"/>
          </w:rPr>
          <m:t>∅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18"/>
                <w:szCs w:val="18"/>
                <w:lang w:val="es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18"/>
                    <w:szCs w:val="18"/>
                    <w:lang w:val="es-US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18"/>
                    <w:szCs w:val="18"/>
                    <w:lang w:val="es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18"/>
                    <w:szCs w:val="18"/>
                    <w:lang w:val="es-US"/>
                  </w:rPr>
                  <m:t>it</m:t>
                </m:r>
              </m:sub>
            </m:sSub>
          </m:e>
        </m:d>
        <m:r>
          <w:rPr>
            <w:rFonts w:ascii="Cambria Math" w:eastAsiaTheme="minorEastAsia" w:hAnsi="Cambria Math" w:cstheme="minorHAnsi"/>
            <w:sz w:val="18"/>
            <w:szCs w:val="18"/>
            <w:lang w:val="es-US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 w:cstheme="minorHAnsi"/>
                <w:i/>
                <w:sz w:val="18"/>
                <w:szCs w:val="18"/>
                <w:lang w:val="es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theme="minorHAnsi"/>
                    <w:i/>
                    <w:sz w:val="18"/>
                    <w:szCs w:val="18"/>
                    <w:lang w:val="es-US"/>
                  </w:rPr>
                </m:ctrlPr>
              </m:eqArrPr>
              <m:e>
                <m:r>
                  <w:rPr>
                    <w:rFonts w:ascii="Cambria Math" w:eastAsiaTheme="minorEastAsia" w:hAnsi="Cambria Math" w:cstheme="minorHAnsi"/>
                    <w:sz w:val="18"/>
                    <w:szCs w:val="18"/>
                    <w:lang w:val="es-US"/>
                  </w:rPr>
                  <m:t>0.134 si s≤4</m:t>
                </m:r>
              </m:e>
              <m:e>
                <m:r>
                  <w:rPr>
                    <w:rFonts w:ascii="Cambria Math" w:eastAsiaTheme="minorEastAsia" w:hAnsi="Cambria Math" w:cstheme="minorHAnsi"/>
                    <w:sz w:val="18"/>
                    <w:szCs w:val="18"/>
                    <w:lang w:val="es-US"/>
                  </w:rPr>
                  <m:t>0.536+0.101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 w:val="18"/>
                        <w:szCs w:val="18"/>
                        <w:lang w:val="es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sz w:val="18"/>
                        <w:szCs w:val="18"/>
                        <w:lang w:val="es-US"/>
                      </w:rPr>
                      <m:t>s-4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sz w:val="18"/>
                    <w:szCs w:val="18"/>
                    <w:lang w:val="es-US"/>
                  </w:rPr>
                  <m:t xml:space="preserve"> si 4&lt;s≤8</m:t>
                </m:r>
              </m:e>
              <m:e>
                <m:r>
                  <w:rPr>
                    <w:rFonts w:ascii="Cambria Math" w:eastAsiaTheme="minorEastAsia" w:hAnsi="Cambria Math" w:cstheme="minorHAnsi"/>
                    <w:sz w:val="18"/>
                    <w:szCs w:val="18"/>
                    <w:lang w:val="es-US"/>
                  </w:rPr>
                  <m:t>0.94+0.068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 w:val="18"/>
                        <w:szCs w:val="18"/>
                        <w:lang w:val="es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sz w:val="18"/>
                        <w:szCs w:val="18"/>
                        <w:lang w:val="es-US"/>
                      </w:rPr>
                      <m:t>s-8</m:t>
                    </m:r>
                  </m:e>
                </m:d>
                <m:r>
                  <w:rPr>
                    <w:rFonts w:ascii="Cambria Math" w:eastAsiaTheme="minorEastAsia" w:hAnsi="Cambria Math" w:cstheme="minorHAnsi"/>
                    <w:sz w:val="18"/>
                    <w:szCs w:val="18"/>
                    <w:lang w:val="es-US"/>
                  </w:rPr>
                  <m:t xml:space="preserve"> si s&gt;8</m:t>
                </m:r>
              </m:e>
            </m:eqArr>
          </m:e>
        </m:d>
      </m:oMath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153C93"/>
    <w:multiLevelType w:val="multilevel"/>
    <w:tmpl w:val="4AD070FA"/>
    <w:lvl w:ilvl="0">
      <w:start w:val="1"/>
      <w:numFmt w:val="upperRoman"/>
      <w:lvlText w:val="%1."/>
      <w:lvlJc w:val="center"/>
      <w:pPr>
        <w:tabs>
          <w:tab w:val="num" w:pos="1710"/>
        </w:tabs>
        <w:ind w:left="1062" w:firstLine="288"/>
      </w:pPr>
      <w:rPr>
        <w:rFonts w:hint="default"/>
        <w:b/>
        <w:i w:val="0"/>
      </w:rPr>
    </w:lvl>
    <w:lvl w:ilvl="1">
      <w:start w:val="1"/>
      <w:numFmt w:val="decimal"/>
      <w:lvlText w:val="2.%2"/>
      <w:lvlJc w:val="left"/>
      <w:pPr>
        <w:tabs>
          <w:tab w:val="num" w:pos="720"/>
        </w:tabs>
        <w:ind w:left="720" w:hanging="720"/>
      </w:pPr>
      <w:rPr>
        <w:b w:val="0"/>
        <w:sz w:val="24"/>
        <w:lang w:val="es-ES_tradnl"/>
      </w:r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3">
      <w:start w:val="1"/>
      <w:numFmt w:val="lowerRoman"/>
      <w:lvlText w:val="%4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4A2"/>
    <w:rsid w:val="000465AA"/>
    <w:rsid w:val="00070438"/>
    <w:rsid w:val="00085BB3"/>
    <w:rsid w:val="00096DC9"/>
    <w:rsid w:val="000A6932"/>
    <w:rsid w:val="000F5BF0"/>
    <w:rsid w:val="00102F83"/>
    <w:rsid w:val="00103C0D"/>
    <w:rsid w:val="001172FC"/>
    <w:rsid w:val="0012613D"/>
    <w:rsid w:val="0013088B"/>
    <w:rsid w:val="00137D67"/>
    <w:rsid w:val="00147B5E"/>
    <w:rsid w:val="00153267"/>
    <w:rsid w:val="00175DBA"/>
    <w:rsid w:val="00176BCD"/>
    <w:rsid w:val="0018414A"/>
    <w:rsid w:val="00187C69"/>
    <w:rsid w:val="001A6886"/>
    <w:rsid w:val="001E23FC"/>
    <w:rsid w:val="001F62A5"/>
    <w:rsid w:val="00224C26"/>
    <w:rsid w:val="002415F5"/>
    <w:rsid w:val="002573DC"/>
    <w:rsid w:val="00262D3B"/>
    <w:rsid w:val="00276ACF"/>
    <w:rsid w:val="00285142"/>
    <w:rsid w:val="00297B77"/>
    <w:rsid w:val="002B7413"/>
    <w:rsid w:val="002C21EA"/>
    <w:rsid w:val="002E2C0F"/>
    <w:rsid w:val="003645A1"/>
    <w:rsid w:val="003744A2"/>
    <w:rsid w:val="003E4C77"/>
    <w:rsid w:val="003F0170"/>
    <w:rsid w:val="00422EDC"/>
    <w:rsid w:val="0047712F"/>
    <w:rsid w:val="004806DE"/>
    <w:rsid w:val="004B73A6"/>
    <w:rsid w:val="004C004F"/>
    <w:rsid w:val="004D4815"/>
    <w:rsid w:val="004D7C40"/>
    <w:rsid w:val="004E086A"/>
    <w:rsid w:val="00503E3C"/>
    <w:rsid w:val="0052191E"/>
    <w:rsid w:val="00552B61"/>
    <w:rsid w:val="005773CB"/>
    <w:rsid w:val="00582EFA"/>
    <w:rsid w:val="00595F42"/>
    <w:rsid w:val="005C081C"/>
    <w:rsid w:val="005F5557"/>
    <w:rsid w:val="00635F3C"/>
    <w:rsid w:val="00651508"/>
    <w:rsid w:val="006524B5"/>
    <w:rsid w:val="00656481"/>
    <w:rsid w:val="00661E4C"/>
    <w:rsid w:val="006638AA"/>
    <w:rsid w:val="00685810"/>
    <w:rsid w:val="006A20D4"/>
    <w:rsid w:val="006A344B"/>
    <w:rsid w:val="006B09FC"/>
    <w:rsid w:val="006D6864"/>
    <w:rsid w:val="006D7A0B"/>
    <w:rsid w:val="007112F7"/>
    <w:rsid w:val="00733986"/>
    <w:rsid w:val="00765597"/>
    <w:rsid w:val="007728AE"/>
    <w:rsid w:val="00797767"/>
    <w:rsid w:val="007A3F1E"/>
    <w:rsid w:val="007B0AF9"/>
    <w:rsid w:val="007D3874"/>
    <w:rsid w:val="007D56F1"/>
    <w:rsid w:val="0083056C"/>
    <w:rsid w:val="008306D6"/>
    <w:rsid w:val="0086243F"/>
    <w:rsid w:val="008763DD"/>
    <w:rsid w:val="00885BBF"/>
    <w:rsid w:val="00896C8F"/>
    <w:rsid w:val="008B2BD7"/>
    <w:rsid w:val="008C222F"/>
    <w:rsid w:val="008C6842"/>
    <w:rsid w:val="008E2909"/>
    <w:rsid w:val="008E3107"/>
    <w:rsid w:val="0090620A"/>
    <w:rsid w:val="00907253"/>
    <w:rsid w:val="00933D64"/>
    <w:rsid w:val="00934A4E"/>
    <w:rsid w:val="0098526B"/>
    <w:rsid w:val="009A5286"/>
    <w:rsid w:val="009E3DB0"/>
    <w:rsid w:val="009F53AF"/>
    <w:rsid w:val="00A12A70"/>
    <w:rsid w:val="00A27A5C"/>
    <w:rsid w:val="00A32C6C"/>
    <w:rsid w:val="00A87516"/>
    <w:rsid w:val="00AA41B7"/>
    <w:rsid w:val="00AB0A8E"/>
    <w:rsid w:val="00AE3B12"/>
    <w:rsid w:val="00AE7850"/>
    <w:rsid w:val="00B25B3C"/>
    <w:rsid w:val="00B339D1"/>
    <w:rsid w:val="00B55852"/>
    <w:rsid w:val="00B622C8"/>
    <w:rsid w:val="00BA0981"/>
    <w:rsid w:val="00BB0E8B"/>
    <w:rsid w:val="00BB178A"/>
    <w:rsid w:val="00BD3B4B"/>
    <w:rsid w:val="00BF0A2B"/>
    <w:rsid w:val="00C277F0"/>
    <w:rsid w:val="00C320C2"/>
    <w:rsid w:val="00C73AE5"/>
    <w:rsid w:val="00CA4E44"/>
    <w:rsid w:val="00CF74C4"/>
    <w:rsid w:val="00D3076F"/>
    <w:rsid w:val="00D44A57"/>
    <w:rsid w:val="00D750E7"/>
    <w:rsid w:val="00DC23E7"/>
    <w:rsid w:val="00DD0880"/>
    <w:rsid w:val="00DD7DCA"/>
    <w:rsid w:val="00DF0087"/>
    <w:rsid w:val="00DF1B39"/>
    <w:rsid w:val="00E1050E"/>
    <w:rsid w:val="00E25620"/>
    <w:rsid w:val="00E5572E"/>
    <w:rsid w:val="00E64010"/>
    <w:rsid w:val="00E83CEC"/>
    <w:rsid w:val="00EA1F1D"/>
    <w:rsid w:val="00EC71A4"/>
    <w:rsid w:val="00F0109A"/>
    <w:rsid w:val="00F065D9"/>
    <w:rsid w:val="00F17F02"/>
    <w:rsid w:val="00F20D24"/>
    <w:rsid w:val="00F367C3"/>
    <w:rsid w:val="00F53E54"/>
    <w:rsid w:val="00F72AD9"/>
    <w:rsid w:val="00F87FD8"/>
    <w:rsid w:val="00F903A0"/>
    <w:rsid w:val="00FB0C9E"/>
    <w:rsid w:val="00FB2C09"/>
    <w:rsid w:val="00FC2A9C"/>
    <w:rsid w:val="00FF275A"/>
    <w:rsid w:val="00FF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DFEB2"/>
  <w15:chartTrackingRefBased/>
  <w15:docId w15:val="{FA0501DB-87EF-4BB0-BCE3-24327DF9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ADB,footnote,single space,fn,FOOTNOTES,Footnote Text Char Char,footnote text"/>
    <w:basedOn w:val="Normal"/>
    <w:link w:val="FootnoteTextChar"/>
    <w:uiPriority w:val="99"/>
    <w:unhideWhenUsed/>
    <w:rsid w:val="00661E4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ADB Char1,footnote Char1,single space Char1,fn Char1,FOOTNOTES Char1,Footnote Text Char Char Char1,footnote text Char1"/>
    <w:basedOn w:val="DefaultParagraphFont"/>
    <w:link w:val="FootnoteText"/>
    <w:uiPriority w:val="99"/>
    <w:semiHidden/>
    <w:rsid w:val="00661E4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661E4C"/>
    <w:rPr>
      <w:vertAlign w:val="superscript"/>
    </w:rPr>
  </w:style>
  <w:style w:type="character" w:customStyle="1" w:styleId="FootnoteTextChar1">
    <w:name w:val="Footnote Text Char1"/>
    <w:aliases w:val="ADB Char,footnote Char,single space Char,fn Char,FOOTNOTES Char,Footnote Text Char Char Char,Footnote Text Char Char1,footnote text Char"/>
    <w:basedOn w:val="DefaultParagraphFont"/>
    <w:uiPriority w:val="99"/>
    <w:rsid w:val="008C222F"/>
    <w:rPr>
      <w:sz w:val="18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8C222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364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5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image" Target="media/image3.emf"/><Relationship Id="rId19" Type="http://schemas.openxmlformats.org/officeDocument/2006/relationships/customXml" Target="../customXml/item8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D51A4A30310374BA8BD0ED640CD1DA7" ma:contentTypeVersion="1546" ma:contentTypeDescription="A content type to manage public (operations) IDB documents" ma:contentTypeScope="" ma:versionID="d8c192de1247b4fbb8826c31821bec4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d6c7bf6aa4c0f55b5fc02b7f099a77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Uruguay</TermName>
          <TermId xmlns="http://schemas.microsoft.com/office/infopath/2007/PartnerControls">5d9b6fdd-d595-4446-a0eb-c14b465f6d0e</TermId>
        </TermInfo>
      </Terms>
    </ic46d7e087fd4a108fb86518ca413cc6>
    <IDBDocs_x0020_Number xmlns="cdc7663a-08f0-4737-9e8c-148ce897a09c" xsi:nil="true"/>
    <Division_x0020_or_x0020_Unit xmlns="cdc7663a-08f0-4737-9e8c-148ce897a09c">INT/TIN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Imana, Zaida Victoria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EXPORT AND INVESTMENT PROMOTION</TermName>
          <TermId xmlns="http://schemas.microsoft.com/office/infopath/2007/PartnerControls">a3c6a1c6-fb9e-4c31-b143-db9fb3847e9e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104</Value>
      <Value>103</Value>
      <Value>32</Value>
      <Value>30</Value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UR-L1156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TRADE</TermName>
          <TermId xmlns="http://schemas.microsoft.com/office/infopath/2007/PartnerControls">4f84c989-30b4-4e40-b7c1-3021a996f7c5</TermId>
        </TermInfo>
      </Terms>
    </nddeef1749674d76abdbe4b239a70bc6>
    <Record_x0020_Number xmlns="cdc7663a-08f0-4737-9e8c-148ce897a09c" xsi:nil="true"/>
    <_dlc_DocId xmlns="cdc7663a-08f0-4737-9e8c-148ce897a09c">EZSHARE-15702405-7</_dlc_DocId>
    <_dlc_DocIdUrl xmlns="cdc7663a-08f0-4737-9e8c-148ce897a09c">
      <Url>https://idbg.sharepoint.com/teams/EZ-UR-LON/UR-L1156/_layouts/15/DocIdRedir.aspx?ID=EZSHARE-15702405-7</Url>
      <Description>EZSHARE-15702405-7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8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AC8B437C-3BEF-4485-836E-3BC0D8B0F8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1C71B8-5CE3-46BB-AB81-59CC11E1F5E6}"/>
</file>

<file path=customXml/itemProps3.xml><?xml version="1.0" encoding="utf-8"?>
<ds:datastoreItem xmlns:ds="http://schemas.openxmlformats.org/officeDocument/2006/customXml" ds:itemID="{3FFB4267-9A28-49F3-8CD8-B5C3D3351B6D}"/>
</file>

<file path=customXml/itemProps4.xml><?xml version="1.0" encoding="utf-8"?>
<ds:datastoreItem xmlns:ds="http://schemas.openxmlformats.org/officeDocument/2006/customXml" ds:itemID="{2C37F0CE-F850-4980-AEEF-65BFAD9D5167}"/>
</file>

<file path=customXml/itemProps5.xml><?xml version="1.0" encoding="utf-8"?>
<ds:datastoreItem xmlns:ds="http://schemas.openxmlformats.org/officeDocument/2006/customXml" ds:itemID="{0B538DA8-D795-49D4-9D6C-092750DCD034}"/>
</file>

<file path=customXml/itemProps6.xml><?xml version="1.0" encoding="utf-8"?>
<ds:datastoreItem xmlns:ds="http://schemas.openxmlformats.org/officeDocument/2006/customXml" ds:itemID="{BA8B37E7-5D78-4B51-BF14-1109B93ED3EF}"/>
</file>

<file path=customXml/itemProps7.xml><?xml version="1.0" encoding="utf-8"?>
<ds:datastoreItem xmlns:ds="http://schemas.openxmlformats.org/officeDocument/2006/customXml" ds:itemID="{A691CF9F-E20A-4CDC-BEEE-35CD75DA111C}"/>
</file>

<file path=customXml/itemProps8.xml><?xml version="1.0" encoding="utf-8"?>
<ds:datastoreItem xmlns:ds="http://schemas.openxmlformats.org/officeDocument/2006/customXml" ds:itemID="{943A3D53-C3A0-4B9D-A2A0-FC49FB6C99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Pietrafesa Sergio, Florencia</dc:creator>
  <cp:keywords/>
  <dc:description/>
  <cp:lastModifiedBy>Gomez Decker, Federica</cp:lastModifiedBy>
  <cp:revision>2</cp:revision>
  <dcterms:created xsi:type="dcterms:W3CDTF">2019-06-05T14:56:00Z</dcterms:created>
  <dcterms:modified xsi:type="dcterms:W3CDTF">2019-06-05T14:56:00Z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104;#EXPORT AND INVESTMENT PROMOTION|a3c6a1c6-fb9e-4c31-b143-db9fb3847e9e</vt:lpwstr>
  </property>
  <property fmtid="{D5CDD505-2E9C-101B-9397-08002B2CF9AE}" pid="7" name="Fund IDB">
    <vt:lpwstr>30;#ORC|c028a4b2-ad8b-4cf4-9cac-a2ae6a778e23</vt:lpwstr>
  </property>
  <property fmtid="{D5CDD505-2E9C-101B-9397-08002B2CF9AE}" pid="8" name="Country">
    <vt:lpwstr>32;#Uruguay|5d9b6fdd-d595-4446-a0eb-c14b465f6d0e</vt:lpwstr>
  </property>
  <property fmtid="{D5CDD505-2E9C-101B-9397-08002B2CF9AE}" pid="9" name="Sector IDB">
    <vt:lpwstr>103;#TRADE|4f84c989-30b4-4e40-b7c1-3021a996f7c5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62a42f38-f0d6-4bf4-9404-93149e2935c2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0x0101001A458A224826124E8B45B1D613300CFC000D51A4A30310374BA8BD0ED640CD1DA7</vt:lpwstr>
  </property>
</Properties>
</file>