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customXml/itemProps6.xml" ContentType="application/vnd.openxmlformats-officedocument.customXmlProperties+xml"/>
  <Override PartName="/customXml/itemProps7.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8.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12.xml" ContentType="application/vnd.openxmlformats-officedocument.customXmlProperties+xml"/>
  <Override PartName="/customXml/itemProps11.xml" ContentType="application/vnd.openxmlformats-officedocument.customXmlProperties+xml"/>
  <Override PartName="/customXml/itemProps10.xml" ContentType="application/vnd.openxmlformats-officedocument.customXmlProperties+xml"/>
  <Override PartName="/customXml/itemProps9.xml" ContentType="application/vnd.openxmlformats-officedocument.customXmlProperties+xml"/>
  <Override PartName="/word/webSettings.xml" ContentType="application/vnd.openxmlformats-officedocument.wordprocessingml.webSettings+xml"/>
  <Override PartName="/customXml/itemProps16.xml" ContentType="application/vnd.openxmlformats-officedocument.customXmlProperties+xml"/>
  <Override PartName="/customXml/itemProps15.xml" ContentType="application/vnd.openxmlformats-officedocument.customXmlProperties+xml"/>
  <Override PartName="/customXml/itemProps14.xml" ContentType="application/vnd.openxmlformats-officedocument.customXmlProperties+xml"/>
  <Override PartName="/customXml/itemProps13.xml" ContentType="application/vnd.openxmlformats-officedocument.customXmlProperties+xml"/>
  <Override PartName="/customXml/itemProps1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F46FF" w14:textId="47A31EAB" w:rsidR="005A3B64" w:rsidRPr="00304219" w:rsidRDefault="00D9570B">
      <w:pPr>
        <w:tabs>
          <w:tab w:val="left" w:pos="1440"/>
          <w:tab w:val="left" w:pos="3060"/>
        </w:tabs>
        <w:jc w:val="center"/>
        <w:rPr>
          <w:rFonts w:ascii="Arial" w:hAnsi="Arial" w:cs="Arial"/>
          <w:smallCaps/>
          <w:sz w:val="22"/>
          <w:szCs w:val="22"/>
        </w:rPr>
      </w:pPr>
      <w:r>
        <w:rPr>
          <w:rFonts w:ascii="Arial" w:hAnsi="Arial" w:cs="Arial"/>
          <w:smallCaps/>
          <w:sz w:val="22"/>
          <w:szCs w:val="22"/>
        </w:rPr>
        <w:t>expo</w:t>
      </w:r>
    </w:p>
    <w:p w14:paraId="00736FB8" w14:textId="77777777" w:rsidR="005A3B64" w:rsidRPr="00304219" w:rsidRDefault="005A3B64">
      <w:pPr>
        <w:tabs>
          <w:tab w:val="left" w:pos="1440"/>
          <w:tab w:val="left" w:pos="3060"/>
        </w:tabs>
        <w:jc w:val="center"/>
        <w:rPr>
          <w:rFonts w:ascii="Arial" w:hAnsi="Arial" w:cs="Arial"/>
          <w:smallCaps/>
          <w:sz w:val="22"/>
          <w:szCs w:val="22"/>
        </w:rPr>
      </w:pPr>
    </w:p>
    <w:p w14:paraId="67919978" w14:textId="77777777" w:rsidR="005A3B64" w:rsidRPr="00304219" w:rsidRDefault="005A3B64">
      <w:pPr>
        <w:tabs>
          <w:tab w:val="left" w:pos="1440"/>
          <w:tab w:val="left" w:pos="3060"/>
        </w:tabs>
        <w:jc w:val="center"/>
        <w:rPr>
          <w:rFonts w:ascii="Arial" w:hAnsi="Arial" w:cs="Arial"/>
          <w:smallCaps/>
          <w:sz w:val="22"/>
          <w:szCs w:val="22"/>
        </w:rPr>
      </w:pPr>
    </w:p>
    <w:p w14:paraId="57B97034" w14:textId="77777777" w:rsidR="005A3B64" w:rsidRPr="00304219" w:rsidRDefault="005A3B64">
      <w:pPr>
        <w:tabs>
          <w:tab w:val="left" w:pos="1440"/>
          <w:tab w:val="left" w:pos="3060"/>
        </w:tabs>
        <w:jc w:val="center"/>
        <w:rPr>
          <w:rFonts w:ascii="Arial" w:hAnsi="Arial" w:cs="Arial"/>
          <w:b/>
          <w:smallCaps/>
          <w:sz w:val="22"/>
          <w:szCs w:val="22"/>
        </w:rPr>
      </w:pPr>
    </w:p>
    <w:p w14:paraId="00125782" w14:textId="77777777" w:rsidR="005A3B64" w:rsidRPr="00304219" w:rsidRDefault="005A3B64">
      <w:pPr>
        <w:tabs>
          <w:tab w:val="left" w:pos="1440"/>
          <w:tab w:val="left" w:pos="3060"/>
        </w:tabs>
        <w:jc w:val="center"/>
        <w:rPr>
          <w:rFonts w:ascii="Arial" w:hAnsi="Arial" w:cs="Arial"/>
          <w:b/>
          <w:smallCaps/>
          <w:sz w:val="22"/>
          <w:szCs w:val="22"/>
        </w:rPr>
      </w:pPr>
    </w:p>
    <w:p w14:paraId="5AB3B6D2" w14:textId="77777777" w:rsidR="005A3B64" w:rsidRPr="00304219" w:rsidRDefault="005A3B64">
      <w:pPr>
        <w:tabs>
          <w:tab w:val="left" w:pos="1440"/>
          <w:tab w:val="left" w:pos="3060"/>
        </w:tabs>
        <w:jc w:val="center"/>
        <w:rPr>
          <w:rFonts w:ascii="Arial" w:hAnsi="Arial" w:cs="Arial"/>
          <w:b/>
          <w:smallCaps/>
          <w:sz w:val="22"/>
          <w:szCs w:val="22"/>
        </w:rPr>
      </w:pPr>
    </w:p>
    <w:p w14:paraId="3B7970A8" w14:textId="77777777" w:rsidR="005A3B64" w:rsidRPr="00304219" w:rsidRDefault="005A3B64">
      <w:pPr>
        <w:tabs>
          <w:tab w:val="left" w:pos="1440"/>
          <w:tab w:val="left" w:pos="3060"/>
        </w:tabs>
        <w:jc w:val="center"/>
        <w:rPr>
          <w:rFonts w:ascii="Arial" w:hAnsi="Arial" w:cs="Arial"/>
          <w:b/>
          <w:smallCaps/>
          <w:sz w:val="22"/>
          <w:szCs w:val="22"/>
        </w:rPr>
      </w:pPr>
    </w:p>
    <w:p w14:paraId="3CE3A064" w14:textId="77777777" w:rsidR="005A3B64" w:rsidRPr="00304219" w:rsidRDefault="005A3B64">
      <w:pPr>
        <w:tabs>
          <w:tab w:val="left" w:pos="1440"/>
          <w:tab w:val="left" w:pos="3060"/>
        </w:tabs>
        <w:jc w:val="center"/>
        <w:rPr>
          <w:rFonts w:ascii="Arial" w:hAnsi="Arial" w:cs="Arial"/>
          <w:b/>
          <w:smallCaps/>
          <w:sz w:val="22"/>
          <w:szCs w:val="22"/>
        </w:rPr>
      </w:pPr>
    </w:p>
    <w:p w14:paraId="038D017C" w14:textId="77777777" w:rsidR="005A3B64" w:rsidRPr="00304219" w:rsidRDefault="005A3B64">
      <w:pPr>
        <w:tabs>
          <w:tab w:val="left" w:pos="1440"/>
          <w:tab w:val="left" w:pos="3060"/>
        </w:tabs>
        <w:jc w:val="center"/>
        <w:rPr>
          <w:rFonts w:ascii="Arial" w:hAnsi="Arial" w:cs="Arial"/>
          <w:b/>
          <w:smallCaps/>
          <w:sz w:val="28"/>
          <w:szCs w:val="22"/>
        </w:rPr>
      </w:pPr>
    </w:p>
    <w:p w14:paraId="537EADC4" w14:textId="77777777" w:rsidR="005A3B64" w:rsidRPr="00304219" w:rsidRDefault="00B85A50">
      <w:pPr>
        <w:tabs>
          <w:tab w:val="left" w:pos="1440"/>
          <w:tab w:val="left" w:pos="3060"/>
        </w:tabs>
        <w:jc w:val="center"/>
        <w:rPr>
          <w:rFonts w:ascii="Arial" w:hAnsi="Arial" w:cs="Arial"/>
          <w:b/>
          <w:smallCaps/>
          <w:sz w:val="28"/>
          <w:szCs w:val="22"/>
        </w:rPr>
      </w:pPr>
      <w:r w:rsidRPr="00304219">
        <w:rPr>
          <w:rFonts w:ascii="Arial" w:hAnsi="Arial" w:cs="Arial"/>
          <w:b/>
          <w:smallCaps/>
          <w:sz w:val="28"/>
          <w:szCs w:val="22"/>
        </w:rPr>
        <w:t>HAITI</w:t>
      </w:r>
    </w:p>
    <w:p w14:paraId="3DDD0920" w14:textId="77777777" w:rsidR="005A3B64" w:rsidRPr="00304219" w:rsidRDefault="005A3B64">
      <w:pPr>
        <w:tabs>
          <w:tab w:val="left" w:pos="1440"/>
          <w:tab w:val="left" w:pos="3060"/>
        </w:tabs>
        <w:jc w:val="center"/>
        <w:rPr>
          <w:rFonts w:ascii="Arial" w:hAnsi="Arial" w:cs="Arial"/>
          <w:smallCaps/>
          <w:sz w:val="28"/>
          <w:szCs w:val="22"/>
        </w:rPr>
      </w:pPr>
    </w:p>
    <w:p w14:paraId="63B3F10E" w14:textId="77777777" w:rsidR="005A3B64" w:rsidRPr="00304219" w:rsidRDefault="005A3B64">
      <w:pPr>
        <w:tabs>
          <w:tab w:val="left" w:pos="1440"/>
          <w:tab w:val="left" w:pos="3060"/>
        </w:tabs>
        <w:jc w:val="center"/>
        <w:rPr>
          <w:rFonts w:ascii="Arial" w:hAnsi="Arial" w:cs="Arial"/>
          <w:smallCaps/>
          <w:sz w:val="28"/>
          <w:szCs w:val="22"/>
        </w:rPr>
      </w:pPr>
    </w:p>
    <w:p w14:paraId="09339D86" w14:textId="77777777" w:rsidR="005A3B64" w:rsidRPr="00304219" w:rsidRDefault="005A3B64">
      <w:pPr>
        <w:tabs>
          <w:tab w:val="left" w:pos="1440"/>
          <w:tab w:val="left" w:pos="3060"/>
        </w:tabs>
        <w:jc w:val="center"/>
        <w:rPr>
          <w:rFonts w:ascii="Arial" w:hAnsi="Arial" w:cs="Arial"/>
          <w:smallCaps/>
          <w:sz w:val="28"/>
          <w:szCs w:val="22"/>
        </w:rPr>
      </w:pPr>
    </w:p>
    <w:p w14:paraId="1C2EE5B0" w14:textId="77777777" w:rsidR="005A3B64" w:rsidRPr="00304219" w:rsidRDefault="005A3B64">
      <w:pPr>
        <w:tabs>
          <w:tab w:val="left" w:pos="1440"/>
          <w:tab w:val="left" w:pos="3060"/>
        </w:tabs>
        <w:jc w:val="center"/>
        <w:rPr>
          <w:rFonts w:ascii="Arial" w:hAnsi="Arial" w:cs="Arial"/>
          <w:smallCaps/>
          <w:sz w:val="28"/>
          <w:szCs w:val="22"/>
        </w:rPr>
      </w:pPr>
    </w:p>
    <w:p w14:paraId="4E2E59C4" w14:textId="77777777" w:rsidR="005A3B64" w:rsidRPr="00304219" w:rsidRDefault="005A3B64">
      <w:pPr>
        <w:tabs>
          <w:tab w:val="left" w:pos="1440"/>
          <w:tab w:val="left" w:pos="3060"/>
        </w:tabs>
        <w:jc w:val="center"/>
        <w:rPr>
          <w:rFonts w:ascii="Arial" w:hAnsi="Arial" w:cs="Arial"/>
          <w:smallCaps/>
          <w:sz w:val="28"/>
          <w:szCs w:val="22"/>
        </w:rPr>
      </w:pPr>
    </w:p>
    <w:p w14:paraId="6336A352" w14:textId="77777777" w:rsidR="005A3B64" w:rsidRPr="00304219" w:rsidRDefault="005A3B64">
      <w:pPr>
        <w:tabs>
          <w:tab w:val="left" w:pos="1440"/>
          <w:tab w:val="left" w:pos="3060"/>
        </w:tabs>
        <w:jc w:val="center"/>
        <w:rPr>
          <w:rFonts w:ascii="Arial" w:hAnsi="Arial" w:cs="Arial"/>
          <w:smallCaps/>
          <w:sz w:val="28"/>
          <w:szCs w:val="22"/>
        </w:rPr>
      </w:pPr>
    </w:p>
    <w:p w14:paraId="422468F1" w14:textId="77777777" w:rsidR="005A3B64" w:rsidRPr="00304219" w:rsidRDefault="00D13DB8">
      <w:pPr>
        <w:pStyle w:val="Newpage"/>
        <w:tabs>
          <w:tab w:val="clear" w:pos="3060"/>
          <w:tab w:val="left" w:pos="2995"/>
          <w:tab w:val="left" w:pos="4680"/>
          <w:tab w:val="left" w:pos="5155"/>
          <w:tab w:val="left" w:pos="7675"/>
          <w:tab w:val="left" w:pos="10555"/>
        </w:tabs>
        <w:spacing w:before="40" w:after="40"/>
        <w:rPr>
          <w:rFonts w:ascii="Arial" w:hAnsi="Arial" w:cs="Arial"/>
          <w:b w:val="0"/>
          <w:smallCaps w:val="0"/>
          <w:sz w:val="28"/>
          <w:szCs w:val="22"/>
          <w:lang w:val="es-ES_tradnl"/>
        </w:rPr>
      </w:pPr>
      <w:r w:rsidRPr="00304219">
        <w:rPr>
          <w:rFonts w:ascii="Arial" w:hAnsi="Arial" w:cs="Arial"/>
          <w:sz w:val="28"/>
          <w:szCs w:val="22"/>
          <w:lang w:val="es-ES_tradnl"/>
        </w:rPr>
        <w:t>Pro</w:t>
      </w:r>
      <w:r w:rsidR="00B85A50" w:rsidRPr="00304219">
        <w:rPr>
          <w:rFonts w:ascii="Arial" w:hAnsi="Arial" w:cs="Arial"/>
          <w:sz w:val="28"/>
          <w:szCs w:val="22"/>
          <w:lang w:val="es-ES_tradnl"/>
        </w:rPr>
        <w:t xml:space="preserve">grama de Infraestructura </w:t>
      </w:r>
      <w:r w:rsidR="00C04D8C" w:rsidRPr="00304219">
        <w:rPr>
          <w:rFonts w:ascii="Arial" w:hAnsi="Arial" w:cs="Arial"/>
          <w:sz w:val="28"/>
          <w:szCs w:val="22"/>
          <w:lang w:val="es-ES_tradnl"/>
        </w:rPr>
        <w:t>II</w:t>
      </w:r>
      <w:r w:rsidR="00CE639D" w:rsidRPr="00304219">
        <w:rPr>
          <w:rFonts w:ascii="Arial" w:hAnsi="Arial" w:cs="Arial"/>
          <w:sz w:val="28"/>
          <w:szCs w:val="22"/>
          <w:lang w:val="es-ES_tradnl"/>
        </w:rPr>
        <w:t>I</w:t>
      </w:r>
    </w:p>
    <w:p w14:paraId="09DAAB76" w14:textId="77777777" w:rsidR="005A3B64" w:rsidRPr="00304219" w:rsidRDefault="005A3B64">
      <w:pPr>
        <w:tabs>
          <w:tab w:val="left" w:pos="1440"/>
          <w:tab w:val="left" w:pos="2995"/>
          <w:tab w:val="left" w:pos="4680"/>
          <w:tab w:val="left" w:pos="5155"/>
          <w:tab w:val="left" w:pos="7675"/>
          <w:tab w:val="left" w:pos="10555"/>
        </w:tabs>
        <w:jc w:val="center"/>
        <w:rPr>
          <w:rFonts w:ascii="Arial" w:hAnsi="Arial" w:cs="Arial"/>
          <w:b/>
          <w:smallCaps/>
          <w:sz w:val="28"/>
          <w:szCs w:val="22"/>
        </w:rPr>
      </w:pPr>
    </w:p>
    <w:p w14:paraId="24F09367" w14:textId="77777777" w:rsidR="005A3B64" w:rsidRPr="00304219" w:rsidRDefault="00796C59">
      <w:pPr>
        <w:tabs>
          <w:tab w:val="left" w:pos="1440"/>
          <w:tab w:val="left" w:pos="2995"/>
          <w:tab w:val="left" w:pos="4680"/>
          <w:tab w:val="left" w:pos="5155"/>
          <w:tab w:val="left" w:pos="7675"/>
          <w:tab w:val="left" w:pos="10555"/>
        </w:tabs>
        <w:jc w:val="center"/>
        <w:rPr>
          <w:rFonts w:ascii="Arial" w:hAnsi="Arial" w:cs="Arial"/>
          <w:smallCaps/>
          <w:szCs w:val="24"/>
        </w:rPr>
      </w:pPr>
      <w:r w:rsidRPr="00304219">
        <w:rPr>
          <w:rFonts w:ascii="Arial" w:hAnsi="Arial" w:cs="Arial"/>
          <w:b/>
          <w:smallCaps/>
          <w:szCs w:val="24"/>
        </w:rPr>
        <w:t>(HA-L1101</w:t>
      </w:r>
      <w:r w:rsidR="00D13DB8" w:rsidRPr="00304219">
        <w:rPr>
          <w:rFonts w:ascii="Arial" w:hAnsi="Arial" w:cs="Arial"/>
          <w:b/>
          <w:smallCaps/>
          <w:szCs w:val="24"/>
        </w:rPr>
        <w:t>)</w:t>
      </w:r>
    </w:p>
    <w:p w14:paraId="3C539F79" w14:textId="77777777" w:rsidR="005A3B64" w:rsidRPr="00304219" w:rsidRDefault="005A3B64">
      <w:pPr>
        <w:tabs>
          <w:tab w:val="left" w:pos="1440"/>
          <w:tab w:val="left" w:pos="3060"/>
        </w:tabs>
        <w:jc w:val="center"/>
        <w:rPr>
          <w:rFonts w:ascii="Arial" w:hAnsi="Arial" w:cs="Arial"/>
          <w:smallCaps/>
          <w:szCs w:val="24"/>
        </w:rPr>
      </w:pPr>
    </w:p>
    <w:p w14:paraId="6F19C29D" w14:textId="77777777" w:rsidR="005A3B64" w:rsidRPr="00304219" w:rsidRDefault="005A3B64">
      <w:pPr>
        <w:tabs>
          <w:tab w:val="left" w:pos="1440"/>
          <w:tab w:val="left" w:pos="3060"/>
        </w:tabs>
        <w:jc w:val="center"/>
        <w:rPr>
          <w:rFonts w:ascii="Arial" w:hAnsi="Arial" w:cs="Arial"/>
          <w:smallCaps/>
          <w:szCs w:val="24"/>
        </w:rPr>
      </w:pPr>
    </w:p>
    <w:p w14:paraId="4A4C032F" w14:textId="77777777" w:rsidR="005A3B64" w:rsidRPr="00304219" w:rsidRDefault="005A3B64">
      <w:pPr>
        <w:tabs>
          <w:tab w:val="left" w:pos="1440"/>
          <w:tab w:val="left" w:pos="3060"/>
        </w:tabs>
        <w:jc w:val="center"/>
        <w:outlineLvl w:val="0"/>
        <w:rPr>
          <w:rFonts w:ascii="Arial" w:hAnsi="Arial" w:cs="Arial"/>
          <w:b/>
          <w:smallCaps/>
          <w:szCs w:val="24"/>
        </w:rPr>
      </w:pPr>
    </w:p>
    <w:p w14:paraId="61230F8B" w14:textId="77777777" w:rsidR="005A3B64" w:rsidRPr="00304219" w:rsidRDefault="005A3B64">
      <w:pPr>
        <w:tabs>
          <w:tab w:val="left" w:pos="1440"/>
          <w:tab w:val="left" w:pos="3060"/>
        </w:tabs>
        <w:jc w:val="center"/>
        <w:outlineLvl w:val="0"/>
        <w:rPr>
          <w:rFonts w:ascii="Arial" w:hAnsi="Arial" w:cs="Arial"/>
          <w:b/>
          <w:smallCaps/>
          <w:szCs w:val="24"/>
        </w:rPr>
      </w:pPr>
    </w:p>
    <w:p w14:paraId="19182FCD" w14:textId="77777777" w:rsidR="005A3B64" w:rsidRPr="00304219" w:rsidRDefault="005A3B64">
      <w:pPr>
        <w:tabs>
          <w:tab w:val="left" w:pos="1440"/>
          <w:tab w:val="left" w:pos="3060"/>
        </w:tabs>
        <w:jc w:val="center"/>
        <w:outlineLvl w:val="0"/>
        <w:rPr>
          <w:rFonts w:ascii="Arial" w:hAnsi="Arial" w:cs="Arial"/>
          <w:b/>
          <w:smallCaps/>
          <w:szCs w:val="24"/>
        </w:rPr>
      </w:pPr>
    </w:p>
    <w:p w14:paraId="4FEE78F4" w14:textId="77777777" w:rsidR="005A3B64" w:rsidRPr="00304219" w:rsidRDefault="00D14D7D">
      <w:pPr>
        <w:tabs>
          <w:tab w:val="left" w:pos="1440"/>
          <w:tab w:val="left" w:pos="3060"/>
        </w:tabs>
        <w:jc w:val="center"/>
        <w:outlineLvl w:val="0"/>
        <w:rPr>
          <w:rFonts w:ascii="Arial" w:hAnsi="Arial" w:cs="Arial"/>
          <w:b/>
          <w:smallCaps/>
          <w:szCs w:val="24"/>
        </w:rPr>
      </w:pPr>
      <w:r w:rsidRPr="00304219">
        <w:rPr>
          <w:rFonts w:ascii="Arial" w:hAnsi="Arial" w:cs="Arial"/>
          <w:b/>
          <w:smallCaps/>
          <w:szCs w:val="24"/>
        </w:rPr>
        <w:t xml:space="preserve">Plan </w:t>
      </w:r>
      <w:r w:rsidR="00B27431" w:rsidRPr="00304219">
        <w:rPr>
          <w:rFonts w:ascii="Arial" w:hAnsi="Arial" w:cs="Arial"/>
          <w:b/>
          <w:smallCaps/>
          <w:szCs w:val="24"/>
        </w:rPr>
        <w:t xml:space="preserve">de </w:t>
      </w:r>
      <w:r w:rsidR="00A20E22" w:rsidRPr="00304219">
        <w:rPr>
          <w:rFonts w:ascii="Arial" w:hAnsi="Arial" w:cs="Arial"/>
          <w:b/>
          <w:smallCaps/>
          <w:szCs w:val="24"/>
        </w:rPr>
        <w:t>Moni</w:t>
      </w:r>
      <w:r w:rsidR="00F02EB7" w:rsidRPr="00304219">
        <w:rPr>
          <w:rFonts w:ascii="Arial" w:hAnsi="Arial" w:cs="Arial"/>
          <w:b/>
          <w:smallCaps/>
          <w:szCs w:val="24"/>
        </w:rPr>
        <w:t>toreo</w:t>
      </w:r>
      <w:r w:rsidR="00A20E22" w:rsidRPr="00304219">
        <w:rPr>
          <w:rFonts w:ascii="Arial" w:hAnsi="Arial" w:cs="Arial"/>
          <w:b/>
          <w:smallCaps/>
          <w:szCs w:val="24"/>
        </w:rPr>
        <w:t xml:space="preserve"> </w:t>
      </w:r>
      <w:r w:rsidR="00F02EB7" w:rsidRPr="00304219">
        <w:rPr>
          <w:rFonts w:ascii="Arial" w:hAnsi="Arial" w:cs="Arial"/>
          <w:b/>
          <w:smallCaps/>
          <w:szCs w:val="24"/>
        </w:rPr>
        <w:t>y</w:t>
      </w:r>
      <w:r w:rsidR="00A20E22" w:rsidRPr="00304219">
        <w:rPr>
          <w:rFonts w:ascii="Arial" w:hAnsi="Arial" w:cs="Arial"/>
          <w:b/>
          <w:smallCaps/>
          <w:szCs w:val="24"/>
        </w:rPr>
        <w:t xml:space="preserve"> Evalua</w:t>
      </w:r>
      <w:r w:rsidR="00F02EB7" w:rsidRPr="00304219">
        <w:rPr>
          <w:rFonts w:ascii="Arial" w:hAnsi="Arial" w:cs="Arial"/>
          <w:b/>
          <w:smallCaps/>
          <w:szCs w:val="24"/>
        </w:rPr>
        <w:t>ci</w:t>
      </w:r>
      <w:r w:rsidR="00160BC1" w:rsidRPr="00304219">
        <w:rPr>
          <w:rFonts w:ascii="Arial" w:hAnsi="Arial" w:cs="Arial"/>
          <w:b/>
          <w:smallCaps/>
          <w:szCs w:val="24"/>
        </w:rPr>
        <w:t>ó</w:t>
      </w:r>
      <w:r w:rsidR="00F02EB7" w:rsidRPr="00304219">
        <w:rPr>
          <w:rFonts w:ascii="Arial" w:hAnsi="Arial" w:cs="Arial"/>
          <w:b/>
          <w:smallCaps/>
          <w:szCs w:val="24"/>
        </w:rPr>
        <w:t>n</w:t>
      </w:r>
    </w:p>
    <w:p w14:paraId="0AA30C4D" w14:textId="77777777" w:rsidR="005A3B64" w:rsidRPr="00304219" w:rsidRDefault="005A3B64">
      <w:pPr>
        <w:tabs>
          <w:tab w:val="left" w:pos="1440"/>
          <w:tab w:val="left" w:pos="3060"/>
        </w:tabs>
        <w:jc w:val="center"/>
        <w:outlineLvl w:val="0"/>
        <w:rPr>
          <w:rFonts w:ascii="Arial" w:hAnsi="Arial" w:cs="Arial"/>
          <w:sz w:val="22"/>
          <w:szCs w:val="22"/>
        </w:rPr>
      </w:pPr>
    </w:p>
    <w:p w14:paraId="2C1B896A" w14:textId="77777777" w:rsidR="005A3B64" w:rsidRPr="00304219" w:rsidRDefault="005A3B64">
      <w:pPr>
        <w:tabs>
          <w:tab w:val="left" w:pos="1440"/>
          <w:tab w:val="left" w:pos="3060"/>
        </w:tabs>
        <w:jc w:val="center"/>
        <w:outlineLvl w:val="0"/>
        <w:rPr>
          <w:rFonts w:ascii="Arial" w:hAnsi="Arial" w:cs="Arial"/>
          <w:sz w:val="22"/>
          <w:szCs w:val="22"/>
        </w:rPr>
      </w:pPr>
    </w:p>
    <w:p w14:paraId="37737E20" w14:textId="77777777" w:rsidR="005A3B64" w:rsidRPr="00304219" w:rsidRDefault="005A3B64">
      <w:pPr>
        <w:tabs>
          <w:tab w:val="left" w:pos="1440"/>
          <w:tab w:val="left" w:pos="3060"/>
        </w:tabs>
        <w:jc w:val="center"/>
        <w:outlineLvl w:val="0"/>
        <w:rPr>
          <w:rFonts w:ascii="Arial" w:hAnsi="Arial" w:cs="Arial"/>
          <w:sz w:val="22"/>
          <w:szCs w:val="22"/>
        </w:rPr>
      </w:pPr>
    </w:p>
    <w:p w14:paraId="64BA6A90" w14:textId="77777777" w:rsidR="005A3B64" w:rsidRPr="00304219" w:rsidRDefault="005A3B64">
      <w:pPr>
        <w:tabs>
          <w:tab w:val="left" w:pos="1440"/>
          <w:tab w:val="left" w:pos="3060"/>
        </w:tabs>
        <w:jc w:val="center"/>
        <w:outlineLvl w:val="0"/>
        <w:rPr>
          <w:rFonts w:ascii="Arial" w:hAnsi="Arial" w:cs="Arial"/>
          <w:sz w:val="22"/>
          <w:szCs w:val="22"/>
        </w:rPr>
      </w:pPr>
    </w:p>
    <w:p w14:paraId="5E970774" w14:textId="77777777" w:rsidR="005A3B64" w:rsidRPr="00304219" w:rsidRDefault="005A3B64">
      <w:pPr>
        <w:tabs>
          <w:tab w:val="left" w:pos="1440"/>
          <w:tab w:val="left" w:pos="3060"/>
        </w:tabs>
        <w:jc w:val="center"/>
        <w:outlineLvl w:val="0"/>
        <w:rPr>
          <w:rFonts w:ascii="Arial" w:hAnsi="Arial" w:cs="Arial"/>
          <w:sz w:val="22"/>
          <w:szCs w:val="22"/>
        </w:rPr>
      </w:pPr>
    </w:p>
    <w:p w14:paraId="6305D19E" w14:textId="77777777" w:rsidR="005A3B64" w:rsidRPr="00304219" w:rsidRDefault="005A3B64">
      <w:pPr>
        <w:tabs>
          <w:tab w:val="left" w:pos="1440"/>
          <w:tab w:val="left" w:pos="3060"/>
        </w:tabs>
        <w:rPr>
          <w:rFonts w:ascii="Arial" w:hAnsi="Arial" w:cs="Arial"/>
          <w:sz w:val="22"/>
          <w:szCs w:val="22"/>
        </w:rPr>
      </w:pPr>
    </w:p>
    <w:p w14:paraId="71478A7D" w14:textId="77777777" w:rsidR="00796C59" w:rsidRPr="00304219" w:rsidRDefault="00796C59">
      <w:pPr>
        <w:tabs>
          <w:tab w:val="left" w:pos="1440"/>
          <w:tab w:val="left" w:pos="3060"/>
        </w:tabs>
        <w:rPr>
          <w:rFonts w:ascii="Arial" w:hAnsi="Arial" w:cs="Arial"/>
          <w:sz w:val="22"/>
          <w:szCs w:val="22"/>
        </w:rPr>
      </w:pPr>
    </w:p>
    <w:p w14:paraId="6098D36C" w14:textId="77777777" w:rsidR="005A3B64" w:rsidRPr="00304219" w:rsidRDefault="005A3B64">
      <w:pPr>
        <w:tabs>
          <w:tab w:val="left" w:pos="1440"/>
          <w:tab w:val="left" w:pos="3060"/>
        </w:tabs>
        <w:rPr>
          <w:rFonts w:ascii="Arial" w:hAnsi="Arial" w:cs="Arial"/>
          <w:sz w:val="22"/>
          <w:szCs w:val="22"/>
        </w:rPr>
      </w:pPr>
    </w:p>
    <w:p w14:paraId="61F3B35E" w14:textId="2EED2E27" w:rsidR="00A227A4" w:rsidRPr="00304219" w:rsidRDefault="007D1387" w:rsidP="00292CC7">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szCs w:val="22"/>
        </w:rPr>
      </w:pPr>
      <w:r w:rsidRPr="00304219">
        <w:rPr>
          <w:rFonts w:ascii="Arial" w:hAnsi="Arial" w:cs="Arial"/>
          <w:sz w:val="20"/>
          <w:szCs w:val="22"/>
        </w:rPr>
        <w:t xml:space="preserve">Este </w:t>
      </w:r>
      <w:r w:rsidR="00822A5E" w:rsidRPr="00304219">
        <w:rPr>
          <w:rFonts w:ascii="Arial" w:hAnsi="Arial" w:cs="Arial"/>
          <w:sz w:val="20"/>
          <w:szCs w:val="22"/>
        </w:rPr>
        <w:t>documento fue preparado por el equipo de proyecto compuesto por</w:t>
      </w:r>
      <w:r w:rsidR="00CE639D" w:rsidRPr="00304219">
        <w:rPr>
          <w:rFonts w:ascii="Arial" w:hAnsi="Arial" w:cs="Arial"/>
          <w:sz w:val="20"/>
          <w:szCs w:val="22"/>
        </w:rPr>
        <w:t xml:space="preserve">: </w:t>
      </w:r>
      <w:r w:rsidR="00796C59" w:rsidRPr="00304219">
        <w:rPr>
          <w:rFonts w:ascii="Arial" w:hAnsi="Arial" w:cs="Arial"/>
          <w:sz w:val="20"/>
          <w:szCs w:val="22"/>
        </w:rPr>
        <w:t xml:space="preserve">Ana María Sáiz (FMM/CHA), Jefe de Equipo; </w:t>
      </w:r>
      <w:r w:rsidR="00623628" w:rsidRPr="00304219">
        <w:rPr>
          <w:rFonts w:ascii="Arial" w:hAnsi="Arial" w:cs="Arial"/>
          <w:sz w:val="20"/>
          <w:szCs w:val="22"/>
        </w:rPr>
        <w:t>Jesus Navarrete</w:t>
      </w:r>
      <w:r w:rsidR="00796C59" w:rsidRPr="00304219">
        <w:rPr>
          <w:rFonts w:ascii="Arial" w:hAnsi="Arial" w:cs="Arial"/>
          <w:sz w:val="20"/>
          <w:szCs w:val="22"/>
        </w:rPr>
        <w:t xml:space="preserve">, Jefe de Equipo Alterno; Patricio Zambrano-Barragán, </w:t>
      </w:r>
      <w:r w:rsidR="00623628" w:rsidRPr="00304219">
        <w:rPr>
          <w:rFonts w:ascii="Arial" w:hAnsi="Arial" w:cs="Arial"/>
          <w:sz w:val="20"/>
          <w:szCs w:val="22"/>
        </w:rPr>
        <w:t>Marion Joubert</w:t>
      </w:r>
      <w:r w:rsidR="00796C59" w:rsidRPr="00304219">
        <w:rPr>
          <w:rFonts w:ascii="Arial" w:hAnsi="Arial" w:cs="Arial"/>
          <w:sz w:val="20"/>
          <w:szCs w:val="22"/>
        </w:rPr>
        <w:t xml:space="preserve">, </w:t>
      </w:r>
      <w:r w:rsidR="00561F53" w:rsidRPr="00304219">
        <w:rPr>
          <w:rFonts w:ascii="Arial" w:hAnsi="Arial" w:cs="Arial"/>
          <w:sz w:val="20"/>
          <w:szCs w:val="22"/>
        </w:rPr>
        <w:t>y</w:t>
      </w:r>
      <w:r w:rsidR="00796C59" w:rsidRPr="00304219">
        <w:rPr>
          <w:rFonts w:ascii="Arial" w:hAnsi="Arial" w:cs="Arial"/>
          <w:sz w:val="20"/>
          <w:szCs w:val="22"/>
        </w:rPr>
        <w:t xml:space="preserve"> Dianela Avila (IFD/FMM);  Guisselle Velasquez (FMM/CHA); Marc Alain Boucicault, Cedrick Joseph </w:t>
      </w:r>
      <w:r w:rsidR="00561F53" w:rsidRPr="00304219">
        <w:rPr>
          <w:rFonts w:ascii="Arial" w:hAnsi="Arial" w:cs="Arial"/>
          <w:sz w:val="20"/>
          <w:szCs w:val="22"/>
        </w:rPr>
        <w:t>y</w:t>
      </w:r>
      <w:r w:rsidR="00796C59" w:rsidRPr="00304219">
        <w:rPr>
          <w:rFonts w:ascii="Arial" w:hAnsi="Arial" w:cs="Arial"/>
          <w:sz w:val="20"/>
          <w:szCs w:val="22"/>
        </w:rPr>
        <w:t xml:space="preserve"> Anastasia Touati-Morel (CDH/CHA); Alfredo Rihm (INE/WSA); Carlos Mojica (INE/TSP); Carlos Faleiro Pajares (WSA/CHA); Serge-Henri Troch, Crystal Fenwick,  Melissa Barandiaran, Elizabeth Brito, G</w:t>
      </w:r>
      <w:r w:rsidR="00561F53" w:rsidRPr="00304219">
        <w:rPr>
          <w:rFonts w:ascii="Arial" w:hAnsi="Arial" w:cs="Arial"/>
          <w:sz w:val="20"/>
          <w:szCs w:val="22"/>
        </w:rPr>
        <w:t xml:space="preserve">raham Watkins, Soraya Senosier y </w:t>
      </w:r>
      <w:r w:rsidR="00796C59" w:rsidRPr="00304219">
        <w:rPr>
          <w:rFonts w:ascii="Arial" w:hAnsi="Arial" w:cs="Arial"/>
          <w:sz w:val="20"/>
          <w:szCs w:val="22"/>
        </w:rPr>
        <w:t xml:space="preserve">Andy Drumm (VPS/ESG); Taos Aliouat (LEG/SGO); José Luis Irigoyen </w:t>
      </w:r>
      <w:r w:rsidR="00561F53" w:rsidRPr="00304219">
        <w:rPr>
          <w:rFonts w:ascii="Arial" w:hAnsi="Arial" w:cs="Arial"/>
          <w:sz w:val="20"/>
          <w:szCs w:val="22"/>
        </w:rPr>
        <w:t>y</w:t>
      </w:r>
      <w:r w:rsidR="00796C59" w:rsidRPr="00304219">
        <w:rPr>
          <w:rFonts w:ascii="Arial" w:hAnsi="Arial" w:cs="Arial"/>
          <w:sz w:val="20"/>
          <w:szCs w:val="22"/>
        </w:rPr>
        <w:t xml:space="preserve"> Laurence Telson (CDH/CDH); </w:t>
      </w:r>
      <w:r w:rsidR="00561F53" w:rsidRPr="00304219">
        <w:rPr>
          <w:rFonts w:ascii="Arial" w:hAnsi="Arial" w:cs="Arial"/>
          <w:sz w:val="20"/>
          <w:szCs w:val="22"/>
        </w:rPr>
        <w:t>y</w:t>
      </w:r>
      <w:r w:rsidR="00796C59" w:rsidRPr="00304219">
        <w:rPr>
          <w:rFonts w:ascii="Arial" w:hAnsi="Arial" w:cs="Arial"/>
          <w:sz w:val="20"/>
          <w:szCs w:val="22"/>
        </w:rPr>
        <w:t xml:space="preserve"> Lila Dhyana Mallory </w:t>
      </w:r>
      <w:r w:rsidR="00561F53" w:rsidRPr="00304219">
        <w:rPr>
          <w:rFonts w:ascii="Arial" w:hAnsi="Arial" w:cs="Arial"/>
          <w:sz w:val="20"/>
          <w:szCs w:val="22"/>
        </w:rPr>
        <w:t>y</w:t>
      </w:r>
      <w:r w:rsidR="00796C59" w:rsidRPr="00304219">
        <w:rPr>
          <w:rFonts w:ascii="Arial" w:hAnsi="Arial" w:cs="Arial"/>
          <w:sz w:val="20"/>
          <w:szCs w:val="22"/>
        </w:rPr>
        <w:t xml:space="preserve"> Takady Konate (FMP/CHA).</w:t>
      </w:r>
    </w:p>
    <w:p w14:paraId="5D3514E2" w14:textId="77777777" w:rsidR="005950C1" w:rsidRPr="00304219" w:rsidRDefault="005950C1" w:rsidP="00B85A50">
      <w:pPr>
        <w:pStyle w:val="Newpage"/>
        <w:spacing w:before="0"/>
        <w:rPr>
          <w:rFonts w:ascii="Arial" w:hAnsi="Arial" w:cs="Arial"/>
          <w:sz w:val="22"/>
          <w:szCs w:val="22"/>
          <w:lang w:val="es-ES_tradnl"/>
        </w:rPr>
      </w:pPr>
    </w:p>
    <w:p w14:paraId="6F2F5AE8" w14:textId="1A118ED5" w:rsidR="00654D64" w:rsidRPr="00304219" w:rsidRDefault="00654D64">
      <w:pPr>
        <w:rPr>
          <w:rFonts w:ascii="Arial" w:hAnsi="Arial" w:cs="Arial"/>
          <w:b/>
          <w:smallCaps/>
          <w:sz w:val="22"/>
          <w:szCs w:val="22"/>
          <w:lang w:val="es-ES"/>
        </w:rPr>
      </w:pPr>
      <w:r w:rsidRPr="00304219">
        <w:rPr>
          <w:rFonts w:ascii="Arial" w:hAnsi="Arial" w:cs="Arial"/>
          <w:b/>
          <w:smallCaps/>
          <w:sz w:val="22"/>
          <w:szCs w:val="22"/>
          <w:lang w:val="es-ES"/>
        </w:rPr>
        <w:br w:type="page"/>
      </w:r>
    </w:p>
    <w:p w14:paraId="36454CE5" w14:textId="77777777" w:rsidR="00292CC7" w:rsidRPr="00304219" w:rsidRDefault="005950C1" w:rsidP="00EE16FB">
      <w:pPr>
        <w:pStyle w:val="BodyText"/>
        <w:tabs>
          <w:tab w:val="left" w:pos="1440"/>
        </w:tabs>
        <w:spacing w:before="240" w:after="960"/>
        <w:rPr>
          <w:rFonts w:ascii="Arial" w:hAnsi="Arial" w:cs="Arial"/>
          <w:b/>
          <w:smallCaps/>
          <w:sz w:val="22"/>
          <w:szCs w:val="22"/>
          <w:lang w:val="es-ES"/>
        </w:rPr>
      </w:pPr>
      <w:r w:rsidRPr="00304219">
        <w:rPr>
          <w:rFonts w:ascii="Arial" w:hAnsi="Arial" w:cs="Arial"/>
          <w:b/>
          <w:smallCaps/>
          <w:sz w:val="22"/>
          <w:szCs w:val="22"/>
          <w:lang w:val="es-ES"/>
        </w:rPr>
        <w:lastRenderedPageBreak/>
        <w:t>Í</w:t>
      </w:r>
      <w:r w:rsidR="00B664A5" w:rsidRPr="00304219">
        <w:rPr>
          <w:rFonts w:ascii="Arial" w:hAnsi="Arial" w:cs="Arial"/>
          <w:b/>
          <w:smallCaps/>
          <w:sz w:val="22"/>
          <w:szCs w:val="22"/>
          <w:lang w:val="es-ES"/>
        </w:rPr>
        <w:t>nd</w:t>
      </w:r>
      <w:r w:rsidR="00985750" w:rsidRPr="00304219">
        <w:rPr>
          <w:rFonts w:ascii="Arial" w:hAnsi="Arial" w:cs="Arial"/>
          <w:b/>
          <w:smallCaps/>
          <w:sz w:val="22"/>
          <w:szCs w:val="22"/>
          <w:lang w:val="es-ES"/>
        </w:rPr>
        <w:t>ice</w:t>
      </w:r>
    </w:p>
    <w:p w14:paraId="26CA1F09" w14:textId="3315762F" w:rsidR="00001BCA" w:rsidRPr="00304219" w:rsidRDefault="00001BCA" w:rsidP="00001BCA">
      <w:pPr>
        <w:rPr>
          <w:rFonts w:ascii="Arial" w:hAnsi="Arial" w:cs="Arial"/>
          <w:lang w:val="es-ES"/>
        </w:rPr>
      </w:pPr>
    </w:p>
    <w:p w14:paraId="5963C1B7" w14:textId="630B5EBF" w:rsidR="00001BCA" w:rsidRPr="00304219" w:rsidRDefault="00001BCA" w:rsidP="00001BCA">
      <w:pPr>
        <w:rPr>
          <w:rFonts w:ascii="Arial" w:hAnsi="Arial" w:cs="Arial"/>
          <w:lang w:val="es-ES"/>
        </w:rPr>
      </w:pPr>
    </w:p>
    <w:p w14:paraId="463EBA5A" w14:textId="77777777" w:rsidR="00001BCA" w:rsidRPr="00304219" w:rsidRDefault="00001BCA" w:rsidP="00304219">
      <w:pPr>
        <w:rPr>
          <w:rFonts w:ascii="Arial" w:hAnsi="Arial" w:cs="Arial"/>
          <w:lang w:val="es-ES"/>
        </w:rPr>
      </w:pPr>
    </w:p>
    <w:p w14:paraId="7D73F158" w14:textId="77777777" w:rsidR="00001BCA" w:rsidRPr="00304219" w:rsidRDefault="00001BCA" w:rsidP="00304219">
      <w:pPr>
        <w:pStyle w:val="TOC1"/>
        <w:rPr>
          <w:rFonts w:eastAsiaTheme="minorEastAsia"/>
          <w:sz w:val="22"/>
          <w:szCs w:val="22"/>
        </w:rPr>
      </w:pPr>
      <w:r w:rsidRPr="00304219">
        <w:fldChar w:fldCharType="begin"/>
      </w:r>
      <w:r w:rsidRPr="00304219">
        <w:instrText xml:space="preserve"> TOC \f \t "Chapter,1,FirstHeading,2,SecHeading,3" </w:instrText>
      </w:r>
      <w:r w:rsidRPr="00304219">
        <w:fldChar w:fldCharType="separate"/>
      </w:r>
      <w:r w:rsidRPr="00304219">
        <w:t>I.</w:t>
      </w:r>
      <w:r w:rsidRPr="00304219">
        <w:rPr>
          <w:rFonts w:eastAsiaTheme="minorEastAsia"/>
          <w:sz w:val="22"/>
          <w:szCs w:val="22"/>
        </w:rPr>
        <w:tab/>
      </w:r>
      <w:r w:rsidRPr="00304219">
        <w:t>Introducción, Objetivo y Descripción del Programa</w:t>
      </w:r>
      <w:r w:rsidRPr="00304219">
        <w:tab/>
      </w:r>
      <w:r w:rsidRPr="00304219">
        <w:fldChar w:fldCharType="begin"/>
      </w:r>
      <w:r w:rsidRPr="00304219">
        <w:instrText xml:space="preserve"> PAGEREF _Toc433354357 \h </w:instrText>
      </w:r>
      <w:r w:rsidRPr="00304219">
        <w:fldChar w:fldCharType="separate"/>
      </w:r>
      <w:r w:rsidR="00654D64" w:rsidRPr="00304219">
        <w:t>1</w:t>
      </w:r>
      <w:r w:rsidRPr="00304219">
        <w:fldChar w:fldCharType="end"/>
      </w:r>
    </w:p>
    <w:p w14:paraId="63FEA6B1" w14:textId="77777777" w:rsidR="00001BCA" w:rsidRPr="00304219" w:rsidRDefault="00001BCA" w:rsidP="00304219">
      <w:pPr>
        <w:pStyle w:val="TOC1"/>
        <w:rPr>
          <w:rFonts w:eastAsiaTheme="minorEastAsia"/>
          <w:sz w:val="22"/>
          <w:szCs w:val="22"/>
        </w:rPr>
      </w:pPr>
      <w:r w:rsidRPr="00304219">
        <w:t>II.</w:t>
      </w:r>
      <w:r w:rsidRPr="00304219">
        <w:rPr>
          <w:rFonts w:eastAsiaTheme="minorEastAsia"/>
          <w:sz w:val="22"/>
          <w:szCs w:val="22"/>
        </w:rPr>
        <w:tab/>
      </w:r>
      <w:r w:rsidRPr="00304219">
        <w:t>Monitoreo</w:t>
      </w:r>
      <w:r w:rsidRPr="00304219">
        <w:tab/>
      </w:r>
      <w:r w:rsidRPr="00304219">
        <w:fldChar w:fldCharType="begin"/>
      </w:r>
      <w:r w:rsidRPr="00304219">
        <w:instrText xml:space="preserve"> PAGEREF _Toc433354358 \h </w:instrText>
      </w:r>
      <w:r w:rsidRPr="00304219">
        <w:fldChar w:fldCharType="separate"/>
      </w:r>
      <w:r w:rsidR="00654D64" w:rsidRPr="00304219">
        <w:t>2</w:t>
      </w:r>
      <w:r w:rsidRPr="00304219">
        <w:fldChar w:fldCharType="end"/>
      </w:r>
    </w:p>
    <w:p w14:paraId="3B4DB988" w14:textId="77777777" w:rsidR="00001BCA" w:rsidRPr="00304219" w:rsidRDefault="00001BCA" w:rsidP="00304219">
      <w:pPr>
        <w:pStyle w:val="TOC2"/>
        <w:rPr>
          <w:rFonts w:ascii="Arial" w:eastAsiaTheme="minorEastAsia" w:hAnsi="Arial" w:cs="Arial"/>
          <w:sz w:val="22"/>
          <w:szCs w:val="22"/>
        </w:rPr>
      </w:pPr>
      <w:r w:rsidRPr="00304219">
        <w:rPr>
          <w:rFonts w:ascii="Arial" w:hAnsi="Arial" w:cs="Arial"/>
        </w:rPr>
        <w:t>A.</w:t>
      </w:r>
      <w:r w:rsidRPr="00304219">
        <w:rPr>
          <w:rFonts w:ascii="Arial" w:eastAsiaTheme="minorEastAsia" w:hAnsi="Arial" w:cs="Arial"/>
          <w:sz w:val="22"/>
          <w:szCs w:val="22"/>
        </w:rPr>
        <w:tab/>
      </w:r>
      <w:r w:rsidRPr="00304219">
        <w:rPr>
          <w:rFonts w:ascii="Arial" w:hAnsi="Arial" w:cs="Arial"/>
        </w:rPr>
        <w:t>Indicadores</w:t>
      </w:r>
      <w:r w:rsidRPr="00304219">
        <w:rPr>
          <w:rFonts w:ascii="Arial" w:hAnsi="Arial" w:cs="Arial"/>
        </w:rPr>
        <w:tab/>
      </w:r>
      <w:r w:rsidRPr="00304219">
        <w:rPr>
          <w:rFonts w:ascii="Arial" w:hAnsi="Arial" w:cs="Arial"/>
        </w:rPr>
        <w:fldChar w:fldCharType="begin"/>
      </w:r>
      <w:r w:rsidRPr="00304219">
        <w:rPr>
          <w:rFonts w:ascii="Arial" w:hAnsi="Arial" w:cs="Arial"/>
        </w:rPr>
        <w:instrText xml:space="preserve"> PAGEREF _Toc433354359 \h </w:instrText>
      </w:r>
      <w:r w:rsidRPr="00304219">
        <w:rPr>
          <w:rFonts w:ascii="Arial" w:hAnsi="Arial" w:cs="Arial"/>
        </w:rPr>
      </w:r>
      <w:r w:rsidRPr="00304219">
        <w:rPr>
          <w:rFonts w:ascii="Arial" w:hAnsi="Arial" w:cs="Arial"/>
        </w:rPr>
        <w:fldChar w:fldCharType="separate"/>
      </w:r>
      <w:r w:rsidR="00654D64" w:rsidRPr="00304219">
        <w:rPr>
          <w:rFonts w:ascii="Arial" w:hAnsi="Arial" w:cs="Arial"/>
        </w:rPr>
        <w:t>2</w:t>
      </w:r>
      <w:r w:rsidRPr="00304219">
        <w:rPr>
          <w:rFonts w:ascii="Arial" w:hAnsi="Arial" w:cs="Arial"/>
        </w:rPr>
        <w:fldChar w:fldCharType="end"/>
      </w:r>
    </w:p>
    <w:p w14:paraId="2FD35918" w14:textId="77777777" w:rsidR="00001BCA" w:rsidRPr="00304219" w:rsidRDefault="00001BCA" w:rsidP="00304219">
      <w:pPr>
        <w:pStyle w:val="TOC2"/>
        <w:rPr>
          <w:rFonts w:ascii="Arial" w:eastAsiaTheme="minorEastAsia" w:hAnsi="Arial" w:cs="Arial"/>
          <w:sz w:val="22"/>
          <w:szCs w:val="22"/>
        </w:rPr>
      </w:pPr>
      <w:r w:rsidRPr="00304219">
        <w:rPr>
          <w:rFonts w:ascii="Arial" w:hAnsi="Arial" w:cs="Arial"/>
        </w:rPr>
        <w:t>B.</w:t>
      </w:r>
      <w:r w:rsidRPr="00304219">
        <w:rPr>
          <w:rFonts w:ascii="Arial" w:eastAsiaTheme="minorEastAsia" w:hAnsi="Arial" w:cs="Arial"/>
          <w:sz w:val="22"/>
          <w:szCs w:val="22"/>
        </w:rPr>
        <w:tab/>
      </w:r>
      <w:r w:rsidRPr="00304219">
        <w:rPr>
          <w:rFonts w:ascii="Arial" w:hAnsi="Arial" w:cs="Arial"/>
        </w:rPr>
        <w:t>Recolección de Información e Instrumentos</w:t>
      </w:r>
      <w:r w:rsidRPr="00304219">
        <w:rPr>
          <w:rFonts w:ascii="Arial" w:hAnsi="Arial" w:cs="Arial"/>
        </w:rPr>
        <w:tab/>
      </w:r>
      <w:r w:rsidRPr="00304219">
        <w:rPr>
          <w:rFonts w:ascii="Arial" w:hAnsi="Arial" w:cs="Arial"/>
        </w:rPr>
        <w:fldChar w:fldCharType="begin"/>
      </w:r>
      <w:r w:rsidRPr="00304219">
        <w:rPr>
          <w:rFonts w:ascii="Arial" w:hAnsi="Arial" w:cs="Arial"/>
        </w:rPr>
        <w:instrText xml:space="preserve"> PAGEREF _Toc433354360 \h </w:instrText>
      </w:r>
      <w:r w:rsidRPr="00304219">
        <w:rPr>
          <w:rFonts w:ascii="Arial" w:hAnsi="Arial" w:cs="Arial"/>
        </w:rPr>
      </w:r>
      <w:r w:rsidRPr="00304219">
        <w:rPr>
          <w:rFonts w:ascii="Arial" w:hAnsi="Arial" w:cs="Arial"/>
        </w:rPr>
        <w:fldChar w:fldCharType="separate"/>
      </w:r>
      <w:r w:rsidR="00654D64" w:rsidRPr="00304219">
        <w:rPr>
          <w:rFonts w:ascii="Arial" w:hAnsi="Arial" w:cs="Arial"/>
        </w:rPr>
        <w:t>2</w:t>
      </w:r>
      <w:r w:rsidRPr="00304219">
        <w:rPr>
          <w:rFonts w:ascii="Arial" w:hAnsi="Arial" w:cs="Arial"/>
        </w:rPr>
        <w:fldChar w:fldCharType="end"/>
      </w:r>
    </w:p>
    <w:p w14:paraId="5A0DBA85" w14:textId="77777777" w:rsidR="00001BCA" w:rsidRPr="00304219" w:rsidRDefault="00001BCA" w:rsidP="00304219">
      <w:pPr>
        <w:pStyle w:val="TOC2"/>
        <w:rPr>
          <w:rFonts w:ascii="Arial" w:eastAsiaTheme="minorEastAsia" w:hAnsi="Arial" w:cs="Arial"/>
          <w:sz w:val="22"/>
          <w:szCs w:val="22"/>
        </w:rPr>
      </w:pPr>
      <w:r w:rsidRPr="00304219">
        <w:rPr>
          <w:rFonts w:ascii="Arial" w:hAnsi="Arial" w:cs="Arial"/>
        </w:rPr>
        <w:t>C.</w:t>
      </w:r>
      <w:r w:rsidRPr="00304219">
        <w:rPr>
          <w:rFonts w:ascii="Arial" w:eastAsiaTheme="minorEastAsia" w:hAnsi="Arial" w:cs="Arial"/>
          <w:sz w:val="22"/>
          <w:szCs w:val="22"/>
        </w:rPr>
        <w:tab/>
      </w:r>
      <w:r w:rsidRPr="00304219">
        <w:rPr>
          <w:rFonts w:ascii="Arial" w:hAnsi="Arial" w:cs="Arial"/>
        </w:rPr>
        <w:t>Coordinación de Monitoreo, Plan de Trabajo y Presupuesto</w:t>
      </w:r>
      <w:r w:rsidRPr="00304219">
        <w:rPr>
          <w:rFonts w:ascii="Arial" w:hAnsi="Arial" w:cs="Arial"/>
        </w:rPr>
        <w:tab/>
      </w:r>
      <w:r w:rsidRPr="00304219">
        <w:rPr>
          <w:rFonts w:ascii="Arial" w:hAnsi="Arial" w:cs="Arial"/>
        </w:rPr>
        <w:fldChar w:fldCharType="begin"/>
      </w:r>
      <w:r w:rsidRPr="00304219">
        <w:rPr>
          <w:rFonts w:ascii="Arial" w:hAnsi="Arial" w:cs="Arial"/>
        </w:rPr>
        <w:instrText xml:space="preserve"> PAGEREF _Toc433354361 \h </w:instrText>
      </w:r>
      <w:r w:rsidRPr="00304219">
        <w:rPr>
          <w:rFonts w:ascii="Arial" w:hAnsi="Arial" w:cs="Arial"/>
        </w:rPr>
      </w:r>
      <w:r w:rsidRPr="00304219">
        <w:rPr>
          <w:rFonts w:ascii="Arial" w:hAnsi="Arial" w:cs="Arial"/>
        </w:rPr>
        <w:fldChar w:fldCharType="separate"/>
      </w:r>
      <w:r w:rsidR="00654D64" w:rsidRPr="00304219">
        <w:rPr>
          <w:rFonts w:ascii="Arial" w:hAnsi="Arial" w:cs="Arial"/>
        </w:rPr>
        <w:t>4</w:t>
      </w:r>
      <w:r w:rsidRPr="00304219">
        <w:rPr>
          <w:rFonts w:ascii="Arial" w:hAnsi="Arial" w:cs="Arial"/>
        </w:rPr>
        <w:fldChar w:fldCharType="end"/>
      </w:r>
    </w:p>
    <w:p w14:paraId="5BB9611F" w14:textId="77777777" w:rsidR="00001BCA" w:rsidRPr="00304219" w:rsidRDefault="00001BCA" w:rsidP="00304219">
      <w:pPr>
        <w:pStyle w:val="TOC2"/>
        <w:rPr>
          <w:rFonts w:ascii="Arial" w:eastAsiaTheme="minorEastAsia" w:hAnsi="Arial" w:cs="Arial"/>
          <w:sz w:val="22"/>
          <w:szCs w:val="22"/>
        </w:rPr>
      </w:pPr>
      <w:r w:rsidRPr="00304219">
        <w:rPr>
          <w:rFonts w:ascii="Arial" w:hAnsi="Arial" w:cs="Arial"/>
        </w:rPr>
        <w:t>D.</w:t>
      </w:r>
      <w:r w:rsidRPr="00304219">
        <w:rPr>
          <w:rFonts w:ascii="Arial" w:eastAsiaTheme="minorEastAsia" w:hAnsi="Arial" w:cs="Arial"/>
          <w:sz w:val="22"/>
          <w:szCs w:val="22"/>
        </w:rPr>
        <w:tab/>
      </w:r>
      <w:r w:rsidRPr="00304219">
        <w:rPr>
          <w:rFonts w:ascii="Arial" w:hAnsi="Arial" w:cs="Arial"/>
        </w:rPr>
        <w:t>Informe de Resultados del Monitoreo</w:t>
      </w:r>
      <w:r w:rsidRPr="00304219">
        <w:rPr>
          <w:rFonts w:ascii="Arial" w:hAnsi="Arial" w:cs="Arial"/>
        </w:rPr>
        <w:tab/>
      </w:r>
      <w:r w:rsidRPr="00304219">
        <w:rPr>
          <w:rFonts w:ascii="Arial" w:hAnsi="Arial" w:cs="Arial"/>
        </w:rPr>
        <w:fldChar w:fldCharType="begin"/>
      </w:r>
      <w:r w:rsidRPr="00304219">
        <w:rPr>
          <w:rFonts w:ascii="Arial" w:hAnsi="Arial" w:cs="Arial"/>
        </w:rPr>
        <w:instrText xml:space="preserve"> PAGEREF _Toc433354362 \h </w:instrText>
      </w:r>
      <w:r w:rsidRPr="00304219">
        <w:rPr>
          <w:rFonts w:ascii="Arial" w:hAnsi="Arial" w:cs="Arial"/>
        </w:rPr>
      </w:r>
      <w:r w:rsidRPr="00304219">
        <w:rPr>
          <w:rFonts w:ascii="Arial" w:hAnsi="Arial" w:cs="Arial"/>
        </w:rPr>
        <w:fldChar w:fldCharType="separate"/>
      </w:r>
      <w:r w:rsidR="00654D64" w:rsidRPr="00304219">
        <w:rPr>
          <w:rFonts w:ascii="Arial" w:hAnsi="Arial" w:cs="Arial"/>
        </w:rPr>
        <w:t>6</w:t>
      </w:r>
      <w:r w:rsidRPr="00304219">
        <w:rPr>
          <w:rFonts w:ascii="Arial" w:hAnsi="Arial" w:cs="Arial"/>
        </w:rPr>
        <w:fldChar w:fldCharType="end"/>
      </w:r>
    </w:p>
    <w:p w14:paraId="71CFD62C" w14:textId="77777777" w:rsidR="00001BCA" w:rsidRPr="00304219" w:rsidRDefault="00001BCA" w:rsidP="00304219">
      <w:pPr>
        <w:pStyle w:val="TOC1"/>
        <w:rPr>
          <w:rFonts w:eastAsiaTheme="minorEastAsia"/>
          <w:sz w:val="22"/>
          <w:szCs w:val="22"/>
        </w:rPr>
      </w:pPr>
      <w:r w:rsidRPr="00304219">
        <w:t>III.</w:t>
      </w:r>
      <w:r w:rsidRPr="00304219">
        <w:rPr>
          <w:rFonts w:eastAsiaTheme="minorEastAsia"/>
          <w:sz w:val="22"/>
          <w:szCs w:val="22"/>
        </w:rPr>
        <w:tab/>
      </w:r>
      <w:r w:rsidRPr="00304219">
        <w:t>Evaluación</w:t>
      </w:r>
      <w:r w:rsidRPr="00304219">
        <w:tab/>
      </w:r>
      <w:r w:rsidRPr="00304219">
        <w:fldChar w:fldCharType="begin"/>
      </w:r>
      <w:r w:rsidRPr="00304219">
        <w:instrText xml:space="preserve"> PAGEREF _Toc433354363 \h </w:instrText>
      </w:r>
      <w:r w:rsidRPr="00304219">
        <w:fldChar w:fldCharType="separate"/>
      </w:r>
      <w:r w:rsidR="00654D64" w:rsidRPr="00304219">
        <w:t>7</w:t>
      </w:r>
      <w:r w:rsidRPr="00304219">
        <w:fldChar w:fldCharType="end"/>
      </w:r>
    </w:p>
    <w:p w14:paraId="4D58561C" w14:textId="77777777" w:rsidR="00001BCA" w:rsidRPr="00304219" w:rsidRDefault="00001BCA" w:rsidP="00304219">
      <w:pPr>
        <w:pStyle w:val="TOC2"/>
        <w:rPr>
          <w:rFonts w:ascii="Arial" w:eastAsiaTheme="minorEastAsia" w:hAnsi="Arial" w:cs="Arial"/>
          <w:sz w:val="22"/>
          <w:szCs w:val="22"/>
        </w:rPr>
      </w:pPr>
      <w:r w:rsidRPr="00304219">
        <w:rPr>
          <w:rFonts w:ascii="Arial" w:hAnsi="Arial" w:cs="Arial"/>
        </w:rPr>
        <w:t>A.</w:t>
      </w:r>
      <w:r w:rsidRPr="00304219">
        <w:rPr>
          <w:rFonts w:ascii="Arial" w:eastAsiaTheme="minorEastAsia" w:hAnsi="Arial" w:cs="Arial"/>
          <w:sz w:val="22"/>
          <w:szCs w:val="22"/>
        </w:rPr>
        <w:tab/>
      </w:r>
      <w:r w:rsidRPr="00304219">
        <w:rPr>
          <w:rFonts w:ascii="Arial" w:hAnsi="Arial" w:cs="Arial"/>
        </w:rPr>
        <w:t>Principales Preguntas de la Evaluación</w:t>
      </w:r>
      <w:r w:rsidRPr="00304219">
        <w:rPr>
          <w:rFonts w:ascii="Arial" w:hAnsi="Arial" w:cs="Arial"/>
        </w:rPr>
        <w:tab/>
      </w:r>
      <w:r w:rsidRPr="00304219">
        <w:rPr>
          <w:rFonts w:ascii="Arial" w:hAnsi="Arial" w:cs="Arial"/>
        </w:rPr>
        <w:fldChar w:fldCharType="begin"/>
      </w:r>
      <w:r w:rsidRPr="00304219">
        <w:rPr>
          <w:rFonts w:ascii="Arial" w:hAnsi="Arial" w:cs="Arial"/>
        </w:rPr>
        <w:instrText xml:space="preserve"> PAGEREF _Toc433354364 \h </w:instrText>
      </w:r>
      <w:r w:rsidRPr="00304219">
        <w:rPr>
          <w:rFonts w:ascii="Arial" w:hAnsi="Arial" w:cs="Arial"/>
        </w:rPr>
      </w:r>
      <w:r w:rsidRPr="00304219">
        <w:rPr>
          <w:rFonts w:ascii="Arial" w:hAnsi="Arial" w:cs="Arial"/>
        </w:rPr>
        <w:fldChar w:fldCharType="separate"/>
      </w:r>
      <w:r w:rsidR="00654D64" w:rsidRPr="00304219">
        <w:rPr>
          <w:rFonts w:ascii="Arial" w:hAnsi="Arial" w:cs="Arial"/>
        </w:rPr>
        <w:t>7</w:t>
      </w:r>
      <w:r w:rsidRPr="00304219">
        <w:rPr>
          <w:rFonts w:ascii="Arial" w:hAnsi="Arial" w:cs="Arial"/>
        </w:rPr>
        <w:fldChar w:fldCharType="end"/>
      </w:r>
    </w:p>
    <w:p w14:paraId="50EC613D" w14:textId="77777777" w:rsidR="00001BCA" w:rsidRPr="00304219" w:rsidRDefault="00001BCA" w:rsidP="00304219">
      <w:pPr>
        <w:pStyle w:val="TOC2"/>
        <w:rPr>
          <w:rFonts w:ascii="Arial" w:eastAsiaTheme="minorEastAsia" w:hAnsi="Arial" w:cs="Arial"/>
          <w:sz w:val="22"/>
          <w:szCs w:val="22"/>
        </w:rPr>
      </w:pPr>
      <w:r w:rsidRPr="00304219">
        <w:rPr>
          <w:rFonts w:ascii="Arial" w:hAnsi="Arial" w:cs="Arial"/>
        </w:rPr>
        <w:t>B.</w:t>
      </w:r>
      <w:r w:rsidRPr="00304219">
        <w:rPr>
          <w:rFonts w:ascii="Arial" w:eastAsiaTheme="minorEastAsia" w:hAnsi="Arial" w:cs="Arial"/>
          <w:sz w:val="22"/>
          <w:szCs w:val="22"/>
        </w:rPr>
        <w:tab/>
      </w:r>
      <w:r w:rsidRPr="00304219">
        <w:rPr>
          <w:rFonts w:ascii="Arial" w:hAnsi="Arial" w:cs="Arial"/>
        </w:rPr>
        <w:t>Principales Indicadores de Resultados</w:t>
      </w:r>
      <w:r w:rsidRPr="00304219">
        <w:rPr>
          <w:rFonts w:ascii="Arial" w:hAnsi="Arial" w:cs="Arial"/>
        </w:rPr>
        <w:tab/>
      </w:r>
      <w:r w:rsidRPr="00304219">
        <w:rPr>
          <w:rFonts w:ascii="Arial" w:hAnsi="Arial" w:cs="Arial"/>
        </w:rPr>
        <w:fldChar w:fldCharType="begin"/>
      </w:r>
      <w:r w:rsidRPr="00304219">
        <w:rPr>
          <w:rFonts w:ascii="Arial" w:hAnsi="Arial" w:cs="Arial"/>
        </w:rPr>
        <w:instrText xml:space="preserve"> PAGEREF _Toc433354365 \h </w:instrText>
      </w:r>
      <w:r w:rsidRPr="00304219">
        <w:rPr>
          <w:rFonts w:ascii="Arial" w:hAnsi="Arial" w:cs="Arial"/>
        </w:rPr>
      </w:r>
      <w:r w:rsidRPr="00304219">
        <w:rPr>
          <w:rFonts w:ascii="Arial" w:hAnsi="Arial" w:cs="Arial"/>
        </w:rPr>
        <w:fldChar w:fldCharType="separate"/>
      </w:r>
      <w:r w:rsidR="00654D64" w:rsidRPr="00304219">
        <w:rPr>
          <w:rFonts w:ascii="Arial" w:hAnsi="Arial" w:cs="Arial"/>
        </w:rPr>
        <w:t>8</w:t>
      </w:r>
      <w:r w:rsidRPr="00304219">
        <w:rPr>
          <w:rFonts w:ascii="Arial" w:hAnsi="Arial" w:cs="Arial"/>
        </w:rPr>
        <w:fldChar w:fldCharType="end"/>
      </w:r>
    </w:p>
    <w:p w14:paraId="22801A56" w14:textId="77777777" w:rsidR="00001BCA" w:rsidRPr="00304219" w:rsidRDefault="00001BCA" w:rsidP="00304219">
      <w:pPr>
        <w:pStyle w:val="TOC2"/>
        <w:rPr>
          <w:rFonts w:ascii="Arial" w:eastAsiaTheme="minorEastAsia" w:hAnsi="Arial" w:cs="Arial"/>
          <w:sz w:val="22"/>
          <w:szCs w:val="22"/>
        </w:rPr>
      </w:pPr>
      <w:r w:rsidRPr="00304219">
        <w:rPr>
          <w:rFonts w:ascii="Arial" w:hAnsi="Arial" w:cs="Arial"/>
        </w:rPr>
        <w:t>C.</w:t>
      </w:r>
      <w:r w:rsidRPr="00304219">
        <w:rPr>
          <w:rFonts w:ascii="Arial" w:eastAsiaTheme="minorEastAsia" w:hAnsi="Arial" w:cs="Arial"/>
          <w:sz w:val="22"/>
          <w:szCs w:val="22"/>
        </w:rPr>
        <w:tab/>
      </w:r>
      <w:r w:rsidRPr="00304219">
        <w:rPr>
          <w:rFonts w:ascii="Arial" w:hAnsi="Arial" w:cs="Arial"/>
        </w:rPr>
        <w:t>Conocimiento sobre el Sector y Metodología de Evaluación</w:t>
      </w:r>
      <w:r w:rsidRPr="00304219">
        <w:rPr>
          <w:rFonts w:ascii="Arial" w:hAnsi="Arial" w:cs="Arial"/>
        </w:rPr>
        <w:tab/>
      </w:r>
      <w:r w:rsidRPr="00304219">
        <w:rPr>
          <w:rFonts w:ascii="Arial" w:hAnsi="Arial" w:cs="Arial"/>
        </w:rPr>
        <w:fldChar w:fldCharType="begin"/>
      </w:r>
      <w:r w:rsidRPr="00304219">
        <w:rPr>
          <w:rFonts w:ascii="Arial" w:hAnsi="Arial" w:cs="Arial"/>
        </w:rPr>
        <w:instrText xml:space="preserve"> PAGEREF _Toc433354367 \h </w:instrText>
      </w:r>
      <w:r w:rsidRPr="00304219">
        <w:rPr>
          <w:rFonts w:ascii="Arial" w:hAnsi="Arial" w:cs="Arial"/>
        </w:rPr>
      </w:r>
      <w:r w:rsidRPr="00304219">
        <w:rPr>
          <w:rFonts w:ascii="Arial" w:hAnsi="Arial" w:cs="Arial"/>
        </w:rPr>
        <w:fldChar w:fldCharType="separate"/>
      </w:r>
      <w:r w:rsidR="00654D64" w:rsidRPr="00304219">
        <w:rPr>
          <w:rFonts w:ascii="Arial" w:hAnsi="Arial" w:cs="Arial"/>
        </w:rPr>
        <w:t>9</w:t>
      </w:r>
      <w:r w:rsidRPr="00304219">
        <w:rPr>
          <w:rFonts w:ascii="Arial" w:hAnsi="Arial" w:cs="Arial"/>
        </w:rPr>
        <w:fldChar w:fldCharType="end"/>
      </w:r>
    </w:p>
    <w:p w14:paraId="277F2485" w14:textId="440B1E91" w:rsidR="00001BCA" w:rsidRPr="00304219" w:rsidRDefault="00001BCA" w:rsidP="00304219">
      <w:pPr>
        <w:pStyle w:val="TOC2"/>
        <w:rPr>
          <w:rFonts w:ascii="Arial" w:eastAsiaTheme="minorEastAsia" w:hAnsi="Arial" w:cs="Arial"/>
          <w:sz w:val="22"/>
          <w:szCs w:val="22"/>
        </w:rPr>
      </w:pPr>
      <w:r w:rsidRPr="00304219">
        <w:rPr>
          <w:rFonts w:ascii="Arial" w:hAnsi="Arial" w:cs="Arial"/>
        </w:rPr>
        <w:t>D.</w:t>
      </w:r>
      <w:r w:rsidRPr="00304219">
        <w:rPr>
          <w:rFonts w:ascii="Arial" w:eastAsiaTheme="minorEastAsia" w:hAnsi="Arial" w:cs="Arial"/>
          <w:sz w:val="22"/>
          <w:szCs w:val="22"/>
        </w:rPr>
        <w:tab/>
      </w:r>
      <w:r w:rsidRPr="00304219">
        <w:rPr>
          <w:rFonts w:ascii="Arial" w:hAnsi="Arial" w:cs="Arial"/>
        </w:rPr>
        <w:t xml:space="preserve">Análisis Económico </w:t>
      </w:r>
      <w:r w:rsidR="00654D64" w:rsidRPr="00304219">
        <w:rPr>
          <w:rFonts w:ascii="Arial" w:hAnsi="Arial" w:cs="Arial"/>
        </w:rPr>
        <w:t>Ex Ante</w:t>
      </w:r>
      <w:r w:rsidRPr="00304219">
        <w:rPr>
          <w:rFonts w:ascii="Arial" w:hAnsi="Arial" w:cs="Arial"/>
        </w:rPr>
        <w:tab/>
      </w:r>
      <w:r w:rsidRPr="00304219">
        <w:rPr>
          <w:rFonts w:ascii="Arial" w:hAnsi="Arial" w:cs="Arial"/>
        </w:rPr>
        <w:fldChar w:fldCharType="begin"/>
      </w:r>
      <w:r w:rsidRPr="00304219">
        <w:rPr>
          <w:rFonts w:ascii="Arial" w:hAnsi="Arial" w:cs="Arial"/>
        </w:rPr>
        <w:instrText xml:space="preserve"> PAGEREF _Toc433354368 \h </w:instrText>
      </w:r>
      <w:r w:rsidRPr="00304219">
        <w:rPr>
          <w:rFonts w:ascii="Arial" w:hAnsi="Arial" w:cs="Arial"/>
        </w:rPr>
      </w:r>
      <w:r w:rsidRPr="00304219">
        <w:rPr>
          <w:rFonts w:ascii="Arial" w:hAnsi="Arial" w:cs="Arial"/>
        </w:rPr>
        <w:fldChar w:fldCharType="separate"/>
      </w:r>
      <w:r w:rsidR="00654D64" w:rsidRPr="00304219">
        <w:rPr>
          <w:rFonts w:ascii="Arial" w:hAnsi="Arial" w:cs="Arial"/>
        </w:rPr>
        <w:t>10</w:t>
      </w:r>
      <w:r w:rsidRPr="00304219">
        <w:rPr>
          <w:rFonts w:ascii="Arial" w:hAnsi="Arial" w:cs="Arial"/>
        </w:rPr>
        <w:fldChar w:fldCharType="end"/>
      </w:r>
    </w:p>
    <w:p w14:paraId="53A8BC89" w14:textId="77777777" w:rsidR="00001BCA" w:rsidRPr="00304219" w:rsidRDefault="00001BCA" w:rsidP="00304219">
      <w:pPr>
        <w:pStyle w:val="TOC2"/>
        <w:rPr>
          <w:rFonts w:ascii="Arial" w:eastAsiaTheme="minorEastAsia" w:hAnsi="Arial" w:cs="Arial"/>
          <w:sz w:val="22"/>
          <w:szCs w:val="22"/>
        </w:rPr>
      </w:pPr>
      <w:r w:rsidRPr="00304219">
        <w:rPr>
          <w:rFonts w:ascii="Arial" w:hAnsi="Arial" w:cs="Arial"/>
        </w:rPr>
        <w:t>E.</w:t>
      </w:r>
      <w:r w:rsidRPr="00304219">
        <w:rPr>
          <w:rFonts w:ascii="Arial" w:eastAsiaTheme="minorEastAsia" w:hAnsi="Arial" w:cs="Arial"/>
          <w:sz w:val="22"/>
          <w:szCs w:val="22"/>
        </w:rPr>
        <w:tab/>
      </w:r>
      <w:r w:rsidRPr="00304219">
        <w:rPr>
          <w:rFonts w:ascii="Arial" w:hAnsi="Arial" w:cs="Arial"/>
        </w:rPr>
        <w:t>Análisis Económico Ex Post</w:t>
      </w:r>
      <w:r w:rsidRPr="00304219">
        <w:rPr>
          <w:rFonts w:ascii="Arial" w:hAnsi="Arial" w:cs="Arial"/>
        </w:rPr>
        <w:tab/>
      </w:r>
      <w:r w:rsidRPr="00304219">
        <w:rPr>
          <w:rFonts w:ascii="Arial" w:hAnsi="Arial" w:cs="Arial"/>
        </w:rPr>
        <w:fldChar w:fldCharType="begin"/>
      </w:r>
      <w:r w:rsidRPr="00304219">
        <w:rPr>
          <w:rFonts w:ascii="Arial" w:hAnsi="Arial" w:cs="Arial"/>
        </w:rPr>
        <w:instrText xml:space="preserve"> PAGEREF _Toc433354369 \h </w:instrText>
      </w:r>
      <w:r w:rsidRPr="00304219">
        <w:rPr>
          <w:rFonts w:ascii="Arial" w:hAnsi="Arial" w:cs="Arial"/>
        </w:rPr>
      </w:r>
      <w:r w:rsidRPr="00304219">
        <w:rPr>
          <w:rFonts w:ascii="Arial" w:hAnsi="Arial" w:cs="Arial"/>
        </w:rPr>
        <w:fldChar w:fldCharType="separate"/>
      </w:r>
      <w:r w:rsidR="00654D64" w:rsidRPr="00304219">
        <w:rPr>
          <w:rFonts w:ascii="Arial" w:hAnsi="Arial" w:cs="Arial"/>
        </w:rPr>
        <w:t>11</w:t>
      </w:r>
      <w:r w:rsidRPr="00304219">
        <w:rPr>
          <w:rFonts w:ascii="Arial" w:hAnsi="Arial" w:cs="Arial"/>
        </w:rPr>
        <w:fldChar w:fldCharType="end"/>
      </w:r>
    </w:p>
    <w:p w14:paraId="0B55B2C8" w14:textId="77777777" w:rsidR="00001BCA" w:rsidRPr="00304219" w:rsidRDefault="00001BCA" w:rsidP="00304219">
      <w:pPr>
        <w:pStyle w:val="TOC2"/>
        <w:rPr>
          <w:rFonts w:ascii="Arial" w:eastAsiaTheme="minorEastAsia" w:hAnsi="Arial" w:cs="Arial"/>
          <w:sz w:val="22"/>
          <w:szCs w:val="22"/>
        </w:rPr>
      </w:pPr>
      <w:r w:rsidRPr="00304219">
        <w:rPr>
          <w:rFonts w:ascii="Arial" w:hAnsi="Arial" w:cs="Arial"/>
        </w:rPr>
        <w:t>F.</w:t>
      </w:r>
      <w:r w:rsidRPr="00304219">
        <w:rPr>
          <w:rFonts w:ascii="Arial" w:eastAsiaTheme="minorEastAsia" w:hAnsi="Arial" w:cs="Arial"/>
          <w:sz w:val="22"/>
          <w:szCs w:val="22"/>
        </w:rPr>
        <w:tab/>
      </w:r>
      <w:r w:rsidRPr="00304219">
        <w:rPr>
          <w:rFonts w:ascii="Arial" w:hAnsi="Arial" w:cs="Arial"/>
        </w:rPr>
        <w:t>Coordinación de la Evaluación, Plan de Trabajo y Presupuesto</w:t>
      </w:r>
      <w:r w:rsidRPr="00304219">
        <w:rPr>
          <w:rFonts w:ascii="Arial" w:hAnsi="Arial" w:cs="Arial"/>
        </w:rPr>
        <w:tab/>
      </w:r>
      <w:r w:rsidRPr="00304219">
        <w:rPr>
          <w:rFonts w:ascii="Arial" w:hAnsi="Arial" w:cs="Arial"/>
        </w:rPr>
        <w:fldChar w:fldCharType="begin"/>
      </w:r>
      <w:r w:rsidRPr="00304219">
        <w:rPr>
          <w:rFonts w:ascii="Arial" w:hAnsi="Arial" w:cs="Arial"/>
        </w:rPr>
        <w:instrText xml:space="preserve"> PAGEREF _Toc433354370 \h </w:instrText>
      </w:r>
      <w:r w:rsidRPr="00304219">
        <w:rPr>
          <w:rFonts w:ascii="Arial" w:hAnsi="Arial" w:cs="Arial"/>
        </w:rPr>
      </w:r>
      <w:r w:rsidRPr="00304219">
        <w:rPr>
          <w:rFonts w:ascii="Arial" w:hAnsi="Arial" w:cs="Arial"/>
        </w:rPr>
        <w:fldChar w:fldCharType="separate"/>
      </w:r>
      <w:r w:rsidR="00654D64" w:rsidRPr="00304219">
        <w:rPr>
          <w:rFonts w:ascii="Arial" w:hAnsi="Arial" w:cs="Arial"/>
        </w:rPr>
        <w:t>12</w:t>
      </w:r>
      <w:r w:rsidRPr="00304219">
        <w:rPr>
          <w:rFonts w:ascii="Arial" w:hAnsi="Arial" w:cs="Arial"/>
        </w:rPr>
        <w:fldChar w:fldCharType="end"/>
      </w:r>
    </w:p>
    <w:p w14:paraId="52EB6184" w14:textId="1690CA41" w:rsidR="00221B5D" w:rsidRPr="00304219" w:rsidRDefault="00001BCA" w:rsidP="00304219">
      <w:pPr>
        <w:pStyle w:val="TOC3"/>
        <w:rPr>
          <w:rFonts w:ascii="Arial" w:hAnsi="Arial" w:cs="Arial"/>
        </w:rPr>
      </w:pPr>
      <w:r w:rsidRPr="00304219">
        <w:rPr>
          <w:rFonts w:ascii="Arial" w:hAnsi="Arial" w:cs="Arial"/>
        </w:rPr>
        <w:fldChar w:fldCharType="end"/>
      </w:r>
      <w:r w:rsidR="00221B5D" w:rsidRPr="00304219">
        <w:rPr>
          <w:rFonts w:ascii="Arial" w:hAnsi="Arial" w:cs="Arial"/>
        </w:rPr>
        <w:br w:type="page"/>
      </w:r>
    </w:p>
    <w:p w14:paraId="5F6705E9" w14:textId="77777777" w:rsidR="00654D64" w:rsidRPr="00304219" w:rsidRDefault="00654D64" w:rsidP="00724C99">
      <w:pPr>
        <w:pStyle w:val="Chapter"/>
        <w:rPr>
          <w:rFonts w:ascii="Arial" w:hAnsi="Arial" w:cs="Arial"/>
          <w:sz w:val="22"/>
        </w:rPr>
        <w:sectPr w:rsidR="00654D64" w:rsidRPr="00304219" w:rsidSect="00724C99">
          <w:headerReference w:type="default" r:id="rId20"/>
          <w:type w:val="continuous"/>
          <w:pgSz w:w="12240" w:h="15840" w:code="1"/>
          <w:pgMar w:top="1530" w:right="1530" w:bottom="1296" w:left="1530" w:header="720" w:footer="720" w:gutter="0"/>
          <w:pgNumType w:start="1"/>
          <w:cols w:space="720"/>
          <w:docGrid w:linePitch="326"/>
        </w:sectPr>
      </w:pPr>
      <w:bookmarkStart w:id="0" w:name="ESSectionPages0"/>
      <w:bookmarkStart w:id="1" w:name="ESSectionPages"/>
      <w:bookmarkStart w:id="2" w:name="_Toc433353690"/>
      <w:bookmarkStart w:id="3" w:name="_Toc433354357"/>
      <w:bookmarkEnd w:id="0"/>
      <w:bookmarkEnd w:id="1"/>
    </w:p>
    <w:p w14:paraId="2B08EDC8" w14:textId="79C39639" w:rsidR="00F60B37" w:rsidRPr="00304219" w:rsidRDefault="00FB3265" w:rsidP="00304219">
      <w:pPr>
        <w:pStyle w:val="Chapter"/>
        <w:rPr>
          <w:rFonts w:ascii="Arial" w:hAnsi="Arial" w:cs="Arial"/>
          <w:sz w:val="22"/>
        </w:rPr>
      </w:pPr>
      <w:r w:rsidRPr="00304219">
        <w:rPr>
          <w:rFonts w:ascii="Arial" w:hAnsi="Arial" w:cs="Arial"/>
          <w:sz w:val="22"/>
        </w:rPr>
        <w:lastRenderedPageBreak/>
        <w:t>I</w:t>
      </w:r>
      <w:r w:rsidR="005C3D66" w:rsidRPr="00304219">
        <w:rPr>
          <w:rFonts w:ascii="Arial" w:hAnsi="Arial" w:cs="Arial"/>
          <w:sz w:val="22"/>
        </w:rPr>
        <w:t>ntroducción</w:t>
      </w:r>
      <w:r w:rsidR="00EE16FB" w:rsidRPr="00304219">
        <w:rPr>
          <w:rFonts w:ascii="Arial" w:hAnsi="Arial" w:cs="Arial"/>
          <w:sz w:val="22"/>
        </w:rPr>
        <w:t xml:space="preserve">, </w:t>
      </w:r>
      <w:r w:rsidR="00025D6C" w:rsidRPr="00304219">
        <w:rPr>
          <w:rFonts w:ascii="Arial" w:hAnsi="Arial" w:cs="Arial"/>
          <w:sz w:val="22"/>
        </w:rPr>
        <w:t>Objetivo</w:t>
      </w:r>
      <w:r w:rsidR="008A7127" w:rsidRPr="00304219">
        <w:rPr>
          <w:rFonts w:ascii="Arial" w:hAnsi="Arial" w:cs="Arial"/>
          <w:sz w:val="22"/>
        </w:rPr>
        <w:t xml:space="preserve"> y </w:t>
      </w:r>
      <w:r w:rsidR="00025D6C" w:rsidRPr="00304219">
        <w:rPr>
          <w:rFonts w:ascii="Arial" w:hAnsi="Arial" w:cs="Arial"/>
          <w:sz w:val="22"/>
        </w:rPr>
        <w:t>Descripción</w:t>
      </w:r>
      <w:r w:rsidR="008A7127" w:rsidRPr="00304219">
        <w:rPr>
          <w:rFonts w:ascii="Arial" w:hAnsi="Arial" w:cs="Arial"/>
          <w:sz w:val="22"/>
        </w:rPr>
        <w:t xml:space="preserve"> del </w:t>
      </w:r>
      <w:r w:rsidR="00025D6C" w:rsidRPr="00304219">
        <w:rPr>
          <w:rFonts w:ascii="Arial" w:hAnsi="Arial" w:cs="Arial"/>
          <w:sz w:val="22"/>
        </w:rPr>
        <w:t>Programa</w:t>
      </w:r>
      <w:bookmarkEnd w:id="2"/>
      <w:bookmarkEnd w:id="3"/>
    </w:p>
    <w:p w14:paraId="1096C98E" w14:textId="3B3D7698" w:rsidR="00E1373D" w:rsidRPr="00304219" w:rsidRDefault="00E1373D" w:rsidP="00B85A50">
      <w:pPr>
        <w:pStyle w:val="Paragraph"/>
        <w:rPr>
          <w:rFonts w:ascii="Arial" w:hAnsi="Arial" w:cs="Arial"/>
          <w:noProof/>
          <w:sz w:val="22"/>
          <w:szCs w:val="22"/>
        </w:rPr>
      </w:pPr>
      <w:bookmarkStart w:id="4" w:name="_Toc190151129"/>
      <w:bookmarkStart w:id="5" w:name="_Toc203361950"/>
      <w:bookmarkStart w:id="6" w:name="_Toc203380416"/>
      <w:bookmarkStart w:id="7" w:name="_Toc203380793"/>
      <w:bookmarkStart w:id="8" w:name="_Toc205005144"/>
      <w:bookmarkStart w:id="9" w:name="_Toc205107096"/>
      <w:bookmarkStart w:id="10" w:name="_Ref237411433"/>
      <w:bookmarkStart w:id="11" w:name="_Ref233285248"/>
      <w:bookmarkStart w:id="12" w:name="_Ref274638508"/>
      <w:r w:rsidRPr="00304219">
        <w:rPr>
          <w:rFonts w:ascii="Arial" w:hAnsi="Arial" w:cs="Arial"/>
          <w:b/>
          <w:noProof/>
          <w:sz w:val="22"/>
          <w:szCs w:val="22"/>
        </w:rPr>
        <w:t>Introducción</w:t>
      </w:r>
      <w:r w:rsidR="00025D6C" w:rsidRPr="00304219">
        <w:rPr>
          <w:rFonts w:ascii="Arial" w:hAnsi="Arial" w:cs="Arial"/>
          <w:b/>
          <w:noProof/>
          <w:sz w:val="22"/>
          <w:szCs w:val="22"/>
        </w:rPr>
        <w:t>.</w:t>
      </w:r>
      <w:r w:rsidRPr="00304219">
        <w:rPr>
          <w:rFonts w:ascii="Arial" w:hAnsi="Arial" w:cs="Arial"/>
          <w:noProof/>
          <w:sz w:val="22"/>
          <w:szCs w:val="22"/>
        </w:rPr>
        <w:t xml:space="preserve"> El presente plan constituye una actualización del Plan de Monitoreo y Evaluación (PMA) elaborado para las operaciones anteriores en apoyo al PIC (HA</w:t>
      </w:r>
      <w:r w:rsidR="00484F0F" w:rsidRPr="00304219">
        <w:rPr>
          <w:rFonts w:ascii="Arial" w:hAnsi="Arial" w:cs="Arial"/>
          <w:noProof/>
          <w:sz w:val="22"/>
          <w:szCs w:val="22"/>
        </w:rPr>
        <w:noBreakHyphen/>
      </w:r>
      <w:r w:rsidRPr="00304219">
        <w:rPr>
          <w:rFonts w:ascii="Arial" w:hAnsi="Arial" w:cs="Arial"/>
          <w:noProof/>
          <w:sz w:val="22"/>
          <w:szCs w:val="22"/>
        </w:rPr>
        <w:t>L1055</w:t>
      </w:r>
      <w:r w:rsidR="00950A23">
        <w:rPr>
          <w:rFonts w:ascii="Arial" w:hAnsi="Arial" w:cs="Arial"/>
          <w:noProof/>
          <w:sz w:val="22"/>
          <w:szCs w:val="22"/>
        </w:rPr>
        <w:t xml:space="preserve">; </w:t>
      </w:r>
      <w:r w:rsidRPr="00304219">
        <w:rPr>
          <w:rFonts w:ascii="Arial" w:hAnsi="Arial" w:cs="Arial"/>
          <w:noProof/>
          <w:sz w:val="22"/>
          <w:szCs w:val="22"/>
        </w:rPr>
        <w:t>2552/GR-HA; HA</w:t>
      </w:r>
      <w:r w:rsidRPr="00304219">
        <w:rPr>
          <w:rFonts w:ascii="Arial" w:hAnsi="Arial" w:cs="Arial"/>
          <w:noProof/>
          <w:sz w:val="22"/>
          <w:szCs w:val="22"/>
        </w:rPr>
        <w:noBreakHyphen/>
        <w:t>L1076</w:t>
      </w:r>
      <w:r w:rsidR="00950A23">
        <w:rPr>
          <w:rFonts w:ascii="Arial" w:hAnsi="Arial" w:cs="Arial"/>
          <w:noProof/>
          <w:sz w:val="22"/>
          <w:szCs w:val="22"/>
        </w:rPr>
        <w:t xml:space="preserve">; </w:t>
      </w:r>
      <w:r w:rsidRPr="00304219">
        <w:rPr>
          <w:rFonts w:ascii="Arial" w:hAnsi="Arial" w:cs="Arial"/>
          <w:noProof/>
          <w:sz w:val="22"/>
          <w:szCs w:val="22"/>
        </w:rPr>
        <w:t>2779/GR</w:t>
      </w:r>
      <w:r w:rsidR="00950A23">
        <w:rPr>
          <w:rFonts w:ascii="Arial" w:hAnsi="Arial" w:cs="Arial"/>
          <w:noProof/>
          <w:sz w:val="22"/>
          <w:szCs w:val="22"/>
        </w:rPr>
        <w:t>-</w:t>
      </w:r>
      <w:r w:rsidRPr="00304219">
        <w:rPr>
          <w:rFonts w:ascii="Arial" w:hAnsi="Arial" w:cs="Arial"/>
          <w:noProof/>
          <w:sz w:val="22"/>
          <w:szCs w:val="22"/>
        </w:rPr>
        <w:t>HA; HA-L1081</w:t>
      </w:r>
      <w:r w:rsidR="00950A23">
        <w:rPr>
          <w:rFonts w:ascii="Arial" w:hAnsi="Arial" w:cs="Arial"/>
          <w:noProof/>
          <w:sz w:val="22"/>
          <w:szCs w:val="22"/>
        </w:rPr>
        <w:t xml:space="preserve">; </w:t>
      </w:r>
      <w:r w:rsidRPr="00304219">
        <w:rPr>
          <w:rFonts w:ascii="Arial" w:hAnsi="Arial" w:cs="Arial"/>
          <w:noProof/>
          <w:sz w:val="22"/>
          <w:szCs w:val="22"/>
        </w:rPr>
        <w:t>3132/GR-HA</w:t>
      </w:r>
      <w:r w:rsidR="00796C59" w:rsidRPr="00304219">
        <w:rPr>
          <w:rFonts w:ascii="Arial" w:hAnsi="Arial" w:cs="Arial"/>
          <w:noProof/>
          <w:sz w:val="22"/>
          <w:szCs w:val="22"/>
          <w:lang w:val="es-ES_tradnl"/>
        </w:rPr>
        <w:t>; y HA</w:t>
      </w:r>
      <w:r w:rsidR="00950A23">
        <w:rPr>
          <w:rFonts w:ascii="Arial" w:hAnsi="Arial" w:cs="Arial"/>
          <w:noProof/>
          <w:sz w:val="22"/>
          <w:szCs w:val="22"/>
          <w:lang w:val="es-ES_tradnl"/>
        </w:rPr>
        <w:noBreakHyphen/>
        <w:t>L</w:t>
      </w:r>
      <w:r w:rsidR="00473529" w:rsidRPr="00304219">
        <w:rPr>
          <w:rFonts w:ascii="Arial" w:hAnsi="Arial" w:cs="Arial"/>
          <w:noProof/>
          <w:sz w:val="22"/>
          <w:szCs w:val="22"/>
          <w:lang w:val="es-ES_tradnl"/>
        </w:rPr>
        <w:t>1091</w:t>
      </w:r>
      <w:r w:rsidR="00950A23">
        <w:rPr>
          <w:rFonts w:ascii="Arial" w:hAnsi="Arial" w:cs="Arial"/>
          <w:noProof/>
          <w:sz w:val="22"/>
          <w:szCs w:val="22"/>
          <w:lang w:val="es-ES_tradnl"/>
        </w:rPr>
        <w:t xml:space="preserve">; </w:t>
      </w:r>
      <w:r w:rsidR="00E14CAE" w:rsidRPr="00304219">
        <w:rPr>
          <w:rFonts w:ascii="Arial" w:hAnsi="Arial" w:cs="Arial"/>
          <w:noProof/>
          <w:sz w:val="22"/>
          <w:szCs w:val="22"/>
          <w:lang w:val="es-ES_tradnl"/>
        </w:rPr>
        <w:t>3384/GR-HA)</w:t>
      </w:r>
      <w:r w:rsidRPr="00304219">
        <w:rPr>
          <w:rFonts w:ascii="Arial" w:hAnsi="Arial" w:cs="Arial"/>
          <w:noProof/>
          <w:sz w:val="22"/>
          <w:szCs w:val="22"/>
        </w:rPr>
        <w:t xml:space="preserve">. Las operaciones tienen el mismo </w:t>
      </w:r>
      <w:r w:rsidR="00550C4B" w:rsidRPr="00304219">
        <w:rPr>
          <w:rFonts w:ascii="Arial" w:hAnsi="Arial" w:cs="Arial"/>
          <w:noProof/>
          <w:sz w:val="22"/>
          <w:szCs w:val="22"/>
        </w:rPr>
        <w:t>prop</w:t>
      </w:r>
      <w:r w:rsidR="00E14CAE" w:rsidRPr="00304219">
        <w:rPr>
          <w:rFonts w:ascii="Arial" w:eastAsia="Arial Unicode MS" w:hAnsi="Arial" w:cs="Arial"/>
          <w:iCs/>
          <w:sz w:val="22"/>
          <w:szCs w:val="22"/>
        </w:rPr>
        <w:t>ó</w:t>
      </w:r>
      <w:r w:rsidR="00E14CAE" w:rsidRPr="00304219">
        <w:rPr>
          <w:rFonts w:ascii="Arial" w:hAnsi="Arial" w:cs="Arial"/>
          <w:noProof/>
          <w:sz w:val="22"/>
          <w:szCs w:val="22"/>
        </w:rPr>
        <w:t>sito</w:t>
      </w:r>
      <w:r w:rsidR="00473529" w:rsidRPr="00304219">
        <w:rPr>
          <w:rFonts w:ascii="Arial" w:hAnsi="Arial" w:cs="Arial"/>
          <w:noProof/>
          <w:sz w:val="22"/>
          <w:szCs w:val="22"/>
        </w:rPr>
        <w:t xml:space="preserve">: </w:t>
      </w:r>
      <w:r w:rsidRPr="00304219">
        <w:rPr>
          <w:rFonts w:ascii="Arial" w:hAnsi="Arial" w:cs="Arial"/>
          <w:noProof/>
          <w:sz w:val="22"/>
          <w:szCs w:val="22"/>
        </w:rPr>
        <w:t xml:space="preserve">apoyar </w:t>
      </w:r>
      <w:r w:rsidR="00473529" w:rsidRPr="00304219">
        <w:rPr>
          <w:rFonts w:ascii="Arial" w:hAnsi="Arial" w:cs="Arial"/>
          <w:noProof/>
          <w:sz w:val="22"/>
          <w:szCs w:val="22"/>
        </w:rPr>
        <w:t xml:space="preserve">a </w:t>
      </w:r>
      <w:r w:rsidRPr="00304219">
        <w:rPr>
          <w:rFonts w:ascii="Arial" w:hAnsi="Arial" w:cs="Arial"/>
          <w:noProof/>
          <w:sz w:val="22"/>
          <w:szCs w:val="22"/>
        </w:rPr>
        <w:t xml:space="preserve">la implantación del referido </w:t>
      </w:r>
      <w:r w:rsidR="00550C4B" w:rsidRPr="00304219">
        <w:rPr>
          <w:rFonts w:ascii="Arial" w:hAnsi="Arial" w:cs="Arial"/>
          <w:noProof/>
          <w:sz w:val="22"/>
          <w:szCs w:val="22"/>
        </w:rPr>
        <w:t>Parque</w:t>
      </w:r>
      <w:r w:rsidRPr="00304219">
        <w:rPr>
          <w:rFonts w:ascii="Arial" w:hAnsi="Arial" w:cs="Arial"/>
          <w:noProof/>
          <w:sz w:val="22"/>
          <w:szCs w:val="22"/>
        </w:rPr>
        <w:t xml:space="preserve"> Industrial y por lo tanto </w:t>
      </w:r>
      <w:r w:rsidR="00045490" w:rsidRPr="00304219">
        <w:rPr>
          <w:rFonts w:ascii="Arial" w:hAnsi="Arial" w:cs="Arial"/>
          <w:noProof/>
          <w:sz w:val="22"/>
          <w:szCs w:val="22"/>
        </w:rPr>
        <w:t>todos los programas serán evaluada</w:t>
      </w:r>
      <w:r w:rsidRPr="00304219">
        <w:rPr>
          <w:rFonts w:ascii="Arial" w:hAnsi="Arial" w:cs="Arial"/>
          <w:noProof/>
          <w:sz w:val="22"/>
          <w:szCs w:val="22"/>
        </w:rPr>
        <w:t>s como si fuera</w:t>
      </w:r>
      <w:r w:rsidR="00045490" w:rsidRPr="00304219">
        <w:rPr>
          <w:rFonts w:ascii="Arial" w:hAnsi="Arial" w:cs="Arial"/>
          <w:noProof/>
          <w:sz w:val="22"/>
          <w:szCs w:val="22"/>
        </w:rPr>
        <w:t>n</w:t>
      </w:r>
      <w:r w:rsidRPr="00304219">
        <w:rPr>
          <w:rFonts w:ascii="Arial" w:hAnsi="Arial" w:cs="Arial"/>
          <w:noProof/>
          <w:sz w:val="22"/>
          <w:szCs w:val="22"/>
        </w:rPr>
        <w:t xml:space="preserve"> un</w:t>
      </w:r>
      <w:r w:rsidR="00045490" w:rsidRPr="00304219">
        <w:rPr>
          <w:rFonts w:ascii="Arial" w:hAnsi="Arial" w:cs="Arial"/>
          <w:noProof/>
          <w:sz w:val="22"/>
          <w:szCs w:val="22"/>
        </w:rPr>
        <w:t>a</w:t>
      </w:r>
      <w:r w:rsidRPr="00304219">
        <w:rPr>
          <w:rFonts w:ascii="Arial" w:hAnsi="Arial" w:cs="Arial"/>
          <w:noProof/>
          <w:sz w:val="22"/>
          <w:szCs w:val="22"/>
        </w:rPr>
        <w:t xml:space="preserve"> sol</w:t>
      </w:r>
      <w:r w:rsidR="00045490" w:rsidRPr="00304219">
        <w:rPr>
          <w:rFonts w:ascii="Arial" w:hAnsi="Arial" w:cs="Arial"/>
          <w:noProof/>
          <w:sz w:val="22"/>
          <w:szCs w:val="22"/>
        </w:rPr>
        <w:t>a</w:t>
      </w:r>
      <w:r w:rsidRPr="00304219">
        <w:rPr>
          <w:rFonts w:ascii="Arial" w:hAnsi="Arial" w:cs="Arial"/>
          <w:noProof/>
          <w:sz w:val="22"/>
          <w:szCs w:val="22"/>
        </w:rPr>
        <w:t xml:space="preserve"> </w:t>
      </w:r>
      <w:r w:rsidR="00045490" w:rsidRPr="00304219">
        <w:rPr>
          <w:rFonts w:ascii="Arial" w:hAnsi="Arial" w:cs="Arial"/>
          <w:noProof/>
          <w:sz w:val="22"/>
          <w:szCs w:val="22"/>
        </w:rPr>
        <w:t>operación</w:t>
      </w:r>
      <w:r w:rsidR="00473529" w:rsidRPr="00304219">
        <w:rPr>
          <w:rFonts w:ascii="Arial" w:hAnsi="Arial" w:cs="Arial"/>
          <w:noProof/>
          <w:sz w:val="22"/>
          <w:szCs w:val="22"/>
        </w:rPr>
        <w:t xml:space="preserve">. </w:t>
      </w:r>
      <w:r w:rsidR="00045490" w:rsidRPr="00304219">
        <w:rPr>
          <w:rFonts w:ascii="Arial" w:hAnsi="Arial" w:cs="Arial"/>
          <w:noProof/>
          <w:sz w:val="22"/>
          <w:szCs w:val="22"/>
        </w:rPr>
        <w:t>En consecuencia</w:t>
      </w:r>
      <w:r w:rsidR="003B6058" w:rsidRPr="00304219">
        <w:rPr>
          <w:rFonts w:ascii="Arial" w:hAnsi="Arial" w:cs="Arial"/>
          <w:noProof/>
          <w:sz w:val="22"/>
          <w:szCs w:val="22"/>
        </w:rPr>
        <w:t xml:space="preserve">, </w:t>
      </w:r>
      <w:r w:rsidRPr="00304219">
        <w:rPr>
          <w:rFonts w:ascii="Arial" w:hAnsi="Arial" w:cs="Arial"/>
          <w:noProof/>
          <w:sz w:val="22"/>
          <w:szCs w:val="22"/>
        </w:rPr>
        <w:t>los indicadores de impacto y resultado</w:t>
      </w:r>
      <w:r w:rsidR="000977EB" w:rsidRPr="00304219">
        <w:rPr>
          <w:rFonts w:ascii="Arial" w:hAnsi="Arial" w:cs="Arial"/>
          <w:noProof/>
          <w:sz w:val="22"/>
          <w:szCs w:val="22"/>
        </w:rPr>
        <w:t>s</w:t>
      </w:r>
      <w:r w:rsidRPr="00304219">
        <w:rPr>
          <w:rFonts w:ascii="Arial" w:hAnsi="Arial" w:cs="Arial"/>
          <w:noProof/>
          <w:sz w:val="22"/>
          <w:szCs w:val="22"/>
        </w:rPr>
        <w:t xml:space="preserve"> utilizados son los mismos</w:t>
      </w:r>
      <w:r w:rsidR="003B6058" w:rsidRPr="00304219">
        <w:rPr>
          <w:rFonts w:ascii="Arial" w:hAnsi="Arial" w:cs="Arial"/>
          <w:noProof/>
          <w:sz w:val="22"/>
          <w:szCs w:val="22"/>
        </w:rPr>
        <w:t xml:space="preserve"> de las operaciones anteriores</w:t>
      </w:r>
      <w:r w:rsidRPr="00304219">
        <w:rPr>
          <w:rFonts w:ascii="Arial" w:hAnsi="Arial" w:cs="Arial"/>
          <w:noProof/>
          <w:sz w:val="22"/>
          <w:szCs w:val="22"/>
        </w:rPr>
        <w:t xml:space="preserve">. Para la presente operación, los indicadores de producto </w:t>
      </w:r>
      <w:r w:rsidR="003B6058" w:rsidRPr="00304219">
        <w:rPr>
          <w:rFonts w:ascii="Arial" w:hAnsi="Arial" w:cs="Arial"/>
          <w:noProof/>
          <w:sz w:val="22"/>
          <w:szCs w:val="22"/>
        </w:rPr>
        <w:t>fuero</w:t>
      </w:r>
      <w:r w:rsidR="001B07B7" w:rsidRPr="00304219">
        <w:rPr>
          <w:rFonts w:ascii="Arial" w:hAnsi="Arial" w:cs="Arial"/>
          <w:noProof/>
          <w:sz w:val="22"/>
          <w:szCs w:val="22"/>
        </w:rPr>
        <w:t>n</w:t>
      </w:r>
      <w:r w:rsidRPr="00304219">
        <w:rPr>
          <w:rFonts w:ascii="Arial" w:hAnsi="Arial" w:cs="Arial"/>
          <w:noProof/>
          <w:sz w:val="22"/>
          <w:szCs w:val="22"/>
        </w:rPr>
        <w:t xml:space="preserve"> </w:t>
      </w:r>
      <w:r w:rsidR="00AE56B4" w:rsidRPr="00304219">
        <w:rPr>
          <w:rFonts w:ascii="Arial" w:hAnsi="Arial" w:cs="Arial"/>
          <w:noProof/>
          <w:sz w:val="22"/>
          <w:szCs w:val="22"/>
        </w:rPr>
        <w:t>actualizados</w:t>
      </w:r>
      <w:r w:rsidR="003B6058" w:rsidRPr="00304219">
        <w:rPr>
          <w:rFonts w:ascii="Arial" w:hAnsi="Arial" w:cs="Arial"/>
          <w:noProof/>
          <w:sz w:val="22"/>
          <w:szCs w:val="22"/>
        </w:rPr>
        <w:t xml:space="preserve"> para reflejar sus metas específicas</w:t>
      </w:r>
      <w:r w:rsidR="001B07B7" w:rsidRPr="00304219">
        <w:rPr>
          <w:rFonts w:ascii="Arial" w:hAnsi="Arial" w:cs="Arial"/>
          <w:noProof/>
          <w:sz w:val="22"/>
          <w:szCs w:val="22"/>
        </w:rPr>
        <w:t>.</w:t>
      </w:r>
      <w:r w:rsidR="00473529" w:rsidRPr="00304219">
        <w:rPr>
          <w:rFonts w:ascii="Arial" w:hAnsi="Arial" w:cs="Arial"/>
          <w:noProof/>
          <w:sz w:val="22"/>
          <w:szCs w:val="22"/>
        </w:rPr>
        <w:t xml:space="preserve"> </w:t>
      </w:r>
      <w:r w:rsidR="00045490" w:rsidRPr="00304219">
        <w:rPr>
          <w:rFonts w:ascii="Arial" w:hAnsi="Arial" w:cs="Arial"/>
          <w:noProof/>
          <w:sz w:val="22"/>
          <w:szCs w:val="22"/>
        </w:rPr>
        <w:t>La metodología de e</w:t>
      </w:r>
      <w:r w:rsidR="003B6058" w:rsidRPr="00304219">
        <w:rPr>
          <w:rFonts w:ascii="Arial" w:hAnsi="Arial" w:cs="Arial"/>
          <w:noProof/>
          <w:sz w:val="22"/>
          <w:szCs w:val="22"/>
        </w:rPr>
        <w:t xml:space="preserve">valuación sigue </w:t>
      </w:r>
      <w:r w:rsidR="00045490" w:rsidRPr="00304219">
        <w:rPr>
          <w:rFonts w:ascii="Arial" w:hAnsi="Arial" w:cs="Arial"/>
          <w:noProof/>
          <w:sz w:val="22"/>
          <w:szCs w:val="22"/>
        </w:rPr>
        <w:t xml:space="preserve">siendo </w:t>
      </w:r>
      <w:r w:rsidR="003B6058" w:rsidRPr="00304219">
        <w:rPr>
          <w:rFonts w:ascii="Arial" w:hAnsi="Arial" w:cs="Arial"/>
          <w:noProof/>
          <w:sz w:val="22"/>
          <w:szCs w:val="22"/>
        </w:rPr>
        <w:t xml:space="preserve">la misma. </w:t>
      </w:r>
      <w:r w:rsidR="000E5579" w:rsidRPr="00304219">
        <w:rPr>
          <w:rFonts w:ascii="Arial" w:hAnsi="Arial" w:cs="Arial"/>
          <w:noProof/>
          <w:sz w:val="22"/>
          <w:szCs w:val="22"/>
        </w:rPr>
        <w:t xml:space="preserve">Los fondos para la evaluación final están presupuestados en </w:t>
      </w:r>
      <w:r w:rsidR="00045490" w:rsidRPr="00304219">
        <w:rPr>
          <w:rFonts w:ascii="Arial" w:hAnsi="Arial" w:cs="Arial"/>
          <w:noProof/>
          <w:sz w:val="22"/>
          <w:szCs w:val="22"/>
        </w:rPr>
        <w:t xml:space="preserve">la operación </w:t>
      </w:r>
      <w:r w:rsidR="000E5579" w:rsidRPr="00304219">
        <w:rPr>
          <w:rFonts w:ascii="Arial" w:hAnsi="Arial" w:cs="Arial"/>
          <w:noProof/>
          <w:sz w:val="22"/>
          <w:szCs w:val="22"/>
        </w:rPr>
        <w:t>HA-L1</w:t>
      </w:r>
      <w:r w:rsidR="00473529" w:rsidRPr="00304219">
        <w:rPr>
          <w:rFonts w:ascii="Arial" w:hAnsi="Arial" w:cs="Arial"/>
          <w:noProof/>
          <w:sz w:val="22"/>
          <w:szCs w:val="22"/>
        </w:rPr>
        <w:t>101</w:t>
      </w:r>
      <w:r w:rsidR="000E5579" w:rsidRPr="00304219">
        <w:rPr>
          <w:rFonts w:ascii="Arial" w:hAnsi="Arial" w:cs="Arial"/>
          <w:noProof/>
          <w:sz w:val="22"/>
          <w:szCs w:val="22"/>
        </w:rPr>
        <w:t>.</w:t>
      </w:r>
      <w:r w:rsidR="001B07B7" w:rsidRPr="00304219">
        <w:rPr>
          <w:rFonts w:ascii="Arial" w:hAnsi="Arial" w:cs="Arial"/>
          <w:noProof/>
          <w:sz w:val="22"/>
          <w:szCs w:val="22"/>
        </w:rPr>
        <w:t xml:space="preserve"> </w:t>
      </w:r>
    </w:p>
    <w:p w14:paraId="03BF1366" w14:textId="38DE887C" w:rsidR="00750DAF" w:rsidRPr="00304219" w:rsidRDefault="005A3B64" w:rsidP="00B85A50">
      <w:pPr>
        <w:pStyle w:val="Paragraph"/>
        <w:rPr>
          <w:rFonts w:ascii="Arial" w:hAnsi="Arial" w:cs="Arial"/>
          <w:noProof/>
          <w:sz w:val="22"/>
          <w:szCs w:val="22"/>
        </w:rPr>
      </w:pPr>
      <w:r w:rsidRPr="00304219">
        <w:rPr>
          <w:rFonts w:ascii="Arial" w:hAnsi="Arial" w:cs="Arial"/>
          <w:b/>
          <w:sz w:val="22"/>
          <w:szCs w:val="22"/>
          <w:lang w:val="es-ES_tradnl"/>
        </w:rPr>
        <w:t>Objetivo</w:t>
      </w:r>
      <w:bookmarkEnd w:id="4"/>
      <w:bookmarkEnd w:id="5"/>
      <w:bookmarkEnd w:id="6"/>
      <w:bookmarkEnd w:id="7"/>
      <w:bookmarkEnd w:id="8"/>
      <w:bookmarkEnd w:id="9"/>
      <w:r w:rsidRPr="00304219">
        <w:rPr>
          <w:rFonts w:ascii="Arial" w:hAnsi="Arial" w:cs="Arial"/>
          <w:b/>
          <w:sz w:val="22"/>
          <w:szCs w:val="22"/>
          <w:lang w:val="es-ES_tradnl"/>
        </w:rPr>
        <w:t>.</w:t>
      </w:r>
      <w:r w:rsidRPr="00304219">
        <w:rPr>
          <w:rFonts w:ascii="Arial" w:hAnsi="Arial" w:cs="Arial"/>
          <w:sz w:val="22"/>
          <w:szCs w:val="22"/>
          <w:lang w:val="es-ES_tradnl"/>
        </w:rPr>
        <w:t xml:space="preserve"> </w:t>
      </w:r>
      <w:r w:rsidRPr="00304219">
        <w:rPr>
          <w:rFonts w:ascii="Arial" w:hAnsi="Arial" w:cs="Arial"/>
          <w:sz w:val="22"/>
          <w:szCs w:val="22"/>
        </w:rPr>
        <w:t xml:space="preserve">El </w:t>
      </w:r>
      <w:r w:rsidR="00DB5A1E" w:rsidRPr="00304219">
        <w:rPr>
          <w:rFonts w:ascii="Arial" w:hAnsi="Arial" w:cs="Arial"/>
          <w:sz w:val="22"/>
          <w:szCs w:val="22"/>
        </w:rPr>
        <w:t>objetivo general del programa es contribuir</w:t>
      </w:r>
      <w:r w:rsidR="00C34E1E" w:rsidRPr="00304219">
        <w:rPr>
          <w:rFonts w:ascii="Arial" w:hAnsi="Arial" w:cs="Arial"/>
          <w:sz w:val="22"/>
          <w:szCs w:val="22"/>
        </w:rPr>
        <w:t xml:space="preserve"> al desarrollo económico</w:t>
      </w:r>
      <w:r w:rsidR="005339BB" w:rsidRPr="00304219">
        <w:rPr>
          <w:rFonts w:ascii="Arial" w:hAnsi="Arial" w:cs="Arial"/>
          <w:sz w:val="22"/>
          <w:szCs w:val="22"/>
        </w:rPr>
        <w:t xml:space="preserve"> sostenible</w:t>
      </w:r>
      <w:r w:rsidR="00C34E1E" w:rsidRPr="00304219">
        <w:rPr>
          <w:rFonts w:ascii="Arial" w:hAnsi="Arial" w:cs="Arial"/>
          <w:sz w:val="22"/>
          <w:szCs w:val="22"/>
        </w:rPr>
        <w:t xml:space="preserve"> del norte de Haití</w:t>
      </w:r>
      <w:r w:rsidR="00DB5A1E" w:rsidRPr="00304219">
        <w:rPr>
          <w:rFonts w:ascii="Arial" w:hAnsi="Arial" w:cs="Arial"/>
          <w:sz w:val="22"/>
          <w:szCs w:val="22"/>
        </w:rPr>
        <w:t>. El objetivo específico es crear empleos formales en los departamentos d</w:t>
      </w:r>
      <w:r w:rsidR="00473529" w:rsidRPr="00304219">
        <w:rPr>
          <w:rFonts w:ascii="Arial" w:hAnsi="Arial" w:cs="Arial"/>
          <w:sz w:val="22"/>
          <w:szCs w:val="22"/>
        </w:rPr>
        <w:t>el Norte y el Noreste de Haití</w:t>
      </w:r>
      <w:r w:rsidR="00C34E1E" w:rsidRPr="00304219">
        <w:rPr>
          <w:rFonts w:ascii="Arial" w:hAnsi="Arial" w:cs="Arial"/>
          <w:sz w:val="22"/>
          <w:szCs w:val="22"/>
        </w:rPr>
        <w:t xml:space="preserve"> </w:t>
      </w:r>
      <w:r w:rsidR="00017100" w:rsidRPr="00304219">
        <w:rPr>
          <w:rFonts w:ascii="Arial" w:hAnsi="Arial" w:cs="Arial"/>
          <w:sz w:val="22"/>
          <w:szCs w:val="22"/>
        </w:rPr>
        <w:t xml:space="preserve">mediante la creación de </w:t>
      </w:r>
      <w:r w:rsidR="00DB5A1E" w:rsidRPr="00304219">
        <w:rPr>
          <w:rFonts w:ascii="Arial" w:hAnsi="Arial" w:cs="Arial"/>
          <w:sz w:val="22"/>
          <w:szCs w:val="22"/>
        </w:rPr>
        <w:t xml:space="preserve">la infraestructura necesaria </w:t>
      </w:r>
      <w:r w:rsidR="00661BA8" w:rsidRPr="00304219">
        <w:rPr>
          <w:rFonts w:ascii="Arial" w:hAnsi="Arial" w:cs="Arial"/>
          <w:sz w:val="22"/>
          <w:szCs w:val="22"/>
        </w:rPr>
        <w:t xml:space="preserve">para </w:t>
      </w:r>
      <w:r w:rsidR="00CA3F0D" w:rsidRPr="00304219">
        <w:rPr>
          <w:rFonts w:ascii="Arial" w:hAnsi="Arial" w:cs="Arial"/>
          <w:sz w:val="22"/>
          <w:szCs w:val="22"/>
        </w:rPr>
        <w:t>el</w:t>
      </w:r>
      <w:r w:rsidR="007B2498" w:rsidRPr="00304219">
        <w:rPr>
          <w:rFonts w:ascii="Arial" w:hAnsi="Arial" w:cs="Arial"/>
          <w:sz w:val="22"/>
          <w:szCs w:val="22"/>
        </w:rPr>
        <w:t xml:space="preserve"> establecimiento de </w:t>
      </w:r>
      <w:r w:rsidR="00112AB1" w:rsidRPr="00304219">
        <w:rPr>
          <w:rFonts w:ascii="Arial" w:eastAsia="Arial Unicode MS" w:hAnsi="Arial" w:cs="Arial"/>
          <w:iCs/>
          <w:sz w:val="22"/>
          <w:szCs w:val="22"/>
        </w:rPr>
        <w:t>firmas</w:t>
      </w:r>
      <w:r w:rsidR="00C34E1E" w:rsidRPr="00304219">
        <w:rPr>
          <w:rFonts w:ascii="Arial" w:eastAsia="Arial Unicode MS" w:hAnsi="Arial" w:cs="Arial"/>
          <w:iCs/>
          <w:sz w:val="22"/>
          <w:szCs w:val="22"/>
        </w:rPr>
        <w:t xml:space="preserve"> en el </w:t>
      </w:r>
      <w:r w:rsidR="006102F8" w:rsidRPr="00304219">
        <w:rPr>
          <w:rFonts w:ascii="Arial" w:hAnsi="Arial" w:cs="Arial"/>
          <w:sz w:val="22"/>
          <w:szCs w:val="22"/>
        </w:rPr>
        <w:t xml:space="preserve">Parque Industrial de Caracol </w:t>
      </w:r>
      <w:r w:rsidR="005460EF" w:rsidRPr="00304219">
        <w:rPr>
          <w:rFonts w:ascii="Arial" w:hAnsi="Arial" w:cs="Arial"/>
          <w:sz w:val="22"/>
          <w:szCs w:val="22"/>
        </w:rPr>
        <w:t>(</w:t>
      </w:r>
      <w:r w:rsidR="006102F8" w:rsidRPr="00304219">
        <w:rPr>
          <w:rFonts w:ascii="Arial" w:hAnsi="Arial" w:cs="Arial"/>
          <w:sz w:val="22"/>
          <w:szCs w:val="22"/>
        </w:rPr>
        <w:t>PIC</w:t>
      </w:r>
      <w:r w:rsidR="005460EF" w:rsidRPr="00304219">
        <w:rPr>
          <w:rFonts w:ascii="Arial" w:hAnsi="Arial" w:cs="Arial"/>
          <w:sz w:val="22"/>
          <w:szCs w:val="22"/>
        </w:rPr>
        <w:t>)</w:t>
      </w:r>
      <w:r w:rsidR="00CC214C" w:rsidRPr="00304219">
        <w:rPr>
          <w:rFonts w:ascii="Arial" w:hAnsi="Arial" w:cs="Arial"/>
          <w:sz w:val="22"/>
          <w:szCs w:val="22"/>
        </w:rPr>
        <w:t xml:space="preserve"> y asegurar su adecuado manejo y la sostenibilidad financiera a largo plazo</w:t>
      </w:r>
      <w:r w:rsidR="00112AB1" w:rsidRPr="00304219">
        <w:rPr>
          <w:rFonts w:ascii="Arial" w:hAnsi="Arial" w:cs="Arial"/>
          <w:sz w:val="22"/>
          <w:szCs w:val="22"/>
        </w:rPr>
        <w:t>.</w:t>
      </w:r>
      <w:r w:rsidR="00C34E1E" w:rsidRPr="00304219">
        <w:rPr>
          <w:rFonts w:ascii="Arial" w:hAnsi="Arial" w:cs="Arial"/>
          <w:sz w:val="22"/>
          <w:szCs w:val="22"/>
        </w:rPr>
        <w:t xml:space="preserve"> </w:t>
      </w:r>
      <w:r w:rsidR="00C41372" w:rsidRPr="00304219">
        <w:rPr>
          <w:rFonts w:ascii="Arial" w:hAnsi="Arial" w:cs="Arial"/>
          <w:sz w:val="22"/>
          <w:szCs w:val="22"/>
          <w:lang w:val="es-ES_tradnl"/>
        </w:rPr>
        <w:t>Este objetivo se logrará proporcionando</w:t>
      </w:r>
      <w:r w:rsidR="00C41372" w:rsidRPr="00304219">
        <w:rPr>
          <w:rFonts w:ascii="Arial" w:hAnsi="Arial" w:cs="Arial"/>
          <w:sz w:val="22"/>
          <w:szCs w:val="22"/>
        </w:rPr>
        <w:t xml:space="preserve"> infraestructura básica, instalaciones industriales</w:t>
      </w:r>
      <w:r w:rsidR="00A847C7" w:rsidRPr="00304219">
        <w:rPr>
          <w:rFonts w:ascii="Arial" w:hAnsi="Arial" w:cs="Arial"/>
          <w:sz w:val="22"/>
          <w:szCs w:val="22"/>
        </w:rPr>
        <w:t xml:space="preserve"> y</w:t>
      </w:r>
      <w:r w:rsidR="00C41372" w:rsidRPr="00304219">
        <w:rPr>
          <w:rFonts w:ascii="Arial" w:hAnsi="Arial" w:cs="Arial"/>
          <w:sz w:val="22"/>
          <w:szCs w:val="22"/>
        </w:rPr>
        <w:t xml:space="preserve"> </w:t>
      </w:r>
      <w:r w:rsidR="00A847C7" w:rsidRPr="00304219">
        <w:rPr>
          <w:rFonts w:ascii="Arial" w:hAnsi="Arial" w:cs="Arial"/>
          <w:sz w:val="22"/>
          <w:szCs w:val="22"/>
        </w:rPr>
        <w:t xml:space="preserve">soporte </w:t>
      </w:r>
      <w:r w:rsidR="00C41372" w:rsidRPr="00304219">
        <w:rPr>
          <w:rFonts w:ascii="Arial" w:hAnsi="Arial" w:cs="Arial"/>
          <w:sz w:val="22"/>
          <w:szCs w:val="22"/>
        </w:rPr>
        <w:t xml:space="preserve">a la gestión </w:t>
      </w:r>
      <w:r w:rsidR="00A847C7" w:rsidRPr="00304219">
        <w:rPr>
          <w:rFonts w:ascii="Arial" w:hAnsi="Arial" w:cs="Arial"/>
          <w:sz w:val="22"/>
          <w:szCs w:val="22"/>
        </w:rPr>
        <w:t>para la expansión y el funcionamiento sostenible del PIC</w:t>
      </w:r>
      <w:r w:rsidR="00C41372" w:rsidRPr="00304219">
        <w:rPr>
          <w:rFonts w:ascii="Arial" w:hAnsi="Arial" w:cs="Arial"/>
          <w:sz w:val="22"/>
          <w:szCs w:val="22"/>
        </w:rPr>
        <w:t xml:space="preserve">. </w:t>
      </w:r>
      <w:r w:rsidR="00C41372" w:rsidRPr="00304219">
        <w:rPr>
          <w:rFonts w:ascii="Arial" w:hAnsi="Arial" w:cs="Arial"/>
          <w:sz w:val="22"/>
          <w:szCs w:val="22"/>
          <w:lang w:val="es-ES_tradnl"/>
        </w:rPr>
        <w:t xml:space="preserve">Los </w:t>
      </w:r>
      <w:r w:rsidR="00A847C7" w:rsidRPr="00304219">
        <w:rPr>
          <w:rFonts w:ascii="Arial" w:hAnsi="Arial" w:cs="Arial"/>
          <w:sz w:val="22"/>
          <w:szCs w:val="22"/>
          <w:lang w:val="es-ES_tradnl"/>
        </w:rPr>
        <w:t xml:space="preserve">principales </w:t>
      </w:r>
      <w:r w:rsidR="00C41372" w:rsidRPr="00304219">
        <w:rPr>
          <w:rFonts w:ascii="Arial" w:hAnsi="Arial" w:cs="Arial"/>
          <w:sz w:val="22"/>
          <w:szCs w:val="22"/>
          <w:lang w:val="es-ES_tradnl"/>
        </w:rPr>
        <w:t>beneficiarios del pro</w:t>
      </w:r>
      <w:r w:rsidR="00A847C7" w:rsidRPr="00304219">
        <w:rPr>
          <w:rFonts w:ascii="Arial" w:hAnsi="Arial" w:cs="Arial"/>
          <w:sz w:val="22"/>
          <w:szCs w:val="22"/>
          <w:lang w:val="es-ES_tradnl"/>
        </w:rPr>
        <w:t>grama</w:t>
      </w:r>
      <w:r w:rsidR="00C41372" w:rsidRPr="00304219">
        <w:rPr>
          <w:rFonts w:ascii="Arial" w:hAnsi="Arial" w:cs="Arial"/>
          <w:sz w:val="22"/>
          <w:szCs w:val="22"/>
          <w:lang w:val="es-ES_tradnl"/>
        </w:rPr>
        <w:t xml:space="preserve"> serán las empresas que se establecerán </w:t>
      </w:r>
      <w:r w:rsidR="00A847C7" w:rsidRPr="00304219">
        <w:rPr>
          <w:rFonts w:ascii="Arial" w:hAnsi="Arial" w:cs="Arial"/>
          <w:sz w:val="22"/>
          <w:szCs w:val="22"/>
          <w:lang w:val="es-ES_tradnl"/>
        </w:rPr>
        <w:t xml:space="preserve">en el parque industrial </w:t>
      </w:r>
      <w:r w:rsidR="00C41372" w:rsidRPr="00304219">
        <w:rPr>
          <w:rFonts w:ascii="Arial" w:hAnsi="Arial" w:cs="Arial"/>
          <w:sz w:val="22"/>
          <w:szCs w:val="22"/>
          <w:lang w:val="es-ES_tradnl"/>
        </w:rPr>
        <w:t xml:space="preserve">y los </w:t>
      </w:r>
      <w:r w:rsidR="00A847C7" w:rsidRPr="00304219">
        <w:rPr>
          <w:rFonts w:ascii="Arial" w:hAnsi="Arial" w:cs="Arial"/>
          <w:sz w:val="22"/>
          <w:szCs w:val="22"/>
          <w:lang w:val="es-ES_tradnl"/>
        </w:rPr>
        <w:t xml:space="preserve">obreros que </w:t>
      </w:r>
      <w:r w:rsidR="00C41372" w:rsidRPr="00304219">
        <w:rPr>
          <w:rFonts w:ascii="Arial" w:hAnsi="Arial" w:cs="Arial"/>
          <w:sz w:val="22"/>
          <w:szCs w:val="22"/>
          <w:lang w:val="es-ES_tradnl"/>
        </w:rPr>
        <w:t>emplear</w:t>
      </w:r>
      <w:r w:rsidR="00A847C7" w:rsidRPr="00304219">
        <w:rPr>
          <w:rFonts w:ascii="Arial" w:hAnsi="Arial" w:cs="Arial"/>
          <w:sz w:val="22"/>
          <w:szCs w:val="22"/>
          <w:lang w:val="es-ES_tradnl"/>
        </w:rPr>
        <w:t>á</w:t>
      </w:r>
      <w:r w:rsidR="005460EF" w:rsidRPr="00304219">
        <w:rPr>
          <w:rFonts w:ascii="Arial" w:hAnsi="Arial" w:cs="Arial"/>
          <w:sz w:val="22"/>
          <w:szCs w:val="22"/>
          <w:lang w:val="es-ES_tradnl"/>
        </w:rPr>
        <w:t>n</w:t>
      </w:r>
      <w:r w:rsidR="00C41372" w:rsidRPr="00304219">
        <w:rPr>
          <w:rFonts w:ascii="Arial" w:hAnsi="Arial" w:cs="Arial"/>
          <w:sz w:val="22"/>
          <w:szCs w:val="22"/>
          <w:lang w:val="es-ES_tradnl"/>
        </w:rPr>
        <w:t xml:space="preserve">. El programa se estructura en </w:t>
      </w:r>
      <w:r w:rsidR="00F450E0" w:rsidRPr="00304219">
        <w:rPr>
          <w:rFonts w:ascii="Arial" w:hAnsi="Arial" w:cs="Arial"/>
          <w:sz w:val="22"/>
          <w:szCs w:val="22"/>
          <w:lang w:val="es-ES_tradnl"/>
        </w:rPr>
        <w:t xml:space="preserve">tres </w:t>
      </w:r>
      <w:r w:rsidR="00C41372" w:rsidRPr="00304219">
        <w:rPr>
          <w:rFonts w:ascii="Arial" w:hAnsi="Arial" w:cs="Arial"/>
          <w:sz w:val="22"/>
          <w:szCs w:val="22"/>
          <w:lang w:val="es-ES_tradnl"/>
        </w:rPr>
        <w:t>componentes:</w:t>
      </w:r>
      <w:bookmarkStart w:id="13" w:name="_Ref294270481"/>
    </w:p>
    <w:p w14:paraId="5457D61E" w14:textId="7779537B" w:rsidR="00B847E1" w:rsidRPr="00304219" w:rsidRDefault="0079693C" w:rsidP="002A4AE6">
      <w:pPr>
        <w:pStyle w:val="Paragraph"/>
        <w:numPr>
          <w:ilvl w:val="0"/>
          <w:numId w:val="50"/>
        </w:numPr>
        <w:rPr>
          <w:rFonts w:ascii="Arial" w:hAnsi="Arial" w:cs="Arial"/>
          <w:noProof/>
          <w:sz w:val="22"/>
          <w:szCs w:val="22"/>
        </w:rPr>
      </w:pPr>
      <w:r w:rsidRPr="00304219">
        <w:rPr>
          <w:rFonts w:ascii="Arial" w:hAnsi="Arial" w:cs="Arial"/>
          <w:b/>
          <w:noProof/>
          <w:sz w:val="22"/>
          <w:szCs w:val="22"/>
        </w:rPr>
        <w:t xml:space="preserve">Componente 1. </w:t>
      </w:r>
      <w:r w:rsidR="00FA3D05" w:rsidRPr="00304219">
        <w:rPr>
          <w:rFonts w:ascii="Arial" w:hAnsi="Arial" w:cs="Arial"/>
          <w:b/>
          <w:noProof/>
          <w:sz w:val="22"/>
          <w:szCs w:val="22"/>
        </w:rPr>
        <w:t xml:space="preserve">Provisión de </w:t>
      </w:r>
      <w:r w:rsidR="00A140EC" w:rsidRPr="00304219">
        <w:rPr>
          <w:rFonts w:ascii="Arial" w:hAnsi="Arial" w:cs="Arial"/>
          <w:b/>
          <w:noProof/>
          <w:sz w:val="22"/>
          <w:szCs w:val="22"/>
        </w:rPr>
        <w:t>i</w:t>
      </w:r>
      <w:r w:rsidR="00D13DB8" w:rsidRPr="00304219">
        <w:rPr>
          <w:rFonts w:ascii="Arial" w:hAnsi="Arial" w:cs="Arial"/>
          <w:b/>
          <w:noProof/>
          <w:sz w:val="22"/>
          <w:szCs w:val="22"/>
        </w:rPr>
        <w:t xml:space="preserve">nfraestructura </w:t>
      </w:r>
      <w:r w:rsidR="00FA3D05" w:rsidRPr="00304219">
        <w:rPr>
          <w:rFonts w:ascii="Arial" w:hAnsi="Arial" w:cs="Arial"/>
          <w:b/>
          <w:noProof/>
          <w:sz w:val="22"/>
          <w:szCs w:val="22"/>
        </w:rPr>
        <w:t>en el</w:t>
      </w:r>
      <w:r w:rsidR="00D13DB8" w:rsidRPr="00304219">
        <w:rPr>
          <w:rFonts w:ascii="Arial" w:hAnsi="Arial" w:cs="Arial"/>
          <w:b/>
          <w:noProof/>
          <w:sz w:val="22"/>
          <w:szCs w:val="22"/>
        </w:rPr>
        <w:t xml:space="preserve"> PIC</w:t>
      </w:r>
      <w:r w:rsidR="00196B8C" w:rsidRPr="00304219">
        <w:rPr>
          <w:rFonts w:ascii="Arial" w:hAnsi="Arial" w:cs="Arial"/>
          <w:b/>
          <w:noProof/>
          <w:sz w:val="22"/>
          <w:szCs w:val="22"/>
        </w:rPr>
        <w:t xml:space="preserve"> (US$38,</w:t>
      </w:r>
      <w:r w:rsidR="007F1004" w:rsidRPr="00304219">
        <w:rPr>
          <w:rFonts w:ascii="Arial" w:hAnsi="Arial" w:cs="Arial"/>
          <w:b/>
          <w:noProof/>
          <w:sz w:val="22"/>
          <w:szCs w:val="22"/>
        </w:rPr>
        <w:t>4</w:t>
      </w:r>
      <w:r w:rsidR="005930D3" w:rsidRPr="00304219">
        <w:rPr>
          <w:rFonts w:ascii="Arial" w:hAnsi="Arial" w:cs="Arial"/>
          <w:b/>
          <w:noProof/>
          <w:sz w:val="22"/>
          <w:szCs w:val="22"/>
        </w:rPr>
        <w:t xml:space="preserve"> millones)</w:t>
      </w:r>
      <w:r w:rsidR="000E5579" w:rsidRPr="00304219">
        <w:rPr>
          <w:rFonts w:ascii="Arial" w:hAnsi="Arial" w:cs="Arial"/>
          <w:b/>
          <w:noProof/>
          <w:sz w:val="22"/>
          <w:szCs w:val="22"/>
        </w:rPr>
        <w:t>.</w:t>
      </w:r>
      <w:r w:rsidR="00D13DB8" w:rsidRPr="00304219">
        <w:rPr>
          <w:rFonts w:ascii="Arial" w:hAnsi="Arial" w:cs="Arial"/>
          <w:b/>
          <w:noProof/>
          <w:sz w:val="22"/>
          <w:szCs w:val="22"/>
        </w:rPr>
        <w:t xml:space="preserve"> </w:t>
      </w:r>
      <w:r w:rsidR="00750DAF" w:rsidRPr="00304219">
        <w:rPr>
          <w:rFonts w:ascii="Arial" w:hAnsi="Arial" w:cs="Arial"/>
          <w:noProof/>
          <w:sz w:val="22"/>
          <w:szCs w:val="22"/>
        </w:rPr>
        <w:t>Este componente f</w:t>
      </w:r>
      <w:r w:rsidR="00D13DB8" w:rsidRPr="00304219">
        <w:rPr>
          <w:rFonts w:ascii="Arial" w:hAnsi="Arial" w:cs="Arial"/>
          <w:noProof/>
          <w:sz w:val="22"/>
          <w:szCs w:val="22"/>
        </w:rPr>
        <w:t>inancia</w:t>
      </w:r>
      <w:r w:rsidR="00FB7CE8" w:rsidRPr="00304219">
        <w:rPr>
          <w:rFonts w:ascii="Arial" w:hAnsi="Arial" w:cs="Arial"/>
          <w:noProof/>
          <w:sz w:val="22"/>
          <w:szCs w:val="22"/>
        </w:rPr>
        <w:t>rá</w:t>
      </w:r>
      <w:r w:rsidR="00473529" w:rsidRPr="00304219">
        <w:rPr>
          <w:rFonts w:ascii="Arial" w:hAnsi="Arial" w:cs="Arial"/>
          <w:noProof/>
          <w:sz w:val="22"/>
          <w:szCs w:val="22"/>
        </w:rPr>
        <w:t xml:space="preserve"> la expansión del PIC, incluyendo</w:t>
      </w:r>
      <w:r w:rsidR="009E3E9F" w:rsidRPr="00304219">
        <w:rPr>
          <w:rFonts w:ascii="Arial" w:hAnsi="Arial" w:cs="Arial"/>
          <w:noProof/>
          <w:sz w:val="22"/>
          <w:szCs w:val="22"/>
        </w:rPr>
        <w:t>: (i)</w:t>
      </w:r>
      <w:r w:rsidR="00F63E85" w:rsidRPr="00304219">
        <w:rPr>
          <w:rFonts w:ascii="Arial" w:hAnsi="Arial" w:cs="Arial"/>
          <w:noProof/>
          <w:sz w:val="22"/>
          <w:szCs w:val="22"/>
        </w:rPr>
        <w:t xml:space="preserve"> </w:t>
      </w:r>
      <w:r w:rsidR="000E5579" w:rsidRPr="00304219">
        <w:rPr>
          <w:rFonts w:ascii="Arial" w:hAnsi="Arial" w:cs="Arial"/>
          <w:noProof/>
          <w:sz w:val="22"/>
          <w:szCs w:val="22"/>
        </w:rPr>
        <w:t xml:space="preserve">la construcción de </w:t>
      </w:r>
      <w:r w:rsidR="007F1004" w:rsidRPr="00304219">
        <w:rPr>
          <w:rFonts w:ascii="Arial" w:hAnsi="Arial" w:cs="Arial"/>
          <w:noProof/>
          <w:sz w:val="22"/>
          <w:szCs w:val="22"/>
        </w:rPr>
        <w:t xml:space="preserve">cuatro </w:t>
      </w:r>
      <w:r w:rsidR="000E5579" w:rsidRPr="00304219">
        <w:rPr>
          <w:rFonts w:ascii="Arial" w:hAnsi="Arial" w:cs="Arial"/>
          <w:noProof/>
          <w:sz w:val="22"/>
          <w:szCs w:val="22"/>
        </w:rPr>
        <w:t>galpones industriales</w:t>
      </w:r>
      <w:r w:rsidR="007F1004" w:rsidRPr="00304219">
        <w:rPr>
          <w:rFonts w:ascii="Arial" w:hAnsi="Arial" w:cs="Arial"/>
          <w:noProof/>
          <w:sz w:val="22"/>
          <w:szCs w:val="22"/>
        </w:rPr>
        <w:t xml:space="preserve"> (11.776 m2 cada uno)</w:t>
      </w:r>
      <w:r w:rsidR="000E5579" w:rsidRPr="00304219">
        <w:rPr>
          <w:rFonts w:ascii="Arial" w:hAnsi="Arial" w:cs="Arial"/>
          <w:noProof/>
          <w:sz w:val="22"/>
          <w:szCs w:val="22"/>
        </w:rPr>
        <w:t xml:space="preserve"> </w:t>
      </w:r>
      <w:r w:rsidR="000977EB" w:rsidRPr="00304219">
        <w:rPr>
          <w:rFonts w:ascii="Arial" w:hAnsi="Arial" w:cs="Arial"/>
          <w:noProof/>
          <w:sz w:val="22"/>
          <w:szCs w:val="22"/>
        </w:rPr>
        <w:t xml:space="preserve">para acomodar las actividades industriales </w:t>
      </w:r>
      <w:r w:rsidR="000E5579" w:rsidRPr="00304219">
        <w:rPr>
          <w:rFonts w:ascii="Arial" w:hAnsi="Arial" w:cs="Arial"/>
          <w:noProof/>
          <w:sz w:val="22"/>
          <w:szCs w:val="22"/>
        </w:rPr>
        <w:t xml:space="preserve">y </w:t>
      </w:r>
      <w:r w:rsidR="005930D3" w:rsidRPr="00304219">
        <w:rPr>
          <w:rFonts w:ascii="Arial" w:hAnsi="Arial" w:cs="Arial"/>
          <w:noProof/>
          <w:sz w:val="22"/>
          <w:szCs w:val="22"/>
        </w:rPr>
        <w:t>construcciones anexas</w:t>
      </w:r>
      <w:r w:rsidR="000E5579" w:rsidRPr="00304219">
        <w:rPr>
          <w:rFonts w:ascii="Arial" w:hAnsi="Arial" w:cs="Arial"/>
          <w:noProof/>
          <w:sz w:val="22"/>
          <w:szCs w:val="22"/>
        </w:rPr>
        <w:t xml:space="preserve"> para </w:t>
      </w:r>
      <w:r w:rsidR="000977EB" w:rsidRPr="00304219">
        <w:rPr>
          <w:rFonts w:ascii="Arial" w:hAnsi="Arial" w:cs="Arial"/>
          <w:noProof/>
          <w:sz w:val="22"/>
          <w:szCs w:val="22"/>
        </w:rPr>
        <w:t xml:space="preserve">satisfacer la demanda de las empresas instaladas y </w:t>
      </w:r>
      <w:r w:rsidR="000E5579" w:rsidRPr="00304219">
        <w:rPr>
          <w:rFonts w:ascii="Arial" w:hAnsi="Arial" w:cs="Arial"/>
          <w:noProof/>
          <w:sz w:val="22"/>
          <w:szCs w:val="22"/>
        </w:rPr>
        <w:t xml:space="preserve">la instalación de </w:t>
      </w:r>
      <w:r w:rsidR="000977EB" w:rsidRPr="00304219">
        <w:rPr>
          <w:rFonts w:ascii="Arial" w:hAnsi="Arial" w:cs="Arial"/>
          <w:noProof/>
          <w:sz w:val="22"/>
          <w:szCs w:val="22"/>
        </w:rPr>
        <w:t xml:space="preserve">nuevas </w:t>
      </w:r>
      <w:r w:rsidR="005930D3" w:rsidRPr="00304219">
        <w:rPr>
          <w:rFonts w:ascii="Arial" w:hAnsi="Arial" w:cs="Arial"/>
          <w:noProof/>
          <w:sz w:val="22"/>
          <w:szCs w:val="22"/>
        </w:rPr>
        <w:t xml:space="preserve">industrias </w:t>
      </w:r>
      <w:r w:rsidR="000E5579" w:rsidRPr="00304219">
        <w:rPr>
          <w:rFonts w:ascii="Arial" w:hAnsi="Arial" w:cs="Arial"/>
          <w:noProof/>
          <w:sz w:val="22"/>
          <w:szCs w:val="22"/>
        </w:rPr>
        <w:t>manufactur</w:t>
      </w:r>
      <w:r w:rsidR="005930D3" w:rsidRPr="00304219">
        <w:rPr>
          <w:rFonts w:ascii="Arial" w:hAnsi="Arial" w:cs="Arial"/>
          <w:noProof/>
          <w:sz w:val="22"/>
          <w:szCs w:val="22"/>
        </w:rPr>
        <w:t>eras</w:t>
      </w:r>
      <w:r w:rsidR="000977EB" w:rsidRPr="00304219">
        <w:rPr>
          <w:rFonts w:ascii="Arial" w:hAnsi="Arial" w:cs="Arial"/>
          <w:noProof/>
          <w:sz w:val="22"/>
          <w:szCs w:val="22"/>
        </w:rPr>
        <w:t xml:space="preserve"> en el PIC (e.g., </w:t>
      </w:r>
      <w:r w:rsidR="007F1004" w:rsidRPr="00304219">
        <w:rPr>
          <w:rFonts w:ascii="Arial" w:hAnsi="Arial" w:cs="Arial"/>
          <w:noProof/>
          <w:sz w:val="22"/>
          <w:szCs w:val="22"/>
        </w:rPr>
        <w:t>una cantina,</w:t>
      </w:r>
      <w:r w:rsidR="000977EB" w:rsidRPr="00304219">
        <w:rPr>
          <w:rFonts w:ascii="Arial" w:hAnsi="Arial" w:cs="Arial"/>
          <w:noProof/>
          <w:sz w:val="22"/>
          <w:szCs w:val="22"/>
        </w:rPr>
        <w:t xml:space="preserve"> </w:t>
      </w:r>
      <w:r w:rsidR="007F1004" w:rsidRPr="00304219">
        <w:rPr>
          <w:rFonts w:ascii="Arial" w:hAnsi="Arial" w:cs="Arial"/>
          <w:noProof/>
          <w:sz w:val="22"/>
          <w:szCs w:val="22"/>
        </w:rPr>
        <w:t xml:space="preserve"> y </w:t>
      </w:r>
      <w:r w:rsidR="00CC214C" w:rsidRPr="00304219">
        <w:rPr>
          <w:rFonts w:ascii="Arial" w:hAnsi="Arial" w:cs="Arial"/>
          <w:noProof/>
          <w:sz w:val="22"/>
          <w:szCs w:val="22"/>
        </w:rPr>
        <w:t xml:space="preserve">dos </w:t>
      </w:r>
      <w:r w:rsidR="007F1004" w:rsidRPr="00304219">
        <w:rPr>
          <w:rFonts w:ascii="Arial" w:hAnsi="Arial" w:cs="Arial"/>
          <w:noProof/>
          <w:sz w:val="22"/>
          <w:szCs w:val="22"/>
        </w:rPr>
        <w:t>cuartos de calderas</w:t>
      </w:r>
      <w:r w:rsidR="000977EB" w:rsidRPr="00304219">
        <w:rPr>
          <w:rFonts w:ascii="Arial" w:hAnsi="Arial" w:cs="Arial"/>
          <w:noProof/>
          <w:sz w:val="22"/>
          <w:szCs w:val="22"/>
        </w:rPr>
        <w:t>)</w:t>
      </w:r>
      <w:r w:rsidR="000E5579" w:rsidRPr="00304219">
        <w:rPr>
          <w:rFonts w:ascii="Arial" w:hAnsi="Arial" w:cs="Arial"/>
          <w:noProof/>
          <w:sz w:val="22"/>
          <w:szCs w:val="22"/>
        </w:rPr>
        <w:t>; (</w:t>
      </w:r>
      <w:r w:rsidR="005930D3" w:rsidRPr="00304219">
        <w:rPr>
          <w:rFonts w:ascii="Arial" w:hAnsi="Arial" w:cs="Arial"/>
          <w:noProof/>
          <w:sz w:val="22"/>
          <w:szCs w:val="22"/>
        </w:rPr>
        <w:t>ii</w:t>
      </w:r>
      <w:r w:rsidR="00724C99" w:rsidRPr="00304219">
        <w:rPr>
          <w:rFonts w:ascii="Arial" w:hAnsi="Arial" w:cs="Arial"/>
          <w:noProof/>
          <w:sz w:val="22"/>
          <w:szCs w:val="22"/>
        </w:rPr>
        <w:t>) </w:t>
      </w:r>
      <w:r w:rsidR="007F1004" w:rsidRPr="00304219">
        <w:rPr>
          <w:rFonts w:ascii="Arial" w:hAnsi="Arial" w:cs="Arial"/>
          <w:noProof/>
          <w:sz w:val="22"/>
          <w:szCs w:val="22"/>
        </w:rPr>
        <w:t xml:space="preserve">infraestructura interna, incluyendo </w:t>
      </w:r>
      <w:r w:rsidR="002A4AE6" w:rsidRPr="00304219">
        <w:rPr>
          <w:rFonts w:ascii="Arial" w:hAnsi="Arial" w:cs="Arial"/>
          <w:noProof/>
          <w:sz w:val="22"/>
          <w:szCs w:val="22"/>
        </w:rPr>
        <w:t xml:space="preserve">caminos </w:t>
      </w:r>
      <w:r w:rsidR="005930D3" w:rsidRPr="00304219">
        <w:rPr>
          <w:rFonts w:ascii="Arial" w:hAnsi="Arial" w:cs="Arial"/>
          <w:noProof/>
          <w:sz w:val="22"/>
          <w:szCs w:val="22"/>
        </w:rPr>
        <w:t xml:space="preserve">internos </w:t>
      </w:r>
      <w:r w:rsidR="002A4AE6" w:rsidRPr="00304219">
        <w:rPr>
          <w:rFonts w:ascii="Arial" w:hAnsi="Arial" w:cs="Arial"/>
          <w:noProof/>
          <w:sz w:val="22"/>
          <w:szCs w:val="22"/>
        </w:rPr>
        <w:t>y redes de servicios públicos</w:t>
      </w:r>
      <w:r w:rsidR="009E3E9F" w:rsidRPr="00304219">
        <w:rPr>
          <w:rFonts w:ascii="Arial" w:hAnsi="Arial" w:cs="Arial"/>
          <w:noProof/>
          <w:sz w:val="22"/>
          <w:szCs w:val="22"/>
        </w:rPr>
        <w:t xml:space="preserve">; </w:t>
      </w:r>
      <w:r w:rsidR="003721E1">
        <w:rPr>
          <w:rFonts w:ascii="Arial" w:hAnsi="Arial" w:cs="Arial"/>
          <w:noProof/>
          <w:sz w:val="22"/>
          <w:szCs w:val="22"/>
        </w:rPr>
        <w:t xml:space="preserve">(iii) trabajos de control fluvial para el río Trou-du-Nord, en su  flujo dentro del PIC; </w:t>
      </w:r>
      <w:r w:rsidR="009E3E9F" w:rsidRPr="00304219">
        <w:rPr>
          <w:rFonts w:ascii="Arial" w:hAnsi="Arial" w:cs="Arial"/>
          <w:noProof/>
          <w:sz w:val="22"/>
          <w:szCs w:val="22"/>
        </w:rPr>
        <w:t>y</w:t>
      </w:r>
      <w:r w:rsidR="00D748D9" w:rsidRPr="00304219">
        <w:rPr>
          <w:rFonts w:ascii="Arial" w:hAnsi="Arial" w:cs="Arial"/>
          <w:noProof/>
          <w:sz w:val="22"/>
          <w:szCs w:val="22"/>
        </w:rPr>
        <w:t xml:space="preserve"> (i</w:t>
      </w:r>
      <w:r w:rsidR="003721E1">
        <w:rPr>
          <w:rFonts w:ascii="Arial" w:hAnsi="Arial" w:cs="Arial"/>
          <w:noProof/>
          <w:sz w:val="22"/>
          <w:szCs w:val="22"/>
        </w:rPr>
        <w:t>v</w:t>
      </w:r>
      <w:r w:rsidR="00D748D9" w:rsidRPr="00304219">
        <w:rPr>
          <w:rFonts w:ascii="Arial" w:hAnsi="Arial" w:cs="Arial"/>
          <w:noProof/>
          <w:sz w:val="22"/>
          <w:szCs w:val="22"/>
        </w:rPr>
        <w:t>)</w:t>
      </w:r>
      <w:r w:rsidR="00284BAD" w:rsidRPr="00304219">
        <w:rPr>
          <w:rFonts w:ascii="Arial" w:hAnsi="Arial" w:cs="Arial"/>
          <w:noProof/>
          <w:sz w:val="22"/>
          <w:szCs w:val="22"/>
        </w:rPr>
        <w:t xml:space="preserve"> la supervisión de las obras</w:t>
      </w:r>
      <w:r w:rsidR="00D748D9" w:rsidRPr="00304219">
        <w:rPr>
          <w:rFonts w:ascii="Arial" w:hAnsi="Arial" w:cs="Arial"/>
          <w:noProof/>
          <w:sz w:val="22"/>
          <w:szCs w:val="22"/>
        </w:rPr>
        <w:t>.</w:t>
      </w:r>
      <w:r w:rsidR="00473529" w:rsidRPr="00304219">
        <w:rPr>
          <w:rFonts w:ascii="Arial" w:hAnsi="Arial" w:cs="Arial"/>
          <w:noProof/>
          <w:sz w:val="22"/>
          <w:szCs w:val="22"/>
        </w:rPr>
        <w:t xml:space="preserve"> </w:t>
      </w:r>
    </w:p>
    <w:p w14:paraId="48BE213A" w14:textId="5C6B8212" w:rsidR="00580456" w:rsidRPr="00304219" w:rsidRDefault="0070590B" w:rsidP="00580456">
      <w:pPr>
        <w:pStyle w:val="Paragraph"/>
        <w:numPr>
          <w:ilvl w:val="0"/>
          <w:numId w:val="50"/>
        </w:numPr>
        <w:rPr>
          <w:rFonts w:ascii="Arial" w:hAnsi="Arial" w:cs="Arial"/>
          <w:noProof/>
          <w:sz w:val="22"/>
          <w:szCs w:val="22"/>
          <w:lang w:val="es-ES_tradnl"/>
        </w:rPr>
      </w:pPr>
      <w:r w:rsidRPr="00304219">
        <w:rPr>
          <w:rFonts w:ascii="Arial" w:hAnsi="Arial" w:cs="Arial"/>
          <w:b/>
          <w:noProof/>
          <w:sz w:val="22"/>
          <w:szCs w:val="22"/>
          <w:lang w:val="es-ES_tradnl"/>
        </w:rPr>
        <w:t xml:space="preserve">Componente 2. </w:t>
      </w:r>
      <w:r w:rsidR="00473529" w:rsidRPr="00304219">
        <w:rPr>
          <w:rFonts w:ascii="Arial" w:hAnsi="Arial" w:cs="Arial"/>
          <w:b/>
          <w:noProof/>
          <w:sz w:val="22"/>
          <w:szCs w:val="22"/>
          <w:lang w:val="es-ES_tradnl"/>
        </w:rPr>
        <w:t>Fortalecimiento Institucional de la SONAPI</w:t>
      </w:r>
      <w:r w:rsidRPr="00304219">
        <w:rPr>
          <w:rFonts w:ascii="Arial" w:hAnsi="Arial" w:cs="Arial"/>
          <w:b/>
          <w:noProof/>
          <w:sz w:val="22"/>
          <w:szCs w:val="22"/>
        </w:rPr>
        <w:t xml:space="preserve"> (US$</w:t>
      </w:r>
      <w:r w:rsidR="00473529" w:rsidRPr="00304219">
        <w:rPr>
          <w:rFonts w:ascii="Arial" w:hAnsi="Arial" w:cs="Arial"/>
          <w:b/>
          <w:noProof/>
          <w:sz w:val="22"/>
          <w:szCs w:val="22"/>
        </w:rPr>
        <w:t>1</w:t>
      </w:r>
      <w:r w:rsidR="007F1004" w:rsidRPr="00304219">
        <w:rPr>
          <w:rFonts w:ascii="Arial" w:hAnsi="Arial" w:cs="Arial"/>
          <w:b/>
          <w:noProof/>
          <w:sz w:val="22"/>
          <w:szCs w:val="22"/>
        </w:rPr>
        <w:t>,3</w:t>
      </w:r>
      <w:r w:rsidR="005930D3" w:rsidRPr="00304219">
        <w:rPr>
          <w:rFonts w:ascii="Arial" w:hAnsi="Arial" w:cs="Arial"/>
          <w:b/>
          <w:noProof/>
          <w:sz w:val="22"/>
          <w:szCs w:val="22"/>
        </w:rPr>
        <w:t xml:space="preserve"> </w:t>
      </w:r>
      <w:r w:rsidRPr="00304219">
        <w:rPr>
          <w:rFonts w:ascii="Arial" w:hAnsi="Arial" w:cs="Arial"/>
          <w:b/>
          <w:noProof/>
          <w:sz w:val="22"/>
          <w:szCs w:val="22"/>
        </w:rPr>
        <w:t>mill</w:t>
      </w:r>
      <w:r w:rsidR="0090403D" w:rsidRPr="00304219">
        <w:rPr>
          <w:rFonts w:ascii="Arial" w:hAnsi="Arial" w:cs="Arial"/>
          <w:b/>
          <w:noProof/>
          <w:sz w:val="22"/>
          <w:szCs w:val="22"/>
        </w:rPr>
        <w:t>o</w:t>
      </w:r>
      <w:r w:rsidR="00473529" w:rsidRPr="00304219">
        <w:rPr>
          <w:rFonts w:ascii="Arial" w:hAnsi="Arial" w:cs="Arial"/>
          <w:b/>
          <w:noProof/>
          <w:sz w:val="22"/>
          <w:szCs w:val="22"/>
        </w:rPr>
        <w:t>n</w:t>
      </w:r>
      <w:r w:rsidR="0090403D" w:rsidRPr="00304219">
        <w:rPr>
          <w:rFonts w:ascii="Arial" w:hAnsi="Arial" w:cs="Arial"/>
          <w:b/>
          <w:noProof/>
          <w:sz w:val="22"/>
          <w:szCs w:val="22"/>
        </w:rPr>
        <w:t>es</w:t>
      </w:r>
      <w:r w:rsidRPr="00304219">
        <w:rPr>
          <w:rFonts w:ascii="Arial" w:hAnsi="Arial" w:cs="Arial"/>
          <w:b/>
          <w:noProof/>
          <w:sz w:val="22"/>
          <w:szCs w:val="22"/>
        </w:rPr>
        <w:t>).</w:t>
      </w:r>
      <w:r w:rsidRPr="00304219">
        <w:rPr>
          <w:rFonts w:ascii="Arial" w:hAnsi="Arial" w:cs="Arial"/>
          <w:noProof/>
          <w:sz w:val="22"/>
          <w:szCs w:val="22"/>
        </w:rPr>
        <w:t xml:space="preserve"> </w:t>
      </w:r>
      <w:r w:rsidRPr="00304219">
        <w:rPr>
          <w:rFonts w:ascii="Arial" w:hAnsi="Arial" w:cs="Arial"/>
          <w:noProof/>
          <w:sz w:val="22"/>
          <w:szCs w:val="22"/>
          <w:lang w:val="es-ES_tradnl"/>
        </w:rPr>
        <w:t xml:space="preserve">Este </w:t>
      </w:r>
      <w:r w:rsidR="00473529" w:rsidRPr="00304219">
        <w:rPr>
          <w:rFonts w:ascii="Arial" w:hAnsi="Arial" w:cs="Arial"/>
          <w:sz w:val="22"/>
          <w:szCs w:val="22"/>
        </w:rPr>
        <w:t xml:space="preserve">componente proveerá fondos </w:t>
      </w:r>
      <w:r w:rsidR="00864C05" w:rsidRPr="00304219">
        <w:rPr>
          <w:rFonts w:ascii="Arial" w:hAnsi="Arial" w:cs="Arial"/>
          <w:sz w:val="22"/>
          <w:szCs w:val="22"/>
        </w:rPr>
        <w:t xml:space="preserve">a la SONAPI </w:t>
      </w:r>
      <w:r w:rsidR="00473529" w:rsidRPr="00304219">
        <w:rPr>
          <w:rFonts w:ascii="Arial" w:hAnsi="Arial" w:cs="Arial"/>
          <w:sz w:val="22"/>
          <w:szCs w:val="22"/>
        </w:rPr>
        <w:t xml:space="preserve">para </w:t>
      </w:r>
      <w:r w:rsidR="00864C05" w:rsidRPr="00304219">
        <w:rPr>
          <w:rFonts w:ascii="Arial" w:hAnsi="Arial" w:cs="Arial"/>
          <w:sz w:val="22"/>
          <w:szCs w:val="22"/>
        </w:rPr>
        <w:t>cubrir los costos de operación</w:t>
      </w:r>
      <w:r w:rsidR="00864C05" w:rsidRPr="00304219">
        <w:rPr>
          <w:rFonts w:ascii="Arial" w:hAnsi="Arial" w:cs="Arial"/>
          <w:sz w:val="22"/>
          <w:szCs w:val="22"/>
          <w:lang w:val="es-ES_tradnl"/>
        </w:rPr>
        <w:t xml:space="preserve"> del</w:t>
      </w:r>
      <w:r w:rsidR="00473529" w:rsidRPr="00304219">
        <w:rPr>
          <w:rFonts w:ascii="Arial" w:hAnsi="Arial" w:cs="Arial"/>
          <w:sz w:val="22"/>
          <w:szCs w:val="22"/>
        </w:rPr>
        <w:t xml:space="preserve"> PIC, en su transición a un parque industrial sostenible y manejado </w:t>
      </w:r>
      <w:r w:rsidR="00E23639" w:rsidRPr="00304219">
        <w:rPr>
          <w:rFonts w:ascii="Arial" w:hAnsi="Arial" w:cs="Arial"/>
          <w:sz w:val="22"/>
          <w:szCs w:val="22"/>
        </w:rPr>
        <w:t>eficientemente</w:t>
      </w:r>
      <w:r w:rsidR="00864C05" w:rsidRPr="00304219">
        <w:rPr>
          <w:rFonts w:ascii="Arial" w:hAnsi="Arial" w:cs="Arial"/>
          <w:sz w:val="22"/>
          <w:szCs w:val="22"/>
        </w:rPr>
        <w:t>, hasta que expire el periodo de gracia para los arrendatarios internacionales</w:t>
      </w:r>
      <w:r w:rsidR="00E23639" w:rsidRPr="00304219">
        <w:rPr>
          <w:rFonts w:ascii="Arial" w:hAnsi="Arial" w:cs="Arial"/>
          <w:sz w:val="22"/>
          <w:szCs w:val="22"/>
        </w:rPr>
        <w:t xml:space="preserve">. </w:t>
      </w:r>
      <w:r w:rsidR="00864C05" w:rsidRPr="00304219">
        <w:rPr>
          <w:rFonts w:ascii="Arial" w:hAnsi="Arial" w:cs="Arial"/>
          <w:sz w:val="22"/>
          <w:szCs w:val="22"/>
        </w:rPr>
        <w:t>Estos fondos para la operación y mantenimiento cubrirán costos de: (i) personal y equipamiento necesario par la implementación del sistema</w:t>
      </w:r>
      <w:r w:rsidR="00864C05" w:rsidRPr="00304219">
        <w:rPr>
          <w:rFonts w:ascii="Arial" w:hAnsi="Arial" w:cs="Arial"/>
          <w:noProof/>
          <w:sz w:val="22"/>
          <w:szCs w:val="22"/>
          <w:lang w:val="es-ES_tradnl"/>
        </w:rPr>
        <w:t xml:space="preserve"> gestión ambiental, salud y seguridad</w:t>
      </w:r>
      <w:r w:rsidR="00864C05" w:rsidRPr="00304219">
        <w:rPr>
          <w:rFonts w:ascii="Arial" w:hAnsi="Arial" w:cs="Arial"/>
          <w:sz w:val="22"/>
          <w:szCs w:val="22"/>
          <w:lang w:val="es-ES_tradnl"/>
        </w:rPr>
        <w:t>, y (ii</w:t>
      </w:r>
      <w:r w:rsidR="00724C99" w:rsidRPr="00304219">
        <w:rPr>
          <w:rFonts w:ascii="Arial" w:hAnsi="Arial" w:cs="Arial"/>
          <w:sz w:val="22"/>
          <w:szCs w:val="22"/>
          <w:lang w:val="es-ES_tradnl"/>
        </w:rPr>
        <w:t>) </w:t>
      </w:r>
      <w:r w:rsidR="00864C05" w:rsidRPr="00304219">
        <w:rPr>
          <w:rFonts w:ascii="Arial" w:hAnsi="Arial" w:cs="Arial"/>
          <w:sz w:val="22"/>
          <w:szCs w:val="22"/>
          <w:lang w:val="es-ES_tradnl"/>
        </w:rPr>
        <w:t xml:space="preserve">actividades de desarrollo y gestión de negocios. </w:t>
      </w:r>
    </w:p>
    <w:p w14:paraId="410D903A" w14:textId="2369E2DA" w:rsidR="00374527" w:rsidRPr="00304219" w:rsidRDefault="008C555C" w:rsidP="00F92E36">
      <w:pPr>
        <w:pStyle w:val="Paragraph"/>
        <w:numPr>
          <w:ilvl w:val="0"/>
          <w:numId w:val="50"/>
        </w:numPr>
        <w:rPr>
          <w:rFonts w:ascii="Arial" w:hAnsi="Arial" w:cs="Arial"/>
          <w:noProof/>
          <w:sz w:val="22"/>
          <w:szCs w:val="22"/>
          <w:lang w:val="es-ES_tradnl"/>
        </w:rPr>
      </w:pPr>
      <w:r w:rsidRPr="00304219">
        <w:rPr>
          <w:rFonts w:ascii="Arial" w:hAnsi="Arial" w:cs="Arial"/>
          <w:b/>
          <w:noProof/>
          <w:sz w:val="22"/>
          <w:szCs w:val="22"/>
          <w:lang w:val="es-ES_tradnl"/>
        </w:rPr>
        <w:t>Costos Administrativos</w:t>
      </w:r>
      <w:r w:rsidR="00196B8C" w:rsidRPr="00304219">
        <w:rPr>
          <w:rFonts w:ascii="Arial" w:hAnsi="Arial" w:cs="Arial"/>
          <w:b/>
          <w:noProof/>
          <w:sz w:val="22"/>
          <w:szCs w:val="22"/>
          <w:lang w:val="es-ES_tradnl"/>
        </w:rPr>
        <w:t xml:space="preserve"> (US$1,</w:t>
      </w:r>
      <w:r w:rsidRPr="00304219">
        <w:rPr>
          <w:rFonts w:ascii="Arial" w:hAnsi="Arial" w:cs="Arial"/>
          <w:b/>
          <w:noProof/>
          <w:sz w:val="22"/>
          <w:szCs w:val="22"/>
          <w:lang w:val="es-ES_tradnl"/>
        </w:rPr>
        <w:t xml:space="preserve">3 millones). </w:t>
      </w:r>
      <w:r w:rsidRPr="00304219">
        <w:rPr>
          <w:rFonts w:ascii="Arial" w:hAnsi="Arial" w:cs="Arial"/>
          <w:noProof/>
          <w:sz w:val="22"/>
          <w:szCs w:val="22"/>
          <w:lang w:val="es-ES_tradnl"/>
        </w:rPr>
        <w:t>La operación también financiará actividades para la administración, monitoreo y auditoría de fondos, implementadas por la Unidad de Ejecución Técnica del Ministerio de Economía y Finanzas (MEF/UTE)</w:t>
      </w:r>
      <w:r w:rsidR="00E55106" w:rsidRPr="00304219">
        <w:rPr>
          <w:rFonts w:ascii="Arial" w:hAnsi="Arial" w:cs="Arial"/>
          <w:noProof/>
          <w:sz w:val="22"/>
          <w:szCs w:val="22"/>
          <w:lang w:val="es-ES_tradnl"/>
        </w:rPr>
        <w:t>.</w:t>
      </w:r>
    </w:p>
    <w:p w14:paraId="4062D8F6" w14:textId="324E6100" w:rsidR="005950C1" w:rsidRPr="00304219" w:rsidRDefault="005A3B64" w:rsidP="002E1163">
      <w:pPr>
        <w:pStyle w:val="Paragraph"/>
        <w:autoSpaceDE w:val="0"/>
        <w:autoSpaceDN w:val="0"/>
        <w:adjustRightInd w:val="0"/>
        <w:rPr>
          <w:rFonts w:ascii="Arial" w:hAnsi="Arial" w:cs="Arial"/>
          <w:sz w:val="22"/>
          <w:szCs w:val="22"/>
          <w:lang w:val="es-ES_tradnl"/>
        </w:rPr>
      </w:pPr>
      <w:r w:rsidRPr="00304219">
        <w:rPr>
          <w:rFonts w:ascii="Arial" w:hAnsi="Arial" w:cs="Arial"/>
          <w:b/>
          <w:bCs/>
          <w:sz w:val="22"/>
          <w:szCs w:val="22"/>
          <w:lang w:val="es-ES_tradnl"/>
        </w:rPr>
        <w:t>Esquema de ejecución y responsabilidad por el monitoreo.</w:t>
      </w:r>
      <w:r w:rsidRPr="00304219">
        <w:rPr>
          <w:rFonts w:ascii="Arial" w:hAnsi="Arial" w:cs="Arial"/>
          <w:sz w:val="22"/>
          <w:szCs w:val="22"/>
          <w:lang w:val="es-ES_tradnl"/>
        </w:rPr>
        <w:t xml:space="preserve"> </w:t>
      </w:r>
      <w:r w:rsidR="002E1163" w:rsidRPr="00304219">
        <w:rPr>
          <w:rFonts w:ascii="Arial" w:hAnsi="Arial" w:cs="Arial"/>
          <w:sz w:val="22"/>
          <w:szCs w:val="22"/>
          <w:lang w:val="es-ES_tradnl"/>
        </w:rPr>
        <w:t>Inicialmente, e</w:t>
      </w:r>
      <w:r w:rsidRPr="00304219">
        <w:rPr>
          <w:rFonts w:ascii="Arial" w:hAnsi="Arial" w:cs="Arial"/>
          <w:sz w:val="22"/>
          <w:szCs w:val="22"/>
          <w:lang w:val="es-ES_tradnl"/>
        </w:rPr>
        <w:t>l MEF</w:t>
      </w:r>
      <w:r w:rsidR="004714F7" w:rsidRPr="00304219">
        <w:rPr>
          <w:rFonts w:ascii="Arial" w:hAnsi="Arial" w:cs="Arial"/>
          <w:sz w:val="22"/>
          <w:szCs w:val="22"/>
          <w:lang w:val="es-ES_tradnl"/>
        </w:rPr>
        <w:t>,</w:t>
      </w:r>
      <w:r w:rsidRPr="00304219">
        <w:rPr>
          <w:rFonts w:ascii="Arial" w:hAnsi="Arial" w:cs="Arial"/>
          <w:sz w:val="22"/>
          <w:szCs w:val="22"/>
          <w:lang w:val="es-ES_tradnl"/>
        </w:rPr>
        <w:t xml:space="preserve"> para administrar el </w:t>
      </w:r>
      <w:r w:rsidR="004714F7" w:rsidRPr="00304219">
        <w:rPr>
          <w:rFonts w:ascii="Arial" w:hAnsi="Arial" w:cs="Arial"/>
          <w:sz w:val="22"/>
          <w:szCs w:val="22"/>
          <w:lang w:val="es-ES_tradnl"/>
        </w:rPr>
        <w:t>p</w:t>
      </w:r>
      <w:r w:rsidRPr="00304219">
        <w:rPr>
          <w:rFonts w:ascii="Arial" w:hAnsi="Arial" w:cs="Arial"/>
          <w:sz w:val="22"/>
          <w:szCs w:val="22"/>
          <w:lang w:val="es-ES_tradnl"/>
        </w:rPr>
        <w:t>réstamo 1493/SF-HA</w:t>
      </w:r>
      <w:r w:rsidR="0079693C" w:rsidRPr="00304219">
        <w:rPr>
          <w:rFonts w:ascii="Arial" w:hAnsi="Arial" w:cs="Arial"/>
          <w:sz w:val="22"/>
          <w:szCs w:val="22"/>
          <w:lang w:val="es-ES_tradnl"/>
        </w:rPr>
        <w:t>,</w:t>
      </w:r>
      <w:r w:rsidRPr="00304219">
        <w:rPr>
          <w:rFonts w:ascii="Arial" w:hAnsi="Arial" w:cs="Arial"/>
          <w:sz w:val="22"/>
          <w:szCs w:val="22"/>
          <w:lang w:val="es-ES_tradnl"/>
        </w:rPr>
        <w:t xml:space="preserve"> constituyó la Unidad Técnica de Ejecución </w:t>
      </w:r>
      <w:r w:rsidRPr="00304219">
        <w:rPr>
          <w:rFonts w:ascii="Arial" w:hAnsi="Arial" w:cs="Arial"/>
          <w:sz w:val="22"/>
          <w:szCs w:val="22"/>
          <w:lang w:val="es-ES_tradnl"/>
        </w:rPr>
        <w:lastRenderedPageBreak/>
        <w:t>(UTE</w:t>
      </w:r>
      <w:r w:rsidR="00045490" w:rsidRPr="00304219">
        <w:rPr>
          <w:rFonts w:ascii="Arial" w:hAnsi="Arial" w:cs="Arial"/>
          <w:sz w:val="22"/>
          <w:szCs w:val="22"/>
          <w:lang w:val="es-ES_tradnl"/>
        </w:rPr>
        <w:t>/MEF</w:t>
      </w:r>
      <w:r w:rsidRPr="00304219">
        <w:rPr>
          <w:rFonts w:ascii="Arial" w:hAnsi="Arial" w:cs="Arial"/>
          <w:sz w:val="22"/>
          <w:szCs w:val="22"/>
          <w:lang w:val="es-ES_tradnl"/>
        </w:rPr>
        <w:t xml:space="preserve">) que se encuentra compuesta por un </w:t>
      </w:r>
      <w:r w:rsidR="00D13DB8" w:rsidRPr="00304219">
        <w:rPr>
          <w:rFonts w:ascii="Arial" w:hAnsi="Arial" w:cs="Arial"/>
          <w:sz w:val="22"/>
          <w:szCs w:val="22"/>
          <w:lang w:val="es-ES_tradnl"/>
        </w:rPr>
        <w:t xml:space="preserve">equipo de especialistas financieros y sectoriales. La UTE ha demostrado eficiencia en su trabajo </w:t>
      </w:r>
      <w:r w:rsidR="001C7DF6" w:rsidRPr="00304219">
        <w:rPr>
          <w:rFonts w:ascii="Arial" w:hAnsi="Arial" w:cs="Arial"/>
          <w:sz w:val="22"/>
          <w:szCs w:val="22"/>
          <w:lang w:val="es-ES_tradnl"/>
        </w:rPr>
        <w:t>con la</w:t>
      </w:r>
      <w:r w:rsidR="00EA534F" w:rsidRPr="00304219">
        <w:rPr>
          <w:rFonts w:ascii="Arial" w:hAnsi="Arial" w:cs="Arial"/>
          <w:sz w:val="22"/>
          <w:szCs w:val="22"/>
          <w:lang w:val="es-ES_tradnl"/>
        </w:rPr>
        <w:t xml:space="preserve">s </w:t>
      </w:r>
      <w:r w:rsidR="008C555C" w:rsidRPr="00304219">
        <w:rPr>
          <w:rFonts w:ascii="Arial" w:hAnsi="Arial" w:cs="Arial"/>
          <w:sz w:val="22"/>
          <w:szCs w:val="22"/>
          <w:lang w:val="es-ES_tradnl"/>
        </w:rPr>
        <w:t>cuatro</w:t>
      </w:r>
      <w:r w:rsidR="00822A5E" w:rsidRPr="00304219">
        <w:rPr>
          <w:rFonts w:ascii="Arial" w:hAnsi="Arial" w:cs="Arial"/>
          <w:sz w:val="22"/>
          <w:szCs w:val="22"/>
          <w:lang w:val="es-ES_tradnl"/>
        </w:rPr>
        <w:t xml:space="preserve"> </w:t>
      </w:r>
      <w:r w:rsidR="001C7DF6" w:rsidRPr="00304219">
        <w:rPr>
          <w:rFonts w:ascii="Arial" w:hAnsi="Arial" w:cs="Arial"/>
          <w:sz w:val="22"/>
          <w:szCs w:val="22"/>
          <w:lang w:val="es-ES_tradnl"/>
        </w:rPr>
        <w:t>primera</w:t>
      </w:r>
      <w:r w:rsidR="00EA534F" w:rsidRPr="00304219">
        <w:rPr>
          <w:rFonts w:ascii="Arial" w:hAnsi="Arial" w:cs="Arial"/>
          <w:sz w:val="22"/>
          <w:szCs w:val="22"/>
          <w:lang w:val="es-ES_tradnl"/>
        </w:rPr>
        <w:t>s</w:t>
      </w:r>
      <w:r w:rsidR="001C7DF6" w:rsidRPr="00304219">
        <w:rPr>
          <w:rFonts w:ascii="Arial" w:hAnsi="Arial" w:cs="Arial"/>
          <w:sz w:val="22"/>
          <w:szCs w:val="22"/>
          <w:lang w:val="es-ES_tradnl"/>
        </w:rPr>
        <w:t xml:space="preserve"> operaci</w:t>
      </w:r>
      <w:r w:rsidR="00EA534F" w:rsidRPr="00304219">
        <w:rPr>
          <w:rFonts w:ascii="Arial" w:hAnsi="Arial" w:cs="Arial"/>
          <w:sz w:val="22"/>
          <w:szCs w:val="22"/>
          <w:lang w:val="es-ES_tradnl"/>
        </w:rPr>
        <w:t>ones</w:t>
      </w:r>
      <w:r w:rsidR="001C7DF6" w:rsidRPr="00304219">
        <w:rPr>
          <w:rFonts w:ascii="Arial" w:hAnsi="Arial" w:cs="Arial"/>
          <w:sz w:val="22"/>
          <w:szCs w:val="22"/>
          <w:lang w:val="es-ES_tradnl"/>
        </w:rPr>
        <w:t xml:space="preserve"> </w:t>
      </w:r>
      <w:r w:rsidR="00822A5E" w:rsidRPr="00304219">
        <w:rPr>
          <w:rFonts w:ascii="Arial" w:hAnsi="Arial" w:cs="Arial"/>
          <w:sz w:val="22"/>
          <w:szCs w:val="22"/>
          <w:lang w:val="es-ES_tradnl"/>
        </w:rPr>
        <w:t>d</w:t>
      </w:r>
      <w:r w:rsidR="001C7DF6" w:rsidRPr="00304219">
        <w:rPr>
          <w:rFonts w:ascii="Arial" w:hAnsi="Arial" w:cs="Arial"/>
          <w:sz w:val="22"/>
          <w:szCs w:val="22"/>
          <w:lang w:val="es-ES_tradnl"/>
        </w:rPr>
        <w:t>el PIC (2552/GR-HA</w:t>
      </w:r>
      <w:r w:rsidR="00822A5E" w:rsidRPr="00304219">
        <w:rPr>
          <w:rFonts w:ascii="Arial" w:hAnsi="Arial" w:cs="Arial"/>
          <w:sz w:val="22"/>
          <w:szCs w:val="22"/>
          <w:lang w:val="es-ES_tradnl"/>
        </w:rPr>
        <w:t>,</w:t>
      </w:r>
      <w:r w:rsidR="00EA534F" w:rsidRPr="00304219">
        <w:rPr>
          <w:rFonts w:ascii="Arial" w:hAnsi="Arial" w:cs="Arial"/>
          <w:sz w:val="22"/>
          <w:szCs w:val="22"/>
          <w:lang w:val="es-ES_tradnl"/>
        </w:rPr>
        <w:t xml:space="preserve"> 277</w:t>
      </w:r>
      <w:r w:rsidR="00822A5E" w:rsidRPr="00304219">
        <w:rPr>
          <w:rFonts w:ascii="Arial" w:hAnsi="Arial" w:cs="Arial"/>
          <w:sz w:val="22"/>
          <w:szCs w:val="22"/>
          <w:lang w:val="es-ES_tradnl"/>
        </w:rPr>
        <w:t>9</w:t>
      </w:r>
      <w:r w:rsidR="00EA534F" w:rsidRPr="00304219">
        <w:rPr>
          <w:rFonts w:ascii="Arial" w:hAnsi="Arial" w:cs="Arial"/>
          <w:sz w:val="22"/>
          <w:szCs w:val="22"/>
          <w:lang w:val="es-ES_tradnl"/>
        </w:rPr>
        <w:t>/GR-HA</w:t>
      </w:r>
      <w:r w:rsidR="008C555C" w:rsidRPr="00304219">
        <w:rPr>
          <w:rFonts w:ascii="Arial" w:hAnsi="Arial" w:cs="Arial"/>
          <w:sz w:val="22"/>
          <w:szCs w:val="22"/>
          <w:lang w:val="es-ES_tradnl"/>
        </w:rPr>
        <w:t>,</w:t>
      </w:r>
      <w:r w:rsidR="00822A5E" w:rsidRPr="00304219">
        <w:rPr>
          <w:rFonts w:ascii="Arial" w:hAnsi="Arial" w:cs="Arial"/>
          <w:sz w:val="22"/>
          <w:szCs w:val="22"/>
          <w:lang w:val="es-ES_tradnl"/>
        </w:rPr>
        <w:t xml:space="preserve"> 3132/GR-HA</w:t>
      </w:r>
      <w:r w:rsidR="00E14CAE" w:rsidRPr="00304219">
        <w:rPr>
          <w:rFonts w:ascii="Arial" w:hAnsi="Arial" w:cs="Arial"/>
          <w:sz w:val="22"/>
          <w:szCs w:val="22"/>
          <w:lang w:val="es-ES_tradnl"/>
        </w:rPr>
        <w:t xml:space="preserve"> y 3384/</w:t>
      </w:r>
      <w:r w:rsidR="003F6EAA" w:rsidRPr="00304219">
        <w:rPr>
          <w:rFonts w:ascii="Arial" w:hAnsi="Arial" w:cs="Arial"/>
          <w:sz w:val="22"/>
          <w:szCs w:val="22"/>
          <w:lang w:val="es-ES_tradnl"/>
        </w:rPr>
        <w:t>GR-HA</w:t>
      </w:r>
      <w:r w:rsidR="001C7DF6" w:rsidRPr="00304219">
        <w:rPr>
          <w:rFonts w:ascii="Arial" w:hAnsi="Arial" w:cs="Arial"/>
          <w:sz w:val="22"/>
          <w:szCs w:val="22"/>
          <w:lang w:val="es-ES_tradnl"/>
        </w:rPr>
        <w:t xml:space="preserve">) </w:t>
      </w:r>
      <w:r w:rsidR="00D13DB8" w:rsidRPr="00304219">
        <w:rPr>
          <w:rFonts w:ascii="Arial" w:hAnsi="Arial" w:cs="Arial"/>
          <w:sz w:val="22"/>
          <w:szCs w:val="22"/>
          <w:lang w:val="es-ES_tradnl"/>
        </w:rPr>
        <w:t xml:space="preserve">y continuará gestionando </w:t>
      </w:r>
      <w:r w:rsidR="00B94273" w:rsidRPr="00304219">
        <w:rPr>
          <w:rFonts w:ascii="Arial" w:hAnsi="Arial" w:cs="Arial"/>
          <w:sz w:val="22"/>
          <w:szCs w:val="22"/>
          <w:lang w:val="es-ES_tradnl"/>
        </w:rPr>
        <w:t>la parte de construcciones d</w:t>
      </w:r>
      <w:r w:rsidR="00D13DB8" w:rsidRPr="00304219">
        <w:rPr>
          <w:rFonts w:ascii="Arial" w:hAnsi="Arial" w:cs="Arial"/>
          <w:sz w:val="22"/>
          <w:szCs w:val="22"/>
          <w:lang w:val="es-ES_tradnl"/>
        </w:rPr>
        <w:t>e</w:t>
      </w:r>
      <w:r w:rsidR="00475B39" w:rsidRPr="00304219">
        <w:rPr>
          <w:rFonts w:ascii="Arial" w:hAnsi="Arial" w:cs="Arial"/>
          <w:sz w:val="22"/>
          <w:szCs w:val="22"/>
          <w:lang w:val="es-ES_tradnl"/>
        </w:rPr>
        <w:t xml:space="preserve"> e</w:t>
      </w:r>
      <w:r w:rsidR="00D13DB8" w:rsidRPr="00304219">
        <w:rPr>
          <w:rFonts w:ascii="Arial" w:hAnsi="Arial" w:cs="Arial"/>
          <w:sz w:val="22"/>
          <w:szCs w:val="22"/>
          <w:lang w:val="es-ES_tradnl"/>
        </w:rPr>
        <w:t>ste</w:t>
      </w:r>
      <w:r w:rsidR="001C7DF6" w:rsidRPr="00304219">
        <w:rPr>
          <w:rFonts w:ascii="Arial" w:hAnsi="Arial" w:cs="Arial"/>
          <w:sz w:val="22"/>
          <w:szCs w:val="22"/>
          <w:lang w:val="es-ES_tradnl"/>
        </w:rPr>
        <w:t xml:space="preserve"> nuevo</w:t>
      </w:r>
      <w:r w:rsidR="00D13DB8" w:rsidRPr="00304219">
        <w:rPr>
          <w:rFonts w:ascii="Arial" w:hAnsi="Arial" w:cs="Arial"/>
          <w:sz w:val="22"/>
          <w:szCs w:val="22"/>
          <w:lang w:val="es-ES_tradnl"/>
        </w:rPr>
        <w:t xml:space="preserve"> programa</w:t>
      </w:r>
      <w:r w:rsidR="00B94273" w:rsidRPr="00304219">
        <w:rPr>
          <w:rFonts w:ascii="Arial" w:hAnsi="Arial" w:cs="Arial"/>
          <w:sz w:val="22"/>
          <w:szCs w:val="22"/>
          <w:lang w:val="es-ES_tradnl"/>
        </w:rPr>
        <w:t>.</w:t>
      </w:r>
      <w:bookmarkEnd w:id="13"/>
      <w:r w:rsidR="003F6EAA" w:rsidRPr="00304219">
        <w:rPr>
          <w:rFonts w:ascii="Arial" w:hAnsi="Arial" w:cs="Arial"/>
          <w:sz w:val="22"/>
          <w:szCs w:val="22"/>
          <w:lang w:val="es-ES_tradnl"/>
        </w:rPr>
        <w:t xml:space="preserve"> </w:t>
      </w:r>
      <w:r w:rsidR="00822A5E" w:rsidRPr="00304219">
        <w:rPr>
          <w:rFonts w:ascii="Arial" w:hAnsi="Arial" w:cs="Arial"/>
          <w:sz w:val="22"/>
          <w:szCs w:val="22"/>
          <w:lang w:val="es-ES_tradnl"/>
        </w:rPr>
        <w:t>La</w:t>
      </w:r>
      <w:r w:rsidR="002E1163" w:rsidRPr="00304219">
        <w:rPr>
          <w:rFonts w:ascii="Arial" w:hAnsi="Arial" w:cs="Arial"/>
          <w:sz w:val="22"/>
          <w:szCs w:val="22"/>
          <w:lang w:val="es-ES_tradnl"/>
        </w:rPr>
        <w:t xml:space="preserve"> UTE</w:t>
      </w:r>
      <w:r w:rsidR="001D01EF" w:rsidRPr="00304219">
        <w:rPr>
          <w:rFonts w:ascii="Arial" w:hAnsi="Arial" w:cs="Arial"/>
          <w:sz w:val="22"/>
          <w:szCs w:val="22"/>
          <w:lang w:val="es-ES_tradnl"/>
        </w:rPr>
        <w:t>/MEF</w:t>
      </w:r>
      <w:r w:rsidR="002E1163" w:rsidRPr="00304219">
        <w:rPr>
          <w:rFonts w:ascii="Arial" w:hAnsi="Arial" w:cs="Arial"/>
          <w:sz w:val="22"/>
          <w:szCs w:val="22"/>
          <w:lang w:val="es-ES_tradnl"/>
        </w:rPr>
        <w:t xml:space="preserve"> </w:t>
      </w:r>
      <w:r w:rsidR="00D13DB8" w:rsidRPr="00304219">
        <w:rPr>
          <w:rFonts w:ascii="Arial" w:hAnsi="Arial" w:cs="Arial"/>
          <w:sz w:val="22"/>
          <w:szCs w:val="22"/>
          <w:lang w:val="es-ES_tradnl"/>
        </w:rPr>
        <w:t>será responsable</w:t>
      </w:r>
      <w:r w:rsidR="00F92E36" w:rsidRPr="00304219">
        <w:rPr>
          <w:rFonts w:ascii="Arial" w:hAnsi="Arial" w:cs="Arial"/>
          <w:sz w:val="22"/>
          <w:szCs w:val="22"/>
          <w:lang w:val="es-ES_tradnl"/>
        </w:rPr>
        <w:t>s</w:t>
      </w:r>
      <w:r w:rsidR="00822A5E" w:rsidRPr="00304219">
        <w:rPr>
          <w:rFonts w:ascii="Arial" w:hAnsi="Arial" w:cs="Arial"/>
          <w:sz w:val="22"/>
          <w:szCs w:val="22"/>
          <w:lang w:val="es-ES_tradnl"/>
        </w:rPr>
        <w:t xml:space="preserve"> de recabar la información correspondiente a los diferentes indicadores de producto y resultado incluidos en la </w:t>
      </w:r>
      <w:r w:rsidR="00724C99" w:rsidRPr="00304219">
        <w:rPr>
          <w:rFonts w:ascii="Arial" w:hAnsi="Arial" w:cs="Arial"/>
          <w:sz w:val="22"/>
          <w:szCs w:val="22"/>
          <w:lang w:val="es-ES_tradnl"/>
        </w:rPr>
        <w:t xml:space="preserve">matriz de resultados </w:t>
      </w:r>
      <w:r w:rsidR="00822A5E" w:rsidRPr="00304219">
        <w:rPr>
          <w:rFonts w:ascii="Arial" w:hAnsi="Arial" w:cs="Arial"/>
          <w:sz w:val="22"/>
          <w:szCs w:val="22"/>
          <w:lang w:val="es-ES_tradnl"/>
        </w:rPr>
        <w:t xml:space="preserve">del </w:t>
      </w:r>
      <w:r w:rsidR="00724C99" w:rsidRPr="00304219">
        <w:rPr>
          <w:rFonts w:ascii="Arial" w:hAnsi="Arial" w:cs="Arial"/>
          <w:sz w:val="22"/>
          <w:szCs w:val="22"/>
          <w:lang w:val="es-ES_tradnl"/>
        </w:rPr>
        <w:t>programa</w:t>
      </w:r>
      <w:r w:rsidR="00822A5E" w:rsidRPr="00304219">
        <w:rPr>
          <w:rFonts w:ascii="Arial" w:hAnsi="Arial" w:cs="Arial"/>
          <w:sz w:val="22"/>
          <w:szCs w:val="22"/>
          <w:lang w:val="es-ES_tradnl"/>
        </w:rPr>
        <w:t xml:space="preserve"> y la UTE/MEF y SONAPI serán responsables de monitorear el progreso del programa en relación a las metas acordadas.</w:t>
      </w:r>
    </w:p>
    <w:p w14:paraId="2B2A31AE" w14:textId="77777777" w:rsidR="004E4C9E" w:rsidRPr="00304219" w:rsidRDefault="00B94273" w:rsidP="002E1163">
      <w:pPr>
        <w:pStyle w:val="Paragraph"/>
        <w:autoSpaceDE w:val="0"/>
        <w:autoSpaceDN w:val="0"/>
        <w:adjustRightInd w:val="0"/>
        <w:rPr>
          <w:rFonts w:ascii="Arial" w:hAnsi="Arial" w:cs="Arial"/>
          <w:sz w:val="22"/>
          <w:szCs w:val="22"/>
          <w:lang w:val="es-ES_tradnl"/>
        </w:rPr>
      </w:pPr>
      <w:r w:rsidRPr="00304219">
        <w:rPr>
          <w:rFonts w:ascii="Arial" w:hAnsi="Arial" w:cs="Arial"/>
          <w:b/>
          <w:bCs/>
          <w:sz w:val="22"/>
          <w:szCs w:val="22"/>
        </w:rPr>
        <w:t>Evaluación</w:t>
      </w:r>
      <w:r w:rsidR="00025D6C" w:rsidRPr="00304219">
        <w:rPr>
          <w:rFonts w:ascii="Arial" w:hAnsi="Arial" w:cs="Arial"/>
          <w:b/>
          <w:bCs/>
          <w:sz w:val="22"/>
          <w:szCs w:val="22"/>
        </w:rPr>
        <w:t>.</w:t>
      </w:r>
      <w:r w:rsidRPr="00304219">
        <w:rPr>
          <w:rFonts w:ascii="Arial" w:hAnsi="Arial" w:cs="Arial"/>
          <w:bCs/>
          <w:sz w:val="22"/>
          <w:szCs w:val="22"/>
        </w:rPr>
        <w:t xml:space="preserve"> </w:t>
      </w:r>
      <w:r w:rsidR="0070590B" w:rsidRPr="00304219">
        <w:rPr>
          <w:rFonts w:ascii="Arial" w:hAnsi="Arial" w:cs="Arial"/>
          <w:bCs/>
          <w:sz w:val="22"/>
          <w:szCs w:val="22"/>
        </w:rPr>
        <w:t xml:space="preserve">Para la realización de la evaluación del programa se contratará una firma especializada la cual se encargará de la recolección y análisis de los datos. </w:t>
      </w:r>
      <w:r w:rsidR="00D906CC" w:rsidRPr="00304219">
        <w:rPr>
          <w:rFonts w:ascii="Arial" w:hAnsi="Arial" w:cs="Arial"/>
          <w:bCs/>
          <w:sz w:val="22"/>
          <w:szCs w:val="22"/>
        </w:rPr>
        <w:t>Una</w:t>
      </w:r>
      <w:r w:rsidR="0070590B" w:rsidRPr="00304219">
        <w:rPr>
          <w:rFonts w:ascii="Arial" w:hAnsi="Arial" w:cs="Arial"/>
          <w:bCs/>
          <w:sz w:val="22"/>
          <w:szCs w:val="22"/>
        </w:rPr>
        <w:t xml:space="preserve"> parte de los datos se relacionan a las empresas que operan en el PIC, sus características, pagos y otros aspectos. De este modo, las informaciones administrativas son muy importantes y estarán mayormente centradas en la UTE</w:t>
      </w:r>
      <w:r w:rsidR="001D01EF" w:rsidRPr="00304219">
        <w:rPr>
          <w:rFonts w:ascii="Arial" w:hAnsi="Arial" w:cs="Arial"/>
          <w:bCs/>
          <w:sz w:val="22"/>
          <w:szCs w:val="22"/>
        </w:rPr>
        <w:t>/MEF</w:t>
      </w:r>
      <w:r w:rsidR="00D906CC" w:rsidRPr="00304219">
        <w:rPr>
          <w:rFonts w:ascii="Arial" w:hAnsi="Arial" w:cs="Arial"/>
          <w:bCs/>
          <w:sz w:val="22"/>
          <w:szCs w:val="22"/>
        </w:rPr>
        <w:t>,</w:t>
      </w:r>
      <w:r w:rsidR="0070590B" w:rsidRPr="00304219">
        <w:rPr>
          <w:rFonts w:ascii="Arial" w:hAnsi="Arial" w:cs="Arial"/>
          <w:bCs/>
          <w:sz w:val="22"/>
          <w:szCs w:val="22"/>
        </w:rPr>
        <w:t xml:space="preserve"> de modo que gran parte del trabajo se refiere a la organización de un Sistema de Seguimiento y Monitoreo en el contexto de esta entidad. Este sistema </w:t>
      </w:r>
      <w:r w:rsidRPr="00304219">
        <w:rPr>
          <w:rFonts w:ascii="Arial" w:hAnsi="Arial" w:cs="Arial"/>
          <w:bCs/>
          <w:sz w:val="22"/>
          <w:szCs w:val="22"/>
        </w:rPr>
        <w:t>ya fue c</w:t>
      </w:r>
      <w:r w:rsidR="0070590B" w:rsidRPr="00304219">
        <w:rPr>
          <w:rFonts w:ascii="Arial" w:hAnsi="Arial" w:cs="Arial"/>
          <w:bCs/>
          <w:sz w:val="22"/>
          <w:szCs w:val="22"/>
        </w:rPr>
        <w:t>ontrata</w:t>
      </w:r>
      <w:r w:rsidRPr="00304219">
        <w:rPr>
          <w:rFonts w:ascii="Arial" w:hAnsi="Arial" w:cs="Arial"/>
          <w:bCs/>
          <w:sz w:val="22"/>
          <w:szCs w:val="22"/>
        </w:rPr>
        <w:t>do y se encuentra en funcionamiento, financiado por la operación anterior (</w:t>
      </w:r>
      <w:r w:rsidR="005D0FD1" w:rsidRPr="00304219">
        <w:rPr>
          <w:rFonts w:ascii="Arial" w:hAnsi="Arial" w:cs="Arial"/>
          <w:bCs/>
          <w:sz w:val="22"/>
          <w:szCs w:val="22"/>
        </w:rPr>
        <w:t>3132/GR-HA</w:t>
      </w:r>
      <w:r w:rsidRPr="00304219">
        <w:rPr>
          <w:rFonts w:ascii="Arial" w:hAnsi="Arial" w:cs="Arial"/>
          <w:bCs/>
          <w:sz w:val="22"/>
          <w:szCs w:val="22"/>
        </w:rPr>
        <w:t xml:space="preserve">). </w:t>
      </w:r>
    </w:p>
    <w:p w14:paraId="02412B2D" w14:textId="77777777" w:rsidR="00724C99" w:rsidRPr="00D549DF" w:rsidRDefault="00724C99" w:rsidP="00724C99">
      <w:pPr>
        <w:rPr>
          <w:rFonts w:ascii="Arial" w:hAnsi="Arial" w:cs="Arial"/>
          <w:sz w:val="16"/>
        </w:rPr>
      </w:pPr>
      <w:bookmarkStart w:id="14" w:name="_Hlt287516161"/>
      <w:bookmarkStart w:id="15" w:name="_Hlt282608920"/>
      <w:bookmarkStart w:id="16" w:name="_Hlt282609119"/>
      <w:bookmarkStart w:id="17" w:name="_Hlt282612580"/>
      <w:bookmarkStart w:id="18" w:name="_Hlt287625375"/>
      <w:bookmarkStart w:id="19" w:name="_Hlt282610409"/>
      <w:bookmarkEnd w:id="10"/>
      <w:bookmarkEnd w:id="11"/>
      <w:bookmarkEnd w:id="12"/>
      <w:bookmarkEnd w:id="14"/>
      <w:bookmarkEnd w:id="15"/>
      <w:bookmarkEnd w:id="16"/>
      <w:bookmarkEnd w:id="17"/>
      <w:bookmarkEnd w:id="18"/>
      <w:bookmarkEnd w:id="19"/>
    </w:p>
    <w:p w14:paraId="4D5084C8" w14:textId="77777777" w:rsidR="00724C99" w:rsidRPr="00D549DF" w:rsidRDefault="00724C99" w:rsidP="00724C99">
      <w:pPr>
        <w:rPr>
          <w:rFonts w:ascii="Arial" w:hAnsi="Arial" w:cs="Arial"/>
          <w:sz w:val="16"/>
        </w:rPr>
        <w:sectPr w:rsidR="00724C99" w:rsidRPr="00D549DF" w:rsidSect="00304219">
          <w:headerReference w:type="first" r:id="rId21"/>
          <w:type w:val="continuous"/>
          <w:pgSz w:w="12240" w:h="15840" w:code="1"/>
          <w:pgMar w:top="1526" w:right="1526" w:bottom="1296" w:left="1526" w:header="720" w:footer="720" w:gutter="0"/>
          <w:pgNumType w:start="1"/>
          <w:cols w:space="720"/>
          <w:titlePg/>
          <w:docGrid w:linePitch="326"/>
        </w:sectPr>
      </w:pPr>
    </w:p>
    <w:p w14:paraId="0CC0B1A9" w14:textId="6E7FC343" w:rsidR="00CC73B9" w:rsidRPr="00304219" w:rsidRDefault="005A3B64" w:rsidP="00304219">
      <w:pPr>
        <w:pStyle w:val="Chapter"/>
        <w:rPr>
          <w:rFonts w:ascii="Arial" w:hAnsi="Arial" w:cs="Arial"/>
          <w:sz w:val="22"/>
          <w:szCs w:val="22"/>
        </w:rPr>
      </w:pPr>
      <w:bookmarkStart w:id="20" w:name="_Toc433354358"/>
      <w:r w:rsidRPr="00304219">
        <w:rPr>
          <w:rFonts w:ascii="Arial" w:hAnsi="Arial" w:cs="Arial"/>
          <w:sz w:val="22"/>
          <w:szCs w:val="22"/>
        </w:rPr>
        <w:lastRenderedPageBreak/>
        <w:t>Monitoreo</w:t>
      </w:r>
      <w:bookmarkEnd w:id="20"/>
    </w:p>
    <w:p w14:paraId="576C64E1" w14:textId="3672E25E" w:rsidR="003F0BD0" w:rsidRPr="00304219" w:rsidRDefault="00724C99" w:rsidP="00304219">
      <w:pPr>
        <w:pStyle w:val="FirstHeading"/>
        <w:rPr>
          <w:rFonts w:ascii="Arial" w:hAnsi="Arial" w:cs="Arial"/>
          <w:sz w:val="22"/>
          <w:szCs w:val="22"/>
        </w:rPr>
      </w:pPr>
      <w:r w:rsidRPr="00304219">
        <w:rPr>
          <w:rFonts w:ascii="Arial" w:hAnsi="Arial" w:cs="Arial"/>
          <w:sz w:val="22"/>
          <w:szCs w:val="22"/>
        </w:rPr>
        <w:fldChar w:fldCharType="begin"/>
      </w:r>
      <w:r w:rsidRPr="00304219">
        <w:rPr>
          <w:rFonts w:ascii="Arial" w:hAnsi="Arial" w:cs="Arial"/>
          <w:sz w:val="22"/>
          <w:szCs w:val="22"/>
        </w:rPr>
        <w:instrText xml:space="preserve"> SEQ "</w:instrText>
      </w:r>
      <w:r w:rsidRPr="00304219">
        <w:rPr>
          <w:rFonts w:ascii="Arial" w:hAnsi="Arial" w:cs="Arial"/>
          <w:sz w:val="22"/>
          <w:szCs w:val="22"/>
        </w:rPr>
        <w:fldChar w:fldCharType="begin"/>
      </w:r>
      <w:r w:rsidRPr="00304219">
        <w:rPr>
          <w:rFonts w:ascii="Arial" w:hAnsi="Arial" w:cs="Arial"/>
          <w:sz w:val="22"/>
          <w:szCs w:val="22"/>
        </w:rPr>
        <w:instrText xml:space="preserve"> SECTION  \* MERGEFORMAT </w:instrText>
      </w:r>
      <w:r w:rsidRPr="00304219">
        <w:rPr>
          <w:rFonts w:ascii="Arial" w:hAnsi="Arial" w:cs="Arial"/>
          <w:sz w:val="22"/>
          <w:szCs w:val="22"/>
        </w:rPr>
        <w:fldChar w:fldCharType="separate"/>
      </w:r>
      <w:r w:rsidRPr="00304219">
        <w:rPr>
          <w:rFonts w:ascii="Arial" w:hAnsi="Arial" w:cs="Arial"/>
          <w:sz w:val="22"/>
          <w:szCs w:val="22"/>
        </w:rPr>
        <w:instrText>4</w:instrText>
      </w:r>
      <w:r w:rsidRPr="00304219">
        <w:rPr>
          <w:rFonts w:ascii="Arial" w:hAnsi="Arial" w:cs="Arial"/>
          <w:sz w:val="22"/>
          <w:szCs w:val="22"/>
        </w:rPr>
        <w:fldChar w:fldCharType="end"/>
      </w:r>
      <w:r w:rsidRPr="00304219">
        <w:rPr>
          <w:rFonts w:ascii="Arial" w:hAnsi="Arial" w:cs="Arial"/>
          <w:sz w:val="22"/>
          <w:szCs w:val="22"/>
        </w:rPr>
        <w:instrText xml:space="preserve">#"\* ALPHABETIC \* MERGEFORMAT </w:instrText>
      </w:r>
      <w:r w:rsidRPr="00304219">
        <w:rPr>
          <w:rFonts w:ascii="Arial" w:hAnsi="Arial" w:cs="Arial"/>
          <w:sz w:val="22"/>
          <w:szCs w:val="22"/>
        </w:rPr>
        <w:fldChar w:fldCharType="separate"/>
      </w:r>
      <w:bookmarkStart w:id="21" w:name="_Toc433354359"/>
      <w:r w:rsidRPr="00304219">
        <w:rPr>
          <w:rFonts w:ascii="Arial" w:hAnsi="Arial" w:cs="Arial"/>
          <w:noProof/>
          <w:sz w:val="22"/>
          <w:szCs w:val="22"/>
        </w:rPr>
        <w:t>A</w:t>
      </w:r>
      <w:r w:rsidRPr="00304219">
        <w:rPr>
          <w:rFonts w:ascii="Arial" w:hAnsi="Arial" w:cs="Arial"/>
          <w:sz w:val="22"/>
          <w:szCs w:val="22"/>
        </w:rPr>
        <w:fldChar w:fldCharType="end"/>
      </w:r>
      <w:r w:rsidRPr="00304219">
        <w:rPr>
          <w:rFonts w:ascii="Arial" w:hAnsi="Arial" w:cs="Arial"/>
          <w:sz w:val="22"/>
          <w:szCs w:val="22"/>
        </w:rPr>
        <w:t>.</w:t>
      </w:r>
      <w:r w:rsidRPr="00304219">
        <w:rPr>
          <w:rFonts w:ascii="Arial" w:hAnsi="Arial" w:cs="Arial"/>
          <w:sz w:val="22"/>
          <w:szCs w:val="22"/>
        </w:rPr>
        <w:tab/>
      </w:r>
      <w:r w:rsidR="005A3B64" w:rsidRPr="00304219">
        <w:rPr>
          <w:rFonts w:ascii="Arial" w:hAnsi="Arial" w:cs="Arial"/>
          <w:sz w:val="22"/>
          <w:szCs w:val="22"/>
        </w:rPr>
        <w:t>Indicadores</w:t>
      </w:r>
      <w:bookmarkEnd w:id="21"/>
      <w:r w:rsidR="003F0BD0" w:rsidRPr="00304219">
        <w:rPr>
          <w:rFonts w:ascii="Arial" w:hAnsi="Arial" w:cs="Arial"/>
          <w:sz w:val="22"/>
          <w:szCs w:val="22"/>
        </w:rPr>
        <w:t xml:space="preserve"> </w:t>
      </w:r>
    </w:p>
    <w:p w14:paraId="7466E653" w14:textId="77777777" w:rsidR="009517AD" w:rsidRPr="00304219" w:rsidRDefault="003F0BD0" w:rsidP="003F0BD0">
      <w:pPr>
        <w:spacing w:before="120" w:after="120"/>
        <w:ind w:left="720" w:hanging="720"/>
        <w:jc w:val="both"/>
        <w:rPr>
          <w:rFonts w:ascii="Arial" w:hAnsi="Arial" w:cs="Arial"/>
          <w:sz w:val="22"/>
          <w:szCs w:val="22"/>
        </w:rPr>
      </w:pPr>
      <w:r w:rsidRPr="00304219">
        <w:rPr>
          <w:rFonts w:ascii="Arial" w:hAnsi="Arial" w:cs="Arial"/>
          <w:sz w:val="22"/>
          <w:szCs w:val="22"/>
        </w:rPr>
        <w:t>2.1</w:t>
      </w:r>
      <w:r w:rsidRPr="00304219">
        <w:rPr>
          <w:rFonts w:ascii="Arial" w:hAnsi="Arial" w:cs="Arial"/>
          <w:sz w:val="22"/>
          <w:szCs w:val="22"/>
        </w:rPr>
        <w:tab/>
        <w:t xml:space="preserve">Los siguientes indicadores de </w:t>
      </w:r>
      <w:r w:rsidR="00D82FAB" w:rsidRPr="00304219">
        <w:rPr>
          <w:rFonts w:ascii="Arial" w:hAnsi="Arial" w:cs="Arial"/>
          <w:sz w:val="22"/>
          <w:szCs w:val="22"/>
        </w:rPr>
        <w:t>producto</w:t>
      </w:r>
      <w:r w:rsidRPr="00304219">
        <w:rPr>
          <w:rFonts w:ascii="Arial" w:hAnsi="Arial" w:cs="Arial"/>
          <w:sz w:val="22"/>
          <w:szCs w:val="22"/>
        </w:rPr>
        <w:t xml:space="preserve"> han sido seleccionados para el programa.</w:t>
      </w:r>
      <w:r w:rsidR="00F02EB7" w:rsidRPr="00304219">
        <w:rPr>
          <w:rFonts w:ascii="Arial" w:hAnsi="Arial" w:cs="Arial"/>
          <w:sz w:val="22"/>
          <w:szCs w:val="22"/>
        </w:rPr>
        <w:t xml:space="preserve"> </w:t>
      </w:r>
    </w:p>
    <w:p w14:paraId="2A9EEF25" w14:textId="77777777" w:rsidR="009517AD" w:rsidRPr="00304219" w:rsidRDefault="00221B5D" w:rsidP="00221B5D">
      <w:pPr>
        <w:pStyle w:val="Paragraph"/>
        <w:numPr>
          <w:ilvl w:val="0"/>
          <w:numId w:val="0"/>
        </w:numPr>
        <w:spacing w:after="0"/>
        <w:jc w:val="center"/>
        <w:rPr>
          <w:rFonts w:ascii="Arial" w:hAnsi="Arial" w:cs="Arial"/>
          <w:b/>
          <w:sz w:val="22"/>
          <w:szCs w:val="22"/>
        </w:rPr>
      </w:pPr>
      <w:r w:rsidRPr="00304219">
        <w:rPr>
          <w:rFonts w:ascii="Arial" w:hAnsi="Arial" w:cs="Arial"/>
          <w:b/>
          <w:sz w:val="22"/>
          <w:szCs w:val="22"/>
        </w:rPr>
        <w:t xml:space="preserve">Tabla 1. </w:t>
      </w:r>
      <w:r w:rsidR="005A3B64" w:rsidRPr="00304219">
        <w:rPr>
          <w:rFonts w:ascii="Arial" w:hAnsi="Arial" w:cs="Arial"/>
          <w:b/>
          <w:sz w:val="22"/>
          <w:szCs w:val="22"/>
        </w:rPr>
        <w:t xml:space="preserve">Indicadores de </w:t>
      </w:r>
      <w:r w:rsidR="006C3168" w:rsidRPr="00304219">
        <w:rPr>
          <w:rFonts w:ascii="Arial" w:hAnsi="Arial" w:cs="Arial"/>
          <w:b/>
          <w:sz w:val="22"/>
          <w:szCs w:val="22"/>
        </w:rPr>
        <w:t>m</w:t>
      </w:r>
      <w:r w:rsidR="005A3B64" w:rsidRPr="00304219">
        <w:rPr>
          <w:rFonts w:ascii="Arial" w:hAnsi="Arial" w:cs="Arial"/>
          <w:b/>
          <w:sz w:val="22"/>
          <w:szCs w:val="22"/>
        </w:rPr>
        <w:t xml:space="preserve">onitoreo de </w:t>
      </w:r>
      <w:r w:rsidR="006C3168" w:rsidRPr="00304219">
        <w:rPr>
          <w:rFonts w:ascii="Arial" w:hAnsi="Arial" w:cs="Arial"/>
          <w:b/>
          <w:sz w:val="22"/>
          <w:szCs w:val="22"/>
        </w:rPr>
        <w:t>p</w:t>
      </w:r>
      <w:r w:rsidR="005A3B64" w:rsidRPr="00304219">
        <w:rPr>
          <w:rFonts w:ascii="Arial" w:hAnsi="Arial" w:cs="Arial"/>
          <w:b/>
          <w:sz w:val="22"/>
          <w:szCs w:val="22"/>
        </w:rPr>
        <w:t>roductos</w:t>
      </w:r>
    </w:p>
    <w:tbl>
      <w:tblPr>
        <w:tblW w:w="84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50"/>
        <w:gridCol w:w="3060"/>
        <w:gridCol w:w="1350"/>
      </w:tblGrid>
      <w:tr w:rsidR="00B40903" w:rsidRPr="00304219" w14:paraId="23CDCC16" w14:textId="77777777" w:rsidTr="00304219">
        <w:trPr>
          <w:trHeight w:val="233"/>
          <w:tblHeader/>
        </w:trPr>
        <w:tc>
          <w:tcPr>
            <w:tcW w:w="4050" w:type="dxa"/>
            <w:shd w:val="clear" w:color="auto" w:fill="C6D9F1"/>
          </w:tcPr>
          <w:p w14:paraId="2E4934FC" w14:textId="77777777" w:rsidR="00B40903" w:rsidRPr="00304219" w:rsidRDefault="00B40903" w:rsidP="005950C1">
            <w:pPr>
              <w:jc w:val="center"/>
              <w:rPr>
                <w:rFonts w:ascii="Arial" w:eastAsia="Arial Unicode MS" w:hAnsi="Arial" w:cs="Arial"/>
                <w:b/>
                <w:sz w:val="20"/>
                <w:szCs w:val="22"/>
              </w:rPr>
            </w:pPr>
            <w:r w:rsidRPr="00304219">
              <w:rPr>
                <w:rFonts w:ascii="Arial" w:eastAsia="Arial Unicode MS" w:hAnsi="Arial" w:cs="Arial"/>
                <w:b/>
                <w:sz w:val="20"/>
                <w:szCs w:val="22"/>
              </w:rPr>
              <w:t>Indicador</w:t>
            </w:r>
          </w:p>
        </w:tc>
        <w:tc>
          <w:tcPr>
            <w:tcW w:w="3060" w:type="dxa"/>
            <w:shd w:val="clear" w:color="auto" w:fill="C6D9F1"/>
          </w:tcPr>
          <w:p w14:paraId="49827985" w14:textId="77777777" w:rsidR="00B40903" w:rsidRPr="00304219" w:rsidRDefault="00B40903" w:rsidP="006C3168">
            <w:pPr>
              <w:jc w:val="center"/>
              <w:rPr>
                <w:rFonts w:ascii="Arial" w:hAnsi="Arial" w:cs="Arial"/>
                <w:b/>
                <w:bCs/>
                <w:color w:val="000000"/>
                <w:sz w:val="20"/>
                <w:szCs w:val="22"/>
              </w:rPr>
            </w:pPr>
            <w:r w:rsidRPr="00304219">
              <w:rPr>
                <w:rFonts w:ascii="Arial" w:hAnsi="Arial" w:cs="Arial"/>
                <w:b/>
                <w:bCs/>
                <w:color w:val="000000"/>
                <w:sz w:val="20"/>
                <w:szCs w:val="22"/>
              </w:rPr>
              <w:t xml:space="preserve">Medio de </w:t>
            </w:r>
            <w:r w:rsidR="006C3168" w:rsidRPr="00304219">
              <w:rPr>
                <w:rFonts w:ascii="Arial" w:hAnsi="Arial" w:cs="Arial"/>
                <w:b/>
                <w:bCs/>
                <w:color w:val="000000"/>
                <w:sz w:val="20"/>
                <w:szCs w:val="22"/>
              </w:rPr>
              <w:t>v</w:t>
            </w:r>
            <w:r w:rsidRPr="00304219">
              <w:rPr>
                <w:rFonts w:ascii="Arial" w:hAnsi="Arial" w:cs="Arial"/>
                <w:b/>
                <w:bCs/>
                <w:color w:val="000000"/>
                <w:sz w:val="20"/>
                <w:szCs w:val="22"/>
              </w:rPr>
              <w:t>erificación</w:t>
            </w:r>
          </w:p>
        </w:tc>
        <w:tc>
          <w:tcPr>
            <w:tcW w:w="1350" w:type="dxa"/>
            <w:shd w:val="clear" w:color="auto" w:fill="C6D9F1"/>
          </w:tcPr>
          <w:p w14:paraId="2D7CB238" w14:textId="77777777" w:rsidR="00B40903" w:rsidRPr="00304219" w:rsidRDefault="00B40903" w:rsidP="005950C1">
            <w:pPr>
              <w:jc w:val="center"/>
              <w:rPr>
                <w:rFonts w:ascii="Arial" w:hAnsi="Arial" w:cs="Arial"/>
                <w:b/>
                <w:sz w:val="20"/>
                <w:szCs w:val="22"/>
              </w:rPr>
            </w:pPr>
            <w:r w:rsidRPr="00304219">
              <w:rPr>
                <w:rFonts w:ascii="Arial" w:hAnsi="Arial" w:cs="Arial"/>
                <w:b/>
                <w:sz w:val="20"/>
                <w:szCs w:val="22"/>
              </w:rPr>
              <w:t>Frecuencia</w:t>
            </w:r>
          </w:p>
        </w:tc>
      </w:tr>
      <w:tr w:rsidR="00B40903" w:rsidRPr="00304219" w14:paraId="13D66FC8" w14:textId="77777777" w:rsidTr="00025D6C">
        <w:trPr>
          <w:trHeight w:val="368"/>
        </w:trPr>
        <w:tc>
          <w:tcPr>
            <w:tcW w:w="8460" w:type="dxa"/>
            <w:gridSpan w:val="3"/>
            <w:shd w:val="clear" w:color="auto" w:fill="FFFFCC"/>
            <w:vAlign w:val="center"/>
          </w:tcPr>
          <w:p w14:paraId="291B353F" w14:textId="77777777" w:rsidR="00B40903" w:rsidRPr="00304219" w:rsidRDefault="00B40903" w:rsidP="00C46854">
            <w:pPr>
              <w:tabs>
                <w:tab w:val="left" w:pos="3060"/>
              </w:tabs>
              <w:rPr>
                <w:rFonts w:ascii="Arial" w:hAnsi="Arial" w:cs="Arial"/>
                <w:sz w:val="20"/>
                <w:szCs w:val="22"/>
              </w:rPr>
            </w:pPr>
            <w:r w:rsidRPr="00304219">
              <w:rPr>
                <w:rFonts w:ascii="Arial" w:hAnsi="Arial" w:cs="Arial"/>
                <w:b/>
                <w:bCs/>
                <w:sz w:val="20"/>
                <w:szCs w:val="22"/>
                <w:lang w:val="es-ES"/>
              </w:rPr>
              <w:t xml:space="preserve">Componente 1- </w:t>
            </w:r>
            <w:r w:rsidR="00CA30C4" w:rsidRPr="00304219">
              <w:rPr>
                <w:rFonts w:ascii="Arial" w:hAnsi="Arial" w:cs="Arial"/>
                <w:b/>
                <w:bCs/>
                <w:sz w:val="20"/>
                <w:szCs w:val="22"/>
                <w:lang w:val="es-ES"/>
              </w:rPr>
              <w:t xml:space="preserve">Provisión de </w:t>
            </w:r>
            <w:r w:rsidR="00F02EB7" w:rsidRPr="00304219">
              <w:rPr>
                <w:rFonts w:ascii="Arial" w:hAnsi="Arial" w:cs="Arial"/>
                <w:b/>
                <w:bCs/>
                <w:sz w:val="20"/>
                <w:szCs w:val="22"/>
                <w:lang w:val="es-ES"/>
              </w:rPr>
              <w:t>I</w:t>
            </w:r>
            <w:r w:rsidR="00CA30C4" w:rsidRPr="00304219">
              <w:rPr>
                <w:rFonts w:ascii="Arial" w:hAnsi="Arial" w:cs="Arial"/>
                <w:b/>
                <w:bCs/>
                <w:sz w:val="20"/>
                <w:szCs w:val="22"/>
                <w:lang w:val="es-ES"/>
              </w:rPr>
              <w:t>nfraestructura en el PIC</w:t>
            </w:r>
          </w:p>
        </w:tc>
      </w:tr>
      <w:tr w:rsidR="006C3168" w:rsidRPr="00304219" w14:paraId="409A6AEA" w14:textId="77777777" w:rsidTr="00304219">
        <w:trPr>
          <w:trHeight w:val="215"/>
        </w:trPr>
        <w:tc>
          <w:tcPr>
            <w:tcW w:w="4050" w:type="dxa"/>
            <w:vAlign w:val="center"/>
          </w:tcPr>
          <w:p w14:paraId="248B007C" w14:textId="77777777" w:rsidR="006C3168" w:rsidRPr="00304219" w:rsidRDefault="00B94273">
            <w:pPr>
              <w:suppressAutoHyphens/>
              <w:spacing w:before="40" w:after="40"/>
              <w:rPr>
                <w:rFonts w:ascii="Arial" w:hAnsi="Arial" w:cs="Arial"/>
                <w:bCs/>
                <w:sz w:val="20"/>
                <w:szCs w:val="22"/>
              </w:rPr>
            </w:pPr>
            <w:r w:rsidRPr="00304219">
              <w:rPr>
                <w:rFonts w:ascii="Arial" w:hAnsi="Arial" w:cs="Arial"/>
                <w:bCs/>
                <w:sz w:val="20"/>
                <w:szCs w:val="22"/>
              </w:rPr>
              <w:t xml:space="preserve">Edificios Industriales </w:t>
            </w:r>
            <w:r w:rsidR="00822A5E" w:rsidRPr="00304219">
              <w:rPr>
                <w:rFonts w:ascii="Arial" w:hAnsi="Arial" w:cs="Arial"/>
                <w:bCs/>
                <w:sz w:val="20"/>
                <w:szCs w:val="22"/>
              </w:rPr>
              <w:t xml:space="preserve">y especiales </w:t>
            </w:r>
            <w:r w:rsidRPr="00304219">
              <w:rPr>
                <w:rFonts w:ascii="Arial" w:hAnsi="Arial" w:cs="Arial"/>
                <w:bCs/>
                <w:sz w:val="20"/>
                <w:szCs w:val="22"/>
              </w:rPr>
              <w:t xml:space="preserve">(de 11.700 m2 </w:t>
            </w:r>
            <w:r w:rsidR="007C0A52" w:rsidRPr="00304219">
              <w:rPr>
                <w:rFonts w:ascii="Arial" w:hAnsi="Arial" w:cs="Arial"/>
                <w:bCs/>
                <w:sz w:val="20"/>
                <w:szCs w:val="22"/>
              </w:rPr>
              <w:t>y 5.000 m2</w:t>
            </w:r>
            <w:r w:rsidRPr="00304219">
              <w:rPr>
                <w:rFonts w:ascii="Arial" w:hAnsi="Arial" w:cs="Arial"/>
                <w:bCs/>
                <w:sz w:val="20"/>
                <w:szCs w:val="22"/>
              </w:rPr>
              <w:t>cada uno)</w:t>
            </w:r>
            <w:r w:rsidR="00CD32FA" w:rsidRPr="00304219">
              <w:rPr>
                <w:rFonts w:ascii="Arial" w:hAnsi="Arial" w:cs="Arial"/>
                <w:bCs/>
                <w:sz w:val="20"/>
                <w:szCs w:val="22"/>
              </w:rPr>
              <w:t xml:space="preserve"> </w:t>
            </w:r>
            <w:r w:rsidR="00120249" w:rsidRPr="00304219">
              <w:rPr>
                <w:rFonts w:ascii="Arial" w:hAnsi="Arial" w:cs="Arial"/>
                <w:bCs/>
                <w:sz w:val="20"/>
                <w:szCs w:val="22"/>
              </w:rPr>
              <w:t xml:space="preserve"> construidos</w:t>
            </w:r>
            <w:r w:rsidR="003F6EAA" w:rsidRPr="00304219">
              <w:rPr>
                <w:rFonts w:ascii="Arial" w:hAnsi="Arial" w:cs="Arial"/>
                <w:bCs/>
                <w:sz w:val="20"/>
                <w:szCs w:val="22"/>
              </w:rPr>
              <w:t xml:space="preserve"> (4</w:t>
            </w:r>
            <w:r w:rsidR="00AB4873" w:rsidRPr="00304219">
              <w:rPr>
                <w:rFonts w:ascii="Arial" w:hAnsi="Arial" w:cs="Arial"/>
                <w:bCs/>
                <w:sz w:val="20"/>
                <w:szCs w:val="22"/>
              </w:rPr>
              <w:t>)</w:t>
            </w:r>
          </w:p>
        </w:tc>
        <w:tc>
          <w:tcPr>
            <w:tcW w:w="3060" w:type="dxa"/>
            <w:vAlign w:val="center"/>
          </w:tcPr>
          <w:p w14:paraId="039E4AB3" w14:textId="77777777" w:rsidR="006C3168" w:rsidRPr="00304219" w:rsidRDefault="006C3168" w:rsidP="00304219">
            <w:pPr>
              <w:spacing w:before="40" w:after="40"/>
              <w:ind w:left="-18" w:right="-108"/>
              <w:rPr>
                <w:rFonts w:ascii="Arial" w:hAnsi="Arial" w:cs="Arial"/>
                <w:bCs/>
                <w:color w:val="000000"/>
                <w:sz w:val="20"/>
                <w:szCs w:val="22"/>
              </w:rPr>
            </w:pPr>
            <w:r w:rsidRPr="00304219">
              <w:rPr>
                <w:rFonts w:ascii="Arial" w:hAnsi="Arial" w:cs="Arial"/>
                <w:bCs/>
                <w:color w:val="000000"/>
                <w:sz w:val="20"/>
                <w:szCs w:val="22"/>
              </w:rPr>
              <w:t>Informes producidos por la UTE</w:t>
            </w:r>
          </w:p>
        </w:tc>
        <w:tc>
          <w:tcPr>
            <w:tcW w:w="1350" w:type="dxa"/>
            <w:vAlign w:val="center"/>
          </w:tcPr>
          <w:p w14:paraId="6AA46A99" w14:textId="77777777" w:rsidR="006C3168" w:rsidRPr="00304219" w:rsidRDefault="00FA6A4C">
            <w:pPr>
              <w:spacing w:before="40" w:after="40"/>
              <w:ind w:right="174"/>
              <w:jc w:val="center"/>
              <w:rPr>
                <w:rFonts w:ascii="Arial" w:hAnsi="Arial" w:cs="Arial"/>
                <w:sz w:val="20"/>
                <w:szCs w:val="22"/>
              </w:rPr>
            </w:pPr>
            <w:r w:rsidRPr="00304219">
              <w:rPr>
                <w:rFonts w:ascii="Arial" w:hAnsi="Arial" w:cs="Arial"/>
                <w:sz w:val="20"/>
                <w:szCs w:val="22"/>
              </w:rPr>
              <w:t>Semestral</w:t>
            </w:r>
          </w:p>
        </w:tc>
      </w:tr>
      <w:tr w:rsidR="00CA4962" w:rsidRPr="00304219" w14:paraId="082CC1D1" w14:textId="77777777" w:rsidTr="00304219">
        <w:trPr>
          <w:trHeight w:val="215"/>
        </w:trPr>
        <w:tc>
          <w:tcPr>
            <w:tcW w:w="4050" w:type="dxa"/>
            <w:vAlign w:val="center"/>
          </w:tcPr>
          <w:p w14:paraId="7F046C18" w14:textId="77777777" w:rsidR="00CA4962" w:rsidRPr="00304219" w:rsidRDefault="00CA4962" w:rsidP="00F64215">
            <w:pPr>
              <w:suppressAutoHyphens/>
              <w:spacing w:before="40" w:after="40"/>
              <w:rPr>
                <w:rFonts w:ascii="Arial" w:hAnsi="Arial" w:cs="Arial"/>
                <w:bCs/>
                <w:sz w:val="20"/>
                <w:szCs w:val="22"/>
              </w:rPr>
            </w:pPr>
            <w:r w:rsidRPr="00304219">
              <w:rPr>
                <w:rFonts w:ascii="Arial" w:hAnsi="Arial" w:cs="Arial"/>
                <w:bCs/>
                <w:sz w:val="20"/>
                <w:szCs w:val="22"/>
              </w:rPr>
              <w:t>Edificios anexos (200 m2)  construidos (1)</w:t>
            </w:r>
          </w:p>
        </w:tc>
        <w:tc>
          <w:tcPr>
            <w:tcW w:w="3060" w:type="dxa"/>
            <w:vAlign w:val="center"/>
          </w:tcPr>
          <w:p w14:paraId="67B3D3CC" w14:textId="77777777" w:rsidR="00CA4962" w:rsidRPr="00304219" w:rsidRDefault="00CA4962" w:rsidP="00304219">
            <w:pPr>
              <w:spacing w:before="40" w:after="40"/>
              <w:ind w:left="-18" w:right="-108"/>
              <w:rPr>
                <w:rFonts w:ascii="Arial" w:hAnsi="Arial" w:cs="Arial"/>
                <w:bCs/>
                <w:color w:val="000000"/>
                <w:sz w:val="20"/>
                <w:szCs w:val="22"/>
              </w:rPr>
            </w:pPr>
            <w:r w:rsidRPr="00304219">
              <w:rPr>
                <w:rFonts w:ascii="Arial" w:hAnsi="Arial" w:cs="Arial"/>
                <w:bCs/>
                <w:color w:val="000000"/>
                <w:sz w:val="20"/>
                <w:szCs w:val="22"/>
              </w:rPr>
              <w:t>Informes producidos por la UTE</w:t>
            </w:r>
          </w:p>
        </w:tc>
        <w:tc>
          <w:tcPr>
            <w:tcW w:w="1350" w:type="dxa"/>
            <w:vAlign w:val="center"/>
          </w:tcPr>
          <w:p w14:paraId="78D11558" w14:textId="77777777" w:rsidR="00CA4962" w:rsidRPr="00304219" w:rsidRDefault="00CA4962" w:rsidP="00F64215">
            <w:pPr>
              <w:spacing w:before="40" w:after="40"/>
              <w:ind w:right="174"/>
              <w:jc w:val="center"/>
              <w:rPr>
                <w:rFonts w:ascii="Arial" w:hAnsi="Arial" w:cs="Arial"/>
                <w:sz w:val="20"/>
                <w:szCs w:val="22"/>
              </w:rPr>
            </w:pPr>
            <w:r w:rsidRPr="00304219">
              <w:rPr>
                <w:rFonts w:ascii="Arial" w:hAnsi="Arial" w:cs="Arial"/>
                <w:sz w:val="20"/>
                <w:szCs w:val="22"/>
              </w:rPr>
              <w:t>Semestral</w:t>
            </w:r>
          </w:p>
        </w:tc>
      </w:tr>
      <w:tr w:rsidR="00CA4962" w:rsidRPr="00304219" w14:paraId="685FF174" w14:textId="77777777" w:rsidTr="00304219">
        <w:trPr>
          <w:trHeight w:val="215"/>
        </w:trPr>
        <w:tc>
          <w:tcPr>
            <w:tcW w:w="4050" w:type="dxa"/>
            <w:vAlign w:val="center"/>
          </w:tcPr>
          <w:p w14:paraId="38141152" w14:textId="70729E38" w:rsidR="00CA4962" w:rsidRPr="00304219" w:rsidRDefault="00CA4962" w:rsidP="00FC1143">
            <w:pPr>
              <w:suppressAutoHyphens/>
              <w:spacing w:before="40" w:after="40"/>
              <w:ind w:right="-108"/>
              <w:rPr>
                <w:rFonts w:ascii="Arial" w:hAnsi="Arial" w:cs="Arial"/>
                <w:bCs/>
                <w:sz w:val="20"/>
                <w:szCs w:val="22"/>
              </w:rPr>
            </w:pPr>
            <w:r w:rsidRPr="00304219">
              <w:rPr>
                <w:rFonts w:ascii="Arial" w:hAnsi="Arial" w:cs="Arial"/>
                <w:bCs/>
                <w:sz w:val="20"/>
                <w:szCs w:val="22"/>
              </w:rPr>
              <w:t>Edificios Genéricos (</w:t>
            </w:r>
            <w:r w:rsidR="00FC1143" w:rsidRPr="00304219">
              <w:rPr>
                <w:rFonts w:ascii="Arial" w:hAnsi="Arial" w:cs="Arial"/>
                <w:bCs/>
                <w:sz w:val="20"/>
                <w:szCs w:val="22"/>
              </w:rPr>
              <w:t>cantinas, dormitorios, entre otros; entre 200 y 1.600 m2</w:t>
            </w:r>
            <w:r w:rsidRPr="00304219">
              <w:rPr>
                <w:rFonts w:ascii="Arial" w:hAnsi="Arial" w:cs="Arial"/>
                <w:bCs/>
                <w:sz w:val="20"/>
                <w:szCs w:val="22"/>
              </w:rPr>
              <w:t>)  construidos (1)</w:t>
            </w:r>
          </w:p>
        </w:tc>
        <w:tc>
          <w:tcPr>
            <w:tcW w:w="3060" w:type="dxa"/>
            <w:vAlign w:val="center"/>
          </w:tcPr>
          <w:p w14:paraId="74E93893" w14:textId="77777777" w:rsidR="00CA4962" w:rsidRPr="00304219" w:rsidRDefault="00CA4962" w:rsidP="00304219">
            <w:pPr>
              <w:spacing w:before="40" w:after="40"/>
              <w:ind w:left="-18" w:right="-108"/>
              <w:rPr>
                <w:rFonts w:ascii="Arial" w:hAnsi="Arial" w:cs="Arial"/>
                <w:bCs/>
                <w:color w:val="000000"/>
                <w:sz w:val="20"/>
                <w:szCs w:val="22"/>
              </w:rPr>
            </w:pPr>
            <w:r w:rsidRPr="00304219">
              <w:rPr>
                <w:rFonts w:ascii="Arial" w:hAnsi="Arial" w:cs="Arial"/>
                <w:bCs/>
                <w:color w:val="000000"/>
                <w:sz w:val="20"/>
                <w:szCs w:val="22"/>
              </w:rPr>
              <w:t>Informes producidos por la UTE</w:t>
            </w:r>
          </w:p>
        </w:tc>
        <w:tc>
          <w:tcPr>
            <w:tcW w:w="1350" w:type="dxa"/>
            <w:vAlign w:val="center"/>
          </w:tcPr>
          <w:p w14:paraId="322C4BAD" w14:textId="77777777" w:rsidR="00CA4962" w:rsidRPr="00304219" w:rsidRDefault="00CA4962">
            <w:pPr>
              <w:spacing w:before="40" w:after="40"/>
              <w:ind w:right="174"/>
              <w:jc w:val="center"/>
              <w:rPr>
                <w:rFonts w:ascii="Arial" w:hAnsi="Arial" w:cs="Arial"/>
                <w:sz w:val="20"/>
                <w:szCs w:val="22"/>
              </w:rPr>
            </w:pPr>
            <w:r w:rsidRPr="00304219">
              <w:rPr>
                <w:rFonts w:ascii="Arial" w:hAnsi="Arial" w:cs="Arial"/>
                <w:sz w:val="20"/>
                <w:szCs w:val="22"/>
              </w:rPr>
              <w:t>Semestral</w:t>
            </w:r>
          </w:p>
        </w:tc>
      </w:tr>
      <w:tr w:rsidR="00CA4962" w:rsidRPr="00304219" w14:paraId="095F9DC3" w14:textId="77777777" w:rsidTr="00304219">
        <w:trPr>
          <w:trHeight w:val="215"/>
        </w:trPr>
        <w:tc>
          <w:tcPr>
            <w:tcW w:w="4050" w:type="dxa"/>
            <w:vAlign w:val="center"/>
          </w:tcPr>
          <w:p w14:paraId="43BEE587" w14:textId="1CA17A38" w:rsidR="00CA4962" w:rsidRPr="00304219" w:rsidRDefault="00CA4962">
            <w:pPr>
              <w:suppressAutoHyphens/>
              <w:spacing w:before="40" w:after="40"/>
              <w:rPr>
                <w:rFonts w:ascii="Arial" w:hAnsi="Arial" w:cs="Arial"/>
                <w:bCs/>
                <w:sz w:val="20"/>
                <w:szCs w:val="22"/>
              </w:rPr>
            </w:pPr>
            <w:r w:rsidRPr="00304219">
              <w:rPr>
                <w:rFonts w:ascii="Arial" w:hAnsi="Arial" w:cs="Arial"/>
                <w:bCs/>
                <w:sz w:val="20"/>
                <w:szCs w:val="22"/>
              </w:rPr>
              <w:t xml:space="preserve">Vías e </w:t>
            </w:r>
            <w:r w:rsidR="00561F53" w:rsidRPr="00304219">
              <w:rPr>
                <w:rFonts w:ascii="Arial" w:hAnsi="Arial" w:cs="Arial"/>
                <w:bCs/>
                <w:sz w:val="20"/>
                <w:szCs w:val="22"/>
              </w:rPr>
              <w:t>Infraestructura</w:t>
            </w:r>
            <w:r w:rsidRPr="00304219">
              <w:rPr>
                <w:rFonts w:ascii="Arial" w:hAnsi="Arial" w:cs="Arial"/>
                <w:bCs/>
                <w:sz w:val="20"/>
                <w:szCs w:val="22"/>
              </w:rPr>
              <w:t xml:space="preserve"> Interna </w:t>
            </w:r>
            <w:r w:rsidR="00561F53" w:rsidRPr="00304219">
              <w:rPr>
                <w:rFonts w:ascii="Arial" w:hAnsi="Arial" w:cs="Arial"/>
                <w:bCs/>
                <w:sz w:val="20"/>
                <w:szCs w:val="22"/>
              </w:rPr>
              <w:t>construidas</w:t>
            </w:r>
          </w:p>
        </w:tc>
        <w:tc>
          <w:tcPr>
            <w:tcW w:w="3060" w:type="dxa"/>
            <w:vAlign w:val="center"/>
          </w:tcPr>
          <w:p w14:paraId="0D784596" w14:textId="77777777" w:rsidR="00CA4962" w:rsidRPr="00304219" w:rsidRDefault="00CA4962" w:rsidP="00304219">
            <w:pPr>
              <w:spacing w:before="40" w:after="40"/>
              <w:ind w:left="-18" w:right="-108"/>
              <w:rPr>
                <w:rFonts w:ascii="Arial" w:hAnsi="Arial" w:cs="Arial"/>
                <w:bCs/>
                <w:color w:val="000000"/>
                <w:sz w:val="20"/>
                <w:szCs w:val="22"/>
              </w:rPr>
            </w:pPr>
            <w:r w:rsidRPr="00304219">
              <w:rPr>
                <w:rFonts w:ascii="Arial" w:hAnsi="Arial" w:cs="Arial"/>
                <w:bCs/>
                <w:color w:val="000000"/>
                <w:sz w:val="20"/>
                <w:szCs w:val="22"/>
              </w:rPr>
              <w:t>Informes producidos por la UTE</w:t>
            </w:r>
          </w:p>
        </w:tc>
        <w:tc>
          <w:tcPr>
            <w:tcW w:w="1350" w:type="dxa"/>
            <w:vAlign w:val="center"/>
          </w:tcPr>
          <w:p w14:paraId="5A12414A" w14:textId="77777777" w:rsidR="00CA4962" w:rsidRPr="00304219" w:rsidRDefault="00CA4962">
            <w:pPr>
              <w:spacing w:before="40" w:after="40"/>
              <w:ind w:right="174"/>
              <w:jc w:val="center"/>
              <w:rPr>
                <w:rFonts w:ascii="Arial" w:hAnsi="Arial" w:cs="Arial"/>
                <w:sz w:val="20"/>
                <w:szCs w:val="22"/>
              </w:rPr>
            </w:pPr>
            <w:r w:rsidRPr="00304219">
              <w:rPr>
                <w:rFonts w:ascii="Arial" w:hAnsi="Arial" w:cs="Arial"/>
                <w:sz w:val="20"/>
                <w:szCs w:val="22"/>
              </w:rPr>
              <w:t>Semestral</w:t>
            </w:r>
          </w:p>
        </w:tc>
      </w:tr>
      <w:tr w:rsidR="00E060B2" w:rsidRPr="00304219" w14:paraId="2F707AB3" w14:textId="77777777" w:rsidTr="00304219">
        <w:trPr>
          <w:trHeight w:val="215"/>
        </w:trPr>
        <w:tc>
          <w:tcPr>
            <w:tcW w:w="4050" w:type="dxa"/>
            <w:vAlign w:val="center"/>
          </w:tcPr>
          <w:p w14:paraId="3433E834" w14:textId="114CD8F4" w:rsidR="00E060B2" w:rsidRPr="00304219" w:rsidRDefault="00E060B2" w:rsidP="00AB3452">
            <w:pPr>
              <w:suppressAutoHyphens/>
              <w:spacing w:before="40" w:after="40"/>
              <w:rPr>
                <w:rFonts w:ascii="Arial" w:hAnsi="Arial" w:cs="Arial"/>
                <w:bCs/>
                <w:sz w:val="20"/>
                <w:szCs w:val="22"/>
              </w:rPr>
            </w:pPr>
            <w:r w:rsidRPr="00304219">
              <w:rPr>
                <w:rFonts w:ascii="Arial" w:hAnsi="Arial" w:cs="Arial"/>
                <w:bCs/>
                <w:sz w:val="20"/>
                <w:szCs w:val="22"/>
              </w:rPr>
              <w:t>Red de agua, saneamiento (líneas de 50mm de diámetro)</w:t>
            </w:r>
          </w:p>
        </w:tc>
        <w:tc>
          <w:tcPr>
            <w:tcW w:w="3060" w:type="dxa"/>
            <w:vAlign w:val="center"/>
          </w:tcPr>
          <w:p w14:paraId="465FECBB" w14:textId="77777777" w:rsidR="00E060B2" w:rsidRPr="00304219" w:rsidRDefault="00E060B2" w:rsidP="00304219">
            <w:pPr>
              <w:spacing w:before="40" w:after="40"/>
              <w:ind w:left="-18" w:right="-108"/>
              <w:rPr>
                <w:rFonts w:ascii="Arial" w:hAnsi="Arial" w:cs="Arial"/>
                <w:bCs/>
                <w:color w:val="000000"/>
                <w:sz w:val="20"/>
                <w:szCs w:val="22"/>
              </w:rPr>
            </w:pPr>
            <w:r w:rsidRPr="00304219">
              <w:rPr>
                <w:rFonts w:ascii="Arial" w:hAnsi="Arial" w:cs="Arial"/>
                <w:bCs/>
                <w:color w:val="000000"/>
                <w:sz w:val="20"/>
                <w:szCs w:val="22"/>
              </w:rPr>
              <w:t>Informes producidos por la UTE</w:t>
            </w:r>
          </w:p>
        </w:tc>
        <w:tc>
          <w:tcPr>
            <w:tcW w:w="1350" w:type="dxa"/>
            <w:vAlign w:val="center"/>
          </w:tcPr>
          <w:p w14:paraId="6909939A" w14:textId="77777777" w:rsidR="00E060B2" w:rsidRPr="00304219" w:rsidRDefault="00E060B2">
            <w:pPr>
              <w:spacing w:before="40" w:after="40"/>
              <w:ind w:right="174"/>
              <w:jc w:val="center"/>
              <w:rPr>
                <w:rFonts w:ascii="Arial" w:hAnsi="Arial" w:cs="Arial"/>
                <w:sz w:val="20"/>
                <w:szCs w:val="22"/>
              </w:rPr>
            </w:pPr>
            <w:r w:rsidRPr="00304219">
              <w:rPr>
                <w:rFonts w:ascii="Arial" w:hAnsi="Arial" w:cs="Arial"/>
                <w:sz w:val="20"/>
                <w:szCs w:val="22"/>
              </w:rPr>
              <w:t>Semestral</w:t>
            </w:r>
          </w:p>
        </w:tc>
      </w:tr>
      <w:tr w:rsidR="00E060B2" w:rsidRPr="00304219" w14:paraId="49AB8330" w14:textId="77777777" w:rsidTr="00304219">
        <w:trPr>
          <w:trHeight w:val="215"/>
        </w:trPr>
        <w:tc>
          <w:tcPr>
            <w:tcW w:w="4050" w:type="dxa"/>
            <w:vAlign w:val="center"/>
          </w:tcPr>
          <w:p w14:paraId="5620AF0D" w14:textId="2D3CD67B" w:rsidR="00E060B2" w:rsidRPr="00304219" w:rsidRDefault="00E060B2">
            <w:pPr>
              <w:suppressAutoHyphens/>
              <w:spacing w:before="40" w:after="40"/>
              <w:rPr>
                <w:rFonts w:ascii="Arial" w:hAnsi="Arial" w:cs="Arial"/>
                <w:bCs/>
                <w:sz w:val="20"/>
                <w:szCs w:val="22"/>
              </w:rPr>
            </w:pPr>
            <w:r w:rsidRPr="00304219">
              <w:rPr>
                <w:rFonts w:ascii="Arial" w:hAnsi="Arial" w:cs="Arial"/>
                <w:bCs/>
                <w:sz w:val="20"/>
                <w:szCs w:val="22"/>
              </w:rPr>
              <w:t>Red de drenaje (líneas de 300mm de diámetro)</w:t>
            </w:r>
          </w:p>
        </w:tc>
        <w:tc>
          <w:tcPr>
            <w:tcW w:w="3060" w:type="dxa"/>
            <w:vAlign w:val="center"/>
          </w:tcPr>
          <w:p w14:paraId="3EE860C3" w14:textId="59F9A954" w:rsidR="00E060B2" w:rsidRPr="00304219" w:rsidRDefault="00E060B2" w:rsidP="00304219">
            <w:pPr>
              <w:spacing w:before="40" w:after="40"/>
              <w:ind w:left="-18" w:right="-108"/>
              <w:rPr>
                <w:rFonts w:ascii="Arial" w:hAnsi="Arial" w:cs="Arial"/>
                <w:bCs/>
                <w:color w:val="000000"/>
                <w:sz w:val="20"/>
                <w:szCs w:val="22"/>
              </w:rPr>
            </w:pPr>
            <w:r w:rsidRPr="00304219">
              <w:rPr>
                <w:rFonts w:ascii="Arial" w:hAnsi="Arial" w:cs="Arial"/>
                <w:bCs/>
                <w:color w:val="000000"/>
                <w:sz w:val="20"/>
                <w:szCs w:val="22"/>
              </w:rPr>
              <w:t>Informes producidos por la UTE</w:t>
            </w:r>
          </w:p>
        </w:tc>
        <w:tc>
          <w:tcPr>
            <w:tcW w:w="1350" w:type="dxa"/>
            <w:vAlign w:val="center"/>
          </w:tcPr>
          <w:p w14:paraId="73D4E6EA" w14:textId="59E1ECE2" w:rsidR="00E060B2" w:rsidRPr="00304219" w:rsidRDefault="00E060B2">
            <w:pPr>
              <w:spacing w:before="40" w:after="40"/>
              <w:ind w:right="174"/>
              <w:jc w:val="center"/>
              <w:rPr>
                <w:rFonts w:ascii="Arial" w:hAnsi="Arial" w:cs="Arial"/>
                <w:sz w:val="20"/>
                <w:szCs w:val="22"/>
              </w:rPr>
            </w:pPr>
            <w:r w:rsidRPr="00304219">
              <w:rPr>
                <w:rFonts w:ascii="Arial" w:hAnsi="Arial" w:cs="Arial"/>
                <w:sz w:val="20"/>
                <w:szCs w:val="22"/>
              </w:rPr>
              <w:t>Semestral</w:t>
            </w:r>
          </w:p>
        </w:tc>
      </w:tr>
      <w:tr w:rsidR="003721E1" w:rsidRPr="00304219" w14:paraId="6349C9D6" w14:textId="77777777" w:rsidTr="00304219">
        <w:trPr>
          <w:trHeight w:val="215"/>
        </w:trPr>
        <w:tc>
          <w:tcPr>
            <w:tcW w:w="4050" w:type="dxa"/>
            <w:vAlign w:val="center"/>
          </w:tcPr>
          <w:p w14:paraId="4587763C" w14:textId="58A23D5D" w:rsidR="003721E1" w:rsidRPr="00304219" w:rsidRDefault="003721E1" w:rsidP="00131360">
            <w:pPr>
              <w:suppressAutoHyphens/>
              <w:spacing w:before="40" w:after="40"/>
              <w:rPr>
                <w:rFonts w:ascii="Arial" w:hAnsi="Arial" w:cs="Arial"/>
                <w:bCs/>
                <w:sz w:val="20"/>
                <w:szCs w:val="22"/>
              </w:rPr>
            </w:pPr>
            <w:r w:rsidRPr="00E060B2">
              <w:rPr>
                <w:rFonts w:ascii="Arial" w:hAnsi="Arial" w:cs="Arial"/>
                <w:bCs/>
                <w:sz w:val="20"/>
                <w:szCs w:val="22"/>
              </w:rPr>
              <w:t xml:space="preserve">Obras de </w:t>
            </w:r>
            <w:r w:rsidR="00131360">
              <w:rPr>
                <w:rFonts w:ascii="Arial" w:hAnsi="Arial" w:cs="Arial"/>
                <w:bCs/>
                <w:sz w:val="20"/>
                <w:szCs w:val="22"/>
              </w:rPr>
              <w:t>control</w:t>
            </w:r>
            <w:r w:rsidRPr="00B80806">
              <w:rPr>
                <w:rFonts w:ascii="Arial" w:hAnsi="Arial" w:cs="Arial"/>
                <w:bCs/>
                <w:sz w:val="20"/>
                <w:szCs w:val="22"/>
              </w:rPr>
              <w:t xml:space="preserve"> fluvial </w:t>
            </w:r>
            <w:r>
              <w:rPr>
                <w:rFonts w:ascii="Arial" w:hAnsi="Arial" w:cs="Arial"/>
                <w:bCs/>
                <w:sz w:val="20"/>
                <w:szCs w:val="22"/>
              </w:rPr>
              <w:t xml:space="preserve">para el río Trou-du-Nord </w:t>
            </w:r>
            <w:r w:rsidRPr="00B80806">
              <w:rPr>
                <w:rFonts w:ascii="Arial" w:hAnsi="Arial" w:cs="Arial"/>
                <w:bCs/>
                <w:sz w:val="20"/>
                <w:szCs w:val="22"/>
              </w:rPr>
              <w:t>e</w:t>
            </w:r>
            <w:r>
              <w:rPr>
                <w:rFonts w:ascii="Arial" w:hAnsi="Arial" w:cs="Arial"/>
                <w:bCs/>
                <w:sz w:val="20"/>
                <w:szCs w:val="22"/>
              </w:rPr>
              <w:t>n</w:t>
            </w:r>
            <w:r w:rsidRPr="00B80806">
              <w:rPr>
                <w:rFonts w:ascii="Arial" w:hAnsi="Arial" w:cs="Arial"/>
                <w:bCs/>
                <w:sz w:val="20"/>
                <w:szCs w:val="22"/>
              </w:rPr>
              <w:t xml:space="preserve"> la zona del PIC</w:t>
            </w:r>
          </w:p>
        </w:tc>
        <w:tc>
          <w:tcPr>
            <w:tcW w:w="3060" w:type="dxa"/>
            <w:vAlign w:val="center"/>
          </w:tcPr>
          <w:p w14:paraId="78CFAC01" w14:textId="2E6E98BF" w:rsidR="003721E1" w:rsidRPr="00304219" w:rsidRDefault="003721E1" w:rsidP="00304219">
            <w:pPr>
              <w:spacing w:before="40" w:after="40"/>
              <w:ind w:left="-18" w:right="-108"/>
              <w:rPr>
                <w:rFonts w:ascii="Arial" w:hAnsi="Arial" w:cs="Arial"/>
                <w:bCs/>
                <w:color w:val="000000"/>
                <w:sz w:val="20"/>
                <w:szCs w:val="22"/>
              </w:rPr>
            </w:pPr>
            <w:r w:rsidRPr="00304219">
              <w:rPr>
                <w:rFonts w:ascii="Arial" w:hAnsi="Arial" w:cs="Arial"/>
                <w:bCs/>
                <w:color w:val="000000"/>
                <w:sz w:val="20"/>
                <w:szCs w:val="22"/>
              </w:rPr>
              <w:t>Informes producidos por la UTE</w:t>
            </w:r>
          </w:p>
        </w:tc>
        <w:tc>
          <w:tcPr>
            <w:tcW w:w="1350" w:type="dxa"/>
            <w:vAlign w:val="center"/>
          </w:tcPr>
          <w:p w14:paraId="5206A08B" w14:textId="63E69F3E" w:rsidR="003721E1" w:rsidRPr="00304219" w:rsidRDefault="003721E1">
            <w:pPr>
              <w:spacing w:before="40" w:after="40"/>
              <w:ind w:right="174"/>
              <w:jc w:val="center"/>
              <w:rPr>
                <w:rFonts w:ascii="Arial" w:hAnsi="Arial" w:cs="Arial"/>
                <w:sz w:val="20"/>
                <w:szCs w:val="22"/>
              </w:rPr>
            </w:pPr>
            <w:r w:rsidRPr="00304219">
              <w:rPr>
                <w:rFonts w:ascii="Arial" w:hAnsi="Arial" w:cs="Arial"/>
                <w:sz w:val="20"/>
                <w:szCs w:val="22"/>
              </w:rPr>
              <w:t>Semestral</w:t>
            </w:r>
          </w:p>
        </w:tc>
      </w:tr>
      <w:tr w:rsidR="003721E1" w:rsidRPr="00304219" w14:paraId="29C3D05E" w14:textId="77777777" w:rsidTr="00025D6C">
        <w:trPr>
          <w:trHeight w:val="431"/>
        </w:trPr>
        <w:tc>
          <w:tcPr>
            <w:tcW w:w="8460" w:type="dxa"/>
            <w:gridSpan w:val="3"/>
            <w:shd w:val="clear" w:color="auto" w:fill="FFFFCC"/>
            <w:vAlign w:val="center"/>
          </w:tcPr>
          <w:p w14:paraId="091FF342" w14:textId="77777777" w:rsidR="003721E1" w:rsidRPr="00304219" w:rsidRDefault="003721E1" w:rsidP="00CA4962">
            <w:pPr>
              <w:rPr>
                <w:rFonts w:ascii="Arial" w:hAnsi="Arial" w:cs="Arial"/>
                <w:b/>
                <w:sz w:val="20"/>
                <w:szCs w:val="22"/>
              </w:rPr>
            </w:pPr>
            <w:r w:rsidRPr="00304219">
              <w:rPr>
                <w:rFonts w:ascii="Arial" w:hAnsi="Arial" w:cs="Arial"/>
                <w:b/>
                <w:bCs/>
                <w:sz w:val="20"/>
                <w:szCs w:val="22"/>
              </w:rPr>
              <w:t>Componente 2 –Fortalecimiento institucional de la SONAPI</w:t>
            </w:r>
          </w:p>
        </w:tc>
      </w:tr>
      <w:tr w:rsidR="003721E1" w:rsidRPr="00304219" w14:paraId="121F6E08" w14:textId="77777777" w:rsidTr="00304219">
        <w:trPr>
          <w:trHeight w:val="134"/>
        </w:trPr>
        <w:tc>
          <w:tcPr>
            <w:tcW w:w="4050" w:type="dxa"/>
            <w:vAlign w:val="center"/>
          </w:tcPr>
          <w:p w14:paraId="581D7220" w14:textId="20E498F5" w:rsidR="003721E1" w:rsidRPr="00304219" w:rsidRDefault="003721E1" w:rsidP="00CA4962">
            <w:pPr>
              <w:ind w:right="-108"/>
              <w:rPr>
                <w:rFonts w:ascii="Arial" w:hAnsi="Arial" w:cs="Arial"/>
                <w:bCs/>
                <w:sz w:val="20"/>
                <w:szCs w:val="22"/>
              </w:rPr>
            </w:pPr>
            <w:r w:rsidRPr="00304219">
              <w:rPr>
                <w:rFonts w:ascii="Arial" w:hAnsi="Arial" w:cs="Arial"/>
                <w:bCs/>
                <w:sz w:val="20"/>
                <w:szCs w:val="22"/>
              </w:rPr>
              <w:t>Plan de negocio desarrollados (Desarrollo de negocios, planificación estratégica y relaciones con el cliente)</w:t>
            </w:r>
          </w:p>
        </w:tc>
        <w:tc>
          <w:tcPr>
            <w:tcW w:w="3060" w:type="dxa"/>
            <w:vAlign w:val="center"/>
          </w:tcPr>
          <w:p w14:paraId="7CB01681" w14:textId="77777777" w:rsidR="003721E1" w:rsidRPr="00304219" w:rsidRDefault="003721E1" w:rsidP="00304219">
            <w:pPr>
              <w:spacing w:before="40" w:after="40"/>
              <w:ind w:left="-18" w:right="-108"/>
              <w:rPr>
                <w:rFonts w:ascii="Arial" w:hAnsi="Arial" w:cs="Arial"/>
                <w:bCs/>
                <w:color w:val="000000"/>
                <w:sz w:val="20"/>
                <w:szCs w:val="22"/>
              </w:rPr>
            </w:pPr>
            <w:r w:rsidRPr="00304219">
              <w:rPr>
                <w:rFonts w:ascii="Arial" w:hAnsi="Arial" w:cs="Arial"/>
                <w:bCs/>
                <w:color w:val="000000"/>
                <w:sz w:val="20"/>
                <w:szCs w:val="22"/>
              </w:rPr>
              <w:t>Informes producidos por la SONAPI</w:t>
            </w:r>
          </w:p>
        </w:tc>
        <w:tc>
          <w:tcPr>
            <w:tcW w:w="1350" w:type="dxa"/>
            <w:vAlign w:val="center"/>
          </w:tcPr>
          <w:p w14:paraId="0A5C4DC0" w14:textId="77777777" w:rsidR="003721E1" w:rsidRPr="00304219" w:rsidRDefault="003721E1" w:rsidP="00F64215">
            <w:pPr>
              <w:tabs>
                <w:tab w:val="left" w:pos="3060"/>
              </w:tabs>
              <w:spacing w:before="40" w:after="40"/>
              <w:jc w:val="center"/>
              <w:rPr>
                <w:rFonts w:ascii="Arial" w:hAnsi="Arial" w:cs="Arial"/>
                <w:sz w:val="20"/>
                <w:szCs w:val="22"/>
              </w:rPr>
            </w:pPr>
            <w:r w:rsidRPr="00304219">
              <w:rPr>
                <w:rFonts w:ascii="Arial" w:hAnsi="Arial" w:cs="Arial"/>
                <w:sz w:val="20"/>
                <w:szCs w:val="22"/>
              </w:rPr>
              <w:t>Semestral</w:t>
            </w:r>
          </w:p>
        </w:tc>
      </w:tr>
    </w:tbl>
    <w:p w14:paraId="37BFEC94" w14:textId="77777777" w:rsidR="00221B5D" w:rsidRPr="00304219" w:rsidRDefault="00221B5D">
      <w:pPr>
        <w:rPr>
          <w:rFonts w:ascii="Arial" w:hAnsi="Arial" w:cs="Arial"/>
          <w:sz w:val="22"/>
          <w:szCs w:val="22"/>
        </w:rPr>
      </w:pPr>
    </w:p>
    <w:p w14:paraId="58E3B152" w14:textId="706301BE" w:rsidR="007F748D" w:rsidRPr="00304219" w:rsidRDefault="00724C99" w:rsidP="00304219">
      <w:pPr>
        <w:pStyle w:val="FirstHeading"/>
        <w:rPr>
          <w:rFonts w:ascii="Arial" w:hAnsi="Arial" w:cs="Arial"/>
          <w:sz w:val="22"/>
        </w:rPr>
      </w:pPr>
      <w:r w:rsidRPr="00304219">
        <w:rPr>
          <w:rFonts w:ascii="Arial" w:hAnsi="Arial" w:cs="Arial"/>
          <w:sz w:val="22"/>
        </w:rPr>
        <w:lastRenderedPageBreak/>
        <w:fldChar w:fldCharType="begin"/>
      </w:r>
      <w:r w:rsidRPr="00304219">
        <w:rPr>
          <w:rFonts w:ascii="Arial" w:hAnsi="Arial" w:cs="Arial"/>
          <w:sz w:val="22"/>
        </w:rPr>
        <w:instrText xml:space="preserve"> SEQ "</w:instrText>
      </w:r>
      <w:r w:rsidRPr="00304219">
        <w:rPr>
          <w:rFonts w:ascii="Arial" w:hAnsi="Arial" w:cs="Arial"/>
          <w:sz w:val="22"/>
        </w:rPr>
        <w:fldChar w:fldCharType="begin"/>
      </w:r>
      <w:r w:rsidRPr="00304219">
        <w:rPr>
          <w:rFonts w:ascii="Arial" w:hAnsi="Arial" w:cs="Arial"/>
          <w:sz w:val="22"/>
        </w:rPr>
        <w:instrText xml:space="preserve"> SECTION  \* MERGEFORMAT </w:instrText>
      </w:r>
      <w:r w:rsidRPr="00304219">
        <w:rPr>
          <w:rFonts w:ascii="Arial" w:hAnsi="Arial" w:cs="Arial"/>
          <w:sz w:val="22"/>
        </w:rPr>
        <w:fldChar w:fldCharType="separate"/>
      </w:r>
      <w:r w:rsidRPr="00304219">
        <w:rPr>
          <w:rFonts w:ascii="Arial" w:hAnsi="Arial" w:cs="Arial"/>
          <w:sz w:val="22"/>
        </w:rPr>
        <w:instrText>4</w:instrText>
      </w:r>
      <w:r w:rsidRPr="00304219">
        <w:rPr>
          <w:rFonts w:ascii="Arial" w:hAnsi="Arial" w:cs="Arial"/>
          <w:sz w:val="22"/>
        </w:rPr>
        <w:fldChar w:fldCharType="end"/>
      </w:r>
      <w:r w:rsidRPr="00304219">
        <w:rPr>
          <w:rFonts w:ascii="Arial" w:hAnsi="Arial" w:cs="Arial"/>
          <w:sz w:val="22"/>
        </w:rPr>
        <w:instrText xml:space="preserve">#"\* ALPHABETIC \* MERGEFORMAT </w:instrText>
      </w:r>
      <w:r w:rsidRPr="00304219">
        <w:rPr>
          <w:rFonts w:ascii="Arial" w:hAnsi="Arial" w:cs="Arial"/>
          <w:sz w:val="22"/>
        </w:rPr>
        <w:fldChar w:fldCharType="separate"/>
      </w:r>
      <w:bookmarkStart w:id="22" w:name="_Toc433354360"/>
      <w:r w:rsidRPr="00304219">
        <w:rPr>
          <w:rFonts w:ascii="Arial" w:hAnsi="Arial" w:cs="Arial"/>
          <w:noProof/>
          <w:sz w:val="22"/>
        </w:rPr>
        <w:t>B</w:t>
      </w:r>
      <w:r w:rsidRPr="00304219">
        <w:rPr>
          <w:rFonts w:ascii="Arial" w:hAnsi="Arial" w:cs="Arial"/>
          <w:sz w:val="22"/>
        </w:rPr>
        <w:fldChar w:fldCharType="end"/>
      </w:r>
      <w:r w:rsidRPr="00304219">
        <w:rPr>
          <w:rFonts w:ascii="Arial" w:hAnsi="Arial" w:cs="Arial"/>
          <w:sz w:val="22"/>
        </w:rPr>
        <w:t>.</w:t>
      </w:r>
      <w:r w:rsidRPr="00304219">
        <w:rPr>
          <w:rFonts w:ascii="Arial" w:hAnsi="Arial" w:cs="Arial"/>
          <w:sz w:val="22"/>
        </w:rPr>
        <w:tab/>
      </w:r>
      <w:r w:rsidR="007F748D" w:rsidRPr="00304219">
        <w:rPr>
          <w:rFonts w:ascii="Arial" w:hAnsi="Arial" w:cs="Arial"/>
          <w:sz w:val="22"/>
        </w:rPr>
        <w:t xml:space="preserve">Recolección de </w:t>
      </w:r>
      <w:r w:rsidR="00025D6C" w:rsidRPr="00304219">
        <w:rPr>
          <w:rFonts w:ascii="Arial" w:hAnsi="Arial" w:cs="Arial"/>
          <w:sz w:val="22"/>
        </w:rPr>
        <w:t>Información</w:t>
      </w:r>
      <w:r w:rsidR="007F748D" w:rsidRPr="00304219">
        <w:rPr>
          <w:rFonts w:ascii="Arial" w:hAnsi="Arial" w:cs="Arial"/>
          <w:sz w:val="22"/>
        </w:rPr>
        <w:t xml:space="preserve"> e </w:t>
      </w:r>
      <w:r w:rsidR="00025D6C" w:rsidRPr="00304219">
        <w:rPr>
          <w:rFonts w:ascii="Arial" w:hAnsi="Arial" w:cs="Arial"/>
          <w:sz w:val="22"/>
        </w:rPr>
        <w:t>Instrumentos</w:t>
      </w:r>
      <w:bookmarkEnd w:id="22"/>
    </w:p>
    <w:p w14:paraId="3216828A" w14:textId="303097C5" w:rsidR="001C0D11" w:rsidRPr="00304219" w:rsidRDefault="001C0D11" w:rsidP="001C0D11">
      <w:pPr>
        <w:pStyle w:val="Paragraph"/>
        <w:numPr>
          <w:ilvl w:val="0"/>
          <w:numId w:val="0"/>
        </w:numPr>
        <w:ind w:left="720" w:hanging="720"/>
        <w:rPr>
          <w:rFonts w:ascii="Arial" w:hAnsi="Arial" w:cs="Arial"/>
          <w:sz w:val="22"/>
          <w:szCs w:val="22"/>
          <w:lang w:val="es-ES_tradnl"/>
        </w:rPr>
      </w:pPr>
      <w:r w:rsidRPr="00304219">
        <w:rPr>
          <w:rFonts w:ascii="Arial" w:hAnsi="Arial" w:cs="Arial"/>
          <w:sz w:val="22"/>
          <w:szCs w:val="22"/>
        </w:rPr>
        <w:t>2.2</w:t>
      </w:r>
      <w:r w:rsidRPr="00304219">
        <w:rPr>
          <w:rFonts w:ascii="Arial" w:hAnsi="Arial" w:cs="Arial"/>
          <w:sz w:val="22"/>
          <w:szCs w:val="22"/>
        </w:rPr>
        <w:tab/>
        <w:t xml:space="preserve">El monitoreo </w:t>
      </w:r>
      <w:r w:rsidRPr="00304219">
        <w:rPr>
          <w:rFonts w:ascii="Arial" w:hAnsi="Arial" w:cs="Arial"/>
          <w:sz w:val="22"/>
          <w:szCs w:val="22"/>
          <w:lang w:val="es-ES_tradnl"/>
        </w:rPr>
        <w:t xml:space="preserve">del programa estará </w:t>
      </w:r>
      <w:r w:rsidR="007B68E3" w:rsidRPr="00304219">
        <w:rPr>
          <w:rFonts w:ascii="Arial" w:hAnsi="Arial" w:cs="Arial"/>
          <w:sz w:val="22"/>
          <w:szCs w:val="22"/>
          <w:lang w:val="es-ES_tradnl"/>
        </w:rPr>
        <w:t>pautado por los indicadores de</w:t>
      </w:r>
      <w:r w:rsidRPr="00304219">
        <w:rPr>
          <w:rFonts w:ascii="Arial" w:hAnsi="Arial" w:cs="Arial"/>
          <w:sz w:val="22"/>
          <w:szCs w:val="22"/>
          <w:lang w:val="es-ES_tradnl"/>
        </w:rPr>
        <w:t xml:space="preserve"> </w:t>
      </w:r>
      <w:r w:rsidR="00FA3D05" w:rsidRPr="00304219">
        <w:rPr>
          <w:rFonts w:ascii="Arial" w:hAnsi="Arial" w:cs="Arial"/>
          <w:sz w:val="22"/>
          <w:szCs w:val="22"/>
          <w:lang w:val="es-ES_tradnl"/>
        </w:rPr>
        <w:t>la Matriz</w:t>
      </w:r>
      <w:r w:rsidRPr="00304219">
        <w:rPr>
          <w:rFonts w:ascii="Arial" w:hAnsi="Arial" w:cs="Arial"/>
          <w:sz w:val="22"/>
          <w:szCs w:val="22"/>
          <w:lang w:val="es-ES_tradnl"/>
        </w:rPr>
        <w:t xml:space="preserve"> de Resultados (MR), que especifica los medios de verificación</w:t>
      </w:r>
      <w:r w:rsidR="00221B5D" w:rsidRPr="00304219">
        <w:rPr>
          <w:rFonts w:ascii="Arial" w:hAnsi="Arial" w:cs="Arial"/>
          <w:sz w:val="22"/>
          <w:szCs w:val="22"/>
          <w:lang w:val="es-ES_tradnl"/>
        </w:rPr>
        <w:t xml:space="preserve"> correspondientes. </w:t>
      </w:r>
      <w:r w:rsidR="007B68E3" w:rsidRPr="00304219">
        <w:rPr>
          <w:rFonts w:ascii="Arial" w:hAnsi="Arial" w:cs="Arial"/>
          <w:sz w:val="22"/>
          <w:szCs w:val="22"/>
          <w:lang w:val="es-ES_tradnl"/>
        </w:rPr>
        <w:t xml:space="preserve">También se hará el monitoreo del programa mediante los instrumentos </w:t>
      </w:r>
      <w:r w:rsidR="00CE639D" w:rsidRPr="00304219">
        <w:rPr>
          <w:rFonts w:ascii="Arial" w:hAnsi="Arial" w:cs="Arial"/>
          <w:sz w:val="22"/>
          <w:szCs w:val="22"/>
          <w:lang w:val="es-ES_tradnl"/>
        </w:rPr>
        <w:t>del Banco</w:t>
      </w:r>
      <w:r w:rsidR="00724C99" w:rsidRPr="00304219">
        <w:rPr>
          <w:rFonts w:ascii="Arial" w:hAnsi="Arial" w:cs="Arial"/>
          <w:sz w:val="22"/>
          <w:szCs w:val="22"/>
          <w:lang w:val="es-ES_tradnl"/>
        </w:rPr>
        <w:t xml:space="preserve">: </w:t>
      </w:r>
      <w:r w:rsidR="00CE639D" w:rsidRPr="00304219">
        <w:rPr>
          <w:rFonts w:ascii="Arial" w:hAnsi="Arial" w:cs="Arial"/>
          <w:sz w:val="22"/>
          <w:szCs w:val="22"/>
          <w:lang w:val="es-ES_tradnl"/>
        </w:rPr>
        <w:t>PMR (Informe de Moni</w:t>
      </w:r>
      <w:r w:rsidR="007B68E3" w:rsidRPr="00304219">
        <w:rPr>
          <w:rFonts w:ascii="Arial" w:hAnsi="Arial" w:cs="Arial"/>
          <w:sz w:val="22"/>
          <w:szCs w:val="22"/>
          <w:lang w:val="es-ES_tradnl"/>
        </w:rPr>
        <w:t>toreo de Resultados</w:t>
      </w:r>
      <w:r w:rsidRPr="00304219">
        <w:rPr>
          <w:rFonts w:ascii="Arial" w:hAnsi="Arial" w:cs="Arial"/>
          <w:sz w:val="22"/>
          <w:szCs w:val="22"/>
          <w:lang w:val="es-ES_tradnl"/>
        </w:rPr>
        <w:t>, los Planes Operativos Anuales y Plan de Adquisiciones (PA).</w:t>
      </w:r>
    </w:p>
    <w:p w14:paraId="249AA341" w14:textId="77777777" w:rsidR="001C0D11" w:rsidRPr="00304219" w:rsidRDefault="001C0D11" w:rsidP="001C0D11">
      <w:pPr>
        <w:pStyle w:val="Paragraph"/>
        <w:numPr>
          <w:ilvl w:val="0"/>
          <w:numId w:val="0"/>
        </w:numPr>
        <w:ind w:left="720" w:hanging="720"/>
        <w:rPr>
          <w:rFonts w:ascii="Arial" w:hAnsi="Arial" w:cs="Arial"/>
          <w:sz w:val="22"/>
          <w:szCs w:val="22"/>
          <w:lang w:val="es-ES_tradnl"/>
        </w:rPr>
      </w:pPr>
      <w:r w:rsidRPr="00304219">
        <w:rPr>
          <w:rFonts w:ascii="Arial" w:hAnsi="Arial" w:cs="Arial"/>
          <w:sz w:val="22"/>
          <w:szCs w:val="22"/>
          <w:lang w:val="es-ES_tradnl"/>
        </w:rPr>
        <w:t>2.3</w:t>
      </w:r>
      <w:r w:rsidRPr="00304219">
        <w:rPr>
          <w:rFonts w:ascii="Arial" w:hAnsi="Arial" w:cs="Arial"/>
          <w:sz w:val="22"/>
          <w:szCs w:val="22"/>
          <w:lang w:val="es-ES_tradnl"/>
        </w:rPr>
        <w:tab/>
        <w:t>La tabla anterior resume aquellos indicadores que deberán ser medidos y los instrumentos que deberán utilizarse para su medición.</w:t>
      </w:r>
      <w:r w:rsidR="00F02EB7" w:rsidRPr="00304219">
        <w:rPr>
          <w:rFonts w:ascii="Arial" w:hAnsi="Arial" w:cs="Arial"/>
          <w:sz w:val="22"/>
          <w:szCs w:val="22"/>
          <w:lang w:val="es-ES_tradnl"/>
        </w:rPr>
        <w:t xml:space="preserve"> </w:t>
      </w:r>
    </w:p>
    <w:p w14:paraId="5B75B427" w14:textId="77777777" w:rsidR="001C0D11" w:rsidRPr="00304219" w:rsidRDefault="001C0D11" w:rsidP="001C0D11">
      <w:pPr>
        <w:pStyle w:val="Paragraph"/>
        <w:numPr>
          <w:ilvl w:val="0"/>
          <w:numId w:val="0"/>
        </w:numPr>
        <w:ind w:left="720" w:hanging="720"/>
        <w:rPr>
          <w:rFonts w:ascii="Arial" w:hAnsi="Arial" w:cs="Arial"/>
          <w:sz w:val="22"/>
          <w:szCs w:val="22"/>
          <w:lang w:val="es-ES_tradnl"/>
        </w:rPr>
      </w:pPr>
      <w:r w:rsidRPr="00304219">
        <w:rPr>
          <w:rFonts w:ascii="Arial" w:hAnsi="Arial" w:cs="Arial"/>
          <w:sz w:val="22"/>
          <w:szCs w:val="22"/>
          <w:lang w:val="es-ES_tradnl"/>
        </w:rPr>
        <w:t>2.4</w:t>
      </w:r>
      <w:r w:rsidRPr="00304219">
        <w:rPr>
          <w:rFonts w:ascii="Arial" w:hAnsi="Arial" w:cs="Arial"/>
          <w:sz w:val="22"/>
          <w:szCs w:val="22"/>
          <w:lang w:val="es-ES_tradnl"/>
        </w:rPr>
        <w:tab/>
        <w:t>El Banco se encargará de la supervisión general de la operación, enfocándose en alcanzar l</w:t>
      </w:r>
      <w:r w:rsidR="00031ED2" w:rsidRPr="00304219">
        <w:rPr>
          <w:rFonts w:ascii="Arial" w:hAnsi="Arial" w:cs="Arial"/>
          <w:sz w:val="22"/>
          <w:szCs w:val="22"/>
          <w:lang w:val="es-ES_tradnl"/>
        </w:rPr>
        <w:t>o</w:t>
      </w:r>
      <w:r w:rsidRPr="00304219">
        <w:rPr>
          <w:rFonts w:ascii="Arial" w:hAnsi="Arial" w:cs="Arial"/>
          <w:sz w:val="22"/>
          <w:szCs w:val="22"/>
          <w:lang w:val="es-ES_tradnl"/>
        </w:rPr>
        <w:t xml:space="preserve">s objetivos del programa y sus respectivos indicadores. La Representación del Banco en Haití será responsable de </w:t>
      </w:r>
      <w:r w:rsidR="00F02EB7" w:rsidRPr="00304219">
        <w:rPr>
          <w:rFonts w:ascii="Arial" w:hAnsi="Arial" w:cs="Arial"/>
          <w:sz w:val="22"/>
          <w:szCs w:val="22"/>
          <w:lang w:val="es-ES_tradnl"/>
        </w:rPr>
        <w:t xml:space="preserve">revisar </w:t>
      </w:r>
      <w:r w:rsidRPr="00304219">
        <w:rPr>
          <w:rFonts w:ascii="Arial" w:hAnsi="Arial" w:cs="Arial"/>
          <w:sz w:val="22"/>
          <w:szCs w:val="22"/>
          <w:lang w:val="es-ES_tradnl"/>
        </w:rPr>
        <w:t xml:space="preserve">los informes semestrales y de organizar reuniones conjuntas para analizar el progreso del programa y el del </w:t>
      </w:r>
      <w:r w:rsidR="00F02EB7" w:rsidRPr="00304219">
        <w:rPr>
          <w:rFonts w:ascii="Arial" w:hAnsi="Arial" w:cs="Arial"/>
          <w:sz w:val="22"/>
          <w:szCs w:val="22"/>
          <w:lang w:val="es-ES_tradnl"/>
        </w:rPr>
        <w:t>POA y del PA</w:t>
      </w:r>
      <w:r w:rsidRPr="00304219">
        <w:rPr>
          <w:rFonts w:ascii="Arial" w:hAnsi="Arial" w:cs="Arial"/>
          <w:sz w:val="22"/>
          <w:szCs w:val="22"/>
          <w:lang w:val="es-ES_tradnl"/>
        </w:rPr>
        <w:t>.</w:t>
      </w:r>
    </w:p>
    <w:p w14:paraId="4D8D1735" w14:textId="35A8AA0C" w:rsidR="00DC39CF" w:rsidRPr="00304219" w:rsidRDefault="001C0D11">
      <w:pPr>
        <w:pStyle w:val="Paragraph"/>
        <w:numPr>
          <w:ilvl w:val="0"/>
          <w:numId w:val="0"/>
        </w:numPr>
        <w:ind w:left="720" w:hanging="720"/>
        <w:rPr>
          <w:rFonts w:ascii="Arial" w:hAnsi="Arial" w:cs="Arial"/>
          <w:sz w:val="22"/>
          <w:szCs w:val="22"/>
          <w:lang w:val="es-ES_tradnl"/>
        </w:rPr>
      </w:pPr>
      <w:r w:rsidRPr="00304219">
        <w:rPr>
          <w:rFonts w:ascii="Arial" w:hAnsi="Arial" w:cs="Arial"/>
          <w:sz w:val="22"/>
          <w:szCs w:val="22"/>
          <w:lang w:val="es-ES_tradnl"/>
        </w:rPr>
        <w:t>2.5</w:t>
      </w:r>
      <w:r w:rsidRPr="00304219">
        <w:rPr>
          <w:rFonts w:ascii="Arial" w:hAnsi="Arial" w:cs="Arial"/>
          <w:sz w:val="22"/>
          <w:szCs w:val="22"/>
          <w:lang w:val="es-ES_tradnl"/>
        </w:rPr>
        <w:tab/>
        <w:t>El MEF</w:t>
      </w:r>
      <w:r w:rsidR="007B68E3" w:rsidRPr="00304219">
        <w:rPr>
          <w:rFonts w:ascii="Arial" w:hAnsi="Arial" w:cs="Arial"/>
          <w:sz w:val="22"/>
          <w:szCs w:val="22"/>
          <w:lang w:val="es-ES_tradnl"/>
        </w:rPr>
        <w:t>,</w:t>
      </w:r>
      <w:r w:rsidRPr="00304219">
        <w:rPr>
          <w:rFonts w:ascii="Arial" w:hAnsi="Arial" w:cs="Arial"/>
          <w:sz w:val="22"/>
          <w:szCs w:val="22"/>
          <w:lang w:val="es-ES_tradnl"/>
        </w:rPr>
        <w:t xml:space="preserve"> a través de </w:t>
      </w:r>
      <w:r w:rsidR="00031ED2" w:rsidRPr="00304219">
        <w:rPr>
          <w:rFonts w:ascii="Arial" w:hAnsi="Arial" w:cs="Arial"/>
          <w:sz w:val="22"/>
          <w:szCs w:val="22"/>
          <w:lang w:val="es-ES_tradnl"/>
        </w:rPr>
        <w:t>l</w:t>
      </w:r>
      <w:r w:rsidRPr="00304219">
        <w:rPr>
          <w:rFonts w:ascii="Arial" w:hAnsi="Arial" w:cs="Arial"/>
          <w:sz w:val="22"/>
          <w:szCs w:val="22"/>
          <w:lang w:val="es-ES_tradnl"/>
        </w:rPr>
        <w:t xml:space="preserve">a UTE, será responsable de la elaboración de informes semestrales de </w:t>
      </w:r>
      <w:r w:rsidR="007B68E3" w:rsidRPr="00304219">
        <w:rPr>
          <w:rFonts w:ascii="Arial" w:hAnsi="Arial" w:cs="Arial"/>
          <w:sz w:val="22"/>
          <w:szCs w:val="22"/>
          <w:lang w:val="es-ES_tradnl"/>
        </w:rPr>
        <w:t xml:space="preserve">monitoreo y </w:t>
      </w:r>
      <w:r w:rsidRPr="00304219">
        <w:rPr>
          <w:rFonts w:ascii="Arial" w:hAnsi="Arial" w:cs="Arial"/>
          <w:sz w:val="22"/>
          <w:szCs w:val="22"/>
          <w:lang w:val="es-ES_tradnl"/>
        </w:rPr>
        <w:t>supervisión</w:t>
      </w:r>
      <w:r w:rsidR="007B68E3" w:rsidRPr="00304219">
        <w:rPr>
          <w:rFonts w:ascii="Arial" w:hAnsi="Arial" w:cs="Arial"/>
          <w:sz w:val="22"/>
          <w:szCs w:val="22"/>
          <w:lang w:val="es-ES_tradnl"/>
        </w:rPr>
        <w:t xml:space="preserve">, los cuales </w:t>
      </w:r>
      <w:r w:rsidRPr="00304219">
        <w:rPr>
          <w:rFonts w:ascii="Arial" w:hAnsi="Arial" w:cs="Arial"/>
          <w:sz w:val="22"/>
          <w:szCs w:val="22"/>
          <w:lang w:val="es-ES_tradnl"/>
        </w:rPr>
        <w:t>inclu</w:t>
      </w:r>
      <w:r w:rsidR="00CE639D" w:rsidRPr="00304219">
        <w:rPr>
          <w:rFonts w:ascii="Arial" w:hAnsi="Arial" w:cs="Arial"/>
          <w:sz w:val="22"/>
          <w:szCs w:val="22"/>
          <w:lang w:val="es-ES_tradnl"/>
        </w:rPr>
        <w:t>i</w:t>
      </w:r>
      <w:r w:rsidR="007B68E3" w:rsidRPr="00304219">
        <w:rPr>
          <w:rFonts w:ascii="Arial" w:hAnsi="Arial" w:cs="Arial"/>
          <w:sz w:val="22"/>
          <w:szCs w:val="22"/>
          <w:lang w:val="es-ES_tradnl"/>
        </w:rPr>
        <w:t>rán</w:t>
      </w:r>
      <w:r w:rsidRPr="00304219">
        <w:rPr>
          <w:rFonts w:ascii="Arial" w:hAnsi="Arial" w:cs="Arial"/>
          <w:sz w:val="22"/>
          <w:szCs w:val="22"/>
          <w:lang w:val="es-ES_tradnl"/>
        </w:rPr>
        <w:t xml:space="preserve"> información referente a los indicadores de resultado e indicadores intermedios. </w:t>
      </w:r>
      <w:r w:rsidR="00031ED2" w:rsidRPr="00304219">
        <w:rPr>
          <w:rFonts w:ascii="Arial" w:hAnsi="Arial" w:cs="Arial"/>
          <w:sz w:val="22"/>
          <w:szCs w:val="22"/>
          <w:lang w:val="es-ES_tradnl"/>
        </w:rPr>
        <w:t xml:space="preserve">Además, la </w:t>
      </w:r>
      <w:r w:rsidR="00BD01DF" w:rsidRPr="00304219">
        <w:rPr>
          <w:rFonts w:ascii="Arial" w:hAnsi="Arial" w:cs="Arial"/>
          <w:sz w:val="22"/>
          <w:szCs w:val="22"/>
          <w:lang w:val="es-ES_tradnl"/>
        </w:rPr>
        <w:t>firma s</w:t>
      </w:r>
      <w:r w:rsidR="00031ED2" w:rsidRPr="00304219">
        <w:rPr>
          <w:rFonts w:ascii="Arial" w:hAnsi="Arial" w:cs="Arial"/>
          <w:sz w:val="22"/>
          <w:szCs w:val="22"/>
          <w:lang w:val="es-ES_tradnl"/>
        </w:rPr>
        <w:t>upervisora de las obras dentro del PIC hará reportes mensuales que serán enviados al Banco</w:t>
      </w:r>
      <w:r w:rsidR="007B68E3" w:rsidRPr="00304219">
        <w:rPr>
          <w:rFonts w:ascii="Arial" w:hAnsi="Arial" w:cs="Arial"/>
          <w:sz w:val="22"/>
          <w:szCs w:val="22"/>
          <w:lang w:val="es-ES_tradnl"/>
        </w:rPr>
        <w:t>. E</w:t>
      </w:r>
      <w:r w:rsidR="00031ED2" w:rsidRPr="00304219">
        <w:rPr>
          <w:rFonts w:ascii="Arial" w:hAnsi="Arial" w:cs="Arial"/>
          <w:sz w:val="22"/>
          <w:szCs w:val="22"/>
          <w:lang w:val="es-ES_tradnl"/>
        </w:rPr>
        <w:t>stos reportes incluyen el seguimiento de</w:t>
      </w:r>
      <w:r w:rsidR="00F64215" w:rsidRPr="00304219">
        <w:rPr>
          <w:rFonts w:ascii="Arial" w:hAnsi="Arial" w:cs="Arial"/>
          <w:sz w:val="22"/>
          <w:szCs w:val="22"/>
          <w:lang w:val="es-ES_tradnl"/>
        </w:rPr>
        <w:t xml:space="preserve"> </w:t>
      </w:r>
      <w:r w:rsidR="00031ED2" w:rsidRPr="00304219">
        <w:rPr>
          <w:rFonts w:ascii="Arial" w:hAnsi="Arial" w:cs="Arial"/>
          <w:sz w:val="22"/>
          <w:szCs w:val="22"/>
          <w:lang w:val="es-ES_tradnl"/>
        </w:rPr>
        <w:t>l</w:t>
      </w:r>
      <w:r w:rsidR="00F64215" w:rsidRPr="00304219">
        <w:rPr>
          <w:rFonts w:ascii="Arial" w:hAnsi="Arial" w:cs="Arial"/>
          <w:sz w:val="22"/>
          <w:szCs w:val="22"/>
          <w:lang w:val="es-ES_tradnl"/>
        </w:rPr>
        <w:t>a implementación del</w:t>
      </w:r>
      <w:r w:rsidR="00031ED2" w:rsidRPr="00304219">
        <w:rPr>
          <w:rFonts w:ascii="Arial" w:hAnsi="Arial" w:cs="Arial"/>
          <w:sz w:val="22"/>
          <w:szCs w:val="22"/>
          <w:lang w:val="es-ES_tradnl"/>
        </w:rPr>
        <w:t xml:space="preserve"> Plan de Gestión Ambiental y Social. </w:t>
      </w:r>
      <w:r w:rsidRPr="00304219">
        <w:rPr>
          <w:rFonts w:ascii="Arial" w:hAnsi="Arial" w:cs="Arial"/>
          <w:sz w:val="22"/>
          <w:szCs w:val="22"/>
          <w:lang w:val="es-ES_tradnl"/>
        </w:rPr>
        <w:t xml:space="preserve">Para llevar a cabo estas tareas, la UTE </w:t>
      </w:r>
      <w:r w:rsidR="00F64215" w:rsidRPr="00304219">
        <w:rPr>
          <w:rFonts w:ascii="Arial" w:hAnsi="Arial" w:cs="Arial"/>
          <w:sz w:val="22"/>
          <w:szCs w:val="22"/>
          <w:lang w:val="es-ES_tradnl"/>
        </w:rPr>
        <w:t xml:space="preserve">continuará con la </w:t>
      </w:r>
      <w:r w:rsidRPr="00304219">
        <w:rPr>
          <w:rFonts w:ascii="Arial" w:hAnsi="Arial" w:cs="Arial"/>
          <w:sz w:val="22"/>
          <w:szCs w:val="22"/>
          <w:lang w:val="es-ES_tradnl"/>
        </w:rPr>
        <w:t>presentación</w:t>
      </w:r>
      <w:r w:rsidR="00F64215" w:rsidRPr="00304219">
        <w:rPr>
          <w:rFonts w:ascii="Arial" w:hAnsi="Arial" w:cs="Arial"/>
          <w:sz w:val="22"/>
          <w:szCs w:val="22"/>
          <w:lang w:val="es-ES_tradnl"/>
        </w:rPr>
        <w:t xml:space="preserve"> centralizada</w:t>
      </w:r>
      <w:r w:rsidRPr="00304219">
        <w:rPr>
          <w:rFonts w:ascii="Arial" w:hAnsi="Arial" w:cs="Arial"/>
          <w:sz w:val="22"/>
          <w:szCs w:val="22"/>
          <w:lang w:val="es-ES_tradnl"/>
        </w:rPr>
        <w:t xml:space="preserve"> de rendiciones de cuentas ante el Banco</w:t>
      </w:r>
      <w:r w:rsidR="00F64215" w:rsidRPr="00304219">
        <w:rPr>
          <w:rFonts w:ascii="Arial" w:hAnsi="Arial" w:cs="Arial"/>
          <w:sz w:val="22"/>
          <w:szCs w:val="22"/>
          <w:lang w:val="es-ES_tradnl"/>
        </w:rPr>
        <w:t xml:space="preserve">, establecida durante la operación anterior </w:t>
      </w:r>
      <w:r w:rsidR="0063202C" w:rsidRPr="00304219">
        <w:rPr>
          <w:rFonts w:ascii="Arial" w:hAnsi="Arial" w:cs="Arial"/>
          <w:sz w:val="22"/>
          <w:szCs w:val="22"/>
          <w:lang w:val="es-ES_tradnl"/>
        </w:rPr>
        <w:t>(3384/</w:t>
      </w:r>
      <w:r w:rsidR="00F64215" w:rsidRPr="00304219">
        <w:rPr>
          <w:rFonts w:ascii="Arial" w:hAnsi="Arial" w:cs="Arial"/>
          <w:sz w:val="22"/>
          <w:szCs w:val="22"/>
          <w:lang w:val="es-ES_tradnl"/>
        </w:rPr>
        <w:t>GR-HA)</w:t>
      </w:r>
      <w:r w:rsidRPr="00304219">
        <w:rPr>
          <w:rFonts w:ascii="Arial" w:hAnsi="Arial" w:cs="Arial"/>
          <w:sz w:val="22"/>
          <w:szCs w:val="22"/>
          <w:lang w:val="es-ES_tradnl"/>
        </w:rPr>
        <w:t>. Parte de las tareas cotidianas serán la recolección de información y datos necesarios para monitorear la evolución de las obras y la implementación de programas que estará a cargo de la UTE.</w:t>
      </w:r>
    </w:p>
    <w:p w14:paraId="38C01A54" w14:textId="77777777" w:rsidR="001C0D11" w:rsidRDefault="001C0D11" w:rsidP="001C0D11">
      <w:pPr>
        <w:pStyle w:val="Paragraph"/>
        <w:numPr>
          <w:ilvl w:val="0"/>
          <w:numId w:val="0"/>
        </w:numPr>
        <w:ind w:left="720" w:hanging="720"/>
        <w:rPr>
          <w:rFonts w:ascii="Arial" w:hAnsi="Arial" w:cs="Arial"/>
          <w:sz w:val="22"/>
          <w:szCs w:val="22"/>
          <w:lang w:val="es-ES_tradnl"/>
        </w:rPr>
      </w:pPr>
      <w:r w:rsidRPr="00304219">
        <w:rPr>
          <w:rFonts w:ascii="Arial" w:hAnsi="Arial" w:cs="Arial"/>
          <w:sz w:val="22"/>
          <w:szCs w:val="22"/>
          <w:lang w:val="es-ES_tradnl"/>
        </w:rPr>
        <w:t>2.6</w:t>
      </w:r>
      <w:r w:rsidRPr="00304219">
        <w:rPr>
          <w:rFonts w:ascii="Arial" w:hAnsi="Arial" w:cs="Arial"/>
          <w:sz w:val="22"/>
          <w:szCs w:val="22"/>
          <w:lang w:val="es-ES_tradnl"/>
        </w:rPr>
        <w:tab/>
        <w:t>Para el monitoreo del progr</w:t>
      </w:r>
      <w:r w:rsidR="00031ED2" w:rsidRPr="00304219">
        <w:rPr>
          <w:rFonts w:ascii="Arial" w:hAnsi="Arial" w:cs="Arial"/>
          <w:sz w:val="22"/>
          <w:szCs w:val="22"/>
          <w:lang w:val="es-ES_tradnl"/>
        </w:rPr>
        <w:t>a</w:t>
      </w:r>
      <w:r w:rsidRPr="00304219">
        <w:rPr>
          <w:rFonts w:ascii="Arial" w:hAnsi="Arial" w:cs="Arial"/>
          <w:sz w:val="22"/>
          <w:szCs w:val="22"/>
          <w:lang w:val="es-ES_tradnl"/>
        </w:rPr>
        <w:t>ma, se utilizarán los siguientes instrumentos:</w:t>
      </w:r>
    </w:p>
    <w:p w14:paraId="667213E5" w14:textId="18AA2B82" w:rsidR="0056071F" w:rsidRPr="0056071F" w:rsidRDefault="0056071F" w:rsidP="0056071F">
      <w:pPr>
        <w:pStyle w:val="Paragraph"/>
        <w:numPr>
          <w:ilvl w:val="0"/>
          <w:numId w:val="0"/>
        </w:numPr>
        <w:ind w:left="720" w:hanging="720"/>
        <w:rPr>
          <w:rFonts w:ascii="Arial" w:hAnsi="Arial" w:cs="Arial"/>
          <w:sz w:val="22"/>
          <w:szCs w:val="22"/>
          <w:lang w:val="es-ES_tradnl"/>
        </w:rPr>
      </w:pPr>
      <w:r>
        <w:rPr>
          <w:rFonts w:ascii="Arial" w:hAnsi="Arial" w:cs="Arial"/>
          <w:sz w:val="22"/>
          <w:szCs w:val="22"/>
          <w:lang w:val="es-ES_tradnl"/>
        </w:rPr>
        <w:t xml:space="preserve">2.7 </w:t>
      </w:r>
      <w:r>
        <w:rPr>
          <w:rFonts w:ascii="Arial" w:hAnsi="Arial" w:cs="Arial"/>
          <w:sz w:val="22"/>
          <w:szCs w:val="22"/>
          <w:lang w:val="es-ES_tradnl"/>
        </w:rPr>
        <w:tab/>
      </w:r>
      <w:r>
        <w:rPr>
          <w:rFonts w:ascii="Arial" w:hAnsi="Arial" w:cs="Arial"/>
          <w:b/>
          <w:sz w:val="22"/>
          <w:szCs w:val="22"/>
          <w:lang w:val="es-ES_tradnl"/>
        </w:rPr>
        <w:t>Plan Plurianual de Ejecución (PPE).</w:t>
      </w:r>
      <w:r>
        <w:rPr>
          <w:rFonts w:ascii="Arial" w:hAnsi="Arial" w:cs="Arial"/>
          <w:sz w:val="22"/>
          <w:szCs w:val="22"/>
          <w:lang w:val="es-ES_tradnl"/>
        </w:rPr>
        <w:t xml:space="preserve"> Este instrumento tiene por finalidad presentar al Banco un detalle de la planificación completa del proyecto, incluyendo la ruta o las acciones críticas que deben ser ejecutadas para que se realicen los desembolsos necesarios sin retrasos. Cada organismo de ejecución deberá presentar el PPE al Banco y deberá ser actualizado en caso de que se necesario (por ejemplo en caso de cambios importantes que impliquen un atraso en la ejecución del proyecto, o cambios en los objetivos de producto durante periodos intermedios).</w:t>
      </w:r>
    </w:p>
    <w:p w14:paraId="3CBEECB2" w14:textId="533B1A7C" w:rsidR="00963889" w:rsidRPr="00304219" w:rsidRDefault="00A20E22" w:rsidP="001C0D11">
      <w:pPr>
        <w:pStyle w:val="Paragraph"/>
        <w:numPr>
          <w:ilvl w:val="0"/>
          <w:numId w:val="0"/>
        </w:numPr>
        <w:ind w:left="720" w:hanging="720"/>
        <w:rPr>
          <w:rFonts w:ascii="Arial" w:hAnsi="Arial" w:cs="Arial"/>
          <w:sz w:val="22"/>
          <w:szCs w:val="22"/>
        </w:rPr>
      </w:pPr>
      <w:r w:rsidRPr="00304219">
        <w:rPr>
          <w:rFonts w:ascii="Arial" w:hAnsi="Arial" w:cs="Arial"/>
          <w:sz w:val="22"/>
          <w:szCs w:val="22"/>
          <w:lang w:val="es-ES_tradnl"/>
        </w:rPr>
        <w:t>2.</w:t>
      </w:r>
      <w:r w:rsidR="00CA66DD">
        <w:rPr>
          <w:rFonts w:ascii="Arial" w:hAnsi="Arial" w:cs="Arial"/>
          <w:sz w:val="22"/>
          <w:szCs w:val="22"/>
          <w:lang w:val="es-ES_tradnl"/>
        </w:rPr>
        <w:t>8</w:t>
      </w:r>
      <w:r w:rsidRPr="00304219">
        <w:rPr>
          <w:rFonts w:ascii="Arial" w:hAnsi="Arial" w:cs="Arial"/>
          <w:sz w:val="22"/>
          <w:szCs w:val="22"/>
          <w:lang w:val="es-ES_tradnl"/>
        </w:rPr>
        <w:tab/>
      </w:r>
      <w:r w:rsidRPr="00304219">
        <w:rPr>
          <w:rFonts w:ascii="Arial" w:hAnsi="Arial" w:cs="Arial"/>
          <w:b/>
          <w:sz w:val="22"/>
          <w:szCs w:val="22"/>
          <w:lang w:val="es-ES_tradnl"/>
        </w:rPr>
        <w:t>Plan Operativo Anual (POA).</w:t>
      </w:r>
      <w:r w:rsidRPr="00304219">
        <w:rPr>
          <w:rFonts w:ascii="Arial" w:hAnsi="Arial" w:cs="Arial"/>
          <w:sz w:val="22"/>
          <w:szCs w:val="22"/>
          <w:lang w:val="es-ES_tradnl"/>
        </w:rPr>
        <w:t xml:space="preserve"> </w:t>
      </w:r>
      <w:r w:rsidR="00963889" w:rsidRPr="00304219">
        <w:rPr>
          <w:rFonts w:ascii="Arial" w:hAnsi="Arial" w:cs="Arial"/>
          <w:sz w:val="22"/>
          <w:szCs w:val="22"/>
          <w:lang w:val="es-ES_tradnl"/>
        </w:rPr>
        <w:t xml:space="preserve">Este </w:t>
      </w:r>
      <w:r w:rsidR="00963889" w:rsidRPr="00304219">
        <w:rPr>
          <w:rFonts w:ascii="Arial" w:hAnsi="Arial" w:cs="Arial"/>
          <w:sz w:val="22"/>
          <w:szCs w:val="22"/>
        </w:rPr>
        <w:t>instrumento tiene por finalidad presentar al Banco una propuesta de plan anual de ejecución del programa. El POA</w:t>
      </w:r>
      <w:r w:rsidR="0056071F">
        <w:rPr>
          <w:rFonts w:ascii="Arial" w:hAnsi="Arial" w:cs="Arial"/>
          <w:sz w:val="22"/>
          <w:szCs w:val="22"/>
        </w:rPr>
        <w:t xml:space="preserve"> se basa en el PPE y debe</w:t>
      </w:r>
      <w:r w:rsidR="00963889" w:rsidRPr="00304219">
        <w:rPr>
          <w:rFonts w:ascii="Arial" w:hAnsi="Arial" w:cs="Arial"/>
          <w:sz w:val="22"/>
          <w:szCs w:val="22"/>
        </w:rPr>
        <w:t xml:space="preserve"> consolida</w:t>
      </w:r>
      <w:r w:rsidR="0056071F">
        <w:rPr>
          <w:rFonts w:ascii="Arial" w:hAnsi="Arial" w:cs="Arial"/>
          <w:sz w:val="22"/>
          <w:szCs w:val="22"/>
        </w:rPr>
        <w:t>r</w:t>
      </w:r>
      <w:r w:rsidR="00963889" w:rsidRPr="00304219">
        <w:rPr>
          <w:rFonts w:ascii="Arial" w:hAnsi="Arial" w:cs="Arial"/>
          <w:sz w:val="22"/>
          <w:szCs w:val="22"/>
        </w:rPr>
        <w:t xml:space="preserve"> todas las actividades que serán desarrolladas durante un determinado período de ejecución, por producto y cuenta, con un cronograma físico </w:t>
      </w:r>
      <w:r w:rsidR="00CD32FA" w:rsidRPr="00304219">
        <w:rPr>
          <w:rFonts w:ascii="Arial" w:hAnsi="Arial" w:cs="Arial"/>
          <w:sz w:val="22"/>
          <w:szCs w:val="22"/>
        </w:rPr>
        <w:t xml:space="preserve">y </w:t>
      </w:r>
      <w:r w:rsidR="00963889" w:rsidRPr="00304219">
        <w:rPr>
          <w:rFonts w:ascii="Arial" w:hAnsi="Arial" w:cs="Arial"/>
          <w:sz w:val="22"/>
          <w:szCs w:val="22"/>
        </w:rPr>
        <w:t>financiero. Los POA se presentarán el 3</w:t>
      </w:r>
      <w:r w:rsidR="00FB3265" w:rsidRPr="00304219">
        <w:rPr>
          <w:rFonts w:ascii="Arial" w:hAnsi="Arial" w:cs="Arial"/>
          <w:sz w:val="22"/>
          <w:szCs w:val="22"/>
        </w:rPr>
        <w:t>1</w:t>
      </w:r>
      <w:r w:rsidR="00522C8A" w:rsidRPr="00304219">
        <w:rPr>
          <w:rFonts w:ascii="Arial" w:hAnsi="Arial" w:cs="Arial"/>
          <w:sz w:val="22"/>
          <w:szCs w:val="22"/>
        </w:rPr>
        <w:t> </w:t>
      </w:r>
      <w:r w:rsidR="00963889" w:rsidRPr="00304219">
        <w:rPr>
          <w:rFonts w:ascii="Arial" w:hAnsi="Arial" w:cs="Arial"/>
          <w:sz w:val="22"/>
          <w:szCs w:val="22"/>
        </w:rPr>
        <w:t xml:space="preserve">de </w:t>
      </w:r>
      <w:r w:rsidR="00FB3265" w:rsidRPr="00304219">
        <w:rPr>
          <w:rFonts w:ascii="Arial" w:hAnsi="Arial" w:cs="Arial"/>
          <w:sz w:val="22"/>
          <w:szCs w:val="22"/>
        </w:rPr>
        <w:t xml:space="preserve">agosto </w:t>
      </w:r>
      <w:r w:rsidR="00963889" w:rsidRPr="00304219">
        <w:rPr>
          <w:rFonts w:ascii="Arial" w:hAnsi="Arial" w:cs="Arial"/>
          <w:sz w:val="22"/>
          <w:szCs w:val="22"/>
        </w:rPr>
        <w:t>de cada año.</w:t>
      </w:r>
      <w:r w:rsidR="00635B1C" w:rsidRPr="00304219">
        <w:rPr>
          <w:rFonts w:ascii="Arial" w:hAnsi="Arial" w:cs="Arial"/>
          <w:sz w:val="22"/>
          <w:szCs w:val="22"/>
        </w:rPr>
        <w:t xml:space="preserve"> Además de los POA, la UTE presentará </w:t>
      </w:r>
      <w:r w:rsidR="00CD32FA" w:rsidRPr="00304219">
        <w:rPr>
          <w:rFonts w:ascii="Arial" w:hAnsi="Arial" w:cs="Arial"/>
          <w:sz w:val="22"/>
          <w:szCs w:val="22"/>
        </w:rPr>
        <w:t>reportes semestrales</w:t>
      </w:r>
      <w:r w:rsidR="00635B1C" w:rsidRPr="00304219">
        <w:rPr>
          <w:rFonts w:ascii="Arial" w:hAnsi="Arial" w:cs="Arial"/>
          <w:sz w:val="22"/>
          <w:szCs w:val="22"/>
        </w:rPr>
        <w:t xml:space="preserve"> sobre el avance de las obras, tendrá un capitulo exclusivamente dedicado al seguimiento social y ambiental de las intervenciones, y reportará sobre problemas han surgido y que necesitan de acción correctiva.</w:t>
      </w:r>
    </w:p>
    <w:p w14:paraId="038B3CE3" w14:textId="1D73F08C" w:rsidR="00963889" w:rsidRPr="00304219" w:rsidRDefault="00963889" w:rsidP="001C0D11">
      <w:pPr>
        <w:pStyle w:val="Paragraph"/>
        <w:numPr>
          <w:ilvl w:val="0"/>
          <w:numId w:val="0"/>
        </w:numPr>
        <w:ind w:left="720" w:hanging="720"/>
        <w:rPr>
          <w:rFonts w:ascii="Arial" w:hAnsi="Arial" w:cs="Arial"/>
          <w:sz w:val="22"/>
          <w:szCs w:val="22"/>
        </w:rPr>
      </w:pPr>
      <w:r w:rsidRPr="00304219">
        <w:rPr>
          <w:rFonts w:ascii="Arial" w:hAnsi="Arial" w:cs="Arial"/>
          <w:sz w:val="22"/>
          <w:szCs w:val="22"/>
          <w:lang w:val="es-ES_tradnl"/>
        </w:rPr>
        <w:t>2.</w:t>
      </w:r>
      <w:r w:rsidR="00CA66DD">
        <w:rPr>
          <w:rFonts w:ascii="Arial" w:hAnsi="Arial" w:cs="Arial"/>
          <w:sz w:val="22"/>
          <w:szCs w:val="22"/>
          <w:lang w:val="es-ES_tradnl"/>
        </w:rPr>
        <w:t>9</w:t>
      </w:r>
      <w:r w:rsidRPr="00304219">
        <w:rPr>
          <w:rFonts w:ascii="Arial" w:hAnsi="Arial" w:cs="Arial"/>
          <w:sz w:val="22"/>
          <w:szCs w:val="22"/>
          <w:lang w:val="es-ES_tradnl"/>
        </w:rPr>
        <w:tab/>
      </w:r>
      <w:r w:rsidRPr="00304219">
        <w:rPr>
          <w:rFonts w:ascii="Arial" w:hAnsi="Arial" w:cs="Arial"/>
          <w:b/>
          <w:sz w:val="22"/>
          <w:szCs w:val="22"/>
          <w:lang w:val="es-ES_tradnl"/>
        </w:rPr>
        <w:t xml:space="preserve">Plan de Adquisiciones (PA). </w:t>
      </w:r>
      <w:r w:rsidRPr="00304219">
        <w:rPr>
          <w:rFonts w:ascii="Arial" w:hAnsi="Arial" w:cs="Arial"/>
          <w:sz w:val="22"/>
          <w:szCs w:val="22"/>
          <w:lang w:val="es-ES_tradnl"/>
        </w:rPr>
        <w:t>Este instrumento</w:t>
      </w:r>
      <w:r w:rsidRPr="00304219">
        <w:rPr>
          <w:rFonts w:ascii="Arial" w:hAnsi="Arial" w:cs="Arial"/>
          <w:sz w:val="22"/>
          <w:szCs w:val="22"/>
        </w:rPr>
        <w:t xml:space="preserve"> tiene por finalidad presentar al Banco y hacer público el detalle de todas las adquisiciones y contrataciones que serán efectuadas en un determinado periodo de ejecución del programa. El PA informa </w:t>
      </w:r>
      <w:r w:rsidRPr="00304219">
        <w:rPr>
          <w:rFonts w:ascii="Arial" w:hAnsi="Arial" w:cs="Arial"/>
          <w:sz w:val="22"/>
          <w:szCs w:val="22"/>
        </w:rPr>
        <w:lastRenderedPageBreak/>
        <w:t>sobres las adquisiciones y contrataros que se ejecutarán de conformidad con</w:t>
      </w:r>
      <w:r w:rsidRPr="00304219">
        <w:rPr>
          <w:rFonts w:ascii="Arial" w:hAnsi="Arial" w:cs="Arial"/>
          <w:sz w:val="22"/>
          <w:szCs w:val="22"/>
          <w:lang w:val="es-ES_tradnl"/>
        </w:rPr>
        <w:t>: (i) las Políticas para la Adquisición de Obras y Bienes Financiados por el Banco (GN-2349</w:t>
      </w:r>
      <w:r w:rsidR="00724C99" w:rsidRPr="00304219">
        <w:rPr>
          <w:rFonts w:ascii="Arial" w:hAnsi="Arial" w:cs="Arial"/>
          <w:sz w:val="22"/>
          <w:szCs w:val="22"/>
          <w:lang w:val="es-ES_tradnl"/>
        </w:rPr>
        <w:noBreakHyphen/>
      </w:r>
      <w:r w:rsidRPr="00304219">
        <w:rPr>
          <w:rFonts w:ascii="Arial" w:hAnsi="Arial" w:cs="Arial"/>
          <w:sz w:val="22"/>
          <w:szCs w:val="22"/>
          <w:lang w:val="es-ES_tradnl"/>
        </w:rPr>
        <w:t xml:space="preserve">9); y (ii) las Políticas para la Selección y Contratación de Consultores Financiados por el Banco (GN-2350-9). El Banco revisará los contratos ex-ante siguiendo estas políticas (apéndice 1). Se complementarán las políticas con Disposiciones </w:t>
      </w:r>
      <w:r w:rsidR="00872EF5" w:rsidRPr="00304219">
        <w:rPr>
          <w:rFonts w:ascii="Arial" w:hAnsi="Arial" w:cs="Arial"/>
          <w:sz w:val="22"/>
          <w:szCs w:val="22"/>
          <w:lang w:val="es-ES_tradnl"/>
        </w:rPr>
        <w:t xml:space="preserve">de Adquisiciones para Haití, GN-2654 en tanto estén vigentes. </w:t>
      </w:r>
      <w:r w:rsidRPr="00304219">
        <w:rPr>
          <w:rFonts w:ascii="Arial" w:hAnsi="Arial" w:cs="Arial"/>
          <w:bCs/>
          <w:iCs/>
          <w:sz w:val="22"/>
          <w:szCs w:val="22"/>
        </w:rPr>
        <w:t xml:space="preserve">El </w:t>
      </w:r>
      <w:r w:rsidRPr="00304219">
        <w:rPr>
          <w:rFonts w:ascii="Arial" w:hAnsi="Arial" w:cs="Arial"/>
          <w:sz w:val="22"/>
          <w:szCs w:val="22"/>
        </w:rPr>
        <w:t xml:space="preserve">PA debe ser presentado junto con el POA, para consideración del Banco, y debe ser actualizado </w:t>
      </w:r>
      <w:r w:rsidR="00872EF5" w:rsidRPr="00304219">
        <w:rPr>
          <w:rFonts w:ascii="Arial" w:hAnsi="Arial" w:cs="Arial"/>
          <w:sz w:val="22"/>
          <w:szCs w:val="22"/>
        </w:rPr>
        <w:t xml:space="preserve">semestralmente, con los Reportes de Ejecución semestrales </w:t>
      </w:r>
      <w:r w:rsidRPr="00304219">
        <w:rPr>
          <w:rFonts w:ascii="Arial" w:hAnsi="Arial" w:cs="Arial"/>
          <w:sz w:val="22"/>
          <w:szCs w:val="22"/>
        </w:rPr>
        <w:t>o cuando sea necesario, durante todo el período de ejecución del programa.</w:t>
      </w:r>
    </w:p>
    <w:p w14:paraId="0FAB8A3D" w14:textId="77777777" w:rsidR="00D51EF4" w:rsidRPr="00304219" w:rsidRDefault="00D51EF4" w:rsidP="001C0D11">
      <w:pPr>
        <w:pStyle w:val="Paragraph"/>
        <w:numPr>
          <w:ilvl w:val="0"/>
          <w:numId w:val="0"/>
        </w:numPr>
        <w:ind w:left="720" w:hanging="720"/>
        <w:rPr>
          <w:rFonts w:ascii="Arial" w:hAnsi="Arial" w:cs="Arial"/>
          <w:sz w:val="22"/>
          <w:szCs w:val="22"/>
          <w:lang w:val="es-ES_tradnl"/>
        </w:rPr>
      </w:pPr>
      <w:r w:rsidRPr="00304219">
        <w:rPr>
          <w:rFonts w:ascii="Arial" w:hAnsi="Arial" w:cs="Arial"/>
          <w:sz w:val="22"/>
          <w:szCs w:val="22"/>
          <w:lang w:val="es-ES_tradnl"/>
        </w:rPr>
        <w:t>2.10</w:t>
      </w:r>
      <w:r w:rsidRPr="00304219">
        <w:rPr>
          <w:rFonts w:ascii="Arial" w:hAnsi="Arial" w:cs="Arial"/>
          <w:sz w:val="22"/>
          <w:szCs w:val="22"/>
          <w:lang w:val="es-ES_tradnl"/>
        </w:rPr>
        <w:tab/>
      </w:r>
      <w:r w:rsidRPr="00304219">
        <w:rPr>
          <w:rFonts w:ascii="Arial" w:hAnsi="Arial" w:cs="Arial"/>
          <w:b/>
          <w:sz w:val="22"/>
          <w:szCs w:val="22"/>
          <w:lang w:val="es-ES_tradnl"/>
        </w:rPr>
        <w:t>Informes semestrales.</w:t>
      </w:r>
      <w:r w:rsidRPr="00304219">
        <w:rPr>
          <w:rFonts w:ascii="Arial" w:hAnsi="Arial" w:cs="Arial"/>
          <w:sz w:val="22"/>
          <w:szCs w:val="22"/>
          <w:lang w:val="es-ES_tradnl"/>
        </w:rPr>
        <w:t xml:space="preserve"> Durante </w:t>
      </w:r>
      <w:r w:rsidR="00E17556" w:rsidRPr="00304219">
        <w:rPr>
          <w:rFonts w:ascii="Arial" w:hAnsi="Arial" w:cs="Arial"/>
          <w:sz w:val="22"/>
          <w:szCs w:val="22"/>
          <w:lang w:val="es-ES_tradnl"/>
        </w:rPr>
        <w:t xml:space="preserve">los primeros 60 días de cada semestre del año fiscal  (octubre 1 – septiembre 30), </w:t>
      </w:r>
      <w:r w:rsidR="00612186" w:rsidRPr="00304219">
        <w:rPr>
          <w:rFonts w:ascii="Arial" w:hAnsi="Arial" w:cs="Arial"/>
          <w:sz w:val="22"/>
          <w:szCs w:val="22"/>
          <w:lang w:val="es-ES_tradnl"/>
        </w:rPr>
        <w:t xml:space="preserve">el Beneficiario </w:t>
      </w:r>
      <w:r w:rsidR="00E17556" w:rsidRPr="00304219">
        <w:rPr>
          <w:rFonts w:ascii="Arial" w:hAnsi="Arial" w:cs="Arial"/>
          <w:sz w:val="22"/>
          <w:szCs w:val="22"/>
          <w:lang w:val="es-ES_tradnl"/>
        </w:rPr>
        <w:t xml:space="preserve">presentará al Banco informes de </w:t>
      </w:r>
      <w:r w:rsidR="00612186" w:rsidRPr="00304219">
        <w:rPr>
          <w:rFonts w:ascii="Arial" w:hAnsi="Arial" w:cs="Arial"/>
          <w:sz w:val="22"/>
          <w:szCs w:val="22"/>
          <w:lang w:val="es-ES_tradnl"/>
        </w:rPr>
        <w:t>Progreso</w:t>
      </w:r>
      <w:r w:rsidR="00E17556" w:rsidRPr="00304219">
        <w:rPr>
          <w:rFonts w:ascii="Arial" w:hAnsi="Arial" w:cs="Arial"/>
          <w:sz w:val="22"/>
          <w:szCs w:val="22"/>
          <w:lang w:val="es-ES_tradnl"/>
        </w:rPr>
        <w:t xml:space="preserve">. Estos informes </w:t>
      </w:r>
      <w:r w:rsidR="00F02EB7" w:rsidRPr="00304219">
        <w:rPr>
          <w:rFonts w:ascii="Arial" w:hAnsi="Arial" w:cs="Arial"/>
          <w:sz w:val="22"/>
          <w:szCs w:val="22"/>
          <w:lang w:val="es-ES_tradnl"/>
        </w:rPr>
        <w:t>cubren el semestre previo e</w:t>
      </w:r>
      <w:r w:rsidR="00612186" w:rsidRPr="00304219">
        <w:rPr>
          <w:rFonts w:ascii="Arial" w:hAnsi="Arial" w:cs="Arial"/>
          <w:sz w:val="22"/>
          <w:szCs w:val="22"/>
          <w:lang w:val="es-ES_tradnl"/>
        </w:rPr>
        <w:t xml:space="preserve"> </w:t>
      </w:r>
      <w:r w:rsidR="00E17556" w:rsidRPr="00304219">
        <w:rPr>
          <w:rFonts w:ascii="Arial" w:hAnsi="Arial" w:cs="Arial"/>
          <w:sz w:val="22"/>
          <w:szCs w:val="22"/>
          <w:lang w:val="es-ES_tradnl"/>
        </w:rPr>
        <w:t xml:space="preserve">incluirán: </w:t>
      </w:r>
      <w:r w:rsidR="00612186" w:rsidRPr="00304219">
        <w:rPr>
          <w:rFonts w:ascii="Arial" w:hAnsi="Arial" w:cs="Arial"/>
          <w:sz w:val="22"/>
          <w:szCs w:val="22"/>
          <w:lang w:val="es-ES_tradnl"/>
        </w:rPr>
        <w:t xml:space="preserve">(i) descripción </w:t>
      </w:r>
      <w:r w:rsidR="005F0E82" w:rsidRPr="00304219">
        <w:rPr>
          <w:rFonts w:ascii="Arial" w:hAnsi="Arial" w:cs="Arial"/>
          <w:sz w:val="22"/>
          <w:szCs w:val="22"/>
          <w:lang w:val="es-ES_tradnl"/>
        </w:rPr>
        <w:t xml:space="preserve">de </w:t>
      </w:r>
      <w:r w:rsidR="00612186" w:rsidRPr="00304219">
        <w:rPr>
          <w:rFonts w:ascii="Arial" w:hAnsi="Arial" w:cs="Arial"/>
          <w:sz w:val="22"/>
          <w:szCs w:val="22"/>
          <w:lang w:val="es-ES_tradnl"/>
        </w:rPr>
        <w:t xml:space="preserve">los productos y actividades planeadas y completadas; (ii) metas, restricciones and soluciones correspondientes; (iii) plan de adquisiciones actualizado y progreso físico y financiero de los contractos; (iv) flujo de caja pasado y proyectado, ejecución del presupuesto y estados contables y financieros no auditados; (v) resumen y evaluación </w:t>
      </w:r>
      <w:r w:rsidR="005F0E82" w:rsidRPr="00304219">
        <w:rPr>
          <w:rFonts w:ascii="Arial" w:hAnsi="Arial" w:cs="Arial"/>
          <w:sz w:val="22"/>
          <w:szCs w:val="22"/>
          <w:lang w:val="es-ES_tradnl"/>
        </w:rPr>
        <w:t xml:space="preserve">de </w:t>
      </w:r>
      <w:r w:rsidR="00612186" w:rsidRPr="00304219">
        <w:rPr>
          <w:rFonts w:ascii="Arial" w:hAnsi="Arial" w:cs="Arial"/>
          <w:sz w:val="22"/>
          <w:szCs w:val="22"/>
          <w:lang w:val="es-ES_tradnl"/>
        </w:rPr>
        <w:t>las principales actividades ambientales y sociales</w:t>
      </w:r>
      <w:r w:rsidR="00197907" w:rsidRPr="00304219">
        <w:rPr>
          <w:rFonts w:ascii="Arial" w:hAnsi="Arial" w:cs="Arial"/>
          <w:sz w:val="22"/>
          <w:szCs w:val="22"/>
          <w:lang w:val="es-ES_tradnl"/>
        </w:rPr>
        <w:t xml:space="preserve"> desarrolladas, nivel de cumplimiento con las salvaguardias del Banco, y medidas correspondientes para los contratistas y supervisores para el siguiente semestre; (vi) nivel de logro del programa con los indicadores de desempeño con las metas acordadas; y (vii) programa de actividades para el semestre siguiente.</w:t>
      </w:r>
    </w:p>
    <w:p w14:paraId="42E2FB5C" w14:textId="1DE377EE" w:rsidR="00E17556" w:rsidRPr="00304219" w:rsidRDefault="00E17556" w:rsidP="00C41372">
      <w:pPr>
        <w:pStyle w:val="Paragraph"/>
        <w:numPr>
          <w:ilvl w:val="0"/>
          <w:numId w:val="0"/>
        </w:numPr>
        <w:ind w:left="720" w:hanging="720"/>
        <w:rPr>
          <w:rFonts w:ascii="Arial" w:hAnsi="Arial" w:cs="Arial"/>
          <w:sz w:val="22"/>
          <w:szCs w:val="22"/>
        </w:rPr>
      </w:pPr>
      <w:r w:rsidRPr="00304219">
        <w:rPr>
          <w:rFonts w:ascii="Arial" w:hAnsi="Arial" w:cs="Arial"/>
          <w:sz w:val="22"/>
          <w:szCs w:val="22"/>
          <w:lang w:val="es-ES_tradnl"/>
        </w:rPr>
        <w:t>2.11</w:t>
      </w:r>
      <w:r w:rsidRPr="00304219">
        <w:rPr>
          <w:rFonts w:ascii="Arial" w:hAnsi="Arial" w:cs="Arial"/>
          <w:sz w:val="22"/>
          <w:szCs w:val="22"/>
          <w:lang w:val="es-ES_tradnl"/>
        </w:rPr>
        <w:tab/>
      </w:r>
      <w:r w:rsidR="007B68E3" w:rsidRPr="00304219">
        <w:rPr>
          <w:rFonts w:ascii="Arial" w:hAnsi="Arial" w:cs="Arial"/>
          <w:b/>
          <w:sz w:val="22"/>
          <w:szCs w:val="22"/>
          <w:lang w:val="es-ES_tradnl"/>
        </w:rPr>
        <w:t xml:space="preserve">Salvaguardias </w:t>
      </w:r>
      <w:r w:rsidR="00724C99" w:rsidRPr="00304219">
        <w:rPr>
          <w:rFonts w:ascii="Arial" w:hAnsi="Arial" w:cs="Arial"/>
          <w:b/>
          <w:sz w:val="22"/>
          <w:szCs w:val="22"/>
          <w:lang w:val="es-ES_tradnl"/>
        </w:rPr>
        <w:t>ambientales y sociales</w:t>
      </w:r>
      <w:r w:rsidR="00025D6C" w:rsidRPr="00304219">
        <w:rPr>
          <w:rFonts w:ascii="Arial" w:hAnsi="Arial" w:cs="Arial"/>
          <w:b/>
          <w:sz w:val="22"/>
          <w:szCs w:val="22"/>
          <w:lang w:val="es-ES_tradnl"/>
        </w:rPr>
        <w:t>.</w:t>
      </w:r>
      <w:r w:rsidR="007B68E3" w:rsidRPr="00304219">
        <w:rPr>
          <w:rFonts w:ascii="Arial" w:hAnsi="Arial" w:cs="Arial"/>
          <w:sz w:val="22"/>
          <w:szCs w:val="22"/>
          <w:lang w:val="es-ES_tradnl"/>
        </w:rPr>
        <w:t xml:space="preserve"> </w:t>
      </w:r>
      <w:r w:rsidR="00292A95" w:rsidRPr="00304219">
        <w:rPr>
          <w:rFonts w:ascii="Arial" w:hAnsi="Arial" w:cs="Arial"/>
          <w:sz w:val="22"/>
          <w:szCs w:val="22"/>
          <w:lang w:val="es-ES_tradnl"/>
        </w:rPr>
        <w:t xml:space="preserve">El Banco hará el monitoreo las salvaguardias de medio ambiente, salud y seguridad, la protección social y laboral del programa a través de la supervisión directa (por ejemplo, visitas de campo, revisión de documentación). El monitoreo </w:t>
      </w:r>
      <w:r w:rsidR="00BD01DF" w:rsidRPr="00304219">
        <w:rPr>
          <w:rFonts w:ascii="Arial" w:hAnsi="Arial" w:cs="Arial"/>
          <w:sz w:val="22"/>
          <w:szCs w:val="22"/>
          <w:lang w:val="es-ES_tradnl"/>
        </w:rPr>
        <w:t>se realizará</w:t>
      </w:r>
      <w:r w:rsidR="00292A95" w:rsidRPr="00304219">
        <w:rPr>
          <w:rFonts w:ascii="Arial" w:hAnsi="Arial" w:cs="Arial"/>
          <w:sz w:val="22"/>
          <w:szCs w:val="22"/>
          <w:lang w:val="es-ES_tradnl"/>
        </w:rPr>
        <w:t xml:space="preserve"> </w:t>
      </w:r>
      <w:r w:rsidR="00386C93" w:rsidRPr="00304219">
        <w:rPr>
          <w:rFonts w:ascii="Arial" w:hAnsi="Arial" w:cs="Arial"/>
          <w:sz w:val="22"/>
          <w:szCs w:val="22"/>
          <w:lang w:val="es-ES_tradnl"/>
        </w:rPr>
        <w:t xml:space="preserve">cuatro </w:t>
      </w:r>
      <w:r w:rsidR="00292A95" w:rsidRPr="00304219">
        <w:rPr>
          <w:rFonts w:ascii="Arial" w:hAnsi="Arial" w:cs="Arial"/>
          <w:sz w:val="22"/>
          <w:szCs w:val="22"/>
          <w:lang w:val="es-ES_tradnl"/>
        </w:rPr>
        <w:t xml:space="preserve">veces al año durante los </w:t>
      </w:r>
      <w:r w:rsidR="00BD01DF" w:rsidRPr="00304219">
        <w:rPr>
          <w:rFonts w:ascii="Arial" w:hAnsi="Arial" w:cs="Arial"/>
          <w:sz w:val="22"/>
          <w:szCs w:val="22"/>
          <w:lang w:val="es-ES_tradnl"/>
        </w:rPr>
        <w:t xml:space="preserve">dos </w:t>
      </w:r>
      <w:r w:rsidR="00292A95" w:rsidRPr="00304219">
        <w:rPr>
          <w:rFonts w:ascii="Arial" w:hAnsi="Arial" w:cs="Arial"/>
          <w:sz w:val="22"/>
          <w:szCs w:val="22"/>
          <w:lang w:val="es-ES_tradnl"/>
        </w:rPr>
        <w:t>años de ejecución del programa. Si es necesario, el Banco puede exigir a la UTE</w:t>
      </w:r>
      <w:r w:rsidR="00386C93" w:rsidRPr="00304219">
        <w:rPr>
          <w:rFonts w:ascii="Arial" w:hAnsi="Arial" w:cs="Arial"/>
          <w:sz w:val="22"/>
          <w:szCs w:val="22"/>
          <w:lang w:val="es-ES_tradnl"/>
        </w:rPr>
        <w:t>/MEF y a SONAPI</w:t>
      </w:r>
      <w:r w:rsidR="00292A95" w:rsidRPr="00304219">
        <w:rPr>
          <w:rFonts w:ascii="Arial" w:hAnsi="Arial" w:cs="Arial"/>
          <w:sz w:val="22"/>
          <w:szCs w:val="22"/>
          <w:lang w:val="es-ES_tradnl"/>
        </w:rPr>
        <w:t xml:space="preserve"> </w:t>
      </w:r>
      <w:r w:rsidR="00386C93" w:rsidRPr="00304219">
        <w:rPr>
          <w:rFonts w:ascii="Arial" w:hAnsi="Arial" w:cs="Arial"/>
          <w:sz w:val="22"/>
          <w:szCs w:val="22"/>
          <w:lang w:val="es-ES_tradnl"/>
        </w:rPr>
        <w:t xml:space="preserve">la contratación de </w:t>
      </w:r>
      <w:r w:rsidR="00292A95" w:rsidRPr="00304219">
        <w:rPr>
          <w:rFonts w:ascii="Arial" w:hAnsi="Arial" w:cs="Arial"/>
          <w:sz w:val="22"/>
          <w:szCs w:val="22"/>
          <w:lang w:val="es-ES_tradnl"/>
        </w:rPr>
        <w:t xml:space="preserve">servicios independientes de consultoría ambiental para llevar a cabo las actividades de control más detalladas durante la construcción y operación del PIC. </w:t>
      </w:r>
    </w:p>
    <w:p w14:paraId="18D1D0EA" w14:textId="6A42CF76" w:rsidR="00E17556" w:rsidRPr="00304219" w:rsidRDefault="00E17556" w:rsidP="00025D6C">
      <w:pPr>
        <w:pStyle w:val="Paragraph"/>
        <w:numPr>
          <w:ilvl w:val="0"/>
          <w:numId w:val="0"/>
        </w:numPr>
        <w:ind w:left="720" w:hanging="720"/>
        <w:rPr>
          <w:rFonts w:ascii="Arial" w:hAnsi="Arial" w:cs="Arial"/>
          <w:sz w:val="22"/>
          <w:szCs w:val="22"/>
        </w:rPr>
      </w:pPr>
      <w:r w:rsidRPr="00304219">
        <w:rPr>
          <w:rFonts w:ascii="Arial" w:hAnsi="Arial" w:cs="Arial"/>
          <w:sz w:val="22"/>
          <w:szCs w:val="22"/>
          <w:lang w:val="es-ES_tradnl"/>
        </w:rPr>
        <w:t>2.12</w:t>
      </w:r>
      <w:r w:rsidRPr="00304219">
        <w:rPr>
          <w:rFonts w:ascii="Arial" w:hAnsi="Arial" w:cs="Arial"/>
          <w:sz w:val="22"/>
          <w:szCs w:val="22"/>
          <w:lang w:val="es-ES_tradnl"/>
        </w:rPr>
        <w:tab/>
      </w:r>
      <w:r w:rsidRPr="00304219">
        <w:rPr>
          <w:rFonts w:ascii="Arial" w:hAnsi="Arial" w:cs="Arial"/>
          <w:b/>
          <w:sz w:val="22"/>
          <w:szCs w:val="22"/>
          <w:lang w:val="es-ES_tradnl"/>
        </w:rPr>
        <w:t>Auditoría</w:t>
      </w:r>
      <w:r w:rsidR="00A912AC" w:rsidRPr="00304219">
        <w:rPr>
          <w:rFonts w:ascii="Arial" w:hAnsi="Arial" w:cs="Arial"/>
          <w:b/>
          <w:sz w:val="22"/>
          <w:szCs w:val="22"/>
          <w:lang w:val="es-ES_tradnl"/>
        </w:rPr>
        <w:t>s</w:t>
      </w:r>
      <w:r w:rsidRPr="00304219">
        <w:rPr>
          <w:rFonts w:ascii="Arial" w:hAnsi="Arial" w:cs="Arial"/>
          <w:b/>
          <w:sz w:val="22"/>
          <w:szCs w:val="22"/>
          <w:lang w:val="es-ES_tradnl"/>
        </w:rPr>
        <w:t xml:space="preserve"> </w:t>
      </w:r>
      <w:r w:rsidR="00A912AC" w:rsidRPr="00304219">
        <w:rPr>
          <w:rFonts w:ascii="Arial" w:hAnsi="Arial" w:cs="Arial"/>
          <w:b/>
          <w:sz w:val="22"/>
          <w:szCs w:val="22"/>
          <w:lang w:val="es-ES_tradnl"/>
        </w:rPr>
        <w:t>externa</w:t>
      </w:r>
      <w:r w:rsidR="00F02EB7" w:rsidRPr="00304219">
        <w:rPr>
          <w:rFonts w:ascii="Arial" w:hAnsi="Arial" w:cs="Arial"/>
          <w:b/>
          <w:sz w:val="22"/>
          <w:szCs w:val="22"/>
          <w:lang w:val="es-ES_tradnl"/>
        </w:rPr>
        <w:t>s</w:t>
      </w:r>
      <w:r w:rsidRPr="00304219">
        <w:rPr>
          <w:rFonts w:ascii="Arial" w:hAnsi="Arial" w:cs="Arial"/>
          <w:b/>
          <w:sz w:val="22"/>
          <w:szCs w:val="22"/>
          <w:lang w:val="es-ES_tradnl"/>
        </w:rPr>
        <w:t>.</w:t>
      </w:r>
      <w:r w:rsidR="00A912AC" w:rsidRPr="00304219">
        <w:rPr>
          <w:rFonts w:ascii="Arial" w:hAnsi="Arial" w:cs="Arial"/>
          <w:sz w:val="22"/>
          <w:szCs w:val="22"/>
        </w:rPr>
        <w:t xml:space="preserve"> </w:t>
      </w:r>
      <w:r w:rsidR="00D56D09" w:rsidRPr="00304219">
        <w:rPr>
          <w:rFonts w:ascii="Arial" w:hAnsi="Arial" w:cs="Arial"/>
          <w:sz w:val="22"/>
          <w:szCs w:val="22"/>
        </w:rPr>
        <w:t>La a</w:t>
      </w:r>
      <w:r w:rsidR="00A912AC" w:rsidRPr="00304219">
        <w:rPr>
          <w:rFonts w:ascii="Arial" w:hAnsi="Arial" w:cs="Arial"/>
          <w:sz w:val="22"/>
          <w:szCs w:val="22"/>
        </w:rPr>
        <w:t xml:space="preserve">uditoría externa del programa será efectuada por una firma independiente sobre la base de términos de referencia aceptados por el Banco. Durante la ejecución, el beneficiario deberá entregar al Banco: (i) </w:t>
      </w:r>
      <w:r w:rsidR="00911306" w:rsidRPr="00304219">
        <w:rPr>
          <w:rFonts w:ascii="Arial" w:hAnsi="Arial" w:cs="Arial"/>
          <w:sz w:val="22"/>
          <w:szCs w:val="22"/>
        </w:rPr>
        <w:t xml:space="preserve">los estados financieros anuales del programa auditados </w:t>
      </w:r>
      <w:r w:rsidR="00A912AC" w:rsidRPr="00304219">
        <w:rPr>
          <w:rFonts w:ascii="Arial" w:hAnsi="Arial" w:cs="Arial"/>
          <w:sz w:val="22"/>
          <w:szCs w:val="22"/>
        </w:rPr>
        <w:t xml:space="preserve">dentro de los 120 días </w:t>
      </w:r>
      <w:r w:rsidR="00911306" w:rsidRPr="00304219">
        <w:rPr>
          <w:rFonts w:ascii="Arial" w:hAnsi="Arial" w:cs="Arial"/>
          <w:sz w:val="22"/>
          <w:szCs w:val="22"/>
        </w:rPr>
        <w:t>calendarios</w:t>
      </w:r>
      <w:r w:rsidR="00A912AC" w:rsidRPr="00304219">
        <w:rPr>
          <w:rFonts w:ascii="Arial" w:hAnsi="Arial" w:cs="Arial"/>
          <w:sz w:val="22"/>
          <w:szCs w:val="22"/>
        </w:rPr>
        <w:t xml:space="preserve"> después del cierre de cada año fiscal, con </w:t>
      </w:r>
      <w:r w:rsidR="00911306" w:rsidRPr="00304219">
        <w:rPr>
          <w:rFonts w:ascii="Arial" w:hAnsi="Arial" w:cs="Arial"/>
          <w:sz w:val="22"/>
          <w:szCs w:val="22"/>
        </w:rPr>
        <w:t>el estado</w:t>
      </w:r>
      <w:r w:rsidR="00A912AC" w:rsidRPr="00304219">
        <w:rPr>
          <w:rFonts w:ascii="Arial" w:hAnsi="Arial" w:cs="Arial"/>
          <w:sz w:val="22"/>
          <w:szCs w:val="22"/>
        </w:rPr>
        <w:t xml:space="preserve"> final entregado dentro de los 120 días después de la fecha estip</w:t>
      </w:r>
      <w:r w:rsidR="0092509D" w:rsidRPr="00304219">
        <w:rPr>
          <w:rFonts w:ascii="Arial" w:hAnsi="Arial" w:cs="Arial"/>
          <w:sz w:val="22"/>
          <w:szCs w:val="22"/>
        </w:rPr>
        <w:t>ulada para el último desembolso;</w:t>
      </w:r>
      <w:r w:rsidR="00A912AC" w:rsidRPr="00304219">
        <w:rPr>
          <w:rFonts w:ascii="Arial" w:hAnsi="Arial" w:cs="Arial"/>
          <w:sz w:val="22"/>
          <w:szCs w:val="22"/>
        </w:rPr>
        <w:t xml:space="preserve"> y (ii) una revisión independiente anual de las sol</w:t>
      </w:r>
      <w:r w:rsidR="00911306" w:rsidRPr="00304219">
        <w:rPr>
          <w:rFonts w:ascii="Arial" w:hAnsi="Arial" w:cs="Arial"/>
          <w:sz w:val="22"/>
          <w:szCs w:val="22"/>
        </w:rPr>
        <w:t>icitudes de desembolsos aprobada</w:t>
      </w:r>
      <w:r w:rsidR="00A912AC" w:rsidRPr="00304219">
        <w:rPr>
          <w:rFonts w:ascii="Arial" w:hAnsi="Arial" w:cs="Arial"/>
          <w:sz w:val="22"/>
          <w:szCs w:val="22"/>
        </w:rPr>
        <w:t>s durante el período de los 12 meses</w:t>
      </w:r>
      <w:r w:rsidR="00911306" w:rsidRPr="00304219">
        <w:rPr>
          <w:rFonts w:ascii="Arial" w:hAnsi="Arial" w:cs="Arial"/>
          <w:sz w:val="22"/>
          <w:szCs w:val="22"/>
        </w:rPr>
        <w:t xml:space="preserve"> precedentes</w:t>
      </w:r>
      <w:r w:rsidR="00A912AC" w:rsidRPr="00304219">
        <w:rPr>
          <w:rFonts w:ascii="Arial" w:hAnsi="Arial" w:cs="Arial"/>
          <w:sz w:val="22"/>
          <w:szCs w:val="22"/>
        </w:rPr>
        <w:t>, para ser entregado dentro de los 60 días a partir del final del prim</w:t>
      </w:r>
      <w:r w:rsidR="00911306" w:rsidRPr="00304219">
        <w:rPr>
          <w:rFonts w:ascii="Arial" w:hAnsi="Arial" w:cs="Arial"/>
          <w:sz w:val="22"/>
          <w:szCs w:val="22"/>
        </w:rPr>
        <w:t>er semestre del año fiscal del B</w:t>
      </w:r>
      <w:r w:rsidR="00A912AC" w:rsidRPr="00304219">
        <w:rPr>
          <w:rFonts w:ascii="Arial" w:hAnsi="Arial" w:cs="Arial"/>
          <w:sz w:val="22"/>
          <w:szCs w:val="22"/>
        </w:rPr>
        <w:t>eneficiario. Las auditorías serán financiadas con recursos del programa</w:t>
      </w:r>
      <w:r w:rsidR="00F02EB7" w:rsidRPr="00304219">
        <w:rPr>
          <w:rFonts w:ascii="Arial" w:hAnsi="Arial" w:cs="Arial"/>
          <w:sz w:val="22"/>
          <w:szCs w:val="22"/>
        </w:rPr>
        <w:t xml:space="preserve">, </w:t>
      </w:r>
      <w:r w:rsidR="00395EAD" w:rsidRPr="00304219">
        <w:rPr>
          <w:rFonts w:ascii="Arial" w:hAnsi="Arial" w:cs="Arial"/>
          <w:sz w:val="22"/>
          <w:szCs w:val="22"/>
        </w:rPr>
        <w:t>Administración, hito – firmas de consultoría, por un valor de US$80</w:t>
      </w:r>
      <w:r w:rsidR="00196B8C" w:rsidRPr="00304219">
        <w:rPr>
          <w:rFonts w:ascii="Arial" w:hAnsi="Arial" w:cs="Arial"/>
          <w:sz w:val="22"/>
          <w:szCs w:val="22"/>
        </w:rPr>
        <w:t>.</w:t>
      </w:r>
      <w:r w:rsidR="00395EAD" w:rsidRPr="00304219">
        <w:rPr>
          <w:rFonts w:ascii="Arial" w:hAnsi="Arial" w:cs="Arial"/>
          <w:sz w:val="22"/>
          <w:szCs w:val="22"/>
        </w:rPr>
        <w:t>000</w:t>
      </w:r>
      <w:r w:rsidR="00F02EB7" w:rsidRPr="00304219">
        <w:rPr>
          <w:rFonts w:ascii="Arial" w:hAnsi="Arial" w:cs="Arial"/>
          <w:sz w:val="22"/>
          <w:szCs w:val="22"/>
        </w:rPr>
        <w:t>.</w:t>
      </w:r>
    </w:p>
    <w:p w14:paraId="44486857" w14:textId="072300F7" w:rsidR="00E17556" w:rsidRPr="00304219" w:rsidRDefault="00724C99" w:rsidP="00304219">
      <w:pPr>
        <w:pStyle w:val="FirstHeading"/>
        <w:rPr>
          <w:rFonts w:ascii="Arial" w:hAnsi="Arial" w:cs="Arial"/>
          <w:sz w:val="22"/>
          <w:szCs w:val="22"/>
        </w:rPr>
      </w:pPr>
      <w:r w:rsidRPr="00304219">
        <w:rPr>
          <w:rFonts w:ascii="Arial" w:hAnsi="Arial" w:cs="Arial"/>
          <w:sz w:val="22"/>
          <w:szCs w:val="22"/>
        </w:rPr>
        <w:fldChar w:fldCharType="begin"/>
      </w:r>
      <w:r w:rsidRPr="00304219">
        <w:rPr>
          <w:rFonts w:ascii="Arial" w:hAnsi="Arial" w:cs="Arial"/>
          <w:sz w:val="22"/>
          <w:szCs w:val="22"/>
        </w:rPr>
        <w:instrText xml:space="preserve"> SEQ "</w:instrText>
      </w:r>
      <w:r w:rsidRPr="00304219">
        <w:rPr>
          <w:rFonts w:ascii="Arial" w:hAnsi="Arial" w:cs="Arial"/>
          <w:sz w:val="22"/>
          <w:szCs w:val="22"/>
        </w:rPr>
        <w:fldChar w:fldCharType="begin"/>
      </w:r>
      <w:r w:rsidRPr="00304219">
        <w:rPr>
          <w:rFonts w:ascii="Arial" w:hAnsi="Arial" w:cs="Arial"/>
          <w:sz w:val="22"/>
          <w:szCs w:val="22"/>
        </w:rPr>
        <w:instrText xml:space="preserve"> SECTION  \* MERGEFORMAT </w:instrText>
      </w:r>
      <w:r w:rsidRPr="00304219">
        <w:rPr>
          <w:rFonts w:ascii="Arial" w:hAnsi="Arial" w:cs="Arial"/>
          <w:sz w:val="22"/>
          <w:szCs w:val="22"/>
        </w:rPr>
        <w:fldChar w:fldCharType="separate"/>
      </w:r>
      <w:r w:rsidRPr="00304219">
        <w:rPr>
          <w:rFonts w:ascii="Arial" w:hAnsi="Arial" w:cs="Arial"/>
          <w:sz w:val="22"/>
          <w:szCs w:val="22"/>
        </w:rPr>
        <w:instrText>4</w:instrText>
      </w:r>
      <w:r w:rsidRPr="00304219">
        <w:rPr>
          <w:rFonts w:ascii="Arial" w:hAnsi="Arial" w:cs="Arial"/>
          <w:sz w:val="22"/>
          <w:szCs w:val="22"/>
        </w:rPr>
        <w:fldChar w:fldCharType="end"/>
      </w:r>
      <w:r w:rsidRPr="00304219">
        <w:rPr>
          <w:rFonts w:ascii="Arial" w:hAnsi="Arial" w:cs="Arial"/>
          <w:sz w:val="22"/>
          <w:szCs w:val="22"/>
        </w:rPr>
        <w:instrText xml:space="preserve">#"\* ALPHABETIC \* MERGEFORMAT </w:instrText>
      </w:r>
      <w:r w:rsidRPr="00304219">
        <w:rPr>
          <w:rFonts w:ascii="Arial" w:hAnsi="Arial" w:cs="Arial"/>
          <w:sz w:val="22"/>
          <w:szCs w:val="22"/>
        </w:rPr>
        <w:fldChar w:fldCharType="separate"/>
      </w:r>
      <w:bookmarkStart w:id="23" w:name="_Toc433354361"/>
      <w:r w:rsidRPr="00304219">
        <w:rPr>
          <w:rFonts w:ascii="Arial" w:hAnsi="Arial" w:cs="Arial"/>
          <w:noProof/>
          <w:sz w:val="22"/>
          <w:szCs w:val="22"/>
        </w:rPr>
        <w:t>C</w:t>
      </w:r>
      <w:r w:rsidRPr="00304219">
        <w:rPr>
          <w:rFonts w:ascii="Arial" w:hAnsi="Arial" w:cs="Arial"/>
          <w:sz w:val="22"/>
          <w:szCs w:val="22"/>
        </w:rPr>
        <w:fldChar w:fldCharType="end"/>
      </w:r>
      <w:r w:rsidRPr="00304219">
        <w:rPr>
          <w:rFonts w:ascii="Arial" w:hAnsi="Arial" w:cs="Arial"/>
          <w:sz w:val="22"/>
          <w:szCs w:val="22"/>
        </w:rPr>
        <w:t>.</w:t>
      </w:r>
      <w:r w:rsidRPr="00304219">
        <w:rPr>
          <w:rFonts w:ascii="Arial" w:hAnsi="Arial" w:cs="Arial"/>
          <w:sz w:val="22"/>
          <w:szCs w:val="22"/>
        </w:rPr>
        <w:tab/>
      </w:r>
      <w:r w:rsidR="00E17556" w:rsidRPr="00304219">
        <w:rPr>
          <w:rFonts w:ascii="Arial" w:hAnsi="Arial" w:cs="Arial"/>
          <w:sz w:val="22"/>
          <w:szCs w:val="22"/>
        </w:rPr>
        <w:t xml:space="preserve">Coordinación de </w:t>
      </w:r>
      <w:r w:rsidR="00025D6C" w:rsidRPr="00304219">
        <w:rPr>
          <w:rFonts w:ascii="Arial" w:hAnsi="Arial" w:cs="Arial"/>
          <w:sz w:val="22"/>
          <w:szCs w:val="22"/>
        </w:rPr>
        <w:t>Monitoreo</w:t>
      </w:r>
      <w:r w:rsidR="00E17556" w:rsidRPr="00304219">
        <w:rPr>
          <w:rFonts w:ascii="Arial" w:hAnsi="Arial" w:cs="Arial"/>
          <w:sz w:val="22"/>
          <w:szCs w:val="22"/>
        </w:rPr>
        <w:t xml:space="preserve">, </w:t>
      </w:r>
      <w:r w:rsidR="00025D6C" w:rsidRPr="00304219">
        <w:rPr>
          <w:rFonts w:ascii="Arial" w:hAnsi="Arial" w:cs="Arial"/>
          <w:sz w:val="22"/>
          <w:szCs w:val="22"/>
        </w:rPr>
        <w:t>Plan</w:t>
      </w:r>
      <w:r w:rsidR="00E17556" w:rsidRPr="00304219">
        <w:rPr>
          <w:rFonts w:ascii="Arial" w:hAnsi="Arial" w:cs="Arial"/>
          <w:sz w:val="22"/>
          <w:szCs w:val="22"/>
        </w:rPr>
        <w:t xml:space="preserve"> de </w:t>
      </w:r>
      <w:r w:rsidR="00025D6C" w:rsidRPr="00304219">
        <w:rPr>
          <w:rFonts w:ascii="Arial" w:hAnsi="Arial" w:cs="Arial"/>
          <w:sz w:val="22"/>
          <w:szCs w:val="22"/>
        </w:rPr>
        <w:t>Trabajo</w:t>
      </w:r>
      <w:r w:rsidR="00E17556" w:rsidRPr="00304219">
        <w:rPr>
          <w:rFonts w:ascii="Arial" w:hAnsi="Arial" w:cs="Arial"/>
          <w:sz w:val="22"/>
          <w:szCs w:val="22"/>
        </w:rPr>
        <w:t xml:space="preserve"> y </w:t>
      </w:r>
      <w:r w:rsidR="00025D6C" w:rsidRPr="00304219">
        <w:rPr>
          <w:rFonts w:ascii="Arial" w:hAnsi="Arial" w:cs="Arial"/>
          <w:sz w:val="22"/>
          <w:szCs w:val="22"/>
        </w:rPr>
        <w:t>Presupuesto</w:t>
      </w:r>
      <w:bookmarkEnd w:id="23"/>
    </w:p>
    <w:p w14:paraId="28D7A873" w14:textId="64E8C49E" w:rsidR="000F73BA" w:rsidRPr="00304219" w:rsidRDefault="000F73BA" w:rsidP="00025D6C">
      <w:pPr>
        <w:pStyle w:val="Paragraph"/>
        <w:numPr>
          <w:ilvl w:val="0"/>
          <w:numId w:val="0"/>
        </w:numPr>
        <w:ind w:left="720" w:hanging="720"/>
        <w:rPr>
          <w:rFonts w:ascii="Arial" w:hAnsi="Arial" w:cs="Arial"/>
          <w:bCs/>
          <w:sz w:val="22"/>
          <w:szCs w:val="22"/>
        </w:rPr>
      </w:pPr>
      <w:r w:rsidRPr="00304219">
        <w:rPr>
          <w:rFonts w:ascii="Arial" w:hAnsi="Arial" w:cs="Arial"/>
          <w:sz w:val="22"/>
          <w:szCs w:val="22"/>
        </w:rPr>
        <w:t>2.13</w:t>
      </w:r>
      <w:r w:rsidRPr="00304219">
        <w:rPr>
          <w:rFonts w:ascii="Arial" w:hAnsi="Arial" w:cs="Arial"/>
          <w:sz w:val="22"/>
          <w:szCs w:val="22"/>
        </w:rPr>
        <w:tab/>
      </w:r>
      <w:r w:rsidR="00EB3489" w:rsidRPr="00304219">
        <w:rPr>
          <w:rFonts w:ascii="Arial" w:hAnsi="Arial" w:cs="Arial"/>
          <w:bCs/>
          <w:sz w:val="22"/>
          <w:szCs w:val="22"/>
        </w:rPr>
        <w:t>Los recursos para el monitoreo y la evaluación fueron asignados a través de la ope</w:t>
      </w:r>
      <w:r w:rsidR="00196B8C" w:rsidRPr="00304219">
        <w:rPr>
          <w:rFonts w:ascii="Arial" w:hAnsi="Arial" w:cs="Arial"/>
          <w:bCs/>
          <w:sz w:val="22"/>
          <w:szCs w:val="22"/>
        </w:rPr>
        <w:t>ración, más específicamente la</w:t>
      </w:r>
      <w:r w:rsidR="00EB3489" w:rsidRPr="00304219">
        <w:rPr>
          <w:rFonts w:ascii="Arial" w:hAnsi="Arial" w:cs="Arial"/>
          <w:bCs/>
          <w:sz w:val="22"/>
          <w:szCs w:val="22"/>
        </w:rPr>
        <w:t xml:space="preserve"> </w:t>
      </w:r>
      <w:r w:rsidR="00D25570" w:rsidRPr="00304219">
        <w:rPr>
          <w:rFonts w:ascii="Arial" w:hAnsi="Arial" w:cs="Arial"/>
          <w:bCs/>
          <w:sz w:val="22"/>
          <w:szCs w:val="22"/>
        </w:rPr>
        <w:t>operación del</w:t>
      </w:r>
      <w:r w:rsidR="00395EAD" w:rsidRPr="00304219">
        <w:rPr>
          <w:rFonts w:ascii="Arial" w:hAnsi="Arial" w:cs="Arial"/>
          <w:bCs/>
          <w:sz w:val="22"/>
          <w:szCs w:val="22"/>
        </w:rPr>
        <w:t xml:space="preserve"> sistema de </w:t>
      </w:r>
      <w:r w:rsidR="00196B8C" w:rsidRPr="00304219">
        <w:rPr>
          <w:rFonts w:ascii="Arial" w:hAnsi="Arial" w:cs="Arial"/>
          <w:bCs/>
          <w:sz w:val="22"/>
          <w:szCs w:val="22"/>
        </w:rPr>
        <w:t xml:space="preserve">administración, </w:t>
      </w:r>
      <w:r w:rsidR="00395EAD" w:rsidRPr="00304219">
        <w:rPr>
          <w:rFonts w:ascii="Arial" w:hAnsi="Arial" w:cs="Arial"/>
          <w:bCs/>
          <w:sz w:val="22"/>
          <w:szCs w:val="22"/>
        </w:rPr>
        <w:t>monitoreo</w:t>
      </w:r>
      <w:r w:rsidR="00196B8C" w:rsidRPr="00304219">
        <w:rPr>
          <w:rFonts w:ascii="Arial" w:hAnsi="Arial" w:cs="Arial"/>
          <w:bCs/>
          <w:sz w:val="22"/>
          <w:szCs w:val="22"/>
        </w:rPr>
        <w:t xml:space="preserve"> y auditoría</w:t>
      </w:r>
      <w:r w:rsidR="00EB3489" w:rsidRPr="00304219">
        <w:rPr>
          <w:rFonts w:ascii="Arial" w:hAnsi="Arial" w:cs="Arial"/>
          <w:bCs/>
          <w:sz w:val="22"/>
          <w:szCs w:val="22"/>
        </w:rPr>
        <w:t>; y (</w:t>
      </w:r>
      <w:r w:rsidR="00D25570" w:rsidRPr="00304219">
        <w:rPr>
          <w:rFonts w:ascii="Arial" w:hAnsi="Arial" w:cs="Arial"/>
          <w:bCs/>
          <w:sz w:val="22"/>
          <w:szCs w:val="22"/>
        </w:rPr>
        <w:t xml:space="preserve">ii) </w:t>
      </w:r>
      <w:r w:rsidR="003620DD" w:rsidRPr="00304219">
        <w:rPr>
          <w:rFonts w:ascii="Arial" w:hAnsi="Arial" w:cs="Arial"/>
          <w:bCs/>
          <w:sz w:val="22"/>
          <w:szCs w:val="22"/>
        </w:rPr>
        <w:t>costos</w:t>
      </w:r>
      <w:r w:rsidR="00D25570" w:rsidRPr="00304219">
        <w:rPr>
          <w:rFonts w:ascii="Arial" w:hAnsi="Arial" w:cs="Arial"/>
          <w:bCs/>
          <w:sz w:val="22"/>
          <w:szCs w:val="22"/>
        </w:rPr>
        <w:t xml:space="preserve"> operativos de la UTE</w:t>
      </w:r>
      <w:r w:rsidR="00D81EE3" w:rsidRPr="00304219">
        <w:rPr>
          <w:rFonts w:ascii="Arial" w:hAnsi="Arial" w:cs="Arial"/>
          <w:bCs/>
          <w:sz w:val="22"/>
          <w:szCs w:val="22"/>
        </w:rPr>
        <w:t xml:space="preserve">, incluyendo </w:t>
      </w:r>
      <w:r w:rsidR="00D25570" w:rsidRPr="00304219">
        <w:rPr>
          <w:rFonts w:ascii="Arial" w:hAnsi="Arial" w:cs="Arial"/>
          <w:bCs/>
          <w:sz w:val="22"/>
          <w:szCs w:val="22"/>
        </w:rPr>
        <w:t xml:space="preserve">la supervisión de todo el programa y </w:t>
      </w:r>
      <w:r w:rsidR="00D81EE3" w:rsidRPr="00304219">
        <w:rPr>
          <w:rFonts w:ascii="Arial" w:hAnsi="Arial" w:cs="Arial"/>
          <w:bCs/>
          <w:sz w:val="22"/>
          <w:szCs w:val="22"/>
        </w:rPr>
        <w:t>el seguimiento social y ambiental (dado que la UTE incluye un equipo completo social y ambiental)</w:t>
      </w:r>
      <w:r w:rsidR="00F4015E" w:rsidRPr="00304219">
        <w:rPr>
          <w:rFonts w:ascii="Arial" w:hAnsi="Arial" w:cs="Arial"/>
          <w:bCs/>
          <w:sz w:val="22"/>
          <w:szCs w:val="22"/>
        </w:rPr>
        <w:t xml:space="preserve">. </w:t>
      </w:r>
      <w:r w:rsidR="00D25570" w:rsidRPr="00304219">
        <w:rPr>
          <w:rFonts w:ascii="Arial" w:hAnsi="Arial" w:cs="Arial"/>
          <w:bCs/>
          <w:sz w:val="22"/>
          <w:szCs w:val="22"/>
        </w:rPr>
        <w:t xml:space="preserve">Estos costos están </w:t>
      </w:r>
      <w:r w:rsidR="00BD01DF" w:rsidRPr="00304219">
        <w:rPr>
          <w:rFonts w:ascii="Arial" w:hAnsi="Arial" w:cs="Arial"/>
          <w:bCs/>
          <w:sz w:val="22"/>
          <w:szCs w:val="22"/>
        </w:rPr>
        <w:t xml:space="preserve">incluidos </w:t>
      </w:r>
      <w:r w:rsidR="003620DD" w:rsidRPr="00304219">
        <w:rPr>
          <w:rFonts w:ascii="Arial" w:hAnsi="Arial" w:cs="Arial"/>
          <w:bCs/>
          <w:sz w:val="22"/>
          <w:szCs w:val="22"/>
        </w:rPr>
        <w:t xml:space="preserve">en el presupuesto </w:t>
      </w:r>
      <w:r w:rsidR="00395EAD" w:rsidRPr="00304219">
        <w:rPr>
          <w:rFonts w:ascii="Arial" w:hAnsi="Arial" w:cs="Arial"/>
          <w:bCs/>
          <w:sz w:val="22"/>
          <w:szCs w:val="22"/>
        </w:rPr>
        <w:lastRenderedPageBreak/>
        <w:t xml:space="preserve">administrativo de </w:t>
      </w:r>
      <w:r w:rsidR="003620DD" w:rsidRPr="00304219">
        <w:rPr>
          <w:rFonts w:ascii="Arial" w:hAnsi="Arial" w:cs="Arial"/>
          <w:bCs/>
          <w:sz w:val="22"/>
          <w:szCs w:val="22"/>
        </w:rPr>
        <w:t>la UTE</w:t>
      </w:r>
      <w:r w:rsidR="00025D6C" w:rsidRPr="00304219">
        <w:rPr>
          <w:rFonts w:ascii="Arial" w:hAnsi="Arial" w:cs="Arial"/>
          <w:bCs/>
          <w:sz w:val="22"/>
          <w:szCs w:val="22"/>
        </w:rPr>
        <w:t xml:space="preserve"> (US$</w:t>
      </w:r>
      <w:r w:rsidR="00196B8C" w:rsidRPr="00304219">
        <w:rPr>
          <w:rFonts w:ascii="Arial" w:hAnsi="Arial" w:cs="Arial"/>
          <w:bCs/>
          <w:sz w:val="22"/>
          <w:szCs w:val="22"/>
        </w:rPr>
        <w:t>1,3</w:t>
      </w:r>
      <w:r w:rsidR="00025D6C" w:rsidRPr="00304219">
        <w:rPr>
          <w:rFonts w:ascii="Arial" w:hAnsi="Arial" w:cs="Arial"/>
          <w:bCs/>
          <w:sz w:val="22"/>
          <w:szCs w:val="22"/>
        </w:rPr>
        <w:t> </w:t>
      </w:r>
      <w:r w:rsidR="00D25570" w:rsidRPr="00304219">
        <w:rPr>
          <w:rFonts w:ascii="Arial" w:hAnsi="Arial" w:cs="Arial"/>
          <w:bCs/>
          <w:sz w:val="22"/>
          <w:szCs w:val="22"/>
        </w:rPr>
        <w:t>millon</w:t>
      </w:r>
      <w:r w:rsidR="00B3403E" w:rsidRPr="00304219">
        <w:rPr>
          <w:rFonts w:ascii="Arial" w:hAnsi="Arial" w:cs="Arial"/>
          <w:bCs/>
          <w:sz w:val="22"/>
          <w:szCs w:val="22"/>
        </w:rPr>
        <w:t>e</w:t>
      </w:r>
      <w:r w:rsidR="00D25570" w:rsidRPr="00304219">
        <w:rPr>
          <w:rFonts w:ascii="Arial" w:hAnsi="Arial" w:cs="Arial"/>
          <w:bCs/>
          <w:sz w:val="22"/>
          <w:szCs w:val="22"/>
        </w:rPr>
        <w:t xml:space="preserve">s en total) </w:t>
      </w:r>
      <w:r w:rsidR="003620DD" w:rsidRPr="00304219">
        <w:rPr>
          <w:rFonts w:ascii="Arial" w:hAnsi="Arial" w:cs="Arial"/>
          <w:bCs/>
          <w:sz w:val="22"/>
          <w:szCs w:val="22"/>
        </w:rPr>
        <w:t>como consta en el POA</w:t>
      </w:r>
      <w:r w:rsidR="00724C99" w:rsidRPr="00304219">
        <w:rPr>
          <w:rFonts w:ascii="Arial" w:hAnsi="Arial" w:cs="Arial"/>
          <w:bCs/>
          <w:sz w:val="22"/>
          <w:szCs w:val="22"/>
        </w:rPr>
        <w:t xml:space="preserve"> </w:t>
      </w:r>
      <w:r w:rsidR="003620DD" w:rsidRPr="00304219">
        <w:rPr>
          <w:rFonts w:ascii="Arial" w:hAnsi="Arial" w:cs="Arial"/>
          <w:bCs/>
          <w:sz w:val="22"/>
          <w:szCs w:val="22"/>
        </w:rPr>
        <w:t>planilla de Administración</w:t>
      </w:r>
      <w:r w:rsidR="00B90923" w:rsidRPr="00304219">
        <w:rPr>
          <w:rFonts w:ascii="Arial" w:hAnsi="Arial" w:cs="Arial"/>
          <w:bCs/>
          <w:sz w:val="22"/>
          <w:szCs w:val="22"/>
        </w:rPr>
        <w:t>, y como parte de los fondos de apoyo operacional para la SONAPI (US$1,3 millones)</w:t>
      </w:r>
      <w:r w:rsidR="00EB3489" w:rsidRPr="00304219">
        <w:rPr>
          <w:rFonts w:ascii="Arial" w:hAnsi="Arial" w:cs="Arial"/>
          <w:bCs/>
          <w:sz w:val="22"/>
          <w:szCs w:val="22"/>
        </w:rPr>
        <w:t>.</w:t>
      </w:r>
    </w:p>
    <w:p w14:paraId="74660B42" w14:textId="50CBC6C7" w:rsidR="00EB3489" w:rsidRPr="00304219" w:rsidRDefault="00EB3489" w:rsidP="00025D6C">
      <w:pPr>
        <w:pStyle w:val="Paragraph"/>
        <w:numPr>
          <w:ilvl w:val="0"/>
          <w:numId w:val="0"/>
        </w:numPr>
        <w:ind w:left="720" w:hanging="720"/>
        <w:rPr>
          <w:rFonts w:ascii="Arial" w:hAnsi="Arial" w:cs="Arial"/>
          <w:sz w:val="22"/>
          <w:szCs w:val="22"/>
        </w:rPr>
      </w:pPr>
      <w:r w:rsidRPr="00304219">
        <w:rPr>
          <w:rFonts w:ascii="Arial" w:hAnsi="Arial" w:cs="Arial"/>
          <w:sz w:val="22"/>
          <w:szCs w:val="22"/>
        </w:rPr>
        <w:t>2.14</w:t>
      </w:r>
      <w:r w:rsidRPr="00304219">
        <w:rPr>
          <w:rFonts w:ascii="Arial" w:hAnsi="Arial" w:cs="Arial"/>
          <w:sz w:val="22"/>
          <w:szCs w:val="22"/>
        </w:rPr>
        <w:tab/>
      </w:r>
      <w:r w:rsidR="00A20E22" w:rsidRPr="00304219">
        <w:rPr>
          <w:rFonts w:ascii="Arial" w:hAnsi="Arial" w:cs="Arial"/>
          <w:sz w:val="22"/>
          <w:szCs w:val="22"/>
        </w:rPr>
        <w:t xml:space="preserve">Las actividades que forman el </w:t>
      </w:r>
      <w:r w:rsidR="00D81EE3" w:rsidRPr="00304219">
        <w:rPr>
          <w:rFonts w:ascii="Arial" w:hAnsi="Arial" w:cs="Arial"/>
          <w:sz w:val="22"/>
          <w:szCs w:val="22"/>
        </w:rPr>
        <w:t xml:space="preserve">sistema </w:t>
      </w:r>
      <w:r w:rsidR="00A20E22" w:rsidRPr="00304219">
        <w:rPr>
          <w:rFonts w:ascii="Arial" w:hAnsi="Arial" w:cs="Arial"/>
          <w:sz w:val="22"/>
          <w:szCs w:val="22"/>
        </w:rPr>
        <w:t xml:space="preserve">de monitoreo, se presentan en la </w:t>
      </w:r>
      <w:r w:rsidR="00001BCA" w:rsidRPr="00304219">
        <w:rPr>
          <w:rFonts w:ascii="Arial" w:hAnsi="Arial" w:cs="Arial"/>
          <w:sz w:val="22"/>
          <w:szCs w:val="22"/>
        </w:rPr>
        <w:t xml:space="preserve">Cuadro </w:t>
      </w:r>
      <w:r w:rsidR="00A20E22" w:rsidRPr="00304219">
        <w:rPr>
          <w:rFonts w:ascii="Arial" w:hAnsi="Arial" w:cs="Arial"/>
          <w:sz w:val="22"/>
          <w:szCs w:val="22"/>
        </w:rPr>
        <w:t>2:</w:t>
      </w:r>
    </w:p>
    <w:p w14:paraId="09CAC7C2" w14:textId="349590EB" w:rsidR="002F68EA" w:rsidRPr="00304219" w:rsidRDefault="00001BCA" w:rsidP="00EB3489">
      <w:pPr>
        <w:spacing w:before="120" w:after="20"/>
        <w:jc w:val="center"/>
        <w:rPr>
          <w:rFonts w:ascii="Arial" w:hAnsi="Arial" w:cs="Arial"/>
          <w:b/>
          <w:sz w:val="22"/>
          <w:szCs w:val="22"/>
        </w:rPr>
      </w:pPr>
      <w:r w:rsidRPr="00304219">
        <w:rPr>
          <w:rFonts w:ascii="Arial" w:hAnsi="Arial" w:cs="Arial"/>
          <w:b/>
          <w:sz w:val="22"/>
          <w:szCs w:val="22"/>
        </w:rPr>
        <w:t xml:space="preserve">Cuadro </w:t>
      </w:r>
      <w:r w:rsidR="00A20E22" w:rsidRPr="00304219">
        <w:rPr>
          <w:rFonts w:ascii="Arial" w:hAnsi="Arial" w:cs="Arial"/>
          <w:b/>
          <w:sz w:val="22"/>
          <w:szCs w:val="22"/>
        </w:rPr>
        <w:t>2</w:t>
      </w:r>
      <w:r w:rsidR="00221B5D" w:rsidRPr="00304219">
        <w:rPr>
          <w:rFonts w:ascii="Arial" w:hAnsi="Arial" w:cs="Arial"/>
          <w:b/>
          <w:sz w:val="22"/>
          <w:szCs w:val="22"/>
        </w:rPr>
        <w:t xml:space="preserve">. </w:t>
      </w:r>
      <w:r w:rsidR="00A20E22" w:rsidRPr="00304219">
        <w:rPr>
          <w:rFonts w:ascii="Arial" w:hAnsi="Arial" w:cs="Arial"/>
          <w:b/>
          <w:sz w:val="22"/>
          <w:szCs w:val="22"/>
        </w:rPr>
        <w:t xml:space="preserve">Seguimiento del </w:t>
      </w:r>
      <w:r w:rsidR="00D81EE3" w:rsidRPr="00304219">
        <w:rPr>
          <w:rFonts w:ascii="Arial" w:hAnsi="Arial" w:cs="Arial"/>
          <w:b/>
          <w:sz w:val="22"/>
          <w:szCs w:val="22"/>
        </w:rPr>
        <w:t>sistema</w:t>
      </w:r>
    </w:p>
    <w:tbl>
      <w:tblPr>
        <w:tblW w:w="4925" w:type="pct"/>
        <w:tblInd w:w="16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1440"/>
        <w:gridCol w:w="3431"/>
        <w:gridCol w:w="2246"/>
        <w:gridCol w:w="2071"/>
      </w:tblGrid>
      <w:tr w:rsidR="00025D6C" w:rsidRPr="00304219" w14:paraId="78DA221C" w14:textId="77777777" w:rsidTr="00304219">
        <w:trPr>
          <w:tblHeader/>
        </w:trPr>
        <w:tc>
          <w:tcPr>
            <w:tcW w:w="784" w:type="pct"/>
            <w:tcBorders>
              <w:top w:val="single" w:sz="4" w:space="0" w:color="auto"/>
              <w:left w:val="single" w:sz="6" w:space="0" w:color="000000"/>
              <w:bottom w:val="single" w:sz="6" w:space="0" w:color="000000"/>
            </w:tcBorders>
            <w:shd w:val="clear" w:color="auto" w:fill="C6D9F1"/>
          </w:tcPr>
          <w:p w14:paraId="435E1CCB" w14:textId="77777777" w:rsidR="002F68EA" w:rsidRPr="00304219" w:rsidRDefault="00A20E22" w:rsidP="00EB3489">
            <w:pPr>
              <w:spacing w:before="20" w:after="20"/>
              <w:jc w:val="center"/>
              <w:rPr>
                <w:rFonts w:ascii="Arial" w:hAnsi="Arial" w:cs="Arial"/>
                <w:b/>
                <w:bCs/>
                <w:sz w:val="20"/>
                <w:lang w:val="es-ES"/>
              </w:rPr>
            </w:pPr>
            <w:r w:rsidRPr="00304219">
              <w:rPr>
                <w:rFonts w:ascii="Arial" w:hAnsi="Arial" w:cs="Arial"/>
                <w:b/>
                <w:bCs/>
                <w:sz w:val="20"/>
                <w:lang w:val="es-ES"/>
              </w:rPr>
              <w:t>Responsable</w:t>
            </w:r>
          </w:p>
        </w:tc>
        <w:tc>
          <w:tcPr>
            <w:tcW w:w="1867" w:type="pct"/>
            <w:tcBorders>
              <w:top w:val="single" w:sz="4" w:space="0" w:color="auto"/>
              <w:bottom w:val="single" w:sz="6" w:space="0" w:color="000000"/>
            </w:tcBorders>
            <w:shd w:val="clear" w:color="auto" w:fill="C6D9F1"/>
          </w:tcPr>
          <w:p w14:paraId="0C835DE2" w14:textId="77777777" w:rsidR="002F68EA" w:rsidRPr="00304219" w:rsidRDefault="00A20E22" w:rsidP="00EB3489">
            <w:pPr>
              <w:spacing w:before="20" w:after="20"/>
              <w:jc w:val="center"/>
              <w:rPr>
                <w:rFonts w:ascii="Arial" w:hAnsi="Arial" w:cs="Arial"/>
                <w:b/>
                <w:bCs/>
                <w:sz w:val="20"/>
                <w:lang w:val="es-ES"/>
              </w:rPr>
            </w:pPr>
            <w:r w:rsidRPr="00304219">
              <w:rPr>
                <w:rFonts w:ascii="Arial" w:hAnsi="Arial" w:cs="Arial"/>
                <w:b/>
                <w:bCs/>
                <w:sz w:val="20"/>
                <w:lang w:val="es-ES"/>
              </w:rPr>
              <w:t>Atribuciones</w:t>
            </w:r>
          </w:p>
        </w:tc>
        <w:tc>
          <w:tcPr>
            <w:tcW w:w="1222" w:type="pct"/>
            <w:tcBorders>
              <w:top w:val="single" w:sz="4" w:space="0" w:color="auto"/>
              <w:bottom w:val="single" w:sz="6" w:space="0" w:color="000000"/>
              <w:right w:val="single" w:sz="6" w:space="0" w:color="000000"/>
            </w:tcBorders>
            <w:shd w:val="clear" w:color="auto" w:fill="C6D9F1"/>
          </w:tcPr>
          <w:p w14:paraId="26B55B2E" w14:textId="77777777" w:rsidR="002F68EA" w:rsidRPr="00304219" w:rsidRDefault="00A20E22" w:rsidP="00EB3489">
            <w:pPr>
              <w:spacing w:before="20" w:after="20"/>
              <w:jc w:val="center"/>
              <w:rPr>
                <w:rFonts w:ascii="Arial" w:hAnsi="Arial" w:cs="Arial"/>
                <w:b/>
                <w:bCs/>
                <w:sz w:val="20"/>
                <w:lang w:val="es-ES"/>
              </w:rPr>
            </w:pPr>
            <w:r w:rsidRPr="00304219">
              <w:rPr>
                <w:rFonts w:ascii="Arial" w:hAnsi="Arial" w:cs="Arial"/>
                <w:b/>
                <w:bCs/>
                <w:sz w:val="20"/>
                <w:lang w:val="es-ES"/>
              </w:rPr>
              <w:t>Frecuencia</w:t>
            </w:r>
          </w:p>
          <w:p w14:paraId="1677B068" w14:textId="77777777" w:rsidR="00730383" w:rsidRPr="00304219" w:rsidRDefault="00730383" w:rsidP="00EB3489">
            <w:pPr>
              <w:spacing w:before="20" w:after="20"/>
              <w:jc w:val="center"/>
              <w:rPr>
                <w:rFonts w:ascii="Arial" w:hAnsi="Arial" w:cs="Arial"/>
                <w:b/>
                <w:bCs/>
                <w:sz w:val="20"/>
                <w:lang w:val="es-ES"/>
              </w:rPr>
            </w:pPr>
            <w:r w:rsidRPr="00304219">
              <w:rPr>
                <w:rFonts w:ascii="Arial" w:hAnsi="Arial" w:cs="Arial"/>
                <w:b/>
                <w:bCs/>
                <w:sz w:val="20"/>
                <w:lang w:val="es-ES"/>
              </w:rPr>
              <w:t>(fechas)</w:t>
            </w:r>
          </w:p>
        </w:tc>
        <w:tc>
          <w:tcPr>
            <w:tcW w:w="1127" w:type="pct"/>
            <w:tcBorders>
              <w:top w:val="single" w:sz="4" w:space="0" w:color="auto"/>
              <w:bottom w:val="single" w:sz="6" w:space="0" w:color="000000"/>
              <w:right w:val="single" w:sz="6" w:space="0" w:color="000000"/>
            </w:tcBorders>
            <w:shd w:val="clear" w:color="auto" w:fill="C6D9F1"/>
          </w:tcPr>
          <w:p w14:paraId="08B73E35" w14:textId="77777777" w:rsidR="002F68EA" w:rsidRPr="00304219" w:rsidRDefault="00A20E22" w:rsidP="00EB3489">
            <w:pPr>
              <w:spacing w:before="20" w:after="20"/>
              <w:jc w:val="center"/>
              <w:rPr>
                <w:rFonts w:ascii="Arial" w:hAnsi="Arial" w:cs="Arial"/>
                <w:b/>
                <w:bCs/>
                <w:sz w:val="20"/>
                <w:lang w:val="es-ES"/>
              </w:rPr>
            </w:pPr>
            <w:r w:rsidRPr="00304219">
              <w:rPr>
                <w:rFonts w:ascii="Arial" w:hAnsi="Arial" w:cs="Arial"/>
                <w:b/>
                <w:bCs/>
                <w:sz w:val="20"/>
                <w:lang w:val="es-ES"/>
              </w:rPr>
              <w:t>Costo</w:t>
            </w:r>
          </w:p>
        </w:tc>
      </w:tr>
      <w:tr w:rsidR="00025D6C" w:rsidRPr="00304219" w14:paraId="7A2D1A16" w14:textId="77777777" w:rsidTr="00304219">
        <w:trPr>
          <w:cantSplit/>
          <w:trHeight w:hRule="exact" w:val="1200"/>
        </w:trPr>
        <w:tc>
          <w:tcPr>
            <w:tcW w:w="784" w:type="pct"/>
            <w:vMerge w:val="restart"/>
          </w:tcPr>
          <w:p w14:paraId="635B887A" w14:textId="77777777" w:rsidR="00AA4DC7" w:rsidRPr="00304219" w:rsidRDefault="00A20E22" w:rsidP="00EB3489">
            <w:pPr>
              <w:spacing w:before="20" w:after="20"/>
              <w:rPr>
                <w:rFonts w:ascii="Arial" w:hAnsi="Arial" w:cs="Arial"/>
                <w:b/>
                <w:sz w:val="20"/>
                <w:lang w:val="es-ES"/>
              </w:rPr>
            </w:pPr>
            <w:r w:rsidRPr="00304219">
              <w:rPr>
                <w:rFonts w:ascii="Arial" w:hAnsi="Arial" w:cs="Arial"/>
                <w:b/>
                <w:sz w:val="20"/>
                <w:lang w:val="es-ES"/>
              </w:rPr>
              <w:t>UTE</w:t>
            </w:r>
          </w:p>
        </w:tc>
        <w:tc>
          <w:tcPr>
            <w:tcW w:w="1867" w:type="pct"/>
            <w:tcBorders>
              <w:top w:val="single" w:sz="12" w:space="0" w:color="000000"/>
            </w:tcBorders>
            <w:tcMar>
              <w:left w:w="43" w:type="dxa"/>
              <w:right w:w="43" w:type="dxa"/>
            </w:tcMar>
          </w:tcPr>
          <w:p w14:paraId="498F9759" w14:textId="77777777" w:rsidR="00AA4DC7" w:rsidRPr="00304219" w:rsidRDefault="00A20E22" w:rsidP="00EB3489">
            <w:pPr>
              <w:spacing w:before="20" w:after="20"/>
              <w:rPr>
                <w:rFonts w:ascii="Arial" w:hAnsi="Arial" w:cs="Arial"/>
                <w:sz w:val="20"/>
                <w:lang w:val="es-ES"/>
              </w:rPr>
            </w:pPr>
            <w:r w:rsidRPr="00304219">
              <w:rPr>
                <w:rFonts w:ascii="Arial" w:hAnsi="Arial" w:cs="Arial"/>
                <w:sz w:val="20"/>
                <w:lang w:val="es-ES"/>
              </w:rPr>
              <w:t>Discutir y validar el informe de progreso y cuando sea el caso, proponer acciones correctivas para consideración del Banco. Efectuar visitas de inspección a las obras</w:t>
            </w:r>
            <w:r w:rsidR="00AA4DC7" w:rsidRPr="00304219">
              <w:rPr>
                <w:rFonts w:ascii="Arial" w:hAnsi="Arial" w:cs="Arial"/>
                <w:sz w:val="20"/>
                <w:lang w:val="es-ES"/>
              </w:rPr>
              <w:t>.</w:t>
            </w:r>
          </w:p>
        </w:tc>
        <w:tc>
          <w:tcPr>
            <w:tcW w:w="1222" w:type="pct"/>
            <w:tcBorders>
              <w:top w:val="single" w:sz="12" w:space="0" w:color="000000"/>
            </w:tcBorders>
            <w:tcMar>
              <w:left w:w="43" w:type="dxa"/>
              <w:right w:w="43" w:type="dxa"/>
            </w:tcMar>
          </w:tcPr>
          <w:p w14:paraId="24AE01CF" w14:textId="77777777" w:rsidR="00AA4DC7" w:rsidRPr="00304219" w:rsidRDefault="00CD32FA" w:rsidP="00EB3489">
            <w:pPr>
              <w:spacing w:before="20" w:after="20"/>
              <w:rPr>
                <w:rFonts w:ascii="Arial" w:hAnsi="Arial" w:cs="Arial"/>
                <w:sz w:val="20"/>
                <w:lang w:val="es-ES"/>
              </w:rPr>
            </w:pPr>
            <w:r w:rsidRPr="00304219">
              <w:rPr>
                <w:rFonts w:ascii="Arial" w:hAnsi="Arial" w:cs="Arial"/>
                <w:sz w:val="20"/>
                <w:lang w:val="es-ES"/>
              </w:rPr>
              <w:t xml:space="preserve">Semestral </w:t>
            </w:r>
            <w:r w:rsidR="00AA4DC7" w:rsidRPr="00304219">
              <w:rPr>
                <w:rFonts w:ascii="Arial" w:hAnsi="Arial" w:cs="Arial"/>
                <w:sz w:val="20"/>
                <w:lang w:val="es-ES"/>
              </w:rPr>
              <w:t>y cuando sea necesario (semanal)</w:t>
            </w:r>
          </w:p>
        </w:tc>
        <w:tc>
          <w:tcPr>
            <w:tcW w:w="1127" w:type="pct"/>
            <w:tcBorders>
              <w:top w:val="single" w:sz="12" w:space="0" w:color="000000"/>
            </w:tcBorders>
            <w:tcMar>
              <w:left w:w="43" w:type="dxa"/>
              <w:right w:w="43" w:type="dxa"/>
            </w:tcMar>
          </w:tcPr>
          <w:p w14:paraId="428818D2" w14:textId="77777777" w:rsidR="00DC39CF" w:rsidRPr="00304219" w:rsidRDefault="00AA4DC7">
            <w:pPr>
              <w:spacing w:before="20" w:after="20"/>
              <w:rPr>
                <w:rFonts w:ascii="Arial" w:hAnsi="Arial" w:cs="Arial"/>
                <w:sz w:val="20"/>
                <w:lang w:val="es-ES"/>
              </w:rPr>
            </w:pPr>
            <w:r w:rsidRPr="00304219">
              <w:rPr>
                <w:rFonts w:ascii="Arial" w:hAnsi="Arial" w:cs="Arial"/>
                <w:sz w:val="20"/>
                <w:lang w:val="es-ES"/>
              </w:rPr>
              <w:t xml:space="preserve">Parte del costo de </w:t>
            </w:r>
            <w:r w:rsidR="00522C8A" w:rsidRPr="00304219">
              <w:rPr>
                <w:rFonts w:ascii="Arial" w:hAnsi="Arial" w:cs="Arial"/>
                <w:sz w:val="20"/>
                <w:lang w:val="es-ES"/>
              </w:rPr>
              <w:t>a</w:t>
            </w:r>
            <w:r w:rsidRPr="00304219">
              <w:rPr>
                <w:rFonts w:ascii="Arial" w:hAnsi="Arial" w:cs="Arial"/>
                <w:sz w:val="20"/>
                <w:lang w:val="es-ES"/>
              </w:rPr>
              <w:t>dministración del proyecto por la UTE</w:t>
            </w:r>
          </w:p>
        </w:tc>
      </w:tr>
      <w:tr w:rsidR="00025D6C" w:rsidRPr="00304219" w14:paraId="10544C93" w14:textId="77777777" w:rsidTr="00304219">
        <w:trPr>
          <w:cantSplit/>
          <w:trHeight w:hRule="exact" w:val="1059"/>
        </w:trPr>
        <w:tc>
          <w:tcPr>
            <w:tcW w:w="784" w:type="pct"/>
            <w:vMerge/>
          </w:tcPr>
          <w:p w14:paraId="2F4EAA1D" w14:textId="77777777" w:rsidR="00AA4DC7" w:rsidRPr="00304219" w:rsidRDefault="00AA4DC7" w:rsidP="00EB3489">
            <w:pPr>
              <w:spacing w:before="20" w:after="20"/>
              <w:rPr>
                <w:rFonts w:ascii="Arial" w:hAnsi="Arial" w:cs="Arial"/>
                <w:b/>
                <w:sz w:val="20"/>
                <w:lang w:val="es-ES"/>
              </w:rPr>
            </w:pPr>
          </w:p>
        </w:tc>
        <w:tc>
          <w:tcPr>
            <w:tcW w:w="1867" w:type="pct"/>
            <w:tcMar>
              <w:left w:w="43" w:type="dxa"/>
              <w:right w:w="43" w:type="dxa"/>
            </w:tcMar>
          </w:tcPr>
          <w:p w14:paraId="77E0F891" w14:textId="77777777" w:rsidR="00AA4DC7" w:rsidRPr="00304219" w:rsidRDefault="00A20E22" w:rsidP="00EB3489">
            <w:pPr>
              <w:spacing w:before="20" w:after="20"/>
              <w:rPr>
                <w:rFonts w:ascii="Arial" w:hAnsi="Arial" w:cs="Arial"/>
                <w:sz w:val="20"/>
                <w:lang w:val="es-ES"/>
              </w:rPr>
            </w:pPr>
            <w:r w:rsidRPr="00304219">
              <w:rPr>
                <w:rFonts w:ascii="Arial" w:hAnsi="Arial" w:cs="Arial"/>
                <w:sz w:val="20"/>
                <w:lang w:val="es-ES"/>
              </w:rPr>
              <w:t>Elaborar los Planes Operativos Anuales (POA) y Planes de Adquisiciones (PA).</w:t>
            </w:r>
          </w:p>
        </w:tc>
        <w:tc>
          <w:tcPr>
            <w:tcW w:w="1222" w:type="pct"/>
            <w:tcMar>
              <w:left w:w="43" w:type="dxa"/>
              <w:right w:w="43" w:type="dxa"/>
            </w:tcMar>
          </w:tcPr>
          <w:p w14:paraId="0CACD14F" w14:textId="77777777" w:rsidR="00AA4DC7" w:rsidRPr="00304219" w:rsidRDefault="00AA4DC7" w:rsidP="00C46854">
            <w:pPr>
              <w:spacing w:before="20" w:after="20"/>
              <w:rPr>
                <w:rFonts w:ascii="Arial" w:hAnsi="Arial" w:cs="Arial"/>
                <w:sz w:val="20"/>
                <w:lang w:val="es-ES"/>
              </w:rPr>
            </w:pPr>
            <w:r w:rsidRPr="00304219">
              <w:rPr>
                <w:rFonts w:ascii="Arial" w:hAnsi="Arial" w:cs="Arial"/>
                <w:sz w:val="20"/>
                <w:lang w:val="es-ES"/>
              </w:rPr>
              <w:t>A</w:t>
            </w:r>
            <w:r w:rsidR="00A20E22" w:rsidRPr="00304219">
              <w:rPr>
                <w:rFonts w:ascii="Arial" w:hAnsi="Arial" w:cs="Arial"/>
                <w:sz w:val="20"/>
                <w:lang w:val="es-ES"/>
              </w:rPr>
              <w:t>nual o cuando sea necesario</w:t>
            </w:r>
            <w:r w:rsidR="00AB4DDC" w:rsidRPr="00304219">
              <w:rPr>
                <w:rFonts w:ascii="Arial" w:hAnsi="Arial" w:cs="Arial"/>
                <w:sz w:val="20"/>
                <w:lang w:val="es-ES"/>
              </w:rPr>
              <w:t xml:space="preserve"> (normalmente, al 3</w:t>
            </w:r>
            <w:r w:rsidR="00FB3265" w:rsidRPr="00304219">
              <w:rPr>
                <w:rFonts w:ascii="Arial" w:hAnsi="Arial" w:cs="Arial"/>
                <w:sz w:val="20"/>
                <w:lang w:val="es-ES"/>
              </w:rPr>
              <w:t>1</w:t>
            </w:r>
            <w:r w:rsidR="00AB4DDC" w:rsidRPr="00304219">
              <w:rPr>
                <w:rFonts w:ascii="Arial" w:hAnsi="Arial" w:cs="Arial"/>
                <w:sz w:val="20"/>
                <w:lang w:val="es-ES"/>
              </w:rPr>
              <w:t xml:space="preserve"> de </w:t>
            </w:r>
            <w:r w:rsidR="00FB3265" w:rsidRPr="00304219">
              <w:rPr>
                <w:rFonts w:ascii="Arial" w:hAnsi="Arial" w:cs="Arial"/>
                <w:sz w:val="20"/>
                <w:lang w:val="es-ES"/>
              </w:rPr>
              <w:t>agosto</w:t>
            </w:r>
            <w:r w:rsidR="00506CB4" w:rsidRPr="00304219">
              <w:rPr>
                <w:rFonts w:ascii="Arial" w:hAnsi="Arial" w:cs="Arial"/>
                <w:sz w:val="20"/>
                <w:lang w:val="es-ES"/>
              </w:rPr>
              <w:t>)</w:t>
            </w:r>
          </w:p>
        </w:tc>
        <w:tc>
          <w:tcPr>
            <w:tcW w:w="1127" w:type="pct"/>
            <w:tcMar>
              <w:left w:w="43" w:type="dxa"/>
              <w:right w:w="43" w:type="dxa"/>
            </w:tcMar>
          </w:tcPr>
          <w:p w14:paraId="5CE67646" w14:textId="77777777" w:rsidR="00AA4DC7" w:rsidRPr="00304219" w:rsidRDefault="00AA4DC7" w:rsidP="00EB3489">
            <w:pPr>
              <w:spacing w:before="20" w:after="20"/>
              <w:rPr>
                <w:rFonts w:ascii="Arial" w:hAnsi="Arial" w:cs="Arial"/>
                <w:sz w:val="20"/>
                <w:lang w:val="es-ES"/>
              </w:rPr>
            </w:pPr>
            <w:r w:rsidRPr="00304219">
              <w:rPr>
                <w:rFonts w:ascii="Arial" w:hAnsi="Arial" w:cs="Arial"/>
                <w:sz w:val="20"/>
                <w:lang w:val="es-ES"/>
              </w:rPr>
              <w:t xml:space="preserve">Parte del costo de </w:t>
            </w:r>
            <w:r w:rsidR="00522C8A" w:rsidRPr="00304219">
              <w:rPr>
                <w:rFonts w:ascii="Arial" w:hAnsi="Arial" w:cs="Arial"/>
                <w:sz w:val="20"/>
                <w:lang w:val="es-ES"/>
              </w:rPr>
              <w:t>a</w:t>
            </w:r>
            <w:r w:rsidRPr="00304219">
              <w:rPr>
                <w:rFonts w:ascii="Arial" w:hAnsi="Arial" w:cs="Arial"/>
                <w:sz w:val="20"/>
                <w:lang w:val="es-ES"/>
              </w:rPr>
              <w:t>dministración del proyecto por la UTE</w:t>
            </w:r>
          </w:p>
        </w:tc>
      </w:tr>
      <w:tr w:rsidR="00025D6C" w:rsidRPr="00304219" w14:paraId="5E62BC05" w14:textId="77777777" w:rsidTr="00304219">
        <w:trPr>
          <w:cantSplit/>
          <w:trHeight w:hRule="exact" w:val="2391"/>
        </w:trPr>
        <w:tc>
          <w:tcPr>
            <w:tcW w:w="784" w:type="pct"/>
            <w:vMerge/>
          </w:tcPr>
          <w:p w14:paraId="0D0A6185" w14:textId="77777777" w:rsidR="00AA4DC7" w:rsidRPr="00304219" w:rsidRDefault="00AA4DC7" w:rsidP="00EB3489">
            <w:pPr>
              <w:spacing w:before="20" w:after="20"/>
              <w:rPr>
                <w:rFonts w:ascii="Arial" w:hAnsi="Arial" w:cs="Arial"/>
                <w:b/>
                <w:sz w:val="20"/>
                <w:lang w:val="es-ES"/>
              </w:rPr>
            </w:pPr>
          </w:p>
        </w:tc>
        <w:tc>
          <w:tcPr>
            <w:tcW w:w="1867" w:type="pct"/>
            <w:tcMar>
              <w:left w:w="43" w:type="dxa"/>
              <w:right w:w="43" w:type="dxa"/>
            </w:tcMar>
          </w:tcPr>
          <w:p w14:paraId="624BF50B" w14:textId="77777777" w:rsidR="00AA4DC7" w:rsidRPr="00304219" w:rsidRDefault="00A20E22" w:rsidP="00025D6C">
            <w:pPr>
              <w:spacing w:before="20" w:after="20"/>
              <w:rPr>
                <w:rFonts w:ascii="Arial" w:hAnsi="Arial" w:cs="Arial"/>
                <w:sz w:val="20"/>
                <w:lang w:val="es-ES"/>
              </w:rPr>
            </w:pPr>
            <w:r w:rsidRPr="00304219">
              <w:rPr>
                <w:rFonts w:ascii="Arial" w:hAnsi="Arial" w:cs="Arial"/>
                <w:sz w:val="20"/>
                <w:lang w:val="es-ES"/>
              </w:rPr>
              <w:t xml:space="preserve">Seguimiento Marco de Resultados de Programa. </w:t>
            </w:r>
          </w:p>
          <w:p w14:paraId="17049D03" w14:textId="77777777" w:rsidR="00AA4DC7" w:rsidRPr="00304219" w:rsidRDefault="00A20E22" w:rsidP="00025D6C">
            <w:pPr>
              <w:spacing w:before="20" w:after="20"/>
              <w:rPr>
                <w:rFonts w:ascii="Arial" w:hAnsi="Arial" w:cs="Arial"/>
                <w:sz w:val="20"/>
                <w:lang w:val="es-ES"/>
              </w:rPr>
            </w:pPr>
            <w:r w:rsidRPr="00304219">
              <w:rPr>
                <w:rFonts w:ascii="Arial" w:hAnsi="Arial" w:cs="Arial"/>
                <w:sz w:val="20"/>
                <w:lang w:val="es-ES"/>
              </w:rPr>
              <w:t>Implantar, mantener y actualizar la base de datos del programa, especialmente la que no se refiere a los indicadores. Dar adecuado seguimiento al proyecto y en caso de que se presenten demoras debido a factores externos, proponer medidas correctivas.</w:t>
            </w:r>
          </w:p>
        </w:tc>
        <w:tc>
          <w:tcPr>
            <w:tcW w:w="1222" w:type="pct"/>
            <w:tcMar>
              <w:left w:w="43" w:type="dxa"/>
              <w:right w:w="43" w:type="dxa"/>
            </w:tcMar>
          </w:tcPr>
          <w:p w14:paraId="270832CA" w14:textId="77777777" w:rsidR="00AA4DC7" w:rsidRPr="00304219" w:rsidRDefault="00AB4DDC" w:rsidP="00506CB4">
            <w:pPr>
              <w:spacing w:before="20" w:after="20"/>
              <w:rPr>
                <w:rFonts w:ascii="Arial" w:hAnsi="Arial" w:cs="Arial"/>
                <w:sz w:val="20"/>
                <w:lang w:val="es-ES"/>
              </w:rPr>
            </w:pPr>
            <w:r w:rsidRPr="00304219">
              <w:rPr>
                <w:rFonts w:ascii="Arial" w:hAnsi="Arial" w:cs="Arial"/>
                <w:sz w:val="20"/>
                <w:lang w:val="es-ES"/>
              </w:rPr>
              <w:t>S</w:t>
            </w:r>
            <w:r w:rsidR="00A20E22" w:rsidRPr="00304219">
              <w:rPr>
                <w:rFonts w:ascii="Arial" w:hAnsi="Arial" w:cs="Arial"/>
                <w:sz w:val="20"/>
                <w:lang w:val="es-ES"/>
              </w:rPr>
              <w:t>emestral</w:t>
            </w:r>
            <w:r w:rsidR="002B3508" w:rsidRPr="00304219">
              <w:rPr>
                <w:rFonts w:ascii="Arial" w:hAnsi="Arial" w:cs="Arial"/>
                <w:sz w:val="20"/>
                <w:lang w:val="es-ES"/>
              </w:rPr>
              <w:t xml:space="preserve"> </w:t>
            </w:r>
            <w:r w:rsidR="00506CB4" w:rsidRPr="00304219">
              <w:rPr>
                <w:rFonts w:ascii="Arial" w:hAnsi="Arial" w:cs="Arial"/>
                <w:sz w:val="20"/>
                <w:lang w:val="es-ES"/>
              </w:rPr>
              <w:t>(se buscará coincidir con la actualización de los PMR)</w:t>
            </w:r>
          </w:p>
        </w:tc>
        <w:tc>
          <w:tcPr>
            <w:tcW w:w="1127" w:type="pct"/>
            <w:tcMar>
              <w:left w:w="43" w:type="dxa"/>
              <w:right w:w="43" w:type="dxa"/>
            </w:tcMar>
          </w:tcPr>
          <w:p w14:paraId="009139CA" w14:textId="0FC68958" w:rsidR="00AA4DC7" w:rsidRPr="00304219" w:rsidRDefault="00AA4DC7">
            <w:pPr>
              <w:spacing w:before="20" w:after="20"/>
              <w:rPr>
                <w:rFonts w:ascii="Arial" w:hAnsi="Arial" w:cs="Arial"/>
                <w:sz w:val="20"/>
                <w:lang w:val="es-ES"/>
              </w:rPr>
            </w:pPr>
            <w:r w:rsidRPr="00304219">
              <w:rPr>
                <w:rFonts w:ascii="Arial" w:hAnsi="Arial" w:cs="Arial"/>
                <w:sz w:val="20"/>
                <w:lang w:val="es-ES"/>
              </w:rPr>
              <w:t xml:space="preserve">Parte del costo de </w:t>
            </w:r>
            <w:r w:rsidR="00522C8A" w:rsidRPr="00304219">
              <w:rPr>
                <w:rFonts w:ascii="Arial" w:hAnsi="Arial" w:cs="Arial"/>
                <w:sz w:val="20"/>
                <w:lang w:val="es-ES"/>
              </w:rPr>
              <w:t>a</w:t>
            </w:r>
            <w:r w:rsidRPr="00304219">
              <w:rPr>
                <w:rFonts w:ascii="Arial" w:hAnsi="Arial" w:cs="Arial"/>
                <w:sz w:val="20"/>
                <w:lang w:val="es-ES"/>
              </w:rPr>
              <w:t>dministración del proyecto por la UTE</w:t>
            </w:r>
          </w:p>
        </w:tc>
      </w:tr>
      <w:tr w:rsidR="00025D6C" w:rsidRPr="00304219" w14:paraId="2A07CE05" w14:textId="77777777" w:rsidTr="00304219">
        <w:trPr>
          <w:cantSplit/>
          <w:trHeight w:hRule="exact" w:val="978"/>
        </w:trPr>
        <w:tc>
          <w:tcPr>
            <w:tcW w:w="784" w:type="pct"/>
            <w:vMerge/>
          </w:tcPr>
          <w:p w14:paraId="0CD3EA28" w14:textId="77777777" w:rsidR="00AA4DC7" w:rsidRPr="00304219" w:rsidRDefault="00AA4DC7" w:rsidP="00EB3489">
            <w:pPr>
              <w:spacing w:before="20" w:after="20"/>
              <w:rPr>
                <w:rFonts w:ascii="Arial" w:hAnsi="Arial" w:cs="Arial"/>
                <w:b/>
                <w:sz w:val="20"/>
                <w:lang w:val="es-ES"/>
              </w:rPr>
            </w:pPr>
          </w:p>
        </w:tc>
        <w:tc>
          <w:tcPr>
            <w:tcW w:w="1867" w:type="pct"/>
            <w:tcMar>
              <w:left w:w="43" w:type="dxa"/>
              <w:right w:w="43" w:type="dxa"/>
            </w:tcMar>
          </w:tcPr>
          <w:p w14:paraId="38CAB369" w14:textId="77777777" w:rsidR="00DC39CF" w:rsidRPr="00304219" w:rsidRDefault="00AA4DC7" w:rsidP="00413433">
            <w:pPr>
              <w:spacing w:before="20" w:after="20"/>
              <w:rPr>
                <w:rFonts w:ascii="Arial" w:hAnsi="Arial" w:cs="Arial"/>
                <w:sz w:val="20"/>
                <w:lang w:val="es-ES"/>
              </w:rPr>
            </w:pPr>
            <w:r w:rsidRPr="00304219">
              <w:rPr>
                <w:rFonts w:ascii="Arial" w:hAnsi="Arial" w:cs="Arial"/>
                <w:sz w:val="20"/>
                <w:lang w:val="es-ES"/>
              </w:rPr>
              <w:t>Preparar información financiera y legal para el proyecto o cualquier otro tipo de información requerida por el Banco.</w:t>
            </w:r>
          </w:p>
        </w:tc>
        <w:tc>
          <w:tcPr>
            <w:tcW w:w="1222" w:type="pct"/>
            <w:tcMar>
              <w:left w:w="43" w:type="dxa"/>
              <w:right w:w="43" w:type="dxa"/>
            </w:tcMar>
          </w:tcPr>
          <w:p w14:paraId="5351836F" w14:textId="77777777" w:rsidR="00AA4DC7" w:rsidRPr="00304219" w:rsidRDefault="00AA4DC7" w:rsidP="00EB3489">
            <w:pPr>
              <w:spacing w:before="20" w:after="20"/>
              <w:rPr>
                <w:rFonts w:ascii="Arial" w:hAnsi="Arial" w:cs="Arial"/>
                <w:sz w:val="20"/>
                <w:lang w:val="es-ES"/>
              </w:rPr>
            </w:pPr>
            <w:r w:rsidRPr="00304219">
              <w:rPr>
                <w:rFonts w:ascii="Arial" w:hAnsi="Arial" w:cs="Arial"/>
                <w:sz w:val="20"/>
                <w:lang w:val="es-ES"/>
              </w:rPr>
              <w:t>Semestral o cuando necesario</w:t>
            </w:r>
          </w:p>
        </w:tc>
        <w:tc>
          <w:tcPr>
            <w:tcW w:w="1127" w:type="pct"/>
            <w:tcMar>
              <w:left w:w="43" w:type="dxa"/>
              <w:right w:w="43" w:type="dxa"/>
            </w:tcMar>
          </w:tcPr>
          <w:p w14:paraId="792C0D51" w14:textId="77777777" w:rsidR="00AA4DC7" w:rsidRPr="00304219" w:rsidRDefault="00AA4DC7" w:rsidP="00BB2761">
            <w:pPr>
              <w:spacing w:before="20" w:after="20"/>
              <w:rPr>
                <w:rFonts w:ascii="Arial" w:hAnsi="Arial" w:cs="Arial"/>
                <w:sz w:val="20"/>
                <w:lang w:val="es-ES"/>
              </w:rPr>
            </w:pPr>
            <w:r w:rsidRPr="00304219">
              <w:rPr>
                <w:rFonts w:ascii="Arial" w:hAnsi="Arial" w:cs="Arial"/>
                <w:sz w:val="20"/>
                <w:lang w:val="es-ES"/>
              </w:rPr>
              <w:t xml:space="preserve">Parte del costo de </w:t>
            </w:r>
            <w:r w:rsidR="00522C8A" w:rsidRPr="00304219">
              <w:rPr>
                <w:rFonts w:ascii="Arial" w:hAnsi="Arial" w:cs="Arial"/>
                <w:sz w:val="20"/>
                <w:lang w:val="es-ES"/>
              </w:rPr>
              <w:t>a</w:t>
            </w:r>
            <w:r w:rsidRPr="00304219">
              <w:rPr>
                <w:rFonts w:ascii="Arial" w:hAnsi="Arial" w:cs="Arial"/>
                <w:sz w:val="20"/>
                <w:lang w:val="es-ES"/>
              </w:rPr>
              <w:t>dministración del proyecto por la UTE</w:t>
            </w:r>
          </w:p>
        </w:tc>
      </w:tr>
      <w:tr w:rsidR="00025D6C" w:rsidRPr="00304219" w14:paraId="3D327B4D" w14:textId="77777777" w:rsidTr="00304219">
        <w:trPr>
          <w:cantSplit/>
          <w:trHeight w:hRule="exact" w:val="1698"/>
        </w:trPr>
        <w:tc>
          <w:tcPr>
            <w:tcW w:w="784" w:type="pct"/>
            <w:vMerge/>
          </w:tcPr>
          <w:p w14:paraId="08775762" w14:textId="77777777" w:rsidR="00AA4DC7" w:rsidRPr="00304219" w:rsidRDefault="00AA4DC7" w:rsidP="00EB3489">
            <w:pPr>
              <w:spacing w:before="20" w:after="20"/>
              <w:rPr>
                <w:rFonts w:ascii="Arial" w:hAnsi="Arial" w:cs="Arial"/>
                <w:b/>
                <w:sz w:val="20"/>
                <w:lang w:val="es-ES"/>
              </w:rPr>
            </w:pPr>
          </w:p>
        </w:tc>
        <w:tc>
          <w:tcPr>
            <w:tcW w:w="1867" w:type="pct"/>
            <w:tcMar>
              <w:left w:w="43" w:type="dxa"/>
              <w:right w:w="43" w:type="dxa"/>
            </w:tcMar>
          </w:tcPr>
          <w:p w14:paraId="655FFB9A" w14:textId="77777777" w:rsidR="00DC39CF" w:rsidRPr="00304219" w:rsidRDefault="00AA4DC7">
            <w:pPr>
              <w:spacing w:before="20" w:after="20"/>
              <w:rPr>
                <w:rFonts w:ascii="Arial" w:hAnsi="Arial" w:cs="Arial"/>
                <w:sz w:val="20"/>
                <w:lang w:val="es-ES"/>
              </w:rPr>
            </w:pPr>
            <w:r w:rsidRPr="00304219">
              <w:rPr>
                <w:rFonts w:ascii="Arial" w:hAnsi="Arial" w:cs="Arial"/>
                <w:sz w:val="20"/>
                <w:lang w:val="es-ES"/>
              </w:rPr>
              <w:t>Preparación informes semestrales.</w:t>
            </w:r>
          </w:p>
        </w:tc>
        <w:tc>
          <w:tcPr>
            <w:tcW w:w="1222" w:type="pct"/>
            <w:tcMar>
              <w:left w:w="43" w:type="dxa"/>
              <w:right w:w="43" w:type="dxa"/>
            </w:tcMar>
          </w:tcPr>
          <w:p w14:paraId="2E443B35" w14:textId="4A91983B" w:rsidR="00AA4DC7" w:rsidRPr="00304219" w:rsidRDefault="00AA4DC7" w:rsidP="00EB3489">
            <w:pPr>
              <w:spacing w:before="20" w:after="20"/>
              <w:rPr>
                <w:rFonts w:ascii="Arial" w:hAnsi="Arial" w:cs="Arial"/>
                <w:sz w:val="20"/>
                <w:lang w:val="es-ES"/>
              </w:rPr>
            </w:pPr>
            <w:r w:rsidRPr="00304219">
              <w:rPr>
                <w:rFonts w:ascii="Arial" w:hAnsi="Arial" w:cs="Arial"/>
                <w:sz w:val="20"/>
                <w:lang w:val="es-ES"/>
              </w:rPr>
              <w:t>Semestral</w:t>
            </w:r>
            <w:r w:rsidR="00506CB4" w:rsidRPr="00304219">
              <w:rPr>
                <w:rFonts w:ascii="Arial" w:hAnsi="Arial" w:cs="Arial"/>
                <w:sz w:val="20"/>
                <w:lang w:val="es-ES"/>
              </w:rPr>
              <w:t xml:space="preserve"> (los primeros 60 días del año f</w:t>
            </w:r>
            <w:r w:rsidR="00550C97" w:rsidRPr="00304219">
              <w:rPr>
                <w:rFonts w:ascii="Arial" w:hAnsi="Arial" w:cs="Arial"/>
                <w:sz w:val="20"/>
                <w:lang w:val="es-ES"/>
              </w:rPr>
              <w:t>iscal, que es del 1 de octubre</w:t>
            </w:r>
            <w:r w:rsidR="00506CB4" w:rsidRPr="00304219">
              <w:rPr>
                <w:rFonts w:ascii="Arial" w:hAnsi="Arial" w:cs="Arial"/>
                <w:sz w:val="20"/>
                <w:lang w:val="es-ES"/>
              </w:rPr>
              <w:t xml:space="preserve"> al 30 de septiembre; se buscará coincidirlos con la actualización de los PMR.)</w:t>
            </w:r>
          </w:p>
        </w:tc>
        <w:tc>
          <w:tcPr>
            <w:tcW w:w="1127" w:type="pct"/>
            <w:tcMar>
              <w:left w:w="43" w:type="dxa"/>
              <w:right w:w="43" w:type="dxa"/>
            </w:tcMar>
          </w:tcPr>
          <w:p w14:paraId="0AA02830" w14:textId="77777777" w:rsidR="00AA4DC7" w:rsidRPr="00304219" w:rsidRDefault="00AA4DC7" w:rsidP="00BB2761">
            <w:pPr>
              <w:spacing w:before="20" w:after="20"/>
              <w:rPr>
                <w:rFonts w:ascii="Arial" w:hAnsi="Arial" w:cs="Arial"/>
                <w:sz w:val="20"/>
                <w:lang w:val="es-ES"/>
              </w:rPr>
            </w:pPr>
            <w:r w:rsidRPr="00304219">
              <w:rPr>
                <w:rFonts w:ascii="Arial" w:hAnsi="Arial" w:cs="Arial"/>
                <w:sz w:val="20"/>
                <w:lang w:val="es-ES"/>
              </w:rPr>
              <w:t>Parte del costo de Administración del proyecto por la UTE</w:t>
            </w:r>
          </w:p>
        </w:tc>
      </w:tr>
      <w:tr w:rsidR="00025D6C" w:rsidRPr="00304219" w14:paraId="4AC4CFAC" w14:textId="77777777" w:rsidTr="00304219">
        <w:trPr>
          <w:cantSplit/>
          <w:trHeight w:hRule="exact" w:val="843"/>
        </w:trPr>
        <w:tc>
          <w:tcPr>
            <w:tcW w:w="784" w:type="pct"/>
            <w:vMerge/>
          </w:tcPr>
          <w:p w14:paraId="54B105D9" w14:textId="77777777" w:rsidR="00AA4DC7" w:rsidRPr="00304219" w:rsidRDefault="00AA4DC7" w:rsidP="00EB3489">
            <w:pPr>
              <w:spacing w:before="20" w:after="20"/>
              <w:rPr>
                <w:rFonts w:ascii="Arial" w:hAnsi="Arial" w:cs="Arial"/>
                <w:b/>
                <w:sz w:val="20"/>
                <w:lang w:val="es-ES"/>
              </w:rPr>
            </w:pPr>
          </w:p>
        </w:tc>
        <w:tc>
          <w:tcPr>
            <w:tcW w:w="1867" w:type="pct"/>
            <w:tcMar>
              <w:left w:w="43" w:type="dxa"/>
              <w:right w:w="43" w:type="dxa"/>
            </w:tcMar>
          </w:tcPr>
          <w:p w14:paraId="263A3D9C" w14:textId="77777777" w:rsidR="00AA4DC7" w:rsidRPr="00304219" w:rsidRDefault="00AA4DC7">
            <w:pPr>
              <w:spacing w:before="20" w:after="20"/>
              <w:rPr>
                <w:rFonts w:ascii="Arial" w:hAnsi="Arial" w:cs="Arial"/>
                <w:sz w:val="20"/>
                <w:lang w:val="es-ES"/>
              </w:rPr>
            </w:pPr>
            <w:r w:rsidRPr="00304219">
              <w:rPr>
                <w:rFonts w:ascii="Arial" w:hAnsi="Arial" w:cs="Arial"/>
                <w:sz w:val="20"/>
                <w:lang w:val="es-ES"/>
              </w:rPr>
              <w:t xml:space="preserve">Preparación </w:t>
            </w:r>
            <w:r w:rsidR="007039A0" w:rsidRPr="00304219">
              <w:rPr>
                <w:rFonts w:ascii="Arial" w:hAnsi="Arial" w:cs="Arial"/>
                <w:sz w:val="20"/>
                <w:lang w:val="es-ES"/>
              </w:rPr>
              <w:t>de informes</w:t>
            </w:r>
            <w:r w:rsidRPr="00304219">
              <w:rPr>
                <w:rFonts w:ascii="Arial" w:hAnsi="Arial" w:cs="Arial"/>
                <w:sz w:val="20"/>
                <w:lang w:val="es-ES"/>
              </w:rPr>
              <w:t xml:space="preserve"> a la SONAPI.</w:t>
            </w:r>
          </w:p>
        </w:tc>
        <w:tc>
          <w:tcPr>
            <w:tcW w:w="1222" w:type="pct"/>
            <w:tcMar>
              <w:left w:w="43" w:type="dxa"/>
              <w:right w:w="43" w:type="dxa"/>
            </w:tcMar>
          </w:tcPr>
          <w:p w14:paraId="235A531B" w14:textId="77777777" w:rsidR="00AA4DC7" w:rsidRPr="00304219" w:rsidRDefault="007039A0" w:rsidP="00EB3489">
            <w:pPr>
              <w:spacing w:before="20" w:after="20"/>
              <w:rPr>
                <w:rFonts w:ascii="Arial" w:hAnsi="Arial" w:cs="Arial"/>
                <w:sz w:val="20"/>
                <w:lang w:val="es-ES"/>
              </w:rPr>
            </w:pPr>
            <w:r w:rsidRPr="00304219">
              <w:rPr>
                <w:rFonts w:ascii="Arial" w:hAnsi="Arial" w:cs="Arial"/>
                <w:sz w:val="20"/>
                <w:lang w:val="es-ES"/>
              </w:rPr>
              <w:t>Semestral o cuando solicitado por la SONAPI</w:t>
            </w:r>
          </w:p>
        </w:tc>
        <w:tc>
          <w:tcPr>
            <w:tcW w:w="1127" w:type="pct"/>
            <w:tcMar>
              <w:left w:w="43" w:type="dxa"/>
              <w:right w:w="43" w:type="dxa"/>
            </w:tcMar>
          </w:tcPr>
          <w:p w14:paraId="5B32E695" w14:textId="77777777" w:rsidR="00AA4DC7" w:rsidRPr="00304219" w:rsidRDefault="00AA4DC7" w:rsidP="00BB2761">
            <w:pPr>
              <w:spacing w:before="20" w:after="20"/>
              <w:rPr>
                <w:rFonts w:ascii="Arial" w:hAnsi="Arial" w:cs="Arial"/>
                <w:sz w:val="20"/>
                <w:lang w:val="es-ES"/>
              </w:rPr>
            </w:pPr>
            <w:r w:rsidRPr="00304219">
              <w:rPr>
                <w:rFonts w:ascii="Arial" w:hAnsi="Arial" w:cs="Arial"/>
                <w:sz w:val="20"/>
                <w:lang w:val="es-ES"/>
              </w:rPr>
              <w:t xml:space="preserve">Parte del costo de </w:t>
            </w:r>
            <w:r w:rsidR="00522C8A" w:rsidRPr="00304219">
              <w:rPr>
                <w:rFonts w:ascii="Arial" w:hAnsi="Arial" w:cs="Arial"/>
                <w:sz w:val="20"/>
                <w:lang w:val="es-ES"/>
              </w:rPr>
              <w:t>a</w:t>
            </w:r>
            <w:r w:rsidRPr="00304219">
              <w:rPr>
                <w:rFonts w:ascii="Arial" w:hAnsi="Arial" w:cs="Arial"/>
                <w:sz w:val="20"/>
                <w:lang w:val="es-ES"/>
              </w:rPr>
              <w:t>dministración del proyecto por la UTE</w:t>
            </w:r>
          </w:p>
        </w:tc>
      </w:tr>
      <w:tr w:rsidR="00025D6C" w:rsidRPr="00304219" w14:paraId="2B26D625" w14:textId="77777777" w:rsidTr="00304219">
        <w:trPr>
          <w:cantSplit/>
          <w:trHeight w:hRule="exact" w:val="960"/>
        </w:trPr>
        <w:tc>
          <w:tcPr>
            <w:tcW w:w="784" w:type="pct"/>
            <w:vMerge/>
          </w:tcPr>
          <w:p w14:paraId="7B5FE8C0" w14:textId="77777777" w:rsidR="00AA4DC7" w:rsidRPr="00304219" w:rsidRDefault="00AA4DC7" w:rsidP="00EB3489">
            <w:pPr>
              <w:spacing w:before="20" w:after="20"/>
              <w:rPr>
                <w:rFonts w:ascii="Arial" w:hAnsi="Arial" w:cs="Arial"/>
                <w:b/>
                <w:sz w:val="20"/>
                <w:lang w:val="es-ES"/>
              </w:rPr>
            </w:pPr>
          </w:p>
        </w:tc>
        <w:tc>
          <w:tcPr>
            <w:tcW w:w="1867" w:type="pct"/>
            <w:tcMar>
              <w:left w:w="43" w:type="dxa"/>
              <w:right w:w="43" w:type="dxa"/>
            </w:tcMar>
          </w:tcPr>
          <w:p w14:paraId="297103D7" w14:textId="77777777" w:rsidR="00AA4DC7" w:rsidRPr="00304219" w:rsidRDefault="00AA4DC7" w:rsidP="006A48D2">
            <w:pPr>
              <w:spacing w:before="20" w:after="20"/>
              <w:rPr>
                <w:rFonts w:ascii="Arial" w:hAnsi="Arial" w:cs="Arial"/>
                <w:sz w:val="20"/>
                <w:lang w:val="es-ES"/>
              </w:rPr>
            </w:pPr>
            <w:r w:rsidRPr="00304219">
              <w:rPr>
                <w:rFonts w:ascii="Arial" w:hAnsi="Arial" w:cs="Arial"/>
                <w:sz w:val="20"/>
                <w:lang w:val="es-ES"/>
              </w:rPr>
              <w:t>Preparación del informe final del proyecto</w:t>
            </w:r>
          </w:p>
        </w:tc>
        <w:tc>
          <w:tcPr>
            <w:tcW w:w="1222" w:type="pct"/>
            <w:tcMar>
              <w:left w:w="43" w:type="dxa"/>
              <w:right w:w="43" w:type="dxa"/>
            </w:tcMar>
          </w:tcPr>
          <w:p w14:paraId="6FAD0CC5" w14:textId="77777777" w:rsidR="00AA4DC7" w:rsidRPr="00304219" w:rsidRDefault="00AA4DC7" w:rsidP="00AE74FE">
            <w:pPr>
              <w:spacing w:before="20" w:after="20"/>
              <w:rPr>
                <w:rFonts w:ascii="Arial" w:hAnsi="Arial" w:cs="Arial"/>
                <w:sz w:val="20"/>
                <w:lang w:val="es-ES"/>
              </w:rPr>
            </w:pPr>
            <w:r w:rsidRPr="00304219">
              <w:rPr>
                <w:rFonts w:ascii="Arial" w:hAnsi="Arial" w:cs="Arial"/>
                <w:sz w:val="20"/>
                <w:lang w:val="es-ES"/>
              </w:rPr>
              <w:t>Una vez</w:t>
            </w:r>
            <w:r w:rsidR="00AB4DDC" w:rsidRPr="00304219">
              <w:rPr>
                <w:rFonts w:ascii="Arial" w:hAnsi="Arial" w:cs="Arial"/>
                <w:sz w:val="20"/>
                <w:lang w:val="es-ES"/>
              </w:rPr>
              <w:t xml:space="preserve"> (dentro de </w:t>
            </w:r>
            <w:r w:rsidR="00AE74FE" w:rsidRPr="00304219">
              <w:rPr>
                <w:rFonts w:ascii="Arial" w:hAnsi="Arial" w:cs="Arial"/>
                <w:sz w:val="20"/>
                <w:lang w:val="es-ES"/>
              </w:rPr>
              <w:t>90 días</w:t>
            </w:r>
            <w:r w:rsidR="00AB4DDC" w:rsidRPr="00304219">
              <w:rPr>
                <w:rFonts w:ascii="Arial" w:hAnsi="Arial" w:cs="Arial"/>
                <w:sz w:val="20"/>
                <w:lang w:val="es-ES"/>
              </w:rPr>
              <w:t xml:space="preserve"> del último desembolso)</w:t>
            </w:r>
          </w:p>
        </w:tc>
        <w:tc>
          <w:tcPr>
            <w:tcW w:w="1127" w:type="pct"/>
            <w:tcMar>
              <w:left w:w="43" w:type="dxa"/>
              <w:right w:w="43" w:type="dxa"/>
            </w:tcMar>
          </w:tcPr>
          <w:p w14:paraId="5CCFCE36" w14:textId="77777777" w:rsidR="00AA4DC7" w:rsidRPr="00304219" w:rsidRDefault="00AA4DC7">
            <w:pPr>
              <w:spacing w:before="20" w:after="20"/>
              <w:rPr>
                <w:rFonts w:ascii="Arial" w:hAnsi="Arial" w:cs="Arial"/>
                <w:sz w:val="20"/>
                <w:lang w:val="es-ES"/>
              </w:rPr>
            </w:pPr>
            <w:r w:rsidRPr="00304219">
              <w:rPr>
                <w:rFonts w:ascii="Arial" w:hAnsi="Arial" w:cs="Arial"/>
                <w:sz w:val="20"/>
                <w:lang w:val="es-ES"/>
              </w:rPr>
              <w:t>Parte del costo de Administración del proyecto por la UTE</w:t>
            </w:r>
            <w:r w:rsidR="00AB4DDC" w:rsidRPr="00304219">
              <w:rPr>
                <w:rFonts w:ascii="Arial" w:hAnsi="Arial" w:cs="Arial"/>
                <w:sz w:val="20"/>
                <w:lang w:val="es-ES"/>
              </w:rPr>
              <w:t xml:space="preserve"> </w:t>
            </w:r>
          </w:p>
        </w:tc>
      </w:tr>
      <w:tr w:rsidR="00025D6C" w:rsidRPr="00304219" w14:paraId="7F8DC1FB" w14:textId="77777777" w:rsidTr="00304219">
        <w:trPr>
          <w:cantSplit/>
          <w:trHeight w:hRule="exact" w:val="2607"/>
        </w:trPr>
        <w:tc>
          <w:tcPr>
            <w:tcW w:w="784" w:type="pct"/>
          </w:tcPr>
          <w:p w14:paraId="0BF20BD5" w14:textId="77777777" w:rsidR="007B68E3" w:rsidRPr="00304219" w:rsidRDefault="007B68E3" w:rsidP="00EB3489">
            <w:pPr>
              <w:spacing w:before="20" w:after="20"/>
              <w:rPr>
                <w:rFonts w:ascii="Arial" w:hAnsi="Arial" w:cs="Arial"/>
                <w:b/>
                <w:sz w:val="20"/>
                <w:lang w:val="es-ES"/>
              </w:rPr>
            </w:pPr>
            <w:r w:rsidRPr="00304219">
              <w:rPr>
                <w:rFonts w:ascii="Arial" w:hAnsi="Arial" w:cs="Arial"/>
                <w:b/>
                <w:sz w:val="20"/>
                <w:lang w:val="es-ES"/>
              </w:rPr>
              <w:lastRenderedPageBreak/>
              <w:t>SONAPI</w:t>
            </w:r>
          </w:p>
        </w:tc>
        <w:tc>
          <w:tcPr>
            <w:tcW w:w="1867" w:type="pct"/>
            <w:tcMar>
              <w:left w:w="43" w:type="dxa"/>
              <w:right w:w="43" w:type="dxa"/>
            </w:tcMar>
          </w:tcPr>
          <w:p w14:paraId="5FBC9B4E" w14:textId="77777777" w:rsidR="007B68E3" w:rsidRPr="00304219" w:rsidRDefault="007B68E3" w:rsidP="00EB3489">
            <w:pPr>
              <w:spacing w:before="20" w:after="20"/>
              <w:rPr>
                <w:rFonts w:ascii="Arial" w:hAnsi="Arial" w:cs="Arial"/>
                <w:sz w:val="20"/>
                <w:lang w:val="es-ES"/>
              </w:rPr>
            </w:pPr>
            <w:r w:rsidRPr="00304219">
              <w:rPr>
                <w:rFonts w:ascii="Arial" w:hAnsi="Arial" w:cs="Arial"/>
                <w:sz w:val="20"/>
                <w:lang w:val="es-ES"/>
              </w:rPr>
              <w:t>Gestión del Parque</w:t>
            </w:r>
          </w:p>
        </w:tc>
        <w:tc>
          <w:tcPr>
            <w:tcW w:w="1222" w:type="pct"/>
            <w:tcMar>
              <w:left w:w="43" w:type="dxa"/>
              <w:right w:w="43" w:type="dxa"/>
            </w:tcMar>
          </w:tcPr>
          <w:p w14:paraId="619EF0A0" w14:textId="6156CB49" w:rsidR="007B68E3" w:rsidRPr="00304219" w:rsidRDefault="007B68E3" w:rsidP="00196B8C">
            <w:pPr>
              <w:spacing w:before="20" w:after="20"/>
              <w:rPr>
                <w:rFonts w:ascii="Arial" w:hAnsi="Arial" w:cs="Arial"/>
                <w:sz w:val="20"/>
                <w:lang w:val="es-ES"/>
              </w:rPr>
            </w:pPr>
            <w:r w:rsidRPr="00304219">
              <w:rPr>
                <w:rFonts w:ascii="Arial" w:hAnsi="Arial" w:cs="Arial"/>
                <w:sz w:val="20"/>
                <w:lang w:val="es-ES"/>
              </w:rPr>
              <w:t>Informes Semestrales al Banco, conteniendo datos sobre las operaciones de las firmas instaladas o a instalarse en el PIC y sobre las actividades de gestión</w:t>
            </w:r>
            <w:r w:rsidR="00864C05" w:rsidRPr="00304219">
              <w:rPr>
                <w:rFonts w:ascii="Arial" w:hAnsi="Arial" w:cs="Arial"/>
                <w:sz w:val="20"/>
                <w:lang w:val="es-ES"/>
              </w:rPr>
              <w:t xml:space="preserve"> de negocios y gestión</w:t>
            </w:r>
            <w:r w:rsidRPr="00304219">
              <w:rPr>
                <w:rFonts w:ascii="Arial" w:hAnsi="Arial" w:cs="Arial"/>
                <w:sz w:val="20"/>
                <w:lang w:val="es-ES"/>
              </w:rPr>
              <w:t xml:space="preserve"> Ambiental y Social (</w:t>
            </w:r>
            <w:r w:rsidR="00196B8C" w:rsidRPr="00304219">
              <w:rPr>
                <w:rFonts w:ascii="Arial" w:hAnsi="Arial" w:cs="Arial"/>
                <w:sz w:val="20"/>
                <w:lang w:val="es-ES"/>
              </w:rPr>
              <w:t>implementación del sistema EHS</w:t>
            </w:r>
            <w:r w:rsidRPr="00304219">
              <w:rPr>
                <w:rFonts w:ascii="Arial" w:hAnsi="Arial" w:cs="Arial"/>
                <w:sz w:val="20"/>
                <w:lang w:val="es-ES"/>
              </w:rPr>
              <w:t xml:space="preserve">) </w:t>
            </w:r>
          </w:p>
        </w:tc>
        <w:tc>
          <w:tcPr>
            <w:tcW w:w="1127" w:type="pct"/>
            <w:tcMar>
              <w:left w:w="43" w:type="dxa"/>
              <w:right w:w="43" w:type="dxa"/>
            </w:tcMar>
          </w:tcPr>
          <w:p w14:paraId="29821C8B" w14:textId="1556E81B" w:rsidR="007B68E3" w:rsidRPr="00304219" w:rsidRDefault="009A2F21" w:rsidP="005D0FD1">
            <w:pPr>
              <w:spacing w:before="20" w:after="20"/>
              <w:rPr>
                <w:rFonts w:ascii="Arial" w:hAnsi="Arial" w:cs="Arial"/>
                <w:sz w:val="20"/>
                <w:lang w:val="es-ES"/>
              </w:rPr>
            </w:pPr>
            <w:r w:rsidRPr="00304219">
              <w:rPr>
                <w:rFonts w:ascii="Arial" w:hAnsi="Arial" w:cs="Arial"/>
                <w:sz w:val="20"/>
                <w:lang w:val="es-ES"/>
              </w:rPr>
              <w:t>US$ 1 millón</w:t>
            </w:r>
            <w:r w:rsidR="0063202C" w:rsidRPr="00304219">
              <w:rPr>
                <w:rFonts w:ascii="Arial" w:hAnsi="Arial" w:cs="Arial"/>
                <w:sz w:val="20"/>
                <w:lang w:val="es-ES"/>
              </w:rPr>
              <w:t>, parte del componente 2</w:t>
            </w:r>
          </w:p>
        </w:tc>
      </w:tr>
      <w:tr w:rsidR="00025D6C" w:rsidRPr="00304219" w14:paraId="643A081F" w14:textId="77777777" w:rsidTr="00304219">
        <w:trPr>
          <w:cantSplit/>
          <w:trHeight w:hRule="exact" w:val="1437"/>
        </w:trPr>
        <w:tc>
          <w:tcPr>
            <w:tcW w:w="784" w:type="pct"/>
            <w:tcBorders>
              <w:bottom w:val="single" w:sz="6" w:space="0" w:color="000000"/>
            </w:tcBorders>
          </w:tcPr>
          <w:p w14:paraId="7C57B0F1" w14:textId="77777777" w:rsidR="00AA4DC7" w:rsidRPr="00304219" w:rsidRDefault="00A20E22" w:rsidP="00EB3489">
            <w:pPr>
              <w:spacing w:before="20" w:after="20"/>
              <w:rPr>
                <w:rFonts w:ascii="Arial" w:hAnsi="Arial" w:cs="Arial"/>
                <w:b/>
                <w:sz w:val="20"/>
                <w:lang w:val="es-ES"/>
              </w:rPr>
            </w:pPr>
            <w:r w:rsidRPr="00304219">
              <w:rPr>
                <w:rFonts w:ascii="Arial" w:hAnsi="Arial" w:cs="Arial"/>
                <w:b/>
                <w:sz w:val="20"/>
                <w:lang w:val="es-ES"/>
              </w:rPr>
              <w:t>Supervisor</w:t>
            </w:r>
            <w:r w:rsidR="00590836" w:rsidRPr="00304219">
              <w:rPr>
                <w:rFonts w:ascii="Arial" w:hAnsi="Arial" w:cs="Arial"/>
                <w:b/>
                <w:sz w:val="20"/>
                <w:lang w:val="es-ES"/>
              </w:rPr>
              <w:t xml:space="preserve"> de las obras civiles</w:t>
            </w:r>
          </w:p>
        </w:tc>
        <w:tc>
          <w:tcPr>
            <w:tcW w:w="1867" w:type="pct"/>
            <w:tcBorders>
              <w:bottom w:val="single" w:sz="6" w:space="0" w:color="000000"/>
            </w:tcBorders>
            <w:tcMar>
              <w:left w:w="43" w:type="dxa"/>
              <w:right w:w="43" w:type="dxa"/>
            </w:tcMar>
          </w:tcPr>
          <w:p w14:paraId="4B2C0A02" w14:textId="77777777" w:rsidR="00AA4DC7" w:rsidRPr="00304219" w:rsidRDefault="00A20E22" w:rsidP="00EB3489">
            <w:pPr>
              <w:spacing w:before="20" w:after="20"/>
              <w:rPr>
                <w:rFonts w:ascii="Arial" w:hAnsi="Arial" w:cs="Arial"/>
                <w:sz w:val="20"/>
                <w:highlight w:val="yellow"/>
                <w:lang w:val="es-ES"/>
              </w:rPr>
            </w:pPr>
            <w:r w:rsidRPr="00304219">
              <w:rPr>
                <w:rFonts w:ascii="Arial" w:hAnsi="Arial" w:cs="Arial"/>
                <w:sz w:val="20"/>
                <w:lang w:val="es-ES"/>
              </w:rPr>
              <w:t>Supervisión de las obras, aportes técnicos a los diseños a ser implantados por las firmas constructoras</w:t>
            </w:r>
            <w:r w:rsidR="00AA4DC7" w:rsidRPr="00304219">
              <w:rPr>
                <w:rFonts w:ascii="Arial" w:hAnsi="Arial" w:cs="Arial"/>
                <w:sz w:val="20"/>
                <w:lang w:val="es-ES"/>
              </w:rPr>
              <w:t>; Reporte</w:t>
            </w:r>
            <w:r w:rsidR="00590836" w:rsidRPr="00304219">
              <w:rPr>
                <w:rFonts w:ascii="Arial" w:hAnsi="Arial" w:cs="Arial"/>
                <w:sz w:val="20"/>
                <w:lang w:val="es-ES"/>
              </w:rPr>
              <w:t>s</w:t>
            </w:r>
            <w:r w:rsidR="00AA4DC7" w:rsidRPr="00304219">
              <w:rPr>
                <w:rFonts w:ascii="Arial" w:hAnsi="Arial" w:cs="Arial"/>
                <w:sz w:val="20"/>
                <w:lang w:val="es-ES"/>
              </w:rPr>
              <w:t xml:space="preserve"> mensuales que incluyen el seguimiento del Plan de Gestión Ambiental.</w:t>
            </w:r>
          </w:p>
        </w:tc>
        <w:tc>
          <w:tcPr>
            <w:tcW w:w="1222" w:type="pct"/>
            <w:tcBorders>
              <w:bottom w:val="single" w:sz="6" w:space="0" w:color="000000"/>
            </w:tcBorders>
            <w:tcMar>
              <w:left w:w="43" w:type="dxa"/>
              <w:right w:w="43" w:type="dxa"/>
            </w:tcMar>
          </w:tcPr>
          <w:p w14:paraId="7388BD53" w14:textId="77777777" w:rsidR="00AA4DC7" w:rsidRPr="00304219" w:rsidRDefault="00A20E22">
            <w:pPr>
              <w:spacing w:before="20" w:after="20"/>
              <w:rPr>
                <w:rFonts w:ascii="Arial" w:hAnsi="Arial" w:cs="Arial"/>
                <w:sz w:val="20"/>
                <w:lang w:val="es-ES"/>
              </w:rPr>
            </w:pPr>
            <w:r w:rsidRPr="00304219">
              <w:rPr>
                <w:rFonts w:ascii="Arial" w:hAnsi="Arial" w:cs="Arial"/>
                <w:sz w:val="20"/>
                <w:lang w:val="es-ES"/>
              </w:rPr>
              <w:t>Mensual</w:t>
            </w:r>
            <w:r w:rsidR="00506CB4" w:rsidRPr="00304219">
              <w:rPr>
                <w:rFonts w:ascii="Arial" w:hAnsi="Arial" w:cs="Arial"/>
                <w:sz w:val="20"/>
                <w:lang w:val="es-ES"/>
              </w:rPr>
              <w:t xml:space="preserve"> (la fecha </w:t>
            </w:r>
            <w:r w:rsidR="00BD01DF" w:rsidRPr="00304219">
              <w:rPr>
                <w:rFonts w:ascii="Arial" w:hAnsi="Arial" w:cs="Arial"/>
                <w:sz w:val="20"/>
                <w:lang w:val="es-ES"/>
              </w:rPr>
              <w:t>límite</w:t>
            </w:r>
            <w:r w:rsidR="00506CB4" w:rsidRPr="00304219">
              <w:rPr>
                <w:rFonts w:ascii="Arial" w:hAnsi="Arial" w:cs="Arial"/>
                <w:sz w:val="20"/>
                <w:lang w:val="es-ES"/>
              </w:rPr>
              <w:t xml:space="preserve"> es el 15 de cada mes)</w:t>
            </w:r>
          </w:p>
        </w:tc>
        <w:tc>
          <w:tcPr>
            <w:tcW w:w="1127" w:type="pct"/>
            <w:tcBorders>
              <w:bottom w:val="single" w:sz="6" w:space="0" w:color="000000"/>
            </w:tcBorders>
            <w:tcMar>
              <w:left w:w="43" w:type="dxa"/>
              <w:right w:w="43" w:type="dxa"/>
            </w:tcMar>
          </w:tcPr>
          <w:p w14:paraId="5FD407BF" w14:textId="77777777" w:rsidR="00AA4DC7" w:rsidRPr="00304219" w:rsidRDefault="00A20E22">
            <w:pPr>
              <w:spacing w:before="20" w:after="20"/>
              <w:rPr>
                <w:rFonts w:ascii="Arial" w:hAnsi="Arial" w:cs="Arial"/>
                <w:sz w:val="20"/>
                <w:lang w:val="es-ES"/>
              </w:rPr>
            </w:pPr>
            <w:r w:rsidRPr="00304219">
              <w:rPr>
                <w:rFonts w:ascii="Arial" w:hAnsi="Arial" w:cs="Arial"/>
                <w:sz w:val="20"/>
                <w:lang w:val="es-ES"/>
              </w:rPr>
              <w:t xml:space="preserve">Parte del costo </w:t>
            </w:r>
            <w:r w:rsidR="00590836" w:rsidRPr="00304219">
              <w:rPr>
                <w:rFonts w:ascii="Arial" w:hAnsi="Arial" w:cs="Arial"/>
                <w:sz w:val="20"/>
                <w:lang w:val="es-ES"/>
              </w:rPr>
              <w:t>t</w:t>
            </w:r>
            <w:r w:rsidR="00AA4DC7" w:rsidRPr="00304219">
              <w:rPr>
                <w:rFonts w:ascii="Arial" w:hAnsi="Arial" w:cs="Arial"/>
                <w:sz w:val="20"/>
                <w:lang w:val="es-ES"/>
              </w:rPr>
              <w:t>otal</w:t>
            </w:r>
            <w:r w:rsidR="00590836" w:rsidRPr="00304219">
              <w:rPr>
                <w:rFonts w:ascii="Arial" w:hAnsi="Arial" w:cs="Arial"/>
                <w:sz w:val="20"/>
                <w:lang w:val="es-ES"/>
              </w:rPr>
              <w:t xml:space="preserve"> administrativo de la UTE</w:t>
            </w:r>
          </w:p>
        </w:tc>
      </w:tr>
      <w:tr w:rsidR="00D25570" w:rsidRPr="00304219" w14:paraId="7DEAEB46" w14:textId="77777777" w:rsidTr="00304219">
        <w:trPr>
          <w:cantSplit/>
          <w:trHeight w:val="192"/>
        </w:trPr>
        <w:tc>
          <w:tcPr>
            <w:tcW w:w="3873" w:type="pct"/>
            <w:gridSpan w:val="3"/>
            <w:tcBorders>
              <w:top w:val="single" w:sz="6" w:space="0" w:color="000000"/>
              <w:bottom w:val="single" w:sz="6" w:space="0" w:color="000000"/>
            </w:tcBorders>
            <w:shd w:val="clear" w:color="auto" w:fill="BFBFBF" w:themeFill="background1" w:themeFillShade="BF"/>
          </w:tcPr>
          <w:p w14:paraId="21567005" w14:textId="77777777" w:rsidR="00D25570" w:rsidRPr="00304219" w:rsidDel="00D25570" w:rsidRDefault="00D25570" w:rsidP="00304219">
            <w:pPr>
              <w:spacing w:before="20" w:after="20"/>
              <w:jc w:val="right"/>
              <w:rPr>
                <w:rFonts w:ascii="Arial" w:hAnsi="Arial" w:cs="Arial"/>
                <w:b/>
                <w:sz w:val="20"/>
                <w:lang w:val="es-ES"/>
              </w:rPr>
            </w:pPr>
            <w:r w:rsidRPr="00304219">
              <w:rPr>
                <w:rFonts w:ascii="Arial" w:hAnsi="Arial" w:cs="Arial"/>
                <w:b/>
                <w:sz w:val="20"/>
                <w:lang w:val="es-ES"/>
              </w:rPr>
              <w:t xml:space="preserve">TOTAL </w:t>
            </w:r>
            <w:r w:rsidRPr="00304219">
              <w:rPr>
                <w:rFonts w:ascii="Arial" w:hAnsi="Arial" w:cs="Arial"/>
                <w:b/>
                <w:sz w:val="20"/>
                <w:lang w:val="es-ES"/>
              </w:rPr>
              <w:tab/>
            </w:r>
          </w:p>
        </w:tc>
        <w:tc>
          <w:tcPr>
            <w:tcW w:w="1127" w:type="pct"/>
            <w:tcBorders>
              <w:top w:val="single" w:sz="6" w:space="0" w:color="000000"/>
              <w:bottom w:val="single" w:sz="6" w:space="0" w:color="000000"/>
            </w:tcBorders>
            <w:shd w:val="clear" w:color="auto" w:fill="BFBFBF" w:themeFill="background1" w:themeFillShade="BF"/>
          </w:tcPr>
          <w:p w14:paraId="0C1432BB" w14:textId="173D7DC0" w:rsidR="00D25570" w:rsidRPr="00304219" w:rsidDel="00D25570" w:rsidRDefault="009A2F21" w:rsidP="00304219">
            <w:pPr>
              <w:spacing w:before="20" w:after="20"/>
              <w:jc w:val="center"/>
              <w:rPr>
                <w:rFonts w:ascii="Arial" w:hAnsi="Arial" w:cs="Arial"/>
                <w:b/>
                <w:sz w:val="20"/>
                <w:lang w:val="es-ES"/>
              </w:rPr>
            </w:pPr>
            <w:r w:rsidRPr="00304219">
              <w:rPr>
                <w:rFonts w:ascii="Arial" w:hAnsi="Arial" w:cs="Arial"/>
                <w:b/>
                <w:sz w:val="20"/>
                <w:lang w:val="es-ES"/>
              </w:rPr>
              <w:t>US$2.</w:t>
            </w:r>
            <w:r w:rsidR="0055574B" w:rsidRPr="00304219">
              <w:rPr>
                <w:rFonts w:ascii="Arial" w:hAnsi="Arial" w:cs="Arial"/>
                <w:b/>
                <w:sz w:val="20"/>
                <w:lang w:val="es-ES"/>
              </w:rPr>
              <w:t>6</w:t>
            </w:r>
            <w:r w:rsidR="00D25570" w:rsidRPr="00304219">
              <w:rPr>
                <w:rFonts w:ascii="Arial" w:hAnsi="Arial" w:cs="Arial"/>
                <w:b/>
                <w:sz w:val="20"/>
                <w:lang w:val="es-ES"/>
              </w:rPr>
              <w:t>00.000</w:t>
            </w:r>
          </w:p>
        </w:tc>
      </w:tr>
      <w:tr w:rsidR="00D25570" w:rsidRPr="00304219" w14:paraId="6BA42DA8" w14:textId="77777777" w:rsidTr="00304219">
        <w:trPr>
          <w:cantSplit/>
          <w:trHeight w:val="1047"/>
        </w:trPr>
        <w:tc>
          <w:tcPr>
            <w:tcW w:w="784" w:type="pct"/>
            <w:tcBorders>
              <w:top w:val="single" w:sz="6" w:space="0" w:color="000000"/>
            </w:tcBorders>
          </w:tcPr>
          <w:p w14:paraId="3850D73D" w14:textId="77777777" w:rsidR="00D25570" w:rsidRPr="00304219" w:rsidRDefault="00D25570">
            <w:pPr>
              <w:spacing w:before="20" w:after="20"/>
              <w:rPr>
                <w:rFonts w:ascii="Arial" w:hAnsi="Arial" w:cs="Arial"/>
                <w:b/>
                <w:sz w:val="20"/>
                <w:lang w:val="es-ES"/>
              </w:rPr>
            </w:pPr>
            <w:r w:rsidRPr="00304219">
              <w:rPr>
                <w:rFonts w:ascii="Arial" w:hAnsi="Arial" w:cs="Arial"/>
                <w:b/>
                <w:sz w:val="20"/>
                <w:lang w:val="es-ES"/>
              </w:rPr>
              <w:t>BID= ESG/FMM</w:t>
            </w:r>
          </w:p>
        </w:tc>
        <w:tc>
          <w:tcPr>
            <w:tcW w:w="1867" w:type="pct"/>
            <w:tcBorders>
              <w:top w:val="single" w:sz="6" w:space="0" w:color="000000"/>
            </w:tcBorders>
            <w:tcMar>
              <w:left w:w="43" w:type="dxa"/>
              <w:right w:w="43" w:type="dxa"/>
            </w:tcMar>
          </w:tcPr>
          <w:p w14:paraId="105E0DEA" w14:textId="77777777" w:rsidR="00D25570" w:rsidRPr="00304219" w:rsidRDefault="00D25570" w:rsidP="000A39FA">
            <w:pPr>
              <w:spacing w:before="20" w:after="20"/>
              <w:rPr>
                <w:rFonts w:ascii="Arial" w:hAnsi="Arial" w:cs="Arial"/>
                <w:sz w:val="20"/>
                <w:lang w:val="es-ES"/>
              </w:rPr>
            </w:pPr>
            <w:r w:rsidRPr="00304219">
              <w:rPr>
                <w:rFonts w:ascii="Arial" w:hAnsi="Arial" w:cs="Arial"/>
                <w:sz w:val="20"/>
                <w:lang w:val="es-ES"/>
              </w:rPr>
              <w:t>Visitas de Supervisión al PIC y de especialistas sectoriales agua y saneamiento, residuos sólidos, energía, desarrollo urbano, entre otros.</w:t>
            </w:r>
          </w:p>
          <w:p w14:paraId="034879D1" w14:textId="77777777" w:rsidR="00D25570" w:rsidRPr="00304219" w:rsidRDefault="00D25570" w:rsidP="000A39FA">
            <w:pPr>
              <w:spacing w:before="20" w:after="20"/>
              <w:rPr>
                <w:rFonts w:ascii="Arial" w:hAnsi="Arial" w:cs="Arial"/>
                <w:sz w:val="20"/>
                <w:lang w:val="es-ES"/>
              </w:rPr>
            </w:pPr>
            <w:r w:rsidRPr="00304219">
              <w:rPr>
                <w:rFonts w:ascii="Arial" w:hAnsi="Arial" w:cs="Arial"/>
                <w:sz w:val="20"/>
                <w:lang w:val="es-ES"/>
              </w:rPr>
              <w:t>Reuniones y seminarios de divulgación.</w:t>
            </w:r>
          </w:p>
          <w:p w14:paraId="640A10A8" w14:textId="77777777" w:rsidR="009A2F21" w:rsidRPr="00304219" w:rsidRDefault="00D25570" w:rsidP="00522C8A">
            <w:pPr>
              <w:spacing w:before="20" w:after="20"/>
              <w:rPr>
                <w:rFonts w:ascii="Arial" w:hAnsi="Arial" w:cs="Arial"/>
                <w:sz w:val="20"/>
                <w:lang w:val="es-ES"/>
              </w:rPr>
            </w:pPr>
            <w:r w:rsidRPr="00304219">
              <w:rPr>
                <w:rFonts w:ascii="Arial" w:hAnsi="Arial" w:cs="Arial"/>
                <w:sz w:val="20"/>
                <w:lang w:val="es-ES"/>
              </w:rPr>
              <w:t xml:space="preserve">Visita a las oficinas de la UTE y Telefonemas regulares (cifra redondeada). </w:t>
            </w:r>
          </w:p>
          <w:p w14:paraId="0E75F60F" w14:textId="712DF18B" w:rsidR="00386C93" w:rsidRPr="00304219" w:rsidRDefault="00D25570" w:rsidP="00522C8A">
            <w:pPr>
              <w:spacing w:before="20" w:after="20"/>
              <w:rPr>
                <w:rFonts w:ascii="Arial" w:hAnsi="Arial" w:cs="Arial"/>
                <w:sz w:val="20"/>
                <w:lang w:val="es-ES"/>
              </w:rPr>
            </w:pPr>
            <w:r w:rsidRPr="00304219">
              <w:rPr>
                <w:rFonts w:ascii="Arial" w:hAnsi="Arial" w:cs="Arial"/>
                <w:sz w:val="20"/>
                <w:lang w:val="es-ES"/>
              </w:rPr>
              <w:t>Reuniones de seguimiento del programa (teléfono) y misiones de seguimiento ambiental del Banco</w:t>
            </w:r>
          </w:p>
          <w:p w14:paraId="5E6D5A97" w14:textId="77777777" w:rsidR="00386C93" w:rsidRPr="00304219" w:rsidRDefault="00386C93" w:rsidP="00386C93">
            <w:pPr>
              <w:spacing w:before="20" w:after="20"/>
              <w:rPr>
                <w:rFonts w:ascii="Arial" w:hAnsi="Arial" w:cs="Arial"/>
                <w:sz w:val="20"/>
                <w:lang w:val="es-ES"/>
              </w:rPr>
            </w:pPr>
            <w:r w:rsidRPr="00304219">
              <w:rPr>
                <w:rFonts w:ascii="Arial" w:hAnsi="Arial" w:cs="Arial"/>
                <w:sz w:val="20"/>
                <w:lang w:val="es-ES"/>
              </w:rPr>
              <w:t>Misiones de seguimiento ambiental y social del Banco</w:t>
            </w:r>
          </w:p>
          <w:p w14:paraId="4528E426" w14:textId="77777777" w:rsidR="00D25570" w:rsidRPr="00304219" w:rsidRDefault="00386C93" w:rsidP="00522C8A">
            <w:pPr>
              <w:spacing w:before="20" w:after="20"/>
              <w:rPr>
                <w:rFonts w:ascii="Arial" w:hAnsi="Arial" w:cs="Arial"/>
                <w:sz w:val="20"/>
                <w:lang w:val="es-ES"/>
              </w:rPr>
            </w:pPr>
            <w:r w:rsidRPr="00304219">
              <w:rPr>
                <w:rFonts w:ascii="Arial" w:hAnsi="Arial" w:cs="Arial"/>
                <w:sz w:val="20"/>
                <w:lang w:val="es-ES"/>
              </w:rPr>
              <w:t xml:space="preserve">Misiones de supervisión ambiental y social por una firma independiente </w:t>
            </w:r>
          </w:p>
        </w:tc>
        <w:tc>
          <w:tcPr>
            <w:tcW w:w="1222" w:type="pct"/>
            <w:tcBorders>
              <w:top w:val="single" w:sz="6" w:space="0" w:color="000000"/>
            </w:tcBorders>
            <w:tcMar>
              <w:left w:w="43" w:type="dxa"/>
              <w:right w:w="43" w:type="dxa"/>
            </w:tcMar>
          </w:tcPr>
          <w:p w14:paraId="4CC55ED2" w14:textId="77777777" w:rsidR="00386C93" w:rsidRPr="00304219" w:rsidRDefault="00D25570" w:rsidP="00522C8A">
            <w:pPr>
              <w:spacing w:before="20" w:after="20"/>
              <w:rPr>
                <w:rFonts w:ascii="Arial" w:hAnsi="Arial" w:cs="Arial"/>
                <w:sz w:val="20"/>
                <w:lang w:val="es-ES"/>
              </w:rPr>
            </w:pPr>
            <w:r w:rsidRPr="00304219">
              <w:rPr>
                <w:rFonts w:ascii="Arial" w:hAnsi="Arial" w:cs="Arial"/>
                <w:sz w:val="20"/>
                <w:lang w:val="es-ES"/>
              </w:rPr>
              <w:t>Mensual o cuando fuera necesario</w:t>
            </w:r>
          </w:p>
          <w:p w14:paraId="4AD37009" w14:textId="77777777" w:rsidR="00386C93" w:rsidRPr="00304219" w:rsidRDefault="00386C93" w:rsidP="00522C8A">
            <w:pPr>
              <w:spacing w:before="20" w:after="20"/>
              <w:rPr>
                <w:rFonts w:ascii="Arial" w:hAnsi="Arial" w:cs="Arial"/>
                <w:sz w:val="20"/>
                <w:lang w:val="es-ES"/>
              </w:rPr>
            </w:pPr>
          </w:p>
          <w:p w14:paraId="2C7DE9A1" w14:textId="77777777" w:rsidR="00386C93" w:rsidRPr="00304219" w:rsidRDefault="00386C93" w:rsidP="00522C8A">
            <w:pPr>
              <w:spacing w:before="20" w:after="20"/>
              <w:rPr>
                <w:rFonts w:ascii="Arial" w:hAnsi="Arial" w:cs="Arial"/>
                <w:sz w:val="20"/>
                <w:lang w:val="es-ES"/>
              </w:rPr>
            </w:pPr>
          </w:p>
          <w:p w14:paraId="75788F97" w14:textId="77777777" w:rsidR="00D25570" w:rsidRPr="00304219" w:rsidRDefault="00386C93" w:rsidP="005D0FD1">
            <w:pPr>
              <w:spacing w:before="20" w:after="20"/>
              <w:rPr>
                <w:rFonts w:ascii="Arial" w:hAnsi="Arial" w:cs="Arial"/>
                <w:sz w:val="20"/>
                <w:lang w:val="es-ES"/>
              </w:rPr>
            </w:pPr>
            <w:r w:rsidRPr="00304219">
              <w:rPr>
                <w:rFonts w:ascii="Arial" w:hAnsi="Arial" w:cs="Arial"/>
                <w:sz w:val="20"/>
                <w:lang w:val="es-ES"/>
              </w:rPr>
              <w:t>Cuatro veces por año</w:t>
            </w:r>
          </w:p>
        </w:tc>
        <w:tc>
          <w:tcPr>
            <w:tcW w:w="1127" w:type="pct"/>
            <w:tcBorders>
              <w:top w:val="single" w:sz="6" w:space="0" w:color="000000"/>
            </w:tcBorders>
            <w:tcMar>
              <w:left w:w="43" w:type="dxa"/>
              <w:right w:w="43" w:type="dxa"/>
            </w:tcMar>
          </w:tcPr>
          <w:p w14:paraId="2D298659" w14:textId="3C1D8858" w:rsidR="00D25570" w:rsidRPr="00304219" w:rsidRDefault="00D25570" w:rsidP="000A39FA">
            <w:pPr>
              <w:spacing w:before="20" w:after="20"/>
              <w:rPr>
                <w:rFonts w:ascii="Arial" w:hAnsi="Arial" w:cs="Arial"/>
                <w:sz w:val="20"/>
                <w:lang w:val="es-ES"/>
              </w:rPr>
            </w:pPr>
            <w:r w:rsidRPr="00304219">
              <w:rPr>
                <w:rFonts w:ascii="Arial" w:hAnsi="Arial" w:cs="Arial"/>
                <w:sz w:val="20"/>
                <w:lang w:val="es-ES"/>
              </w:rPr>
              <w:t>Costo BID Estimado en US$5 mil mensuales = US$120</w:t>
            </w:r>
            <w:r w:rsidR="00550C97" w:rsidRPr="00304219">
              <w:rPr>
                <w:rFonts w:ascii="Arial" w:hAnsi="Arial" w:cs="Arial"/>
                <w:sz w:val="20"/>
                <w:lang w:val="es-ES"/>
              </w:rPr>
              <w:t xml:space="preserve"> mil</w:t>
            </w:r>
          </w:p>
          <w:p w14:paraId="2D13CCCA" w14:textId="221BC4EA" w:rsidR="00D25570" w:rsidRPr="00304219" w:rsidRDefault="00D25570" w:rsidP="00C46854">
            <w:pPr>
              <w:spacing w:before="20" w:after="20"/>
              <w:rPr>
                <w:rFonts w:ascii="Arial" w:hAnsi="Arial" w:cs="Arial"/>
                <w:sz w:val="20"/>
                <w:lang w:val="es-ES"/>
              </w:rPr>
            </w:pPr>
            <w:r w:rsidRPr="00304219">
              <w:rPr>
                <w:rFonts w:ascii="Arial" w:hAnsi="Arial" w:cs="Arial"/>
                <w:sz w:val="20"/>
                <w:lang w:val="es-ES"/>
              </w:rPr>
              <w:t>(con base en las visitas al PIC para el 2779/GR-HA</w:t>
            </w:r>
            <w:r w:rsidR="009A2F21" w:rsidRPr="00304219">
              <w:rPr>
                <w:rFonts w:ascii="Arial" w:hAnsi="Arial" w:cs="Arial"/>
                <w:sz w:val="20"/>
                <w:lang w:val="es-ES"/>
              </w:rPr>
              <w:t>,</w:t>
            </w:r>
            <w:r w:rsidR="00CD32FA" w:rsidRPr="00304219">
              <w:rPr>
                <w:rFonts w:ascii="Arial" w:hAnsi="Arial" w:cs="Arial"/>
                <w:sz w:val="20"/>
                <w:lang w:val="es-ES"/>
              </w:rPr>
              <w:t xml:space="preserve"> 3132/GR-HA</w:t>
            </w:r>
            <w:r w:rsidR="009A2F21" w:rsidRPr="00304219">
              <w:rPr>
                <w:rFonts w:ascii="Arial" w:hAnsi="Arial" w:cs="Arial"/>
                <w:sz w:val="20"/>
                <w:lang w:val="es-ES"/>
              </w:rPr>
              <w:t xml:space="preserve"> y </w:t>
            </w:r>
            <w:r w:rsidR="0063202C" w:rsidRPr="00304219">
              <w:rPr>
                <w:rFonts w:ascii="Arial" w:hAnsi="Arial" w:cs="Arial"/>
                <w:sz w:val="20"/>
                <w:lang w:val="es-ES"/>
              </w:rPr>
              <w:t>3384/</w:t>
            </w:r>
            <w:r w:rsidR="009A2F21" w:rsidRPr="00304219">
              <w:rPr>
                <w:rFonts w:ascii="Arial" w:hAnsi="Arial" w:cs="Arial"/>
                <w:sz w:val="20"/>
                <w:lang w:val="es-ES"/>
              </w:rPr>
              <w:t>GR-HA</w:t>
            </w:r>
            <w:r w:rsidRPr="00304219">
              <w:rPr>
                <w:rFonts w:ascii="Arial" w:hAnsi="Arial" w:cs="Arial"/>
                <w:sz w:val="20"/>
                <w:lang w:val="es-ES"/>
              </w:rPr>
              <w:t>)</w:t>
            </w:r>
          </w:p>
        </w:tc>
      </w:tr>
      <w:tr w:rsidR="00BC7501" w:rsidRPr="00304219" w14:paraId="65B016E2" w14:textId="77777777" w:rsidTr="00304219">
        <w:trPr>
          <w:cantSplit/>
          <w:trHeight w:val="705"/>
        </w:trPr>
        <w:tc>
          <w:tcPr>
            <w:tcW w:w="3873" w:type="pct"/>
            <w:gridSpan w:val="3"/>
            <w:tcBorders>
              <w:top w:val="single" w:sz="6" w:space="0" w:color="000000"/>
              <w:bottom w:val="single" w:sz="12" w:space="0" w:color="000000"/>
            </w:tcBorders>
            <w:shd w:val="clear" w:color="auto" w:fill="auto"/>
          </w:tcPr>
          <w:p w14:paraId="147882CA" w14:textId="03DCF99F" w:rsidR="000A4E52" w:rsidRPr="00304219" w:rsidRDefault="00276127" w:rsidP="00E13FCC">
            <w:pPr>
              <w:jc w:val="both"/>
              <w:rPr>
                <w:rFonts w:ascii="Arial" w:hAnsi="Arial" w:cs="Arial"/>
                <w:sz w:val="20"/>
                <w:lang w:val="es-ES"/>
              </w:rPr>
            </w:pPr>
            <w:r w:rsidRPr="00304219">
              <w:rPr>
                <w:rFonts w:ascii="Arial" w:hAnsi="Arial" w:cs="Arial"/>
                <w:sz w:val="20"/>
                <w:lang w:val="es-ES"/>
              </w:rPr>
              <w:t>Nota</w:t>
            </w:r>
            <w:r w:rsidR="00AB4DDC" w:rsidRPr="00304219">
              <w:rPr>
                <w:rFonts w:ascii="Arial" w:hAnsi="Arial" w:cs="Arial"/>
                <w:sz w:val="20"/>
                <w:lang w:val="es-ES"/>
              </w:rPr>
              <w:t>s</w:t>
            </w:r>
            <w:r w:rsidRPr="00304219">
              <w:rPr>
                <w:rFonts w:ascii="Arial" w:hAnsi="Arial" w:cs="Arial"/>
                <w:sz w:val="20"/>
                <w:lang w:val="es-ES"/>
              </w:rPr>
              <w:t>:</w:t>
            </w:r>
            <w:r w:rsidR="00AB4DDC" w:rsidRPr="00304219">
              <w:rPr>
                <w:rFonts w:ascii="Arial" w:hAnsi="Arial" w:cs="Arial"/>
                <w:sz w:val="20"/>
                <w:lang w:val="es-ES"/>
              </w:rPr>
              <w:t xml:space="preserve"> Los costos de seguimiento de la UTE, están embutidos en su cotidiano de trabajo y son flexibles de acuerdo con las necesidades futuras, del tipo de manufacturas que se instalen y de la contratación de expertos temáticos</w:t>
            </w:r>
            <w:r w:rsidR="00E13FCC" w:rsidRPr="00304219">
              <w:rPr>
                <w:rFonts w:ascii="Arial" w:hAnsi="Arial" w:cs="Arial"/>
                <w:sz w:val="20"/>
                <w:lang w:val="es-ES"/>
              </w:rPr>
              <w:t>.</w:t>
            </w:r>
          </w:p>
        </w:tc>
        <w:tc>
          <w:tcPr>
            <w:tcW w:w="1127" w:type="pct"/>
            <w:tcBorders>
              <w:top w:val="single" w:sz="6" w:space="0" w:color="000000"/>
              <w:bottom w:val="single" w:sz="12" w:space="0" w:color="000000"/>
            </w:tcBorders>
            <w:shd w:val="clear" w:color="auto" w:fill="auto"/>
          </w:tcPr>
          <w:p w14:paraId="6E3E437D" w14:textId="77777777" w:rsidR="00BC7501" w:rsidRPr="00304219" w:rsidRDefault="00BC7501" w:rsidP="00BB2761">
            <w:pPr>
              <w:spacing w:before="20" w:after="20"/>
              <w:jc w:val="right"/>
              <w:rPr>
                <w:rFonts w:ascii="Arial" w:hAnsi="Arial" w:cs="Arial"/>
                <w:sz w:val="20"/>
                <w:lang w:val="es-ES"/>
              </w:rPr>
            </w:pPr>
          </w:p>
        </w:tc>
      </w:tr>
    </w:tbl>
    <w:p w14:paraId="2F6ABB56" w14:textId="68E54BEE" w:rsidR="00A93FB7" w:rsidRPr="00304219" w:rsidRDefault="00724C99" w:rsidP="00304219">
      <w:pPr>
        <w:pStyle w:val="FirstHeading"/>
        <w:rPr>
          <w:rFonts w:ascii="Arial" w:hAnsi="Arial" w:cs="Arial"/>
          <w:sz w:val="22"/>
          <w:szCs w:val="22"/>
        </w:rPr>
      </w:pPr>
      <w:r w:rsidRPr="00304219">
        <w:rPr>
          <w:rFonts w:ascii="Arial" w:hAnsi="Arial" w:cs="Arial"/>
          <w:sz w:val="22"/>
          <w:szCs w:val="22"/>
        </w:rPr>
        <w:fldChar w:fldCharType="begin"/>
      </w:r>
      <w:r w:rsidRPr="00304219">
        <w:rPr>
          <w:rFonts w:ascii="Arial" w:hAnsi="Arial" w:cs="Arial"/>
          <w:sz w:val="22"/>
          <w:szCs w:val="22"/>
        </w:rPr>
        <w:instrText xml:space="preserve"> SEQ "</w:instrText>
      </w:r>
      <w:r w:rsidRPr="00304219">
        <w:rPr>
          <w:rFonts w:ascii="Arial" w:hAnsi="Arial" w:cs="Arial"/>
          <w:sz w:val="22"/>
          <w:szCs w:val="22"/>
        </w:rPr>
        <w:fldChar w:fldCharType="begin"/>
      </w:r>
      <w:r w:rsidRPr="00304219">
        <w:rPr>
          <w:rFonts w:ascii="Arial" w:hAnsi="Arial" w:cs="Arial"/>
          <w:sz w:val="22"/>
          <w:szCs w:val="22"/>
        </w:rPr>
        <w:instrText xml:space="preserve"> SECTION  \* MERGEFORMAT </w:instrText>
      </w:r>
      <w:r w:rsidRPr="00304219">
        <w:rPr>
          <w:rFonts w:ascii="Arial" w:hAnsi="Arial" w:cs="Arial"/>
          <w:sz w:val="22"/>
          <w:szCs w:val="22"/>
        </w:rPr>
        <w:fldChar w:fldCharType="separate"/>
      </w:r>
      <w:r w:rsidRPr="00304219">
        <w:rPr>
          <w:rFonts w:ascii="Arial" w:hAnsi="Arial" w:cs="Arial"/>
          <w:sz w:val="22"/>
          <w:szCs w:val="22"/>
        </w:rPr>
        <w:instrText>4</w:instrText>
      </w:r>
      <w:r w:rsidRPr="00304219">
        <w:rPr>
          <w:rFonts w:ascii="Arial" w:hAnsi="Arial" w:cs="Arial"/>
          <w:sz w:val="22"/>
          <w:szCs w:val="22"/>
        </w:rPr>
        <w:fldChar w:fldCharType="end"/>
      </w:r>
      <w:r w:rsidRPr="00304219">
        <w:rPr>
          <w:rFonts w:ascii="Arial" w:hAnsi="Arial" w:cs="Arial"/>
          <w:sz w:val="22"/>
          <w:szCs w:val="22"/>
        </w:rPr>
        <w:instrText xml:space="preserve">#"\* ALPHABETIC \* MERGEFORMAT </w:instrText>
      </w:r>
      <w:r w:rsidRPr="00304219">
        <w:rPr>
          <w:rFonts w:ascii="Arial" w:hAnsi="Arial" w:cs="Arial"/>
          <w:sz w:val="22"/>
          <w:szCs w:val="22"/>
        </w:rPr>
        <w:fldChar w:fldCharType="separate"/>
      </w:r>
      <w:bookmarkStart w:id="24" w:name="_Toc433354362"/>
      <w:r w:rsidRPr="00304219">
        <w:rPr>
          <w:rFonts w:ascii="Arial" w:hAnsi="Arial" w:cs="Arial"/>
          <w:noProof/>
          <w:sz w:val="22"/>
          <w:szCs w:val="22"/>
        </w:rPr>
        <w:t>D</w:t>
      </w:r>
      <w:r w:rsidRPr="00304219">
        <w:rPr>
          <w:rFonts w:ascii="Arial" w:hAnsi="Arial" w:cs="Arial"/>
          <w:sz w:val="22"/>
          <w:szCs w:val="22"/>
        </w:rPr>
        <w:fldChar w:fldCharType="end"/>
      </w:r>
      <w:r w:rsidRPr="00304219">
        <w:rPr>
          <w:rFonts w:ascii="Arial" w:hAnsi="Arial" w:cs="Arial"/>
          <w:sz w:val="22"/>
          <w:szCs w:val="22"/>
        </w:rPr>
        <w:t>.</w:t>
      </w:r>
      <w:r w:rsidRPr="00304219">
        <w:rPr>
          <w:rFonts w:ascii="Arial" w:hAnsi="Arial" w:cs="Arial"/>
          <w:sz w:val="22"/>
          <w:szCs w:val="22"/>
        </w:rPr>
        <w:tab/>
      </w:r>
      <w:r w:rsidR="00A93FB7" w:rsidRPr="00304219">
        <w:rPr>
          <w:rFonts w:ascii="Arial" w:hAnsi="Arial" w:cs="Arial"/>
          <w:sz w:val="22"/>
          <w:szCs w:val="22"/>
        </w:rPr>
        <w:t xml:space="preserve">Informe de </w:t>
      </w:r>
      <w:r w:rsidRPr="00304219">
        <w:rPr>
          <w:rFonts w:ascii="Arial" w:hAnsi="Arial" w:cs="Arial"/>
          <w:sz w:val="22"/>
          <w:szCs w:val="22"/>
        </w:rPr>
        <w:t xml:space="preserve">Resultados </w:t>
      </w:r>
      <w:r w:rsidR="00A93FB7" w:rsidRPr="00304219">
        <w:rPr>
          <w:rFonts w:ascii="Arial" w:hAnsi="Arial" w:cs="Arial"/>
          <w:sz w:val="22"/>
          <w:szCs w:val="22"/>
        </w:rPr>
        <w:t xml:space="preserve">del </w:t>
      </w:r>
      <w:r w:rsidRPr="00304219">
        <w:rPr>
          <w:rFonts w:ascii="Arial" w:hAnsi="Arial" w:cs="Arial"/>
          <w:sz w:val="22"/>
          <w:szCs w:val="22"/>
        </w:rPr>
        <w:t>Monitoreo</w:t>
      </w:r>
      <w:bookmarkEnd w:id="24"/>
    </w:p>
    <w:p w14:paraId="2CA1A6EA" w14:textId="050678FE" w:rsidR="00A93FB7" w:rsidRPr="00304219" w:rsidRDefault="00A93FB7" w:rsidP="00216A3B">
      <w:pPr>
        <w:spacing w:before="120" w:after="120"/>
        <w:ind w:left="720" w:hanging="720"/>
        <w:jc w:val="both"/>
        <w:rPr>
          <w:rFonts w:ascii="Arial" w:hAnsi="Arial" w:cs="Arial"/>
          <w:bCs/>
          <w:sz w:val="22"/>
          <w:szCs w:val="22"/>
        </w:rPr>
      </w:pPr>
      <w:r w:rsidRPr="00304219">
        <w:rPr>
          <w:rFonts w:ascii="Arial" w:hAnsi="Arial" w:cs="Arial"/>
          <w:sz w:val="22"/>
          <w:szCs w:val="22"/>
        </w:rPr>
        <w:t>2.15</w:t>
      </w:r>
      <w:r w:rsidRPr="00304219">
        <w:rPr>
          <w:rFonts w:ascii="Arial" w:hAnsi="Arial" w:cs="Arial"/>
          <w:sz w:val="22"/>
          <w:szCs w:val="22"/>
        </w:rPr>
        <w:tab/>
        <w:t xml:space="preserve">La UTE </w:t>
      </w:r>
      <w:r w:rsidR="00C80FD1" w:rsidRPr="00304219">
        <w:rPr>
          <w:rFonts w:ascii="Arial" w:hAnsi="Arial" w:cs="Arial"/>
          <w:sz w:val="22"/>
          <w:szCs w:val="22"/>
        </w:rPr>
        <w:t xml:space="preserve">y la SONAPI </w:t>
      </w:r>
      <w:r w:rsidR="00216A3B" w:rsidRPr="00304219">
        <w:rPr>
          <w:rFonts w:ascii="Arial" w:hAnsi="Arial" w:cs="Arial"/>
          <w:bCs/>
          <w:sz w:val="22"/>
          <w:szCs w:val="22"/>
        </w:rPr>
        <w:t>deberá</w:t>
      </w:r>
      <w:r w:rsidR="00C80FD1" w:rsidRPr="00304219">
        <w:rPr>
          <w:rFonts w:ascii="Arial" w:hAnsi="Arial" w:cs="Arial"/>
          <w:bCs/>
          <w:sz w:val="22"/>
          <w:szCs w:val="22"/>
        </w:rPr>
        <w:t>n</w:t>
      </w:r>
      <w:r w:rsidR="00216A3B" w:rsidRPr="00304219">
        <w:rPr>
          <w:rFonts w:ascii="Arial" w:hAnsi="Arial" w:cs="Arial"/>
          <w:bCs/>
          <w:sz w:val="22"/>
          <w:szCs w:val="22"/>
        </w:rPr>
        <w:t xml:space="preserve"> elaborar y presentar al Banco los planes operativos anuales y los informes de los avances semestrales, indicando los logros en cada uno de los componentes y en el desempeño global del programa, </w:t>
      </w:r>
      <w:r w:rsidR="001E53AF" w:rsidRPr="00304219">
        <w:rPr>
          <w:rFonts w:ascii="Arial" w:hAnsi="Arial" w:cs="Arial"/>
          <w:bCs/>
          <w:sz w:val="22"/>
          <w:szCs w:val="22"/>
        </w:rPr>
        <w:t xml:space="preserve">con </w:t>
      </w:r>
      <w:r w:rsidR="00216A3B" w:rsidRPr="00304219">
        <w:rPr>
          <w:rFonts w:ascii="Arial" w:hAnsi="Arial" w:cs="Arial"/>
          <w:bCs/>
          <w:sz w:val="22"/>
          <w:szCs w:val="22"/>
        </w:rPr>
        <w:t xml:space="preserve">base </w:t>
      </w:r>
      <w:r w:rsidR="001E53AF" w:rsidRPr="00304219">
        <w:rPr>
          <w:rFonts w:ascii="Arial" w:hAnsi="Arial" w:cs="Arial"/>
          <w:bCs/>
          <w:sz w:val="22"/>
          <w:szCs w:val="22"/>
        </w:rPr>
        <w:t xml:space="preserve">en </w:t>
      </w:r>
      <w:r w:rsidR="00216A3B" w:rsidRPr="00304219">
        <w:rPr>
          <w:rFonts w:ascii="Arial" w:hAnsi="Arial" w:cs="Arial"/>
          <w:bCs/>
          <w:sz w:val="22"/>
          <w:szCs w:val="22"/>
        </w:rPr>
        <w:t>los indicadores acordados bajo el marco de resultados</w:t>
      </w:r>
      <w:r w:rsidR="00AE74FE" w:rsidRPr="00304219">
        <w:rPr>
          <w:rFonts w:ascii="Arial" w:hAnsi="Arial" w:cs="Arial"/>
          <w:bCs/>
          <w:sz w:val="22"/>
          <w:szCs w:val="22"/>
        </w:rPr>
        <w:t xml:space="preserve"> y a la frecuencia</w:t>
      </w:r>
      <w:r w:rsidR="00730383" w:rsidRPr="00304219">
        <w:rPr>
          <w:rFonts w:ascii="Arial" w:hAnsi="Arial" w:cs="Arial"/>
          <w:bCs/>
          <w:sz w:val="22"/>
          <w:szCs w:val="22"/>
        </w:rPr>
        <w:t xml:space="preserve"> y fechas contenidas en </w:t>
      </w:r>
      <w:r w:rsidR="00001BCA" w:rsidRPr="00304219">
        <w:rPr>
          <w:rFonts w:ascii="Arial" w:hAnsi="Arial" w:cs="Arial"/>
          <w:bCs/>
          <w:sz w:val="22"/>
          <w:szCs w:val="22"/>
        </w:rPr>
        <w:t>el Cuadro</w:t>
      </w:r>
      <w:r w:rsidR="00561F53" w:rsidRPr="00304219">
        <w:rPr>
          <w:rFonts w:ascii="Arial" w:hAnsi="Arial" w:cs="Arial"/>
          <w:bCs/>
          <w:sz w:val="22"/>
          <w:szCs w:val="22"/>
        </w:rPr>
        <w:t xml:space="preserve"> 3</w:t>
      </w:r>
      <w:r w:rsidR="00216A3B" w:rsidRPr="00304219">
        <w:rPr>
          <w:rFonts w:ascii="Arial" w:hAnsi="Arial" w:cs="Arial"/>
          <w:bCs/>
          <w:sz w:val="22"/>
          <w:szCs w:val="22"/>
        </w:rPr>
        <w:t>. Adicionalmente, los informes deberán incluir, entre otros: (i</w:t>
      </w:r>
      <w:r w:rsidR="00724C99" w:rsidRPr="00304219">
        <w:rPr>
          <w:rFonts w:ascii="Arial" w:hAnsi="Arial" w:cs="Arial"/>
          <w:bCs/>
          <w:sz w:val="22"/>
          <w:szCs w:val="22"/>
        </w:rPr>
        <w:t>) </w:t>
      </w:r>
      <w:r w:rsidR="00216A3B" w:rsidRPr="00304219">
        <w:rPr>
          <w:rFonts w:ascii="Arial" w:hAnsi="Arial" w:cs="Arial"/>
          <w:bCs/>
          <w:sz w:val="22"/>
          <w:szCs w:val="22"/>
        </w:rPr>
        <w:t>una descripción de las actividades realizadas; (ii) cronogramas actualizados de ejecución física y desembolsos; (iii) grado de cumplimiento de los indicadores de ejecución acordados; (iv) un programa de actividades para el semestre entrante; (v</w:t>
      </w:r>
      <w:r w:rsidR="00724C99" w:rsidRPr="00304219">
        <w:rPr>
          <w:rFonts w:ascii="Arial" w:hAnsi="Arial" w:cs="Arial"/>
          <w:bCs/>
          <w:sz w:val="22"/>
          <w:szCs w:val="22"/>
        </w:rPr>
        <w:t>) </w:t>
      </w:r>
      <w:r w:rsidR="00216A3B" w:rsidRPr="00304219">
        <w:rPr>
          <w:rFonts w:ascii="Arial" w:hAnsi="Arial" w:cs="Arial"/>
          <w:bCs/>
          <w:sz w:val="22"/>
          <w:szCs w:val="22"/>
        </w:rPr>
        <w:t xml:space="preserve">un resumen del estado de ejecución financiera del programa y el flujo de recursos previsto para el próximo semestre; (vi) una sección identificando posibles desarrollos o </w:t>
      </w:r>
      <w:r w:rsidR="00216A3B" w:rsidRPr="00304219">
        <w:rPr>
          <w:rFonts w:ascii="Arial" w:hAnsi="Arial" w:cs="Arial"/>
          <w:bCs/>
          <w:sz w:val="22"/>
          <w:szCs w:val="22"/>
        </w:rPr>
        <w:lastRenderedPageBreak/>
        <w:t>eventos que pudieran poner en riesgo la ejecución del programa; y (vii) un resumen y evaluación de las principales actividades soc</w:t>
      </w:r>
      <w:r w:rsidR="00E369B4" w:rsidRPr="00304219">
        <w:rPr>
          <w:rFonts w:ascii="Arial" w:hAnsi="Arial" w:cs="Arial"/>
          <w:bCs/>
          <w:sz w:val="22"/>
          <w:szCs w:val="22"/>
        </w:rPr>
        <w:t xml:space="preserve">iales y </w:t>
      </w:r>
      <w:r w:rsidR="00216A3B" w:rsidRPr="00304219">
        <w:rPr>
          <w:rFonts w:ascii="Arial" w:hAnsi="Arial" w:cs="Arial"/>
          <w:bCs/>
          <w:sz w:val="22"/>
          <w:szCs w:val="22"/>
        </w:rPr>
        <w:t xml:space="preserve">ambientales ejecutadas durante el periodo, el cumplimiento de las políticas </w:t>
      </w:r>
      <w:r w:rsidR="00E369B4" w:rsidRPr="00304219">
        <w:rPr>
          <w:rFonts w:ascii="Arial" w:hAnsi="Arial" w:cs="Arial"/>
          <w:bCs/>
          <w:sz w:val="22"/>
          <w:szCs w:val="22"/>
        </w:rPr>
        <w:t>sociales y ambiéntales</w:t>
      </w:r>
      <w:r w:rsidR="00216A3B" w:rsidRPr="00304219">
        <w:rPr>
          <w:rFonts w:ascii="Arial" w:hAnsi="Arial" w:cs="Arial"/>
          <w:bCs/>
          <w:sz w:val="22"/>
          <w:szCs w:val="22"/>
        </w:rPr>
        <w:t xml:space="preserve"> del Banco y las recomendaciones realizadas para el contratista y las entidades supervisor</w:t>
      </w:r>
      <w:r w:rsidR="00AE74FE" w:rsidRPr="00304219">
        <w:rPr>
          <w:rFonts w:ascii="Arial" w:hAnsi="Arial" w:cs="Arial"/>
          <w:bCs/>
          <w:sz w:val="22"/>
          <w:szCs w:val="22"/>
        </w:rPr>
        <w:t>a</w:t>
      </w:r>
      <w:r w:rsidR="00216A3B" w:rsidRPr="00304219">
        <w:rPr>
          <w:rFonts w:ascii="Arial" w:hAnsi="Arial" w:cs="Arial"/>
          <w:bCs/>
          <w:sz w:val="22"/>
          <w:szCs w:val="22"/>
        </w:rPr>
        <w:t>s para el periodo subsiguiente.</w:t>
      </w:r>
    </w:p>
    <w:p w14:paraId="2FB3895E" w14:textId="68BC4EB1" w:rsidR="00724C99" w:rsidRPr="00304219" w:rsidRDefault="00A20E22" w:rsidP="00C41372">
      <w:pPr>
        <w:spacing w:before="120" w:after="120"/>
        <w:ind w:left="720" w:hanging="720"/>
        <w:jc w:val="both"/>
        <w:rPr>
          <w:rFonts w:ascii="Arial" w:hAnsi="Arial" w:cs="Arial"/>
          <w:sz w:val="22"/>
          <w:szCs w:val="22"/>
        </w:rPr>
      </w:pPr>
      <w:r w:rsidRPr="00304219">
        <w:rPr>
          <w:rFonts w:ascii="Arial" w:hAnsi="Arial" w:cs="Arial"/>
          <w:bCs/>
          <w:sz w:val="22"/>
          <w:szCs w:val="22"/>
        </w:rPr>
        <w:t>2.16</w:t>
      </w:r>
      <w:r w:rsidRPr="00304219">
        <w:rPr>
          <w:rFonts w:ascii="Arial" w:hAnsi="Arial" w:cs="Arial"/>
          <w:bCs/>
          <w:sz w:val="22"/>
          <w:szCs w:val="22"/>
        </w:rPr>
        <w:tab/>
      </w:r>
      <w:r w:rsidRPr="00304219">
        <w:rPr>
          <w:rFonts w:ascii="Arial" w:hAnsi="Arial" w:cs="Arial"/>
          <w:b/>
          <w:bCs/>
          <w:sz w:val="22"/>
          <w:szCs w:val="22"/>
        </w:rPr>
        <w:t>Info</w:t>
      </w:r>
      <w:r w:rsidR="00AE74FE" w:rsidRPr="00304219">
        <w:rPr>
          <w:rFonts w:ascii="Arial" w:hAnsi="Arial" w:cs="Arial"/>
          <w:b/>
          <w:bCs/>
          <w:sz w:val="22"/>
          <w:szCs w:val="22"/>
        </w:rPr>
        <w:t>r</w:t>
      </w:r>
      <w:r w:rsidRPr="00304219">
        <w:rPr>
          <w:rFonts w:ascii="Arial" w:hAnsi="Arial" w:cs="Arial"/>
          <w:b/>
          <w:bCs/>
          <w:sz w:val="22"/>
          <w:szCs w:val="22"/>
        </w:rPr>
        <w:t>me final.</w:t>
      </w:r>
      <w:r w:rsidRPr="00304219">
        <w:rPr>
          <w:rFonts w:ascii="Arial" w:hAnsi="Arial" w:cs="Arial"/>
          <w:bCs/>
          <w:sz w:val="22"/>
          <w:szCs w:val="22"/>
        </w:rPr>
        <w:t xml:space="preserve"> </w:t>
      </w:r>
      <w:r w:rsidR="00E369B4" w:rsidRPr="00304219">
        <w:rPr>
          <w:rFonts w:ascii="Arial" w:hAnsi="Arial" w:cs="Arial"/>
          <w:bCs/>
          <w:sz w:val="22"/>
          <w:szCs w:val="22"/>
          <w:lang w:val="es-ES"/>
        </w:rPr>
        <w:t>Dentro de los 90 días después del último desembolso de la Contribución, una evaluación final del proyecto será preparada, que deberá incluir como mínimo: (i) los resultados de desempeño financiero por componente</w:t>
      </w:r>
      <w:r w:rsidR="005D0FD1" w:rsidRPr="00304219">
        <w:rPr>
          <w:rFonts w:ascii="Arial" w:hAnsi="Arial" w:cs="Arial"/>
          <w:bCs/>
          <w:sz w:val="22"/>
          <w:szCs w:val="22"/>
          <w:lang w:val="es-ES"/>
        </w:rPr>
        <w:t>;</w:t>
      </w:r>
      <w:r w:rsidR="00E369B4" w:rsidRPr="00304219">
        <w:rPr>
          <w:rFonts w:ascii="Arial" w:hAnsi="Arial" w:cs="Arial"/>
          <w:bCs/>
          <w:sz w:val="22"/>
          <w:szCs w:val="22"/>
          <w:lang w:val="es-ES"/>
        </w:rPr>
        <w:t xml:space="preserve"> (ii) la realización de los objetivos, de acuerdo a los indicadores los resultados acordados</w:t>
      </w:r>
      <w:r w:rsidR="005D0FD1" w:rsidRPr="00304219">
        <w:rPr>
          <w:rFonts w:ascii="Arial" w:hAnsi="Arial" w:cs="Arial"/>
          <w:bCs/>
          <w:sz w:val="22"/>
          <w:szCs w:val="22"/>
          <w:lang w:val="es-ES"/>
        </w:rPr>
        <w:t>;</w:t>
      </w:r>
      <w:r w:rsidR="00E369B4" w:rsidRPr="00304219">
        <w:rPr>
          <w:rFonts w:ascii="Arial" w:hAnsi="Arial" w:cs="Arial"/>
          <w:bCs/>
          <w:sz w:val="22"/>
          <w:szCs w:val="22"/>
          <w:lang w:val="es-ES"/>
        </w:rPr>
        <w:t xml:space="preserve"> (iii)</w:t>
      </w:r>
      <w:r w:rsidR="00FB3265" w:rsidRPr="00304219">
        <w:rPr>
          <w:rFonts w:ascii="Arial" w:hAnsi="Arial" w:cs="Arial"/>
          <w:bCs/>
          <w:sz w:val="22"/>
          <w:szCs w:val="22"/>
          <w:lang w:val="es-ES"/>
        </w:rPr>
        <w:t> </w:t>
      </w:r>
      <w:r w:rsidR="00E369B4" w:rsidRPr="00304219">
        <w:rPr>
          <w:rFonts w:ascii="Arial" w:hAnsi="Arial" w:cs="Arial"/>
          <w:bCs/>
          <w:sz w:val="22"/>
          <w:szCs w:val="22"/>
          <w:lang w:val="es-ES"/>
        </w:rPr>
        <w:t>el cumplimiento de las obligaciones contractuales</w:t>
      </w:r>
      <w:r w:rsidR="005D0FD1" w:rsidRPr="00304219">
        <w:rPr>
          <w:rFonts w:ascii="Arial" w:hAnsi="Arial" w:cs="Arial"/>
          <w:bCs/>
          <w:sz w:val="22"/>
          <w:szCs w:val="22"/>
          <w:lang w:val="es-ES"/>
        </w:rPr>
        <w:t>;</w:t>
      </w:r>
      <w:r w:rsidR="00E369B4" w:rsidRPr="00304219">
        <w:rPr>
          <w:rFonts w:ascii="Arial" w:hAnsi="Arial" w:cs="Arial"/>
          <w:bCs/>
          <w:sz w:val="22"/>
          <w:szCs w:val="22"/>
          <w:lang w:val="es-ES"/>
        </w:rPr>
        <w:t xml:space="preserve"> (</w:t>
      </w:r>
      <w:r w:rsidR="00F16CC4">
        <w:rPr>
          <w:rFonts w:ascii="Arial" w:hAnsi="Arial" w:cs="Arial"/>
          <w:bCs/>
          <w:sz w:val="22"/>
          <w:szCs w:val="22"/>
          <w:lang w:val="es-ES"/>
        </w:rPr>
        <w:t>i</w:t>
      </w:r>
      <w:r w:rsidR="00E369B4" w:rsidRPr="00304219">
        <w:rPr>
          <w:rFonts w:ascii="Arial" w:hAnsi="Arial" w:cs="Arial"/>
          <w:bCs/>
          <w:sz w:val="22"/>
          <w:szCs w:val="22"/>
          <w:lang w:val="es-ES"/>
        </w:rPr>
        <w:t>v) las lecciones aprendidas</w:t>
      </w:r>
      <w:r w:rsidR="00724C99" w:rsidRPr="00304219">
        <w:rPr>
          <w:rFonts w:ascii="Arial" w:hAnsi="Arial" w:cs="Arial"/>
          <w:bCs/>
          <w:sz w:val="22"/>
          <w:szCs w:val="22"/>
          <w:lang w:val="es-ES"/>
        </w:rPr>
        <w:t>;</w:t>
      </w:r>
      <w:r w:rsidR="00E369B4" w:rsidRPr="00304219">
        <w:rPr>
          <w:rFonts w:ascii="Arial" w:hAnsi="Arial" w:cs="Arial"/>
          <w:bCs/>
          <w:sz w:val="22"/>
          <w:szCs w:val="22"/>
          <w:lang w:val="es-ES"/>
        </w:rPr>
        <w:t xml:space="preserve"> y </w:t>
      </w:r>
      <w:r w:rsidR="00216A3B" w:rsidRPr="00304219">
        <w:rPr>
          <w:rFonts w:ascii="Arial" w:hAnsi="Arial" w:cs="Arial"/>
          <w:sz w:val="22"/>
          <w:szCs w:val="22"/>
        </w:rPr>
        <w:t>(v) </w:t>
      </w:r>
      <w:r w:rsidR="00602737" w:rsidRPr="00304219">
        <w:rPr>
          <w:rFonts w:ascii="Arial" w:hAnsi="Arial" w:cs="Arial"/>
          <w:sz w:val="22"/>
          <w:szCs w:val="22"/>
        </w:rPr>
        <w:t xml:space="preserve">el nivel de </w:t>
      </w:r>
      <w:r w:rsidR="00810B8D" w:rsidRPr="00304219">
        <w:rPr>
          <w:rFonts w:ascii="Arial" w:hAnsi="Arial" w:cs="Arial"/>
          <w:sz w:val="22"/>
          <w:szCs w:val="22"/>
        </w:rPr>
        <w:t>cumplimiento del Plan de Gestión Ambiental y Social</w:t>
      </w:r>
      <w:r w:rsidR="00216A3B" w:rsidRPr="00304219">
        <w:rPr>
          <w:rFonts w:ascii="Arial" w:hAnsi="Arial" w:cs="Arial"/>
          <w:sz w:val="22"/>
          <w:szCs w:val="22"/>
        </w:rPr>
        <w:t xml:space="preserve"> del programa.</w:t>
      </w:r>
    </w:p>
    <w:p w14:paraId="50809FE8" w14:textId="019CF48E" w:rsidR="001E78E9" w:rsidRPr="00304219" w:rsidRDefault="00561F53" w:rsidP="001E78E9">
      <w:pPr>
        <w:pStyle w:val="Paragraph"/>
        <w:numPr>
          <w:ilvl w:val="0"/>
          <w:numId w:val="0"/>
        </w:numPr>
        <w:jc w:val="center"/>
        <w:rPr>
          <w:rFonts w:ascii="Arial" w:hAnsi="Arial" w:cs="Arial"/>
          <w:b/>
          <w:sz w:val="22"/>
          <w:szCs w:val="22"/>
        </w:rPr>
      </w:pPr>
      <w:r w:rsidRPr="00304219">
        <w:rPr>
          <w:rFonts w:ascii="Arial" w:hAnsi="Arial" w:cs="Arial"/>
          <w:b/>
          <w:sz w:val="22"/>
          <w:szCs w:val="22"/>
        </w:rPr>
        <w:t>Tabla 3</w:t>
      </w:r>
      <w:r w:rsidR="001E78E9" w:rsidRPr="00304219">
        <w:rPr>
          <w:rFonts w:ascii="Arial" w:hAnsi="Arial" w:cs="Arial"/>
          <w:b/>
          <w:sz w:val="22"/>
          <w:szCs w:val="22"/>
        </w:rPr>
        <w:t xml:space="preserve"> - </w:t>
      </w:r>
      <w:r w:rsidR="001E78E9" w:rsidRPr="00304219">
        <w:rPr>
          <w:rFonts w:ascii="Arial" w:eastAsia="Calibri" w:hAnsi="Arial" w:cs="Arial"/>
          <w:b/>
          <w:smallCaps/>
          <w:sz w:val="22"/>
          <w:szCs w:val="22"/>
          <w:lang w:val="es-MX"/>
        </w:rPr>
        <w:t>Monitoreo - Plan de Trabajo</w:t>
      </w:r>
      <w:r w:rsidR="001E78E9" w:rsidRPr="00304219">
        <w:rPr>
          <w:rFonts w:ascii="Arial" w:hAnsi="Arial" w:cs="Arial"/>
          <w:b/>
          <w:sz w:val="22"/>
          <w:szCs w:val="22"/>
        </w:rPr>
        <w:t xml:space="preserve"> </w:t>
      </w:r>
    </w:p>
    <w:tbl>
      <w:tblPr>
        <w:tblW w:w="9303" w:type="dxa"/>
        <w:tblInd w:w="93" w:type="dxa"/>
        <w:tblLayout w:type="fixed"/>
        <w:tblLook w:val="04A0" w:firstRow="1" w:lastRow="0" w:firstColumn="1" w:lastColumn="0" w:noHBand="0" w:noVBand="1"/>
      </w:tblPr>
      <w:tblGrid>
        <w:gridCol w:w="2480"/>
        <w:gridCol w:w="255"/>
        <w:gridCol w:w="330"/>
        <w:gridCol w:w="332"/>
        <w:gridCol w:w="346"/>
        <w:gridCol w:w="331"/>
        <w:gridCol w:w="331"/>
        <w:gridCol w:w="331"/>
        <w:gridCol w:w="337"/>
        <w:gridCol w:w="256"/>
        <w:gridCol w:w="331"/>
        <w:gridCol w:w="326"/>
        <w:gridCol w:w="339"/>
        <w:gridCol w:w="1070"/>
        <w:gridCol w:w="630"/>
        <w:gridCol w:w="1278"/>
      </w:tblGrid>
      <w:tr w:rsidR="005B45D2" w:rsidRPr="00304219" w14:paraId="46A51D11" w14:textId="77777777" w:rsidTr="005B45D2">
        <w:trPr>
          <w:trHeight w:val="560"/>
        </w:trPr>
        <w:tc>
          <w:tcPr>
            <w:tcW w:w="2480" w:type="dxa"/>
            <w:vMerge w:val="restart"/>
            <w:tcBorders>
              <w:top w:val="single" w:sz="8" w:space="0" w:color="auto"/>
              <w:left w:val="single" w:sz="8" w:space="0" w:color="auto"/>
              <w:bottom w:val="single" w:sz="8" w:space="0" w:color="000000"/>
              <w:right w:val="nil"/>
            </w:tcBorders>
            <w:shd w:val="clear" w:color="auto" w:fill="auto"/>
            <w:vAlign w:val="center"/>
            <w:hideMark/>
          </w:tcPr>
          <w:p w14:paraId="275995D1"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Principales actividades de seguimiento/Productos por actividad</w:t>
            </w:r>
          </w:p>
        </w:tc>
        <w:tc>
          <w:tcPr>
            <w:tcW w:w="1263"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2D5383C"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2017</w:t>
            </w:r>
          </w:p>
        </w:tc>
        <w:tc>
          <w:tcPr>
            <w:tcW w:w="1330"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38DB3050"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2018</w:t>
            </w:r>
          </w:p>
        </w:tc>
        <w:tc>
          <w:tcPr>
            <w:tcW w:w="1252" w:type="dxa"/>
            <w:gridSpan w:val="4"/>
            <w:tcBorders>
              <w:top w:val="single" w:sz="8" w:space="0" w:color="auto"/>
              <w:left w:val="nil"/>
              <w:bottom w:val="single" w:sz="4" w:space="0" w:color="auto"/>
              <w:right w:val="single" w:sz="4" w:space="0" w:color="auto"/>
            </w:tcBorders>
            <w:shd w:val="clear" w:color="auto" w:fill="auto"/>
            <w:noWrap/>
            <w:vAlign w:val="bottom"/>
            <w:hideMark/>
          </w:tcPr>
          <w:p w14:paraId="4BD930B9"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2019</w:t>
            </w:r>
          </w:p>
        </w:tc>
        <w:tc>
          <w:tcPr>
            <w:tcW w:w="107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62F03DE"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Responsable</w:t>
            </w:r>
          </w:p>
        </w:tc>
        <w:tc>
          <w:tcPr>
            <w:tcW w:w="63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4B4539C" w14:textId="5BC48CC4"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Costo (US$)</w:t>
            </w:r>
          </w:p>
        </w:tc>
        <w:tc>
          <w:tcPr>
            <w:tcW w:w="1278"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04F85A19"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Financiamiento</w:t>
            </w:r>
          </w:p>
        </w:tc>
      </w:tr>
      <w:tr w:rsidR="005B45D2" w:rsidRPr="00304219" w14:paraId="43AF18E8" w14:textId="77777777" w:rsidTr="005B45D2">
        <w:trPr>
          <w:trHeight w:val="300"/>
        </w:trPr>
        <w:tc>
          <w:tcPr>
            <w:tcW w:w="2480" w:type="dxa"/>
            <w:vMerge/>
            <w:tcBorders>
              <w:top w:val="single" w:sz="8" w:space="0" w:color="auto"/>
              <w:left w:val="single" w:sz="8" w:space="0" w:color="auto"/>
              <w:bottom w:val="single" w:sz="8" w:space="0" w:color="000000"/>
              <w:right w:val="nil"/>
            </w:tcBorders>
            <w:vAlign w:val="center"/>
            <w:hideMark/>
          </w:tcPr>
          <w:p w14:paraId="4758E08E" w14:textId="77777777" w:rsidR="005B45D2" w:rsidRPr="00304219" w:rsidRDefault="005B45D2" w:rsidP="005B45D2">
            <w:pPr>
              <w:rPr>
                <w:rFonts w:ascii="Arial" w:eastAsia="Times New Roman" w:hAnsi="Arial" w:cs="Arial"/>
                <w:color w:val="000000"/>
                <w:sz w:val="20"/>
              </w:rPr>
            </w:pPr>
          </w:p>
        </w:tc>
        <w:tc>
          <w:tcPr>
            <w:tcW w:w="255" w:type="dxa"/>
            <w:tcBorders>
              <w:top w:val="nil"/>
              <w:left w:val="single" w:sz="8" w:space="0" w:color="auto"/>
              <w:bottom w:val="single" w:sz="8" w:space="0" w:color="auto"/>
              <w:right w:val="single" w:sz="4" w:space="0" w:color="auto"/>
            </w:tcBorders>
            <w:shd w:val="clear" w:color="auto" w:fill="auto"/>
            <w:noWrap/>
            <w:vAlign w:val="center"/>
            <w:hideMark/>
          </w:tcPr>
          <w:p w14:paraId="37AB7716"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w:t>
            </w:r>
          </w:p>
        </w:tc>
        <w:tc>
          <w:tcPr>
            <w:tcW w:w="330" w:type="dxa"/>
            <w:tcBorders>
              <w:top w:val="nil"/>
              <w:left w:val="nil"/>
              <w:bottom w:val="single" w:sz="8" w:space="0" w:color="auto"/>
              <w:right w:val="single" w:sz="4" w:space="0" w:color="auto"/>
            </w:tcBorders>
            <w:shd w:val="clear" w:color="auto" w:fill="auto"/>
            <w:noWrap/>
            <w:vAlign w:val="center"/>
            <w:hideMark/>
          </w:tcPr>
          <w:p w14:paraId="4804561E"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II</w:t>
            </w:r>
          </w:p>
        </w:tc>
        <w:tc>
          <w:tcPr>
            <w:tcW w:w="332" w:type="dxa"/>
            <w:tcBorders>
              <w:top w:val="nil"/>
              <w:left w:val="nil"/>
              <w:bottom w:val="single" w:sz="8" w:space="0" w:color="auto"/>
              <w:right w:val="single" w:sz="4" w:space="0" w:color="auto"/>
            </w:tcBorders>
            <w:shd w:val="clear" w:color="auto" w:fill="auto"/>
            <w:noWrap/>
            <w:vAlign w:val="center"/>
            <w:hideMark/>
          </w:tcPr>
          <w:p w14:paraId="69688F8B"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III</w:t>
            </w:r>
          </w:p>
        </w:tc>
        <w:tc>
          <w:tcPr>
            <w:tcW w:w="346" w:type="dxa"/>
            <w:tcBorders>
              <w:top w:val="nil"/>
              <w:left w:val="nil"/>
              <w:bottom w:val="single" w:sz="8" w:space="0" w:color="auto"/>
              <w:right w:val="single" w:sz="8" w:space="0" w:color="auto"/>
            </w:tcBorders>
            <w:shd w:val="clear" w:color="auto" w:fill="auto"/>
            <w:noWrap/>
            <w:vAlign w:val="center"/>
            <w:hideMark/>
          </w:tcPr>
          <w:p w14:paraId="6B57AEBF"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IV</w:t>
            </w:r>
          </w:p>
        </w:tc>
        <w:tc>
          <w:tcPr>
            <w:tcW w:w="331" w:type="dxa"/>
            <w:tcBorders>
              <w:top w:val="nil"/>
              <w:left w:val="nil"/>
              <w:bottom w:val="single" w:sz="8" w:space="0" w:color="auto"/>
              <w:right w:val="single" w:sz="4" w:space="0" w:color="auto"/>
            </w:tcBorders>
            <w:shd w:val="clear" w:color="auto" w:fill="auto"/>
            <w:noWrap/>
            <w:vAlign w:val="center"/>
            <w:hideMark/>
          </w:tcPr>
          <w:p w14:paraId="1DD7BAC4"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w:t>
            </w:r>
          </w:p>
        </w:tc>
        <w:tc>
          <w:tcPr>
            <w:tcW w:w="331" w:type="dxa"/>
            <w:tcBorders>
              <w:top w:val="nil"/>
              <w:left w:val="nil"/>
              <w:bottom w:val="single" w:sz="8" w:space="0" w:color="auto"/>
              <w:right w:val="single" w:sz="4" w:space="0" w:color="auto"/>
            </w:tcBorders>
            <w:shd w:val="clear" w:color="auto" w:fill="auto"/>
            <w:noWrap/>
            <w:vAlign w:val="center"/>
            <w:hideMark/>
          </w:tcPr>
          <w:p w14:paraId="7824C1E6"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II</w:t>
            </w:r>
          </w:p>
        </w:tc>
        <w:tc>
          <w:tcPr>
            <w:tcW w:w="331" w:type="dxa"/>
            <w:tcBorders>
              <w:top w:val="nil"/>
              <w:left w:val="nil"/>
              <w:bottom w:val="single" w:sz="8" w:space="0" w:color="auto"/>
              <w:right w:val="single" w:sz="4" w:space="0" w:color="auto"/>
            </w:tcBorders>
            <w:shd w:val="clear" w:color="auto" w:fill="auto"/>
            <w:noWrap/>
            <w:vAlign w:val="center"/>
            <w:hideMark/>
          </w:tcPr>
          <w:p w14:paraId="352F8672"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III</w:t>
            </w:r>
          </w:p>
        </w:tc>
        <w:tc>
          <w:tcPr>
            <w:tcW w:w="337" w:type="dxa"/>
            <w:tcBorders>
              <w:top w:val="nil"/>
              <w:left w:val="nil"/>
              <w:bottom w:val="single" w:sz="8" w:space="0" w:color="auto"/>
              <w:right w:val="single" w:sz="8" w:space="0" w:color="auto"/>
            </w:tcBorders>
            <w:shd w:val="clear" w:color="auto" w:fill="auto"/>
            <w:noWrap/>
            <w:vAlign w:val="center"/>
            <w:hideMark/>
          </w:tcPr>
          <w:p w14:paraId="7B45A0D9"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IV</w:t>
            </w:r>
          </w:p>
        </w:tc>
        <w:tc>
          <w:tcPr>
            <w:tcW w:w="256" w:type="dxa"/>
            <w:tcBorders>
              <w:top w:val="nil"/>
              <w:left w:val="nil"/>
              <w:bottom w:val="single" w:sz="8" w:space="0" w:color="auto"/>
              <w:right w:val="single" w:sz="4" w:space="0" w:color="auto"/>
            </w:tcBorders>
            <w:shd w:val="clear" w:color="auto" w:fill="auto"/>
            <w:noWrap/>
            <w:vAlign w:val="center"/>
            <w:hideMark/>
          </w:tcPr>
          <w:p w14:paraId="39389214"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w:t>
            </w:r>
          </w:p>
        </w:tc>
        <w:tc>
          <w:tcPr>
            <w:tcW w:w="331" w:type="dxa"/>
            <w:tcBorders>
              <w:top w:val="nil"/>
              <w:left w:val="nil"/>
              <w:bottom w:val="single" w:sz="8" w:space="0" w:color="auto"/>
              <w:right w:val="single" w:sz="4" w:space="0" w:color="auto"/>
            </w:tcBorders>
            <w:shd w:val="clear" w:color="auto" w:fill="auto"/>
            <w:noWrap/>
            <w:vAlign w:val="center"/>
            <w:hideMark/>
          </w:tcPr>
          <w:p w14:paraId="4A48DCCF"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II</w:t>
            </w:r>
          </w:p>
        </w:tc>
        <w:tc>
          <w:tcPr>
            <w:tcW w:w="326" w:type="dxa"/>
            <w:tcBorders>
              <w:top w:val="nil"/>
              <w:left w:val="nil"/>
              <w:bottom w:val="single" w:sz="8" w:space="0" w:color="auto"/>
              <w:right w:val="single" w:sz="4" w:space="0" w:color="auto"/>
            </w:tcBorders>
            <w:shd w:val="clear" w:color="auto" w:fill="auto"/>
            <w:noWrap/>
            <w:vAlign w:val="center"/>
            <w:hideMark/>
          </w:tcPr>
          <w:p w14:paraId="684BDF57"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III</w:t>
            </w:r>
          </w:p>
        </w:tc>
        <w:tc>
          <w:tcPr>
            <w:tcW w:w="339" w:type="dxa"/>
            <w:tcBorders>
              <w:top w:val="nil"/>
              <w:left w:val="nil"/>
              <w:bottom w:val="single" w:sz="8" w:space="0" w:color="auto"/>
              <w:right w:val="nil"/>
            </w:tcBorders>
            <w:shd w:val="clear" w:color="auto" w:fill="auto"/>
            <w:noWrap/>
            <w:vAlign w:val="center"/>
            <w:hideMark/>
          </w:tcPr>
          <w:p w14:paraId="41C40D42"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IV</w:t>
            </w:r>
          </w:p>
        </w:tc>
        <w:tc>
          <w:tcPr>
            <w:tcW w:w="1070" w:type="dxa"/>
            <w:vMerge/>
            <w:tcBorders>
              <w:top w:val="single" w:sz="8" w:space="0" w:color="auto"/>
              <w:left w:val="single" w:sz="8" w:space="0" w:color="auto"/>
              <w:bottom w:val="single" w:sz="8" w:space="0" w:color="000000"/>
              <w:right w:val="single" w:sz="8" w:space="0" w:color="auto"/>
            </w:tcBorders>
            <w:vAlign w:val="center"/>
            <w:hideMark/>
          </w:tcPr>
          <w:p w14:paraId="193D7219" w14:textId="77777777" w:rsidR="005B45D2" w:rsidRPr="00304219" w:rsidRDefault="005B45D2" w:rsidP="005B45D2">
            <w:pPr>
              <w:rPr>
                <w:rFonts w:ascii="Arial" w:eastAsia="Times New Roman" w:hAnsi="Arial" w:cs="Arial"/>
                <w:color w:val="000000"/>
                <w:sz w:val="20"/>
              </w:rPr>
            </w:pPr>
          </w:p>
        </w:tc>
        <w:tc>
          <w:tcPr>
            <w:tcW w:w="630" w:type="dxa"/>
            <w:vMerge/>
            <w:tcBorders>
              <w:top w:val="single" w:sz="8" w:space="0" w:color="auto"/>
              <w:left w:val="single" w:sz="8" w:space="0" w:color="auto"/>
              <w:bottom w:val="single" w:sz="8" w:space="0" w:color="000000"/>
              <w:right w:val="single" w:sz="4" w:space="0" w:color="auto"/>
            </w:tcBorders>
            <w:vAlign w:val="center"/>
            <w:hideMark/>
          </w:tcPr>
          <w:p w14:paraId="654EE9BE" w14:textId="77777777" w:rsidR="005B45D2" w:rsidRPr="00304219" w:rsidRDefault="005B45D2" w:rsidP="005B45D2">
            <w:pPr>
              <w:rPr>
                <w:rFonts w:ascii="Arial" w:eastAsia="Times New Roman" w:hAnsi="Arial" w:cs="Arial"/>
                <w:color w:val="000000"/>
                <w:sz w:val="20"/>
              </w:rPr>
            </w:pPr>
          </w:p>
        </w:tc>
        <w:tc>
          <w:tcPr>
            <w:tcW w:w="1278" w:type="dxa"/>
            <w:vMerge/>
            <w:tcBorders>
              <w:top w:val="single" w:sz="8" w:space="0" w:color="auto"/>
              <w:left w:val="single" w:sz="4" w:space="0" w:color="auto"/>
              <w:bottom w:val="single" w:sz="8" w:space="0" w:color="000000"/>
              <w:right w:val="single" w:sz="8" w:space="0" w:color="auto"/>
            </w:tcBorders>
            <w:vAlign w:val="center"/>
            <w:hideMark/>
          </w:tcPr>
          <w:p w14:paraId="1F6A14DD" w14:textId="77777777" w:rsidR="005B45D2" w:rsidRPr="00304219" w:rsidRDefault="005B45D2" w:rsidP="005B45D2">
            <w:pPr>
              <w:rPr>
                <w:rFonts w:ascii="Arial" w:eastAsia="Times New Roman" w:hAnsi="Arial" w:cs="Arial"/>
                <w:color w:val="000000"/>
                <w:sz w:val="20"/>
              </w:rPr>
            </w:pPr>
          </w:p>
        </w:tc>
      </w:tr>
      <w:tr w:rsidR="005B45D2" w:rsidRPr="00304219" w14:paraId="6067F963" w14:textId="77777777" w:rsidTr="005B45D2">
        <w:trPr>
          <w:trHeight w:val="300"/>
        </w:trPr>
        <w:tc>
          <w:tcPr>
            <w:tcW w:w="9303" w:type="dxa"/>
            <w:gridSpan w:val="16"/>
            <w:tcBorders>
              <w:top w:val="single" w:sz="8" w:space="0" w:color="auto"/>
              <w:left w:val="single" w:sz="8" w:space="0" w:color="auto"/>
              <w:bottom w:val="nil"/>
              <w:right w:val="single" w:sz="8" w:space="0" w:color="000000"/>
            </w:tcBorders>
            <w:shd w:val="clear" w:color="auto" w:fill="auto"/>
            <w:noWrap/>
            <w:vAlign w:val="bottom"/>
            <w:hideMark/>
          </w:tcPr>
          <w:p w14:paraId="2F5B6615" w14:textId="77777777" w:rsidR="005B45D2" w:rsidRPr="00304219" w:rsidRDefault="005B45D2" w:rsidP="005B45D2">
            <w:pPr>
              <w:rPr>
                <w:rFonts w:ascii="Arial" w:eastAsia="Times New Roman" w:hAnsi="Arial" w:cs="Arial"/>
                <w:b/>
                <w:bCs/>
                <w:color w:val="000000"/>
                <w:sz w:val="20"/>
              </w:rPr>
            </w:pPr>
            <w:r w:rsidRPr="00304219">
              <w:rPr>
                <w:rFonts w:ascii="Arial" w:eastAsia="Times New Roman" w:hAnsi="Arial" w:cs="Arial"/>
                <w:b/>
                <w:bCs/>
                <w:color w:val="000000"/>
                <w:sz w:val="20"/>
              </w:rPr>
              <w:t>Componente I</w:t>
            </w:r>
          </w:p>
        </w:tc>
      </w:tr>
      <w:tr w:rsidR="005B45D2" w:rsidRPr="00304219" w14:paraId="48BF489A" w14:textId="77777777" w:rsidTr="005B45D2">
        <w:trPr>
          <w:trHeight w:val="300"/>
        </w:trPr>
        <w:tc>
          <w:tcPr>
            <w:tcW w:w="24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FD728EE"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Recopilación de información sobre:</w:t>
            </w:r>
          </w:p>
        </w:tc>
        <w:tc>
          <w:tcPr>
            <w:tcW w:w="6823" w:type="dxa"/>
            <w:gridSpan w:val="15"/>
            <w:tcBorders>
              <w:top w:val="single" w:sz="8" w:space="0" w:color="auto"/>
              <w:left w:val="nil"/>
              <w:bottom w:val="nil"/>
              <w:right w:val="single" w:sz="8" w:space="0" w:color="000000"/>
            </w:tcBorders>
            <w:shd w:val="clear" w:color="auto" w:fill="auto"/>
            <w:noWrap/>
            <w:vAlign w:val="bottom"/>
            <w:hideMark/>
          </w:tcPr>
          <w:p w14:paraId="4C49DD65"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 </w:t>
            </w:r>
          </w:p>
        </w:tc>
      </w:tr>
      <w:tr w:rsidR="00FC1143" w:rsidRPr="00304219" w14:paraId="13C7F5AF" w14:textId="77777777" w:rsidTr="00FC1143">
        <w:trPr>
          <w:trHeight w:val="620"/>
        </w:trPr>
        <w:tc>
          <w:tcPr>
            <w:tcW w:w="2480" w:type="dxa"/>
            <w:tcBorders>
              <w:top w:val="nil"/>
              <w:left w:val="single" w:sz="8" w:space="0" w:color="auto"/>
              <w:bottom w:val="single" w:sz="4" w:space="0" w:color="auto"/>
              <w:right w:val="nil"/>
            </w:tcBorders>
            <w:shd w:val="clear" w:color="auto" w:fill="auto"/>
            <w:vAlign w:val="bottom"/>
            <w:hideMark/>
          </w:tcPr>
          <w:p w14:paraId="6D511EC6"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Edificios Industriales y especiales (de 11.700 m2 y 5.000 m2cada uno)  construidos (4)</w:t>
            </w:r>
          </w:p>
        </w:tc>
        <w:tc>
          <w:tcPr>
            <w:tcW w:w="25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C16822C"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0" w:type="dxa"/>
            <w:tcBorders>
              <w:top w:val="single" w:sz="8" w:space="0" w:color="auto"/>
              <w:left w:val="nil"/>
              <w:bottom w:val="single" w:sz="4" w:space="0" w:color="auto"/>
              <w:right w:val="single" w:sz="4" w:space="0" w:color="auto"/>
            </w:tcBorders>
            <w:shd w:val="clear" w:color="auto" w:fill="auto"/>
            <w:noWrap/>
            <w:vAlign w:val="center"/>
            <w:hideMark/>
          </w:tcPr>
          <w:p w14:paraId="668CAFB8"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2" w:type="dxa"/>
            <w:tcBorders>
              <w:top w:val="single" w:sz="8" w:space="0" w:color="auto"/>
              <w:left w:val="nil"/>
              <w:bottom w:val="single" w:sz="4" w:space="0" w:color="auto"/>
              <w:right w:val="single" w:sz="4" w:space="0" w:color="auto"/>
            </w:tcBorders>
            <w:shd w:val="clear" w:color="auto" w:fill="auto"/>
            <w:noWrap/>
            <w:vAlign w:val="center"/>
            <w:hideMark/>
          </w:tcPr>
          <w:p w14:paraId="3E3E089A"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46" w:type="dxa"/>
            <w:tcBorders>
              <w:top w:val="single" w:sz="8" w:space="0" w:color="auto"/>
              <w:left w:val="nil"/>
              <w:bottom w:val="single" w:sz="4" w:space="0" w:color="auto"/>
              <w:right w:val="single" w:sz="8" w:space="0" w:color="auto"/>
            </w:tcBorders>
            <w:shd w:val="clear" w:color="auto" w:fill="auto"/>
            <w:noWrap/>
            <w:vAlign w:val="center"/>
            <w:hideMark/>
          </w:tcPr>
          <w:p w14:paraId="6CDCBEDB"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1" w:type="dxa"/>
            <w:tcBorders>
              <w:top w:val="single" w:sz="8" w:space="0" w:color="auto"/>
              <w:left w:val="nil"/>
              <w:bottom w:val="single" w:sz="4" w:space="0" w:color="auto"/>
              <w:right w:val="single" w:sz="4" w:space="0" w:color="auto"/>
            </w:tcBorders>
            <w:shd w:val="clear" w:color="auto" w:fill="auto"/>
            <w:noWrap/>
            <w:vAlign w:val="center"/>
            <w:hideMark/>
          </w:tcPr>
          <w:p w14:paraId="6B92B943"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1" w:type="dxa"/>
            <w:tcBorders>
              <w:top w:val="single" w:sz="8" w:space="0" w:color="auto"/>
              <w:left w:val="nil"/>
              <w:bottom w:val="single" w:sz="4" w:space="0" w:color="auto"/>
              <w:right w:val="single" w:sz="4" w:space="0" w:color="auto"/>
            </w:tcBorders>
            <w:shd w:val="clear" w:color="auto" w:fill="auto"/>
            <w:noWrap/>
            <w:vAlign w:val="center"/>
            <w:hideMark/>
          </w:tcPr>
          <w:p w14:paraId="76DA3A25"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single" w:sz="8" w:space="0" w:color="auto"/>
              <w:left w:val="nil"/>
              <w:bottom w:val="single" w:sz="4" w:space="0" w:color="auto"/>
              <w:right w:val="single" w:sz="4" w:space="0" w:color="auto"/>
            </w:tcBorders>
            <w:shd w:val="clear" w:color="auto" w:fill="auto"/>
            <w:noWrap/>
            <w:vAlign w:val="center"/>
            <w:hideMark/>
          </w:tcPr>
          <w:p w14:paraId="2CF5928E"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7" w:type="dxa"/>
            <w:tcBorders>
              <w:top w:val="single" w:sz="8" w:space="0" w:color="auto"/>
              <w:left w:val="nil"/>
              <w:bottom w:val="single" w:sz="4" w:space="0" w:color="auto"/>
              <w:right w:val="single" w:sz="8" w:space="0" w:color="auto"/>
            </w:tcBorders>
            <w:shd w:val="clear" w:color="auto" w:fill="auto"/>
            <w:noWrap/>
            <w:vAlign w:val="center"/>
            <w:hideMark/>
          </w:tcPr>
          <w:p w14:paraId="640427D4"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256" w:type="dxa"/>
            <w:tcBorders>
              <w:top w:val="single" w:sz="8" w:space="0" w:color="auto"/>
              <w:left w:val="nil"/>
              <w:bottom w:val="single" w:sz="4" w:space="0" w:color="auto"/>
              <w:right w:val="single" w:sz="4" w:space="0" w:color="auto"/>
            </w:tcBorders>
            <w:shd w:val="clear" w:color="auto" w:fill="auto"/>
            <w:noWrap/>
            <w:vAlign w:val="center"/>
            <w:hideMark/>
          </w:tcPr>
          <w:p w14:paraId="0E78CC7B"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single" w:sz="8" w:space="0" w:color="auto"/>
              <w:left w:val="nil"/>
              <w:bottom w:val="single" w:sz="4" w:space="0" w:color="auto"/>
              <w:right w:val="single" w:sz="4" w:space="0" w:color="auto"/>
            </w:tcBorders>
            <w:shd w:val="clear" w:color="auto" w:fill="auto"/>
            <w:noWrap/>
            <w:vAlign w:val="center"/>
            <w:hideMark/>
          </w:tcPr>
          <w:p w14:paraId="4B4943B4"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26" w:type="dxa"/>
            <w:tcBorders>
              <w:top w:val="single" w:sz="8" w:space="0" w:color="auto"/>
              <w:left w:val="nil"/>
              <w:bottom w:val="single" w:sz="4" w:space="0" w:color="auto"/>
              <w:right w:val="single" w:sz="4" w:space="0" w:color="auto"/>
            </w:tcBorders>
            <w:shd w:val="clear" w:color="auto" w:fill="auto"/>
            <w:noWrap/>
            <w:vAlign w:val="center"/>
            <w:hideMark/>
          </w:tcPr>
          <w:p w14:paraId="54B732FF"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9" w:type="dxa"/>
            <w:tcBorders>
              <w:top w:val="single" w:sz="8" w:space="0" w:color="auto"/>
              <w:left w:val="nil"/>
              <w:bottom w:val="single" w:sz="4" w:space="0" w:color="auto"/>
              <w:right w:val="single" w:sz="8" w:space="0" w:color="auto"/>
            </w:tcBorders>
            <w:shd w:val="clear" w:color="auto" w:fill="auto"/>
            <w:noWrap/>
            <w:vAlign w:val="center"/>
            <w:hideMark/>
          </w:tcPr>
          <w:p w14:paraId="132C3BFA"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1070" w:type="dxa"/>
            <w:vMerge w:val="restart"/>
            <w:tcBorders>
              <w:top w:val="single" w:sz="4" w:space="0" w:color="auto"/>
              <w:left w:val="single" w:sz="8" w:space="0" w:color="auto"/>
              <w:right w:val="single" w:sz="8" w:space="0" w:color="auto"/>
            </w:tcBorders>
            <w:shd w:val="clear" w:color="auto" w:fill="auto"/>
            <w:noWrap/>
            <w:vAlign w:val="center"/>
            <w:hideMark/>
          </w:tcPr>
          <w:p w14:paraId="2305A968" w14:textId="77777777" w:rsidR="00FC1143" w:rsidRPr="00304219" w:rsidRDefault="00FC1143" w:rsidP="005B45D2">
            <w:pPr>
              <w:jc w:val="center"/>
              <w:rPr>
                <w:rFonts w:ascii="Arial" w:eastAsia="Times New Roman" w:hAnsi="Arial" w:cs="Arial"/>
                <w:color w:val="000000"/>
                <w:sz w:val="20"/>
              </w:rPr>
            </w:pPr>
            <w:r w:rsidRPr="00304219">
              <w:rPr>
                <w:rFonts w:ascii="Arial" w:eastAsia="Times New Roman" w:hAnsi="Arial" w:cs="Arial"/>
                <w:color w:val="000000"/>
                <w:sz w:val="20"/>
              </w:rPr>
              <w:t>UTE</w:t>
            </w:r>
          </w:p>
        </w:tc>
        <w:tc>
          <w:tcPr>
            <w:tcW w:w="630" w:type="dxa"/>
            <w:tcBorders>
              <w:top w:val="single" w:sz="8" w:space="0" w:color="auto"/>
              <w:left w:val="nil"/>
              <w:bottom w:val="single" w:sz="4" w:space="0" w:color="auto"/>
              <w:right w:val="single" w:sz="8" w:space="0" w:color="auto"/>
            </w:tcBorders>
            <w:shd w:val="clear" w:color="auto" w:fill="auto"/>
            <w:noWrap/>
            <w:vAlign w:val="center"/>
            <w:hideMark/>
          </w:tcPr>
          <w:p w14:paraId="2B40CE7A"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1278" w:type="dxa"/>
            <w:vMerge w:val="restart"/>
            <w:tcBorders>
              <w:top w:val="single" w:sz="8" w:space="0" w:color="auto"/>
              <w:left w:val="single" w:sz="8" w:space="0" w:color="auto"/>
              <w:right w:val="single" w:sz="8" w:space="0" w:color="auto"/>
            </w:tcBorders>
            <w:shd w:val="clear" w:color="auto" w:fill="auto"/>
            <w:noWrap/>
            <w:vAlign w:val="center"/>
            <w:hideMark/>
          </w:tcPr>
          <w:p w14:paraId="703DF409" w14:textId="77777777" w:rsidR="00FC1143" w:rsidRPr="00304219" w:rsidRDefault="00FC1143" w:rsidP="005B45D2">
            <w:pPr>
              <w:jc w:val="center"/>
              <w:rPr>
                <w:rFonts w:ascii="Arial" w:eastAsia="Times New Roman" w:hAnsi="Arial" w:cs="Arial"/>
                <w:color w:val="000000"/>
                <w:sz w:val="20"/>
              </w:rPr>
            </w:pPr>
            <w:r w:rsidRPr="00304219">
              <w:rPr>
                <w:rFonts w:ascii="Arial" w:eastAsia="Times New Roman" w:hAnsi="Arial" w:cs="Arial"/>
                <w:color w:val="000000"/>
                <w:sz w:val="20"/>
              </w:rPr>
              <w:t>BID</w:t>
            </w:r>
          </w:p>
        </w:tc>
      </w:tr>
      <w:tr w:rsidR="00FC1143" w:rsidRPr="00304219" w14:paraId="3C6EAB19" w14:textId="77777777" w:rsidTr="00FC1143">
        <w:trPr>
          <w:trHeight w:val="420"/>
        </w:trPr>
        <w:tc>
          <w:tcPr>
            <w:tcW w:w="2480" w:type="dxa"/>
            <w:tcBorders>
              <w:top w:val="nil"/>
              <w:left w:val="single" w:sz="8" w:space="0" w:color="auto"/>
              <w:bottom w:val="single" w:sz="4" w:space="0" w:color="auto"/>
              <w:right w:val="nil"/>
            </w:tcBorders>
            <w:shd w:val="clear" w:color="auto" w:fill="auto"/>
            <w:vAlign w:val="bottom"/>
            <w:hideMark/>
          </w:tcPr>
          <w:p w14:paraId="7928EA27" w14:textId="645C6291"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Edificios anexos (200 m2)  construidos (</w:t>
            </w:r>
            <w:r w:rsidR="00481671" w:rsidRPr="00304219">
              <w:rPr>
                <w:rFonts w:ascii="Arial" w:eastAsia="Times New Roman" w:hAnsi="Arial" w:cs="Arial"/>
                <w:color w:val="000000"/>
                <w:sz w:val="20"/>
              </w:rPr>
              <w:t>2</w:t>
            </w:r>
            <w:r w:rsidRPr="00304219">
              <w:rPr>
                <w:rFonts w:ascii="Arial" w:eastAsia="Times New Roman" w:hAnsi="Arial" w:cs="Arial"/>
                <w:color w:val="000000"/>
                <w:sz w:val="20"/>
              </w:rPr>
              <w:t>)</w:t>
            </w:r>
          </w:p>
        </w:tc>
        <w:tc>
          <w:tcPr>
            <w:tcW w:w="255" w:type="dxa"/>
            <w:tcBorders>
              <w:top w:val="nil"/>
              <w:left w:val="single" w:sz="8" w:space="0" w:color="auto"/>
              <w:bottom w:val="single" w:sz="4" w:space="0" w:color="auto"/>
              <w:right w:val="single" w:sz="4" w:space="0" w:color="auto"/>
            </w:tcBorders>
            <w:shd w:val="clear" w:color="auto" w:fill="auto"/>
            <w:noWrap/>
            <w:vAlign w:val="center"/>
            <w:hideMark/>
          </w:tcPr>
          <w:p w14:paraId="31ABC11F"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0" w:type="dxa"/>
            <w:tcBorders>
              <w:top w:val="nil"/>
              <w:left w:val="nil"/>
              <w:bottom w:val="single" w:sz="4" w:space="0" w:color="auto"/>
              <w:right w:val="single" w:sz="4" w:space="0" w:color="auto"/>
            </w:tcBorders>
            <w:shd w:val="clear" w:color="auto" w:fill="auto"/>
            <w:noWrap/>
            <w:vAlign w:val="center"/>
            <w:hideMark/>
          </w:tcPr>
          <w:p w14:paraId="251C8BEB"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2" w:type="dxa"/>
            <w:tcBorders>
              <w:top w:val="nil"/>
              <w:left w:val="nil"/>
              <w:bottom w:val="single" w:sz="4" w:space="0" w:color="auto"/>
              <w:right w:val="single" w:sz="4" w:space="0" w:color="auto"/>
            </w:tcBorders>
            <w:shd w:val="clear" w:color="auto" w:fill="auto"/>
            <w:noWrap/>
            <w:vAlign w:val="center"/>
            <w:hideMark/>
          </w:tcPr>
          <w:p w14:paraId="53307F0D"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46" w:type="dxa"/>
            <w:tcBorders>
              <w:top w:val="nil"/>
              <w:left w:val="nil"/>
              <w:bottom w:val="single" w:sz="4" w:space="0" w:color="auto"/>
              <w:right w:val="single" w:sz="8" w:space="0" w:color="auto"/>
            </w:tcBorders>
            <w:shd w:val="clear" w:color="auto" w:fill="auto"/>
            <w:noWrap/>
            <w:vAlign w:val="center"/>
            <w:hideMark/>
          </w:tcPr>
          <w:p w14:paraId="0686F6E9"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1" w:type="dxa"/>
            <w:tcBorders>
              <w:top w:val="nil"/>
              <w:left w:val="nil"/>
              <w:bottom w:val="single" w:sz="4" w:space="0" w:color="auto"/>
              <w:right w:val="single" w:sz="4" w:space="0" w:color="auto"/>
            </w:tcBorders>
            <w:shd w:val="clear" w:color="auto" w:fill="auto"/>
            <w:noWrap/>
            <w:vAlign w:val="center"/>
            <w:hideMark/>
          </w:tcPr>
          <w:p w14:paraId="02BAEC51"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58087E38"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58DF1D49"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7" w:type="dxa"/>
            <w:tcBorders>
              <w:top w:val="nil"/>
              <w:left w:val="nil"/>
              <w:bottom w:val="single" w:sz="4" w:space="0" w:color="auto"/>
              <w:right w:val="single" w:sz="8" w:space="0" w:color="auto"/>
            </w:tcBorders>
            <w:shd w:val="clear" w:color="auto" w:fill="auto"/>
            <w:noWrap/>
            <w:vAlign w:val="center"/>
            <w:hideMark/>
          </w:tcPr>
          <w:p w14:paraId="02735C6E"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256" w:type="dxa"/>
            <w:tcBorders>
              <w:top w:val="nil"/>
              <w:left w:val="nil"/>
              <w:bottom w:val="single" w:sz="4" w:space="0" w:color="auto"/>
              <w:right w:val="single" w:sz="4" w:space="0" w:color="auto"/>
            </w:tcBorders>
            <w:shd w:val="clear" w:color="auto" w:fill="auto"/>
            <w:noWrap/>
            <w:vAlign w:val="center"/>
            <w:hideMark/>
          </w:tcPr>
          <w:p w14:paraId="1EAD9273"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03D7F8E3"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26" w:type="dxa"/>
            <w:tcBorders>
              <w:top w:val="nil"/>
              <w:left w:val="nil"/>
              <w:bottom w:val="single" w:sz="4" w:space="0" w:color="auto"/>
              <w:right w:val="single" w:sz="4" w:space="0" w:color="auto"/>
            </w:tcBorders>
            <w:shd w:val="clear" w:color="auto" w:fill="auto"/>
            <w:noWrap/>
            <w:vAlign w:val="center"/>
            <w:hideMark/>
          </w:tcPr>
          <w:p w14:paraId="0F73BBF0"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9" w:type="dxa"/>
            <w:tcBorders>
              <w:top w:val="nil"/>
              <w:left w:val="nil"/>
              <w:bottom w:val="single" w:sz="4" w:space="0" w:color="auto"/>
              <w:right w:val="single" w:sz="8" w:space="0" w:color="auto"/>
            </w:tcBorders>
            <w:shd w:val="clear" w:color="auto" w:fill="auto"/>
            <w:noWrap/>
            <w:vAlign w:val="center"/>
            <w:hideMark/>
          </w:tcPr>
          <w:p w14:paraId="65FDA4C0"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1070" w:type="dxa"/>
            <w:vMerge/>
            <w:tcBorders>
              <w:left w:val="single" w:sz="8" w:space="0" w:color="auto"/>
              <w:right w:val="single" w:sz="8" w:space="0" w:color="auto"/>
            </w:tcBorders>
            <w:vAlign w:val="center"/>
            <w:hideMark/>
          </w:tcPr>
          <w:p w14:paraId="4EA64D4A" w14:textId="77777777" w:rsidR="00FC1143" w:rsidRPr="00304219" w:rsidRDefault="00FC1143" w:rsidP="005B45D2">
            <w:pPr>
              <w:rPr>
                <w:rFonts w:ascii="Arial" w:eastAsia="Times New Roman" w:hAnsi="Arial" w:cs="Arial"/>
                <w:color w:val="000000"/>
                <w:sz w:val="20"/>
              </w:rPr>
            </w:pPr>
          </w:p>
        </w:tc>
        <w:tc>
          <w:tcPr>
            <w:tcW w:w="630" w:type="dxa"/>
            <w:tcBorders>
              <w:top w:val="nil"/>
              <w:left w:val="nil"/>
              <w:bottom w:val="single" w:sz="4" w:space="0" w:color="auto"/>
              <w:right w:val="single" w:sz="8" w:space="0" w:color="auto"/>
            </w:tcBorders>
            <w:shd w:val="clear" w:color="auto" w:fill="auto"/>
            <w:noWrap/>
            <w:vAlign w:val="center"/>
            <w:hideMark/>
          </w:tcPr>
          <w:p w14:paraId="5CEFED2B"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1278" w:type="dxa"/>
            <w:vMerge/>
            <w:tcBorders>
              <w:left w:val="single" w:sz="8" w:space="0" w:color="auto"/>
              <w:right w:val="single" w:sz="8" w:space="0" w:color="auto"/>
            </w:tcBorders>
            <w:vAlign w:val="center"/>
            <w:hideMark/>
          </w:tcPr>
          <w:p w14:paraId="7B6A69ED" w14:textId="77777777" w:rsidR="00FC1143" w:rsidRPr="00304219" w:rsidRDefault="00FC1143" w:rsidP="005B45D2">
            <w:pPr>
              <w:rPr>
                <w:rFonts w:ascii="Arial" w:eastAsia="Times New Roman" w:hAnsi="Arial" w:cs="Arial"/>
                <w:color w:val="000000"/>
                <w:sz w:val="20"/>
              </w:rPr>
            </w:pPr>
          </w:p>
        </w:tc>
      </w:tr>
      <w:tr w:rsidR="00FC1143" w:rsidRPr="00304219" w14:paraId="7D264633" w14:textId="77777777" w:rsidTr="00FC1143">
        <w:trPr>
          <w:trHeight w:val="620"/>
        </w:trPr>
        <w:tc>
          <w:tcPr>
            <w:tcW w:w="2480" w:type="dxa"/>
            <w:tcBorders>
              <w:top w:val="nil"/>
              <w:left w:val="single" w:sz="8" w:space="0" w:color="auto"/>
              <w:bottom w:val="single" w:sz="4" w:space="0" w:color="auto"/>
              <w:right w:val="nil"/>
            </w:tcBorders>
            <w:shd w:val="clear" w:color="auto" w:fill="auto"/>
            <w:vAlign w:val="bottom"/>
            <w:hideMark/>
          </w:tcPr>
          <w:p w14:paraId="7CA6BD9D" w14:textId="347741CD" w:rsidR="00FC1143" w:rsidRPr="00304219" w:rsidRDefault="00FC1143" w:rsidP="00481671">
            <w:pPr>
              <w:rPr>
                <w:rFonts w:ascii="Arial" w:eastAsia="Times New Roman" w:hAnsi="Arial" w:cs="Arial"/>
                <w:color w:val="000000"/>
                <w:sz w:val="20"/>
              </w:rPr>
            </w:pPr>
            <w:r w:rsidRPr="00304219">
              <w:rPr>
                <w:rFonts w:ascii="Arial" w:eastAsia="Times New Roman" w:hAnsi="Arial" w:cs="Arial"/>
                <w:color w:val="000000"/>
                <w:sz w:val="20"/>
              </w:rPr>
              <w:t>Edificios Genéricos (cantina</w:t>
            </w:r>
            <w:r w:rsidR="00E060B2">
              <w:rPr>
                <w:rFonts w:ascii="Arial" w:eastAsia="Times New Roman" w:hAnsi="Arial" w:cs="Arial"/>
                <w:color w:val="000000"/>
                <w:sz w:val="20"/>
              </w:rPr>
              <w:t xml:space="preserve"> </w:t>
            </w:r>
            <w:r w:rsidR="00481671" w:rsidRPr="00304219">
              <w:rPr>
                <w:rFonts w:ascii="Arial" w:eastAsia="Times New Roman" w:hAnsi="Arial" w:cs="Arial"/>
                <w:color w:val="000000"/>
                <w:sz w:val="20"/>
              </w:rPr>
              <w:t xml:space="preserve">de </w:t>
            </w:r>
            <w:r w:rsidRPr="00304219">
              <w:rPr>
                <w:rFonts w:ascii="Arial" w:eastAsia="Times New Roman" w:hAnsi="Arial" w:cs="Arial"/>
                <w:color w:val="000000"/>
                <w:sz w:val="20"/>
              </w:rPr>
              <w:t>1.600 m2)  construidos (1)</w:t>
            </w:r>
          </w:p>
        </w:tc>
        <w:tc>
          <w:tcPr>
            <w:tcW w:w="255" w:type="dxa"/>
            <w:tcBorders>
              <w:top w:val="nil"/>
              <w:left w:val="single" w:sz="8" w:space="0" w:color="auto"/>
              <w:bottom w:val="single" w:sz="4" w:space="0" w:color="auto"/>
              <w:right w:val="single" w:sz="4" w:space="0" w:color="auto"/>
            </w:tcBorders>
            <w:shd w:val="clear" w:color="auto" w:fill="auto"/>
            <w:noWrap/>
            <w:vAlign w:val="center"/>
            <w:hideMark/>
          </w:tcPr>
          <w:p w14:paraId="23C52094"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0" w:type="dxa"/>
            <w:tcBorders>
              <w:top w:val="nil"/>
              <w:left w:val="nil"/>
              <w:bottom w:val="single" w:sz="4" w:space="0" w:color="auto"/>
              <w:right w:val="single" w:sz="4" w:space="0" w:color="auto"/>
            </w:tcBorders>
            <w:shd w:val="clear" w:color="auto" w:fill="auto"/>
            <w:noWrap/>
            <w:vAlign w:val="center"/>
            <w:hideMark/>
          </w:tcPr>
          <w:p w14:paraId="5C7FA102"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2" w:type="dxa"/>
            <w:tcBorders>
              <w:top w:val="nil"/>
              <w:left w:val="nil"/>
              <w:bottom w:val="single" w:sz="4" w:space="0" w:color="auto"/>
              <w:right w:val="single" w:sz="4" w:space="0" w:color="auto"/>
            </w:tcBorders>
            <w:shd w:val="clear" w:color="auto" w:fill="auto"/>
            <w:noWrap/>
            <w:vAlign w:val="center"/>
            <w:hideMark/>
          </w:tcPr>
          <w:p w14:paraId="2750C25D"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46" w:type="dxa"/>
            <w:tcBorders>
              <w:top w:val="nil"/>
              <w:left w:val="nil"/>
              <w:bottom w:val="single" w:sz="4" w:space="0" w:color="auto"/>
              <w:right w:val="single" w:sz="8" w:space="0" w:color="auto"/>
            </w:tcBorders>
            <w:shd w:val="clear" w:color="auto" w:fill="auto"/>
            <w:noWrap/>
            <w:vAlign w:val="center"/>
            <w:hideMark/>
          </w:tcPr>
          <w:p w14:paraId="603D2E31"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262207C9"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029178C6"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21D2F3BC"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7" w:type="dxa"/>
            <w:tcBorders>
              <w:top w:val="nil"/>
              <w:left w:val="nil"/>
              <w:bottom w:val="single" w:sz="4" w:space="0" w:color="auto"/>
              <w:right w:val="single" w:sz="8" w:space="0" w:color="auto"/>
            </w:tcBorders>
            <w:shd w:val="clear" w:color="auto" w:fill="auto"/>
            <w:noWrap/>
            <w:vAlign w:val="center"/>
            <w:hideMark/>
          </w:tcPr>
          <w:p w14:paraId="34DD48CB"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256" w:type="dxa"/>
            <w:tcBorders>
              <w:top w:val="nil"/>
              <w:left w:val="nil"/>
              <w:bottom w:val="single" w:sz="4" w:space="0" w:color="auto"/>
              <w:right w:val="single" w:sz="4" w:space="0" w:color="auto"/>
            </w:tcBorders>
            <w:shd w:val="clear" w:color="auto" w:fill="auto"/>
            <w:noWrap/>
            <w:vAlign w:val="center"/>
            <w:hideMark/>
          </w:tcPr>
          <w:p w14:paraId="283E67E4"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7D246EFD"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26" w:type="dxa"/>
            <w:tcBorders>
              <w:top w:val="nil"/>
              <w:left w:val="nil"/>
              <w:bottom w:val="single" w:sz="4" w:space="0" w:color="auto"/>
              <w:right w:val="single" w:sz="4" w:space="0" w:color="auto"/>
            </w:tcBorders>
            <w:shd w:val="clear" w:color="auto" w:fill="auto"/>
            <w:noWrap/>
            <w:vAlign w:val="center"/>
            <w:hideMark/>
          </w:tcPr>
          <w:p w14:paraId="79C2E5F4"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9" w:type="dxa"/>
            <w:tcBorders>
              <w:top w:val="nil"/>
              <w:left w:val="nil"/>
              <w:bottom w:val="single" w:sz="4" w:space="0" w:color="auto"/>
              <w:right w:val="single" w:sz="8" w:space="0" w:color="auto"/>
            </w:tcBorders>
            <w:shd w:val="clear" w:color="auto" w:fill="auto"/>
            <w:noWrap/>
            <w:vAlign w:val="center"/>
            <w:hideMark/>
          </w:tcPr>
          <w:p w14:paraId="44FCC032"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1070" w:type="dxa"/>
            <w:vMerge/>
            <w:tcBorders>
              <w:left w:val="single" w:sz="8" w:space="0" w:color="auto"/>
              <w:right w:val="single" w:sz="8" w:space="0" w:color="auto"/>
            </w:tcBorders>
            <w:vAlign w:val="center"/>
            <w:hideMark/>
          </w:tcPr>
          <w:p w14:paraId="2F661010" w14:textId="77777777" w:rsidR="00FC1143" w:rsidRPr="00304219" w:rsidRDefault="00FC1143" w:rsidP="005B45D2">
            <w:pPr>
              <w:rPr>
                <w:rFonts w:ascii="Arial" w:eastAsia="Times New Roman" w:hAnsi="Arial" w:cs="Arial"/>
                <w:color w:val="000000"/>
                <w:sz w:val="20"/>
              </w:rPr>
            </w:pPr>
          </w:p>
        </w:tc>
        <w:tc>
          <w:tcPr>
            <w:tcW w:w="630" w:type="dxa"/>
            <w:tcBorders>
              <w:top w:val="nil"/>
              <w:left w:val="nil"/>
              <w:bottom w:val="single" w:sz="4" w:space="0" w:color="auto"/>
              <w:right w:val="single" w:sz="8" w:space="0" w:color="auto"/>
            </w:tcBorders>
            <w:shd w:val="clear" w:color="auto" w:fill="auto"/>
            <w:noWrap/>
            <w:vAlign w:val="center"/>
            <w:hideMark/>
          </w:tcPr>
          <w:p w14:paraId="7982FDBE"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1278" w:type="dxa"/>
            <w:vMerge/>
            <w:tcBorders>
              <w:left w:val="single" w:sz="8" w:space="0" w:color="auto"/>
              <w:right w:val="single" w:sz="8" w:space="0" w:color="auto"/>
            </w:tcBorders>
            <w:vAlign w:val="center"/>
            <w:hideMark/>
          </w:tcPr>
          <w:p w14:paraId="314D4A40" w14:textId="77777777" w:rsidR="00FC1143" w:rsidRPr="00304219" w:rsidRDefault="00FC1143" w:rsidP="005B45D2">
            <w:pPr>
              <w:rPr>
                <w:rFonts w:ascii="Arial" w:eastAsia="Times New Roman" w:hAnsi="Arial" w:cs="Arial"/>
                <w:color w:val="000000"/>
                <w:sz w:val="20"/>
              </w:rPr>
            </w:pPr>
          </w:p>
        </w:tc>
      </w:tr>
      <w:tr w:rsidR="00FC1143" w:rsidRPr="00304219" w14:paraId="1536C4A5" w14:textId="77777777" w:rsidTr="00FC1143">
        <w:trPr>
          <w:trHeight w:val="420"/>
        </w:trPr>
        <w:tc>
          <w:tcPr>
            <w:tcW w:w="2480" w:type="dxa"/>
            <w:tcBorders>
              <w:top w:val="nil"/>
              <w:left w:val="single" w:sz="8" w:space="0" w:color="auto"/>
              <w:bottom w:val="single" w:sz="4" w:space="0" w:color="auto"/>
              <w:right w:val="nil"/>
            </w:tcBorders>
            <w:shd w:val="clear" w:color="auto" w:fill="auto"/>
            <w:vAlign w:val="bottom"/>
            <w:hideMark/>
          </w:tcPr>
          <w:p w14:paraId="40600146" w14:textId="32040A88"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Vías e Infraestructura Interna construidas</w:t>
            </w:r>
          </w:p>
        </w:tc>
        <w:tc>
          <w:tcPr>
            <w:tcW w:w="255" w:type="dxa"/>
            <w:tcBorders>
              <w:top w:val="nil"/>
              <w:left w:val="single" w:sz="8" w:space="0" w:color="auto"/>
              <w:bottom w:val="single" w:sz="4" w:space="0" w:color="auto"/>
              <w:right w:val="single" w:sz="4" w:space="0" w:color="auto"/>
            </w:tcBorders>
            <w:shd w:val="clear" w:color="auto" w:fill="auto"/>
            <w:noWrap/>
            <w:vAlign w:val="center"/>
            <w:hideMark/>
          </w:tcPr>
          <w:p w14:paraId="3E1D9FE3"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0" w:type="dxa"/>
            <w:tcBorders>
              <w:top w:val="nil"/>
              <w:left w:val="nil"/>
              <w:bottom w:val="single" w:sz="4" w:space="0" w:color="auto"/>
              <w:right w:val="single" w:sz="4" w:space="0" w:color="auto"/>
            </w:tcBorders>
            <w:shd w:val="clear" w:color="auto" w:fill="auto"/>
            <w:noWrap/>
            <w:vAlign w:val="center"/>
            <w:hideMark/>
          </w:tcPr>
          <w:p w14:paraId="118BAFEB"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2" w:type="dxa"/>
            <w:tcBorders>
              <w:top w:val="nil"/>
              <w:left w:val="nil"/>
              <w:bottom w:val="single" w:sz="4" w:space="0" w:color="auto"/>
              <w:right w:val="single" w:sz="4" w:space="0" w:color="auto"/>
            </w:tcBorders>
            <w:shd w:val="clear" w:color="auto" w:fill="auto"/>
            <w:noWrap/>
            <w:vAlign w:val="center"/>
            <w:hideMark/>
          </w:tcPr>
          <w:p w14:paraId="36E885CA"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46" w:type="dxa"/>
            <w:tcBorders>
              <w:top w:val="nil"/>
              <w:left w:val="nil"/>
              <w:bottom w:val="single" w:sz="4" w:space="0" w:color="auto"/>
              <w:right w:val="single" w:sz="8" w:space="0" w:color="auto"/>
            </w:tcBorders>
            <w:shd w:val="clear" w:color="auto" w:fill="auto"/>
            <w:noWrap/>
            <w:vAlign w:val="center"/>
            <w:hideMark/>
          </w:tcPr>
          <w:p w14:paraId="116171CC"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1" w:type="dxa"/>
            <w:tcBorders>
              <w:top w:val="nil"/>
              <w:left w:val="nil"/>
              <w:bottom w:val="single" w:sz="4" w:space="0" w:color="auto"/>
              <w:right w:val="single" w:sz="4" w:space="0" w:color="auto"/>
            </w:tcBorders>
            <w:shd w:val="clear" w:color="auto" w:fill="auto"/>
            <w:noWrap/>
            <w:vAlign w:val="center"/>
            <w:hideMark/>
          </w:tcPr>
          <w:p w14:paraId="625769A9"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4E7D6E55"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3CFE88F9"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7" w:type="dxa"/>
            <w:tcBorders>
              <w:top w:val="nil"/>
              <w:left w:val="nil"/>
              <w:bottom w:val="single" w:sz="4" w:space="0" w:color="auto"/>
              <w:right w:val="single" w:sz="8" w:space="0" w:color="auto"/>
            </w:tcBorders>
            <w:shd w:val="clear" w:color="auto" w:fill="auto"/>
            <w:noWrap/>
            <w:vAlign w:val="center"/>
            <w:hideMark/>
          </w:tcPr>
          <w:p w14:paraId="0BD986FC"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256" w:type="dxa"/>
            <w:tcBorders>
              <w:top w:val="nil"/>
              <w:left w:val="nil"/>
              <w:bottom w:val="single" w:sz="4" w:space="0" w:color="auto"/>
              <w:right w:val="single" w:sz="4" w:space="0" w:color="auto"/>
            </w:tcBorders>
            <w:shd w:val="clear" w:color="auto" w:fill="auto"/>
            <w:noWrap/>
            <w:vAlign w:val="center"/>
            <w:hideMark/>
          </w:tcPr>
          <w:p w14:paraId="331C32CF"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5BD6110E"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26" w:type="dxa"/>
            <w:tcBorders>
              <w:top w:val="nil"/>
              <w:left w:val="nil"/>
              <w:bottom w:val="single" w:sz="4" w:space="0" w:color="auto"/>
              <w:right w:val="single" w:sz="4" w:space="0" w:color="auto"/>
            </w:tcBorders>
            <w:shd w:val="clear" w:color="auto" w:fill="auto"/>
            <w:noWrap/>
            <w:vAlign w:val="center"/>
            <w:hideMark/>
          </w:tcPr>
          <w:p w14:paraId="3E592878"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9" w:type="dxa"/>
            <w:tcBorders>
              <w:top w:val="nil"/>
              <w:left w:val="nil"/>
              <w:bottom w:val="single" w:sz="4" w:space="0" w:color="auto"/>
              <w:right w:val="single" w:sz="8" w:space="0" w:color="auto"/>
            </w:tcBorders>
            <w:shd w:val="clear" w:color="auto" w:fill="auto"/>
            <w:noWrap/>
            <w:vAlign w:val="center"/>
            <w:hideMark/>
          </w:tcPr>
          <w:p w14:paraId="7D724A06"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1070" w:type="dxa"/>
            <w:vMerge/>
            <w:tcBorders>
              <w:left w:val="single" w:sz="8" w:space="0" w:color="auto"/>
              <w:right w:val="single" w:sz="8" w:space="0" w:color="auto"/>
            </w:tcBorders>
            <w:vAlign w:val="center"/>
            <w:hideMark/>
          </w:tcPr>
          <w:p w14:paraId="248EBE7E" w14:textId="77777777" w:rsidR="00FC1143" w:rsidRPr="00304219" w:rsidRDefault="00FC1143" w:rsidP="005B45D2">
            <w:pPr>
              <w:rPr>
                <w:rFonts w:ascii="Arial" w:eastAsia="Times New Roman" w:hAnsi="Arial" w:cs="Arial"/>
                <w:color w:val="000000"/>
                <w:sz w:val="20"/>
              </w:rPr>
            </w:pPr>
          </w:p>
        </w:tc>
        <w:tc>
          <w:tcPr>
            <w:tcW w:w="630" w:type="dxa"/>
            <w:tcBorders>
              <w:top w:val="nil"/>
              <w:left w:val="nil"/>
              <w:bottom w:val="single" w:sz="4" w:space="0" w:color="auto"/>
              <w:right w:val="single" w:sz="8" w:space="0" w:color="auto"/>
            </w:tcBorders>
            <w:shd w:val="clear" w:color="auto" w:fill="auto"/>
            <w:noWrap/>
            <w:vAlign w:val="center"/>
            <w:hideMark/>
          </w:tcPr>
          <w:p w14:paraId="132EBA6C"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1278" w:type="dxa"/>
            <w:vMerge/>
            <w:tcBorders>
              <w:left w:val="single" w:sz="8" w:space="0" w:color="auto"/>
              <w:right w:val="single" w:sz="8" w:space="0" w:color="auto"/>
            </w:tcBorders>
            <w:vAlign w:val="center"/>
            <w:hideMark/>
          </w:tcPr>
          <w:p w14:paraId="02B28220" w14:textId="77777777" w:rsidR="00FC1143" w:rsidRPr="00304219" w:rsidRDefault="00FC1143" w:rsidP="005B45D2">
            <w:pPr>
              <w:rPr>
                <w:rFonts w:ascii="Arial" w:eastAsia="Times New Roman" w:hAnsi="Arial" w:cs="Arial"/>
                <w:color w:val="000000"/>
                <w:sz w:val="20"/>
              </w:rPr>
            </w:pPr>
          </w:p>
        </w:tc>
      </w:tr>
      <w:tr w:rsidR="00FC1143" w:rsidRPr="00304219" w14:paraId="771B7EE0" w14:textId="77777777" w:rsidTr="00FC1143">
        <w:trPr>
          <w:trHeight w:val="300"/>
        </w:trPr>
        <w:tc>
          <w:tcPr>
            <w:tcW w:w="2480" w:type="dxa"/>
            <w:tcBorders>
              <w:top w:val="nil"/>
              <w:left w:val="single" w:sz="8" w:space="0" w:color="auto"/>
              <w:bottom w:val="single" w:sz="8" w:space="0" w:color="auto"/>
              <w:right w:val="nil"/>
            </w:tcBorders>
            <w:shd w:val="clear" w:color="auto" w:fill="auto"/>
            <w:vAlign w:val="bottom"/>
            <w:hideMark/>
          </w:tcPr>
          <w:p w14:paraId="71229833" w14:textId="403C2376" w:rsidR="00FC1143" w:rsidRPr="00304219" w:rsidRDefault="00FC1143" w:rsidP="00FC1143">
            <w:pPr>
              <w:rPr>
                <w:rFonts w:ascii="Arial" w:eastAsia="Times New Roman" w:hAnsi="Arial" w:cs="Arial"/>
                <w:color w:val="000000"/>
                <w:sz w:val="20"/>
              </w:rPr>
            </w:pPr>
            <w:r w:rsidRPr="00304219">
              <w:rPr>
                <w:rFonts w:ascii="Arial" w:eastAsia="Times New Roman" w:hAnsi="Arial" w:cs="Arial"/>
                <w:color w:val="000000"/>
                <w:sz w:val="20"/>
              </w:rPr>
              <w:t>Red de agua, saneamiento</w:t>
            </w:r>
          </w:p>
        </w:tc>
        <w:tc>
          <w:tcPr>
            <w:tcW w:w="255" w:type="dxa"/>
            <w:tcBorders>
              <w:top w:val="nil"/>
              <w:left w:val="single" w:sz="8" w:space="0" w:color="auto"/>
              <w:bottom w:val="single" w:sz="8" w:space="0" w:color="auto"/>
              <w:right w:val="single" w:sz="4" w:space="0" w:color="auto"/>
            </w:tcBorders>
            <w:shd w:val="clear" w:color="auto" w:fill="auto"/>
            <w:noWrap/>
            <w:vAlign w:val="center"/>
            <w:hideMark/>
          </w:tcPr>
          <w:p w14:paraId="5735DE74"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0" w:type="dxa"/>
            <w:tcBorders>
              <w:top w:val="nil"/>
              <w:left w:val="nil"/>
              <w:bottom w:val="single" w:sz="8" w:space="0" w:color="auto"/>
              <w:right w:val="single" w:sz="4" w:space="0" w:color="auto"/>
            </w:tcBorders>
            <w:shd w:val="clear" w:color="auto" w:fill="auto"/>
            <w:noWrap/>
            <w:vAlign w:val="center"/>
            <w:hideMark/>
          </w:tcPr>
          <w:p w14:paraId="48A3E0C8"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2" w:type="dxa"/>
            <w:tcBorders>
              <w:top w:val="nil"/>
              <w:left w:val="nil"/>
              <w:bottom w:val="single" w:sz="8" w:space="0" w:color="auto"/>
              <w:right w:val="single" w:sz="4" w:space="0" w:color="auto"/>
            </w:tcBorders>
            <w:shd w:val="clear" w:color="auto" w:fill="auto"/>
            <w:noWrap/>
            <w:vAlign w:val="center"/>
            <w:hideMark/>
          </w:tcPr>
          <w:p w14:paraId="51F32DED"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46" w:type="dxa"/>
            <w:tcBorders>
              <w:top w:val="nil"/>
              <w:left w:val="nil"/>
              <w:bottom w:val="single" w:sz="8" w:space="0" w:color="auto"/>
              <w:right w:val="single" w:sz="8" w:space="0" w:color="auto"/>
            </w:tcBorders>
            <w:shd w:val="clear" w:color="auto" w:fill="auto"/>
            <w:noWrap/>
            <w:vAlign w:val="center"/>
            <w:hideMark/>
          </w:tcPr>
          <w:p w14:paraId="7935ABB2"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1" w:type="dxa"/>
            <w:tcBorders>
              <w:top w:val="nil"/>
              <w:left w:val="nil"/>
              <w:bottom w:val="single" w:sz="8" w:space="0" w:color="auto"/>
              <w:right w:val="single" w:sz="4" w:space="0" w:color="auto"/>
            </w:tcBorders>
            <w:shd w:val="clear" w:color="auto" w:fill="auto"/>
            <w:noWrap/>
            <w:vAlign w:val="center"/>
            <w:hideMark/>
          </w:tcPr>
          <w:p w14:paraId="1B08BA43"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8" w:space="0" w:color="auto"/>
              <w:right w:val="single" w:sz="4" w:space="0" w:color="auto"/>
            </w:tcBorders>
            <w:shd w:val="clear" w:color="auto" w:fill="auto"/>
            <w:noWrap/>
            <w:vAlign w:val="center"/>
            <w:hideMark/>
          </w:tcPr>
          <w:p w14:paraId="38DE53B6"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8" w:space="0" w:color="auto"/>
              <w:right w:val="single" w:sz="4" w:space="0" w:color="auto"/>
            </w:tcBorders>
            <w:shd w:val="clear" w:color="auto" w:fill="auto"/>
            <w:noWrap/>
            <w:vAlign w:val="center"/>
            <w:hideMark/>
          </w:tcPr>
          <w:p w14:paraId="443E4FDF"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7" w:type="dxa"/>
            <w:tcBorders>
              <w:top w:val="nil"/>
              <w:left w:val="nil"/>
              <w:bottom w:val="single" w:sz="8" w:space="0" w:color="auto"/>
              <w:right w:val="single" w:sz="8" w:space="0" w:color="auto"/>
            </w:tcBorders>
            <w:shd w:val="clear" w:color="auto" w:fill="auto"/>
            <w:noWrap/>
            <w:vAlign w:val="center"/>
            <w:hideMark/>
          </w:tcPr>
          <w:p w14:paraId="258B074A"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256" w:type="dxa"/>
            <w:tcBorders>
              <w:top w:val="nil"/>
              <w:left w:val="nil"/>
              <w:bottom w:val="single" w:sz="8" w:space="0" w:color="auto"/>
              <w:right w:val="single" w:sz="4" w:space="0" w:color="auto"/>
            </w:tcBorders>
            <w:shd w:val="clear" w:color="auto" w:fill="auto"/>
            <w:noWrap/>
            <w:vAlign w:val="center"/>
            <w:hideMark/>
          </w:tcPr>
          <w:p w14:paraId="61A35D39"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8" w:space="0" w:color="auto"/>
              <w:right w:val="single" w:sz="4" w:space="0" w:color="auto"/>
            </w:tcBorders>
            <w:shd w:val="clear" w:color="auto" w:fill="auto"/>
            <w:noWrap/>
            <w:vAlign w:val="center"/>
            <w:hideMark/>
          </w:tcPr>
          <w:p w14:paraId="533C4E83"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26" w:type="dxa"/>
            <w:tcBorders>
              <w:top w:val="nil"/>
              <w:left w:val="nil"/>
              <w:bottom w:val="single" w:sz="8" w:space="0" w:color="auto"/>
              <w:right w:val="single" w:sz="4" w:space="0" w:color="auto"/>
            </w:tcBorders>
            <w:shd w:val="clear" w:color="auto" w:fill="auto"/>
            <w:noWrap/>
            <w:vAlign w:val="center"/>
            <w:hideMark/>
          </w:tcPr>
          <w:p w14:paraId="4B9CECA1"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9" w:type="dxa"/>
            <w:tcBorders>
              <w:top w:val="nil"/>
              <w:left w:val="nil"/>
              <w:bottom w:val="single" w:sz="8" w:space="0" w:color="auto"/>
              <w:right w:val="single" w:sz="8" w:space="0" w:color="auto"/>
            </w:tcBorders>
            <w:shd w:val="clear" w:color="auto" w:fill="auto"/>
            <w:noWrap/>
            <w:vAlign w:val="center"/>
            <w:hideMark/>
          </w:tcPr>
          <w:p w14:paraId="5E2EABB0"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1070" w:type="dxa"/>
            <w:vMerge/>
            <w:tcBorders>
              <w:left w:val="single" w:sz="8" w:space="0" w:color="auto"/>
              <w:right w:val="single" w:sz="8" w:space="0" w:color="auto"/>
            </w:tcBorders>
            <w:vAlign w:val="center"/>
            <w:hideMark/>
          </w:tcPr>
          <w:p w14:paraId="3F7D588D" w14:textId="77777777" w:rsidR="00FC1143" w:rsidRPr="00304219" w:rsidRDefault="00FC1143" w:rsidP="005B45D2">
            <w:pPr>
              <w:rPr>
                <w:rFonts w:ascii="Arial" w:eastAsia="Times New Roman" w:hAnsi="Arial" w:cs="Arial"/>
                <w:color w:val="000000"/>
                <w:sz w:val="20"/>
              </w:rPr>
            </w:pPr>
          </w:p>
        </w:tc>
        <w:tc>
          <w:tcPr>
            <w:tcW w:w="630" w:type="dxa"/>
            <w:tcBorders>
              <w:top w:val="nil"/>
              <w:left w:val="nil"/>
              <w:bottom w:val="single" w:sz="8" w:space="0" w:color="auto"/>
              <w:right w:val="single" w:sz="8" w:space="0" w:color="auto"/>
            </w:tcBorders>
            <w:shd w:val="clear" w:color="auto" w:fill="auto"/>
            <w:noWrap/>
            <w:vAlign w:val="center"/>
            <w:hideMark/>
          </w:tcPr>
          <w:p w14:paraId="46BAFC5A" w14:textId="77777777"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1278" w:type="dxa"/>
            <w:vMerge/>
            <w:tcBorders>
              <w:left w:val="single" w:sz="8" w:space="0" w:color="auto"/>
              <w:right w:val="single" w:sz="8" w:space="0" w:color="auto"/>
            </w:tcBorders>
            <w:vAlign w:val="center"/>
            <w:hideMark/>
          </w:tcPr>
          <w:p w14:paraId="0E6FEE74" w14:textId="77777777" w:rsidR="00FC1143" w:rsidRPr="00304219" w:rsidRDefault="00FC1143" w:rsidP="005B45D2">
            <w:pPr>
              <w:rPr>
                <w:rFonts w:ascii="Arial" w:eastAsia="Times New Roman" w:hAnsi="Arial" w:cs="Arial"/>
                <w:color w:val="000000"/>
                <w:sz w:val="20"/>
              </w:rPr>
            </w:pPr>
          </w:p>
        </w:tc>
      </w:tr>
      <w:tr w:rsidR="00FC1143" w:rsidRPr="00304219" w14:paraId="5F08F35C" w14:textId="77777777" w:rsidTr="00FC1143">
        <w:trPr>
          <w:trHeight w:val="300"/>
        </w:trPr>
        <w:tc>
          <w:tcPr>
            <w:tcW w:w="2480" w:type="dxa"/>
            <w:tcBorders>
              <w:top w:val="nil"/>
              <w:left w:val="single" w:sz="8" w:space="0" w:color="auto"/>
              <w:bottom w:val="single" w:sz="8" w:space="0" w:color="auto"/>
              <w:right w:val="nil"/>
            </w:tcBorders>
            <w:shd w:val="clear" w:color="auto" w:fill="auto"/>
            <w:vAlign w:val="bottom"/>
          </w:tcPr>
          <w:p w14:paraId="7D3DD7C4" w14:textId="5E294360"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Red de drenaje</w:t>
            </w:r>
          </w:p>
        </w:tc>
        <w:tc>
          <w:tcPr>
            <w:tcW w:w="255" w:type="dxa"/>
            <w:tcBorders>
              <w:top w:val="nil"/>
              <w:left w:val="single" w:sz="8" w:space="0" w:color="auto"/>
              <w:bottom w:val="single" w:sz="8" w:space="0" w:color="auto"/>
              <w:right w:val="single" w:sz="4" w:space="0" w:color="auto"/>
            </w:tcBorders>
            <w:shd w:val="clear" w:color="auto" w:fill="auto"/>
            <w:noWrap/>
            <w:vAlign w:val="center"/>
          </w:tcPr>
          <w:p w14:paraId="488B74A3" w14:textId="77777777" w:rsidR="00FC1143" w:rsidRPr="00304219" w:rsidRDefault="00FC1143" w:rsidP="005B45D2">
            <w:pPr>
              <w:rPr>
                <w:rFonts w:ascii="Arial" w:eastAsia="Times New Roman" w:hAnsi="Arial" w:cs="Arial"/>
                <w:color w:val="000000"/>
                <w:sz w:val="20"/>
              </w:rPr>
            </w:pPr>
          </w:p>
        </w:tc>
        <w:tc>
          <w:tcPr>
            <w:tcW w:w="330" w:type="dxa"/>
            <w:tcBorders>
              <w:top w:val="nil"/>
              <w:left w:val="nil"/>
              <w:bottom w:val="single" w:sz="8" w:space="0" w:color="auto"/>
              <w:right w:val="single" w:sz="4" w:space="0" w:color="auto"/>
            </w:tcBorders>
            <w:shd w:val="clear" w:color="auto" w:fill="auto"/>
            <w:noWrap/>
            <w:vAlign w:val="center"/>
          </w:tcPr>
          <w:p w14:paraId="29066EF4" w14:textId="77777777" w:rsidR="00FC1143" w:rsidRPr="00304219" w:rsidRDefault="00FC1143" w:rsidP="005B45D2">
            <w:pPr>
              <w:rPr>
                <w:rFonts w:ascii="Arial" w:eastAsia="Times New Roman" w:hAnsi="Arial" w:cs="Arial"/>
                <w:color w:val="000000"/>
                <w:sz w:val="20"/>
              </w:rPr>
            </w:pPr>
          </w:p>
        </w:tc>
        <w:tc>
          <w:tcPr>
            <w:tcW w:w="332" w:type="dxa"/>
            <w:tcBorders>
              <w:top w:val="nil"/>
              <w:left w:val="nil"/>
              <w:bottom w:val="single" w:sz="8" w:space="0" w:color="auto"/>
              <w:right w:val="single" w:sz="4" w:space="0" w:color="auto"/>
            </w:tcBorders>
            <w:shd w:val="clear" w:color="auto" w:fill="auto"/>
            <w:noWrap/>
            <w:vAlign w:val="center"/>
          </w:tcPr>
          <w:p w14:paraId="76DB4308" w14:textId="77777777" w:rsidR="00FC1143" w:rsidRPr="00304219" w:rsidRDefault="00FC1143" w:rsidP="005B45D2">
            <w:pPr>
              <w:rPr>
                <w:rFonts w:ascii="Arial" w:eastAsia="Times New Roman" w:hAnsi="Arial" w:cs="Arial"/>
                <w:color w:val="000000"/>
                <w:sz w:val="20"/>
              </w:rPr>
            </w:pPr>
          </w:p>
        </w:tc>
        <w:tc>
          <w:tcPr>
            <w:tcW w:w="346" w:type="dxa"/>
            <w:tcBorders>
              <w:top w:val="nil"/>
              <w:left w:val="nil"/>
              <w:bottom w:val="single" w:sz="8" w:space="0" w:color="auto"/>
              <w:right w:val="single" w:sz="8" w:space="0" w:color="auto"/>
            </w:tcBorders>
            <w:shd w:val="clear" w:color="auto" w:fill="auto"/>
            <w:noWrap/>
            <w:vAlign w:val="center"/>
          </w:tcPr>
          <w:p w14:paraId="54A7732E" w14:textId="756CF0B4"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1" w:type="dxa"/>
            <w:tcBorders>
              <w:top w:val="nil"/>
              <w:left w:val="nil"/>
              <w:bottom w:val="single" w:sz="8" w:space="0" w:color="auto"/>
              <w:right w:val="single" w:sz="4" w:space="0" w:color="auto"/>
            </w:tcBorders>
            <w:shd w:val="clear" w:color="auto" w:fill="auto"/>
            <w:noWrap/>
            <w:vAlign w:val="center"/>
          </w:tcPr>
          <w:p w14:paraId="36FA8D7E" w14:textId="77777777" w:rsidR="00FC1143" w:rsidRPr="00304219" w:rsidRDefault="00FC1143" w:rsidP="005B45D2">
            <w:pPr>
              <w:rPr>
                <w:rFonts w:ascii="Arial" w:eastAsia="Times New Roman" w:hAnsi="Arial" w:cs="Arial"/>
                <w:color w:val="000000"/>
                <w:sz w:val="20"/>
              </w:rPr>
            </w:pPr>
          </w:p>
        </w:tc>
        <w:tc>
          <w:tcPr>
            <w:tcW w:w="331" w:type="dxa"/>
            <w:tcBorders>
              <w:top w:val="nil"/>
              <w:left w:val="nil"/>
              <w:bottom w:val="single" w:sz="8" w:space="0" w:color="auto"/>
              <w:right w:val="single" w:sz="4" w:space="0" w:color="auto"/>
            </w:tcBorders>
            <w:shd w:val="clear" w:color="auto" w:fill="auto"/>
            <w:noWrap/>
            <w:vAlign w:val="center"/>
          </w:tcPr>
          <w:p w14:paraId="4512F630" w14:textId="77777777" w:rsidR="00FC1143" w:rsidRPr="00304219" w:rsidRDefault="00FC1143" w:rsidP="005B45D2">
            <w:pPr>
              <w:rPr>
                <w:rFonts w:ascii="Arial" w:eastAsia="Times New Roman" w:hAnsi="Arial" w:cs="Arial"/>
                <w:color w:val="000000"/>
                <w:sz w:val="20"/>
              </w:rPr>
            </w:pPr>
          </w:p>
        </w:tc>
        <w:tc>
          <w:tcPr>
            <w:tcW w:w="331" w:type="dxa"/>
            <w:tcBorders>
              <w:top w:val="nil"/>
              <w:left w:val="nil"/>
              <w:bottom w:val="single" w:sz="8" w:space="0" w:color="auto"/>
              <w:right w:val="single" w:sz="4" w:space="0" w:color="auto"/>
            </w:tcBorders>
            <w:shd w:val="clear" w:color="auto" w:fill="auto"/>
            <w:noWrap/>
            <w:vAlign w:val="center"/>
          </w:tcPr>
          <w:p w14:paraId="037B59FF" w14:textId="77777777" w:rsidR="00FC1143" w:rsidRPr="00304219" w:rsidRDefault="00FC1143" w:rsidP="005B45D2">
            <w:pPr>
              <w:rPr>
                <w:rFonts w:ascii="Arial" w:eastAsia="Times New Roman" w:hAnsi="Arial" w:cs="Arial"/>
                <w:color w:val="000000"/>
                <w:sz w:val="20"/>
              </w:rPr>
            </w:pPr>
          </w:p>
        </w:tc>
        <w:tc>
          <w:tcPr>
            <w:tcW w:w="337" w:type="dxa"/>
            <w:tcBorders>
              <w:top w:val="nil"/>
              <w:left w:val="nil"/>
              <w:bottom w:val="single" w:sz="8" w:space="0" w:color="auto"/>
              <w:right w:val="single" w:sz="8" w:space="0" w:color="auto"/>
            </w:tcBorders>
            <w:shd w:val="clear" w:color="auto" w:fill="auto"/>
            <w:noWrap/>
            <w:vAlign w:val="center"/>
          </w:tcPr>
          <w:p w14:paraId="2E3834D9" w14:textId="6F5B12E3" w:rsidR="00FC1143" w:rsidRPr="00304219" w:rsidRDefault="00FC1143"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256" w:type="dxa"/>
            <w:tcBorders>
              <w:top w:val="nil"/>
              <w:left w:val="nil"/>
              <w:bottom w:val="single" w:sz="8" w:space="0" w:color="auto"/>
              <w:right w:val="single" w:sz="4" w:space="0" w:color="auto"/>
            </w:tcBorders>
            <w:shd w:val="clear" w:color="auto" w:fill="auto"/>
            <w:noWrap/>
            <w:vAlign w:val="center"/>
          </w:tcPr>
          <w:p w14:paraId="3D503EED" w14:textId="77777777" w:rsidR="00FC1143" w:rsidRPr="00304219" w:rsidRDefault="00FC1143" w:rsidP="005B45D2">
            <w:pPr>
              <w:rPr>
                <w:rFonts w:ascii="Arial" w:eastAsia="Times New Roman" w:hAnsi="Arial" w:cs="Arial"/>
                <w:color w:val="000000"/>
                <w:sz w:val="20"/>
              </w:rPr>
            </w:pPr>
          </w:p>
        </w:tc>
        <w:tc>
          <w:tcPr>
            <w:tcW w:w="331" w:type="dxa"/>
            <w:tcBorders>
              <w:top w:val="nil"/>
              <w:left w:val="nil"/>
              <w:bottom w:val="single" w:sz="8" w:space="0" w:color="auto"/>
              <w:right w:val="single" w:sz="4" w:space="0" w:color="auto"/>
            </w:tcBorders>
            <w:shd w:val="clear" w:color="auto" w:fill="auto"/>
            <w:noWrap/>
            <w:vAlign w:val="center"/>
          </w:tcPr>
          <w:p w14:paraId="4A8AD89F" w14:textId="77777777" w:rsidR="00FC1143" w:rsidRPr="00304219" w:rsidRDefault="00FC1143" w:rsidP="005B45D2">
            <w:pPr>
              <w:rPr>
                <w:rFonts w:ascii="Arial" w:eastAsia="Times New Roman" w:hAnsi="Arial" w:cs="Arial"/>
                <w:color w:val="000000"/>
                <w:sz w:val="20"/>
              </w:rPr>
            </w:pPr>
          </w:p>
        </w:tc>
        <w:tc>
          <w:tcPr>
            <w:tcW w:w="326" w:type="dxa"/>
            <w:tcBorders>
              <w:top w:val="nil"/>
              <w:left w:val="nil"/>
              <w:bottom w:val="single" w:sz="8" w:space="0" w:color="auto"/>
              <w:right w:val="single" w:sz="4" w:space="0" w:color="auto"/>
            </w:tcBorders>
            <w:shd w:val="clear" w:color="auto" w:fill="auto"/>
            <w:noWrap/>
            <w:vAlign w:val="center"/>
          </w:tcPr>
          <w:p w14:paraId="4BA53363" w14:textId="77777777" w:rsidR="00FC1143" w:rsidRPr="00304219" w:rsidRDefault="00FC1143" w:rsidP="005B45D2">
            <w:pPr>
              <w:rPr>
                <w:rFonts w:ascii="Arial" w:eastAsia="Times New Roman" w:hAnsi="Arial" w:cs="Arial"/>
                <w:color w:val="000000"/>
                <w:sz w:val="20"/>
              </w:rPr>
            </w:pPr>
          </w:p>
        </w:tc>
        <w:tc>
          <w:tcPr>
            <w:tcW w:w="339" w:type="dxa"/>
            <w:tcBorders>
              <w:top w:val="nil"/>
              <w:left w:val="nil"/>
              <w:bottom w:val="single" w:sz="8" w:space="0" w:color="auto"/>
              <w:right w:val="single" w:sz="8" w:space="0" w:color="auto"/>
            </w:tcBorders>
            <w:shd w:val="clear" w:color="auto" w:fill="auto"/>
            <w:noWrap/>
            <w:vAlign w:val="center"/>
          </w:tcPr>
          <w:p w14:paraId="1BB13ED3" w14:textId="77777777" w:rsidR="00FC1143" w:rsidRPr="00304219" w:rsidRDefault="00FC1143" w:rsidP="005B45D2">
            <w:pPr>
              <w:rPr>
                <w:rFonts w:ascii="Arial" w:eastAsia="Times New Roman" w:hAnsi="Arial" w:cs="Arial"/>
                <w:color w:val="000000"/>
                <w:sz w:val="20"/>
              </w:rPr>
            </w:pPr>
          </w:p>
        </w:tc>
        <w:tc>
          <w:tcPr>
            <w:tcW w:w="1070" w:type="dxa"/>
            <w:vMerge/>
            <w:tcBorders>
              <w:left w:val="single" w:sz="8" w:space="0" w:color="auto"/>
              <w:bottom w:val="single" w:sz="8" w:space="0" w:color="000000"/>
              <w:right w:val="single" w:sz="8" w:space="0" w:color="auto"/>
            </w:tcBorders>
            <w:vAlign w:val="center"/>
          </w:tcPr>
          <w:p w14:paraId="79C3E0AB" w14:textId="77777777" w:rsidR="00FC1143" w:rsidRPr="00304219" w:rsidRDefault="00FC1143" w:rsidP="005B45D2">
            <w:pPr>
              <w:rPr>
                <w:rFonts w:ascii="Arial" w:eastAsia="Times New Roman" w:hAnsi="Arial" w:cs="Arial"/>
                <w:color w:val="000000"/>
                <w:sz w:val="20"/>
              </w:rPr>
            </w:pPr>
          </w:p>
        </w:tc>
        <w:tc>
          <w:tcPr>
            <w:tcW w:w="630" w:type="dxa"/>
            <w:tcBorders>
              <w:top w:val="nil"/>
              <w:left w:val="nil"/>
              <w:bottom w:val="single" w:sz="8" w:space="0" w:color="auto"/>
              <w:right w:val="single" w:sz="8" w:space="0" w:color="auto"/>
            </w:tcBorders>
            <w:shd w:val="clear" w:color="auto" w:fill="auto"/>
            <w:noWrap/>
            <w:vAlign w:val="center"/>
          </w:tcPr>
          <w:p w14:paraId="6A8EECEA" w14:textId="77777777" w:rsidR="00FC1143" w:rsidRPr="00304219" w:rsidRDefault="00FC1143" w:rsidP="005B45D2">
            <w:pPr>
              <w:rPr>
                <w:rFonts w:ascii="Arial" w:eastAsia="Times New Roman" w:hAnsi="Arial" w:cs="Arial"/>
                <w:color w:val="000000"/>
                <w:sz w:val="20"/>
              </w:rPr>
            </w:pPr>
          </w:p>
        </w:tc>
        <w:tc>
          <w:tcPr>
            <w:tcW w:w="1278" w:type="dxa"/>
            <w:vMerge/>
            <w:tcBorders>
              <w:left w:val="single" w:sz="8" w:space="0" w:color="auto"/>
              <w:bottom w:val="single" w:sz="8" w:space="0" w:color="000000"/>
              <w:right w:val="single" w:sz="8" w:space="0" w:color="auto"/>
            </w:tcBorders>
            <w:vAlign w:val="center"/>
          </w:tcPr>
          <w:p w14:paraId="0823C353" w14:textId="77777777" w:rsidR="00FC1143" w:rsidRPr="00304219" w:rsidRDefault="00FC1143" w:rsidP="005B45D2">
            <w:pPr>
              <w:rPr>
                <w:rFonts w:ascii="Arial" w:eastAsia="Times New Roman" w:hAnsi="Arial" w:cs="Arial"/>
                <w:color w:val="000000"/>
                <w:sz w:val="20"/>
              </w:rPr>
            </w:pPr>
          </w:p>
        </w:tc>
      </w:tr>
      <w:tr w:rsidR="00B13514" w:rsidRPr="00304219" w14:paraId="1B2CBF53" w14:textId="77777777" w:rsidTr="00FC1143">
        <w:trPr>
          <w:trHeight w:val="300"/>
        </w:trPr>
        <w:tc>
          <w:tcPr>
            <w:tcW w:w="2480" w:type="dxa"/>
            <w:tcBorders>
              <w:top w:val="nil"/>
              <w:left w:val="single" w:sz="8" w:space="0" w:color="auto"/>
              <w:bottom w:val="single" w:sz="8" w:space="0" w:color="auto"/>
              <w:right w:val="nil"/>
            </w:tcBorders>
            <w:shd w:val="clear" w:color="auto" w:fill="auto"/>
            <w:vAlign w:val="bottom"/>
          </w:tcPr>
          <w:p w14:paraId="1C846EFE" w14:textId="0802B907" w:rsidR="00B13514" w:rsidRPr="00304219" w:rsidRDefault="00B13514" w:rsidP="005B45D2">
            <w:pPr>
              <w:rPr>
                <w:rFonts w:ascii="Arial" w:eastAsia="Times New Roman" w:hAnsi="Arial" w:cs="Arial"/>
                <w:color w:val="000000"/>
                <w:sz w:val="20"/>
              </w:rPr>
            </w:pPr>
            <w:r>
              <w:rPr>
                <w:rFonts w:ascii="Arial" w:eastAsia="Times New Roman" w:hAnsi="Arial" w:cs="Arial"/>
                <w:color w:val="000000"/>
                <w:sz w:val="20"/>
              </w:rPr>
              <w:t>Obras de control fluvial para el río Trou-du-Nord</w:t>
            </w:r>
          </w:p>
        </w:tc>
        <w:tc>
          <w:tcPr>
            <w:tcW w:w="255" w:type="dxa"/>
            <w:tcBorders>
              <w:top w:val="nil"/>
              <w:left w:val="single" w:sz="8" w:space="0" w:color="auto"/>
              <w:bottom w:val="single" w:sz="8" w:space="0" w:color="auto"/>
              <w:right w:val="single" w:sz="4" w:space="0" w:color="auto"/>
            </w:tcBorders>
            <w:shd w:val="clear" w:color="auto" w:fill="auto"/>
            <w:noWrap/>
            <w:vAlign w:val="center"/>
          </w:tcPr>
          <w:p w14:paraId="1FA2C43E" w14:textId="77777777" w:rsidR="00B13514" w:rsidRPr="00304219" w:rsidRDefault="00B13514" w:rsidP="005B45D2">
            <w:pPr>
              <w:rPr>
                <w:rFonts w:ascii="Arial" w:eastAsia="Times New Roman" w:hAnsi="Arial" w:cs="Arial"/>
                <w:color w:val="000000"/>
                <w:sz w:val="20"/>
              </w:rPr>
            </w:pPr>
          </w:p>
        </w:tc>
        <w:tc>
          <w:tcPr>
            <w:tcW w:w="330" w:type="dxa"/>
            <w:tcBorders>
              <w:top w:val="nil"/>
              <w:left w:val="nil"/>
              <w:bottom w:val="single" w:sz="8" w:space="0" w:color="auto"/>
              <w:right w:val="single" w:sz="4" w:space="0" w:color="auto"/>
            </w:tcBorders>
            <w:shd w:val="clear" w:color="auto" w:fill="auto"/>
            <w:noWrap/>
            <w:vAlign w:val="center"/>
          </w:tcPr>
          <w:p w14:paraId="424F3A51" w14:textId="77777777" w:rsidR="00B13514" w:rsidRPr="00304219" w:rsidRDefault="00B13514" w:rsidP="005B45D2">
            <w:pPr>
              <w:rPr>
                <w:rFonts w:ascii="Arial" w:eastAsia="Times New Roman" w:hAnsi="Arial" w:cs="Arial"/>
                <w:color w:val="000000"/>
                <w:sz w:val="20"/>
              </w:rPr>
            </w:pPr>
          </w:p>
        </w:tc>
        <w:tc>
          <w:tcPr>
            <w:tcW w:w="332" w:type="dxa"/>
            <w:tcBorders>
              <w:top w:val="nil"/>
              <w:left w:val="nil"/>
              <w:bottom w:val="single" w:sz="8" w:space="0" w:color="auto"/>
              <w:right w:val="single" w:sz="4" w:space="0" w:color="auto"/>
            </w:tcBorders>
            <w:shd w:val="clear" w:color="auto" w:fill="auto"/>
            <w:noWrap/>
            <w:vAlign w:val="center"/>
          </w:tcPr>
          <w:p w14:paraId="747D0D50" w14:textId="1EB49EAF" w:rsidR="00B13514" w:rsidRPr="00304219" w:rsidRDefault="00B13514" w:rsidP="005B45D2">
            <w:pPr>
              <w:rPr>
                <w:rFonts w:ascii="Arial" w:eastAsia="Times New Roman" w:hAnsi="Arial" w:cs="Arial"/>
                <w:color w:val="000000"/>
                <w:sz w:val="20"/>
              </w:rPr>
            </w:pPr>
            <w:r>
              <w:rPr>
                <w:rFonts w:ascii="Arial" w:eastAsia="Times New Roman" w:hAnsi="Arial" w:cs="Arial"/>
                <w:color w:val="000000"/>
                <w:sz w:val="20"/>
              </w:rPr>
              <w:t>X</w:t>
            </w:r>
          </w:p>
        </w:tc>
        <w:tc>
          <w:tcPr>
            <w:tcW w:w="346" w:type="dxa"/>
            <w:tcBorders>
              <w:top w:val="nil"/>
              <w:left w:val="nil"/>
              <w:bottom w:val="single" w:sz="8" w:space="0" w:color="auto"/>
              <w:right w:val="single" w:sz="8" w:space="0" w:color="auto"/>
            </w:tcBorders>
            <w:shd w:val="clear" w:color="auto" w:fill="auto"/>
            <w:noWrap/>
            <w:vAlign w:val="center"/>
          </w:tcPr>
          <w:p w14:paraId="7C74B8BC" w14:textId="77777777" w:rsidR="00B13514" w:rsidRPr="00304219" w:rsidRDefault="00B13514" w:rsidP="005B45D2">
            <w:pPr>
              <w:rPr>
                <w:rFonts w:ascii="Arial" w:eastAsia="Times New Roman" w:hAnsi="Arial" w:cs="Arial"/>
                <w:color w:val="000000"/>
                <w:sz w:val="20"/>
              </w:rPr>
            </w:pPr>
          </w:p>
        </w:tc>
        <w:tc>
          <w:tcPr>
            <w:tcW w:w="331" w:type="dxa"/>
            <w:tcBorders>
              <w:top w:val="nil"/>
              <w:left w:val="nil"/>
              <w:bottom w:val="single" w:sz="8" w:space="0" w:color="auto"/>
              <w:right w:val="single" w:sz="4" w:space="0" w:color="auto"/>
            </w:tcBorders>
            <w:shd w:val="clear" w:color="auto" w:fill="auto"/>
            <w:noWrap/>
            <w:vAlign w:val="center"/>
          </w:tcPr>
          <w:p w14:paraId="24DFFC1C" w14:textId="77777777" w:rsidR="00B13514" w:rsidRPr="00304219" w:rsidRDefault="00B13514" w:rsidP="005B45D2">
            <w:pPr>
              <w:rPr>
                <w:rFonts w:ascii="Arial" w:eastAsia="Times New Roman" w:hAnsi="Arial" w:cs="Arial"/>
                <w:color w:val="000000"/>
                <w:sz w:val="20"/>
              </w:rPr>
            </w:pPr>
          </w:p>
        </w:tc>
        <w:tc>
          <w:tcPr>
            <w:tcW w:w="331" w:type="dxa"/>
            <w:tcBorders>
              <w:top w:val="nil"/>
              <w:left w:val="nil"/>
              <w:bottom w:val="single" w:sz="8" w:space="0" w:color="auto"/>
              <w:right w:val="single" w:sz="4" w:space="0" w:color="auto"/>
            </w:tcBorders>
            <w:shd w:val="clear" w:color="auto" w:fill="auto"/>
            <w:noWrap/>
            <w:vAlign w:val="center"/>
          </w:tcPr>
          <w:p w14:paraId="3FD782BB" w14:textId="77777777" w:rsidR="00B13514" w:rsidRPr="00304219" w:rsidRDefault="00B13514" w:rsidP="005B45D2">
            <w:pPr>
              <w:rPr>
                <w:rFonts w:ascii="Arial" w:eastAsia="Times New Roman" w:hAnsi="Arial" w:cs="Arial"/>
                <w:color w:val="000000"/>
                <w:sz w:val="20"/>
              </w:rPr>
            </w:pPr>
          </w:p>
        </w:tc>
        <w:tc>
          <w:tcPr>
            <w:tcW w:w="331" w:type="dxa"/>
            <w:tcBorders>
              <w:top w:val="nil"/>
              <w:left w:val="nil"/>
              <w:bottom w:val="single" w:sz="8" w:space="0" w:color="auto"/>
              <w:right w:val="single" w:sz="4" w:space="0" w:color="auto"/>
            </w:tcBorders>
            <w:shd w:val="clear" w:color="auto" w:fill="auto"/>
            <w:noWrap/>
            <w:vAlign w:val="center"/>
          </w:tcPr>
          <w:p w14:paraId="49BF217D" w14:textId="123856A6" w:rsidR="00B13514" w:rsidRPr="00304219" w:rsidRDefault="00B13514" w:rsidP="005B45D2">
            <w:pPr>
              <w:rPr>
                <w:rFonts w:ascii="Arial" w:eastAsia="Times New Roman" w:hAnsi="Arial" w:cs="Arial"/>
                <w:color w:val="000000"/>
                <w:sz w:val="20"/>
              </w:rPr>
            </w:pPr>
            <w:r>
              <w:rPr>
                <w:rFonts w:ascii="Arial" w:eastAsia="Times New Roman" w:hAnsi="Arial" w:cs="Arial"/>
                <w:color w:val="000000"/>
                <w:sz w:val="20"/>
              </w:rPr>
              <w:t>X</w:t>
            </w:r>
          </w:p>
        </w:tc>
        <w:tc>
          <w:tcPr>
            <w:tcW w:w="337" w:type="dxa"/>
            <w:tcBorders>
              <w:top w:val="nil"/>
              <w:left w:val="nil"/>
              <w:bottom w:val="single" w:sz="8" w:space="0" w:color="auto"/>
              <w:right w:val="single" w:sz="8" w:space="0" w:color="auto"/>
            </w:tcBorders>
            <w:shd w:val="clear" w:color="auto" w:fill="auto"/>
            <w:noWrap/>
            <w:vAlign w:val="center"/>
          </w:tcPr>
          <w:p w14:paraId="4474A548" w14:textId="1660E531" w:rsidR="00B13514" w:rsidRPr="00304219" w:rsidRDefault="00B13514" w:rsidP="005B45D2">
            <w:pPr>
              <w:rPr>
                <w:rFonts w:ascii="Arial" w:eastAsia="Times New Roman" w:hAnsi="Arial" w:cs="Arial"/>
                <w:color w:val="000000"/>
                <w:sz w:val="20"/>
              </w:rPr>
            </w:pPr>
            <w:r>
              <w:rPr>
                <w:rFonts w:ascii="Arial" w:eastAsia="Times New Roman" w:hAnsi="Arial" w:cs="Arial"/>
                <w:color w:val="000000"/>
                <w:sz w:val="20"/>
              </w:rPr>
              <w:t>X</w:t>
            </w:r>
          </w:p>
        </w:tc>
        <w:tc>
          <w:tcPr>
            <w:tcW w:w="256" w:type="dxa"/>
            <w:tcBorders>
              <w:top w:val="nil"/>
              <w:left w:val="nil"/>
              <w:bottom w:val="single" w:sz="8" w:space="0" w:color="auto"/>
              <w:right w:val="single" w:sz="4" w:space="0" w:color="auto"/>
            </w:tcBorders>
            <w:shd w:val="clear" w:color="auto" w:fill="auto"/>
            <w:noWrap/>
            <w:vAlign w:val="center"/>
          </w:tcPr>
          <w:p w14:paraId="49F59213" w14:textId="77777777" w:rsidR="00B13514" w:rsidRPr="00304219" w:rsidRDefault="00B13514" w:rsidP="005B45D2">
            <w:pPr>
              <w:rPr>
                <w:rFonts w:ascii="Arial" w:eastAsia="Times New Roman" w:hAnsi="Arial" w:cs="Arial"/>
                <w:color w:val="000000"/>
                <w:sz w:val="20"/>
              </w:rPr>
            </w:pPr>
          </w:p>
        </w:tc>
        <w:tc>
          <w:tcPr>
            <w:tcW w:w="331" w:type="dxa"/>
            <w:tcBorders>
              <w:top w:val="nil"/>
              <w:left w:val="nil"/>
              <w:bottom w:val="single" w:sz="8" w:space="0" w:color="auto"/>
              <w:right w:val="single" w:sz="4" w:space="0" w:color="auto"/>
            </w:tcBorders>
            <w:shd w:val="clear" w:color="auto" w:fill="auto"/>
            <w:noWrap/>
            <w:vAlign w:val="center"/>
          </w:tcPr>
          <w:p w14:paraId="6CF1B15A" w14:textId="77777777" w:rsidR="00B13514" w:rsidRPr="00304219" w:rsidRDefault="00B13514" w:rsidP="005B45D2">
            <w:pPr>
              <w:rPr>
                <w:rFonts w:ascii="Arial" w:eastAsia="Times New Roman" w:hAnsi="Arial" w:cs="Arial"/>
                <w:color w:val="000000"/>
                <w:sz w:val="20"/>
              </w:rPr>
            </w:pPr>
          </w:p>
        </w:tc>
        <w:tc>
          <w:tcPr>
            <w:tcW w:w="326" w:type="dxa"/>
            <w:tcBorders>
              <w:top w:val="nil"/>
              <w:left w:val="nil"/>
              <w:bottom w:val="single" w:sz="8" w:space="0" w:color="auto"/>
              <w:right w:val="single" w:sz="4" w:space="0" w:color="auto"/>
            </w:tcBorders>
            <w:shd w:val="clear" w:color="auto" w:fill="auto"/>
            <w:noWrap/>
            <w:vAlign w:val="center"/>
          </w:tcPr>
          <w:p w14:paraId="0F2DAA5B" w14:textId="77777777" w:rsidR="00B13514" w:rsidRPr="00304219" w:rsidRDefault="00B13514" w:rsidP="005B45D2">
            <w:pPr>
              <w:rPr>
                <w:rFonts w:ascii="Arial" w:eastAsia="Times New Roman" w:hAnsi="Arial" w:cs="Arial"/>
                <w:color w:val="000000"/>
                <w:sz w:val="20"/>
              </w:rPr>
            </w:pPr>
          </w:p>
        </w:tc>
        <w:tc>
          <w:tcPr>
            <w:tcW w:w="339" w:type="dxa"/>
            <w:tcBorders>
              <w:top w:val="nil"/>
              <w:left w:val="nil"/>
              <w:bottom w:val="single" w:sz="8" w:space="0" w:color="auto"/>
              <w:right w:val="single" w:sz="8" w:space="0" w:color="auto"/>
            </w:tcBorders>
            <w:shd w:val="clear" w:color="auto" w:fill="auto"/>
            <w:noWrap/>
            <w:vAlign w:val="center"/>
          </w:tcPr>
          <w:p w14:paraId="65ED24AC" w14:textId="1E4535D6" w:rsidR="00B13514" w:rsidRPr="00304219" w:rsidRDefault="00B13514" w:rsidP="005B45D2">
            <w:pPr>
              <w:rPr>
                <w:rFonts w:ascii="Arial" w:eastAsia="Times New Roman" w:hAnsi="Arial" w:cs="Arial"/>
                <w:color w:val="000000"/>
                <w:sz w:val="20"/>
              </w:rPr>
            </w:pPr>
            <w:r>
              <w:rPr>
                <w:rFonts w:ascii="Arial" w:eastAsia="Times New Roman" w:hAnsi="Arial" w:cs="Arial"/>
                <w:color w:val="000000"/>
                <w:sz w:val="20"/>
              </w:rPr>
              <w:t>X</w:t>
            </w:r>
          </w:p>
        </w:tc>
        <w:tc>
          <w:tcPr>
            <w:tcW w:w="1070" w:type="dxa"/>
            <w:tcBorders>
              <w:left w:val="single" w:sz="8" w:space="0" w:color="auto"/>
              <w:bottom w:val="single" w:sz="8" w:space="0" w:color="000000"/>
              <w:right w:val="single" w:sz="8" w:space="0" w:color="auto"/>
            </w:tcBorders>
            <w:vAlign w:val="center"/>
          </w:tcPr>
          <w:p w14:paraId="55A4BC7D" w14:textId="77777777" w:rsidR="00B13514" w:rsidRPr="00304219" w:rsidRDefault="00B13514" w:rsidP="005B45D2">
            <w:pPr>
              <w:rPr>
                <w:rFonts w:ascii="Arial" w:eastAsia="Times New Roman" w:hAnsi="Arial" w:cs="Arial"/>
                <w:color w:val="000000"/>
                <w:sz w:val="20"/>
              </w:rPr>
            </w:pPr>
          </w:p>
        </w:tc>
        <w:tc>
          <w:tcPr>
            <w:tcW w:w="630" w:type="dxa"/>
            <w:tcBorders>
              <w:top w:val="nil"/>
              <w:left w:val="nil"/>
              <w:bottom w:val="single" w:sz="8" w:space="0" w:color="auto"/>
              <w:right w:val="single" w:sz="8" w:space="0" w:color="auto"/>
            </w:tcBorders>
            <w:shd w:val="clear" w:color="auto" w:fill="auto"/>
            <w:noWrap/>
            <w:vAlign w:val="center"/>
          </w:tcPr>
          <w:p w14:paraId="2BDFF7BB" w14:textId="77777777" w:rsidR="00B13514" w:rsidRPr="00304219" w:rsidRDefault="00B13514" w:rsidP="005B45D2">
            <w:pPr>
              <w:rPr>
                <w:rFonts w:ascii="Arial" w:eastAsia="Times New Roman" w:hAnsi="Arial" w:cs="Arial"/>
                <w:color w:val="000000"/>
                <w:sz w:val="20"/>
              </w:rPr>
            </w:pPr>
          </w:p>
        </w:tc>
        <w:tc>
          <w:tcPr>
            <w:tcW w:w="1278" w:type="dxa"/>
            <w:tcBorders>
              <w:left w:val="single" w:sz="8" w:space="0" w:color="auto"/>
              <w:bottom w:val="single" w:sz="8" w:space="0" w:color="000000"/>
              <w:right w:val="single" w:sz="8" w:space="0" w:color="auto"/>
            </w:tcBorders>
            <w:vAlign w:val="center"/>
          </w:tcPr>
          <w:p w14:paraId="4A2F7F20" w14:textId="77777777" w:rsidR="00B13514" w:rsidRPr="00304219" w:rsidRDefault="00B13514" w:rsidP="005B45D2">
            <w:pPr>
              <w:rPr>
                <w:rFonts w:ascii="Arial" w:eastAsia="Times New Roman" w:hAnsi="Arial" w:cs="Arial"/>
                <w:color w:val="000000"/>
                <w:sz w:val="20"/>
              </w:rPr>
            </w:pPr>
          </w:p>
        </w:tc>
      </w:tr>
      <w:tr w:rsidR="005B45D2" w:rsidRPr="00304219" w14:paraId="36A88084" w14:textId="77777777" w:rsidTr="005B45D2">
        <w:trPr>
          <w:trHeight w:val="300"/>
        </w:trPr>
        <w:tc>
          <w:tcPr>
            <w:tcW w:w="9303" w:type="dxa"/>
            <w:gridSpan w:val="1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4DF540E" w14:textId="77777777" w:rsidR="005B45D2" w:rsidRPr="00304219" w:rsidRDefault="005B45D2" w:rsidP="005B45D2">
            <w:pPr>
              <w:rPr>
                <w:rFonts w:ascii="Arial" w:eastAsia="Times New Roman" w:hAnsi="Arial" w:cs="Arial"/>
                <w:b/>
                <w:bCs/>
                <w:color w:val="000000"/>
                <w:sz w:val="20"/>
              </w:rPr>
            </w:pPr>
            <w:r w:rsidRPr="00304219">
              <w:rPr>
                <w:rFonts w:ascii="Arial" w:eastAsia="Times New Roman" w:hAnsi="Arial" w:cs="Arial"/>
                <w:b/>
                <w:bCs/>
                <w:color w:val="000000"/>
                <w:sz w:val="20"/>
              </w:rPr>
              <w:t>Componente II</w:t>
            </w:r>
          </w:p>
        </w:tc>
      </w:tr>
      <w:tr w:rsidR="005B45D2" w:rsidRPr="00304219" w14:paraId="3A263A39" w14:textId="77777777" w:rsidTr="005B45D2">
        <w:trPr>
          <w:trHeight w:val="300"/>
        </w:trPr>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7957234A"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Recopilación de información sobre:</w:t>
            </w:r>
          </w:p>
        </w:tc>
        <w:tc>
          <w:tcPr>
            <w:tcW w:w="6823" w:type="dxa"/>
            <w:gridSpan w:val="15"/>
            <w:tcBorders>
              <w:top w:val="single" w:sz="8" w:space="0" w:color="auto"/>
              <w:left w:val="nil"/>
              <w:bottom w:val="nil"/>
              <w:right w:val="single" w:sz="8" w:space="0" w:color="000000"/>
            </w:tcBorders>
            <w:shd w:val="clear" w:color="auto" w:fill="auto"/>
            <w:noWrap/>
            <w:vAlign w:val="bottom"/>
            <w:hideMark/>
          </w:tcPr>
          <w:p w14:paraId="1EF1B7D5" w14:textId="77777777" w:rsidR="005B45D2" w:rsidRPr="00304219" w:rsidRDefault="005B45D2" w:rsidP="005B45D2">
            <w:pPr>
              <w:jc w:val="center"/>
              <w:rPr>
                <w:rFonts w:ascii="Arial" w:eastAsia="Times New Roman" w:hAnsi="Arial" w:cs="Arial"/>
                <w:b/>
                <w:bCs/>
                <w:color w:val="000000"/>
                <w:sz w:val="20"/>
              </w:rPr>
            </w:pPr>
            <w:r w:rsidRPr="00304219">
              <w:rPr>
                <w:rFonts w:ascii="Arial" w:eastAsia="Times New Roman" w:hAnsi="Arial" w:cs="Arial"/>
                <w:b/>
                <w:bCs/>
                <w:color w:val="000000"/>
                <w:sz w:val="20"/>
              </w:rPr>
              <w:t> </w:t>
            </w:r>
          </w:p>
        </w:tc>
      </w:tr>
      <w:tr w:rsidR="005B45D2" w:rsidRPr="00304219" w14:paraId="7CC30221" w14:textId="77777777" w:rsidTr="005B45D2">
        <w:trPr>
          <w:trHeight w:val="420"/>
        </w:trPr>
        <w:tc>
          <w:tcPr>
            <w:tcW w:w="2480" w:type="dxa"/>
            <w:tcBorders>
              <w:top w:val="nil"/>
              <w:left w:val="single" w:sz="8" w:space="0" w:color="auto"/>
              <w:bottom w:val="single" w:sz="4" w:space="0" w:color="auto"/>
              <w:right w:val="nil"/>
            </w:tcBorders>
            <w:shd w:val="clear" w:color="auto" w:fill="auto"/>
            <w:vAlign w:val="bottom"/>
            <w:hideMark/>
          </w:tcPr>
          <w:p w14:paraId="6794805C" w14:textId="395CFAAD" w:rsidR="005B45D2" w:rsidRPr="00304219" w:rsidRDefault="00CC214C" w:rsidP="005B45D2">
            <w:pPr>
              <w:rPr>
                <w:rFonts w:ascii="Arial" w:eastAsia="Times New Roman" w:hAnsi="Arial" w:cs="Arial"/>
                <w:color w:val="000000"/>
                <w:sz w:val="20"/>
              </w:rPr>
            </w:pPr>
            <w:r w:rsidRPr="00304219">
              <w:rPr>
                <w:rFonts w:ascii="Arial" w:eastAsia="Times New Roman" w:hAnsi="Arial" w:cs="Arial"/>
                <w:color w:val="000000"/>
                <w:sz w:val="20"/>
              </w:rPr>
              <w:t>Plan de negocios implementado</w:t>
            </w:r>
          </w:p>
        </w:tc>
        <w:tc>
          <w:tcPr>
            <w:tcW w:w="25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70D3997"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0" w:type="dxa"/>
            <w:tcBorders>
              <w:top w:val="single" w:sz="8" w:space="0" w:color="auto"/>
              <w:left w:val="nil"/>
              <w:bottom w:val="single" w:sz="4" w:space="0" w:color="auto"/>
              <w:right w:val="single" w:sz="4" w:space="0" w:color="auto"/>
            </w:tcBorders>
            <w:shd w:val="clear" w:color="auto" w:fill="auto"/>
            <w:noWrap/>
            <w:vAlign w:val="center"/>
            <w:hideMark/>
          </w:tcPr>
          <w:p w14:paraId="61672C79"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2" w:type="dxa"/>
            <w:tcBorders>
              <w:top w:val="single" w:sz="8" w:space="0" w:color="auto"/>
              <w:left w:val="nil"/>
              <w:bottom w:val="single" w:sz="4" w:space="0" w:color="auto"/>
              <w:right w:val="single" w:sz="4" w:space="0" w:color="auto"/>
            </w:tcBorders>
            <w:shd w:val="clear" w:color="auto" w:fill="auto"/>
            <w:noWrap/>
            <w:vAlign w:val="center"/>
            <w:hideMark/>
          </w:tcPr>
          <w:p w14:paraId="4E21F6E5"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46" w:type="dxa"/>
            <w:tcBorders>
              <w:top w:val="single" w:sz="8" w:space="0" w:color="auto"/>
              <w:left w:val="nil"/>
              <w:bottom w:val="single" w:sz="4" w:space="0" w:color="auto"/>
              <w:right w:val="single" w:sz="8" w:space="0" w:color="auto"/>
            </w:tcBorders>
            <w:shd w:val="clear" w:color="auto" w:fill="auto"/>
            <w:noWrap/>
            <w:vAlign w:val="center"/>
            <w:hideMark/>
          </w:tcPr>
          <w:p w14:paraId="0809A056"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1" w:type="dxa"/>
            <w:tcBorders>
              <w:top w:val="single" w:sz="8" w:space="0" w:color="auto"/>
              <w:left w:val="nil"/>
              <w:bottom w:val="single" w:sz="4" w:space="0" w:color="auto"/>
              <w:right w:val="single" w:sz="4" w:space="0" w:color="auto"/>
            </w:tcBorders>
            <w:shd w:val="clear" w:color="auto" w:fill="auto"/>
            <w:noWrap/>
            <w:vAlign w:val="center"/>
            <w:hideMark/>
          </w:tcPr>
          <w:p w14:paraId="7458C15B"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single" w:sz="8" w:space="0" w:color="auto"/>
              <w:left w:val="nil"/>
              <w:bottom w:val="single" w:sz="4" w:space="0" w:color="auto"/>
              <w:right w:val="single" w:sz="4" w:space="0" w:color="auto"/>
            </w:tcBorders>
            <w:shd w:val="clear" w:color="auto" w:fill="auto"/>
            <w:noWrap/>
            <w:vAlign w:val="center"/>
            <w:hideMark/>
          </w:tcPr>
          <w:p w14:paraId="0BFEB028"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1" w:type="dxa"/>
            <w:tcBorders>
              <w:top w:val="single" w:sz="8" w:space="0" w:color="auto"/>
              <w:left w:val="nil"/>
              <w:bottom w:val="single" w:sz="4" w:space="0" w:color="auto"/>
              <w:right w:val="single" w:sz="4" w:space="0" w:color="auto"/>
            </w:tcBorders>
            <w:shd w:val="clear" w:color="auto" w:fill="auto"/>
            <w:noWrap/>
            <w:vAlign w:val="center"/>
            <w:hideMark/>
          </w:tcPr>
          <w:p w14:paraId="44B897D1"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7" w:type="dxa"/>
            <w:tcBorders>
              <w:top w:val="single" w:sz="8" w:space="0" w:color="auto"/>
              <w:left w:val="nil"/>
              <w:bottom w:val="single" w:sz="4" w:space="0" w:color="auto"/>
              <w:right w:val="single" w:sz="8" w:space="0" w:color="auto"/>
            </w:tcBorders>
            <w:shd w:val="clear" w:color="auto" w:fill="auto"/>
            <w:noWrap/>
            <w:vAlign w:val="center"/>
            <w:hideMark/>
          </w:tcPr>
          <w:p w14:paraId="78A509FC"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256" w:type="dxa"/>
            <w:tcBorders>
              <w:top w:val="single" w:sz="8" w:space="0" w:color="auto"/>
              <w:left w:val="nil"/>
              <w:bottom w:val="single" w:sz="4" w:space="0" w:color="auto"/>
              <w:right w:val="single" w:sz="4" w:space="0" w:color="auto"/>
            </w:tcBorders>
            <w:shd w:val="clear" w:color="auto" w:fill="auto"/>
            <w:noWrap/>
            <w:vAlign w:val="center"/>
            <w:hideMark/>
          </w:tcPr>
          <w:p w14:paraId="6E7CF950"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single" w:sz="8" w:space="0" w:color="auto"/>
              <w:left w:val="nil"/>
              <w:bottom w:val="single" w:sz="4" w:space="0" w:color="auto"/>
              <w:right w:val="single" w:sz="4" w:space="0" w:color="auto"/>
            </w:tcBorders>
            <w:shd w:val="clear" w:color="auto" w:fill="auto"/>
            <w:noWrap/>
            <w:vAlign w:val="center"/>
            <w:hideMark/>
          </w:tcPr>
          <w:p w14:paraId="4B755A23"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26" w:type="dxa"/>
            <w:tcBorders>
              <w:top w:val="single" w:sz="8" w:space="0" w:color="auto"/>
              <w:left w:val="nil"/>
              <w:bottom w:val="single" w:sz="4" w:space="0" w:color="auto"/>
              <w:right w:val="single" w:sz="4" w:space="0" w:color="auto"/>
            </w:tcBorders>
            <w:shd w:val="clear" w:color="auto" w:fill="auto"/>
            <w:noWrap/>
            <w:vAlign w:val="center"/>
            <w:hideMark/>
          </w:tcPr>
          <w:p w14:paraId="700FD617"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9" w:type="dxa"/>
            <w:tcBorders>
              <w:top w:val="single" w:sz="8" w:space="0" w:color="auto"/>
              <w:left w:val="nil"/>
              <w:bottom w:val="single" w:sz="4" w:space="0" w:color="auto"/>
              <w:right w:val="single" w:sz="8" w:space="0" w:color="auto"/>
            </w:tcBorders>
            <w:shd w:val="clear" w:color="auto" w:fill="auto"/>
            <w:noWrap/>
            <w:vAlign w:val="center"/>
            <w:hideMark/>
          </w:tcPr>
          <w:p w14:paraId="2A952758"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107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7131F87"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SONAPI</w:t>
            </w:r>
          </w:p>
        </w:tc>
        <w:tc>
          <w:tcPr>
            <w:tcW w:w="630" w:type="dxa"/>
            <w:tcBorders>
              <w:top w:val="single" w:sz="8" w:space="0" w:color="auto"/>
              <w:left w:val="nil"/>
              <w:bottom w:val="single" w:sz="4" w:space="0" w:color="auto"/>
              <w:right w:val="single" w:sz="8" w:space="0" w:color="auto"/>
            </w:tcBorders>
            <w:shd w:val="clear" w:color="auto" w:fill="auto"/>
            <w:noWrap/>
            <w:vAlign w:val="center"/>
            <w:hideMark/>
          </w:tcPr>
          <w:p w14:paraId="73AD5F99"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127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D395D74"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BID</w:t>
            </w:r>
          </w:p>
        </w:tc>
      </w:tr>
      <w:tr w:rsidR="005B45D2" w:rsidRPr="00304219" w14:paraId="5E22D2B5" w14:textId="77777777" w:rsidTr="005B45D2">
        <w:trPr>
          <w:trHeight w:val="420"/>
        </w:trPr>
        <w:tc>
          <w:tcPr>
            <w:tcW w:w="2480" w:type="dxa"/>
            <w:tcBorders>
              <w:top w:val="nil"/>
              <w:left w:val="single" w:sz="8" w:space="0" w:color="auto"/>
              <w:bottom w:val="single" w:sz="4" w:space="0" w:color="auto"/>
              <w:right w:val="nil"/>
            </w:tcBorders>
            <w:shd w:val="clear" w:color="auto" w:fill="auto"/>
            <w:vAlign w:val="bottom"/>
            <w:hideMark/>
          </w:tcPr>
          <w:p w14:paraId="6035A7C5" w14:textId="3F0988CD" w:rsidR="005B45D2" w:rsidRPr="00304219" w:rsidRDefault="00CC214C" w:rsidP="00CC214C">
            <w:pPr>
              <w:rPr>
                <w:rFonts w:ascii="Arial" w:eastAsia="Times New Roman" w:hAnsi="Arial" w:cs="Arial"/>
                <w:color w:val="000000"/>
                <w:sz w:val="20"/>
              </w:rPr>
            </w:pPr>
            <w:r w:rsidRPr="00304219">
              <w:rPr>
                <w:rFonts w:ascii="Arial" w:eastAsia="Times New Roman" w:hAnsi="Arial" w:cs="Arial"/>
                <w:color w:val="000000"/>
                <w:sz w:val="20"/>
              </w:rPr>
              <w:t>Recursos dotados para cubrir los gastos de operación y mantenimiento del PIC</w:t>
            </w:r>
          </w:p>
        </w:tc>
        <w:tc>
          <w:tcPr>
            <w:tcW w:w="255" w:type="dxa"/>
            <w:tcBorders>
              <w:top w:val="nil"/>
              <w:left w:val="single" w:sz="8" w:space="0" w:color="auto"/>
              <w:bottom w:val="single" w:sz="4" w:space="0" w:color="auto"/>
              <w:right w:val="single" w:sz="4" w:space="0" w:color="auto"/>
            </w:tcBorders>
            <w:shd w:val="clear" w:color="auto" w:fill="auto"/>
            <w:noWrap/>
            <w:vAlign w:val="center"/>
            <w:hideMark/>
          </w:tcPr>
          <w:p w14:paraId="05720D1B"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0" w:type="dxa"/>
            <w:tcBorders>
              <w:top w:val="nil"/>
              <w:left w:val="nil"/>
              <w:bottom w:val="single" w:sz="4" w:space="0" w:color="auto"/>
              <w:right w:val="single" w:sz="4" w:space="0" w:color="auto"/>
            </w:tcBorders>
            <w:shd w:val="clear" w:color="auto" w:fill="auto"/>
            <w:noWrap/>
            <w:vAlign w:val="center"/>
            <w:hideMark/>
          </w:tcPr>
          <w:p w14:paraId="036D84CD"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2" w:type="dxa"/>
            <w:tcBorders>
              <w:top w:val="nil"/>
              <w:left w:val="nil"/>
              <w:bottom w:val="single" w:sz="4" w:space="0" w:color="auto"/>
              <w:right w:val="single" w:sz="4" w:space="0" w:color="auto"/>
            </w:tcBorders>
            <w:shd w:val="clear" w:color="auto" w:fill="auto"/>
            <w:noWrap/>
            <w:vAlign w:val="center"/>
            <w:hideMark/>
          </w:tcPr>
          <w:p w14:paraId="1B8C6499"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46" w:type="dxa"/>
            <w:tcBorders>
              <w:top w:val="nil"/>
              <w:left w:val="nil"/>
              <w:bottom w:val="single" w:sz="4" w:space="0" w:color="auto"/>
              <w:right w:val="single" w:sz="8" w:space="0" w:color="auto"/>
            </w:tcBorders>
            <w:shd w:val="clear" w:color="auto" w:fill="auto"/>
            <w:noWrap/>
            <w:vAlign w:val="center"/>
            <w:hideMark/>
          </w:tcPr>
          <w:p w14:paraId="73FBF6EE"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1" w:type="dxa"/>
            <w:tcBorders>
              <w:top w:val="nil"/>
              <w:left w:val="nil"/>
              <w:bottom w:val="single" w:sz="4" w:space="0" w:color="auto"/>
              <w:right w:val="single" w:sz="4" w:space="0" w:color="auto"/>
            </w:tcBorders>
            <w:shd w:val="clear" w:color="auto" w:fill="auto"/>
            <w:noWrap/>
            <w:vAlign w:val="center"/>
            <w:hideMark/>
          </w:tcPr>
          <w:p w14:paraId="243CEEE4"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50A55FFE"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31" w:type="dxa"/>
            <w:tcBorders>
              <w:top w:val="nil"/>
              <w:left w:val="nil"/>
              <w:bottom w:val="single" w:sz="4" w:space="0" w:color="auto"/>
              <w:right w:val="single" w:sz="4" w:space="0" w:color="auto"/>
            </w:tcBorders>
            <w:shd w:val="clear" w:color="auto" w:fill="auto"/>
            <w:noWrap/>
            <w:vAlign w:val="center"/>
            <w:hideMark/>
          </w:tcPr>
          <w:p w14:paraId="736071D5"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7" w:type="dxa"/>
            <w:tcBorders>
              <w:top w:val="nil"/>
              <w:left w:val="nil"/>
              <w:bottom w:val="single" w:sz="4" w:space="0" w:color="auto"/>
              <w:right w:val="single" w:sz="8" w:space="0" w:color="auto"/>
            </w:tcBorders>
            <w:shd w:val="clear" w:color="auto" w:fill="auto"/>
            <w:noWrap/>
            <w:vAlign w:val="center"/>
            <w:hideMark/>
          </w:tcPr>
          <w:p w14:paraId="55FBDB0F"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256" w:type="dxa"/>
            <w:tcBorders>
              <w:top w:val="nil"/>
              <w:left w:val="nil"/>
              <w:bottom w:val="single" w:sz="4" w:space="0" w:color="auto"/>
              <w:right w:val="single" w:sz="4" w:space="0" w:color="auto"/>
            </w:tcBorders>
            <w:shd w:val="clear" w:color="auto" w:fill="auto"/>
            <w:noWrap/>
            <w:vAlign w:val="center"/>
            <w:hideMark/>
          </w:tcPr>
          <w:p w14:paraId="3A0FB0D5"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1" w:type="dxa"/>
            <w:tcBorders>
              <w:top w:val="nil"/>
              <w:left w:val="nil"/>
              <w:bottom w:val="single" w:sz="4" w:space="0" w:color="auto"/>
              <w:right w:val="single" w:sz="4" w:space="0" w:color="auto"/>
            </w:tcBorders>
            <w:shd w:val="clear" w:color="auto" w:fill="auto"/>
            <w:noWrap/>
            <w:vAlign w:val="center"/>
            <w:hideMark/>
          </w:tcPr>
          <w:p w14:paraId="06FFA1D1"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326" w:type="dxa"/>
            <w:tcBorders>
              <w:top w:val="nil"/>
              <w:left w:val="nil"/>
              <w:bottom w:val="single" w:sz="4" w:space="0" w:color="auto"/>
              <w:right w:val="single" w:sz="4" w:space="0" w:color="auto"/>
            </w:tcBorders>
            <w:shd w:val="clear" w:color="auto" w:fill="auto"/>
            <w:noWrap/>
            <w:vAlign w:val="center"/>
            <w:hideMark/>
          </w:tcPr>
          <w:p w14:paraId="17EF7884"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339" w:type="dxa"/>
            <w:tcBorders>
              <w:top w:val="nil"/>
              <w:left w:val="nil"/>
              <w:bottom w:val="single" w:sz="4" w:space="0" w:color="auto"/>
              <w:right w:val="single" w:sz="8" w:space="0" w:color="auto"/>
            </w:tcBorders>
            <w:shd w:val="clear" w:color="auto" w:fill="auto"/>
            <w:noWrap/>
            <w:vAlign w:val="center"/>
            <w:hideMark/>
          </w:tcPr>
          <w:p w14:paraId="58EF0C29"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X</w:t>
            </w:r>
          </w:p>
        </w:tc>
        <w:tc>
          <w:tcPr>
            <w:tcW w:w="1070" w:type="dxa"/>
            <w:vMerge/>
            <w:tcBorders>
              <w:top w:val="single" w:sz="8" w:space="0" w:color="auto"/>
              <w:left w:val="single" w:sz="8" w:space="0" w:color="auto"/>
              <w:bottom w:val="single" w:sz="8" w:space="0" w:color="000000"/>
              <w:right w:val="single" w:sz="8" w:space="0" w:color="auto"/>
            </w:tcBorders>
            <w:vAlign w:val="center"/>
            <w:hideMark/>
          </w:tcPr>
          <w:p w14:paraId="65B2612D" w14:textId="77777777" w:rsidR="005B45D2" w:rsidRPr="00304219" w:rsidRDefault="005B45D2" w:rsidP="005B45D2">
            <w:pPr>
              <w:rPr>
                <w:rFonts w:ascii="Arial" w:eastAsia="Times New Roman" w:hAnsi="Arial" w:cs="Arial"/>
                <w:color w:val="000000"/>
                <w:sz w:val="20"/>
              </w:rPr>
            </w:pPr>
          </w:p>
        </w:tc>
        <w:tc>
          <w:tcPr>
            <w:tcW w:w="630" w:type="dxa"/>
            <w:tcBorders>
              <w:top w:val="nil"/>
              <w:left w:val="nil"/>
              <w:bottom w:val="single" w:sz="4" w:space="0" w:color="auto"/>
              <w:right w:val="single" w:sz="8" w:space="0" w:color="auto"/>
            </w:tcBorders>
            <w:shd w:val="clear" w:color="auto" w:fill="auto"/>
            <w:noWrap/>
            <w:vAlign w:val="center"/>
            <w:hideMark/>
          </w:tcPr>
          <w:p w14:paraId="0746E4DA"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1278" w:type="dxa"/>
            <w:vMerge/>
            <w:tcBorders>
              <w:top w:val="single" w:sz="8" w:space="0" w:color="auto"/>
              <w:left w:val="single" w:sz="8" w:space="0" w:color="auto"/>
              <w:bottom w:val="single" w:sz="8" w:space="0" w:color="000000"/>
              <w:right w:val="single" w:sz="8" w:space="0" w:color="auto"/>
            </w:tcBorders>
            <w:vAlign w:val="center"/>
            <w:hideMark/>
          </w:tcPr>
          <w:p w14:paraId="45C62915" w14:textId="77777777" w:rsidR="005B45D2" w:rsidRPr="00304219" w:rsidRDefault="005B45D2" w:rsidP="005B45D2">
            <w:pPr>
              <w:rPr>
                <w:rFonts w:ascii="Arial" w:eastAsia="Times New Roman" w:hAnsi="Arial" w:cs="Arial"/>
                <w:color w:val="000000"/>
                <w:sz w:val="20"/>
              </w:rPr>
            </w:pPr>
          </w:p>
        </w:tc>
      </w:tr>
      <w:tr w:rsidR="005B45D2" w:rsidRPr="00304219" w14:paraId="5D45B690" w14:textId="77777777" w:rsidTr="005B45D2">
        <w:trPr>
          <w:trHeight w:val="300"/>
        </w:trPr>
        <w:tc>
          <w:tcPr>
            <w:tcW w:w="6325" w:type="dxa"/>
            <w:gridSpan w:val="1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18BA806" w14:textId="77777777" w:rsidR="005B45D2" w:rsidRPr="00304219" w:rsidRDefault="005B45D2" w:rsidP="005B45D2">
            <w:pPr>
              <w:rPr>
                <w:rFonts w:ascii="Arial" w:eastAsia="Times New Roman" w:hAnsi="Arial" w:cs="Arial"/>
                <w:b/>
                <w:bCs/>
                <w:color w:val="000000"/>
                <w:sz w:val="20"/>
              </w:rPr>
            </w:pPr>
            <w:bookmarkStart w:id="25" w:name="_GoBack"/>
            <w:r w:rsidRPr="00304219">
              <w:rPr>
                <w:rFonts w:ascii="Arial" w:eastAsia="Times New Roman" w:hAnsi="Arial" w:cs="Arial"/>
                <w:b/>
                <w:bCs/>
                <w:color w:val="000000"/>
                <w:sz w:val="20"/>
              </w:rPr>
              <w:t>Informe Monitoreo Final del Programa</w:t>
            </w:r>
          </w:p>
        </w:tc>
        <w:tc>
          <w:tcPr>
            <w:tcW w:w="1070" w:type="dxa"/>
            <w:tcBorders>
              <w:top w:val="nil"/>
              <w:left w:val="single" w:sz="8" w:space="0" w:color="auto"/>
              <w:bottom w:val="single" w:sz="8" w:space="0" w:color="auto"/>
              <w:right w:val="single" w:sz="8" w:space="0" w:color="auto"/>
            </w:tcBorders>
            <w:shd w:val="clear" w:color="auto" w:fill="auto"/>
            <w:vAlign w:val="center"/>
            <w:hideMark/>
          </w:tcPr>
          <w:p w14:paraId="65B99E22" w14:textId="77777777" w:rsidR="005B45D2" w:rsidRPr="00304219" w:rsidRDefault="005B45D2" w:rsidP="005B45D2">
            <w:pPr>
              <w:jc w:val="center"/>
              <w:rPr>
                <w:rFonts w:ascii="Arial" w:eastAsia="Times New Roman" w:hAnsi="Arial" w:cs="Arial"/>
                <w:color w:val="000000"/>
                <w:sz w:val="20"/>
              </w:rPr>
            </w:pPr>
            <w:r w:rsidRPr="00304219">
              <w:rPr>
                <w:rFonts w:ascii="Arial" w:eastAsia="Times New Roman" w:hAnsi="Arial" w:cs="Arial"/>
                <w:color w:val="000000"/>
                <w:sz w:val="20"/>
              </w:rPr>
              <w:t>UTE/ SONAPI</w:t>
            </w:r>
          </w:p>
        </w:tc>
        <w:tc>
          <w:tcPr>
            <w:tcW w:w="630" w:type="dxa"/>
            <w:tcBorders>
              <w:top w:val="nil"/>
              <w:left w:val="nil"/>
              <w:bottom w:val="single" w:sz="8" w:space="0" w:color="auto"/>
              <w:right w:val="single" w:sz="4" w:space="0" w:color="auto"/>
            </w:tcBorders>
            <w:shd w:val="clear" w:color="auto" w:fill="auto"/>
            <w:noWrap/>
            <w:vAlign w:val="bottom"/>
            <w:hideMark/>
          </w:tcPr>
          <w:p w14:paraId="1CF461C9"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 </w:t>
            </w:r>
          </w:p>
        </w:tc>
        <w:tc>
          <w:tcPr>
            <w:tcW w:w="1278" w:type="dxa"/>
            <w:tcBorders>
              <w:top w:val="nil"/>
              <w:left w:val="nil"/>
              <w:bottom w:val="single" w:sz="8" w:space="0" w:color="auto"/>
              <w:right w:val="single" w:sz="8" w:space="0" w:color="auto"/>
            </w:tcBorders>
            <w:shd w:val="clear" w:color="auto" w:fill="auto"/>
            <w:noWrap/>
            <w:vAlign w:val="bottom"/>
            <w:hideMark/>
          </w:tcPr>
          <w:p w14:paraId="66581C62" w14:textId="77777777" w:rsidR="005B45D2" w:rsidRPr="00304219" w:rsidRDefault="005B45D2" w:rsidP="005B45D2">
            <w:pPr>
              <w:rPr>
                <w:rFonts w:ascii="Arial" w:eastAsia="Times New Roman" w:hAnsi="Arial" w:cs="Arial"/>
                <w:color w:val="000000"/>
                <w:sz w:val="20"/>
              </w:rPr>
            </w:pPr>
            <w:r w:rsidRPr="00304219">
              <w:rPr>
                <w:rFonts w:ascii="Arial" w:eastAsia="Times New Roman" w:hAnsi="Arial" w:cs="Arial"/>
                <w:color w:val="000000"/>
                <w:sz w:val="20"/>
              </w:rPr>
              <w:t>BID</w:t>
            </w:r>
          </w:p>
        </w:tc>
      </w:tr>
      <w:bookmarkEnd w:id="25"/>
      <w:tr w:rsidR="005556B1" w:rsidRPr="00304219" w14:paraId="344A857D" w14:textId="77777777" w:rsidTr="005556B1">
        <w:trPr>
          <w:trHeight w:val="300"/>
        </w:trPr>
        <w:tc>
          <w:tcPr>
            <w:tcW w:w="7395" w:type="dxa"/>
            <w:gridSpan w:val="14"/>
            <w:tcBorders>
              <w:top w:val="nil"/>
              <w:left w:val="single" w:sz="8" w:space="0" w:color="auto"/>
              <w:bottom w:val="single" w:sz="8" w:space="0" w:color="auto"/>
              <w:right w:val="nil"/>
            </w:tcBorders>
            <w:shd w:val="clear" w:color="auto" w:fill="auto"/>
            <w:noWrap/>
            <w:vAlign w:val="bottom"/>
            <w:hideMark/>
          </w:tcPr>
          <w:p w14:paraId="56799FC8" w14:textId="77777777" w:rsidR="005556B1" w:rsidRPr="00304219" w:rsidRDefault="005556B1" w:rsidP="005B45D2">
            <w:pPr>
              <w:jc w:val="center"/>
              <w:rPr>
                <w:rFonts w:ascii="Arial" w:eastAsia="Times New Roman" w:hAnsi="Arial" w:cs="Arial"/>
                <w:b/>
                <w:bCs/>
                <w:color w:val="000000"/>
                <w:sz w:val="20"/>
              </w:rPr>
            </w:pPr>
            <w:r w:rsidRPr="00304219">
              <w:rPr>
                <w:rFonts w:ascii="Arial" w:eastAsia="Times New Roman" w:hAnsi="Arial" w:cs="Arial"/>
                <w:b/>
                <w:bCs/>
                <w:color w:val="000000"/>
                <w:sz w:val="20"/>
              </w:rPr>
              <w:t>TOTAL</w:t>
            </w:r>
          </w:p>
        </w:tc>
        <w:tc>
          <w:tcPr>
            <w:tcW w:w="1908" w:type="dxa"/>
            <w:gridSpan w:val="2"/>
            <w:tcBorders>
              <w:top w:val="nil"/>
              <w:left w:val="nil"/>
              <w:bottom w:val="single" w:sz="8" w:space="0" w:color="auto"/>
              <w:right w:val="single" w:sz="8" w:space="0" w:color="auto"/>
            </w:tcBorders>
            <w:shd w:val="clear" w:color="auto" w:fill="auto"/>
            <w:noWrap/>
            <w:vAlign w:val="bottom"/>
            <w:hideMark/>
          </w:tcPr>
          <w:p w14:paraId="27E5C1DA" w14:textId="211276FA" w:rsidR="005556B1" w:rsidRPr="00304219" w:rsidRDefault="005556B1" w:rsidP="005556B1">
            <w:pPr>
              <w:ind w:left="-108" w:right="-108"/>
              <w:rPr>
                <w:rFonts w:ascii="Arial" w:eastAsia="Times New Roman" w:hAnsi="Arial" w:cs="Arial"/>
                <w:color w:val="000000"/>
                <w:sz w:val="20"/>
              </w:rPr>
            </w:pPr>
            <w:r w:rsidRPr="00304219">
              <w:rPr>
                <w:rFonts w:ascii="Arial" w:eastAsia="Times New Roman" w:hAnsi="Arial" w:cs="Arial"/>
                <w:color w:val="000000"/>
                <w:sz w:val="20"/>
              </w:rPr>
              <w:t xml:space="preserve">120 mil </w:t>
            </w:r>
          </w:p>
        </w:tc>
      </w:tr>
    </w:tbl>
    <w:p w14:paraId="6EFFF149" w14:textId="6BD20506" w:rsidR="00001BCA" w:rsidRPr="005556B1" w:rsidRDefault="00001BCA" w:rsidP="00001BCA">
      <w:pPr>
        <w:rPr>
          <w:rFonts w:ascii="Arial" w:hAnsi="Arial" w:cs="Arial"/>
          <w:sz w:val="20"/>
        </w:rPr>
      </w:pPr>
    </w:p>
    <w:p w14:paraId="69118E56" w14:textId="77777777" w:rsidR="00001BCA" w:rsidRPr="005556B1" w:rsidRDefault="00001BCA" w:rsidP="00001BCA">
      <w:pPr>
        <w:rPr>
          <w:rFonts w:ascii="Arial" w:hAnsi="Arial" w:cs="Arial"/>
          <w:sz w:val="20"/>
        </w:rPr>
        <w:sectPr w:rsidR="00001BCA" w:rsidRPr="005556B1" w:rsidSect="00304219">
          <w:type w:val="continuous"/>
          <w:pgSz w:w="12240" w:h="15840" w:code="1"/>
          <w:pgMar w:top="1526" w:right="1526" w:bottom="1296" w:left="1526" w:header="720" w:footer="720" w:gutter="0"/>
          <w:cols w:space="720"/>
          <w:docGrid w:linePitch="326"/>
        </w:sectPr>
      </w:pPr>
    </w:p>
    <w:p w14:paraId="2239DA1F" w14:textId="6BD86E6F" w:rsidR="00216A3B" w:rsidRPr="00304219" w:rsidRDefault="00216A3B" w:rsidP="00304219">
      <w:pPr>
        <w:pStyle w:val="Chapter"/>
        <w:rPr>
          <w:rFonts w:ascii="Arial" w:hAnsi="Arial" w:cs="Arial"/>
          <w:sz w:val="22"/>
        </w:rPr>
      </w:pPr>
      <w:bookmarkStart w:id="26" w:name="_Toc433354363"/>
      <w:r w:rsidRPr="00304219">
        <w:rPr>
          <w:rFonts w:ascii="Arial" w:hAnsi="Arial" w:cs="Arial"/>
          <w:sz w:val="22"/>
        </w:rPr>
        <w:lastRenderedPageBreak/>
        <w:t>Evaluación</w:t>
      </w:r>
      <w:bookmarkEnd w:id="26"/>
    </w:p>
    <w:p w14:paraId="207195C1" w14:textId="7317AE3D" w:rsidR="00575A0E" w:rsidRPr="00304219" w:rsidRDefault="00001BCA" w:rsidP="00304219">
      <w:pPr>
        <w:pStyle w:val="FirstHeading"/>
        <w:rPr>
          <w:rFonts w:ascii="Arial" w:hAnsi="Arial" w:cs="Arial"/>
          <w:smallCaps/>
          <w:sz w:val="22"/>
        </w:rPr>
      </w:pPr>
      <w:r w:rsidRPr="00304219">
        <w:rPr>
          <w:rFonts w:ascii="Arial" w:hAnsi="Arial" w:cs="Arial"/>
          <w:sz w:val="22"/>
        </w:rPr>
        <w:fldChar w:fldCharType="begin"/>
      </w:r>
      <w:r w:rsidRPr="00304219">
        <w:rPr>
          <w:rFonts w:ascii="Arial" w:hAnsi="Arial" w:cs="Arial"/>
          <w:sz w:val="22"/>
        </w:rPr>
        <w:instrText xml:space="preserve"> SEQ "</w:instrText>
      </w:r>
      <w:r w:rsidRPr="00304219">
        <w:rPr>
          <w:rFonts w:ascii="Arial" w:hAnsi="Arial" w:cs="Arial"/>
          <w:sz w:val="22"/>
        </w:rPr>
        <w:fldChar w:fldCharType="begin"/>
      </w:r>
      <w:r w:rsidRPr="00304219">
        <w:rPr>
          <w:rFonts w:ascii="Arial" w:hAnsi="Arial" w:cs="Arial"/>
          <w:sz w:val="22"/>
        </w:rPr>
        <w:instrText xml:space="preserve"> SECTION  \* MERGEFORMAT </w:instrText>
      </w:r>
      <w:r w:rsidRPr="00304219">
        <w:rPr>
          <w:rFonts w:ascii="Arial" w:hAnsi="Arial" w:cs="Arial"/>
          <w:sz w:val="22"/>
        </w:rPr>
        <w:fldChar w:fldCharType="separate"/>
      </w:r>
      <w:r w:rsidRPr="00304219">
        <w:rPr>
          <w:rFonts w:ascii="Arial" w:hAnsi="Arial" w:cs="Arial"/>
          <w:sz w:val="22"/>
        </w:rPr>
        <w:instrText>5</w:instrText>
      </w:r>
      <w:r w:rsidRPr="00304219">
        <w:rPr>
          <w:rFonts w:ascii="Arial" w:hAnsi="Arial" w:cs="Arial"/>
          <w:sz w:val="22"/>
        </w:rPr>
        <w:fldChar w:fldCharType="end"/>
      </w:r>
      <w:r w:rsidRPr="00304219">
        <w:rPr>
          <w:rFonts w:ascii="Arial" w:hAnsi="Arial" w:cs="Arial"/>
          <w:sz w:val="22"/>
        </w:rPr>
        <w:instrText xml:space="preserve">#"\* ALPHABETIC \* MERGEFORMAT </w:instrText>
      </w:r>
      <w:r w:rsidRPr="00304219">
        <w:rPr>
          <w:rFonts w:ascii="Arial" w:hAnsi="Arial" w:cs="Arial"/>
          <w:sz w:val="22"/>
        </w:rPr>
        <w:fldChar w:fldCharType="separate"/>
      </w:r>
      <w:bookmarkStart w:id="27" w:name="_Toc433354364"/>
      <w:r w:rsidRPr="00304219">
        <w:rPr>
          <w:rFonts w:ascii="Arial" w:hAnsi="Arial" w:cs="Arial"/>
          <w:noProof/>
          <w:sz w:val="22"/>
        </w:rPr>
        <w:t>A</w:t>
      </w:r>
      <w:r w:rsidRPr="00304219">
        <w:rPr>
          <w:rFonts w:ascii="Arial" w:hAnsi="Arial" w:cs="Arial"/>
          <w:sz w:val="22"/>
        </w:rPr>
        <w:fldChar w:fldCharType="end"/>
      </w:r>
      <w:r w:rsidRPr="00304219">
        <w:rPr>
          <w:rFonts w:ascii="Arial" w:hAnsi="Arial" w:cs="Arial"/>
          <w:sz w:val="22"/>
        </w:rPr>
        <w:t>.</w:t>
      </w:r>
      <w:r w:rsidRPr="00304219">
        <w:rPr>
          <w:rFonts w:ascii="Arial" w:hAnsi="Arial" w:cs="Arial"/>
          <w:sz w:val="22"/>
        </w:rPr>
        <w:tab/>
      </w:r>
      <w:r w:rsidR="00575A0E" w:rsidRPr="00304219">
        <w:rPr>
          <w:rFonts w:ascii="Arial" w:hAnsi="Arial" w:cs="Arial"/>
          <w:sz w:val="22"/>
        </w:rPr>
        <w:t xml:space="preserve">Principales </w:t>
      </w:r>
      <w:r w:rsidR="00025D6C" w:rsidRPr="00304219">
        <w:rPr>
          <w:rFonts w:ascii="Arial" w:hAnsi="Arial" w:cs="Arial"/>
          <w:sz w:val="22"/>
        </w:rPr>
        <w:t>Preguntas</w:t>
      </w:r>
      <w:r w:rsidR="00575A0E" w:rsidRPr="00304219">
        <w:rPr>
          <w:rFonts w:ascii="Arial" w:hAnsi="Arial" w:cs="Arial"/>
          <w:sz w:val="22"/>
        </w:rPr>
        <w:t xml:space="preserve"> de la </w:t>
      </w:r>
      <w:r w:rsidR="00025D6C" w:rsidRPr="00304219">
        <w:rPr>
          <w:rFonts w:ascii="Arial" w:hAnsi="Arial" w:cs="Arial"/>
          <w:sz w:val="22"/>
        </w:rPr>
        <w:t>Evaluación</w:t>
      </w:r>
      <w:bookmarkEnd w:id="27"/>
    </w:p>
    <w:p w14:paraId="408AD352" w14:textId="6E844C20" w:rsidR="00216A3B" w:rsidRPr="00304219" w:rsidRDefault="00216A3B" w:rsidP="00304219">
      <w:pPr>
        <w:pStyle w:val="Paragraph"/>
        <w:rPr>
          <w:rFonts w:ascii="Arial" w:hAnsi="Arial" w:cs="Arial"/>
          <w:sz w:val="22"/>
        </w:rPr>
      </w:pPr>
      <w:r w:rsidRPr="00304219">
        <w:rPr>
          <w:rFonts w:ascii="Arial" w:hAnsi="Arial" w:cs="Arial"/>
          <w:sz w:val="22"/>
        </w:rPr>
        <w:t xml:space="preserve">La evaluación está enfocada en </w:t>
      </w:r>
      <w:r w:rsidR="001B3188" w:rsidRPr="00304219">
        <w:rPr>
          <w:rFonts w:ascii="Arial" w:hAnsi="Arial" w:cs="Arial"/>
          <w:sz w:val="22"/>
        </w:rPr>
        <w:t xml:space="preserve">los efectos </w:t>
      </w:r>
      <w:r w:rsidRPr="00304219">
        <w:rPr>
          <w:rFonts w:ascii="Arial" w:hAnsi="Arial" w:cs="Arial"/>
          <w:sz w:val="22"/>
        </w:rPr>
        <w:t xml:space="preserve">de la </w:t>
      </w:r>
      <w:r w:rsidR="00FE4023" w:rsidRPr="00304219">
        <w:rPr>
          <w:rFonts w:ascii="Arial" w:hAnsi="Arial" w:cs="Arial"/>
          <w:sz w:val="22"/>
        </w:rPr>
        <w:t xml:space="preserve">expansión </w:t>
      </w:r>
      <w:r w:rsidRPr="00304219">
        <w:rPr>
          <w:rFonts w:ascii="Arial" w:hAnsi="Arial" w:cs="Arial"/>
          <w:sz w:val="22"/>
        </w:rPr>
        <w:t xml:space="preserve"> del PIC </w:t>
      </w:r>
      <w:r w:rsidR="00FE4023" w:rsidRPr="00304219">
        <w:rPr>
          <w:rFonts w:ascii="Arial" w:hAnsi="Arial" w:cs="Arial"/>
          <w:sz w:val="22"/>
        </w:rPr>
        <w:t xml:space="preserve">financiada por este Programa. </w:t>
      </w:r>
      <w:r w:rsidR="001B3188" w:rsidRPr="00304219">
        <w:rPr>
          <w:rFonts w:ascii="Arial" w:hAnsi="Arial" w:cs="Arial"/>
          <w:sz w:val="22"/>
        </w:rPr>
        <w:t>L</w:t>
      </w:r>
      <w:r w:rsidRPr="00304219">
        <w:rPr>
          <w:rFonts w:ascii="Arial" w:hAnsi="Arial" w:cs="Arial"/>
          <w:sz w:val="22"/>
        </w:rPr>
        <w:t xml:space="preserve">as preguntas </w:t>
      </w:r>
      <w:r w:rsidR="007039A0" w:rsidRPr="00304219">
        <w:rPr>
          <w:rFonts w:ascii="Arial" w:hAnsi="Arial" w:cs="Arial"/>
          <w:sz w:val="22"/>
        </w:rPr>
        <w:t xml:space="preserve">sobre evaluación </w:t>
      </w:r>
      <w:r w:rsidRPr="00304219">
        <w:rPr>
          <w:rFonts w:ascii="Arial" w:hAnsi="Arial" w:cs="Arial"/>
          <w:sz w:val="22"/>
        </w:rPr>
        <w:t xml:space="preserve">se dirigen a los siguientes aspectos: </w:t>
      </w:r>
    </w:p>
    <w:p w14:paraId="28D9D233" w14:textId="30560CF3" w:rsidR="00846765" w:rsidRPr="00304219" w:rsidRDefault="00846765" w:rsidP="000041BB">
      <w:pPr>
        <w:pStyle w:val="subpar"/>
        <w:numPr>
          <w:ilvl w:val="0"/>
          <w:numId w:val="61"/>
        </w:numPr>
        <w:rPr>
          <w:rFonts w:ascii="Arial" w:hAnsi="Arial" w:cs="Arial"/>
          <w:sz w:val="22"/>
          <w:szCs w:val="22"/>
        </w:rPr>
      </w:pPr>
      <w:r w:rsidRPr="00304219">
        <w:rPr>
          <w:rFonts w:ascii="Arial" w:hAnsi="Arial" w:cs="Arial"/>
          <w:sz w:val="22"/>
          <w:szCs w:val="22"/>
        </w:rPr>
        <w:t>¿</w:t>
      </w:r>
      <w:r w:rsidR="00FE4023" w:rsidRPr="00304219">
        <w:rPr>
          <w:rFonts w:ascii="Arial" w:hAnsi="Arial" w:cs="Arial"/>
          <w:sz w:val="22"/>
          <w:szCs w:val="22"/>
        </w:rPr>
        <w:t xml:space="preserve">En cuánto </w:t>
      </w:r>
      <w:r w:rsidR="005F0E82" w:rsidRPr="00304219">
        <w:rPr>
          <w:rFonts w:ascii="Arial" w:hAnsi="Arial" w:cs="Arial"/>
          <w:sz w:val="22"/>
          <w:szCs w:val="22"/>
        </w:rPr>
        <w:t>creció</w:t>
      </w:r>
      <w:r w:rsidR="00FE4023" w:rsidRPr="00304219">
        <w:rPr>
          <w:rFonts w:ascii="Arial" w:hAnsi="Arial" w:cs="Arial"/>
          <w:sz w:val="22"/>
          <w:szCs w:val="22"/>
        </w:rPr>
        <w:t xml:space="preserve"> el PIB de los departamentos del Nort</w:t>
      </w:r>
      <w:r w:rsidR="00FC1143" w:rsidRPr="00304219">
        <w:rPr>
          <w:rFonts w:ascii="Arial" w:hAnsi="Arial" w:cs="Arial"/>
          <w:sz w:val="22"/>
          <w:szCs w:val="22"/>
        </w:rPr>
        <w:t>e y Noreste entre 2015</w:t>
      </w:r>
      <w:r w:rsidR="00691A56" w:rsidRPr="00304219">
        <w:rPr>
          <w:rFonts w:ascii="Arial" w:hAnsi="Arial" w:cs="Arial"/>
          <w:sz w:val="22"/>
          <w:szCs w:val="22"/>
        </w:rPr>
        <w:t>-</w:t>
      </w:r>
      <w:r w:rsidR="00E63E72" w:rsidRPr="00304219">
        <w:rPr>
          <w:rFonts w:ascii="Arial" w:hAnsi="Arial" w:cs="Arial"/>
          <w:sz w:val="22"/>
          <w:szCs w:val="22"/>
        </w:rPr>
        <w:t>2019</w:t>
      </w:r>
      <w:r w:rsidR="00FE4023" w:rsidRPr="00304219">
        <w:rPr>
          <w:rFonts w:ascii="Arial" w:hAnsi="Arial" w:cs="Arial"/>
          <w:sz w:val="22"/>
          <w:szCs w:val="22"/>
        </w:rPr>
        <w:t xml:space="preserve">? </w:t>
      </w:r>
    </w:p>
    <w:p w14:paraId="4761A719" w14:textId="77777777" w:rsidR="00F672C1" w:rsidRPr="00304219" w:rsidRDefault="00575A0E" w:rsidP="000041BB">
      <w:pPr>
        <w:pStyle w:val="subpar"/>
        <w:numPr>
          <w:ilvl w:val="0"/>
          <w:numId w:val="61"/>
        </w:numPr>
        <w:rPr>
          <w:rFonts w:ascii="Arial" w:hAnsi="Arial" w:cs="Arial"/>
          <w:sz w:val="22"/>
          <w:szCs w:val="22"/>
        </w:rPr>
      </w:pPr>
      <w:r w:rsidRPr="00304219">
        <w:rPr>
          <w:rFonts w:ascii="Arial" w:hAnsi="Arial" w:cs="Arial"/>
          <w:sz w:val="22"/>
          <w:szCs w:val="22"/>
        </w:rPr>
        <w:t>¿Cuá</w:t>
      </w:r>
      <w:r w:rsidR="00216A3B" w:rsidRPr="00304219">
        <w:rPr>
          <w:rFonts w:ascii="Arial" w:hAnsi="Arial" w:cs="Arial"/>
          <w:sz w:val="22"/>
          <w:szCs w:val="22"/>
        </w:rPr>
        <w:t xml:space="preserve">l </w:t>
      </w:r>
      <w:r w:rsidRPr="00304219">
        <w:rPr>
          <w:rFonts w:ascii="Arial" w:hAnsi="Arial" w:cs="Arial"/>
          <w:sz w:val="22"/>
          <w:szCs w:val="22"/>
        </w:rPr>
        <w:t xml:space="preserve">es </w:t>
      </w:r>
      <w:r w:rsidR="00F672C1" w:rsidRPr="00304219">
        <w:rPr>
          <w:rFonts w:ascii="Arial" w:hAnsi="Arial" w:cs="Arial"/>
          <w:sz w:val="22"/>
          <w:szCs w:val="22"/>
        </w:rPr>
        <w:t xml:space="preserve">número de empleos directos generados </w:t>
      </w:r>
      <w:r w:rsidR="001D016A" w:rsidRPr="00304219">
        <w:rPr>
          <w:rFonts w:ascii="Arial" w:hAnsi="Arial" w:cs="Arial"/>
          <w:sz w:val="22"/>
          <w:szCs w:val="22"/>
        </w:rPr>
        <w:t>debido a</w:t>
      </w:r>
      <w:r w:rsidR="00F672C1" w:rsidRPr="00304219">
        <w:rPr>
          <w:rFonts w:ascii="Arial" w:hAnsi="Arial" w:cs="Arial"/>
          <w:sz w:val="22"/>
          <w:szCs w:val="22"/>
        </w:rPr>
        <w:t xml:space="preserve"> </w:t>
      </w:r>
      <w:r w:rsidR="00120249" w:rsidRPr="00304219">
        <w:rPr>
          <w:rFonts w:ascii="Arial" w:hAnsi="Arial" w:cs="Arial"/>
          <w:sz w:val="22"/>
          <w:szCs w:val="22"/>
        </w:rPr>
        <w:t>la ampliación d</w:t>
      </w:r>
      <w:r w:rsidR="00F672C1" w:rsidRPr="00304219">
        <w:rPr>
          <w:rFonts w:ascii="Arial" w:hAnsi="Arial" w:cs="Arial"/>
          <w:sz w:val="22"/>
          <w:szCs w:val="22"/>
        </w:rPr>
        <w:t>el PIC</w:t>
      </w:r>
      <w:r w:rsidR="00120249" w:rsidRPr="00304219">
        <w:rPr>
          <w:rFonts w:ascii="Arial" w:hAnsi="Arial" w:cs="Arial"/>
          <w:sz w:val="22"/>
          <w:szCs w:val="22"/>
        </w:rPr>
        <w:t xml:space="preserve"> por este Programa</w:t>
      </w:r>
      <w:r w:rsidR="00F672C1" w:rsidRPr="00304219">
        <w:rPr>
          <w:rFonts w:ascii="Arial" w:hAnsi="Arial" w:cs="Arial"/>
          <w:sz w:val="22"/>
          <w:szCs w:val="22"/>
        </w:rPr>
        <w:t>?</w:t>
      </w:r>
    </w:p>
    <w:p w14:paraId="74BE7B68" w14:textId="3FED249C" w:rsidR="00F672C1" w:rsidRPr="00304219" w:rsidRDefault="000C5ADA" w:rsidP="000041BB">
      <w:pPr>
        <w:pStyle w:val="subpar"/>
        <w:numPr>
          <w:ilvl w:val="0"/>
          <w:numId w:val="61"/>
        </w:numPr>
        <w:tabs>
          <w:tab w:val="num" w:pos="720"/>
        </w:tabs>
        <w:rPr>
          <w:rFonts w:ascii="Arial" w:hAnsi="Arial" w:cs="Arial"/>
          <w:sz w:val="22"/>
          <w:szCs w:val="22"/>
        </w:rPr>
      </w:pPr>
      <w:r w:rsidRPr="00304219">
        <w:rPr>
          <w:rFonts w:ascii="Arial" w:hAnsi="Arial" w:cs="Arial"/>
          <w:sz w:val="22"/>
          <w:szCs w:val="22"/>
        </w:rPr>
        <w:t>¿</w:t>
      </w:r>
      <w:r w:rsidR="00B75ACF" w:rsidRPr="00304219">
        <w:rPr>
          <w:rFonts w:ascii="Arial" w:hAnsi="Arial" w:cs="Arial"/>
          <w:sz w:val="22"/>
          <w:szCs w:val="22"/>
        </w:rPr>
        <w:t>Cuá</w:t>
      </w:r>
      <w:r w:rsidR="00E96F5F" w:rsidRPr="00304219">
        <w:rPr>
          <w:rFonts w:ascii="Arial" w:hAnsi="Arial" w:cs="Arial"/>
          <w:sz w:val="22"/>
          <w:szCs w:val="22"/>
        </w:rPr>
        <w:t xml:space="preserve">l es el volumen de </w:t>
      </w:r>
      <w:r w:rsidR="00846765" w:rsidRPr="00304219">
        <w:rPr>
          <w:rFonts w:ascii="Arial" w:hAnsi="Arial" w:cs="Arial"/>
          <w:sz w:val="22"/>
          <w:szCs w:val="22"/>
        </w:rPr>
        <w:t xml:space="preserve">recursos inyectados </w:t>
      </w:r>
      <w:r w:rsidR="001D016A" w:rsidRPr="00304219">
        <w:rPr>
          <w:rFonts w:ascii="Arial" w:hAnsi="Arial" w:cs="Arial"/>
          <w:sz w:val="22"/>
          <w:szCs w:val="22"/>
        </w:rPr>
        <w:t>a</w:t>
      </w:r>
      <w:r w:rsidR="00846765" w:rsidRPr="00304219">
        <w:rPr>
          <w:rFonts w:ascii="Arial" w:hAnsi="Arial" w:cs="Arial"/>
          <w:sz w:val="22"/>
          <w:szCs w:val="22"/>
        </w:rPr>
        <w:t xml:space="preserve"> l</w:t>
      </w:r>
      <w:r w:rsidR="00E63E72" w:rsidRPr="00304219">
        <w:rPr>
          <w:rFonts w:ascii="Arial" w:hAnsi="Arial" w:cs="Arial"/>
          <w:sz w:val="22"/>
          <w:szCs w:val="22"/>
        </w:rPr>
        <w:t xml:space="preserve">a economía local, mediante los </w:t>
      </w:r>
      <w:r w:rsidR="00E96F5F" w:rsidRPr="00304219">
        <w:rPr>
          <w:rFonts w:ascii="Arial" w:hAnsi="Arial" w:cs="Arial"/>
          <w:sz w:val="22"/>
          <w:szCs w:val="22"/>
        </w:rPr>
        <w:t>sa</w:t>
      </w:r>
      <w:r w:rsidR="00EE7572" w:rsidRPr="00304219">
        <w:rPr>
          <w:rFonts w:ascii="Arial" w:hAnsi="Arial" w:cs="Arial"/>
          <w:sz w:val="22"/>
          <w:szCs w:val="22"/>
        </w:rPr>
        <w:t xml:space="preserve">larios </w:t>
      </w:r>
      <w:r w:rsidR="00E96F5F" w:rsidRPr="00304219">
        <w:rPr>
          <w:rFonts w:ascii="Arial" w:hAnsi="Arial" w:cs="Arial"/>
          <w:sz w:val="22"/>
          <w:szCs w:val="22"/>
        </w:rPr>
        <w:t xml:space="preserve">pago </w:t>
      </w:r>
      <w:r w:rsidR="00EE7572" w:rsidRPr="00304219">
        <w:rPr>
          <w:rFonts w:ascii="Arial" w:hAnsi="Arial" w:cs="Arial"/>
          <w:sz w:val="22"/>
          <w:szCs w:val="22"/>
        </w:rPr>
        <w:t>a los trabajadores</w:t>
      </w:r>
      <w:r w:rsidR="00FC1143" w:rsidRPr="00304219">
        <w:rPr>
          <w:rFonts w:ascii="Arial" w:hAnsi="Arial" w:cs="Arial"/>
          <w:sz w:val="22"/>
          <w:szCs w:val="22"/>
        </w:rPr>
        <w:t xml:space="preserve"> empleados </w:t>
      </w:r>
      <w:r w:rsidR="001D016A" w:rsidRPr="00304219">
        <w:rPr>
          <w:rFonts w:ascii="Arial" w:hAnsi="Arial" w:cs="Arial"/>
          <w:sz w:val="22"/>
          <w:szCs w:val="22"/>
        </w:rPr>
        <w:t>debido a la ampliación del PIC por este Programa</w:t>
      </w:r>
      <w:r w:rsidR="00EE7572" w:rsidRPr="00304219">
        <w:rPr>
          <w:rFonts w:ascii="Arial" w:hAnsi="Arial" w:cs="Arial"/>
          <w:sz w:val="22"/>
          <w:szCs w:val="22"/>
        </w:rPr>
        <w:t xml:space="preserve">? </w:t>
      </w:r>
    </w:p>
    <w:p w14:paraId="4A912D9B" w14:textId="77777777" w:rsidR="007039A0" w:rsidRPr="00304219" w:rsidRDefault="008B4885" w:rsidP="000041BB">
      <w:pPr>
        <w:pStyle w:val="subpar"/>
        <w:numPr>
          <w:ilvl w:val="0"/>
          <w:numId w:val="61"/>
        </w:numPr>
        <w:rPr>
          <w:rFonts w:ascii="Arial" w:hAnsi="Arial" w:cs="Arial"/>
          <w:sz w:val="22"/>
          <w:szCs w:val="22"/>
        </w:rPr>
      </w:pPr>
      <w:r w:rsidRPr="00304219">
        <w:rPr>
          <w:rFonts w:ascii="Arial" w:hAnsi="Arial" w:cs="Arial"/>
          <w:sz w:val="22"/>
          <w:szCs w:val="22"/>
        </w:rPr>
        <w:t>¿</w:t>
      </w:r>
      <w:r w:rsidR="00FE4023" w:rsidRPr="00304219">
        <w:rPr>
          <w:rFonts w:ascii="Arial" w:hAnsi="Arial" w:cs="Arial"/>
          <w:sz w:val="22"/>
          <w:szCs w:val="22"/>
        </w:rPr>
        <w:t xml:space="preserve">Cuál es el volumen de los aportes a la seguridad social de los trabajadores </w:t>
      </w:r>
      <w:r w:rsidR="007F30E9" w:rsidRPr="00304219">
        <w:rPr>
          <w:rFonts w:ascii="Arial" w:hAnsi="Arial" w:cs="Arial"/>
          <w:sz w:val="22"/>
          <w:szCs w:val="22"/>
        </w:rPr>
        <w:t>contratados en el PIC debido al aumento del parque financiado por este Programa?</w:t>
      </w:r>
      <w:r w:rsidR="005F0E82" w:rsidRPr="00304219">
        <w:rPr>
          <w:rFonts w:ascii="Arial" w:hAnsi="Arial" w:cs="Arial"/>
          <w:sz w:val="22"/>
          <w:szCs w:val="22"/>
        </w:rPr>
        <w:t xml:space="preserve"> </w:t>
      </w:r>
      <w:r w:rsidR="007039A0" w:rsidRPr="00304219">
        <w:rPr>
          <w:rFonts w:ascii="Arial" w:hAnsi="Arial" w:cs="Arial"/>
          <w:sz w:val="22"/>
          <w:szCs w:val="22"/>
        </w:rPr>
        <w:t>¿Cuá</w:t>
      </w:r>
      <w:r w:rsidR="00FE4023" w:rsidRPr="00304219">
        <w:rPr>
          <w:rFonts w:ascii="Arial" w:hAnsi="Arial" w:cs="Arial"/>
          <w:sz w:val="22"/>
          <w:szCs w:val="22"/>
        </w:rPr>
        <w:t>l</w:t>
      </w:r>
      <w:r w:rsidR="001D016A" w:rsidRPr="00304219">
        <w:rPr>
          <w:rFonts w:ascii="Arial" w:hAnsi="Arial" w:cs="Arial"/>
          <w:sz w:val="22"/>
          <w:szCs w:val="22"/>
        </w:rPr>
        <w:t xml:space="preserve"> </w:t>
      </w:r>
      <w:r w:rsidR="007039A0" w:rsidRPr="00304219">
        <w:rPr>
          <w:rFonts w:ascii="Arial" w:hAnsi="Arial" w:cs="Arial"/>
          <w:sz w:val="22"/>
          <w:szCs w:val="22"/>
        </w:rPr>
        <w:t xml:space="preserve"> </w:t>
      </w:r>
      <w:r w:rsidR="00846765" w:rsidRPr="00304219">
        <w:rPr>
          <w:rFonts w:ascii="Arial" w:hAnsi="Arial" w:cs="Arial"/>
          <w:sz w:val="22"/>
          <w:szCs w:val="22"/>
        </w:rPr>
        <w:t xml:space="preserve">es la renta generada por </w:t>
      </w:r>
      <w:r w:rsidR="00FE4023" w:rsidRPr="00304219">
        <w:rPr>
          <w:rFonts w:ascii="Arial" w:hAnsi="Arial" w:cs="Arial"/>
          <w:sz w:val="22"/>
          <w:szCs w:val="22"/>
        </w:rPr>
        <w:t xml:space="preserve">la ampliación del </w:t>
      </w:r>
      <w:r w:rsidR="00846765" w:rsidRPr="00304219">
        <w:rPr>
          <w:rFonts w:ascii="Arial" w:hAnsi="Arial" w:cs="Arial"/>
          <w:sz w:val="22"/>
          <w:szCs w:val="22"/>
        </w:rPr>
        <w:t xml:space="preserve"> PIC por concepto de alquileres pagados por las firmas allí instaladas</w:t>
      </w:r>
      <w:r w:rsidR="007039A0" w:rsidRPr="00304219">
        <w:rPr>
          <w:rFonts w:ascii="Arial" w:hAnsi="Arial" w:cs="Arial"/>
          <w:sz w:val="22"/>
          <w:szCs w:val="22"/>
        </w:rPr>
        <w:t>?</w:t>
      </w:r>
    </w:p>
    <w:p w14:paraId="41181D17" w14:textId="5E88A35E" w:rsidR="00FC1143" w:rsidRPr="00304219" w:rsidRDefault="00FC1143" w:rsidP="00FC1143">
      <w:pPr>
        <w:pStyle w:val="subpar"/>
        <w:numPr>
          <w:ilvl w:val="0"/>
          <w:numId w:val="61"/>
        </w:numPr>
        <w:tabs>
          <w:tab w:val="num" w:pos="720"/>
        </w:tabs>
        <w:rPr>
          <w:rFonts w:ascii="Arial" w:hAnsi="Arial" w:cs="Arial"/>
          <w:sz w:val="22"/>
          <w:szCs w:val="22"/>
        </w:rPr>
      </w:pPr>
      <w:r w:rsidRPr="00304219">
        <w:rPr>
          <w:rFonts w:ascii="Arial" w:hAnsi="Arial" w:cs="Arial"/>
          <w:sz w:val="22"/>
          <w:szCs w:val="22"/>
        </w:rPr>
        <w:t xml:space="preserve">¿Cuál es el volumen de recursos recibidos </w:t>
      </w:r>
      <w:r w:rsidR="00691A56" w:rsidRPr="00304219">
        <w:rPr>
          <w:rFonts w:ascii="Arial" w:hAnsi="Arial" w:cs="Arial"/>
          <w:sz w:val="22"/>
          <w:szCs w:val="22"/>
        </w:rPr>
        <w:t>por renta pagada</w:t>
      </w:r>
      <w:r w:rsidRPr="00304219">
        <w:rPr>
          <w:rFonts w:ascii="Arial" w:hAnsi="Arial" w:cs="Arial"/>
          <w:sz w:val="22"/>
          <w:szCs w:val="22"/>
        </w:rPr>
        <w:t xml:space="preserve"> por empresas extranjeras debido a la ampliación del PIC por este Programa? </w:t>
      </w:r>
    </w:p>
    <w:p w14:paraId="4F28AA44" w14:textId="2FF94523" w:rsidR="00FC1143" w:rsidRPr="00304219" w:rsidRDefault="00FC1143" w:rsidP="00FC1143">
      <w:pPr>
        <w:pStyle w:val="subpar"/>
        <w:numPr>
          <w:ilvl w:val="0"/>
          <w:numId w:val="61"/>
        </w:numPr>
        <w:tabs>
          <w:tab w:val="num" w:pos="720"/>
        </w:tabs>
        <w:rPr>
          <w:rFonts w:ascii="Arial" w:hAnsi="Arial" w:cs="Arial"/>
          <w:sz w:val="22"/>
          <w:szCs w:val="22"/>
        </w:rPr>
      </w:pPr>
      <w:r w:rsidRPr="00304219">
        <w:rPr>
          <w:rFonts w:ascii="Arial" w:hAnsi="Arial" w:cs="Arial"/>
          <w:sz w:val="22"/>
          <w:szCs w:val="22"/>
        </w:rPr>
        <w:t xml:space="preserve">¿Cuál es el volumen de recursos recibidos por la SONAPI, mediante los valores pagados por empresas extranjeras para servicios debido a la ampliación del PIC por este Programa? </w:t>
      </w:r>
    </w:p>
    <w:p w14:paraId="5F94164E" w14:textId="2FEC54F7" w:rsidR="00FC1143" w:rsidRPr="00304219" w:rsidRDefault="00FC1143" w:rsidP="00FC1143">
      <w:pPr>
        <w:pStyle w:val="subpar"/>
        <w:numPr>
          <w:ilvl w:val="0"/>
          <w:numId w:val="61"/>
        </w:numPr>
        <w:tabs>
          <w:tab w:val="num" w:pos="720"/>
        </w:tabs>
        <w:rPr>
          <w:rFonts w:ascii="Arial" w:hAnsi="Arial" w:cs="Arial"/>
          <w:sz w:val="22"/>
          <w:szCs w:val="22"/>
        </w:rPr>
      </w:pPr>
      <w:r w:rsidRPr="00304219">
        <w:rPr>
          <w:rFonts w:ascii="Arial" w:hAnsi="Arial" w:cs="Arial"/>
          <w:sz w:val="22"/>
          <w:szCs w:val="22"/>
        </w:rPr>
        <w:t xml:space="preserve">¿Cuál es el volumen total de ingresos percibidos por la SONAPI, una vez descontados los costos de operación y mantenimiento del parque, debido a la ampliación del PIC por este Programa? </w:t>
      </w:r>
    </w:p>
    <w:p w14:paraId="3E8F71A5" w14:textId="4245A03F" w:rsidR="00C42FE6" w:rsidRPr="00304219" w:rsidRDefault="00001BCA" w:rsidP="00304219">
      <w:pPr>
        <w:pStyle w:val="FirstHeading"/>
        <w:rPr>
          <w:rFonts w:ascii="Arial" w:hAnsi="Arial" w:cs="Arial"/>
          <w:sz w:val="22"/>
        </w:rPr>
      </w:pPr>
      <w:r w:rsidRPr="00304219">
        <w:rPr>
          <w:rFonts w:ascii="Arial" w:hAnsi="Arial" w:cs="Arial"/>
          <w:sz w:val="22"/>
        </w:rPr>
        <w:fldChar w:fldCharType="begin"/>
      </w:r>
      <w:r w:rsidRPr="00304219">
        <w:rPr>
          <w:rFonts w:ascii="Arial" w:hAnsi="Arial" w:cs="Arial"/>
          <w:sz w:val="22"/>
        </w:rPr>
        <w:instrText xml:space="preserve"> SEQ "</w:instrText>
      </w:r>
      <w:r w:rsidRPr="00304219">
        <w:rPr>
          <w:rFonts w:ascii="Arial" w:hAnsi="Arial" w:cs="Arial"/>
          <w:sz w:val="22"/>
        </w:rPr>
        <w:fldChar w:fldCharType="begin"/>
      </w:r>
      <w:r w:rsidRPr="00304219">
        <w:rPr>
          <w:rFonts w:ascii="Arial" w:hAnsi="Arial" w:cs="Arial"/>
          <w:sz w:val="22"/>
        </w:rPr>
        <w:instrText xml:space="preserve"> SECTION  \* MERGEFORMAT </w:instrText>
      </w:r>
      <w:r w:rsidRPr="00304219">
        <w:rPr>
          <w:rFonts w:ascii="Arial" w:hAnsi="Arial" w:cs="Arial"/>
          <w:sz w:val="22"/>
        </w:rPr>
        <w:fldChar w:fldCharType="separate"/>
      </w:r>
      <w:r w:rsidRPr="00304219">
        <w:rPr>
          <w:rFonts w:ascii="Arial" w:hAnsi="Arial" w:cs="Arial"/>
          <w:sz w:val="22"/>
        </w:rPr>
        <w:instrText>5</w:instrText>
      </w:r>
      <w:r w:rsidRPr="00304219">
        <w:rPr>
          <w:rFonts w:ascii="Arial" w:hAnsi="Arial" w:cs="Arial"/>
          <w:sz w:val="22"/>
        </w:rPr>
        <w:fldChar w:fldCharType="end"/>
      </w:r>
      <w:r w:rsidRPr="00304219">
        <w:rPr>
          <w:rFonts w:ascii="Arial" w:hAnsi="Arial" w:cs="Arial"/>
          <w:sz w:val="22"/>
        </w:rPr>
        <w:instrText xml:space="preserve">#"\* ALPHABETIC \* MERGEFORMAT </w:instrText>
      </w:r>
      <w:r w:rsidRPr="00304219">
        <w:rPr>
          <w:rFonts w:ascii="Arial" w:hAnsi="Arial" w:cs="Arial"/>
          <w:sz w:val="22"/>
        </w:rPr>
        <w:fldChar w:fldCharType="separate"/>
      </w:r>
      <w:bookmarkStart w:id="28" w:name="_Toc433354365"/>
      <w:r w:rsidRPr="00304219">
        <w:rPr>
          <w:rFonts w:ascii="Arial" w:hAnsi="Arial" w:cs="Arial"/>
          <w:noProof/>
          <w:sz w:val="22"/>
        </w:rPr>
        <w:t>B</w:t>
      </w:r>
      <w:r w:rsidRPr="00304219">
        <w:rPr>
          <w:rFonts w:ascii="Arial" w:hAnsi="Arial" w:cs="Arial"/>
          <w:sz w:val="22"/>
        </w:rPr>
        <w:fldChar w:fldCharType="end"/>
      </w:r>
      <w:r w:rsidRPr="00304219">
        <w:rPr>
          <w:rFonts w:ascii="Arial" w:hAnsi="Arial" w:cs="Arial"/>
          <w:sz w:val="22"/>
        </w:rPr>
        <w:t>.</w:t>
      </w:r>
      <w:r w:rsidRPr="00304219">
        <w:rPr>
          <w:rFonts w:ascii="Arial" w:hAnsi="Arial" w:cs="Arial"/>
          <w:sz w:val="22"/>
        </w:rPr>
        <w:tab/>
      </w:r>
      <w:r w:rsidR="00A20E22" w:rsidRPr="00304219">
        <w:rPr>
          <w:rFonts w:ascii="Arial" w:hAnsi="Arial" w:cs="Arial"/>
          <w:sz w:val="22"/>
        </w:rPr>
        <w:t xml:space="preserve">Principales </w:t>
      </w:r>
      <w:r w:rsidR="00724C99" w:rsidRPr="00304219">
        <w:rPr>
          <w:rFonts w:ascii="Arial" w:hAnsi="Arial" w:cs="Arial"/>
          <w:sz w:val="22"/>
        </w:rPr>
        <w:t xml:space="preserve">Indicadores </w:t>
      </w:r>
      <w:r w:rsidR="00A20E22" w:rsidRPr="00304219">
        <w:rPr>
          <w:rFonts w:ascii="Arial" w:hAnsi="Arial" w:cs="Arial"/>
          <w:sz w:val="22"/>
        </w:rPr>
        <w:t xml:space="preserve">de </w:t>
      </w:r>
      <w:r w:rsidR="00724C99" w:rsidRPr="00304219">
        <w:rPr>
          <w:rFonts w:ascii="Arial" w:hAnsi="Arial" w:cs="Arial"/>
          <w:sz w:val="22"/>
        </w:rPr>
        <w:t>Resultados</w:t>
      </w:r>
      <w:bookmarkEnd w:id="28"/>
    </w:p>
    <w:p w14:paraId="200794B8" w14:textId="10AF1741" w:rsidR="00C42FE6" w:rsidRPr="00304219" w:rsidRDefault="00C42FE6" w:rsidP="00304219">
      <w:pPr>
        <w:pStyle w:val="Paragraph"/>
        <w:rPr>
          <w:rFonts w:ascii="Arial" w:hAnsi="Arial" w:cs="Arial"/>
        </w:rPr>
      </w:pPr>
      <w:r w:rsidRPr="00304219">
        <w:rPr>
          <w:rFonts w:ascii="Arial" w:hAnsi="Arial" w:cs="Arial"/>
          <w:sz w:val="22"/>
        </w:rPr>
        <w:t>Los principales indicadores de resultados se resumen en la siguiente tabla:</w:t>
      </w:r>
    </w:p>
    <w:p w14:paraId="5DE11F26" w14:textId="2FB8D521" w:rsidR="00DF7F69" w:rsidRPr="00304219" w:rsidRDefault="00561F53" w:rsidP="00C42FE6">
      <w:pPr>
        <w:pStyle w:val="Chapter"/>
        <w:numPr>
          <w:ilvl w:val="0"/>
          <w:numId w:val="0"/>
        </w:numPr>
        <w:tabs>
          <w:tab w:val="clear" w:pos="1440"/>
        </w:tabs>
        <w:spacing w:before="120" w:after="120"/>
        <w:rPr>
          <w:rFonts w:ascii="Arial" w:hAnsi="Arial" w:cs="Arial"/>
          <w:smallCaps w:val="0"/>
          <w:sz w:val="22"/>
          <w:szCs w:val="22"/>
        </w:rPr>
      </w:pPr>
      <w:bookmarkStart w:id="29" w:name="_Toc433353691"/>
      <w:bookmarkStart w:id="30" w:name="_Toc433354366"/>
      <w:r w:rsidRPr="00304219">
        <w:rPr>
          <w:rFonts w:ascii="Arial" w:hAnsi="Arial" w:cs="Arial"/>
          <w:smallCaps w:val="0"/>
          <w:sz w:val="22"/>
          <w:szCs w:val="22"/>
        </w:rPr>
        <w:t>Tabla 4</w:t>
      </w:r>
      <w:r w:rsidR="005A3B64" w:rsidRPr="00304219">
        <w:rPr>
          <w:rFonts w:ascii="Arial" w:hAnsi="Arial" w:cs="Arial"/>
          <w:smallCaps w:val="0"/>
          <w:sz w:val="22"/>
          <w:szCs w:val="22"/>
        </w:rPr>
        <w:t>-Indicadores de resultados</w:t>
      </w:r>
      <w:bookmarkEnd w:id="29"/>
      <w:bookmarkEnd w:id="30"/>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530"/>
        <w:gridCol w:w="1080"/>
        <w:gridCol w:w="3780"/>
      </w:tblGrid>
      <w:tr w:rsidR="0079365F" w:rsidRPr="00304219" w14:paraId="4D9B1CD4" w14:textId="77777777" w:rsidTr="00D549DF">
        <w:trPr>
          <w:trHeight w:val="273"/>
        </w:trPr>
        <w:tc>
          <w:tcPr>
            <w:tcW w:w="306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074D983" w14:textId="77777777" w:rsidR="0079365F" w:rsidRPr="00304219" w:rsidRDefault="0079365F" w:rsidP="00A41883">
            <w:pPr>
              <w:jc w:val="center"/>
              <w:rPr>
                <w:rFonts w:ascii="Arial" w:hAnsi="Arial" w:cs="Arial"/>
                <w:b/>
                <w:sz w:val="20"/>
                <w:lang w:val="es-ES" w:eastAsia="en-GB"/>
              </w:rPr>
            </w:pPr>
            <w:r w:rsidRPr="00304219">
              <w:rPr>
                <w:rFonts w:ascii="Arial" w:hAnsi="Arial" w:cs="Arial"/>
                <w:b/>
                <w:sz w:val="20"/>
                <w:lang w:val="es-ES"/>
              </w:rPr>
              <w:t>Indicador de Resultado</w:t>
            </w:r>
          </w:p>
        </w:tc>
        <w:tc>
          <w:tcPr>
            <w:tcW w:w="153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DC92EDD" w14:textId="0B3BA884" w:rsidR="0079365F" w:rsidRPr="00304219" w:rsidRDefault="008A3992" w:rsidP="00A41883">
            <w:pPr>
              <w:jc w:val="center"/>
              <w:rPr>
                <w:rFonts w:ascii="Arial" w:hAnsi="Arial" w:cs="Arial"/>
                <w:b/>
                <w:sz w:val="20"/>
                <w:lang w:val="es-ES" w:eastAsia="en-GB"/>
              </w:rPr>
            </w:pPr>
            <w:r w:rsidRPr="00304219">
              <w:rPr>
                <w:rFonts w:ascii="Arial" w:hAnsi="Arial" w:cs="Arial"/>
                <w:b/>
                <w:sz w:val="20"/>
                <w:lang w:val="es-ES"/>
              </w:rPr>
              <w:t>Línea de base</w:t>
            </w:r>
          </w:p>
        </w:tc>
        <w:tc>
          <w:tcPr>
            <w:tcW w:w="108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61E9A3A" w14:textId="1B23D9F5" w:rsidR="008A3992" w:rsidRPr="00304219" w:rsidRDefault="008A3992" w:rsidP="00D549DF">
            <w:pPr>
              <w:jc w:val="center"/>
              <w:rPr>
                <w:rFonts w:ascii="Arial" w:hAnsi="Arial" w:cs="Arial"/>
                <w:b/>
                <w:sz w:val="20"/>
                <w:lang w:val="es-ES" w:eastAsia="en-GB"/>
              </w:rPr>
            </w:pPr>
            <w:r w:rsidRPr="00304219">
              <w:rPr>
                <w:rFonts w:ascii="Arial" w:hAnsi="Arial" w:cs="Arial"/>
                <w:b/>
                <w:sz w:val="20"/>
                <w:lang w:val="es-ES"/>
              </w:rPr>
              <w:t>Meta</w:t>
            </w:r>
          </w:p>
        </w:tc>
        <w:tc>
          <w:tcPr>
            <w:tcW w:w="3780" w:type="dxa"/>
            <w:tcBorders>
              <w:top w:val="single" w:sz="4" w:space="0" w:color="auto"/>
              <w:left w:val="single" w:sz="4" w:space="0" w:color="auto"/>
              <w:bottom w:val="single" w:sz="4" w:space="0" w:color="auto"/>
              <w:right w:val="single" w:sz="4" w:space="0" w:color="auto"/>
            </w:tcBorders>
            <w:shd w:val="clear" w:color="auto" w:fill="C6D9F1"/>
            <w:vAlign w:val="center"/>
          </w:tcPr>
          <w:p w14:paraId="7F0F62E8" w14:textId="77777777" w:rsidR="008A3992" w:rsidRPr="00304219" w:rsidRDefault="008A3992" w:rsidP="00C42FE6">
            <w:pPr>
              <w:jc w:val="center"/>
              <w:rPr>
                <w:rFonts w:ascii="Arial" w:hAnsi="Arial" w:cs="Arial"/>
                <w:b/>
                <w:sz w:val="20"/>
                <w:lang w:val="es-ES"/>
              </w:rPr>
            </w:pPr>
            <w:r w:rsidRPr="00304219">
              <w:rPr>
                <w:rFonts w:ascii="Arial" w:hAnsi="Arial" w:cs="Arial"/>
                <w:b/>
                <w:sz w:val="20"/>
                <w:lang w:val="es-ES"/>
              </w:rPr>
              <w:t>Frecuencia de medición</w:t>
            </w:r>
          </w:p>
          <w:p w14:paraId="0C525532" w14:textId="77777777" w:rsidR="0079365F" w:rsidRPr="00304219" w:rsidRDefault="0079365F" w:rsidP="00C42FE6">
            <w:pPr>
              <w:jc w:val="center"/>
              <w:rPr>
                <w:rFonts w:ascii="Arial" w:hAnsi="Arial" w:cs="Arial"/>
                <w:b/>
                <w:sz w:val="20"/>
                <w:lang w:val="es-ES" w:eastAsia="en-GB"/>
              </w:rPr>
            </w:pPr>
            <w:r w:rsidRPr="00304219">
              <w:rPr>
                <w:rFonts w:ascii="Arial" w:hAnsi="Arial" w:cs="Arial"/>
                <w:b/>
                <w:sz w:val="20"/>
                <w:lang w:val="es-ES"/>
              </w:rPr>
              <w:t>Fuente de verificación</w:t>
            </w:r>
          </w:p>
        </w:tc>
      </w:tr>
      <w:tr w:rsidR="00087E87" w:rsidRPr="00304219" w14:paraId="731D84C4" w14:textId="77777777" w:rsidTr="00D549DF">
        <w:trPr>
          <w:trHeight w:val="48"/>
        </w:trPr>
        <w:tc>
          <w:tcPr>
            <w:tcW w:w="9450" w:type="dxa"/>
            <w:gridSpan w:val="4"/>
            <w:tcBorders>
              <w:top w:val="single" w:sz="4" w:space="0" w:color="auto"/>
              <w:left w:val="single" w:sz="4" w:space="0" w:color="auto"/>
              <w:bottom w:val="single" w:sz="4" w:space="0" w:color="auto"/>
              <w:right w:val="single" w:sz="4" w:space="0" w:color="auto"/>
            </w:tcBorders>
            <w:vAlign w:val="center"/>
          </w:tcPr>
          <w:p w14:paraId="52ADDDA9" w14:textId="3AB6411A" w:rsidR="00DC39CF" w:rsidRPr="00304219" w:rsidRDefault="001B3188" w:rsidP="00304219">
            <w:pPr>
              <w:jc w:val="center"/>
              <w:rPr>
                <w:rFonts w:ascii="Arial" w:hAnsi="Arial" w:cs="Arial"/>
                <w:b/>
                <w:sz w:val="20"/>
              </w:rPr>
            </w:pPr>
            <w:r w:rsidRPr="00304219">
              <w:rPr>
                <w:rFonts w:ascii="Arial" w:hAnsi="Arial" w:cs="Arial"/>
                <w:b/>
                <w:sz w:val="20"/>
                <w:lang w:val="es-ES"/>
              </w:rPr>
              <w:t>Impacto</w:t>
            </w:r>
            <w:r w:rsidR="00602737" w:rsidRPr="00304219">
              <w:rPr>
                <w:rFonts w:ascii="Arial" w:hAnsi="Arial" w:cs="Arial"/>
                <w:b/>
                <w:sz w:val="20"/>
                <w:lang w:val="es-ES"/>
              </w:rPr>
              <w:t>s</w:t>
            </w:r>
            <w:r w:rsidR="00E07F99" w:rsidRPr="00304219">
              <w:rPr>
                <w:rFonts w:ascii="Arial" w:hAnsi="Arial" w:cs="Arial"/>
                <w:b/>
                <w:sz w:val="20"/>
                <w:lang w:val="es-ES"/>
              </w:rPr>
              <w:t>: Desarrollo Económico de la región Norte de Haití</w:t>
            </w:r>
          </w:p>
        </w:tc>
      </w:tr>
      <w:tr w:rsidR="007D5839" w:rsidRPr="00304219" w14:paraId="08C2EE25" w14:textId="77777777" w:rsidTr="00D549DF">
        <w:tc>
          <w:tcPr>
            <w:tcW w:w="3060" w:type="dxa"/>
            <w:tcBorders>
              <w:top w:val="single" w:sz="4" w:space="0" w:color="auto"/>
              <w:left w:val="single" w:sz="4" w:space="0" w:color="auto"/>
              <w:bottom w:val="single" w:sz="4" w:space="0" w:color="auto"/>
              <w:right w:val="single" w:sz="4" w:space="0" w:color="auto"/>
            </w:tcBorders>
          </w:tcPr>
          <w:p w14:paraId="4E7B5461" w14:textId="77777777" w:rsidR="007D5839" w:rsidRPr="00304219" w:rsidRDefault="00063E62" w:rsidP="00063E62">
            <w:pPr>
              <w:rPr>
                <w:rFonts w:ascii="Arial" w:eastAsia="Arial Unicode MS" w:hAnsi="Arial" w:cs="Arial"/>
                <w:bCs/>
                <w:sz w:val="20"/>
                <w:lang w:val="es-ES"/>
              </w:rPr>
            </w:pPr>
            <w:r w:rsidRPr="00304219">
              <w:rPr>
                <w:rFonts w:ascii="Arial" w:eastAsia="Arial Unicode MS" w:hAnsi="Arial" w:cs="Arial"/>
                <w:bCs/>
                <w:sz w:val="20"/>
                <w:lang w:val="es-ES"/>
              </w:rPr>
              <w:t>Tasa anual de c</w:t>
            </w:r>
            <w:r w:rsidR="007D5839" w:rsidRPr="00304219">
              <w:rPr>
                <w:rFonts w:ascii="Arial" w:eastAsia="Arial Unicode MS" w:hAnsi="Arial" w:cs="Arial"/>
                <w:bCs/>
                <w:sz w:val="20"/>
                <w:lang w:val="es-ES"/>
              </w:rPr>
              <w:t>recimiento del PIB de la Región Norte (Departamentos Norte y Nordeste)</w:t>
            </w:r>
          </w:p>
        </w:tc>
        <w:tc>
          <w:tcPr>
            <w:tcW w:w="1530" w:type="dxa"/>
            <w:tcBorders>
              <w:top w:val="single" w:sz="4" w:space="0" w:color="auto"/>
              <w:left w:val="single" w:sz="4" w:space="0" w:color="auto"/>
              <w:bottom w:val="single" w:sz="4" w:space="0" w:color="auto"/>
              <w:right w:val="single" w:sz="4" w:space="0" w:color="auto"/>
            </w:tcBorders>
            <w:vAlign w:val="center"/>
          </w:tcPr>
          <w:p w14:paraId="6C60ECC5" w14:textId="0ABC95F1" w:rsidR="00DC39CF" w:rsidRPr="00304219" w:rsidRDefault="002C06FB" w:rsidP="004A2C83">
            <w:pPr>
              <w:jc w:val="center"/>
              <w:rPr>
                <w:rFonts w:ascii="Arial" w:eastAsia="Arial Unicode MS" w:hAnsi="Arial" w:cs="Arial"/>
                <w:bCs/>
                <w:sz w:val="20"/>
                <w:lang w:val="es-ES"/>
              </w:rPr>
            </w:pPr>
            <w:r w:rsidRPr="00304219">
              <w:rPr>
                <w:rFonts w:ascii="Arial" w:eastAsia="Arial Unicode MS" w:hAnsi="Arial" w:cs="Arial"/>
                <w:bCs/>
                <w:sz w:val="20"/>
                <w:lang w:val="es-ES"/>
              </w:rPr>
              <w:t>A ser determinada</w:t>
            </w:r>
            <w:r w:rsidR="00FC1143" w:rsidRPr="00304219">
              <w:rPr>
                <w:rFonts w:ascii="Arial" w:eastAsia="Arial Unicode MS" w:hAnsi="Arial" w:cs="Arial"/>
                <w:bCs/>
                <w:sz w:val="20"/>
                <w:lang w:val="es-ES"/>
              </w:rPr>
              <w:t xml:space="preserve"> (2015)</w:t>
            </w:r>
          </w:p>
        </w:tc>
        <w:tc>
          <w:tcPr>
            <w:tcW w:w="1080" w:type="dxa"/>
            <w:tcBorders>
              <w:top w:val="single" w:sz="4" w:space="0" w:color="auto"/>
              <w:left w:val="single" w:sz="4" w:space="0" w:color="auto"/>
              <w:bottom w:val="single" w:sz="4" w:space="0" w:color="auto"/>
              <w:right w:val="single" w:sz="4" w:space="0" w:color="auto"/>
            </w:tcBorders>
            <w:vAlign w:val="center"/>
          </w:tcPr>
          <w:p w14:paraId="5D68321B" w14:textId="2938745E" w:rsidR="00810B8D" w:rsidRPr="00304219" w:rsidRDefault="00FC1143" w:rsidP="00B75ACF">
            <w:pPr>
              <w:jc w:val="center"/>
              <w:rPr>
                <w:rFonts w:ascii="Arial" w:hAnsi="Arial" w:cs="Arial"/>
                <w:sz w:val="20"/>
                <w:lang w:val="es-ES"/>
              </w:rPr>
            </w:pPr>
            <w:r w:rsidRPr="00304219">
              <w:rPr>
                <w:rFonts w:ascii="Arial" w:hAnsi="Arial" w:cs="Arial"/>
                <w:sz w:val="20"/>
                <w:lang w:val="es-ES"/>
              </w:rPr>
              <w:t>4</w:t>
            </w:r>
            <w:r w:rsidR="00F87A78" w:rsidRPr="00304219">
              <w:rPr>
                <w:rFonts w:ascii="Arial" w:hAnsi="Arial" w:cs="Arial"/>
                <w:sz w:val="20"/>
                <w:lang w:val="es-ES"/>
              </w:rPr>
              <w:t xml:space="preserve">% </w:t>
            </w:r>
            <w:r w:rsidR="00B75ACF" w:rsidRPr="00304219">
              <w:rPr>
                <w:rFonts w:ascii="Arial" w:hAnsi="Arial" w:cs="Arial"/>
                <w:sz w:val="20"/>
                <w:lang w:val="es-ES"/>
              </w:rPr>
              <w:t xml:space="preserve">por </w:t>
            </w:r>
            <w:r w:rsidR="00F87A78" w:rsidRPr="00304219">
              <w:rPr>
                <w:rFonts w:ascii="Arial" w:hAnsi="Arial" w:cs="Arial"/>
                <w:sz w:val="20"/>
                <w:lang w:val="es-ES"/>
              </w:rPr>
              <w:t>año</w:t>
            </w:r>
          </w:p>
        </w:tc>
        <w:tc>
          <w:tcPr>
            <w:tcW w:w="3780" w:type="dxa"/>
            <w:tcBorders>
              <w:top w:val="single" w:sz="4" w:space="0" w:color="auto"/>
              <w:left w:val="single" w:sz="4" w:space="0" w:color="auto"/>
              <w:bottom w:val="single" w:sz="4" w:space="0" w:color="auto"/>
              <w:right w:val="single" w:sz="4" w:space="0" w:color="auto"/>
            </w:tcBorders>
          </w:tcPr>
          <w:p w14:paraId="01572F6C" w14:textId="77777777" w:rsidR="00B847E1" w:rsidRPr="00304219" w:rsidRDefault="000A39FA" w:rsidP="002C06FB">
            <w:pPr>
              <w:rPr>
                <w:rFonts w:ascii="Arial" w:hAnsi="Arial" w:cs="Arial"/>
                <w:sz w:val="20"/>
                <w:lang w:val="es-ES"/>
              </w:rPr>
            </w:pPr>
            <w:r w:rsidRPr="00304219">
              <w:rPr>
                <w:rFonts w:ascii="Arial" w:hAnsi="Arial" w:cs="Arial"/>
                <w:sz w:val="20"/>
                <w:lang w:val="es-ES"/>
              </w:rPr>
              <w:t xml:space="preserve">Fuente: </w:t>
            </w:r>
            <w:r w:rsidR="000A2A44" w:rsidRPr="00304219">
              <w:rPr>
                <w:rFonts w:ascii="Arial" w:hAnsi="Arial" w:cs="Arial"/>
                <w:i/>
                <w:sz w:val="20"/>
                <w:lang w:val="es-ES"/>
              </w:rPr>
              <w:t>Institut Haïtien de Statistique et d'Informatique</w:t>
            </w:r>
            <w:r w:rsidR="000A2A44" w:rsidRPr="00304219">
              <w:rPr>
                <w:rFonts w:ascii="Arial" w:hAnsi="Arial" w:cs="Arial"/>
                <w:sz w:val="20"/>
                <w:lang w:val="es-ES"/>
              </w:rPr>
              <w:t xml:space="preserve"> (IHSI).</w:t>
            </w:r>
            <w:r w:rsidR="000A2A44" w:rsidRPr="00304219">
              <w:rPr>
                <w:rFonts w:ascii="Arial" w:hAnsi="Arial" w:cs="Arial"/>
                <w:i/>
                <w:sz w:val="20"/>
                <w:lang w:val="es-ES"/>
              </w:rPr>
              <w:t>Direction des Statistiques Economiques</w:t>
            </w:r>
            <w:r w:rsidR="000A2A44" w:rsidRPr="00304219">
              <w:rPr>
                <w:rFonts w:ascii="Arial" w:hAnsi="Arial" w:cs="Arial"/>
                <w:sz w:val="20"/>
                <w:lang w:val="es-ES"/>
              </w:rPr>
              <w:t xml:space="preserve"> (DSE) </w:t>
            </w:r>
            <w:r w:rsidRPr="00304219">
              <w:rPr>
                <w:rFonts w:ascii="Arial" w:hAnsi="Arial" w:cs="Arial"/>
                <w:sz w:val="20"/>
                <w:lang w:val="es-ES"/>
              </w:rPr>
              <w:t xml:space="preserve"> </w:t>
            </w:r>
            <w:r w:rsidR="001A52E7" w:rsidRPr="00304219">
              <w:rPr>
                <w:rFonts w:ascii="Arial" w:hAnsi="Arial" w:cs="Arial"/>
                <w:sz w:val="20"/>
                <w:lang w:val="es-ES"/>
              </w:rPr>
              <w:t xml:space="preserve">Los resultados </w:t>
            </w:r>
            <w:r w:rsidR="000A2A44" w:rsidRPr="00304219">
              <w:rPr>
                <w:rFonts w:ascii="Arial" w:hAnsi="Arial" w:cs="Arial"/>
                <w:sz w:val="20"/>
                <w:lang w:val="es-ES"/>
              </w:rPr>
              <w:t>calculados</w:t>
            </w:r>
            <w:r w:rsidR="001A52E7" w:rsidRPr="00304219">
              <w:rPr>
                <w:rFonts w:ascii="Arial" w:hAnsi="Arial" w:cs="Arial"/>
                <w:sz w:val="20"/>
                <w:lang w:val="es-ES"/>
              </w:rPr>
              <w:t xml:space="preserve"> anualmente </w:t>
            </w:r>
            <w:r w:rsidR="000A2A44" w:rsidRPr="00304219">
              <w:rPr>
                <w:rFonts w:ascii="Arial" w:hAnsi="Arial" w:cs="Arial"/>
                <w:sz w:val="20"/>
                <w:lang w:val="es-ES"/>
              </w:rPr>
              <w:t xml:space="preserve">para la región norte y nordeste, a partir de la </w:t>
            </w:r>
            <w:r w:rsidR="002C06FB" w:rsidRPr="00304219">
              <w:rPr>
                <w:rFonts w:ascii="Arial" w:hAnsi="Arial" w:cs="Arial"/>
                <w:sz w:val="20"/>
                <w:lang w:val="es-ES"/>
              </w:rPr>
              <w:t>línea de base.</w:t>
            </w:r>
          </w:p>
        </w:tc>
      </w:tr>
      <w:tr w:rsidR="007D5839" w:rsidRPr="00304219" w14:paraId="05511B52" w14:textId="77777777" w:rsidTr="00D549DF">
        <w:trPr>
          <w:trHeight w:val="156"/>
        </w:trPr>
        <w:tc>
          <w:tcPr>
            <w:tcW w:w="9450" w:type="dxa"/>
            <w:gridSpan w:val="4"/>
            <w:tcBorders>
              <w:top w:val="single" w:sz="4" w:space="0" w:color="auto"/>
              <w:left w:val="single" w:sz="4" w:space="0" w:color="auto"/>
              <w:bottom w:val="single" w:sz="4" w:space="0" w:color="auto"/>
              <w:right w:val="single" w:sz="4" w:space="0" w:color="auto"/>
            </w:tcBorders>
            <w:vAlign w:val="center"/>
          </w:tcPr>
          <w:p w14:paraId="3936C5DA" w14:textId="77777777" w:rsidR="00DC39CF" w:rsidRPr="00304219" w:rsidRDefault="000A2A44">
            <w:pPr>
              <w:jc w:val="center"/>
              <w:rPr>
                <w:rFonts w:ascii="Arial" w:hAnsi="Arial" w:cs="Arial"/>
                <w:b/>
                <w:sz w:val="20"/>
                <w:lang w:val="es-ES"/>
              </w:rPr>
            </w:pPr>
            <w:r w:rsidRPr="00304219">
              <w:rPr>
                <w:rFonts w:ascii="Arial" w:hAnsi="Arial" w:cs="Arial"/>
                <w:b/>
                <w:sz w:val="20"/>
                <w:lang w:val="es-ES"/>
              </w:rPr>
              <w:t xml:space="preserve">Indicadores de </w:t>
            </w:r>
            <w:r w:rsidR="00C34E1E" w:rsidRPr="00304219">
              <w:rPr>
                <w:rFonts w:ascii="Arial" w:hAnsi="Arial" w:cs="Arial"/>
                <w:b/>
                <w:sz w:val="20"/>
                <w:lang w:val="es-ES"/>
              </w:rPr>
              <w:t>Resultados</w:t>
            </w:r>
          </w:p>
        </w:tc>
      </w:tr>
      <w:tr w:rsidR="000E5AE6" w:rsidRPr="00304219" w14:paraId="7256488F" w14:textId="77777777" w:rsidTr="00D549DF">
        <w:tc>
          <w:tcPr>
            <w:tcW w:w="3060" w:type="dxa"/>
            <w:tcBorders>
              <w:top w:val="single" w:sz="4" w:space="0" w:color="auto"/>
              <w:left w:val="single" w:sz="4" w:space="0" w:color="auto"/>
              <w:bottom w:val="single" w:sz="4" w:space="0" w:color="auto"/>
              <w:right w:val="single" w:sz="4" w:space="0" w:color="auto"/>
            </w:tcBorders>
          </w:tcPr>
          <w:p w14:paraId="1391CFCA" w14:textId="77777777" w:rsidR="000E5AE6" w:rsidRPr="00304219" w:rsidRDefault="002C06FB" w:rsidP="00C42FE6">
            <w:pPr>
              <w:rPr>
                <w:rFonts w:ascii="Arial" w:hAnsi="Arial" w:cs="Arial"/>
                <w:sz w:val="20"/>
                <w:lang w:val="es-ES" w:eastAsia="en-GB"/>
              </w:rPr>
            </w:pPr>
            <w:r w:rsidRPr="00304219">
              <w:rPr>
                <w:rFonts w:ascii="Arial" w:hAnsi="Arial" w:cs="Arial"/>
                <w:bCs/>
                <w:sz w:val="20"/>
              </w:rPr>
              <w:t>Haitianos empleados por firmas operando en</w:t>
            </w:r>
            <w:r w:rsidR="000E5AE6" w:rsidRPr="00304219">
              <w:rPr>
                <w:rFonts w:ascii="Arial" w:hAnsi="Arial" w:cs="Arial"/>
                <w:bCs/>
                <w:sz w:val="20"/>
              </w:rPr>
              <w:t xml:space="preserve"> el PIC.</w:t>
            </w:r>
          </w:p>
        </w:tc>
        <w:tc>
          <w:tcPr>
            <w:tcW w:w="1530" w:type="dxa"/>
            <w:tcBorders>
              <w:top w:val="single" w:sz="4" w:space="0" w:color="auto"/>
              <w:left w:val="single" w:sz="4" w:space="0" w:color="auto"/>
              <w:bottom w:val="single" w:sz="4" w:space="0" w:color="auto"/>
              <w:right w:val="single" w:sz="4" w:space="0" w:color="auto"/>
            </w:tcBorders>
            <w:vAlign w:val="center"/>
          </w:tcPr>
          <w:p w14:paraId="5BDD384C" w14:textId="5D4F175D" w:rsidR="00B847E1" w:rsidRPr="00304219" w:rsidRDefault="0055574B" w:rsidP="0055574B">
            <w:pPr>
              <w:jc w:val="center"/>
              <w:rPr>
                <w:rFonts w:ascii="Arial" w:eastAsia="Arial Unicode MS" w:hAnsi="Arial" w:cs="Arial"/>
                <w:bCs/>
                <w:sz w:val="20"/>
                <w:lang w:val="es-ES"/>
              </w:rPr>
            </w:pPr>
            <w:r w:rsidRPr="00304219">
              <w:rPr>
                <w:rFonts w:ascii="Arial" w:eastAsia="Arial Unicode MS" w:hAnsi="Arial" w:cs="Arial"/>
                <w:bCs/>
                <w:sz w:val="20"/>
                <w:lang w:val="es-ES"/>
              </w:rPr>
              <w:t>7.620</w:t>
            </w:r>
            <w:r w:rsidR="00FC1143" w:rsidRPr="00304219">
              <w:rPr>
                <w:rFonts w:ascii="Arial" w:eastAsia="Arial Unicode MS" w:hAnsi="Arial" w:cs="Arial"/>
                <w:bCs/>
                <w:sz w:val="20"/>
                <w:lang w:val="es-ES"/>
              </w:rPr>
              <w:t xml:space="preserve"> (2015)</w:t>
            </w:r>
          </w:p>
        </w:tc>
        <w:tc>
          <w:tcPr>
            <w:tcW w:w="1080" w:type="dxa"/>
            <w:tcBorders>
              <w:top w:val="single" w:sz="4" w:space="0" w:color="auto"/>
              <w:left w:val="single" w:sz="4" w:space="0" w:color="auto"/>
              <w:bottom w:val="single" w:sz="4" w:space="0" w:color="auto"/>
              <w:right w:val="single" w:sz="4" w:space="0" w:color="auto"/>
            </w:tcBorders>
            <w:vAlign w:val="center"/>
          </w:tcPr>
          <w:p w14:paraId="0A934D46" w14:textId="77777777" w:rsidR="00B90923" w:rsidRPr="00304219" w:rsidRDefault="00B90923" w:rsidP="00B90923">
            <w:pPr>
              <w:jc w:val="center"/>
              <w:rPr>
                <w:rFonts w:ascii="Arial" w:hAnsi="Arial" w:cs="Arial"/>
                <w:sz w:val="20"/>
                <w:lang w:val="es-ES"/>
              </w:rPr>
            </w:pPr>
            <w:r w:rsidRPr="00304219">
              <w:rPr>
                <w:rFonts w:ascii="Arial" w:hAnsi="Arial" w:cs="Arial"/>
                <w:sz w:val="20"/>
                <w:lang w:val="es-ES"/>
              </w:rPr>
              <w:t>21.937</w:t>
            </w:r>
          </w:p>
          <w:p w14:paraId="46AA1275" w14:textId="125B259B" w:rsidR="001C30C7" w:rsidRPr="00304219" w:rsidRDefault="00B90923">
            <w:pPr>
              <w:jc w:val="center"/>
              <w:rPr>
                <w:rFonts w:ascii="Arial" w:hAnsi="Arial" w:cs="Arial"/>
                <w:sz w:val="20"/>
                <w:lang w:val="es-ES" w:eastAsia="en-GB"/>
              </w:rPr>
            </w:pPr>
            <w:r w:rsidRPr="00304219">
              <w:rPr>
                <w:rFonts w:ascii="Arial" w:hAnsi="Arial" w:cs="Arial"/>
                <w:sz w:val="20"/>
                <w:lang w:val="es-ES"/>
              </w:rPr>
              <w:t>(2020)</w:t>
            </w:r>
          </w:p>
        </w:tc>
        <w:tc>
          <w:tcPr>
            <w:tcW w:w="3780" w:type="dxa"/>
            <w:tcBorders>
              <w:top w:val="single" w:sz="4" w:space="0" w:color="auto"/>
              <w:left w:val="single" w:sz="4" w:space="0" w:color="auto"/>
              <w:bottom w:val="single" w:sz="4" w:space="0" w:color="auto"/>
              <w:right w:val="single" w:sz="4" w:space="0" w:color="auto"/>
            </w:tcBorders>
          </w:tcPr>
          <w:p w14:paraId="5F59E708" w14:textId="77777777" w:rsidR="000E5AE6" w:rsidRPr="00304219" w:rsidRDefault="000A2A44" w:rsidP="001C30C7">
            <w:pPr>
              <w:rPr>
                <w:rFonts w:ascii="Arial" w:hAnsi="Arial" w:cs="Arial"/>
                <w:sz w:val="20"/>
                <w:lang w:val="es-ES"/>
              </w:rPr>
            </w:pPr>
            <w:r w:rsidRPr="00304219">
              <w:rPr>
                <w:rFonts w:ascii="Arial" w:hAnsi="Arial" w:cs="Arial"/>
                <w:sz w:val="20"/>
                <w:lang w:val="es-ES"/>
              </w:rPr>
              <w:t>Fuente: SONAPI, en base a encuestas con las</w:t>
            </w:r>
            <w:r w:rsidR="000E5AE6" w:rsidRPr="00304219">
              <w:rPr>
                <w:rFonts w:ascii="Arial" w:hAnsi="Arial" w:cs="Arial"/>
                <w:sz w:val="20"/>
                <w:lang w:val="es-ES"/>
              </w:rPr>
              <w:t xml:space="preserve"> empresas </w:t>
            </w:r>
            <w:r w:rsidRPr="00304219">
              <w:rPr>
                <w:rFonts w:ascii="Arial" w:hAnsi="Arial" w:cs="Arial"/>
                <w:sz w:val="20"/>
                <w:lang w:val="es-ES"/>
              </w:rPr>
              <w:t>del</w:t>
            </w:r>
            <w:r w:rsidR="00E63E72" w:rsidRPr="00304219">
              <w:rPr>
                <w:rFonts w:ascii="Arial" w:hAnsi="Arial" w:cs="Arial"/>
                <w:sz w:val="20"/>
                <w:lang w:val="es-ES"/>
              </w:rPr>
              <w:t xml:space="preserve"> PIC. Divulgación: </w:t>
            </w:r>
            <w:r w:rsidR="00E63E72" w:rsidRPr="00304219">
              <w:rPr>
                <w:rFonts w:ascii="Arial" w:hAnsi="Arial" w:cs="Arial"/>
                <w:sz w:val="20"/>
                <w:lang w:val="es-ES"/>
              </w:rPr>
              <w:lastRenderedPageBreak/>
              <w:t>datos serán</w:t>
            </w:r>
            <w:r w:rsidR="005C600D" w:rsidRPr="00304219">
              <w:rPr>
                <w:rFonts w:ascii="Arial" w:hAnsi="Arial" w:cs="Arial"/>
                <w:sz w:val="20"/>
                <w:lang w:val="es-ES"/>
              </w:rPr>
              <w:t xml:space="preserve"> incluidos dentro de</w:t>
            </w:r>
            <w:r w:rsidR="000E5AE6" w:rsidRPr="00304219">
              <w:rPr>
                <w:rFonts w:ascii="Arial" w:hAnsi="Arial" w:cs="Arial"/>
                <w:sz w:val="20"/>
                <w:lang w:val="es-ES"/>
              </w:rPr>
              <w:t xml:space="preserve"> los informes </w:t>
            </w:r>
            <w:r w:rsidRPr="00304219">
              <w:rPr>
                <w:rFonts w:ascii="Arial" w:hAnsi="Arial" w:cs="Arial"/>
                <w:sz w:val="20"/>
                <w:lang w:val="es-ES"/>
              </w:rPr>
              <w:t xml:space="preserve">de SONAPI y </w:t>
            </w:r>
            <w:r w:rsidR="000E5AE6" w:rsidRPr="00304219">
              <w:rPr>
                <w:rFonts w:ascii="Arial" w:hAnsi="Arial" w:cs="Arial"/>
                <w:sz w:val="20"/>
                <w:lang w:val="es-ES"/>
              </w:rPr>
              <w:t>de la UTE</w:t>
            </w:r>
            <w:r w:rsidR="005C600D" w:rsidRPr="00304219">
              <w:rPr>
                <w:rFonts w:ascii="Arial" w:hAnsi="Arial" w:cs="Arial"/>
                <w:sz w:val="20"/>
                <w:lang w:val="es-ES"/>
              </w:rPr>
              <w:t xml:space="preserve"> publicados </w:t>
            </w:r>
            <w:r w:rsidRPr="00304219">
              <w:rPr>
                <w:rFonts w:ascii="Arial" w:hAnsi="Arial" w:cs="Arial"/>
                <w:sz w:val="20"/>
                <w:lang w:val="es-ES"/>
              </w:rPr>
              <w:t>semestralmente</w:t>
            </w:r>
            <w:r w:rsidR="000E5AE6" w:rsidRPr="00304219">
              <w:rPr>
                <w:rFonts w:ascii="Arial" w:hAnsi="Arial" w:cs="Arial"/>
                <w:sz w:val="20"/>
                <w:lang w:val="es-ES"/>
              </w:rPr>
              <w:t xml:space="preserve">.  </w:t>
            </w:r>
            <w:r w:rsidR="002C06FB" w:rsidRPr="00304219">
              <w:rPr>
                <w:rFonts w:ascii="Arial" w:hAnsi="Arial" w:cs="Arial"/>
                <w:sz w:val="20"/>
                <w:lang w:val="es-ES"/>
              </w:rPr>
              <w:t xml:space="preserve">El número de empleos incrementales durante el periodo de ejecución </w:t>
            </w:r>
            <w:r w:rsidR="00AB4823" w:rsidRPr="00304219">
              <w:rPr>
                <w:rFonts w:ascii="Arial" w:hAnsi="Arial" w:cs="Arial"/>
                <w:sz w:val="20"/>
                <w:lang w:val="es-ES"/>
              </w:rPr>
              <w:t>del proyecto es 5.4</w:t>
            </w:r>
            <w:r w:rsidR="002C06FB" w:rsidRPr="00304219">
              <w:rPr>
                <w:rFonts w:ascii="Arial" w:hAnsi="Arial" w:cs="Arial"/>
                <w:sz w:val="20"/>
                <w:lang w:val="es-ES"/>
              </w:rPr>
              <w:t xml:space="preserve">00, sin embargo, </w:t>
            </w:r>
            <w:r w:rsidR="001C30C7" w:rsidRPr="00304219">
              <w:rPr>
                <w:rFonts w:ascii="Arial" w:hAnsi="Arial" w:cs="Arial"/>
                <w:sz w:val="20"/>
                <w:lang w:val="es-ES"/>
              </w:rPr>
              <w:t xml:space="preserve">debido al </w:t>
            </w:r>
            <w:r w:rsidR="002C06FB" w:rsidRPr="00304219">
              <w:rPr>
                <w:rFonts w:ascii="Arial" w:hAnsi="Arial" w:cs="Arial"/>
                <w:sz w:val="20"/>
                <w:lang w:val="es-ES"/>
              </w:rPr>
              <w:t>desfase entre la construcción y el proceso de reclutamiento</w:t>
            </w:r>
            <w:r w:rsidR="00E63E72" w:rsidRPr="00304219">
              <w:rPr>
                <w:rFonts w:ascii="Arial" w:hAnsi="Arial" w:cs="Arial"/>
                <w:sz w:val="20"/>
                <w:lang w:val="es-ES"/>
              </w:rPr>
              <w:t xml:space="preserve"> se espera que los 5.9</w:t>
            </w:r>
            <w:r w:rsidR="001C30C7" w:rsidRPr="00304219">
              <w:rPr>
                <w:rFonts w:ascii="Arial" w:hAnsi="Arial" w:cs="Arial"/>
                <w:sz w:val="20"/>
                <w:lang w:val="es-ES"/>
              </w:rPr>
              <w:t>00 emplea</w:t>
            </w:r>
            <w:r w:rsidR="00E63E72" w:rsidRPr="00304219">
              <w:rPr>
                <w:rFonts w:ascii="Arial" w:hAnsi="Arial" w:cs="Arial"/>
                <w:sz w:val="20"/>
                <w:lang w:val="es-ES"/>
              </w:rPr>
              <w:t>dos estén contratados en el 2021</w:t>
            </w:r>
            <w:r w:rsidR="001C30C7" w:rsidRPr="00304219">
              <w:rPr>
                <w:rFonts w:ascii="Arial" w:hAnsi="Arial" w:cs="Arial"/>
                <w:sz w:val="20"/>
                <w:lang w:val="es-ES"/>
              </w:rPr>
              <w:t>.</w:t>
            </w:r>
            <w:r w:rsidR="00B90923" w:rsidRPr="00304219">
              <w:rPr>
                <w:rFonts w:ascii="Arial" w:hAnsi="Arial" w:cs="Arial"/>
                <w:sz w:val="20"/>
                <w:lang w:val="es-ES"/>
              </w:rPr>
              <w:t xml:space="preserve"> Los datos finales incluidos en esta tabla muestran el incremento en empleados como resultado de esta y operaciones pasadas.</w:t>
            </w:r>
            <w:r w:rsidR="005101A3" w:rsidRPr="00304219">
              <w:rPr>
                <w:rFonts w:ascii="Arial" w:hAnsi="Arial" w:cs="Arial"/>
                <w:sz w:val="20"/>
                <w:lang w:val="es-ES"/>
              </w:rPr>
              <w:t xml:space="preserve"> </w:t>
            </w:r>
          </w:p>
          <w:p w14:paraId="0592F88F" w14:textId="4570EC83" w:rsidR="005101A3" w:rsidRPr="00304219" w:rsidRDefault="005101A3" w:rsidP="001C30C7">
            <w:pPr>
              <w:rPr>
                <w:rFonts w:ascii="Arial" w:hAnsi="Arial" w:cs="Arial"/>
                <w:sz w:val="20"/>
                <w:lang w:eastAsia="en-GB"/>
              </w:rPr>
            </w:pPr>
            <w:r w:rsidRPr="00304219">
              <w:rPr>
                <w:rFonts w:ascii="Arial" w:hAnsi="Arial" w:cs="Arial"/>
                <w:sz w:val="20"/>
                <w:lang w:val="es-ES"/>
              </w:rPr>
              <w:t>El porcentaje mínimo esperado de mujeres en la fuerza laboral del PIC es de 65%. Al 2015, el n</w:t>
            </w:r>
            <w:r w:rsidRPr="00304219">
              <w:rPr>
                <w:rFonts w:ascii="Arial" w:hAnsi="Arial" w:cs="Arial"/>
                <w:sz w:val="20"/>
              </w:rPr>
              <w:t>úmero de mujeres fue de 4.953, y se espera que esta cifra alcance los 14.260 para el 2020 (</w:t>
            </w:r>
            <w:r w:rsidRPr="00304219">
              <w:rPr>
                <w:rFonts w:ascii="Arial" w:hAnsi="Arial" w:cs="Arial"/>
                <w:sz w:val="20"/>
                <w:lang w:val="es-ES"/>
              </w:rPr>
              <w:t>Fuente: SONAPI, en base a encuestas con las empresas del PIC</w:t>
            </w:r>
            <w:r w:rsidRPr="00304219">
              <w:rPr>
                <w:rFonts w:ascii="Arial" w:hAnsi="Arial" w:cs="Arial"/>
                <w:sz w:val="20"/>
              </w:rPr>
              <w:t>).</w:t>
            </w:r>
          </w:p>
        </w:tc>
      </w:tr>
      <w:tr w:rsidR="00F22161" w:rsidRPr="00304219" w14:paraId="4FE4137F" w14:textId="77777777" w:rsidTr="00D549DF">
        <w:tc>
          <w:tcPr>
            <w:tcW w:w="3060" w:type="dxa"/>
            <w:tcBorders>
              <w:top w:val="single" w:sz="4" w:space="0" w:color="auto"/>
              <w:left w:val="single" w:sz="4" w:space="0" w:color="auto"/>
              <w:bottom w:val="single" w:sz="4" w:space="0" w:color="auto"/>
              <w:right w:val="single" w:sz="4" w:space="0" w:color="auto"/>
            </w:tcBorders>
            <w:shd w:val="clear" w:color="auto" w:fill="auto"/>
          </w:tcPr>
          <w:p w14:paraId="39858F49" w14:textId="77777777" w:rsidR="00F22161" w:rsidRPr="00304219" w:rsidRDefault="00276127" w:rsidP="005C600D">
            <w:pPr>
              <w:rPr>
                <w:rFonts w:ascii="Arial" w:hAnsi="Arial" w:cs="Arial"/>
                <w:bCs/>
                <w:sz w:val="20"/>
              </w:rPr>
            </w:pPr>
            <w:r w:rsidRPr="00304219">
              <w:rPr>
                <w:rFonts w:ascii="Arial" w:eastAsia="Arial Unicode MS" w:hAnsi="Arial" w:cs="Arial"/>
                <w:bCs/>
                <w:sz w:val="20"/>
              </w:rPr>
              <w:lastRenderedPageBreak/>
              <w:t>S</w:t>
            </w:r>
            <w:r w:rsidR="00602737" w:rsidRPr="00304219">
              <w:rPr>
                <w:rFonts w:ascii="Arial" w:eastAsia="Arial Unicode MS" w:hAnsi="Arial" w:cs="Arial"/>
                <w:bCs/>
                <w:sz w:val="20"/>
              </w:rPr>
              <w:t xml:space="preserve">ueldos </w:t>
            </w:r>
            <w:r w:rsidR="002751A5" w:rsidRPr="00304219">
              <w:rPr>
                <w:rFonts w:ascii="Arial" w:eastAsia="Arial Unicode MS" w:hAnsi="Arial" w:cs="Arial"/>
                <w:bCs/>
                <w:sz w:val="20"/>
              </w:rPr>
              <w:t xml:space="preserve">totales </w:t>
            </w:r>
            <w:r w:rsidR="00602737" w:rsidRPr="00304219">
              <w:rPr>
                <w:rFonts w:ascii="Arial" w:eastAsia="Arial Unicode MS" w:hAnsi="Arial" w:cs="Arial"/>
                <w:bCs/>
                <w:sz w:val="20"/>
              </w:rPr>
              <w:t>pag</w:t>
            </w:r>
            <w:r w:rsidR="001A52E7" w:rsidRPr="00304219">
              <w:rPr>
                <w:rFonts w:ascii="Arial" w:eastAsia="Arial Unicode MS" w:hAnsi="Arial" w:cs="Arial"/>
                <w:bCs/>
                <w:sz w:val="20"/>
              </w:rPr>
              <w:t>ad</w:t>
            </w:r>
            <w:r w:rsidR="00602737" w:rsidRPr="00304219">
              <w:rPr>
                <w:rFonts w:ascii="Arial" w:eastAsia="Arial Unicode MS" w:hAnsi="Arial" w:cs="Arial"/>
                <w:bCs/>
                <w:sz w:val="20"/>
              </w:rPr>
              <w:t xml:space="preserve">os </w:t>
            </w:r>
            <w:r w:rsidR="00C84F44" w:rsidRPr="00304219">
              <w:rPr>
                <w:rFonts w:ascii="Arial" w:eastAsia="Arial Unicode MS" w:hAnsi="Arial" w:cs="Arial"/>
                <w:bCs/>
                <w:sz w:val="20"/>
              </w:rPr>
              <w:t xml:space="preserve">a </w:t>
            </w:r>
            <w:r w:rsidR="00602737" w:rsidRPr="00304219">
              <w:rPr>
                <w:rFonts w:ascii="Arial" w:eastAsia="Arial Unicode MS" w:hAnsi="Arial" w:cs="Arial"/>
                <w:bCs/>
                <w:sz w:val="20"/>
              </w:rPr>
              <w:t xml:space="preserve">trabajadores </w:t>
            </w:r>
            <w:r w:rsidR="005C600D" w:rsidRPr="00304219">
              <w:rPr>
                <w:rFonts w:ascii="Arial" w:eastAsia="Arial Unicode MS" w:hAnsi="Arial" w:cs="Arial"/>
                <w:bCs/>
                <w:sz w:val="20"/>
                <w:lang w:val="es-ES"/>
              </w:rPr>
              <w:t>haitianos</w:t>
            </w:r>
            <w:r w:rsidR="005C600D" w:rsidRPr="00304219">
              <w:rPr>
                <w:rFonts w:ascii="Arial" w:eastAsia="Arial Unicode MS" w:hAnsi="Arial" w:cs="Arial"/>
                <w:bCs/>
                <w:sz w:val="20"/>
              </w:rPr>
              <w:t xml:space="preserve"> </w:t>
            </w:r>
            <w:r w:rsidR="00602737" w:rsidRPr="00304219">
              <w:rPr>
                <w:rFonts w:ascii="Arial" w:eastAsia="Arial Unicode MS" w:hAnsi="Arial" w:cs="Arial"/>
                <w:bCs/>
                <w:sz w:val="20"/>
              </w:rPr>
              <w:t>en el</w:t>
            </w:r>
            <w:r w:rsidRPr="00304219">
              <w:rPr>
                <w:rFonts w:ascii="Arial" w:eastAsia="Arial Unicode MS" w:hAnsi="Arial" w:cs="Arial"/>
                <w:bCs/>
                <w:sz w:val="20"/>
              </w:rPr>
              <w:t xml:space="preserve"> PIC </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3D6AFF2" w14:textId="077B17E0" w:rsidR="00F22161" w:rsidRPr="00304219" w:rsidRDefault="00F22161" w:rsidP="00015EF4">
            <w:pPr>
              <w:jc w:val="center"/>
              <w:rPr>
                <w:rFonts w:ascii="Arial" w:hAnsi="Arial" w:cs="Arial"/>
                <w:sz w:val="20"/>
                <w:lang w:val="en-US" w:eastAsia="en-GB"/>
              </w:rPr>
            </w:pPr>
            <w:r w:rsidRPr="00304219">
              <w:rPr>
                <w:rFonts w:ascii="Arial" w:eastAsia="Arial Unicode MS" w:hAnsi="Arial" w:cs="Arial"/>
                <w:bCs/>
                <w:sz w:val="20"/>
              </w:rPr>
              <w:t>US$</w:t>
            </w:r>
            <w:r w:rsidR="00FC1143" w:rsidRPr="00304219">
              <w:rPr>
                <w:rFonts w:ascii="Arial" w:eastAsia="Arial Unicode MS" w:hAnsi="Arial" w:cs="Arial"/>
                <w:bCs/>
                <w:sz w:val="20"/>
              </w:rPr>
              <w:t>9</w:t>
            </w:r>
            <w:r w:rsidRPr="00304219">
              <w:rPr>
                <w:rFonts w:ascii="Arial" w:eastAsia="Arial Unicode MS" w:hAnsi="Arial" w:cs="Arial"/>
                <w:bCs/>
                <w:sz w:val="20"/>
              </w:rPr>
              <w:t xml:space="preserve"> </w:t>
            </w:r>
            <w:r w:rsidR="006F0A97" w:rsidRPr="00304219">
              <w:rPr>
                <w:rFonts w:ascii="Arial" w:eastAsia="Arial Unicode MS" w:hAnsi="Arial" w:cs="Arial"/>
                <w:bCs/>
                <w:sz w:val="20"/>
              </w:rPr>
              <w:t>millones</w:t>
            </w:r>
            <w:r w:rsidR="00FC1143" w:rsidRPr="00304219">
              <w:rPr>
                <w:rFonts w:ascii="Arial" w:eastAsia="Arial Unicode MS" w:hAnsi="Arial" w:cs="Arial"/>
                <w:bCs/>
                <w:sz w:val="20"/>
              </w:rPr>
              <w:t xml:space="preserve"> </w:t>
            </w:r>
            <w:r w:rsidR="00FC1143" w:rsidRPr="00304219">
              <w:rPr>
                <w:rFonts w:ascii="Arial" w:eastAsia="Arial Unicode MS" w:hAnsi="Arial" w:cs="Arial"/>
                <w:bCs/>
                <w:sz w:val="20"/>
                <w:lang w:val="es-ES"/>
              </w:rPr>
              <w:t>(2014)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BA41BAE" w14:textId="26FD938A" w:rsidR="00F22161" w:rsidRPr="00304219" w:rsidRDefault="00B90923" w:rsidP="00AB4823">
            <w:pPr>
              <w:jc w:val="center"/>
              <w:rPr>
                <w:rFonts w:ascii="Arial" w:eastAsia="Arial Unicode MS" w:hAnsi="Arial" w:cs="Arial"/>
                <w:bCs/>
                <w:sz w:val="20"/>
              </w:rPr>
            </w:pPr>
            <w:r w:rsidRPr="00304219">
              <w:rPr>
                <w:rFonts w:ascii="Arial" w:eastAsia="Arial Unicode MS" w:hAnsi="Arial" w:cs="Arial"/>
                <w:bCs/>
                <w:sz w:val="20"/>
              </w:rPr>
              <w:t>US$31,15 millones (2020)</w:t>
            </w:r>
          </w:p>
        </w:tc>
        <w:tc>
          <w:tcPr>
            <w:tcW w:w="3780" w:type="dxa"/>
            <w:tcBorders>
              <w:top w:val="single" w:sz="4" w:space="0" w:color="auto"/>
              <w:left w:val="single" w:sz="4" w:space="0" w:color="auto"/>
              <w:bottom w:val="single" w:sz="4" w:space="0" w:color="auto"/>
              <w:right w:val="single" w:sz="4" w:space="0" w:color="auto"/>
            </w:tcBorders>
            <w:shd w:val="clear" w:color="auto" w:fill="auto"/>
          </w:tcPr>
          <w:p w14:paraId="4A2F56C2" w14:textId="77777777" w:rsidR="00F22161" w:rsidRPr="00304219" w:rsidRDefault="00331375">
            <w:pPr>
              <w:keepLines/>
              <w:framePr w:wrap="around" w:vAnchor="text" w:hAnchor="text" w:y="1"/>
              <w:spacing w:before="20" w:after="20"/>
              <w:rPr>
                <w:rFonts w:ascii="Arial" w:hAnsi="Arial" w:cs="Arial"/>
                <w:sz w:val="20"/>
                <w:lang w:val="es-ES"/>
              </w:rPr>
            </w:pPr>
            <w:r w:rsidRPr="00304219">
              <w:rPr>
                <w:rFonts w:ascii="Arial" w:hAnsi="Arial" w:cs="Arial"/>
                <w:sz w:val="20"/>
                <w:lang w:val="es-ES"/>
              </w:rPr>
              <w:t xml:space="preserve">Será </w:t>
            </w:r>
            <w:r w:rsidR="005C600D" w:rsidRPr="00304219">
              <w:rPr>
                <w:rFonts w:ascii="Arial" w:hAnsi="Arial" w:cs="Arial"/>
                <w:sz w:val="20"/>
                <w:lang w:val="es-ES"/>
              </w:rPr>
              <w:t>incluido</w:t>
            </w:r>
            <w:r w:rsidRPr="00304219">
              <w:rPr>
                <w:rFonts w:ascii="Arial" w:hAnsi="Arial" w:cs="Arial"/>
                <w:sz w:val="20"/>
                <w:lang w:val="es-ES"/>
              </w:rPr>
              <w:t xml:space="preserve"> en los informes </w:t>
            </w:r>
            <w:r w:rsidR="000A2A44" w:rsidRPr="00304219">
              <w:rPr>
                <w:rFonts w:ascii="Arial" w:hAnsi="Arial" w:cs="Arial"/>
                <w:sz w:val="20"/>
                <w:lang w:val="es-ES"/>
              </w:rPr>
              <w:t>semestrales de SONAPI</w:t>
            </w:r>
            <w:r w:rsidRPr="00304219">
              <w:rPr>
                <w:rFonts w:ascii="Arial" w:hAnsi="Arial" w:cs="Arial"/>
                <w:sz w:val="20"/>
                <w:lang w:val="es-ES"/>
              </w:rPr>
              <w:t>.</w:t>
            </w:r>
          </w:p>
          <w:p w14:paraId="51C6BA40" w14:textId="2F304A26" w:rsidR="005101A3" w:rsidRPr="00304219" w:rsidRDefault="005101A3">
            <w:pPr>
              <w:keepLines/>
              <w:framePr w:wrap="around" w:vAnchor="text" w:hAnchor="text" w:y="1"/>
              <w:spacing w:before="20" w:after="20"/>
              <w:rPr>
                <w:rFonts w:ascii="Arial" w:hAnsi="Arial" w:cs="Arial"/>
                <w:sz w:val="20"/>
                <w:lang w:val="es-ES"/>
              </w:rPr>
            </w:pPr>
            <w:r w:rsidRPr="00304219">
              <w:rPr>
                <w:rFonts w:ascii="Arial" w:hAnsi="Arial" w:cs="Arial"/>
                <w:sz w:val="20"/>
                <w:lang w:val="es-ES"/>
              </w:rPr>
              <w:t>Notar que los aportes a la seguridad social, realizados por las firmas para los trabajadores, corresponde al 9% del salario total, y se espera que alcance los US$2,8 millones al 2020.</w:t>
            </w:r>
          </w:p>
        </w:tc>
      </w:tr>
      <w:tr w:rsidR="00FC1143" w:rsidRPr="00304219" w14:paraId="418B3FA0" w14:textId="77777777" w:rsidTr="00D549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60" w:type="dxa"/>
            <w:tcBorders>
              <w:top w:val="single" w:sz="4" w:space="0" w:color="auto"/>
              <w:left w:val="single" w:sz="4" w:space="0" w:color="auto"/>
              <w:bottom w:val="single" w:sz="4" w:space="0" w:color="auto"/>
              <w:right w:val="single" w:sz="4" w:space="0" w:color="auto"/>
            </w:tcBorders>
            <w:shd w:val="clear" w:color="auto" w:fill="auto"/>
          </w:tcPr>
          <w:p w14:paraId="30BEF7BF" w14:textId="1614C474" w:rsidR="00FC1143" w:rsidRPr="00304219" w:rsidRDefault="00FC1143" w:rsidP="007F30E9">
            <w:pPr>
              <w:rPr>
                <w:rFonts w:ascii="Arial" w:eastAsia="Arial Unicode MS" w:hAnsi="Arial" w:cs="Arial"/>
                <w:bCs/>
                <w:sz w:val="20"/>
              </w:rPr>
            </w:pPr>
            <w:r w:rsidRPr="00304219">
              <w:rPr>
                <w:rFonts w:ascii="Arial" w:eastAsia="Arial Unicode MS" w:hAnsi="Arial" w:cs="Arial"/>
                <w:bCs/>
                <w:sz w:val="20"/>
              </w:rPr>
              <w:t>Pagos por arriendo por parte de inquilinos internacionales del PIC</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9331642" w14:textId="5F9EFEE6" w:rsidR="00FC1143" w:rsidRPr="00304219" w:rsidRDefault="00C055F7" w:rsidP="002751A5">
            <w:pPr>
              <w:jc w:val="center"/>
              <w:rPr>
                <w:rFonts w:ascii="Arial" w:eastAsia="Arial Unicode MS" w:hAnsi="Arial" w:cs="Arial"/>
                <w:bCs/>
                <w:sz w:val="20"/>
              </w:rPr>
            </w:pPr>
            <w:r w:rsidRPr="00304219">
              <w:rPr>
                <w:rFonts w:ascii="Arial" w:eastAsia="Arial Unicode MS" w:hAnsi="Arial" w:cs="Arial"/>
                <w:bCs/>
                <w:sz w:val="20"/>
              </w:rPr>
              <w:t xml:space="preserve">US$0,2 millones </w:t>
            </w:r>
            <w:r w:rsidRPr="00304219">
              <w:rPr>
                <w:rFonts w:ascii="Arial" w:eastAsia="Arial Unicode MS" w:hAnsi="Arial" w:cs="Arial"/>
                <w:bCs/>
                <w:sz w:val="20"/>
                <w:lang w:val="es-ES"/>
              </w:rPr>
              <w:t>(2014)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7E99A79" w14:textId="6911E2C2" w:rsidR="00FC1143" w:rsidRPr="00304219" w:rsidRDefault="00B90923" w:rsidP="002751A5">
            <w:pPr>
              <w:jc w:val="center"/>
              <w:rPr>
                <w:rFonts w:ascii="Arial" w:eastAsia="Arial Unicode MS" w:hAnsi="Arial" w:cs="Arial"/>
                <w:bCs/>
                <w:sz w:val="20"/>
              </w:rPr>
            </w:pPr>
            <w:r w:rsidRPr="00304219">
              <w:rPr>
                <w:rFonts w:ascii="Arial" w:eastAsia="Arial Unicode MS" w:hAnsi="Arial" w:cs="Arial"/>
                <w:bCs/>
                <w:sz w:val="20"/>
              </w:rPr>
              <w:t>US$3,35 millones (2020)</w:t>
            </w:r>
          </w:p>
        </w:tc>
        <w:tc>
          <w:tcPr>
            <w:tcW w:w="3780" w:type="dxa"/>
            <w:tcBorders>
              <w:top w:val="single" w:sz="4" w:space="0" w:color="auto"/>
              <w:left w:val="single" w:sz="4" w:space="0" w:color="auto"/>
              <w:bottom w:val="single" w:sz="4" w:space="0" w:color="auto"/>
              <w:right w:val="single" w:sz="4" w:space="0" w:color="auto"/>
            </w:tcBorders>
            <w:shd w:val="clear" w:color="auto" w:fill="auto"/>
          </w:tcPr>
          <w:p w14:paraId="47D7EC26" w14:textId="5C5DFE0B" w:rsidR="00FC1143" w:rsidRPr="00304219" w:rsidRDefault="00C055F7" w:rsidP="001A52E7">
            <w:pPr>
              <w:keepLines/>
              <w:framePr w:wrap="around" w:vAnchor="text" w:hAnchor="text" w:y="1"/>
              <w:spacing w:before="20" w:after="20"/>
              <w:rPr>
                <w:rFonts w:ascii="Arial" w:hAnsi="Arial" w:cs="Arial"/>
                <w:sz w:val="20"/>
                <w:lang w:val="es-ES"/>
              </w:rPr>
            </w:pPr>
            <w:r w:rsidRPr="00304219">
              <w:rPr>
                <w:rFonts w:ascii="Arial" w:hAnsi="Arial" w:cs="Arial"/>
                <w:sz w:val="20"/>
                <w:lang w:val="es-ES"/>
              </w:rPr>
              <w:t>Será incluido en los informes semestrales de SONAPI. Los inquilinos internacionales empezarán a pagar por arriendo a partir del 2020.</w:t>
            </w:r>
          </w:p>
        </w:tc>
      </w:tr>
      <w:tr w:rsidR="00331375" w:rsidRPr="00304219" w14:paraId="3C605BAF" w14:textId="77777777" w:rsidTr="00D549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3060" w:type="dxa"/>
            <w:tcBorders>
              <w:top w:val="single" w:sz="4" w:space="0" w:color="auto"/>
              <w:left w:val="single" w:sz="4" w:space="0" w:color="auto"/>
              <w:bottom w:val="single" w:sz="4" w:space="0" w:color="auto"/>
              <w:right w:val="single" w:sz="4" w:space="0" w:color="auto"/>
            </w:tcBorders>
            <w:shd w:val="clear" w:color="auto" w:fill="auto"/>
          </w:tcPr>
          <w:p w14:paraId="3FFE4458" w14:textId="77777777" w:rsidR="00331375" w:rsidRPr="00304219" w:rsidRDefault="002751A5" w:rsidP="007F30E9">
            <w:pPr>
              <w:rPr>
                <w:rFonts w:ascii="Arial" w:eastAsia="Arial Unicode MS" w:hAnsi="Arial" w:cs="Arial"/>
                <w:bCs/>
                <w:sz w:val="20"/>
              </w:rPr>
            </w:pPr>
            <w:r w:rsidRPr="00304219">
              <w:rPr>
                <w:rFonts w:ascii="Arial" w:eastAsia="Arial Unicode MS" w:hAnsi="Arial" w:cs="Arial"/>
                <w:bCs/>
                <w:sz w:val="20"/>
              </w:rPr>
              <w:t xml:space="preserve">Servicios (transporte, agua, saneamiento) </w:t>
            </w:r>
            <w:r w:rsidR="00331375" w:rsidRPr="00304219">
              <w:rPr>
                <w:rFonts w:ascii="Arial" w:eastAsia="Arial Unicode MS" w:hAnsi="Arial" w:cs="Arial"/>
                <w:bCs/>
                <w:sz w:val="20"/>
              </w:rPr>
              <w:t xml:space="preserve">que pagan los inquilinos </w:t>
            </w:r>
            <w:r w:rsidRPr="00304219">
              <w:rPr>
                <w:rFonts w:ascii="Arial" w:eastAsia="Arial Unicode MS" w:hAnsi="Arial" w:cs="Arial"/>
                <w:bCs/>
                <w:sz w:val="20"/>
              </w:rPr>
              <w:t xml:space="preserve">internacionales </w:t>
            </w:r>
            <w:r w:rsidR="00331375" w:rsidRPr="00304219">
              <w:rPr>
                <w:rFonts w:ascii="Arial" w:eastAsia="Arial Unicode MS" w:hAnsi="Arial" w:cs="Arial"/>
                <w:bCs/>
                <w:sz w:val="20"/>
              </w:rPr>
              <w:t xml:space="preserve">del PIC </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890BEEF" w14:textId="0FF69872" w:rsidR="00331375" w:rsidRPr="00304219" w:rsidRDefault="00BD1541" w:rsidP="002751A5">
            <w:pPr>
              <w:jc w:val="center"/>
              <w:rPr>
                <w:rFonts w:ascii="Arial" w:eastAsia="Arial Unicode MS" w:hAnsi="Arial" w:cs="Arial"/>
                <w:bCs/>
                <w:sz w:val="20"/>
              </w:rPr>
            </w:pPr>
            <w:r w:rsidRPr="00304219">
              <w:rPr>
                <w:rFonts w:ascii="Arial" w:eastAsia="Arial Unicode MS" w:hAnsi="Arial" w:cs="Arial"/>
                <w:bCs/>
                <w:sz w:val="20"/>
              </w:rPr>
              <w:t>US$0,</w:t>
            </w:r>
            <w:r w:rsidR="002751A5" w:rsidRPr="00304219">
              <w:rPr>
                <w:rFonts w:ascii="Arial" w:eastAsia="Arial Unicode MS" w:hAnsi="Arial" w:cs="Arial"/>
                <w:bCs/>
                <w:sz w:val="20"/>
              </w:rPr>
              <w:t xml:space="preserve">23 </w:t>
            </w:r>
            <w:r w:rsidR="00331375" w:rsidRPr="00304219">
              <w:rPr>
                <w:rFonts w:ascii="Arial" w:eastAsia="Arial Unicode MS" w:hAnsi="Arial" w:cs="Arial"/>
                <w:bCs/>
                <w:sz w:val="20"/>
              </w:rPr>
              <w:t>millones</w:t>
            </w:r>
            <w:r w:rsidR="00FC1143" w:rsidRPr="00304219">
              <w:rPr>
                <w:rFonts w:ascii="Arial" w:eastAsia="Arial Unicode MS" w:hAnsi="Arial" w:cs="Arial"/>
                <w:bCs/>
                <w:sz w:val="20"/>
              </w:rPr>
              <w:t xml:space="preserve"> </w:t>
            </w:r>
            <w:r w:rsidR="00FC1143" w:rsidRPr="00304219">
              <w:rPr>
                <w:rFonts w:ascii="Arial" w:eastAsia="Arial Unicode MS" w:hAnsi="Arial" w:cs="Arial"/>
                <w:bCs/>
                <w:sz w:val="20"/>
                <w:lang w:val="es-ES"/>
              </w:rPr>
              <w:t>(2014)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3F99DEF" w14:textId="1A5575D7" w:rsidR="00331375" w:rsidRPr="00304219" w:rsidRDefault="00B90923" w:rsidP="00481671">
            <w:pPr>
              <w:jc w:val="center"/>
              <w:rPr>
                <w:rFonts w:ascii="Arial" w:eastAsia="Arial Unicode MS" w:hAnsi="Arial" w:cs="Arial"/>
                <w:bCs/>
                <w:sz w:val="20"/>
              </w:rPr>
            </w:pPr>
            <w:r w:rsidRPr="00304219">
              <w:rPr>
                <w:rFonts w:ascii="Arial" w:eastAsia="Arial Unicode MS" w:hAnsi="Arial" w:cs="Arial"/>
                <w:bCs/>
                <w:sz w:val="20"/>
              </w:rPr>
              <w:t>US$3,01 millones (20</w:t>
            </w:r>
            <w:r w:rsidR="00481671" w:rsidRPr="00304219">
              <w:rPr>
                <w:rFonts w:ascii="Arial" w:eastAsia="Arial Unicode MS" w:hAnsi="Arial" w:cs="Arial"/>
                <w:bCs/>
                <w:sz w:val="20"/>
              </w:rPr>
              <w:t>19</w:t>
            </w:r>
            <w:r w:rsidRPr="00304219">
              <w:rPr>
                <w:rFonts w:ascii="Arial" w:eastAsia="Arial Unicode MS" w:hAnsi="Arial" w:cs="Arial"/>
                <w:bCs/>
                <w:sz w:val="20"/>
              </w:rPr>
              <w:t>)</w:t>
            </w:r>
          </w:p>
        </w:tc>
        <w:tc>
          <w:tcPr>
            <w:tcW w:w="3780" w:type="dxa"/>
            <w:tcBorders>
              <w:top w:val="single" w:sz="4" w:space="0" w:color="auto"/>
              <w:left w:val="single" w:sz="4" w:space="0" w:color="auto"/>
              <w:bottom w:val="single" w:sz="4" w:space="0" w:color="auto"/>
              <w:right w:val="single" w:sz="4" w:space="0" w:color="auto"/>
            </w:tcBorders>
            <w:shd w:val="clear" w:color="auto" w:fill="auto"/>
          </w:tcPr>
          <w:p w14:paraId="1A2C9BC4" w14:textId="77777777" w:rsidR="00331375" w:rsidRPr="00304219" w:rsidRDefault="000A2A44" w:rsidP="001A52E7">
            <w:pPr>
              <w:keepLines/>
              <w:framePr w:wrap="around" w:vAnchor="text" w:hAnchor="text" w:y="1"/>
              <w:spacing w:before="20" w:after="20"/>
              <w:rPr>
                <w:rFonts w:ascii="Arial" w:eastAsia="Arial Unicode MS" w:hAnsi="Arial" w:cs="Arial"/>
                <w:bCs/>
                <w:sz w:val="20"/>
              </w:rPr>
            </w:pPr>
            <w:r w:rsidRPr="00304219">
              <w:rPr>
                <w:rFonts w:ascii="Arial" w:hAnsi="Arial" w:cs="Arial"/>
                <w:sz w:val="20"/>
                <w:lang w:val="es-ES"/>
              </w:rPr>
              <w:t>Será incluido en los informes semestrales de SONAPI.</w:t>
            </w:r>
          </w:p>
        </w:tc>
      </w:tr>
      <w:tr w:rsidR="002751A5" w:rsidRPr="00304219" w14:paraId="5186C5D3" w14:textId="77777777" w:rsidTr="00D549DF">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7AA2C3A" w14:textId="5B9673C6" w:rsidR="002751A5" w:rsidRPr="00304219" w:rsidDel="002751A5" w:rsidRDefault="00C055F7" w:rsidP="00BD1541">
            <w:pPr>
              <w:rPr>
                <w:rFonts w:ascii="Arial" w:eastAsia="Arial Unicode MS" w:hAnsi="Arial" w:cs="Arial"/>
                <w:bCs/>
                <w:sz w:val="20"/>
              </w:rPr>
            </w:pPr>
            <w:r w:rsidRPr="00304219">
              <w:rPr>
                <w:rFonts w:ascii="Arial" w:eastAsia="Arial Unicode MS" w:hAnsi="Arial" w:cs="Arial"/>
                <w:bCs/>
                <w:sz w:val="20"/>
              </w:rPr>
              <w:t xml:space="preserve">Superávit </w:t>
            </w:r>
            <w:r w:rsidR="005101A3" w:rsidRPr="00304219">
              <w:rPr>
                <w:rFonts w:ascii="Arial" w:eastAsia="Arial Unicode MS" w:hAnsi="Arial" w:cs="Arial"/>
                <w:bCs/>
                <w:sz w:val="20"/>
              </w:rPr>
              <w:t>(o</w:t>
            </w:r>
            <w:r w:rsidRPr="00304219">
              <w:rPr>
                <w:rFonts w:ascii="Arial" w:eastAsia="Arial Unicode MS" w:hAnsi="Arial" w:cs="Arial"/>
                <w:bCs/>
                <w:sz w:val="20"/>
              </w:rPr>
              <w:t xml:space="preserve"> (Déficit)</w:t>
            </w:r>
            <w:r w:rsidR="005101A3" w:rsidRPr="00304219">
              <w:rPr>
                <w:rFonts w:ascii="Arial" w:eastAsia="Arial Unicode MS" w:hAnsi="Arial" w:cs="Arial"/>
                <w:bCs/>
                <w:sz w:val="20"/>
              </w:rPr>
              <w:t>)</w:t>
            </w:r>
            <w:r w:rsidRPr="00304219">
              <w:rPr>
                <w:rFonts w:ascii="Arial" w:eastAsia="Arial Unicode MS" w:hAnsi="Arial" w:cs="Arial"/>
                <w:bCs/>
                <w:sz w:val="20"/>
              </w:rPr>
              <w:t xml:space="preserve"> Anual de las operaciones y mantenimiento del PIC (ingreso anual – costos de O y M del PIC)</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66F9D3D" w14:textId="453DBF40" w:rsidR="002751A5" w:rsidRPr="00304219" w:rsidRDefault="00C055F7" w:rsidP="002751A5">
            <w:pPr>
              <w:jc w:val="center"/>
              <w:rPr>
                <w:rFonts w:ascii="Arial" w:eastAsia="Arial Unicode MS" w:hAnsi="Arial" w:cs="Arial"/>
                <w:bCs/>
                <w:sz w:val="20"/>
                <w:lang w:val="en-US"/>
              </w:rPr>
            </w:pPr>
            <w:r w:rsidRPr="00304219">
              <w:rPr>
                <w:rFonts w:ascii="Arial" w:eastAsia="Arial Unicode MS" w:hAnsi="Arial" w:cs="Arial"/>
                <w:bCs/>
                <w:sz w:val="20"/>
              </w:rPr>
              <w:t xml:space="preserve">US$(1,9) millones </w:t>
            </w:r>
            <w:r w:rsidRPr="00304219">
              <w:rPr>
                <w:rFonts w:ascii="Arial" w:eastAsia="Arial Unicode MS" w:hAnsi="Arial" w:cs="Arial"/>
                <w:bCs/>
                <w:sz w:val="20"/>
                <w:lang w:val="es-ES"/>
              </w:rPr>
              <w:t>(2015)</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CCDC23B" w14:textId="5C5ED5F9" w:rsidR="001C30C7" w:rsidRPr="00304219" w:rsidRDefault="00B90923" w:rsidP="00C055F7">
            <w:pPr>
              <w:jc w:val="center"/>
              <w:rPr>
                <w:rFonts w:ascii="Arial" w:eastAsia="Arial Unicode MS" w:hAnsi="Arial" w:cs="Arial"/>
                <w:bCs/>
                <w:sz w:val="20"/>
                <w:lang w:val="en-US"/>
              </w:rPr>
            </w:pPr>
            <w:r w:rsidRPr="00304219">
              <w:rPr>
                <w:rFonts w:ascii="Arial" w:eastAsia="Arial Unicode MS" w:hAnsi="Arial" w:cs="Arial"/>
                <w:bCs/>
                <w:sz w:val="20"/>
              </w:rPr>
              <w:t>US$0,18 millones (2019)</w:t>
            </w:r>
          </w:p>
        </w:tc>
        <w:tc>
          <w:tcPr>
            <w:tcW w:w="3780" w:type="dxa"/>
            <w:tcBorders>
              <w:top w:val="single" w:sz="4" w:space="0" w:color="auto"/>
              <w:left w:val="single" w:sz="4" w:space="0" w:color="auto"/>
              <w:bottom w:val="single" w:sz="4" w:space="0" w:color="auto"/>
              <w:right w:val="single" w:sz="4" w:space="0" w:color="auto"/>
            </w:tcBorders>
            <w:shd w:val="clear" w:color="auto" w:fill="auto"/>
          </w:tcPr>
          <w:p w14:paraId="7CA142A6" w14:textId="77777777" w:rsidR="002751A5" w:rsidRPr="00304219" w:rsidRDefault="001C30C7" w:rsidP="001A52E7">
            <w:pPr>
              <w:keepLines/>
              <w:framePr w:wrap="around" w:vAnchor="text" w:hAnchor="text" w:y="1"/>
              <w:spacing w:before="20" w:after="20"/>
              <w:rPr>
                <w:rFonts w:ascii="Arial" w:hAnsi="Arial" w:cs="Arial"/>
                <w:sz w:val="20"/>
              </w:rPr>
            </w:pPr>
            <w:r w:rsidRPr="00304219">
              <w:rPr>
                <w:rFonts w:ascii="Arial" w:hAnsi="Arial" w:cs="Arial"/>
                <w:sz w:val="20"/>
                <w:lang w:val="es-ES"/>
              </w:rPr>
              <w:t>Será incluido en los informes semestrales de SONAPI.</w:t>
            </w:r>
          </w:p>
        </w:tc>
      </w:tr>
    </w:tbl>
    <w:p w14:paraId="6E0B9C0E" w14:textId="67FAFDF6" w:rsidR="00DF7F69" w:rsidRPr="00304219" w:rsidRDefault="00001BCA" w:rsidP="00304219">
      <w:pPr>
        <w:pStyle w:val="FirstHeading"/>
        <w:rPr>
          <w:rFonts w:ascii="Arial" w:hAnsi="Arial" w:cs="Arial"/>
          <w:sz w:val="22"/>
          <w:szCs w:val="22"/>
        </w:rPr>
      </w:pPr>
      <w:r w:rsidRPr="00304219">
        <w:rPr>
          <w:rFonts w:ascii="Arial" w:hAnsi="Arial" w:cs="Arial"/>
          <w:sz w:val="22"/>
          <w:szCs w:val="22"/>
        </w:rPr>
        <w:fldChar w:fldCharType="begin"/>
      </w:r>
      <w:r w:rsidRPr="00304219">
        <w:rPr>
          <w:rFonts w:ascii="Arial" w:hAnsi="Arial" w:cs="Arial"/>
          <w:sz w:val="22"/>
          <w:szCs w:val="22"/>
        </w:rPr>
        <w:instrText xml:space="preserve"> SEQ "</w:instrText>
      </w:r>
      <w:r w:rsidRPr="00304219">
        <w:rPr>
          <w:rFonts w:ascii="Arial" w:hAnsi="Arial" w:cs="Arial"/>
          <w:sz w:val="22"/>
          <w:szCs w:val="22"/>
        </w:rPr>
        <w:fldChar w:fldCharType="begin"/>
      </w:r>
      <w:r w:rsidRPr="00304219">
        <w:rPr>
          <w:rFonts w:ascii="Arial" w:hAnsi="Arial" w:cs="Arial"/>
          <w:sz w:val="22"/>
          <w:szCs w:val="22"/>
        </w:rPr>
        <w:instrText xml:space="preserve"> SECTION  \* MERGEFORMAT </w:instrText>
      </w:r>
      <w:r w:rsidRPr="00304219">
        <w:rPr>
          <w:rFonts w:ascii="Arial" w:hAnsi="Arial" w:cs="Arial"/>
          <w:sz w:val="22"/>
          <w:szCs w:val="22"/>
        </w:rPr>
        <w:fldChar w:fldCharType="separate"/>
      </w:r>
      <w:r w:rsidRPr="00304219">
        <w:rPr>
          <w:rFonts w:ascii="Arial" w:hAnsi="Arial" w:cs="Arial"/>
          <w:sz w:val="22"/>
          <w:szCs w:val="22"/>
        </w:rPr>
        <w:instrText>5</w:instrText>
      </w:r>
      <w:r w:rsidRPr="00304219">
        <w:rPr>
          <w:rFonts w:ascii="Arial" w:hAnsi="Arial" w:cs="Arial"/>
          <w:sz w:val="22"/>
          <w:szCs w:val="22"/>
        </w:rPr>
        <w:fldChar w:fldCharType="end"/>
      </w:r>
      <w:r w:rsidRPr="00304219">
        <w:rPr>
          <w:rFonts w:ascii="Arial" w:hAnsi="Arial" w:cs="Arial"/>
          <w:sz w:val="22"/>
          <w:szCs w:val="22"/>
        </w:rPr>
        <w:instrText xml:space="preserve">#"\* ALPHABETIC \* MERGEFORMAT </w:instrText>
      </w:r>
      <w:r w:rsidRPr="00304219">
        <w:rPr>
          <w:rFonts w:ascii="Arial" w:hAnsi="Arial" w:cs="Arial"/>
          <w:sz w:val="22"/>
          <w:szCs w:val="22"/>
        </w:rPr>
        <w:fldChar w:fldCharType="separate"/>
      </w:r>
      <w:bookmarkStart w:id="31" w:name="_Toc433354367"/>
      <w:r w:rsidRPr="00304219">
        <w:rPr>
          <w:rFonts w:ascii="Arial" w:hAnsi="Arial" w:cs="Arial"/>
          <w:noProof/>
          <w:sz w:val="22"/>
          <w:szCs w:val="22"/>
        </w:rPr>
        <w:t>C</w:t>
      </w:r>
      <w:r w:rsidRPr="00304219">
        <w:rPr>
          <w:rFonts w:ascii="Arial" w:hAnsi="Arial" w:cs="Arial"/>
          <w:sz w:val="22"/>
          <w:szCs w:val="22"/>
        </w:rPr>
        <w:fldChar w:fldCharType="end"/>
      </w:r>
      <w:r w:rsidRPr="00304219">
        <w:rPr>
          <w:rFonts w:ascii="Arial" w:hAnsi="Arial" w:cs="Arial"/>
          <w:sz w:val="22"/>
          <w:szCs w:val="22"/>
        </w:rPr>
        <w:t>.</w:t>
      </w:r>
      <w:r w:rsidRPr="00304219">
        <w:rPr>
          <w:rFonts w:ascii="Arial" w:hAnsi="Arial" w:cs="Arial"/>
          <w:sz w:val="22"/>
          <w:szCs w:val="22"/>
        </w:rPr>
        <w:tab/>
      </w:r>
      <w:r w:rsidR="00B3403E" w:rsidRPr="00304219">
        <w:rPr>
          <w:rFonts w:ascii="Arial" w:hAnsi="Arial" w:cs="Arial"/>
          <w:sz w:val="22"/>
          <w:szCs w:val="22"/>
        </w:rPr>
        <w:t xml:space="preserve">Conocimiento sobre el Sector y </w:t>
      </w:r>
      <w:r w:rsidR="00F51D4D" w:rsidRPr="00304219">
        <w:rPr>
          <w:rFonts w:ascii="Arial" w:hAnsi="Arial" w:cs="Arial"/>
          <w:sz w:val="22"/>
          <w:szCs w:val="22"/>
        </w:rPr>
        <w:t xml:space="preserve">Metodología de </w:t>
      </w:r>
      <w:r w:rsidR="00724C99" w:rsidRPr="00304219">
        <w:rPr>
          <w:rFonts w:ascii="Arial" w:hAnsi="Arial" w:cs="Arial"/>
          <w:sz w:val="22"/>
          <w:szCs w:val="22"/>
        </w:rPr>
        <w:t>Evaluación</w:t>
      </w:r>
      <w:bookmarkEnd w:id="31"/>
    </w:p>
    <w:p w14:paraId="4E6EA704" w14:textId="60E5F2B9" w:rsidR="00B3403E" w:rsidRPr="00304219" w:rsidRDefault="00B3403E" w:rsidP="00304219">
      <w:pPr>
        <w:pStyle w:val="Paragraph"/>
        <w:rPr>
          <w:rFonts w:ascii="Arial" w:hAnsi="Arial" w:cs="Arial"/>
          <w:sz w:val="22"/>
          <w:szCs w:val="22"/>
        </w:rPr>
      </w:pPr>
      <w:r w:rsidRPr="00304219">
        <w:rPr>
          <w:rFonts w:ascii="Arial" w:hAnsi="Arial" w:cs="Arial"/>
          <w:sz w:val="22"/>
          <w:szCs w:val="22"/>
        </w:rPr>
        <w:t>Como se indicó anteriormente, el presente programa es una continuación del proceso de implantación del PIC, y esencialmente agregará más unidades de producción a la infraestructura del p</w:t>
      </w:r>
      <w:r w:rsidR="00C055F7" w:rsidRPr="00304219">
        <w:rPr>
          <w:rFonts w:ascii="Arial" w:hAnsi="Arial" w:cs="Arial"/>
          <w:sz w:val="22"/>
          <w:szCs w:val="22"/>
        </w:rPr>
        <w:t xml:space="preserve">arque industrial ya existente. </w:t>
      </w:r>
      <w:r w:rsidRPr="00304219">
        <w:rPr>
          <w:rFonts w:ascii="Arial" w:hAnsi="Arial" w:cs="Arial"/>
          <w:sz w:val="22"/>
          <w:szCs w:val="22"/>
        </w:rPr>
        <w:t>El conocimiento ya acumulado por esta experiencia ha sido aplicad</w:t>
      </w:r>
      <w:r w:rsidR="009D01F3" w:rsidRPr="00304219">
        <w:rPr>
          <w:rFonts w:ascii="Arial" w:hAnsi="Arial" w:cs="Arial"/>
          <w:sz w:val="22"/>
          <w:szCs w:val="22"/>
        </w:rPr>
        <w:t>o</w:t>
      </w:r>
      <w:r w:rsidRPr="00304219">
        <w:rPr>
          <w:rFonts w:ascii="Arial" w:hAnsi="Arial" w:cs="Arial"/>
          <w:sz w:val="22"/>
          <w:szCs w:val="22"/>
        </w:rPr>
        <w:t xml:space="preserve"> en la presente operación</w:t>
      </w:r>
      <w:r w:rsidR="00BD1541" w:rsidRPr="00304219">
        <w:rPr>
          <w:rFonts w:ascii="Arial" w:hAnsi="Arial" w:cs="Arial"/>
          <w:sz w:val="22"/>
          <w:szCs w:val="22"/>
        </w:rPr>
        <w:t>,</w:t>
      </w:r>
      <w:r w:rsidRPr="00304219">
        <w:rPr>
          <w:rFonts w:ascii="Arial" w:hAnsi="Arial" w:cs="Arial"/>
          <w:sz w:val="22"/>
          <w:szCs w:val="22"/>
        </w:rPr>
        <w:t xml:space="preserve"> en particular: </w:t>
      </w:r>
    </w:p>
    <w:p w14:paraId="060A2DE2" w14:textId="08754F23" w:rsidR="00B3403E" w:rsidRPr="00304219" w:rsidRDefault="00B3403E" w:rsidP="008B4885">
      <w:pPr>
        <w:spacing w:before="120" w:after="120"/>
        <w:ind w:left="720" w:hanging="360"/>
        <w:jc w:val="both"/>
        <w:rPr>
          <w:rFonts w:ascii="Arial" w:hAnsi="Arial" w:cs="Arial"/>
          <w:sz w:val="22"/>
          <w:szCs w:val="22"/>
        </w:rPr>
      </w:pPr>
      <w:r w:rsidRPr="00304219">
        <w:rPr>
          <w:rFonts w:ascii="Arial" w:hAnsi="Arial" w:cs="Arial"/>
          <w:sz w:val="22"/>
          <w:szCs w:val="22"/>
        </w:rPr>
        <w:t>1.</w:t>
      </w:r>
      <w:r w:rsidRPr="00304219">
        <w:rPr>
          <w:rFonts w:ascii="Arial" w:hAnsi="Arial" w:cs="Arial"/>
          <w:sz w:val="22"/>
          <w:szCs w:val="22"/>
        </w:rPr>
        <w:tab/>
        <w:t>Los Parques Industriales de Haití han sido en general exitosos en el propósito de promover las inversiones privadas y generar em</w:t>
      </w:r>
      <w:r w:rsidR="00BD1541" w:rsidRPr="00304219">
        <w:rPr>
          <w:rFonts w:ascii="Arial" w:hAnsi="Arial" w:cs="Arial"/>
          <w:sz w:val="22"/>
          <w:szCs w:val="22"/>
        </w:rPr>
        <w:t xml:space="preserve">pleos para la población local. </w:t>
      </w:r>
      <w:r w:rsidRPr="00304219">
        <w:rPr>
          <w:rFonts w:ascii="Arial" w:hAnsi="Arial" w:cs="Arial"/>
          <w:sz w:val="22"/>
          <w:szCs w:val="22"/>
        </w:rPr>
        <w:t xml:space="preserve">Según SONAPI, Haití tiene actualmente </w:t>
      </w:r>
      <w:r w:rsidR="00BD1541" w:rsidRPr="00304219">
        <w:rPr>
          <w:rFonts w:ascii="Arial" w:hAnsi="Arial" w:cs="Arial"/>
          <w:sz w:val="22"/>
          <w:szCs w:val="22"/>
        </w:rPr>
        <w:t xml:space="preserve">10 </w:t>
      </w:r>
      <w:r w:rsidRPr="00304219">
        <w:rPr>
          <w:rFonts w:ascii="Arial" w:hAnsi="Arial" w:cs="Arial"/>
          <w:sz w:val="22"/>
          <w:szCs w:val="22"/>
        </w:rPr>
        <w:t>parques industriales, que emplean a un total de 36.530 personas. Una gran mayoría de estos parques produce textiles, que representa</w:t>
      </w:r>
      <w:r w:rsidR="00691A56" w:rsidRPr="00304219">
        <w:rPr>
          <w:rFonts w:ascii="Arial" w:hAnsi="Arial" w:cs="Arial"/>
          <w:sz w:val="22"/>
          <w:szCs w:val="22"/>
        </w:rPr>
        <w:t>ba</w:t>
      </w:r>
      <w:r w:rsidRPr="00304219">
        <w:rPr>
          <w:rFonts w:ascii="Arial" w:hAnsi="Arial" w:cs="Arial"/>
          <w:sz w:val="22"/>
          <w:szCs w:val="22"/>
        </w:rPr>
        <w:t xml:space="preserve">n el 90 % de las exportaciones de Haití </w:t>
      </w:r>
      <w:r w:rsidR="00691A56" w:rsidRPr="00304219">
        <w:rPr>
          <w:rFonts w:ascii="Arial" w:hAnsi="Arial" w:cs="Arial"/>
          <w:sz w:val="22"/>
          <w:szCs w:val="22"/>
        </w:rPr>
        <w:t>al</w:t>
      </w:r>
      <w:r w:rsidRPr="00304219">
        <w:rPr>
          <w:rFonts w:ascii="Arial" w:hAnsi="Arial" w:cs="Arial"/>
          <w:sz w:val="22"/>
          <w:szCs w:val="22"/>
        </w:rPr>
        <w:t xml:space="preserve"> 2013.</w:t>
      </w:r>
    </w:p>
    <w:p w14:paraId="4F8EDA04" w14:textId="0FCC77B6" w:rsidR="00B3403E" w:rsidRPr="00304219" w:rsidRDefault="00B3403E" w:rsidP="008B4885">
      <w:pPr>
        <w:spacing w:before="120" w:after="120"/>
        <w:ind w:left="720" w:hanging="360"/>
        <w:jc w:val="both"/>
        <w:rPr>
          <w:rFonts w:ascii="Arial" w:hAnsi="Arial" w:cs="Arial"/>
          <w:sz w:val="22"/>
          <w:szCs w:val="22"/>
        </w:rPr>
      </w:pPr>
      <w:r w:rsidRPr="00304219">
        <w:rPr>
          <w:rFonts w:ascii="Arial" w:hAnsi="Arial" w:cs="Arial"/>
          <w:sz w:val="22"/>
          <w:szCs w:val="22"/>
        </w:rPr>
        <w:lastRenderedPageBreak/>
        <w:t>2.</w:t>
      </w:r>
      <w:r w:rsidRPr="00304219">
        <w:rPr>
          <w:rFonts w:ascii="Arial" w:hAnsi="Arial" w:cs="Arial"/>
          <w:sz w:val="22"/>
          <w:szCs w:val="22"/>
        </w:rPr>
        <w:tab/>
        <w:t>Hasta la fecha el PIC ha sido exitoso en su implantación: se h</w:t>
      </w:r>
      <w:r w:rsidR="00523BBC" w:rsidRPr="00304219">
        <w:rPr>
          <w:rFonts w:ascii="Arial" w:hAnsi="Arial" w:cs="Arial"/>
          <w:sz w:val="22"/>
          <w:szCs w:val="22"/>
        </w:rPr>
        <w:t>an construido aproximadamente casi 114</w:t>
      </w:r>
      <w:r w:rsidRPr="00304219">
        <w:rPr>
          <w:rFonts w:ascii="Arial" w:hAnsi="Arial" w:cs="Arial"/>
          <w:sz w:val="22"/>
          <w:szCs w:val="22"/>
        </w:rPr>
        <w:t>.000 metros cuadrados</w:t>
      </w:r>
      <w:r w:rsidR="00E410EF" w:rsidRPr="00304219">
        <w:rPr>
          <w:rFonts w:ascii="Arial" w:hAnsi="Arial" w:cs="Arial"/>
          <w:sz w:val="22"/>
          <w:szCs w:val="22"/>
        </w:rPr>
        <w:t xml:space="preserve"> de edificaciones, incluyendo 15</w:t>
      </w:r>
      <w:r w:rsidR="005556B1">
        <w:rPr>
          <w:rFonts w:ascii="Arial" w:hAnsi="Arial" w:cs="Arial"/>
          <w:sz w:val="22"/>
          <w:szCs w:val="22"/>
        </w:rPr>
        <w:t> </w:t>
      </w:r>
      <w:r w:rsidR="00E410EF" w:rsidRPr="00304219">
        <w:rPr>
          <w:rFonts w:ascii="Arial" w:hAnsi="Arial" w:cs="Arial"/>
          <w:sz w:val="22"/>
          <w:szCs w:val="22"/>
        </w:rPr>
        <w:t>edificios de producción</w:t>
      </w:r>
      <w:r w:rsidRPr="00304219">
        <w:rPr>
          <w:rFonts w:ascii="Arial" w:hAnsi="Arial" w:cs="Arial"/>
          <w:sz w:val="22"/>
          <w:szCs w:val="22"/>
        </w:rPr>
        <w:t xml:space="preserve">, </w:t>
      </w:r>
      <w:r w:rsidR="00E410EF" w:rsidRPr="00304219">
        <w:rPr>
          <w:rFonts w:ascii="Arial" w:hAnsi="Arial" w:cs="Arial"/>
          <w:sz w:val="22"/>
          <w:szCs w:val="22"/>
        </w:rPr>
        <w:t xml:space="preserve">más de </w:t>
      </w:r>
      <w:r w:rsidRPr="00304219">
        <w:rPr>
          <w:rFonts w:ascii="Arial" w:hAnsi="Arial" w:cs="Arial"/>
          <w:sz w:val="22"/>
          <w:szCs w:val="22"/>
        </w:rPr>
        <w:t>10 estructuras auxiliares (para residencias, comedores y oficinas de la administración), una planta de agua potable</w:t>
      </w:r>
      <w:r w:rsidR="00294F60" w:rsidRPr="00304219">
        <w:rPr>
          <w:rFonts w:ascii="Arial" w:hAnsi="Arial" w:cs="Arial"/>
          <w:sz w:val="22"/>
          <w:szCs w:val="22"/>
        </w:rPr>
        <w:t>,</w:t>
      </w:r>
      <w:r w:rsidRPr="00304219">
        <w:rPr>
          <w:rFonts w:ascii="Arial" w:hAnsi="Arial" w:cs="Arial"/>
          <w:sz w:val="22"/>
          <w:szCs w:val="22"/>
        </w:rPr>
        <w:t xml:space="preserve"> etc. </w:t>
      </w:r>
    </w:p>
    <w:p w14:paraId="364EBE05" w14:textId="77777777" w:rsidR="00B3403E" w:rsidRPr="00304219" w:rsidRDefault="00B3403E" w:rsidP="008B4885">
      <w:pPr>
        <w:spacing w:before="120" w:after="120"/>
        <w:ind w:left="720" w:hanging="360"/>
        <w:jc w:val="both"/>
        <w:rPr>
          <w:rFonts w:ascii="Arial" w:hAnsi="Arial" w:cs="Arial"/>
          <w:sz w:val="22"/>
          <w:szCs w:val="22"/>
        </w:rPr>
      </w:pPr>
      <w:r w:rsidRPr="00304219">
        <w:rPr>
          <w:rFonts w:ascii="Arial" w:hAnsi="Arial" w:cs="Arial"/>
          <w:sz w:val="22"/>
          <w:szCs w:val="22"/>
        </w:rPr>
        <w:t>3.</w:t>
      </w:r>
      <w:r w:rsidRPr="00304219">
        <w:rPr>
          <w:rFonts w:ascii="Arial" w:hAnsi="Arial" w:cs="Arial"/>
          <w:sz w:val="22"/>
          <w:szCs w:val="22"/>
        </w:rPr>
        <w:tab/>
        <w:t xml:space="preserve">La demanda de espacio de alquiler ha superado a la oferta de los edificios existentes y previstos. El parque alberga actualmente </w:t>
      </w:r>
      <w:r w:rsidR="007F30E9" w:rsidRPr="00304219">
        <w:rPr>
          <w:rFonts w:ascii="Arial" w:hAnsi="Arial" w:cs="Arial"/>
          <w:sz w:val="22"/>
          <w:szCs w:val="22"/>
        </w:rPr>
        <w:t>dos</w:t>
      </w:r>
      <w:r w:rsidRPr="00304219">
        <w:rPr>
          <w:rFonts w:ascii="Arial" w:hAnsi="Arial" w:cs="Arial"/>
          <w:sz w:val="22"/>
          <w:szCs w:val="22"/>
        </w:rPr>
        <w:t xml:space="preserve"> inquilinos y ya existen </w:t>
      </w:r>
      <w:r w:rsidR="007F30E9" w:rsidRPr="00304219">
        <w:rPr>
          <w:rFonts w:ascii="Arial" w:hAnsi="Arial" w:cs="Arial"/>
          <w:sz w:val="22"/>
          <w:szCs w:val="22"/>
        </w:rPr>
        <w:t>cinco</w:t>
      </w:r>
      <w:r w:rsidRPr="00304219">
        <w:rPr>
          <w:rFonts w:ascii="Arial" w:hAnsi="Arial" w:cs="Arial"/>
          <w:sz w:val="22"/>
          <w:szCs w:val="22"/>
        </w:rPr>
        <w:t xml:space="preserve"> más firmas están listas para instalarse (con contratos firmados). Estos incluyen una empresa que fabrica productos de fibra de sisal y una de confecciones haitiana.  </w:t>
      </w:r>
    </w:p>
    <w:p w14:paraId="05DC953F" w14:textId="33A249C6" w:rsidR="00B3403E" w:rsidRPr="00304219" w:rsidRDefault="00B3403E" w:rsidP="008B4885">
      <w:pPr>
        <w:spacing w:before="120" w:after="120"/>
        <w:ind w:left="720" w:hanging="360"/>
        <w:jc w:val="both"/>
        <w:rPr>
          <w:rFonts w:ascii="Arial" w:hAnsi="Arial" w:cs="Arial"/>
          <w:sz w:val="22"/>
          <w:szCs w:val="22"/>
        </w:rPr>
      </w:pPr>
      <w:r w:rsidRPr="00304219">
        <w:rPr>
          <w:rFonts w:ascii="Arial" w:hAnsi="Arial" w:cs="Arial"/>
          <w:sz w:val="22"/>
          <w:szCs w:val="22"/>
        </w:rPr>
        <w:t>4.</w:t>
      </w:r>
      <w:r w:rsidRPr="00304219">
        <w:rPr>
          <w:rFonts w:ascii="Arial" w:hAnsi="Arial" w:cs="Arial"/>
          <w:sz w:val="22"/>
          <w:szCs w:val="22"/>
        </w:rPr>
        <w:tab/>
        <w:t xml:space="preserve">Al 30 de </w:t>
      </w:r>
      <w:r w:rsidR="0055574B" w:rsidRPr="00304219">
        <w:rPr>
          <w:rFonts w:ascii="Arial" w:hAnsi="Arial" w:cs="Arial"/>
          <w:sz w:val="22"/>
          <w:szCs w:val="22"/>
        </w:rPr>
        <w:t>septiembre</w:t>
      </w:r>
      <w:r w:rsidRPr="00304219">
        <w:rPr>
          <w:rFonts w:ascii="Arial" w:hAnsi="Arial" w:cs="Arial"/>
          <w:sz w:val="22"/>
          <w:szCs w:val="22"/>
        </w:rPr>
        <w:t xml:space="preserve"> </w:t>
      </w:r>
      <w:r w:rsidR="00C33C55" w:rsidRPr="00304219">
        <w:rPr>
          <w:rFonts w:ascii="Arial" w:hAnsi="Arial" w:cs="Arial"/>
          <w:sz w:val="22"/>
          <w:szCs w:val="22"/>
        </w:rPr>
        <w:t>del 2015</w:t>
      </w:r>
      <w:r w:rsidR="009D01F3" w:rsidRPr="00304219">
        <w:rPr>
          <w:rFonts w:ascii="Arial" w:hAnsi="Arial" w:cs="Arial"/>
          <w:sz w:val="22"/>
          <w:szCs w:val="22"/>
        </w:rPr>
        <w:t xml:space="preserve">, el PIC </w:t>
      </w:r>
      <w:r w:rsidR="00C33C55" w:rsidRPr="00304219">
        <w:rPr>
          <w:rFonts w:ascii="Arial" w:hAnsi="Arial" w:cs="Arial"/>
          <w:sz w:val="22"/>
          <w:szCs w:val="22"/>
        </w:rPr>
        <w:t xml:space="preserve">había </w:t>
      </w:r>
      <w:r w:rsidR="0055574B" w:rsidRPr="00304219">
        <w:rPr>
          <w:rFonts w:ascii="Arial" w:hAnsi="Arial" w:cs="Arial"/>
          <w:sz w:val="22"/>
          <w:szCs w:val="22"/>
        </w:rPr>
        <w:t>generado</w:t>
      </w:r>
      <w:r w:rsidR="00C33C55" w:rsidRPr="00304219">
        <w:rPr>
          <w:rFonts w:ascii="Arial" w:hAnsi="Arial" w:cs="Arial"/>
          <w:sz w:val="22"/>
          <w:szCs w:val="22"/>
        </w:rPr>
        <w:t xml:space="preserve"> </w:t>
      </w:r>
      <w:r w:rsidR="0055574B" w:rsidRPr="00304219">
        <w:rPr>
          <w:rFonts w:ascii="Arial" w:hAnsi="Arial" w:cs="Arial"/>
          <w:sz w:val="22"/>
          <w:szCs w:val="22"/>
        </w:rPr>
        <w:t>7</w:t>
      </w:r>
      <w:r w:rsidR="00C33C55" w:rsidRPr="00304219">
        <w:rPr>
          <w:rFonts w:ascii="Arial" w:hAnsi="Arial" w:cs="Arial"/>
          <w:sz w:val="22"/>
          <w:szCs w:val="22"/>
        </w:rPr>
        <w:t>,6</w:t>
      </w:r>
      <w:r w:rsidR="0055574B" w:rsidRPr="00304219">
        <w:rPr>
          <w:rFonts w:ascii="Arial" w:hAnsi="Arial" w:cs="Arial"/>
          <w:sz w:val="22"/>
          <w:szCs w:val="22"/>
        </w:rPr>
        <w:t>20</w:t>
      </w:r>
      <w:r w:rsidRPr="00304219">
        <w:rPr>
          <w:rFonts w:ascii="Arial" w:hAnsi="Arial" w:cs="Arial"/>
          <w:sz w:val="22"/>
          <w:szCs w:val="22"/>
        </w:rPr>
        <w:t xml:space="preserve"> puestos de trabajo</w:t>
      </w:r>
      <w:r w:rsidR="00C80FD1" w:rsidRPr="00304219">
        <w:rPr>
          <w:rFonts w:ascii="Arial" w:hAnsi="Arial" w:cs="Arial"/>
          <w:sz w:val="22"/>
          <w:szCs w:val="22"/>
        </w:rPr>
        <w:t xml:space="preserve"> (reporte oficial SONAPI)</w:t>
      </w:r>
      <w:r w:rsidRPr="00304219">
        <w:rPr>
          <w:rFonts w:ascii="Arial" w:hAnsi="Arial" w:cs="Arial"/>
          <w:sz w:val="22"/>
          <w:szCs w:val="22"/>
        </w:rPr>
        <w:t>.</w:t>
      </w:r>
    </w:p>
    <w:p w14:paraId="7A5633AD" w14:textId="04822BDD" w:rsidR="00B3403E" w:rsidRPr="00304219" w:rsidRDefault="00B3403E" w:rsidP="008B4885">
      <w:pPr>
        <w:spacing w:before="120" w:after="120"/>
        <w:ind w:left="720" w:hanging="360"/>
        <w:jc w:val="both"/>
        <w:rPr>
          <w:rFonts w:ascii="Arial" w:hAnsi="Arial" w:cs="Arial"/>
          <w:sz w:val="22"/>
          <w:szCs w:val="22"/>
        </w:rPr>
      </w:pPr>
      <w:r w:rsidRPr="00304219">
        <w:rPr>
          <w:rFonts w:ascii="Arial" w:hAnsi="Arial" w:cs="Arial"/>
          <w:sz w:val="22"/>
          <w:szCs w:val="22"/>
        </w:rPr>
        <w:t xml:space="preserve">5. </w:t>
      </w:r>
      <w:r w:rsidRPr="00304219">
        <w:rPr>
          <w:rFonts w:ascii="Arial" w:hAnsi="Arial" w:cs="Arial"/>
          <w:sz w:val="22"/>
          <w:szCs w:val="22"/>
        </w:rPr>
        <w:tab/>
        <w:t>Con respecto al conocimiento empírico sobre los parques industriales</w:t>
      </w:r>
      <w:r w:rsidR="00C33C55" w:rsidRPr="00304219">
        <w:rPr>
          <w:rFonts w:ascii="Arial" w:hAnsi="Arial" w:cs="Arial"/>
          <w:sz w:val="22"/>
          <w:szCs w:val="22"/>
        </w:rPr>
        <w:t xml:space="preserve">, un estudio del Banco Mundial </w:t>
      </w:r>
      <w:r w:rsidRPr="00304219">
        <w:rPr>
          <w:rFonts w:ascii="Arial" w:hAnsi="Arial" w:cs="Arial"/>
          <w:sz w:val="22"/>
          <w:szCs w:val="22"/>
        </w:rPr>
        <w:t>sugiere que las zonas francas industriales (ZFI) son formas importantes de atracción de inversiones extranjeras y la creación de puestos de trabajo locales. Otro autor  afirma que las conclusiones son mixtas con respecto a los impactos en el desarrollo y encadenamientos hacia atrás de las zonas francas industriales, que dependen de varias características específicas de cada país. Refiriéndose a África</w:t>
      </w:r>
      <w:r w:rsidR="00221B5D" w:rsidRPr="00304219">
        <w:rPr>
          <w:rFonts w:ascii="Arial" w:hAnsi="Arial" w:cs="Arial"/>
          <w:sz w:val="22"/>
          <w:szCs w:val="22"/>
        </w:rPr>
        <w:t xml:space="preserve"> Occidental, Bost afirma que: "</w:t>
      </w:r>
      <w:r w:rsidRPr="00304219">
        <w:rPr>
          <w:rFonts w:ascii="Arial" w:hAnsi="Arial" w:cs="Arial"/>
          <w:sz w:val="22"/>
          <w:szCs w:val="22"/>
        </w:rPr>
        <w:t xml:space="preserve">Si bien las zonas francas de África Occidental han mostrado sólo modestos resultados [en términos de desarrollo] </w:t>
      </w:r>
      <w:r w:rsidRPr="00304219">
        <w:rPr>
          <w:rFonts w:ascii="Arial" w:hAnsi="Arial" w:cs="Arial"/>
          <w:b/>
          <w:sz w:val="22"/>
          <w:szCs w:val="22"/>
        </w:rPr>
        <w:t>los puestos de trabajo creados en esas zonas no habrían llegado a ser sin esas zonas</w:t>
      </w:r>
      <w:r w:rsidRPr="00304219">
        <w:rPr>
          <w:rFonts w:ascii="Arial" w:hAnsi="Arial" w:cs="Arial"/>
          <w:sz w:val="22"/>
          <w:szCs w:val="22"/>
        </w:rPr>
        <w:t xml:space="preserve">".  </w:t>
      </w:r>
    </w:p>
    <w:p w14:paraId="580970FA" w14:textId="709D7F11" w:rsidR="00B3403E" w:rsidRPr="00304219" w:rsidRDefault="00B3403E" w:rsidP="00221B5D">
      <w:pPr>
        <w:spacing w:before="120" w:after="120"/>
        <w:ind w:left="720" w:hanging="360"/>
        <w:jc w:val="both"/>
        <w:rPr>
          <w:rFonts w:ascii="Arial" w:hAnsi="Arial" w:cs="Arial"/>
          <w:sz w:val="22"/>
          <w:szCs w:val="22"/>
        </w:rPr>
      </w:pPr>
      <w:r w:rsidRPr="00304219">
        <w:rPr>
          <w:rFonts w:ascii="Arial" w:hAnsi="Arial" w:cs="Arial"/>
          <w:sz w:val="22"/>
          <w:szCs w:val="22"/>
        </w:rPr>
        <w:t>6.</w:t>
      </w:r>
      <w:r w:rsidRPr="00304219">
        <w:rPr>
          <w:rFonts w:ascii="Arial" w:hAnsi="Arial" w:cs="Arial"/>
          <w:sz w:val="22"/>
          <w:szCs w:val="22"/>
        </w:rPr>
        <w:tab/>
        <w:t>Así, el apoyo del prog</w:t>
      </w:r>
      <w:r w:rsidR="00C33C55" w:rsidRPr="00304219">
        <w:rPr>
          <w:rFonts w:ascii="Arial" w:hAnsi="Arial" w:cs="Arial"/>
          <w:sz w:val="22"/>
          <w:szCs w:val="22"/>
        </w:rPr>
        <w:t>rama a la instalación del P</w:t>
      </w:r>
      <w:r w:rsidRPr="00304219">
        <w:rPr>
          <w:rFonts w:ascii="Arial" w:hAnsi="Arial" w:cs="Arial"/>
          <w:sz w:val="22"/>
          <w:szCs w:val="22"/>
        </w:rPr>
        <w:t xml:space="preserve">arque de Caracol tiene el propósito primordial de generar empleos formales, en un país donde el desempleo y la informalidad son tan altos. Adicionalmente, el programa se justifica por las inversiones extranjeras que las firmas del PIC traen al país y los efectos que los sueldos pagados a trabajadores y las actividades económicas que se instalarán en la región, que beneficiarán la economía regional. </w:t>
      </w:r>
    </w:p>
    <w:p w14:paraId="7D400DD8" w14:textId="302EC26B" w:rsidR="00B625AF" w:rsidRPr="00304219" w:rsidRDefault="00001BCA" w:rsidP="00304219">
      <w:pPr>
        <w:pStyle w:val="FirstHeading"/>
        <w:rPr>
          <w:rFonts w:ascii="Arial" w:hAnsi="Arial" w:cs="Arial"/>
          <w:sz w:val="22"/>
          <w:szCs w:val="22"/>
        </w:rPr>
      </w:pPr>
      <w:r w:rsidRPr="00304219">
        <w:rPr>
          <w:rFonts w:ascii="Arial" w:hAnsi="Arial" w:cs="Arial"/>
          <w:sz w:val="22"/>
          <w:szCs w:val="22"/>
        </w:rPr>
        <w:fldChar w:fldCharType="begin"/>
      </w:r>
      <w:r w:rsidRPr="00304219">
        <w:rPr>
          <w:rFonts w:ascii="Arial" w:hAnsi="Arial" w:cs="Arial"/>
          <w:sz w:val="22"/>
          <w:szCs w:val="22"/>
        </w:rPr>
        <w:instrText xml:space="preserve"> SEQ "</w:instrText>
      </w:r>
      <w:r w:rsidRPr="00304219">
        <w:rPr>
          <w:rFonts w:ascii="Arial" w:hAnsi="Arial" w:cs="Arial"/>
          <w:sz w:val="22"/>
          <w:szCs w:val="22"/>
        </w:rPr>
        <w:fldChar w:fldCharType="begin"/>
      </w:r>
      <w:r w:rsidRPr="00304219">
        <w:rPr>
          <w:rFonts w:ascii="Arial" w:hAnsi="Arial" w:cs="Arial"/>
          <w:sz w:val="22"/>
          <w:szCs w:val="22"/>
        </w:rPr>
        <w:instrText xml:space="preserve"> SECTION  \* MERGEFORMAT </w:instrText>
      </w:r>
      <w:r w:rsidRPr="00304219">
        <w:rPr>
          <w:rFonts w:ascii="Arial" w:hAnsi="Arial" w:cs="Arial"/>
          <w:sz w:val="22"/>
          <w:szCs w:val="22"/>
        </w:rPr>
        <w:fldChar w:fldCharType="separate"/>
      </w:r>
      <w:r w:rsidRPr="00304219">
        <w:rPr>
          <w:rFonts w:ascii="Arial" w:hAnsi="Arial" w:cs="Arial"/>
          <w:sz w:val="22"/>
          <w:szCs w:val="22"/>
        </w:rPr>
        <w:instrText>5</w:instrText>
      </w:r>
      <w:r w:rsidRPr="00304219">
        <w:rPr>
          <w:rFonts w:ascii="Arial" w:hAnsi="Arial" w:cs="Arial"/>
          <w:sz w:val="22"/>
          <w:szCs w:val="22"/>
        </w:rPr>
        <w:fldChar w:fldCharType="end"/>
      </w:r>
      <w:r w:rsidRPr="00304219">
        <w:rPr>
          <w:rFonts w:ascii="Arial" w:hAnsi="Arial" w:cs="Arial"/>
          <w:sz w:val="22"/>
          <w:szCs w:val="22"/>
        </w:rPr>
        <w:instrText xml:space="preserve">#"\* ALPHABETIC \* MERGEFORMAT </w:instrText>
      </w:r>
      <w:r w:rsidRPr="00304219">
        <w:rPr>
          <w:rFonts w:ascii="Arial" w:hAnsi="Arial" w:cs="Arial"/>
          <w:sz w:val="22"/>
          <w:szCs w:val="22"/>
        </w:rPr>
        <w:fldChar w:fldCharType="separate"/>
      </w:r>
      <w:bookmarkStart w:id="32" w:name="_Toc433354368"/>
      <w:r w:rsidRPr="00304219">
        <w:rPr>
          <w:rFonts w:ascii="Arial" w:hAnsi="Arial" w:cs="Arial"/>
          <w:noProof/>
          <w:sz w:val="22"/>
          <w:szCs w:val="22"/>
        </w:rPr>
        <w:t>D</w:t>
      </w:r>
      <w:r w:rsidRPr="00304219">
        <w:rPr>
          <w:rFonts w:ascii="Arial" w:hAnsi="Arial" w:cs="Arial"/>
          <w:sz w:val="22"/>
          <w:szCs w:val="22"/>
        </w:rPr>
        <w:fldChar w:fldCharType="end"/>
      </w:r>
      <w:r w:rsidRPr="00304219">
        <w:rPr>
          <w:rFonts w:ascii="Arial" w:hAnsi="Arial" w:cs="Arial"/>
          <w:sz w:val="22"/>
          <w:szCs w:val="22"/>
        </w:rPr>
        <w:t>.</w:t>
      </w:r>
      <w:r w:rsidRPr="00304219">
        <w:rPr>
          <w:rFonts w:ascii="Arial" w:hAnsi="Arial" w:cs="Arial"/>
          <w:sz w:val="22"/>
          <w:szCs w:val="22"/>
        </w:rPr>
        <w:tab/>
      </w:r>
      <w:r w:rsidR="00C33C55" w:rsidRPr="00304219">
        <w:rPr>
          <w:rFonts w:ascii="Arial" w:hAnsi="Arial" w:cs="Arial"/>
          <w:sz w:val="22"/>
          <w:szCs w:val="22"/>
        </w:rPr>
        <w:t>Análisis</w:t>
      </w:r>
      <w:r w:rsidR="00B625AF" w:rsidRPr="00304219">
        <w:rPr>
          <w:rFonts w:ascii="Arial" w:hAnsi="Arial" w:cs="Arial"/>
          <w:sz w:val="22"/>
          <w:szCs w:val="22"/>
        </w:rPr>
        <w:t xml:space="preserve"> </w:t>
      </w:r>
      <w:r w:rsidR="00C33C55" w:rsidRPr="00304219">
        <w:rPr>
          <w:rFonts w:ascii="Arial" w:hAnsi="Arial" w:cs="Arial"/>
          <w:sz w:val="22"/>
          <w:szCs w:val="22"/>
        </w:rPr>
        <w:t>Económico</w:t>
      </w:r>
      <w:r w:rsidR="00691A56" w:rsidRPr="00304219">
        <w:rPr>
          <w:rFonts w:ascii="Arial" w:hAnsi="Arial" w:cs="Arial"/>
          <w:sz w:val="22"/>
          <w:szCs w:val="22"/>
        </w:rPr>
        <w:t xml:space="preserve"> </w:t>
      </w:r>
      <w:r w:rsidR="00654D64" w:rsidRPr="00304219">
        <w:rPr>
          <w:rFonts w:ascii="Arial" w:hAnsi="Arial" w:cs="Arial"/>
          <w:sz w:val="22"/>
          <w:szCs w:val="22"/>
        </w:rPr>
        <w:t>Ex Ante</w:t>
      </w:r>
      <w:bookmarkEnd w:id="32"/>
    </w:p>
    <w:p w14:paraId="4AEE867D" w14:textId="773AE7CA" w:rsidR="00001BCA" w:rsidRPr="00304219" w:rsidRDefault="00B625AF" w:rsidP="00304219">
      <w:pPr>
        <w:pStyle w:val="Paragraph"/>
        <w:rPr>
          <w:rFonts w:ascii="Arial" w:hAnsi="Arial" w:cs="Arial"/>
          <w:sz w:val="22"/>
          <w:szCs w:val="22"/>
        </w:rPr>
      </w:pPr>
      <w:r w:rsidRPr="00304219">
        <w:rPr>
          <w:rFonts w:ascii="Arial" w:hAnsi="Arial" w:cs="Arial"/>
          <w:sz w:val="22"/>
          <w:szCs w:val="22"/>
        </w:rPr>
        <w:t xml:space="preserve">Para el </w:t>
      </w:r>
      <w:r w:rsidR="008B4885" w:rsidRPr="00304219">
        <w:rPr>
          <w:rFonts w:ascii="Arial" w:hAnsi="Arial" w:cs="Arial"/>
          <w:sz w:val="22"/>
          <w:szCs w:val="22"/>
        </w:rPr>
        <w:t>análisis</w:t>
      </w:r>
      <w:r w:rsidRPr="00304219">
        <w:rPr>
          <w:rFonts w:ascii="Arial" w:hAnsi="Arial" w:cs="Arial"/>
          <w:sz w:val="22"/>
          <w:szCs w:val="22"/>
        </w:rPr>
        <w:t xml:space="preserve"> económico ex ante se </w:t>
      </w:r>
      <w:r w:rsidR="00A87D1A" w:rsidRPr="00304219">
        <w:rPr>
          <w:rFonts w:ascii="Arial" w:hAnsi="Arial" w:cs="Arial"/>
          <w:sz w:val="22"/>
          <w:szCs w:val="22"/>
        </w:rPr>
        <w:t>utilizó</w:t>
      </w:r>
      <w:r w:rsidRPr="00304219">
        <w:rPr>
          <w:rFonts w:ascii="Arial" w:hAnsi="Arial" w:cs="Arial"/>
          <w:sz w:val="22"/>
          <w:szCs w:val="22"/>
        </w:rPr>
        <w:t xml:space="preserve"> un análisis costo-beneficio. </w:t>
      </w:r>
      <w:r w:rsidR="00A87D1A" w:rsidRPr="00304219">
        <w:rPr>
          <w:rFonts w:ascii="Arial" w:hAnsi="Arial" w:cs="Arial"/>
          <w:sz w:val="22"/>
          <w:szCs w:val="22"/>
        </w:rPr>
        <w:t>Los beneficios económicos utilizados fueron los siguientes: (i) la diferencia entre los sueldo</w:t>
      </w:r>
      <w:r w:rsidR="008B4885" w:rsidRPr="00304219">
        <w:rPr>
          <w:rFonts w:ascii="Arial" w:hAnsi="Arial" w:cs="Arial"/>
          <w:sz w:val="22"/>
          <w:szCs w:val="22"/>
        </w:rPr>
        <w:t>s</w:t>
      </w:r>
      <w:r w:rsidR="00A87D1A" w:rsidRPr="00304219">
        <w:rPr>
          <w:rFonts w:ascii="Arial" w:hAnsi="Arial" w:cs="Arial"/>
          <w:sz w:val="22"/>
          <w:szCs w:val="22"/>
        </w:rPr>
        <w:t xml:space="preserve"> pagados a los empleados del PIC y el precio sombra de mano de obra; (ii) los pagos de seguro social de los trabajadores</w:t>
      </w:r>
      <w:r w:rsidR="008B4885" w:rsidRPr="00304219">
        <w:rPr>
          <w:rFonts w:ascii="Arial" w:hAnsi="Arial" w:cs="Arial"/>
          <w:sz w:val="22"/>
          <w:szCs w:val="22"/>
        </w:rPr>
        <w:t>;</w:t>
      </w:r>
      <w:r w:rsidR="00A87D1A" w:rsidRPr="00304219">
        <w:rPr>
          <w:rFonts w:ascii="Arial" w:hAnsi="Arial" w:cs="Arial"/>
          <w:sz w:val="22"/>
          <w:szCs w:val="22"/>
        </w:rPr>
        <w:t xml:space="preserve"> (iii) el alquiler pagado </w:t>
      </w:r>
      <w:r w:rsidR="00111B42" w:rsidRPr="00304219">
        <w:rPr>
          <w:rFonts w:ascii="Arial" w:hAnsi="Arial" w:cs="Arial"/>
          <w:sz w:val="22"/>
          <w:szCs w:val="22"/>
        </w:rPr>
        <w:t xml:space="preserve">por las firmas extranjeras por </w:t>
      </w:r>
      <w:r w:rsidR="00A82368" w:rsidRPr="00304219">
        <w:rPr>
          <w:rFonts w:ascii="Arial" w:hAnsi="Arial" w:cs="Arial"/>
          <w:sz w:val="22"/>
          <w:szCs w:val="22"/>
        </w:rPr>
        <w:t>las instalaciones del parque;</w:t>
      </w:r>
      <w:r w:rsidR="00221B5D" w:rsidRPr="00304219">
        <w:rPr>
          <w:rFonts w:ascii="Arial" w:hAnsi="Arial" w:cs="Arial"/>
          <w:sz w:val="22"/>
          <w:szCs w:val="22"/>
        </w:rPr>
        <w:t xml:space="preserve"> </w:t>
      </w:r>
      <w:r w:rsidR="00A87D1A" w:rsidRPr="00304219">
        <w:rPr>
          <w:rFonts w:ascii="Arial" w:hAnsi="Arial" w:cs="Arial"/>
          <w:sz w:val="22"/>
          <w:szCs w:val="22"/>
        </w:rPr>
        <w:t>(iv) la diferencia entre los pagos de las firmas extranjeras por servicios (transporte, agua y saneamiento) y</w:t>
      </w:r>
      <w:r w:rsidR="00A82368" w:rsidRPr="00304219">
        <w:rPr>
          <w:rFonts w:ascii="Arial" w:hAnsi="Arial" w:cs="Arial"/>
          <w:sz w:val="22"/>
          <w:szCs w:val="22"/>
        </w:rPr>
        <w:t xml:space="preserve"> por</w:t>
      </w:r>
      <w:r w:rsidR="00A87D1A" w:rsidRPr="00304219">
        <w:rPr>
          <w:rFonts w:ascii="Arial" w:hAnsi="Arial" w:cs="Arial"/>
          <w:sz w:val="22"/>
          <w:szCs w:val="22"/>
        </w:rPr>
        <w:t xml:space="preserve"> el costo de sus insumos nacionales</w:t>
      </w:r>
      <w:r w:rsidR="00A82368" w:rsidRPr="00304219">
        <w:rPr>
          <w:rFonts w:ascii="Arial" w:hAnsi="Arial" w:cs="Arial"/>
          <w:sz w:val="22"/>
          <w:szCs w:val="22"/>
        </w:rPr>
        <w:t xml:space="preserve">; (v) los pagos de impuestos realizados por las firmas extranjeras; y (vi) </w:t>
      </w:r>
      <w:r w:rsidR="00C80FD1" w:rsidRPr="00304219">
        <w:rPr>
          <w:rFonts w:ascii="Arial" w:hAnsi="Arial" w:cs="Arial"/>
          <w:sz w:val="22"/>
          <w:szCs w:val="22"/>
        </w:rPr>
        <w:t>las rentas netas recibidas por los accionistas locales con inversiones en el PIC</w:t>
      </w:r>
      <w:r w:rsidR="00A87D1A" w:rsidRPr="00304219">
        <w:rPr>
          <w:rFonts w:ascii="Arial" w:hAnsi="Arial" w:cs="Arial"/>
          <w:sz w:val="22"/>
          <w:szCs w:val="22"/>
        </w:rPr>
        <w:t>. Estos beneficios solo corresponden a</w:t>
      </w:r>
      <w:r w:rsidR="00691A56" w:rsidRPr="00304219">
        <w:rPr>
          <w:rFonts w:ascii="Arial" w:hAnsi="Arial" w:cs="Arial"/>
          <w:sz w:val="22"/>
          <w:szCs w:val="22"/>
        </w:rPr>
        <w:t xml:space="preserve"> aquellos </w:t>
      </w:r>
      <w:r w:rsidR="00A87D1A" w:rsidRPr="00304219">
        <w:rPr>
          <w:rFonts w:ascii="Arial" w:hAnsi="Arial" w:cs="Arial"/>
          <w:sz w:val="22"/>
          <w:szCs w:val="22"/>
        </w:rPr>
        <w:t xml:space="preserve">generados debido a la expansión del PIC por este Programa. </w:t>
      </w:r>
    </w:p>
    <w:p w14:paraId="0911A37A" w14:textId="034C2B30" w:rsidR="00A87D1A" w:rsidRPr="00304219" w:rsidRDefault="00A87D1A" w:rsidP="00304219">
      <w:pPr>
        <w:pStyle w:val="Paragraph"/>
        <w:rPr>
          <w:rFonts w:ascii="Arial" w:hAnsi="Arial" w:cs="Arial"/>
          <w:sz w:val="22"/>
          <w:szCs w:val="22"/>
        </w:rPr>
      </w:pPr>
      <w:r w:rsidRPr="00304219">
        <w:rPr>
          <w:rFonts w:ascii="Arial" w:hAnsi="Arial" w:cs="Arial"/>
          <w:sz w:val="22"/>
          <w:szCs w:val="22"/>
        </w:rPr>
        <w:t>Los costo</w:t>
      </w:r>
      <w:r w:rsidR="008B4885" w:rsidRPr="00304219">
        <w:rPr>
          <w:rFonts w:ascii="Arial" w:hAnsi="Arial" w:cs="Arial"/>
          <w:sz w:val="22"/>
          <w:szCs w:val="22"/>
        </w:rPr>
        <w:t>s</w:t>
      </w:r>
      <w:r w:rsidRPr="00304219">
        <w:rPr>
          <w:rFonts w:ascii="Arial" w:hAnsi="Arial" w:cs="Arial"/>
          <w:sz w:val="22"/>
          <w:szCs w:val="22"/>
        </w:rPr>
        <w:t xml:space="preserve"> utilizados en el análisis son los costos de inversión del </w:t>
      </w:r>
      <w:r w:rsidR="00001BCA" w:rsidRPr="00304219">
        <w:rPr>
          <w:rFonts w:ascii="Arial" w:hAnsi="Arial" w:cs="Arial"/>
          <w:sz w:val="22"/>
          <w:szCs w:val="22"/>
        </w:rPr>
        <w:t xml:space="preserve">programa </w:t>
      </w:r>
      <w:r w:rsidRPr="00304219">
        <w:rPr>
          <w:rFonts w:ascii="Arial" w:hAnsi="Arial" w:cs="Arial"/>
          <w:sz w:val="22"/>
          <w:szCs w:val="22"/>
        </w:rPr>
        <w:t xml:space="preserve">y los costos incrementales de operación y mantenimiento del parque </w:t>
      </w:r>
      <w:r w:rsidR="008232AA" w:rsidRPr="00304219">
        <w:rPr>
          <w:rFonts w:ascii="Arial" w:hAnsi="Arial" w:cs="Arial"/>
          <w:sz w:val="22"/>
          <w:szCs w:val="22"/>
        </w:rPr>
        <w:t xml:space="preserve">debido a su expansión. Estos costos fueron ajustados a costos económicos. </w:t>
      </w:r>
    </w:p>
    <w:p w14:paraId="04B92A55" w14:textId="4EE8017F" w:rsidR="00F51D4D" w:rsidRPr="00304219" w:rsidRDefault="00C34E1E" w:rsidP="00304219">
      <w:pPr>
        <w:pStyle w:val="Paragraph"/>
        <w:rPr>
          <w:rFonts w:ascii="Arial" w:hAnsi="Arial" w:cs="Arial"/>
          <w:sz w:val="22"/>
          <w:szCs w:val="22"/>
        </w:rPr>
      </w:pPr>
      <w:r w:rsidRPr="00304219">
        <w:rPr>
          <w:rFonts w:ascii="Arial" w:hAnsi="Arial" w:cs="Arial"/>
          <w:b/>
          <w:sz w:val="22"/>
          <w:szCs w:val="22"/>
        </w:rPr>
        <w:t>Evaluación</w:t>
      </w:r>
      <w:r w:rsidR="00001BCA" w:rsidRPr="00304219">
        <w:rPr>
          <w:rFonts w:ascii="Arial" w:hAnsi="Arial" w:cs="Arial"/>
          <w:b/>
          <w:sz w:val="22"/>
          <w:szCs w:val="22"/>
        </w:rPr>
        <w:t>.</w:t>
      </w:r>
      <w:r w:rsidR="001B4E5E" w:rsidRPr="00304219">
        <w:rPr>
          <w:rFonts w:ascii="Arial" w:hAnsi="Arial" w:cs="Arial"/>
          <w:sz w:val="22"/>
          <w:szCs w:val="22"/>
        </w:rPr>
        <w:t xml:space="preserve"> </w:t>
      </w:r>
      <w:r w:rsidR="007A2858" w:rsidRPr="00304219">
        <w:rPr>
          <w:rFonts w:ascii="Arial" w:hAnsi="Arial" w:cs="Arial"/>
          <w:sz w:val="22"/>
          <w:szCs w:val="22"/>
        </w:rPr>
        <w:t xml:space="preserve">La evaluación </w:t>
      </w:r>
      <w:r w:rsidR="00C463F1" w:rsidRPr="00304219">
        <w:rPr>
          <w:rFonts w:ascii="Arial" w:hAnsi="Arial" w:cs="Arial"/>
          <w:sz w:val="22"/>
          <w:szCs w:val="22"/>
        </w:rPr>
        <w:t>de</w:t>
      </w:r>
      <w:r w:rsidR="007F30E9" w:rsidRPr="00304219">
        <w:rPr>
          <w:rFonts w:ascii="Arial" w:hAnsi="Arial" w:cs="Arial"/>
          <w:sz w:val="22"/>
          <w:szCs w:val="22"/>
        </w:rPr>
        <w:t xml:space="preserve"> este </w:t>
      </w:r>
      <w:r w:rsidR="00C463F1" w:rsidRPr="00304219">
        <w:rPr>
          <w:rFonts w:ascii="Arial" w:hAnsi="Arial" w:cs="Arial"/>
          <w:sz w:val="22"/>
          <w:szCs w:val="22"/>
        </w:rPr>
        <w:t xml:space="preserve">programa utilizará una metodología reflexiva </w:t>
      </w:r>
      <w:r w:rsidR="001B4E5E" w:rsidRPr="00304219">
        <w:rPr>
          <w:rFonts w:ascii="Arial" w:hAnsi="Arial" w:cs="Arial"/>
          <w:sz w:val="22"/>
          <w:szCs w:val="22"/>
        </w:rPr>
        <w:t>comparando la situación antes y después de la implantación del programa</w:t>
      </w:r>
      <w:r w:rsidR="007F30E9" w:rsidRPr="00304219">
        <w:rPr>
          <w:rFonts w:ascii="Arial" w:hAnsi="Arial" w:cs="Arial"/>
          <w:sz w:val="22"/>
          <w:szCs w:val="22"/>
        </w:rPr>
        <w:t xml:space="preserve"> y una evaluación económica ex</w:t>
      </w:r>
      <w:r w:rsidR="00691A56" w:rsidRPr="00304219">
        <w:rPr>
          <w:rFonts w:ascii="Arial" w:hAnsi="Arial" w:cs="Arial"/>
          <w:sz w:val="22"/>
          <w:szCs w:val="22"/>
        </w:rPr>
        <w:t xml:space="preserve"> </w:t>
      </w:r>
      <w:r w:rsidR="007F30E9" w:rsidRPr="00304219">
        <w:rPr>
          <w:rFonts w:ascii="Arial" w:hAnsi="Arial" w:cs="Arial"/>
          <w:sz w:val="22"/>
          <w:szCs w:val="22"/>
        </w:rPr>
        <w:t>post</w:t>
      </w:r>
      <w:r w:rsidR="001B4E5E" w:rsidRPr="00304219">
        <w:rPr>
          <w:rFonts w:ascii="Arial" w:hAnsi="Arial" w:cs="Arial"/>
          <w:sz w:val="22"/>
          <w:szCs w:val="22"/>
        </w:rPr>
        <w:t xml:space="preserve">. </w:t>
      </w:r>
    </w:p>
    <w:p w14:paraId="4E99BC65" w14:textId="0BF2752D" w:rsidR="001D36DF" w:rsidRPr="00304219" w:rsidRDefault="00CB0BFC" w:rsidP="00304219">
      <w:pPr>
        <w:pStyle w:val="Paragraph"/>
        <w:rPr>
          <w:rFonts w:ascii="Arial" w:hAnsi="Arial" w:cs="Arial"/>
          <w:sz w:val="22"/>
          <w:szCs w:val="22"/>
        </w:rPr>
      </w:pPr>
      <w:r w:rsidRPr="00304219">
        <w:rPr>
          <w:rFonts w:ascii="Arial" w:hAnsi="Arial" w:cs="Arial"/>
          <w:sz w:val="22"/>
          <w:szCs w:val="22"/>
        </w:rPr>
        <w:lastRenderedPageBreak/>
        <w:t xml:space="preserve">Una firma especializada será contratada para efectuar la organización del sistema de evaluación, recopilar </w:t>
      </w:r>
      <w:r w:rsidR="00691A56" w:rsidRPr="00304219">
        <w:rPr>
          <w:rFonts w:ascii="Arial" w:hAnsi="Arial" w:cs="Arial"/>
          <w:sz w:val="22"/>
          <w:szCs w:val="22"/>
        </w:rPr>
        <w:t xml:space="preserve">y analizar los </w:t>
      </w:r>
      <w:r w:rsidRPr="00304219">
        <w:rPr>
          <w:rFonts w:ascii="Arial" w:hAnsi="Arial" w:cs="Arial"/>
          <w:sz w:val="22"/>
          <w:szCs w:val="22"/>
        </w:rPr>
        <w:t>datos</w:t>
      </w:r>
      <w:r w:rsidR="00691A56" w:rsidRPr="00304219">
        <w:rPr>
          <w:rFonts w:ascii="Arial" w:hAnsi="Arial" w:cs="Arial"/>
          <w:sz w:val="22"/>
          <w:szCs w:val="22"/>
        </w:rPr>
        <w:t>,</w:t>
      </w:r>
      <w:r w:rsidRPr="00304219">
        <w:rPr>
          <w:rFonts w:ascii="Arial" w:hAnsi="Arial" w:cs="Arial"/>
          <w:sz w:val="22"/>
          <w:szCs w:val="22"/>
        </w:rPr>
        <w:t xml:space="preserve"> y </w:t>
      </w:r>
      <w:r w:rsidR="001D36DF" w:rsidRPr="00304219">
        <w:rPr>
          <w:rFonts w:ascii="Arial" w:hAnsi="Arial" w:cs="Arial"/>
          <w:sz w:val="22"/>
          <w:szCs w:val="22"/>
        </w:rPr>
        <w:t xml:space="preserve">realizar la </w:t>
      </w:r>
      <w:r w:rsidRPr="00304219">
        <w:rPr>
          <w:rFonts w:ascii="Arial" w:hAnsi="Arial" w:cs="Arial"/>
          <w:sz w:val="22"/>
          <w:szCs w:val="22"/>
        </w:rPr>
        <w:t>evaluación final</w:t>
      </w:r>
      <w:r w:rsidR="00A721F3" w:rsidRPr="00304219">
        <w:rPr>
          <w:rFonts w:ascii="Arial" w:hAnsi="Arial" w:cs="Arial"/>
          <w:sz w:val="22"/>
          <w:szCs w:val="22"/>
        </w:rPr>
        <w:t xml:space="preserve">.  </w:t>
      </w:r>
    </w:p>
    <w:p w14:paraId="7ADD4D66" w14:textId="167AC294" w:rsidR="00A721F3" w:rsidRPr="00304219" w:rsidRDefault="00CB0BFC" w:rsidP="00304219">
      <w:pPr>
        <w:pStyle w:val="Paragraph"/>
        <w:rPr>
          <w:rFonts w:ascii="Arial" w:hAnsi="Arial" w:cs="Arial"/>
          <w:sz w:val="22"/>
          <w:szCs w:val="22"/>
        </w:rPr>
      </w:pPr>
      <w:r w:rsidRPr="00304219">
        <w:rPr>
          <w:rFonts w:ascii="Arial" w:hAnsi="Arial" w:cs="Arial"/>
          <w:sz w:val="22"/>
          <w:szCs w:val="22"/>
        </w:rPr>
        <w:t>En cuanto a la metodología de recolección de datos, l</w:t>
      </w:r>
      <w:r w:rsidR="000A39FA" w:rsidRPr="00304219">
        <w:rPr>
          <w:rFonts w:ascii="Arial" w:hAnsi="Arial" w:cs="Arial"/>
          <w:sz w:val="22"/>
          <w:szCs w:val="22"/>
        </w:rPr>
        <w:t xml:space="preserve">a mayor parte de </w:t>
      </w:r>
      <w:r w:rsidRPr="00304219">
        <w:rPr>
          <w:rFonts w:ascii="Arial" w:hAnsi="Arial" w:cs="Arial"/>
          <w:sz w:val="22"/>
          <w:szCs w:val="22"/>
        </w:rPr>
        <w:t>estos</w:t>
      </w:r>
      <w:r w:rsidR="000A39FA" w:rsidRPr="00304219">
        <w:rPr>
          <w:rFonts w:ascii="Arial" w:hAnsi="Arial" w:cs="Arial"/>
          <w:sz w:val="22"/>
          <w:szCs w:val="22"/>
        </w:rPr>
        <w:t xml:space="preserve"> derivan de informaciones estadísticas nacionales o regionales, casi todas dispo</w:t>
      </w:r>
      <w:r w:rsidR="00C80FD1" w:rsidRPr="00304219">
        <w:rPr>
          <w:rFonts w:ascii="Arial" w:hAnsi="Arial" w:cs="Arial"/>
          <w:sz w:val="22"/>
          <w:szCs w:val="22"/>
        </w:rPr>
        <w:t xml:space="preserve">nibles en fuentes secundarias. </w:t>
      </w:r>
      <w:r w:rsidRPr="00304219">
        <w:rPr>
          <w:rFonts w:ascii="Arial" w:hAnsi="Arial" w:cs="Arial"/>
          <w:sz w:val="22"/>
          <w:szCs w:val="22"/>
        </w:rPr>
        <w:t xml:space="preserve">Además, la entidad a cargo de la gestión del PIC, SONAPI, tiene a su cargo la recolección continua de informaciones sobre las actividades de las firmas instaladas en el PIC, lo que facilita </w:t>
      </w:r>
      <w:r w:rsidR="001D36DF" w:rsidRPr="00304219">
        <w:rPr>
          <w:rFonts w:ascii="Arial" w:hAnsi="Arial" w:cs="Arial"/>
          <w:sz w:val="22"/>
          <w:szCs w:val="22"/>
        </w:rPr>
        <w:t xml:space="preserve">el seguimiento </w:t>
      </w:r>
      <w:r w:rsidRPr="00304219">
        <w:rPr>
          <w:rFonts w:ascii="Arial" w:hAnsi="Arial" w:cs="Arial"/>
          <w:sz w:val="22"/>
          <w:szCs w:val="22"/>
        </w:rPr>
        <w:t xml:space="preserve">de los indicadores de resultado.  </w:t>
      </w:r>
    </w:p>
    <w:p w14:paraId="16EF32AD" w14:textId="7E875612" w:rsidR="007413F9" w:rsidRPr="00304219" w:rsidRDefault="00001BCA" w:rsidP="00304219">
      <w:pPr>
        <w:pStyle w:val="FirstHeading"/>
        <w:rPr>
          <w:rFonts w:ascii="Arial" w:hAnsi="Arial" w:cs="Arial"/>
          <w:sz w:val="22"/>
          <w:szCs w:val="22"/>
        </w:rPr>
      </w:pPr>
      <w:r w:rsidRPr="00304219">
        <w:rPr>
          <w:rFonts w:ascii="Arial" w:hAnsi="Arial" w:cs="Arial"/>
          <w:sz w:val="22"/>
          <w:szCs w:val="22"/>
        </w:rPr>
        <w:fldChar w:fldCharType="begin"/>
      </w:r>
      <w:r w:rsidRPr="00304219">
        <w:rPr>
          <w:rFonts w:ascii="Arial" w:hAnsi="Arial" w:cs="Arial"/>
          <w:sz w:val="22"/>
          <w:szCs w:val="22"/>
        </w:rPr>
        <w:instrText xml:space="preserve"> SEQ "</w:instrText>
      </w:r>
      <w:r w:rsidRPr="00304219">
        <w:rPr>
          <w:rFonts w:ascii="Arial" w:hAnsi="Arial" w:cs="Arial"/>
          <w:sz w:val="22"/>
          <w:szCs w:val="22"/>
        </w:rPr>
        <w:fldChar w:fldCharType="begin"/>
      </w:r>
      <w:r w:rsidRPr="00304219">
        <w:rPr>
          <w:rFonts w:ascii="Arial" w:hAnsi="Arial" w:cs="Arial"/>
          <w:sz w:val="22"/>
          <w:szCs w:val="22"/>
        </w:rPr>
        <w:instrText xml:space="preserve"> SECTION  \* MERGEFORMAT </w:instrText>
      </w:r>
      <w:r w:rsidRPr="00304219">
        <w:rPr>
          <w:rFonts w:ascii="Arial" w:hAnsi="Arial" w:cs="Arial"/>
          <w:sz w:val="22"/>
          <w:szCs w:val="22"/>
        </w:rPr>
        <w:fldChar w:fldCharType="separate"/>
      </w:r>
      <w:r w:rsidRPr="00304219">
        <w:rPr>
          <w:rFonts w:ascii="Arial" w:hAnsi="Arial" w:cs="Arial"/>
          <w:sz w:val="22"/>
          <w:szCs w:val="22"/>
        </w:rPr>
        <w:instrText>5</w:instrText>
      </w:r>
      <w:r w:rsidRPr="00304219">
        <w:rPr>
          <w:rFonts w:ascii="Arial" w:hAnsi="Arial" w:cs="Arial"/>
          <w:sz w:val="22"/>
          <w:szCs w:val="22"/>
        </w:rPr>
        <w:fldChar w:fldCharType="end"/>
      </w:r>
      <w:r w:rsidRPr="00304219">
        <w:rPr>
          <w:rFonts w:ascii="Arial" w:hAnsi="Arial" w:cs="Arial"/>
          <w:sz w:val="22"/>
          <w:szCs w:val="22"/>
        </w:rPr>
        <w:instrText xml:space="preserve">#"\* ALPHABETIC \* MERGEFORMAT </w:instrText>
      </w:r>
      <w:r w:rsidRPr="00304219">
        <w:rPr>
          <w:rFonts w:ascii="Arial" w:hAnsi="Arial" w:cs="Arial"/>
          <w:sz w:val="22"/>
          <w:szCs w:val="22"/>
        </w:rPr>
        <w:fldChar w:fldCharType="separate"/>
      </w:r>
      <w:bookmarkStart w:id="33" w:name="_Toc433354369"/>
      <w:r w:rsidRPr="00304219">
        <w:rPr>
          <w:rFonts w:ascii="Arial" w:hAnsi="Arial" w:cs="Arial"/>
          <w:noProof/>
          <w:sz w:val="22"/>
          <w:szCs w:val="22"/>
        </w:rPr>
        <w:t>E</w:t>
      </w:r>
      <w:r w:rsidRPr="00304219">
        <w:rPr>
          <w:rFonts w:ascii="Arial" w:hAnsi="Arial" w:cs="Arial"/>
          <w:sz w:val="22"/>
          <w:szCs w:val="22"/>
        </w:rPr>
        <w:fldChar w:fldCharType="end"/>
      </w:r>
      <w:r w:rsidRPr="00304219">
        <w:rPr>
          <w:rFonts w:ascii="Arial" w:hAnsi="Arial" w:cs="Arial"/>
          <w:sz w:val="22"/>
          <w:szCs w:val="22"/>
        </w:rPr>
        <w:t>.</w:t>
      </w:r>
      <w:r w:rsidRPr="00304219">
        <w:rPr>
          <w:rFonts w:ascii="Arial" w:hAnsi="Arial" w:cs="Arial"/>
          <w:sz w:val="22"/>
          <w:szCs w:val="22"/>
        </w:rPr>
        <w:tab/>
      </w:r>
      <w:r w:rsidR="007413F9" w:rsidRPr="00304219">
        <w:rPr>
          <w:rFonts w:ascii="Arial" w:hAnsi="Arial" w:cs="Arial"/>
          <w:sz w:val="22"/>
          <w:szCs w:val="22"/>
        </w:rPr>
        <w:t xml:space="preserve">Análisis </w:t>
      </w:r>
      <w:r w:rsidR="00724C99" w:rsidRPr="00304219">
        <w:rPr>
          <w:rFonts w:ascii="Arial" w:hAnsi="Arial" w:cs="Arial"/>
          <w:sz w:val="22"/>
          <w:szCs w:val="22"/>
        </w:rPr>
        <w:t>Económico Ex Post</w:t>
      </w:r>
      <w:bookmarkEnd w:id="33"/>
      <w:r w:rsidR="00724C99" w:rsidRPr="00304219">
        <w:rPr>
          <w:rFonts w:ascii="Arial" w:hAnsi="Arial" w:cs="Arial"/>
          <w:sz w:val="22"/>
          <w:szCs w:val="22"/>
        </w:rPr>
        <w:t xml:space="preserve"> </w:t>
      </w:r>
    </w:p>
    <w:p w14:paraId="7177CA9F" w14:textId="007994BB" w:rsidR="007A2858" w:rsidRPr="00304219" w:rsidRDefault="00A721F3" w:rsidP="00304219">
      <w:pPr>
        <w:pStyle w:val="Paragraph"/>
        <w:rPr>
          <w:rFonts w:ascii="Arial" w:hAnsi="Arial" w:cs="Arial"/>
          <w:sz w:val="22"/>
          <w:szCs w:val="22"/>
        </w:rPr>
      </w:pPr>
      <w:r w:rsidRPr="00304219">
        <w:rPr>
          <w:rFonts w:ascii="Arial" w:hAnsi="Arial" w:cs="Arial"/>
          <w:sz w:val="22"/>
          <w:szCs w:val="22"/>
        </w:rPr>
        <w:t xml:space="preserve">Complementando la evaluación </w:t>
      </w:r>
      <w:r w:rsidR="007F30E9" w:rsidRPr="00304219">
        <w:rPr>
          <w:rFonts w:ascii="Arial" w:hAnsi="Arial" w:cs="Arial"/>
          <w:sz w:val="22"/>
          <w:szCs w:val="22"/>
        </w:rPr>
        <w:t xml:space="preserve">reflexiva </w:t>
      </w:r>
      <w:r w:rsidRPr="00304219">
        <w:rPr>
          <w:rFonts w:ascii="Arial" w:hAnsi="Arial" w:cs="Arial"/>
          <w:sz w:val="22"/>
          <w:szCs w:val="22"/>
        </w:rPr>
        <w:t xml:space="preserve"> </w:t>
      </w:r>
      <w:r w:rsidR="001B4E5E" w:rsidRPr="00304219">
        <w:rPr>
          <w:rFonts w:ascii="Arial" w:hAnsi="Arial" w:cs="Arial"/>
          <w:sz w:val="22"/>
          <w:szCs w:val="22"/>
        </w:rPr>
        <w:t xml:space="preserve">se hará un análisis </w:t>
      </w:r>
      <w:r w:rsidR="000A39FA" w:rsidRPr="00304219">
        <w:rPr>
          <w:rFonts w:ascii="Arial" w:hAnsi="Arial" w:cs="Arial"/>
          <w:sz w:val="22"/>
          <w:szCs w:val="22"/>
        </w:rPr>
        <w:t xml:space="preserve">costo-beneficio </w:t>
      </w:r>
      <w:r w:rsidR="001B4E5E" w:rsidRPr="00304219">
        <w:rPr>
          <w:rFonts w:ascii="Arial" w:hAnsi="Arial" w:cs="Arial"/>
          <w:sz w:val="22"/>
          <w:szCs w:val="22"/>
        </w:rPr>
        <w:t xml:space="preserve">ex post. </w:t>
      </w:r>
      <w:r w:rsidR="0075186D" w:rsidRPr="00304219">
        <w:rPr>
          <w:rFonts w:ascii="Arial" w:hAnsi="Arial" w:cs="Arial"/>
          <w:sz w:val="22"/>
          <w:szCs w:val="22"/>
        </w:rPr>
        <w:t xml:space="preserve">Durante la preparación </w:t>
      </w:r>
      <w:r w:rsidR="00F370CE" w:rsidRPr="00304219">
        <w:rPr>
          <w:rFonts w:ascii="Arial" w:hAnsi="Arial" w:cs="Arial"/>
          <w:sz w:val="22"/>
          <w:szCs w:val="22"/>
        </w:rPr>
        <w:t>de esta operación</w:t>
      </w:r>
      <w:r w:rsidR="0075186D" w:rsidRPr="00304219">
        <w:rPr>
          <w:rFonts w:ascii="Arial" w:hAnsi="Arial" w:cs="Arial"/>
          <w:sz w:val="22"/>
          <w:szCs w:val="22"/>
        </w:rPr>
        <w:t xml:space="preserve"> se </w:t>
      </w:r>
      <w:r w:rsidR="008B4885" w:rsidRPr="00304219">
        <w:rPr>
          <w:rFonts w:ascii="Arial" w:hAnsi="Arial" w:cs="Arial"/>
          <w:sz w:val="22"/>
          <w:szCs w:val="22"/>
        </w:rPr>
        <w:t>llevó</w:t>
      </w:r>
      <w:r w:rsidR="007F30E9" w:rsidRPr="00304219">
        <w:rPr>
          <w:rFonts w:ascii="Arial" w:hAnsi="Arial" w:cs="Arial"/>
          <w:sz w:val="22"/>
          <w:szCs w:val="22"/>
        </w:rPr>
        <w:t xml:space="preserve"> a cabo </w:t>
      </w:r>
      <w:r w:rsidR="00F370CE" w:rsidRPr="00304219">
        <w:rPr>
          <w:rFonts w:ascii="Arial" w:hAnsi="Arial" w:cs="Arial"/>
          <w:sz w:val="22"/>
          <w:szCs w:val="22"/>
        </w:rPr>
        <w:t>el</w:t>
      </w:r>
      <w:r w:rsidR="0075186D" w:rsidRPr="00304219">
        <w:rPr>
          <w:rFonts w:ascii="Arial" w:hAnsi="Arial" w:cs="Arial"/>
          <w:sz w:val="22"/>
          <w:szCs w:val="22"/>
        </w:rPr>
        <w:t xml:space="preserve"> análisis económico del </w:t>
      </w:r>
      <w:r w:rsidR="007F30E9" w:rsidRPr="00304219">
        <w:rPr>
          <w:rFonts w:ascii="Arial" w:hAnsi="Arial" w:cs="Arial"/>
          <w:sz w:val="22"/>
          <w:szCs w:val="22"/>
        </w:rPr>
        <w:t xml:space="preserve">Programa </w:t>
      </w:r>
      <w:r w:rsidR="005C62EB" w:rsidRPr="00304219">
        <w:rPr>
          <w:rFonts w:ascii="Arial" w:hAnsi="Arial" w:cs="Arial"/>
          <w:sz w:val="22"/>
          <w:szCs w:val="22"/>
        </w:rPr>
        <w:t>con base en la metodología de Jayanthakumarn (2003) “Análisis Costo</w:t>
      </w:r>
      <w:r w:rsidR="005556B1">
        <w:rPr>
          <w:rFonts w:ascii="Arial" w:hAnsi="Arial" w:cs="Arial"/>
          <w:sz w:val="22"/>
          <w:szCs w:val="22"/>
        </w:rPr>
        <w:t> </w:t>
      </w:r>
      <w:r w:rsidR="005C62EB" w:rsidRPr="00304219">
        <w:rPr>
          <w:rFonts w:ascii="Arial" w:hAnsi="Arial" w:cs="Arial"/>
          <w:sz w:val="22"/>
          <w:szCs w:val="22"/>
        </w:rPr>
        <w:t>Beneficio de Zonas de Procesamiento de Exportaciones”</w:t>
      </w:r>
      <w:r w:rsidR="0075186D" w:rsidRPr="00304219">
        <w:rPr>
          <w:rFonts w:ascii="Arial" w:hAnsi="Arial" w:cs="Arial"/>
          <w:sz w:val="22"/>
          <w:szCs w:val="22"/>
        </w:rPr>
        <w:t xml:space="preserve">. </w:t>
      </w:r>
      <w:r w:rsidR="00CC68A2" w:rsidRPr="00304219">
        <w:rPr>
          <w:rFonts w:ascii="Arial" w:hAnsi="Arial" w:cs="Arial"/>
          <w:sz w:val="22"/>
          <w:szCs w:val="22"/>
        </w:rPr>
        <w:t>Los resultados están presentados en el anexo correspondiente (</w:t>
      </w:r>
      <w:hyperlink r:id="rId22" w:history="1">
        <w:r w:rsidR="00724C99" w:rsidRPr="00304219">
          <w:rPr>
            <w:rStyle w:val="Hyperlink"/>
            <w:rFonts w:ascii="Arial" w:hAnsi="Arial" w:cs="Arial"/>
            <w:sz w:val="22"/>
            <w:szCs w:val="22"/>
            <w:lang w:val="es-ES_tradnl"/>
          </w:rPr>
          <w:t>Q3 2015 PIC Report</w:t>
        </w:r>
      </w:hyperlink>
      <w:r w:rsidR="00CC68A2" w:rsidRPr="00304219">
        <w:rPr>
          <w:rFonts w:ascii="Arial" w:hAnsi="Arial" w:cs="Arial"/>
          <w:sz w:val="22"/>
          <w:szCs w:val="22"/>
        </w:rPr>
        <w:t>).</w:t>
      </w:r>
    </w:p>
    <w:p w14:paraId="1BA5234F" w14:textId="6BDB9F37" w:rsidR="00333DC0" w:rsidRPr="00304219" w:rsidRDefault="007A2858" w:rsidP="00304219">
      <w:pPr>
        <w:pStyle w:val="Paragraph"/>
        <w:rPr>
          <w:rFonts w:ascii="Arial" w:hAnsi="Arial" w:cs="Arial"/>
          <w:sz w:val="22"/>
          <w:szCs w:val="22"/>
        </w:rPr>
      </w:pPr>
      <w:r w:rsidRPr="00304219">
        <w:rPr>
          <w:rFonts w:ascii="Arial" w:hAnsi="Arial" w:cs="Arial"/>
          <w:sz w:val="22"/>
          <w:szCs w:val="22"/>
        </w:rPr>
        <w:t xml:space="preserve">La evaluación </w:t>
      </w:r>
      <w:r w:rsidR="005A0843" w:rsidRPr="00304219">
        <w:rPr>
          <w:rFonts w:ascii="Arial" w:hAnsi="Arial" w:cs="Arial"/>
          <w:sz w:val="22"/>
          <w:szCs w:val="22"/>
        </w:rPr>
        <w:t xml:space="preserve">económica </w:t>
      </w:r>
      <w:r w:rsidR="00C83397" w:rsidRPr="00304219">
        <w:rPr>
          <w:rFonts w:ascii="Arial" w:hAnsi="Arial" w:cs="Arial"/>
          <w:sz w:val="22"/>
          <w:szCs w:val="22"/>
        </w:rPr>
        <w:t xml:space="preserve">ex post </w:t>
      </w:r>
      <w:r w:rsidR="00691A56" w:rsidRPr="00304219">
        <w:rPr>
          <w:rFonts w:ascii="Arial" w:hAnsi="Arial" w:cs="Arial"/>
          <w:sz w:val="22"/>
          <w:szCs w:val="22"/>
        </w:rPr>
        <w:t>usará</w:t>
      </w:r>
      <w:r w:rsidR="008232AA" w:rsidRPr="00304219">
        <w:rPr>
          <w:rFonts w:ascii="Arial" w:hAnsi="Arial" w:cs="Arial"/>
          <w:sz w:val="22"/>
          <w:szCs w:val="22"/>
        </w:rPr>
        <w:t xml:space="preserve"> la metodología usada en el </w:t>
      </w:r>
      <w:r w:rsidR="008B4885" w:rsidRPr="00304219">
        <w:rPr>
          <w:rFonts w:ascii="Arial" w:hAnsi="Arial" w:cs="Arial"/>
          <w:sz w:val="22"/>
          <w:szCs w:val="22"/>
        </w:rPr>
        <w:t>análisis</w:t>
      </w:r>
      <w:r w:rsidR="008232AA" w:rsidRPr="00304219">
        <w:rPr>
          <w:rFonts w:ascii="Arial" w:hAnsi="Arial" w:cs="Arial"/>
          <w:sz w:val="22"/>
          <w:szCs w:val="22"/>
        </w:rPr>
        <w:t xml:space="preserve"> ex ante y </w:t>
      </w:r>
      <w:r w:rsidRPr="00304219">
        <w:rPr>
          <w:rFonts w:ascii="Arial" w:hAnsi="Arial" w:cs="Arial"/>
          <w:sz w:val="22"/>
          <w:szCs w:val="22"/>
        </w:rPr>
        <w:t xml:space="preserve">será </w:t>
      </w:r>
      <w:r w:rsidR="008720DB" w:rsidRPr="00304219">
        <w:rPr>
          <w:rFonts w:ascii="Arial" w:hAnsi="Arial" w:cs="Arial"/>
          <w:sz w:val="22"/>
          <w:szCs w:val="22"/>
        </w:rPr>
        <w:t xml:space="preserve">realizada </w:t>
      </w:r>
      <w:r w:rsidR="00C83397" w:rsidRPr="00304219">
        <w:rPr>
          <w:rFonts w:ascii="Arial" w:hAnsi="Arial" w:cs="Arial"/>
          <w:sz w:val="22"/>
          <w:szCs w:val="22"/>
        </w:rPr>
        <w:t>seis meses an</w:t>
      </w:r>
      <w:r w:rsidR="00CC68A2" w:rsidRPr="00304219">
        <w:rPr>
          <w:rFonts w:ascii="Arial" w:hAnsi="Arial" w:cs="Arial"/>
          <w:sz w:val="22"/>
          <w:szCs w:val="22"/>
        </w:rPr>
        <w:t>t</w:t>
      </w:r>
      <w:r w:rsidR="00C83397" w:rsidRPr="00304219">
        <w:rPr>
          <w:rFonts w:ascii="Arial" w:hAnsi="Arial" w:cs="Arial"/>
          <w:sz w:val="22"/>
          <w:szCs w:val="22"/>
        </w:rPr>
        <w:t xml:space="preserve">es del final </w:t>
      </w:r>
      <w:r w:rsidR="008720DB" w:rsidRPr="00304219">
        <w:rPr>
          <w:rFonts w:ascii="Arial" w:hAnsi="Arial" w:cs="Arial"/>
          <w:sz w:val="22"/>
          <w:szCs w:val="22"/>
        </w:rPr>
        <w:t>de</w:t>
      </w:r>
      <w:r w:rsidR="00A54B20" w:rsidRPr="00304219">
        <w:rPr>
          <w:rFonts w:ascii="Arial" w:hAnsi="Arial" w:cs="Arial"/>
          <w:sz w:val="22"/>
          <w:szCs w:val="22"/>
        </w:rPr>
        <w:t xml:space="preserve"> </w:t>
      </w:r>
      <w:r w:rsidR="008720DB" w:rsidRPr="00304219">
        <w:rPr>
          <w:rFonts w:ascii="Arial" w:hAnsi="Arial" w:cs="Arial"/>
          <w:sz w:val="22"/>
          <w:szCs w:val="22"/>
        </w:rPr>
        <w:t>l</w:t>
      </w:r>
      <w:r w:rsidR="00A54B20" w:rsidRPr="00304219">
        <w:rPr>
          <w:rFonts w:ascii="Arial" w:hAnsi="Arial" w:cs="Arial"/>
          <w:sz w:val="22"/>
          <w:szCs w:val="22"/>
        </w:rPr>
        <w:t xml:space="preserve">a última etapa del programa (se prevé una </w:t>
      </w:r>
      <w:r w:rsidR="00386C93" w:rsidRPr="00304219">
        <w:rPr>
          <w:rFonts w:ascii="Arial" w:hAnsi="Arial" w:cs="Arial"/>
          <w:sz w:val="22"/>
          <w:szCs w:val="22"/>
        </w:rPr>
        <w:t>última operación</w:t>
      </w:r>
      <w:r w:rsidR="00A54B20" w:rsidRPr="00304219">
        <w:rPr>
          <w:rFonts w:ascii="Arial" w:hAnsi="Arial" w:cs="Arial"/>
          <w:sz w:val="22"/>
          <w:szCs w:val="22"/>
        </w:rPr>
        <w:t xml:space="preserve"> adicional a esta</w:t>
      </w:r>
      <w:r w:rsidR="00386C93" w:rsidRPr="00304219">
        <w:rPr>
          <w:rFonts w:ascii="Arial" w:hAnsi="Arial" w:cs="Arial"/>
          <w:sz w:val="22"/>
          <w:szCs w:val="22"/>
        </w:rPr>
        <w:t>)</w:t>
      </w:r>
      <w:r w:rsidR="00A54B20" w:rsidRPr="00304219">
        <w:rPr>
          <w:rFonts w:ascii="Arial" w:hAnsi="Arial" w:cs="Arial"/>
          <w:sz w:val="22"/>
          <w:szCs w:val="22"/>
        </w:rPr>
        <w:t xml:space="preserve">. </w:t>
      </w:r>
      <w:r w:rsidR="008232AA" w:rsidRPr="00304219">
        <w:rPr>
          <w:rFonts w:ascii="Arial" w:hAnsi="Arial" w:cs="Arial"/>
          <w:sz w:val="22"/>
          <w:szCs w:val="22"/>
        </w:rPr>
        <w:t>S</w:t>
      </w:r>
      <w:r w:rsidR="00A54B20" w:rsidRPr="00304219">
        <w:rPr>
          <w:rFonts w:ascii="Arial" w:hAnsi="Arial" w:cs="Arial"/>
          <w:sz w:val="22"/>
          <w:szCs w:val="22"/>
        </w:rPr>
        <w:t>e hará un estudio sobre los parámetros de costo y estimativas de beneficios al final de la presente etapa a fin de verificar si los supuestos adoptados hasta entonces son verdaderos. Para esta evaluación, serán u</w:t>
      </w:r>
      <w:r w:rsidR="005A0843" w:rsidRPr="00304219">
        <w:rPr>
          <w:rFonts w:ascii="Arial" w:hAnsi="Arial" w:cs="Arial"/>
          <w:sz w:val="22"/>
          <w:szCs w:val="22"/>
        </w:rPr>
        <w:t>tilizado</w:t>
      </w:r>
      <w:r w:rsidR="00A54B20" w:rsidRPr="00304219">
        <w:rPr>
          <w:rFonts w:ascii="Arial" w:hAnsi="Arial" w:cs="Arial"/>
          <w:sz w:val="22"/>
          <w:szCs w:val="22"/>
        </w:rPr>
        <w:t>s</w:t>
      </w:r>
      <w:r w:rsidR="005A0843" w:rsidRPr="00304219">
        <w:rPr>
          <w:rFonts w:ascii="Arial" w:hAnsi="Arial" w:cs="Arial"/>
          <w:sz w:val="22"/>
          <w:szCs w:val="22"/>
        </w:rPr>
        <w:t xml:space="preserve"> los mismos parámetros </w:t>
      </w:r>
      <w:r w:rsidR="00A54B20" w:rsidRPr="00304219">
        <w:rPr>
          <w:rFonts w:ascii="Arial" w:hAnsi="Arial" w:cs="Arial"/>
          <w:sz w:val="22"/>
          <w:szCs w:val="22"/>
        </w:rPr>
        <w:t xml:space="preserve">y supuestos metodológicos utilizados </w:t>
      </w:r>
      <w:r w:rsidR="00C33C55" w:rsidRPr="00304219">
        <w:rPr>
          <w:rFonts w:ascii="Arial" w:hAnsi="Arial" w:cs="Arial"/>
          <w:sz w:val="22"/>
          <w:szCs w:val="22"/>
        </w:rPr>
        <w:t xml:space="preserve">en la evaluación ex </w:t>
      </w:r>
      <w:r w:rsidR="00C841C4" w:rsidRPr="00304219">
        <w:rPr>
          <w:rFonts w:ascii="Arial" w:hAnsi="Arial" w:cs="Arial"/>
          <w:sz w:val="22"/>
          <w:szCs w:val="22"/>
        </w:rPr>
        <w:t>ante.</w:t>
      </w:r>
    </w:p>
    <w:p w14:paraId="294856C2" w14:textId="2C55A9AA" w:rsidR="008B4885" w:rsidRPr="00304219" w:rsidRDefault="00C841C4" w:rsidP="00304219">
      <w:pPr>
        <w:pStyle w:val="Paragraph"/>
        <w:rPr>
          <w:rFonts w:ascii="Arial" w:hAnsi="Arial" w:cs="Arial"/>
          <w:sz w:val="22"/>
          <w:szCs w:val="22"/>
        </w:rPr>
      </w:pPr>
      <w:r w:rsidRPr="00304219">
        <w:rPr>
          <w:rFonts w:ascii="Arial" w:hAnsi="Arial" w:cs="Arial"/>
          <w:sz w:val="22"/>
          <w:szCs w:val="22"/>
        </w:rPr>
        <w:t>Serán actualizados los valores de las inversiones</w:t>
      </w:r>
      <w:r w:rsidR="00B625AF" w:rsidRPr="00304219">
        <w:rPr>
          <w:rFonts w:ascii="Arial" w:hAnsi="Arial" w:cs="Arial"/>
          <w:sz w:val="22"/>
          <w:szCs w:val="22"/>
        </w:rPr>
        <w:t xml:space="preserve"> y costos incrementales de operación y mantenimiento</w:t>
      </w:r>
      <w:r w:rsidRPr="00304219">
        <w:rPr>
          <w:rFonts w:ascii="Arial" w:hAnsi="Arial" w:cs="Arial"/>
          <w:sz w:val="22"/>
          <w:szCs w:val="22"/>
        </w:rPr>
        <w:t xml:space="preserve"> y recalculados los beneficios generados</w:t>
      </w:r>
      <w:r w:rsidR="00B625AF" w:rsidRPr="00304219">
        <w:rPr>
          <w:rFonts w:ascii="Arial" w:hAnsi="Arial" w:cs="Arial"/>
          <w:sz w:val="22"/>
          <w:szCs w:val="22"/>
        </w:rPr>
        <w:t xml:space="preserve"> para reflejar lo actualmente incurrido</w:t>
      </w:r>
      <w:r w:rsidRPr="00304219">
        <w:rPr>
          <w:rFonts w:ascii="Arial" w:hAnsi="Arial" w:cs="Arial"/>
          <w:sz w:val="22"/>
          <w:szCs w:val="22"/>
        </w:rPr>
        <w:t xml:space="preserve">: (i) los empleos formales creados y salarios correspondientes pagados a los trabajadores permanentes; (ii) lo ingresos al gobierno por concepto de seguridad social pagada por </w:t>
      </w:r>
      <w:r w:rsidR="00B625AF" w:rsidRPr="00304219">
        <w:rPr>
          <w:rFonts w:ascii="Arial" w:hAnsi="Arial" w:cs="Arial"/>
          <w:sz w:val="22"/>
          <w:szCs w:val="22"/>
        </w:rPr>
        <w:t>las empresas</w:t>
      </w:r>
      <w:r w:rsidRPr="00304219">
        <w:rPr>
          <w:rFonts w:ascii="Arial" w:hAnsi="Arial" w:cs="Arial"/>
          <w:sz w:val="22"/>
          <w:szCs w:val="22"/>
        </w:rPr>
        <w:t>; (iii) las tarifas de servicios pagados al GoH por los inquilinos</w:t>
      </w:r>
      <w:r w:rsidR="00B625AF" w:rsidRPr="00304219">
        <w:rPr>
          <w:rFonts w:ascii="Arial" w:hAnsi="Arial" w:cs="Arial"/>
          <w:sz w:val="22"/>
          <w:szCs w:val="22"/>
        </w:rPr>
        <w:t xml:space="preserve"> extranjeros</w:t>
      </w:r>
      <w:r w:rsidRPr="00304219">
        <w:rPr>
          <w:rFonts w:ascii="Arial" w:hAnsi="Arial" w:cs="Arial"/>
          <w:sz w:val="22"/>
          <w:szCs w:val="22"/>
        </w:rPr>
        <w:t xml:space="preserve"> del PIC; </w:t>
      </w:r>
      <w:r w:rsidR="00B625AF" w:rsidRPr="00304219">
        <w:rPr>
          <w:rFonts w:ascii="Arial" w:hAnsi="Arial" w:cs="Arial"/>
          <w:sz w:val="22"/>
          <w:szCs w:val="22"/>
        </w:rPr>
        <w:t xml:space="preserve">y </w:t>
      </w:r>
      <w:r w:rsidRPr="00304219">
        <w:rPr>
          <w:rFonts w:ascii="Arial" w:hAnsi="Arial" w:cs="Arial"/>
          <w:sz w:val="22"/>
          <w:szCs w:val="22"/>
        </w:rPr>
        <w:t xml:space="preserve">(iv) los alquileres pagados por los inquilinos </w:t>
      </w:r>
      <w:r w:rsidR="00B625AF" w:rsidRPr="00304219">
        <w:rPr>
          <w:rFonts w:ascii="Arial" w:hAnsi="Arial" w:cs="Arial"/>
          <w:sz w:val="22"/>
          <w:szCs w:val="22"/>
        </w:rPr>
        <w:t xml:space="preserve">extranjeros.  </w:t>
      </w:r>
    </w:p>
    <w:p w14:paraId="573507C6" w14:textId="55B2C121" w:rsidR="00C841C4" w:rsidRPr="00304219" w:rsidRDefault="00B65C8E" w:rsidP="00304219">
      <w:pPr>
        <w:pStyle w:val="Paragraph"/>
        <w:rPr>
          <w:rFonts w:ascii="Arial" w:hAnsi="Arial" w:cs="Arial"/>
          <w:sz w:val="22"/>
          <w:szCs w:val="22"/>
        </w:rPr>
      </w:pPr>
      <w:r w:rsidRPr="00304219">
        <w:rPr>
          <w:rFonts w:ascii="Arial" w:hAnsi="Arial" w:cs="Arial"/>
          <w:sz w:val="22"/>
          <w:szCs w:val="22"/>
        </w:rPr>
        <w:t>L</w:t>
      </w:r>
      <w:r w:rsidR="00C841C4" w:rsidRPr="00304219">
        <w:rPr>
          <w:rFonts w:ascii="Arial" w:hAnsi="Arial" w:cs="Arial"/>
          <w:sz w:val="22"/>
          <w:szCs w:val="22"/>
        </w:rPr>
        <w:t>os supuestos metodológicos que fueron aplicados a la evaluación ex ante</w:t>
      </w:r>
      <w:r w:rsidR="00691A56" w:rsidRPr="00304219">
        <w:rPr>
          <w:rFonts w:ascii="Arial" w:hAnsi="Arial" w:cs="Arial"/>
          <w:sz w:val="22"/>
          <w:szCs w:val="22"/>
        </w:rPr>
        <w:t xml:space="preserve"> son</w:t>
      </w:r>
      <w:r w:rsidR="00C841C4" w:rsidRPr="00304219">
        <w:rPr>
          <w:rFonts w:ascii="Arial" w:hAnsi="Arial" w:cs="Arial"/>
          <w:sz w:val="22"/>
          <w:szCs w:val="22"/>
        </w:rPr>
        <w:t xml:space="preserve">: </w:t>
      </w:r>
    </w:p>
    <w:p w14:paraId="287812B8" w14:textId="730A437B" w:rsidR="00333DC0" w:rsidRPr="00304219" w:rsidRDefault="00561F53" w:rsidP="00D549DF">
      <w:pPr>
        <w:ind w:left="720" w:hanging="720"/>
        <w:jc w:val="center"/>
        <w:rPr>
          <w:rFonts w:ascii="Arial" w:hAnsi="Arial" w:cs="Arial"/>
          <w:b/>
          <w:bCs/>
          <w:sz w:val="22"/>
          <w:szCs w:val="22"/>
        </w:rPr>
      </w:pPr>
      <w:r w:rsidRPr="00304219">
        <w:rPr>
          <w:rFonts w:ascii="Arial" w:hAnsi="Arial" w:cs="Arial"/>
          <w:b/>
          <w:bCs/>
          <w:sz w:val="22"/>
          <w:szCs w:val="22"/>
        </w:rPr>
        <w:t>Tabla 5</w:t>
      </w:r>
      <w:r w:rsidR="000F32FA" w:rsidRPr="00304219">
        <w:rPr>
          <w:rFonts w:ascii="Arial" w:hAnsi="Arial" w:cs="Arial"/>
          <w:b/>
          <w:bCs/>
          <w:sz w:val="22"/>
          <w:szCs w:val="22"/>
        </w:rPr>
        <w:t>. Parámetros Utilizados en la Evaluación Económica Ex Ante</w:t>
      </w:r>
    </w:p>
    <w:tbl>
      <w:tblPr>
        <w:tblW w:w="8752" w:type="dxa"/>
        <w:jc w:val="righ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328"/>
        <w:gridCol w:w="6574"/>
        <w:gridCol w:w="222"/>
        <w:gridCol w:w="14"/>
        <w:gridCol w:w="208"/>
        <w:gridCol w:w="14"/>
        <w:gridCol w:w="1392"/>
      </w:tblGrid>
      <w:tr w:rsidR="00333DC0" w:rsidRPr="00D549DF" w14:paraId="188F2220" w14:textId="77777777" w:rsidTr="0005761E">
        <w:trPr>
          <w:trHeight w:val="240"/>
          <w:jc w:val="right"/>
        </w:trPr>
        <w:tc>
          <w:tcPr>
            <w:tcW w:w="328" w:type="dxa"/>
            <w:shd w:val="clear" w:color="000000" w:fill="A6A6A6"/>
            <w:noWrap/>
            <w:vAlign w:val="bottom"/>
            <w:hideMark/>
          </w:tcPr>
          <w:p w14:paraId="2172E3E1" w14:textId="77777777" w:rsidR="00333DC0" w:rsidRPr="00D549DF" w:rsidRDefault="00333DC0" w:rsidP="00333DC0">
            <w:pPr>
              <w:jc w:val="right"/>
              <w:rPr>
                <w:rFonts w:ascii="Arial" w:eastAsia="Times New Roman" w:hAnsi="Arial" w:cs="Arial"/>
                <w:b/>
                <w:bCs/>
                <w:color w:val="000000"/>
                <w:sz w:val="20"/>
              </w:rPr>
            </w:pPr>
            <w:r w:rsidRPr="00D549DF">
              <w:rPr>
                <w:rFonts w:ascii="Arial" w:eastAsia="Times New Roman" w:hAnsi="Arial" w:cs="Arial"/>
                <w:b/>
                <w:bCs/>
                <w:color w:val="000000"/>
                <w:sz w:val="20"/>
              </w:rPr>
              <w:t>1</w:t>
            </w:r>
          </w:p>
        </w:tc>
        <w:tc>
          <w:tcPr>
            <w:tcW w:w="7018" w:type="dxa"/>
            <w:gridSpan w:val="4"/>
            <w:shd w:val="clear" w:color="000000" w:fill="A6A6A6"/>
            <w:noWrap/>
            <w:vAlign w:val="bottom"/>
            <w:hideMark/>
          </w:tcPr>
          <w:p w14:paraId="4F9CE9B5" w14:textId="77777777" w:rsidR="00333DC0" w:rsidRPr="00D549DF" w:rsidRDefault="00333DC0" w:rsidP="00333DC0">
            <w:pPr>
              <w:rPr>
                <w:rFonts w:ascii="Arial" w:eastAsia="Times New Roman" w:hAnsi="Arial" w:cs="Arial"/>
                <w:b/>
                <w:bCs/>
                <w:color w:val="000000"/>
                <w:sz w:val="20"/>
              </w:rPr>
            </w:pPr>
            <w:r w:rsidRPr="00D549DF">
              <w:rPr>
                <w:rFonts w:ascii="Arial" w:eastAsia="Times New Roman" w:hAnsi="Arial" w:cs="Arial"/>
                <w:b/>
                <w:bCs/>
                <w:color w:val="000000"/>
                <w:sz w:val="20"/>
              </w:rPr>
              <w:t>Rental assumptions</w:t>
            </w:r>
          </w:p>
        </w:tc>
        <w:tc>
          <w:tcPr>
            <w:tcW w:w="1406" w:type="dxa"/>
            <w:gridSpan w:val="2"/>
            <w:shd w:val="clear" w:color="000000" w:fill="A6A6A6"/>
            <w:noWrap/>
            <w:vAlign w:val="bottom"/>
            <w:hideMark/>
          </w:tcPr>
          <w:p w14:paraId="51BE9CB8" w14:textId="77777777" w:rsidR="00333DC0" w:rsidRPr="00D549DF" w:rsidRDefault="00333DC0" w:rsidP="00333DC0">
            <w:pPr>
              <w:rPr>
                <w:rFonts w:ascii="Arial" w:eastAsia="Times New Roman" w:hAnsi="Arial" w:cs="Arial"/>
                <w:b/>
                <w:bCs/>
                <w:color w:val="000000"/>
                <w:sz w:val="20"/>
              </w:rPr>
            </w:pPr>
            <w:r w:rsidRPr="00D549DF">
              <w:rPr>
                <w:rFonts w:ascii="Arial" w:eastAsia="Times New Roman" w:hAnsi="Arial" w:cs="Arial"/>
                <w:b/>
                <w:bCs/>
                <w:color w:val="000000"/>
                <w:sz w:val="20"/>
              </w:rPr>
              <w:t> </w:t>
            </w:r>
          </w:p>
        </w:tc>
      </w:tr>
      <w:tr w:rsidR="00333DC0" w:rsidRPr="00D549DF" w14:paraId="589FDF10" w14:textId="77777777" w:rsidTr="0005761E">
        <w:trPr>
          <w:trHeight w:val="240"/>
          <w:jc w:val="right"/>
        </w:trPr>
        <w:tc>
          <w:tcPr>
            <w:tcW w:w="328" w:type="dxa"/>
            <w:shd w:val="clear" w:color="auto" w:fill="auto"/>
            <w:noWrap/>
            <w:vAlign w:val="bottom"/>
            <w:hideMark/>
          </w:tcPr>
          <w:p w14:paraId="461CF2F3" w14:textId="77777777" w:rsidR="00333DC0" w:rsidRPr="00D549DF" w:rsidRDefault="00333DC0" w:rsidP="00333DC0">
            <w:pPr>
              <w:rPr>
                <w:rFonts w:ascii="Arial" w:eastAsia="Times New Roman" w:hAnsi="Arial" w:cs="Arial"/>
                <w:color w:val="000000"/>
                <w:sz w:val="20"/>
              </w:rPr>
            </w:pPr>
          </w:p>
        </w:tc>
        <w:tc>
          <w:tcPr>
            <w:tcW w:w="7018" w:type="dxa"/>
            <w:gridSpan w:val="4"/>
            <w:shd w:val="clear" w:color="auto" w:fill="auto"/>
            <w:noWrap/>
            <w:vAlign w:val="bottom"/>
            <w:hideMark/>
          </w:tcPr>
          <w:p w14:paraId="5FA13F80" w14:textId="77777777" w:rsidR="00333DC0" w:rsidRPr="00D549DF" w:rsidRDefault="00333DC0" w:rsidP="00333DC0">
            <w:pPr>
              <w:rPr>
                <w:rFonts w:ascii="Arial" w:eastAsia="Times New Roman" w:hAnsi="Arial" w:cs="Arial"/>
                <w:color w:val="000000"/>
                <w:sz w:val="20"/>
              </w:rPr>
            </w:pPr>
            <w:r w:rsidRPr="00D549DF">
              <w:rPr>
                <w:rFonts w:ascii="Arial" w:eastAsia="Times New Roman" w:hAnsi="Arial" w:cs="Arial"/>
                <w:color w:val="000000"/>
                <w:sz w:val="20"/>
              </w:rPr>
              <w:t>Rent indexation</w:t>
            </w:r>
          </w:p>
        </w:tc>
        <w:tc>
          <w:tcPr>
            <w:tcW w:w="1406" w:type="dxa"/>
            <w:gridSpan w:val="2"/>
            <w:shd w:val="clear" w:color="auto" w:fill="auto"/>
            <w:noWrap/>
            <w:vAlign w:val="bottom"/>
            <w:hideMark/>
          </w:tcPr>
          <w:p w14:paraId="480DE891" w14:textId="77777777" w:rsidR="00333DC0" w:rsidRPr="00D549DF" w:rsidRDefault="00333DC0" w:rsidP="00333DC0">
            <w:pPr>
              <w:jc w:val="right"/>
              <w:rPr>
                <w:rFonts w:ascii="Arial" w:eastAsia="Times New Roman" w:hAnsi="Arial" w:cs="Arial"/>
                <w:color w:val="000000"/>
                <w:sz w:val="20"/>
              </w:rPr>
            </w:pPr>
            <w:r w:rsidRPr="00D549DF">
              <w:rPr>
                <w:rFonts w:ascii="Arial" w:eastAsia="Times New Roman" w:hAnsi="Arial" w:cs="Arial"/>
                <w:color w:val="000000"/>
                <w:sz w:val="20"/>
              </w:rPr>
              <w:t>0%</w:t>
            </w:r>
          </w:p>
        </w:tc>
      </w:tr>
      <w:tr w:rsidR="00333DC0" w:rsidRPr="00D549DF" w14:paraId="606D0D02" w14:textId="77777777" w:rsidTr="0005761E">
        <w:trPr>
          <w:trHeight w:val="240"/>
          <w:jc w:val="right"/>
        </w:trPr>
        <w:tc>
          <w:tcPr>
            <w:tcW w:w="328" w:type="dxa"/>
            <w:shd w:val="clear" w:color="auto" w:fill="auto"/>
            <w:noWrap/>
            <w:vAlign w:val="bottom"/>
            <w:hideMark/>
          </w:tcPr>
          <w:p w14:paraId="083D413B" w14:textId="77777777" w:rsidR="00333DC0" w:rsidRPr="00D549DF" w:rsidRDefault="00333DC0" w:rsidP="00333DC0">
            <w:pPr>
              <w:rPr>
                <w:rFonts w:ascii="Arial" w:eastAsia="Times New Roman" w:hAnsi="Arial" w:cs="Arial"/>
                <w:color w:val="000000"/>
                <w:sz w:val="20"/>
              </w:rPr>
            </w:pPr>
          </w:p>
        </w:tc>
        <w:tc>
          <w:tcPr>
            <w:tcW w:w="7018" w:type="dxa"/>
            <w:gridSpan w:val="4"/>
            <w:shd w:val="clear" w:color="auto" w:fill="auto"/>
            <w:noWrap/>
            <w:vAlign w:val="bottom"/>
            <w:hideMark/>
          </w:tcPr>
          <w:p w14:paraId="30FC34CC" w14:textId="77777777" w:rsidR="00333DC0" w:rsidRPr="00D549DF" w:rsidRDefault="00333DC0" w:rsidP="00333DC0">
            <w:pPr>
              <w:rPr>
                <w:rFonts w:ascii="Arial" w:eastAsia="Times New Roman" w:hAnsi="Arial" w:cs="Arial"/>
                <w:color w:val="000000"/>
                <w:sz w:val="20"/>
              </w:rPr>
            </w:pPr>
            <w:r w:rsidRPr="00D549DF">
              <w:rPr>
                <w:rFonts w:ascii="Arial" w:eastAsia="Times New Roman" w:hAnsi="Arial" w:cs="Arial"/>
                <w:color w:val="000000"/>
                <w:sz w:val="20"/>
              </w:rPr>
              <w:t>Frequency of rent adjustment</w:t>
            </w:r>
          </w:p>
        </w:tc>
        <w:tc>
          <w:tcPr>
            <w:tcW w:w="1406" w:type="dxa"/>
            <w:gridSpan w:val="2"/>
            <w:shd w:val="clear" w:color="auto" w:fill="auto"/>
            <w:noWrap/>
            <w:vAlign w:val="bottom"/>
            <w:hideMark/>
          </w:tcPr>
          <w:p w14:paraId="56825112" w14:textId="77777777" w:rsidR="00333DC0" w:rsidRPr="00D549DF" w:rsidRDefault="00333DC0" w:rsidP="00333DC0">
            <w:pPr>
              <w:jc w:val="right"/>
              <w:rPr>
                <w:rFonts w:ascii="Arial" w:eastAsia="Times New Roman" w:hAnsi="Arial" w:cs="Arial"/>
                <w:color w:val="000000"/>
                <w:sz w:val="20"/>
              </w:rPr>
            </w:pPr>
            <w:r w:rsidRPr="00D549DF">
              <w:rPr>
                <w:rFonts w:ascii="Arial" w:eastAsia="Times New Roman" w:hAnsi="Arial" w:cs="Arial"/>
                <w:color w:val="000000"/>
                <w:sz w:val="20"/>
              </w:rPr>
              <w:t>3</w:t>
            </w:r>
          </w:p>
        </w:tc>
      </w:tr>
      <w:tr w:rsidR="00333DC0" w:rsidRPr="00D549DF" w14:paraId="6EDE5890" w14:textId="77777777" w:rsidTr="0005761E">
        <w:trPr>
          <w:trHeight w:val="240"/>
          <w:jc w:val="right"/>
        </w:trPr>
        <w:tc>
          <w:tcPr>
            <w:tcW w:w="328" w:type="dxa"/>
            <w:shd w:val="clear" w:color="auto" w:fill="auto"/>
            <w:noWrap/>
            <w:vAlign w:val="bottom"/>
            <w:hideMark/>
          </w:tcPr>
          <w:p w14:paraId="5298EE07" w14:textId="77777777" w:rsidR="00333DC0" w:rsidRPr="00D549DF" w:rsidRDefault="00333DC0" w:rsidP="00333DC0">
            <w:pPr>
              <w:rPr>
                <w:rFonts w:ascii="Arial" w:eastAsia="Times New Roman" w:hAnsi="Arial" w:cs="Arial"/>
                <w:color w:val="000000"/>
                <w:sz w:val="20"/>
              </w:rPr>
            </w:pPr>
          </w:p>
        </w:tc>
        <w:tc>
          <w:tcPr>
            <w:tcW w:w="7018" w:type="dxa"/>
            <w:gridSpan w:val="4"/>
            <w:shd w:val="clear" w:color="auto" w:fill="auto"/>
            <w:noWrap/>
            <w:vAlign w:val="bottom"/>
            <w:hideMark/>
          </w:tcPr>
          <w:p w14:paraId="4FF05663" w14:textId="77777777" w:rsidR="00333DC0" w:rsidRPr="00D549DF" w:rsidRDefault="00333DC0" w:rsidP="00333DC0">
            <w:pPr>
              <w:rPr>
                <w:rFonts w:ascii="Arial" w:eastAsia="Times New Roman" w:hAnsi="Arial" w:cs="Arial"/>
                <w:color w:val="000000"/>
                <w:sz w:val="20"/>
              </w:rPr>
            </w:pPr>
            <w:r w:rsidRPr="00D549DF">
              <w:rPr>
                <w:rFonts w:ascii="Arial" w:eastAsia="Times New Roman" w:hAnsi="Arial" w:cs="Arial"/>
                <w:color w:val="000000"/>
                <w:sz w:val="20"/>
              </w:rPr>
              <w:t>Rental income reduction</w:t>
            </w:r>
          </w:p>
        </w:tc>
        <w:tc>
          <w:tcPr>
            <w:tcW w:w="1406" w:type="dxa"/>
            <w:gridSpan w:val="2"/>
            <w:shd w:val="clear" w:color="auto" w:fill="auto"/>
            <w:noWrap/>
            <w:vAlign w:val="bottom"/>
            <w:hideMark/>
          </w:tcPr>
          <w:p w14:paraId="522EF79E" w14:textId="77777777" w:rsidR="00333DC0" w:rsidRPr="00D549DF" w:rsidRDefault="00333DC0" w:rsidP="00333DC0">
            <w:pPr>
              <w:jc w:val="right"/>
              <w:rPr>
                <w:rFonts w:ascii="Arial" w:eastAsia="Times New Roman" w:hAnsi="Arial" w:cs="Arial"/>
                <w:color w:val="000000"/>
                <w:sz w:val="20"/>
              </w:rPr>
            </w:pPr>
            <w:r w:rsidRPr="00D549DF">
              <w:rPr>
                <w:rFonts w:ascii="Arial" w:eastAsia="Times New Roman" w:hAnsi="Arial" w:cs="Arial"/>
                <w:color w:val="000000"/>
                <w:sz w:val="20"/>
              </w:rPr>
              <w:t>0%</w:t>
            </w:r>
          </w:p>
        </w:tc>
      </w:tr>
      <w:tr w:rsidR="00A54B20" w:rsidRPr="00D549DF" w14:paraId="3C13BF9D" w14:textId="77777777" w:rsidTr="0005761E">
        <w:trPr>
          <w:trHeight w:val="240"/>
          <w:jc w:val="right"/>
        </w:trPr>
        <w:tc>
          <w:tcPr>
            <w:tcW w:w="328" w:type="dxa"/>
            <w:shd w:val="clear" w:color="auto" w:fill="auto"/>
            <w:noWrap/>
            <w:vAlign w:val="bottom"/>
            <w:hideMark/>
          </w:tcPr>
          <w:p w14:paraId="62F8894B" w14:textId="77777777" w:rsidR="00A54B20" w:rsidRPr="00D549DF" w:rsidRDefault="00A54B20" w:rsidP="00333DC0">
            <w:pPr>
              <w:rPr>
                <w:rFonts w:ascii="Arial" w:eastAsia="Times New Roman" w:hAnsi="Arial" w:cs="Arial"/>
                <w:color w:val="000000"/>
                <w:sz w:val="20"/>
              </w:rPr>
            </w:pPr>
          </w:p>
        </w:tc>
        <w:tc>
          <w:tcPr>
            <w:tcW w:w="6574" w:type="dxa"/>
            <w:shd w:val="clear" w:color="auto" w:fill="auto"/>
            <w:noWrap/>
            <w:vAlign w:val="bottom"/>
            <w:hideMark/>
          </w:tcPr>
          <w:p w14:paraId="73B7DB2F"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 xml:space="preserve">New tenants replacing SAE-A </w:t>
            </w:r>
          </w:p>
          <w:p w14:paraId="6F608B37" w14:textId="77777777" w:rsidR="001E1E28" w:rsidRPr="00D549DF" w:rsidRDefault="00A54B20" w:rsidP="00D92444">
            <w:pPr>
              <w:ind w:right="-1542"/>
              <w:rPr>
                <w:rFonts w:ascii="Arial" w:eastAsia="Times New Roman" w:hAnsi="Arial" w:cs="Arial"/>
                <w:color w:val="000000"/>
                <w:sz w:val="20"/>
                <w:lang w:val="en-US"/>
              </w:rPr>
            </w:pPr>
            <w:r w:rsidRPr="00D549DF">
              <w:rPr>
                <w:rFonts w:ascii="Arial" w:eastAsia="Times New Roman" w:hAnsi="Arial" w:cs="Arial"/>
                <w:color w:val="000000"/>
                <w:sz w:val="20"/>
                <w:lang w:val="en-US"/>
              </w:rPr>
              <w:t xml:space="preserve">New tenant monthly rent    </w:t>
            </w:r>
            <w:r w:rsidR="001E1E28" w:rsidRPr="00D549DF">
              <w:rPr>
                <w:rFonts w:ascii="Arial" w:eastAsia="Times New Roman" w:hAnsi="Arial" w:cs="Arial"/>
                <w:color w:val="000000"/>
                <w:sz w:val="20"/>
                <w:lang w:val="en-US"/>
              </w:rPr>
              <w:t xml:space="preserve">                                                                      </w:t>
            </w:r>
            <w:r w:rsidRPr="00D549DF">
              <w:rPr>
                <w:rFonts w:ascii="Arial" w:eastAsia="Times New Roman" w:hAnsi="Arial" w:cs="Arial"/>
                <w:color w:val="000000"/>
                <w:sz w:val="20"/>
                <w:lang w:val="en-US"/>
              </w:rPr>
              <w:t>2.5</w:t>
            </w:r>
          </w:p>
          <w:p w14:paraId="65C9A19B" w14:textId="77777777" w:rsidR="00A54B20" w:rsidRPr="00D549DF" w:rsidRDefault="00A54B20" w:rsidP="00D92444">
            <w:pPr>
              <w:ind w:right="-1542"/>
              <w:rPr>
                <w:rFonts w:ascii="Arial" w:eastAsia="Times New Roman" w:hAnsi="Arial" w:cs="Arial"/>
                <w:color w:val="000000"/>
                <w:sz w:val="20"/>
                <w:lang w:val="en-US"/>
              </w:rPr>
            </w:pPr>
            <w:r w:rsidRPr="00D549DF">
              <w:rPr>
                <w:rFonts w:ascii="Arial" w:eastAsia="Times New Roman" w:hAnsi="Arial" w:cs="Arial"/>
                <w:color w:val="000000"/>
                <w:sz w:val="20"/>
                <w:lang w:val="en-US"/>
              </w:rPr>
              <w:t xml:space="preserve">New tenant % of rented surface                      </w:t>
            </w:r>
            <w:r w:rsidR="001E1E28" w:rsidRPr="00D549DF">
              <w:rPr>
                <w:rFonts w:ascii="Arial" w:eastAsia="Times New Roman" w:hAnsi="Arial" w:cs="Arial"/>
                <w:color w:val="000000"/>
                <w:sz w:val="20"/>
                <w:lang w:val="en-US"/>
              </w:rPr>
              <w:t xml:space="preserve">                                       </w:t>
            </w:r>
            <w:r w:rsidRPr="00D549DF">
              <w:rPr>
                <w:rFonts w:ascii="Arial" w:eastAsia="Times New Roman" w:hAnsi="Arial" w:cs="Arial"/>
                <w:color w:val="000000"/>
                <w:sz w:val="20"/>
                <w:lang w:val="en-US"/>
              </w:rPr>
              <w:t>50%</w:t>
            </w:r>
          </w:p>
          <w:p w14:paraId="0349B56B"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 xml:space="preserve">New tenant % of workers hired                       </w:t>
            </w:r>
            <w:r w:rsidR="001E1E28" w:rsidRPr="00D549DF">
              <w:rPr>
                <w:rFonts w:ascii="Arial" w:eastAsia="Times New Roman" w:hAnsi="Arial" w:cs="Arial"/>
                <w:color w:val="000000"/>
                <w:sz w:val="20"/>
                <w:lang w:val="en-US"/>
              </w:rPr>
              <w:t xml:space="preserve">                                       </w:t>
            </w:r>
            <w:r w:rsidRPr="00D549DF">
              <w:rPr>
                <w:rFonts w:ascii="Arial" w:eastAsia="Times New Roman" w:hAnsi="Arial" w:cs="Arial"/>
                <w:color w:val="000000"/>
                <w:sz w:val="20"/>
                <w:lang w:val="en-US"/>
              </w:rPr>
              <w:t>50%</w:t>
            </w:r>
          </w:p>
        </w:tc>
        <w:tc>
          <w:tcPr>
            <w:tcW w:w="236" w:type="dxa"/>
            <w:gridSpan w:val="2"/>
            <w:shd w:val="clear" w:color="auto" w:fill="auto"/>
            <w:noWrap/>
            <w:vAlign w:val="bottom"/>
            <w:hideMark/>
          </w:tcPr>
          <w:p w14:paraId="3DC171E2" w14:textId="77777777" w:rsidR="00A54B20" w:rsidRPr="00D549DF" w:rsidRDefault="00A54B20" w:rsidP="00333DC0">
            <w:pPr>
              <w:rPr>
                <w:rFonts w:ascii="Arial" w:eastAsia="Times New Roman" w:hAnsi="Arial" w:cs="Arial"/>
                <w:b/>
                <w:bCs/>
                <w:color w:val="000000"/>
                <w:sz w:val="20"/>
                <w:u w:val="single"/>
                <w:lang w:val="en-US"/>
              </w:rPr>
            </w:pPr>
          </w:p>
        </w:tc>
        <w:tc>
          <w:tcPr>
            <w:tcW w:w="222" w:type="dxa"/>
            <w:gridSpan w:val="2"/>
            <w:shd w:val="clear" w:color="auto" w:fill="auto"/>
            <w:noWrap/>
            <w:vAlign w:val="bottom"/>
            <w:hideMark/>
          </w:tcPr>
          <w:p w14:paraId="413AC4CB" w14:textId="77777777" w:rsidR="00A54B20" w:rsidRPr="00D549DF" w:rsidRDefault="00A54B20" w:rsidP="00333DC0">
            <w:pPr>
              <w:rPr>
                <w:rFonts w:ascii="Arial" w:eastAsia="Times New Roman" w:hAnsi="Arial" w:cs="Arial"/>
                <w:color w:val="000000"/>
                <w:sz w:val="20"/>
                <w:lang w:val="en-US"/>
              </w:rPr>
            </w:pPr>
          </w:p>
        </w:tc>
        <w:tc>
          <w:tcPr>
            <w:tcW w:w="1392" w:type="dxa"/>
            <w:shd w:val="clear" w:color="auto" w:fill="auto"/>
            <w:noWrap/>
            <w:vAlign w:val="bottom"/>
          </w:tcPr>
          <w:p w14:paraId="069C7A7D" w14:textId="77777777" w:rsidR="00A54B20" w:rsidRPr="00D549DF" w:rsidRDefault="00A54B20" w:rsidP="00333DC0">
            <w:pPr>
              <w:rPr>
                <w:rFonts w:ascii="Arial" w:eastAsia="Times New Roman" w:hAnsi="Arial" w:cs="Arial"/>
                <w:color w:val="000000"/>
                <w:sz w:val="20"/>
                <w:lang w:val="en-US"/>
              </w:rPr>
            </w:pPr>
          </w:p>
        </w:tc>
      </w:tr>
      <w:tr w:rsidR="00A54B20" w:rsidRPr="00D549DF" w14:paraId="0441CFC1" w14:textId="77777777" w:rsidTr="0005761E">
        <w:trPr>
          <w:trHeight w:val="240"/>
          <w:jc w:val="right"/>
        </w:trPr>
        <w:tc>
          <w:tcPr>
            <w:tcW w:w="328" w:type="dxa"/>
            <w:shd w:val="clear" w:color="000000" w:fill="A6A6A6"/>
            <w:noWrap/>
            <w:vAlign w:val="bottom"/>
            <w:hideMark/>
          </w:tcPr>
          <w:p w14:paraId="5CAAB855" w14:textId="77777777" w:rsidR="00A54B20" w:rsidRPr="00D549DF" w:rsidRDefault="00A54B20" w:rsidP="00333DC0">
            <w:pPr>
              <w:jc w:val="right"/>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2</w:t>
            </w:r>
          </w:p>
        </w:tc>
        <w:tc>
          <w:tcPr>
            <w:tcW w:w="7018" w:type="dxa"/>
            <w:gridSpan w:val="4"/>
            <w:shd w:val="clear" w:color="000000" w:fill="A6A6A6"/>
            <w:noWrap/>
            <w:vAlign w:val="bottom"/>
            <w:hideMark/>
          </w:tcPr>
          <w:p w14:paraId="1C6E8DF7" w14:textId="77777777" w:rsidR="00A54B20" w:rsidRPr="00D549DF" w:rsidRDefault="00A54B20" w:rsidP="00333DC0">
            <w:pPr>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Utilities assumptions</w:t>
            </w:r>
          </w:p>
        </w:tc>
        <w:tc>
          <w:tcPr>
            <w:tcW w:w="1406" w:type="dxa"/>
            <w:gridSpan w:val="2"/>
            <w:shd w:val="clear" w:color="000000" w:fill="A6A6A6"/>
            <w:noWrap/>
            <w:vAlign w:val="bottom"/>
            <w:hideMark/>
          </w:tcPr>
          <w:p w14:paraId="58490496" w14:textId="77777777" w:rsidR="00A54B20" w:rsidRPr="00D549DF" w:rsidRDefault="00A54B20" w:rsidP="00333DC0">
            <w:pPr>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 </w:t>
            </w:r>
          </w:p>
        </w:tc>
      </w:tr>
      <w:tr w:rsidR="00A54B20" w:rsidRPr="00D549DF" w14:paraId="5BB2B76F" w14:textId="77777777" w:rsidTr="0005761E">
        <w:trPr>
          <w:trHeight w:val="240"/>
          <w:jc w:val="right"/>
        </w:trPr>
        <w:tc>
          <w:tcPr>
            <w:tcW w:w="328" w:type="dxa"/>
            <w:shd w:val="clear" w:color="auto" w:fill="auto"/>
            <w:noWrap/>
            <w:vAlign w:val="bottom"/>
            <w:hideMark/>
          </w:tcPr>
          <w:p w14:paraId="6BCBC9BF" w14:textId="77777777" w:rsidR="00A54B20" w:rsidRPr="00D549DF" w:rsidRDefault="00A54B20" w:rsidP="00333DC0">
            <w:pPr>
              <w:rPr>
                <w:rFonts w:ascii="Arial" w:eastAsia="Times New Roman" w:hAnsi="Arial" w:cs="Arial"/>
                <w:color w:val="000000"/>
                <w:sz w:val="20"/>
                <w:lang w:val="en-US"/>
              </w:rPr>
            </w:pPr>
          </w:p>
        </w:tc>
        <w:tc>
          <w:tcPr>
            <w:tcW w:w="6796" w:type="dxa"/>
            <w:gridSpan w:val="2"/>
            <w:shd w:val="clear" w:color="auto" w:fill="auto"/>
            <w:noWrap/>
            <w:vAlign w:val="bottom"/>
            <w:hideMark/>
          </w:tcPr>
          <w:p w14:paraId="04078BCB" w14:textId="77777777" w:rsidR="00A54B20" w:rsidRPr="00D549DF" w:rsidRDefault="00A54B20" w:rsidP="00333DC0">
            <w:pPr>
              <w:rPr>
                <w:rFonts w:ascii="Arial" w:eastAsia="Times New Roman" w:hAnsi="Arial" w:cs="Arial"/>
                <w:i/>
                <w:iCs/>
                <w:color w:val="000000"/>
                <w:sz w:val="20"/>
                <w:lang w:val="en-US"/>
              </w:rPr>
            </w:pPr>
            <w:r w:rsidRPr="00D549DF">
              <w:rPr>
                <w:rFonts w:ascii="Arial" w:eastAsia="Times New Roman" w:hAnsi="Arial" w:cs="Arial"/>
                <w:i/>
                <w:iCs/>
                <w:color w:val="000000"/>
                <w:sz w:val="20"/>
                <w:lang w:val="en-US"/>
              </w:rPr>
              <w:t>Water</w:t>
            </w:r>
          </w:p>
        </w:tc>
        <w:tc>
          <w:tcPr>
            <w:tcW w:w="222" w:type="dxa"/>
            <w:gridSpan w:val="2"/>
            <w:shd w:val="clear" w:color="auto" w:fill="auto"/>
            <w:noWrap/>
            <w:vAlign w:val="bottom"/>
            <w:hideMark/>
          </w:tcPr>
          <w:p w14:paraId="308A9156" w14:textId="77777777" w:rsidR="00A54B20" w:rsidRPr="00D549DF" w:rsidRDefault="00A54B20" w:rsidP="00333DC0">
            <w:pPr>
              <w:rPr>
                <w:rFonts w:ascii="Arial" w:eastAsia="Times New Roman" w:hAnsi="Arial" w:cs="Arial"/>
                <w:color w:val="000000"/>
                <w:sz w:val="20"/>
                <w:lang w:val="en-US"/>
              </w:rPr>
            </w:pPr>
          </w:p>
        </w:tc>
        <w:tc>
          <w:tcPr>
            <w:tcW w:w="1406" w:type="dxa"/>
            <w:gridSpan w:val="2"/>
            <w:shd w:val="clear" w:color="auto" w:fill="auto"/>
            <w:noWrap/>
            <w:vAlign w:val="bottom"/>
            <w:hideMark/>
          </w:tcPr>
          <w:p w14:paraId="4EF6589F" w14:textId="77777777" w:rsidR="00A54B20" w:rsidRPr="00D549DF" w:rsidRDefault="00A54B20" w:rsidP="00333DC0">
            <w:pPr>
              <w:rPr>
                <w:rFonts w:ascii="Arial" w:eastAsia="Times New Roman" w:hAnsi="Arial" w:cs="Arial"/>
                <w:color w:val="000000"/>
                <w:sz w:val="20"/>
                <w:lang w:val="en-US"/>
              </w:rPr>
            </w:pPr>
          </w:p>
        </w:tc>
      </w:tr>
      <w:tr w:rsidR="00A54B20" w:rsidRPr="00D549DF" w14:paraId="7799911D" w14:textId="77777777" w:rsidTr="0005761E">
        <w:trPr>
          <w:trHeight w:val="240"/>
          <w:jc w:val="right"/>
        </w:trPr>
        <w:tc>
          <w:tcPr>
            <w:tcW w:w="328" w:type="dxa"/>
            <w:shd w:val="clear" w:color="auto" w:fill="auto"/>
            <w:noWrap/>
            <w:vAlign w:val="bottom"/>
            <w:hideMark/>
          </w:tcPr>
          <w:p w14:paraId="7233F7D6"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4EB7B6C4"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Waste water charges</w:t>
            </w:r>
          </w:p>
        </w:tc>
        <w:tc>
          <w:tcPr>
            <w:tcW w:w="1406" w:type="dxa"/>
            <w:gridSpan w:val="2"/>
            <w:shd w:val="clear" w:color="auto" w:fill="auto"/>
            <w:noWrap/>
            <w:vAlign w:val="bottom"/>
            <w:hideMark/>
          </w:tcPr>
          <w:p w14:paraId="78EB57F0" w14:textId="77777777" w:rsidR="00A54B20" w:rsidRPr="00D549DF" w:rsidRDefault="00A54B20" w:rsidP="00333DC0">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0.17</w:t>
            </w:r>
          </w:p>
        </w:tc>
      </w:tr>
      <w:tr w:rsidR="00A54B20" w:rsidRPr="00D549DF" w14:paraId="714BCB82" w14:textId="77777777" w:rsidTr="0005761E">
        <w:trPr>
          <w:trHeight w:val="240"/>
          <w:jc w:val="right"/>
        </w:trPr>
        <w:tc>
          <w:tcPr>
            <w:tcW w:w="328" w:type="dxa"/>
            <w:shd w:val="clear" w:color="auto" w:fill="auto"/>
            <w:noWrap/>
            <w:vAlign w:val="bottom"/>
            <w:hideMark/>
          </w:tcPr>
          <w:p w14:paraId="5960FA59"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78710910"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Percentage of waste water charged back to clients</w:t>
            </w:r>
          </w:p>
        </w:tc>
        <w:tc>
          <w:tcPr>
            <w:tcW w:w="1406" w:type="dxa"/>
            <w:gridSpan w:val="2"/>
            <w:shd w:val="clear" w:color="auto" w:fill="auto"/>
            <w:noWrap/>
            <w:vAlign w:val="bottom"/>
            <w:hideMark/>
          </w:tcPr>
          <w:p w14:paraId="237597C3" w14:textId="77777777" w:rsidR="00A54B20" w:rsidRPr="00D549DF" w:rsidRDefault="00A54B20" w:rsidP="00333DC0">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100%</w:t>
            </w:r>
          </w:p>
        </w:tc>
      </w:tr>
      <w:tr w:rsidR="00A54B20" w:rsidRPr="00D549DF" w14:paraId="16BF8F46" w14:textId="77777777" w:rsidTr="0005761E">
        <w:trPr>
          <w:trHeight w:val="240"/>
          <w:jc w:val="right"/>
        </w:trPr>
        <w:tc>
          <w:tcPr>
            <w:tcW w:w="328" w:type="dxa"/>
            <w:shd w:val="clear" w:color="auto" w:fill="auto"/>
            <w:noWrap/>
            <w:vAlign w:val="bottom"/>
            <w:hideMark/>
          </w:tcPr>
          <w:p w14:paraId="03CB38DC"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26510280"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Waste water charges - start date - 1st plant</w:t>
            </w:r>
          </w:p>
        </w:tc>
        <w:tc>
          <w:tcPr>
            <w:tcW w:w="1406" w:type="dxa"/>
            <w:gridSpan w:val="2"/>
            <w:shd w:val="clear" w:color="auto" w:fill="auto"/>
            <w:noWrap/>
            <w:vAlign w:val="bottom"/>
            <w:hideMark/>
          </w:tcPr>
          <w:p w14:paraId="0CD9B348" w14:textId="77777777" w:rsidR="00A54B20" w:rsidRPr="00D549DF" w:rsidRDefault="00A54B20" w:rsidP="00333DC0">
            <w:pPr>
              <w:jc w:val="right"/>
              <w:rPr>
                <w:rFonts w:ascii="Arial" w:eastAsia="Times New Roman" w:hAnsi="Arial" w:cs="Arial"/>
                <w:sz w:val="20"/>
                <w:lang w:val="en-US"/>
              </w:rPr>
            </w:pPr>
            <w:r w:rsidRPr="00D549DF">
              <w:rPr>
                <w:rFonts w:ascii="Arial" w:eastAsia="Times New Roman" w:hAnsi="Arial" w:cs="Arial"/>
                <w:sz w:val="20"/>
                <w:lang w:val="en-US"/>
              </w:rPr>
              <w:t>Jun-14</w:t>
            </w:r>
          </w:p>
        </w:tc>
      </w:tr>
      <w:tr w:rsidR="00A54B20" w:rsidRPr="00D549DF" w14:paraId="03843B5B" w14:textId="77777777" w:rsidTr="0005761E">
        <w:trPr>
          <w:trHeight w:val="240"/>
          <w:jc w:val="right"/>
        </w:trPr>
        <w:tc>
          <w:tcPr>
            <w:tcW w:w="328" w:type="dxa"/>
            <w:shd w:val="clear" w:color="auto" w:fill="auto"/>
            <w:noWrap/>
            <w:vAlign w:val="bottom"/>
            <w:hideMark/>
          </w:tcPr>
          <w:p w14:paraId="4DE83A29"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610C068B"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Waste water charges - start date - 2nd plant</w:t>
            </w:r>
          </w:p>
        </w:tc>
        <w:tc>
          <w:tcPr>
            <w:tcW w:w="1406" w:type="dxa"/>
            <w:gridSpan w:val="2"/>
            <w:shd w:val="clear" w:color="auto" w:fill="auto"/>
            <w:noWrap/>
            <w:vAlign w:val="bottom"/>
            <w:hideMark/>
          </w:tcPr>
          <w:p w14:paraId="2563DF8F" w14:textId="77777777" w:rsidR="00A54B20" w:rsidRPr="00D549DF" w:rsidRDefault="00A54B20" w:rsidP="00333DC0">
            <w:pPr>
              <w:jc w:val="right"/>
              <w:rPr>
                <w:rFonts w:ascii="Arial" w:eastAsia="Times New Roman" w:hAnsi="Arial" w:cs="Arial"/>
                <w:sz w:val="20"/>
                <w:lang w:val="en-US"/>
              </w:rPr>
            </w:pPr>
            <w:r w:rsidRPr="00D549DF">
              <w:rPr>
                <w:rFonts w:ascii="Arial" w:eastAsia="Times New Roman" w:hAnsi="Arial" w:cs="Arial"/>
                <w:sz w:val="20"/>
                <w:lang w:val="en-US"/>
              </w:rPr>
              <w:t>Jun-15</w:t>
            </w:r>
          </w:p>
        </w:tc>
      </w:tr>
      <w:tr w:rsidR="00A54B20" w:rsidRPr="00D549DF" w14:paraId="123F6C9B" w14:textId="77777777" w:rsidTr="0005761E">
        <w:trPr>
          <w:trHeight w:val="240"/>
          <w:jc w:val="right"/>
        </w:trPr>
        <w:tc>
          <w:tcPr>
            <w:tcW w:w="328" w:type="dxa"/>
            <w:shd w:val="clear" w:color="000000" w:fill="A6A6A6"/>
            <w:noWrap/>
            <w:vAlign w:val="bottom"/>
            <w:hideMark/>
          </w:tcPr>
          <w:p w14:paraId="02E5D3B3" w14:textId="77777777" w:rsidR="00A54B20" w:rsidRPr="00D549DF" w:rsidRDefault="00A54B20" w:rsidP="00333DC0">
            <w:pPr>
              <w:jc w:val="right"/>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3</w:t>
            </w:r>
          </w:p>
        </w:tc>
        <w:tc>
          <w:tcPr>
            <w:tcW w:w="7018" w:type="dxa"/>
            <w:gridSpan w:val="4"/>
            <w:shd w:val="clear" w:color="000000" w:fill="A6A6A6"/>
            <w:noWrap/>
            <w:vAlign w:val="bottom"/>
            <w:hideMark/>
          </w:tcPr>
          <w:p w14:paraId="45F73200" w14:textId="77777777" w:rsidR="00A54B20" w:rsidRPr="00D549DF" w:rsidRDefault="00A54B20" w:rsidP="00333DC0">
            <w:pPr>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O&amp;M assumptions</w:t>
            </w:r>
          </w:p>
        </w:tc>
        <w:tc>
          <w:tcPr>
            <w:tcW w:w="1406" w:type="dxa"/>
            <w:gridSpan w:val="2"/>
            <w:shd w:val="clear" w:color="000000" w:fill="A6A6A6"/>
            <w:noWrap/>
            <w:vAlign w:val="bottom"/>
            <w:hideMark/>
          </w:tcPr>
          <w:p w14:paraId="3745F7C7" w14:textId="77777777" w:rsidR="00A54B20" w:rsidRPr="00D549DF" w:rsidRDefault="00A54B20" w:rsidP="00333DC0">
            <w:pPr>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 </w:t>
            </w:r>
          </w:p>
        </w:tc>
      </w:tr>
      <w:tr w:rsidR="00A54B20" w:rsidRPr="00D549DF" w14:paraId="3D6485D7" w14:textId="77777777" w:rsidTr="0005761E">
        <w:trPr>
          <w:trHeight w:val="240"/>
          <w:jc w:val="right"/>
        </w:trPr>
        <w:tc>
          <w:tcPr>
            <w:tcW w:w="328" w:type="dxa"/>
            <w:shd w:val="clear" w:color="auto" w:fill="auto"/>
            <w:noWrap/>
            <w:vAlign w:val="bottom"/>
            <w:hideMark/>
          </w:tcPr>
          <w:p w14:paraId="26362B96" w14:textId="77777777" w:rsidR="00A54B20" w:rsidRPr="00D549DF" w:rsidRDefault="00A54B20" w:rsidP="00333DC0">
            <w:pPr>
              <w:rPr>
                <w:rFonts w:ascii="Arial" w:eastAsia="Times New Roman" w:hAnsi="Arial" w:cs="Arial"/>
                <w:color w:val="000000"/>
                <w:sz w:val="20"/>
                <w:lang w:val="en-US"/>
              </w:rPr>
            </w:pPr>
          </w:p>
        </w:tc>
        <w:tc>
          <w:tcPr>
            <w:tcW w:w="6574" w:type="dxa"/>
            <w:shd w:val="clear" w:color="auto" w:fill="auto"/>
            <w:noWrap/>
            <w:vAlign w:val="bottom"/>
            <w:hideMark/>
          </w:tcPr>
          <w:p w14:paraId="0732D297"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Inflation on contract</w:t>
            </w:r>
          </w:p>
        </w:tc>
        <w:tc>
          <w:tcPr>
            <w:tcW w:w="236" w:type="dxa"/>
            <w:gridSpan w:val="2"/>
            <w:shd w:val="clear" w:color="auto" w:fill="auto"/>
            <w:noWrap/>
            <w:vAlign w:val="bottom"/>
            <w:hideMark/>
          </w:tcPr>
          <w:p w14:paraId="43C5AE11" w14:textId="77777777" w:rsidR="00A54B20" w:rsidRPr="00D549DF" w:rsidRDefault="00A54B20" w:rsidP="00333DC0">
            <w:pPr>
              <w:rPr>
                <w:rFonts w:ascii="Arial" w:eastAsia="Times New Roman" w:hAnsi="Arial" w:cs="Arial"/>
                <w:color w:val="000000"/>
                <w:sz w:val="20"/>
                <w:lang w:val="en-US"/>
              </w:rPr>
            </w:pPr>
          </w:p>
        </w:tc>
        <w:tc>
          <w:tcPr>
            <w:tcW w:w="222" w:type="dxa"/>
            <w:gridSpan w:val="2"/>
            <w:shd w:val="clear" w:color="auto" w:fill="auto"/>
            <w:noWrap/>
            <w:vAlign w:val="bottom"/>
            <w:hideMark/>
          </w:tcPr>
          <w:p w14:paraId="11B39965" w14:textId="77777777" w:rsidR="00A54B20" w:rsidRPr="00D549DF" w:rsidRDefault="00A54B20" w:rsidP="00333DC0">
            <w:pPr>
              <w:rPr>
                <w:rFonts w:ascii="Arial" w:eastAsia="Times New Roman" w:hAnsi="Arial" w:cs="Arial"/>
                <w:color w:val="000000"/>
                <w:sz w:val="20"/>
                <w:lang w:val="en-US"/>
              </w:rPr>
            </w:pPr>
          </w:p>
        </w:tc>
        <w:tc>
          <w:tcPr>
            <w:tcW w:w="1392" w:type="dxa"/>
            <w:shd w:val="clear" w:color="auto" w:fill="auto"/>
            <w:noWrap/>
            <w:vAlign w:val="bottom"/>
            <w:hideMark/>
          </w:tcPr>
          <w:p w14:paraId="32107BA7" w14:textId="77777777" w:rsidR="00A54B20" w:rsidRPr="00D549DF" w:rsidRDefault="00A54B20" w:rsidP="00333DC0">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7%</w:t>
            </w:r>
          </w:p>
        </w:tc>
      </w:tr>
      <w:tr w:rsidR="00A54B20" w:rsidRPr="00D549DF" w14:paraId="0053D805" w14:textId="77777777" w:rsidTr="0005761E">
        <w:trPr>
          <w:trHeight w:val="240"/>
          <w:jc w:val="right"/>
        </w:trPr>
        <w:tc>
          <w:tcPr>
            <w:tcW w:w="328" w:type="dxa"/>
            <w:shd w:val="clear" w:color="auto" w:fill="auto"/>
            <w:noWrap/>
            <w:vAlign w:val="bottom"/>
            <w:hideMark/>
          </w:tcPr>
          <w:p w14:paraId="546F7095" w14:textId="77777777" w:rsidR="00A54B20" w:rsidRPr="00D549DF" w:rsidRDefault="00A54B20" w:rsidP="00333DC0">
            <w:pPr>
              <w:rPr>
                <w:rFonts w:ascii="Arial" w:eastAsia="Times New Roman" w:hAnsi="Arial" w:cs="Arial"/>
                <w:color w:val="000000"/>
                <w:sz w:val="20"/>
                <w:lang w:val="en-US"/>
              </w:rPr>
            </w:pPr>
          </w:p>
        </w:tc>
        <w:tc>
          <w:tcPr>
            <w:tcW w:w="6574" w:type="dxa"/>
            <w:shd w:val="clear" w:color="auto" w:fill="auto"/>
            <w:noWrap/>
            <w:vAlign w:val="bottom"/>
            <w:hideMark/>
          </w:tcPr>
          <w:p w14:paraId="523ED80C"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Transport contract (yearly</w:t>
            </w:r>
            <w:r w:rsidR="001E1E28" w:rsidRPr="00D549DF">
              <w:rPr>
                <w:rFonts w:ascii="Arial" w:eastAsia="Times New Roman" w:hAnsi="Arial" w:cs="Arial"/>
                <w:color w:val="000000"/>
                <w:sz w:val="20"/>
                <w:lang w:val="en-US"/>
              </w:rPr>
              <w:t xml:space="preserve"> – US$</w:t>
            </w:r>
            <w:r w:rsidRPr="00D549DF">
              <w:rPr>
                <w:rFonts w:ascii="Arial" w:eastAsia="Times New Roman" w:hAnsi="Arial" w:cs="Arial"/>
                <w:color w:val="000000"/>
                <w:sz w:val="20"/>
                <w:lang w:val="en-US"/>
              </w:rPr>
              <w:t>)</w:t>
            </w:r>
          </w:p>
        </w:tc>
        <w:tc>
          <w:tcPr>
            <w:tcW w:w="236" w:type="dxa"/>
            <w:gridSpan w:val="2"/>
            <w:shd w:val="clear" w:color="auto" w:fill="auto"/>
            <w:noWrap/>
            <w:vAlign w:val="bottom"/>
            <w:hideMark/>
          </w:tcPr>
          <w:p w14:paraId="4FF32EFB" w14:textId="77777777" w:rsidR="00A54B20" w:rsidRPr="00D549DF" w:rsidRDefault="00A54B20" w:rsidP="00333DC0">
            <w:pPr>
              <w:rPr>
                <w:rFonts w:ascii="Arial" w:eastAsia="Times New Roman" w:hAnsi="Arial" w:cs="Arial"/>
                <w:color w:val="000000"/>
                <w:sz w:val="20"/>
                <w:lang w:val="en-US"/>
              </w:rPr>
            </w:pPr>
          </w:p>
        </w:tc>
        <w:tc>
          <w:tcPr>
            <w:tcW w:w="222" w:type="dxa"/>
            <w:gridSpan w:val="2"/>
            <w:shd w:val="clear" w:color="auto" w:fill="auto"/>
            <w:noWrap/>
            <w:vAlign w:val="bottom"/>
            <w:hideMark/>
          </w:tcPr>
          <w:p w14:paraId="3F5E3F3B" w14:textId="77777777" w:rsidR="00A54B20" w:rsidRPr="00D549DF" w:rsidRDefault="00A54B20" w:rsidP="00333DC0">
            <w:pPr>
              <w:rPr>
                <w:rFonts w:ascii="Arial" w:eastAsia="Times New Roman" w:hAnsi="Arial" w:cs="Arial"/>
                <w:color w:val="000000"/>
                <w:sz w:val="20"/>
                <w:lang w:val="en-US"/>
              </w:rPr>
            </w:pPr>
          </w:p>
        </w:tc>
        <w:tc>
          <w:tcPr>
            <w:tcW w:w="1392" w:type="dxa"/>
            <w:shd w:val="clear" w:color="auto" w:fill="auto"/>
            <w:noWrap/>
            <w:vAlign w:val="bottom"/>
            <w:hideMark/>
          </w:tcPr>
          <w:p w14:paraId="1DAC916E" w14:textId="54514D8F" w:rsidR="00A54B20" w:rsidRPr="00D549DF" w:rsidRDefault="00A54B20" w:rsidP="005D0FD1">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305</w:t>
            </w:r>
            <w:r w:rsidR="00001BCA" w:rsidRPr="00D549DF">
              <w:rPr>
                <w:rFonts w:ascii="Arial" w:eastAsia="Times New Roman" w:hAnsi="Arial" w:cs="Arial"/>
                <w:color w:val="000000"/>
                <w:sz w:val="20"/>
                <w:lang w:val="en-US"/>
              </w:rPr>
              <w:t>.</w:t>
            </w:r>
            <w:r w:rsidRPr="00D549DF">
              <w:rPr>
                <w:rFonts w:ascii="Arial" w:eastAsia="Times New Roman" w:hAnsi="Arial" w:cs="Arial"/>
                <w:color w:val="000000"/>
                <w:sz w:val="20"/>
                <w:lang w:val="en-US"/>
              </w:rPr>
              <w:t>149</w:t>
            </w:r>
            <w:r w:rsidR="00001BCA" w:rsidRPr="00D549DF">
              <w:rPr>
                <w:rFonts w:ascii="Arial" w:eastAsia="Times New Roman" w:hAnsi="Arial" w:cs="Arial"/>
                <w:color w:val="000000"/>
                <w:sz w:val="20"/>
                <w:lang w:val="en-US"/>
              </w:rPr>
              <w:t>,</w:t>
            </w:r>
            <w:r w:rsidRPr="00D549DF">
              <w:rPr>
                <w:rFonts w:ascii="Arial" w:eastAsia="Times New Roman" w:hAnsi="Arial" w:cs="Arial"/>
                <w:color w:val="000000"/>
                <w:sz w:val="20"/>
                <w:lang w:val="en-US"/>
              </w:rPr>
              <w:t>27</w:t>
            </w:r>
          </w:p>
        </w:tc>
      </w:tr>
      <w:tr w:rsidR="00A54B20" w:rsidRPr="00D549DF" w14:paraId="38C26D01" w14:textId="77777777" w:rsidTr="0005761E">
        <w:trPr>
          <w:trHeight w:val="240"/>
          <w:jc w:val="right"/>
        </w:trPr>
        <w:tc>
          <w:tcPr>
            <w:tcW w:w="328" w:type="dxa"/>
            <w:shd w:val="clear" w:color="auto" w:fill="auto"/>
            <w:noWrap/>
            <w:vAlign w:val="bottom"/>
            <w:hideMark/>
          </w:tcPr>
          <w:p w14:paraId="2B92EDFE" w14:textId="77777777" w:rsidR="00A54B20" w:rsidRPr="00D549DF" w:rsidRDefault="00A54B20" w:rsidP="00333DC0">
            <w:pPr>
              <w:rPr>
                <w:rFonts w:ascii="Arial" w:eastAsia="Times New Roman" w:hAnsi="Arial" w:cs="Arial"/>
                <w:color w:val="000000"/>
                <w:sz w:val="20"/>
                <w:lang w:val="en-US"/>
              </w:rPr>
            </w:pPr>
          </w:p>
        </w:tc>
        <w:tc>
          <w:tcPr>
            <w:tcW w:w="6574" w:type="dxa"/>
            <w:shd w:val="clear" w:color="auto" w:fill="auto"/>
            <w:noWrap/>
            <w:vAlign w:val="bottom"/>
            <w:hideMark/>
          </w:tcPr>
          <w:p w14:paraId="3EC0E944"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Transport - percentage covered by tenants</w:t>
            </w:r>
          </w:p>
        </w:tc>
        <w:tc>
          <w:tcPr>
            <w:tcW w:w="236" w:type="dxa"/>
            <w:gridSpan w:val="2"/>
            <w:shd w:val="clear" w:color="auto" w:fill="auto"/>
            <w:noWrap/>
            <w:vAlign w:val="bottom"/>
            <w:hideMark/>
          </w:tcPr>
          <w:p w14:paraId="09C19C37" w14:textId="77777777" w:rsidR="00A54B20" w:rsidRPr="00D549DF" w:rsidRDefault="00A54B20" w:rsidP="00333DC0">
            <w:pPr>
              <w:rPr>
                <w:rFonts w:ascii="Arial" w:eastAsia="Times New Roman" w:hAnsi="Arial" w:cs="Arial"/>
                <w:color w:val="000000"/>
                <w:sz w:val="20"/>
                <w:lang w:val="en-US"/>
              </w:rPr>
            </w:pPr>
          </w:p>
        </w:tc>
        <w:tc>
          <w:tcPr>
            <w:tcW w:w="222" w:type="dxa"/>
            <w:gridSpan w:val="2"/>
            <w:shd w:val="clear" w:color="auto" w:fill="auto"/>
            <w:noWrap/>
            <w:vAlign w:val="bottom"/>
            <w:hideMark/>
          </w:tcPr>
          <w:p w14:paraId="63929A88" w14:textId="77777777" w:rsidR="00A54B20" w:rsidRPr="00D549DF" w:rsidRDefault="00A54B20" w:rsidP="00333DC0">
            <w:pPr>
              <w:rPr>
                <w:rFonts w:ascii="Arial" w:eastAsia="Times New Roman" w:hAnsi="Arial" w:cs="Arial"/>
                <w:color w:val="000000"/>
                <w:sz w:val="20"/>
                <w:lang w:val="en-US"/>
              </w:rPr>
            </w:pPr>
          </w:p>
        </w:tc>
        <w:tc>
          <w:tcPr>
            <w:tcW w:w="1392" w:type="dxa"/>
            <w:shd w:val="clear" w:color="auto" w:fill="auto"/>
            <w:noWrap/>
            <w:vAlign w:val="bottom"/>
            <w:hideMark/>
          </w:tcPr>
          <w:p w14:paraId="0A3F4839" w14:textId="77777777" w:rsidR="00A54B20" w:rsidRPr="00D549DF" w:rsidRDefault="00A54B20">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40%</w:t>
            </w:r>
          </w:p>
        </w:tc>
      </w:tr>
      <w:tr w:rsidR="00A54B20" w:rsidRPr="00D549DF" w14:paraId="4EB332A6" w14:textId="77777777" w:rsidTr="0005761E">
        <w:trPr>
          <w:trHeight w:val="234"/>
          <w:jc w:val="right"/>
        </w:trPr>
        <w:tc>
          <w:tcPr>
            <w:tcW w:w="328" w:type="dxa"/>
            <w:shd w:val="clear" w:color="auto" w:fill="auto"/>
            <w:noWrap/>
            <w:vAlign w:val="bottom"/>
            <w:hideMark/>
          </w:tcPr>
          <w:p w14:paraId="15DC7EFB"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47001ED4"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Annual O&amp;M costs</w:t>
            </w:r>
          </w:p>
        </w:tc>
        <w:tc>
          <w:tcPr>
            <w:tcW w:w="1406" w:type="dxa"/>
            <w:gridSpan w:val="2"/>
            <w:shd w:val="clear" w:color="auto" w:fill="auto"/>
            <w:noWrap/>
            <w:vAlign w:val="bottom"/>
            <w:hideMark/>
          </w:tcPr>
          <w:p w14:paraId="6AAB74F8" w14:textId="3BCE606C" w:rsidR="00A54B20" w:rsidRPr="00D549DF" w:rsidRDefault="00A54B20" w:rsidP="005D0FD1">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2</w:t>
            </w:r>
            <w:r w:rsidR="00001BCA" w:rsidRPr="00D549DF">
              <w:rPr>
                <w:rFonts w:ascii="Arial" w:eastAsia="Times New Roman" w:hAnsi="Arial" w:cs="Arial"/>
                <w:color w:val="000000"/>
                <w:sz w:val="20"/>
                <w:lang w:val="en-US"/>
              </w:rPr>
              <w:t>.</w:t>
            </w:r>
            <w:r w:rsidRPr="00D549DF">
              <w:rPr>
                <w:rFonts w:ascii="Arial" w:eastAsia="Times New Roman" w:hAnsi="Arial" w:cs="Arial"/>
                <w:color w:val="000000"/>
                <w:sz w:val="20"/>
                <w:lang w:val="en-US"/>
              </w:rPr>
              <w:t>500</w:t>
            </w:r>
            <w:r w:rsidR="00001BCA" w:rsidRPr="00D549DF">
              <w:rPr>
                <w:rFonts w:ascii="Arial" w:eastAsia="Times New Roman" w:hAnsi="Arial" w:cs="Arial"/>
                <w:color w:val="000000"/>
                <w:sz w:val="20"/>
                <w:lang w:val="en-US"/>
              </w:rPr>
              <w:t>.</w:t>
            </w:r>
            <w:r w:rsidRPr="00D549DF">
              <w:rPr>
                <w:rFonts w:ascii="Arial" w:eastAsia="Times New Roman" w:hAnsi="Arial" w:cs="Arial"/>
                <w:color w:val="000000"/>
                <w:sz w:val="20"/>
                <w:lang w:val="en-US"/>
              </w:rPr>
              <w:t>000</w:t>
            </w:r>
          </w:p>
        </w:tc>
      </w:tr>
      <w:tr w:rsidR="00A54B20" w:rsidRPr="00D549DF" w14:paraId="06E15FAA" w14:textId="77777777" w:rsidTr="0005761E">
        <w:trPr>
          <w:trHeight w:val="240"/>
          <w:jc w:val="right"/>
        </w:trPr>
        <w:tc>
          <w:tcPr>
            <w:tcW w:w="328" w:type="dxa"/>
            <w:shd w:val="clear" w:color="auto" w:fill="auto"/>
            <w:noWrap/>
            <w:vAlign w:val="bottom"/>
            <w:hideMark/>
          </w:tcPr>
          <w:p w14:paraId="4BAADB01"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74A080E3"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O&amp;M cost start year</w:t>
            </w:r>
          </w:p>
        </w:tc>
        <w:tc>
          <w:tcPr>
            <w:tcW w:w="1406" w:type="dxa"/>
            <w:gridSpan w:val="2"/>
            <w:shd w:val="clear" w:color="auto" w:fill="auto"/>
            <w:noWrap/>
            <w:vAlign w:val="bottom"/>
            <w:hideMark/>
          </w:tcPr>
          <w:p w14:paraId="4C7D8843" w14:textId="7755F057" w:rsidR="00A54B20" w:rsidRPr="00D549DF" w:rsidRDefault="00A54B20" w:rsidP="00304219">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2</w:t>
            </w:r>
            <w:r w:rsidR="00001BCA" w:rsidRPr="00D549DF">
              <w:rPr>
                <w:rFonts w:ascii="Arial" w:eastAsia="Times New Roman" w:hAnsi="Arial" w:cs="Arial"/>
                <w:color w:val="000000"/>
                <w:sz w:val="20"/>
                <w:lang w:val="en-US"/>
              </w:rPr>
              <w:t>.</w:t>
            </w:r>
            <w:r w:rsidRPr="00D549DF">
              <w:rPr>
                <w:rFonts w:ascii="Arial" w:eastAsia="Times New Roman" w:hAnsi="Arial" w:cs="Arial"/>
                <w:color w:val="000000"/>
                <w:sz w:val="20"/>
                <w:lang w:val="en-US"/>
              </w:rPr>
              <w:t>018</w:t>
            </w:r>
          </w:p>
        </w:tc>
      </w:tr>
      <w:tr w:rsidR="00A54B20" w:rsidRPr="00D549DF" w14:paraId="0C04BE32" w14:textId="77777777" w:rsidTr="0005761E">
        <w:trPr>
          <w:trHeight w:val="423"/>
          <w:jc w:val="right"/>
        </w:trPr>
        <w:tc>
          <w:tcPr>
            <w:tcW w:w="328" w:type="dxa"/>
            <w:shd w:val="clear" w:color="000000" w:fill="A6A6A6"/>
            <w:noWrap/>
            <w:vAlign w:val="bottom"/>
            <w:hideMark/>
          </w:tcPr>
          <w:p w14:paraId="0F1FB0C3" w14:textId="77777777" w:rsidR="00A54B20" w:rsidRPr="00D549DF" w:rsidRDefault="00A54B20" w:rsidP="00333DC0">
            <w:pPr>
              <w:jc w:val="right"/>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4</w:t>
            </w:r>
          </w:p>
        </w:tc>
        <w:tc>
          <w:tcPr>
            <w:tcW w:w="7018" w:type="dxa"/>
            <w:gridSpan w:val="4"/>
            <w:shd w:val="clear" w:color="000000" w:fill="A6A6A6"/>
            <w:noWrap/>
            <w:vAlign w:val="bottom"/>
            <w:hideMark/>
          </w:tcPr>
          <w:p w14:paraId="4DCCDE90" w14:textId="77777777" w:rsidR="00A54B20" w:rsidRPr="00D549DF" w:rsidRDefault="00A54B20" w:rsidP="00333DC0">
            <w:pPr>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Financial and fiscal assumptions</w:t>
            </w:r>
          </w:p>
        </w:tc>
        <w:tc>
          <w:tcPr>
            <w:tcW w:w="1406" w:type="dxa"/>
            <w:gridSpan w:val="2"/>
            <w:shd w:val="clear" w:color="000000" w:fill="A6A6A6"/>
            <w:noWrap/>
            <w:vAlign w:val="bottom"/>
            <w:hideMark/>
          </w:tcPr>
          <w:p w14:paraId="47831D38" w14:textId="77777777" w:rsidR="00A54B20" w:rsidRPr="00D549DF" w:rsidRDefault="00A54B20" w:rsidP="00333DC0">
            <w:pPr>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 </w:t>
            </w:r>
          </w:p>
        </w:tc>
      </w:tr>
      <w:tr w:rsidR="00A54B20" w:rsidRPr="00D549DF" w14:paraId="2659E0CB" w14:textId="77777777" w:rsidTr="0005761E">
        <w:trPr>
          <w:trHeight w:val="207"/>
          <w:jc w:val="right"/>
        </w:trPr>
        <w:tc>
          <w:tcPr>
            <w:tcW w:w="328" w:type="dxa"/>
            <w:shd w:val="clear" w:color="auto" w:fill="auto"/>
            <w:noWrap/>
            <w:vAlign w:val="bottom"/>
            <w:hideMark/>
          </w:tcPr>
          <w:p w14:paraId="2D013744"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22B200E6"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Average annual fret tax paid by tenant</w:t>
            </w:r>
          </w:p>
        </w:tc>
        <w:tc>
          <w:tcPr>
            <w:tcW w:w="1406" w:type="dxa"/>
            <w:gridSpan w:val="2"/>
            <w:shd w:val="clear" w:color="auto" w:fill="auto"/>
            <w:noWrap/>
            <w:vAlign w:val="bottom"/>
            <w:hideMark/>
          </w:tcPr>
          <w:p w14:paraId="21D93F30" w14:textId="36F22308" w:rsidR="00A54B20" w:rsidRPr="00D549DF" w:rsidRDefault="00A54B20" w:rsidP="005D0FD1">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250</w:t>
            </w:r>
            <w:r w:rsidR="00001BCA" w:rsidRPr="00D549DF">
              <w:rPr>
                <w:rFonts w:ascii="Arial" w:eastAsia="Times New Roman" w:hAnsi="Arial" w:cs="Arial"/>
                <w:color w:val="000000"/>
                <w:sz w:val="20"/>
                <w:lang w:val="en-US"/>
              </w:rPr>
              <w:t>.</w:t>
            </w:r>
            <w:r w:rsidRPr="00D549DF">
              <w:rPr>
                <w:rFonts w:ascii="Arial" w:eastAsia="Times New Roman" w:hAnsi="Arial" w:cs="Arial"/>
                <w:color w:val="000000"/>
                <w:sz w:val="20"/>
                <w:lang w:val="en-US"/>
              </w:rPr>
              <w:t>000</w:t>
            </w:r>
          </w:p>
        </w:tc>
      </w:tr>
      <w:tr w:rsidR="00A54B20" w:rsidRPr="00D549DF" w14:paraId="09E6F93F" w14:textId="77777777" w:rsidTr="0005761E">
        <w:trPr>
          <w:trHeight w:val="240"/>
          <w:jc w:val="right"/>
        </w:trPr>
        <w:tc>
          <w:tcPr>
            <w:tcW w:w="328" w:type="dxa"/>
            <w:shd w:val="clear" w:color="000000" w:fill="A6A6A6"/>
            <w:noWrap/>
            <w:vAlign w:val="bottom"/>
            <w:hideMark/>
          </w:tcPr>
          <w:p w14:paraId="611182BE" w14:textId="77777777" w:rsidR="00A54B20" w:rsidRPr="00D549DF" w:rsidRDefault="00A54B20" w:rsidP="00333DC0">
            <w:pPr>
              <w:jc w:val="right"/>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5</w:t>
            </w:r>
          </w:p>
        </w:tc>
        <w:tc>
          <w:tcPr>
            <w:tcW w:w="7018" w:type="dxa"/>
            <w:gridSpan w:val="4"/>
            <w:shd w:val="clear" w:color="000000" w:fill="A6A6A6"/>
            <w:noWrap/>
            <w:vAlign w:val="bottom"/>
            <w:hideMark/>
          </w:tcPr>
          <w:p w14:paraId="77D1994C" w14:textId="77777777" w:rsidR="00A54B20" w:rsidRPr="00D549DF" w:rsidRDefault="00A54B20" w:rsidP="00333DC0">
            <w:pPr>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Job assumptions</w:t>
            </w:r>
          </w:p>
        </w:tc>
        <w:tc>
          <w:tcPr>
            <w:tcW w:w="1406" w:type="dxa"/>
            <w:gridSpan w:val="2"/>
            <w:shd w:val="clear" w:color="000000" w:fill="A6A6A6"/>
            <w:noWrap/>
            <w:vAlign w:val="bottom"/>
            <w:hideMark/>
          </w:tcPr>
          <w:p w14:paraId="3EF2F67D" w14:textId="77777777" w:rsidR="00A54B20" w:rsidRPr="00D549DF" w:rsidRDefault="00A54B20" w:rsidP="00333DC0">
            <w:pPr>
              <w:rPr>
                <w:rFonts w:ascii="Arial" w:eastAsia="Times New Roman" w:hAnsi="Arial" w:cs="Arial"/>
                <w:b/>
                <w:bCs/>
                <w:color w:val="000000"/>
                <w:sz w:val="20"/>
                <w:lang w:val="en-US"/>
              </w:rPr>
            </w:pPr>
            <w:r w:rsidRPr="00D549DF">
              <w:rPr>
                <w:rFonts w:ascii="Arial" w:eastAsia="Times New Roman" w:hAnsi="Arial" w:cs="Arial"/>
                <w:b/>
                <w:bCs/>
                <w:color w:val="000000"/>
                <w:sz w:val="20"/>
                <w:lang w:val="en-US"/>
              </w:rPr>
              <w:t> </w:t>
            </w:r>
          </w:p>
        </w:tc>
      </w:tr>
      <w:tr w:rsidR="00A54B20" w:rsidRPr="00D549DF" w14:paraId="3C05D357" w14:textId="77777777" w:rsidTr="0005761E">
        <w:trPr>
          <w:trHeight w:val="240"/>
          <w:jc w:val="right"/>
        </w:trPr>
        <w:tc>
          <w:tcPr>
            <w:tcW w:w="328" w:type="dxa"/>
            <w:shd w:val="clear" w:color="auto" w:fill="auto"/>
            <w:noWrap/>
            <w:vAlign w:val="bottom"/>
            <w:hideMark/>
          </w:tcPr>
          <w:p w14:paraId="7CF4A593"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5080E160"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Daily salary of worker at the PIC (US$)</w:t>
            </w:r>
          </w:p>
        </w:tc>
        <w:tc>
          <w:tcPr>
            <w:tcW w:w="1406" w:type="dxa"/>
            <w:gridSpan w:val="2"/>
            <w:shd w:val="clear" w:color="auto" w:fill="auto"/>
            <w:noWrap/>
            <w:vAlign w:val="bottom"/>
            <w:hideMark/>
          </w:tcPr>
          <w:p w14:paraId="7B530C25" w14:textId="77777777" w:rsidR="00A54B20" w:rsidRPr="00D549DF" w:rsidRDefault="00A54B20" w:rsidP="00333DC0">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5</w:t>
            </w:r>
          </w:p>
        </w:tc>
      </w:tr>
      <w:tr w:rsidR="00A54B20" w:rsidRPr="00D549DF" w14:paraId="3C35D268" w14:textId="77777777" w:rsidTr="0005761E">
        <w:trPr>
          <w:trHeight w:val="240"/>
          <w:jc w:val="right"/>
        </w:trPr>
        <w:tc>
          <w:tcPr>
            <w:tcW w:w="328" w:type="dxa"/>
            <w:shd w:val="clear" w:color="auto" w:fill="auto"/>
            <w:noWrap/>
            <w:vAlign w:val="bottom"/>
            <w:hideMark/>
          </w:tcPr>
          <w:p w14:paraId="468979A9"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230D260F"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Wages reduction</w:t>
            </w:r>
          </w:p>
        </w:tc>
        <w:tc>
          <w:tcPr>
            <w:tcW w:w="1406" w:type="dxa"/>
            <w:gridSpan w:val="2"/>
            <w:shd w:val="clear" w:color="auto" w:fill="auto"/>
            <w:noWrap/>
            <w:vAlign w:val="bottom"/>
            <w:hideMark/>
          </w:tcPr>
          <w:p w14:paraId="4A79C2DF" w14:textId="77777777" w:rsidR="00A54B20" w:rsidRPr="00D549DF" w:rsidRDefault="00A54B20" w:rsidP="00333DC0">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0%</w:t>
            </w:r>
          </w:p>
        </w:tc>
      </w:tr>
      <w:tr w:rsidR="00A54B20" w:rsidRPr="00D549DF" w14:paraId="624027B9" w14:textId="77777777" w:rsidTr="0005761E">
        <w:trPr>
          <w:trHeight w:val="240"/>
          <w:jc w:val="right"/>
        </w:trPr>
        <w:tc>
          <w:tcPr>
            <w:tcW w:w="328" w:type="dxa"/>
            <w:shd w:val="clear" w:color="auto" w:fill="auto"/>
            <w:noWrap/>
            <w:vAlign w:val="bottom"/>
            <w:hideMark/>
          </w:tcPr>
          <w:p w14:paraId="77D5C11C"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5E5E4D80"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Number of working days in a year</w:t>
            </w:r>
          </w:p>
        </w:tc>
        <w:tc>
          <w:tcPr>
            <w:tcW w:w="1406" w:type="dxa"/>
            <w:gridSpan w:val="2"/>
            <w:shd w:val="clear" w:color="auto" w:fill="auto"/>
            <w:noWrap/>
            <w:vAlign w:val="bottom"/>
            <w:hideMark/>
          </w:tcPr>
          <w:p w14:paraId="62D00AEE" w14:textId="77777777" w:rsidR="00A54B20" w:rsidRPr="00D549DF" w:rsidRDefault="00A54B20" w:rsidP="00333DC0">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284</w:t>
            </w:r>
          </w:p>
        </w:tc>
      </w:tr>
      <w:tr w:rsidR="00A54B20" w:rsidRPr="00D549DF" w14:paraId="4C2C8A92" w14:textId="77777777" w:rsidTr="0005761E">
        <w:trPr>
          <w:trHeight w:val="240"/>
          <w:jc w:val="right"/>
        </w:trPr>
        <w:tc>
          <w:tcPr>
            <w:tcW w:w="328" w:type="dxa"/>
            <w:shd w:val="clear" w:color="auto" w:fill="auto"/>
            <w:noWrap/>
            <w:vAlign w:val="bottom"/>
            <w:hideMark/>
          </w:tcPr>
          <w:p w14:paraId="5240C730"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1A265442"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Social security paid for local workers (OF</w:t>
            </w:r>
            <w:r w:rsidR="00F92E36" w:rsidRPr="00D549DF">
              <w:rPr>
                <w:rFonts w:ascii="Arial" w:eastAsia="Times New Roman" w:hAnsi="Arial" w:cs="Arial"/>
                <w:color w:val="000000"/>
                <w:sz w:val="20"/>
                <w:lang w:val="en-US"/>
              </w:rPr>
              <w:t>A</w:t>
            </w:r>
            <w:r w:rsidRPr="00D549DF">
              <w:rPr>
                <w:rFonts w:ascii="Arial" w:eastAsia="Times New Roman" w:hAnsi="Arial" w:cs="Arial"/>
                <w:color w:val="000000"/>
                <w:sz w:val="20"/>
                <w:lang w:val="en-US"/>
              </w:rPr>
              <w:t>TMA+ONA)</w:t>
            </w:r>
          </w:p>
        </w:tc>
        <w:tc>
          <w:tcPr>
            <w:tcW w:w="1406" w:type="dxa"/>
            <w:gridSpan w:val="2"/>
            <w:shd w:val="clear" w:color="auto" w:fill="auto"/>
            <w:noWrap/>
            <w:vAlign w:val="bottom"/>
            <w:hideMark/>
          </w:tcPr>
          <w:p w14:paraId="4B7B16F5" w14:textId="0787E484" w:rsidR="00A54B20" w:rsidRPr="00D549DF" w:rsidRDefault="00A54B20" w:rsidP="00304219">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9%</w:t>
            </w:r>
          </w:p>
        </w:tc>
      </w:tr>
      <w:tr w:rsidR="00A54B20" w:rsidRPr="00D549DF" w14:paraId="4B5DE102" w14:textId="77777777" w:rsidTr="0005761E">
        <w:trPr>
          <w:trHeight w:val="240"/>
          <w:jc w:val="right"/>
        </w:trPr>
        <w:tc>
          <w:tcPr>
            <w:tcW w:w="328" w:type="dxa"/>
            <w:shd w:val="clear" w:color="auto" w:fill="auto"/>
            <w:noWrap/>
            <w:vAlign w:val="bottom"/>
            <w:hideMark/>
          </w:tcPr>
          <w:p w14:paraId="63CCED83"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47C098B3"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Job forecast reduction</w:t>
            </w:r>
          </w:p>
        </w:tc>
        <w:tc>
          <w:tcPr>
            <w:tcW w:w="1406" w:type="dxa"/>
            <w:gridSpan w:val="2"/>
            <w:shd w:val="clear" w:color="auto" w:fill="auto"/>
            <w:noWrap/>
            <w:vAlign w:val="bottom"/>
            <w:hideMark/>
          </w:tcPr>
          <w:p w14:paraId="42AEEA43" w14:textId="035640E6" w:rsidR="00A54B20" w:rsidRPr="00D549DF" w:rsidRDefault="00A54B20" w:rsidP="00333DC0">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0</w:t>
            </w:r>
            <w:r w:rsidR="00001BCA" w:rsidRPr="00D549DF">
              <w:rPr>
                <w:rFonts w:ascii="Arial" w:eastAsia="Times New Roman" w:hAnsi="Arial" w:cs="Arial"/>
                <w:color w:val="000000"/>
                <w:sz w:val="20"/>
                <w:lang w:val="en-US"/>
              </w:rPr>
              <w:t>,</w:t>
            </w:r>
            <w:r w:rsidRPr="00D549DF">
              <w:rPr>
                <w:rFonts w:ascii="Arial" w:eastAsia="Times New Roman" w:hAnsi="Arial" w:cs="Arial"/>
                <w:color w:val="000000"/>
                <w:sz w:val="20"/>
                <w:lang w:val="en-US"/>
              </w:rPr>
              <w:t>0%</w:t>
            </w:r>
          </w:p>
        </w:tc>
      </w:tr>
      <w:tr w:rsidR="00A54B20" w:rsidRPr="00D549DF" w14:paraId="52FFAFCA" w14:textId="77777777" w:rsidTr="0005761E">
        <w:trPr>
          <w:trHeight w:val="240"/>
          <w:jc w:val="right"/>
        </w:trPr>
        <w:tc>
          <w:tcPr>
            <w:tcW w:w="328" w:type="dxa"/>
            <w:shd w:val="clear" w:color="auto" w:fill="auto"/>
            <w:noWrap/>
            <w:vAlign w:val="bottom"/>
            <w:hideMark/>
          </w:tcPr>
          <w:p w14:paraId="6B8DED4E"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3ED5B289" w14:textId="77777777" w:rsidR="00A54B20" w:rsidRPr="00D549DF" w:rsidRDefault="00A54B20" w:rsidP="00333DC0">
            <w:pPr>
              <w:rPr>
                <w:rFonts w:ascii="Arial" w:eastAsia="Times New Roman" w:hAnsi="Arial" w:cs="Arial"/>
                <w:i/>
                <w:iCs/>
                <w:color w:val="000000"/>
                <w:sz w:val="20"/>
                <w:lang w:val="en-US"/>
              </w:rPr>
            </w:pPr>
            <w:r w:rsidRPr="00D549DF">
              <w:rPr>
                <w:rFonts w:ascii="Arial" w:eastAsia="Times New Roman" w:hAnsi="Arial" w:cs="Arial"/>
                <w:i/>
                <w:iCs/>
                <w:color w:val="000000"/>
                <w:sz w:val="20"/>
                <w:lang w:val="en-US"/>
              </w:rPr>
              <w:t>Shadow costs for workers</w:t>
            </w:r>
          </w:p>
        </w:tc>
        <w:tc>
          <w:tcPr>
            <w:tcW w:w="1406" w:type="dxa"/>
            <w:gridSpan w:val="2"/>
            <w:shd w:val="clear" w:color="auto" w:fill="auto"/>
            <w:noWrap/>
            <w:vAlign w:val="bottom"/>
            <w:hideMark/>
          </w:tcPr>
          <w:p w14:paraId="272F0C82" w14:textId="77777777" w:rsidR="00A54B20" w:rsidRPr="00D549DF" w:rsidRDefault="00A54B20" w:rsidP="00333DC0">
            <w:pPr>
              <w:rPr>
                <w:rFonts w:ascii="Arial" w:eastAsia="Times New Roman" w:hAnsi="Arial" w:cs="Arial"/>
                <w:color w:val="000000"/>
                <w:sz w:val="20"/>
                <w:lang w:val="en-US"/>
              </w:rPr>
            </w:pPr>
          </w:p>
        </w:tc>
      </w:tr>
      <w:tr w:rsidR="00A54B20" w:rsidRPr="00D549DF" w14:paraId="1543674F" w14:textId="77777777" w:rsidTr="0005761E">
        <w:trPr>
          <w:trHeight w:val="240"/>
          <w:jc w:val="right"/>
        </w:trPr>
        <w:tc>
          <w:tcPr>
            <w:tcW w:w="328" w:type="dxa"/>
            <w:shd w:val="clear" w:color="auto" w:fill="auto"/>
            <w:noWrap/>
            <w:vAlign w:val="bottom"/>
            <w:hideMark/>
          </w:tcPr>
          <w:p w14:paraId="3607CD0C"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64521814"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Shadow cost type 1</w:t>
            </w:r>
          </w:p>
        </w:tc>
        <w:tc>
          <w:tcPr>
            <w:tcW w:w="1406" w:type="dxa"/>
            <w:gridSpan w:val="2"/>
            <w:shd w:val="clear" w:color="auto" w:fill="auto"/>
            <w:noWrap/>
            <w:vAlign w:val="bottom"/>
            <w:hideMark/>
          </w:tcPr>
          <w:p w14:paraId="3C72A57C" w14:textId="77777777" w:rsidR="00A54B20" w:rsidRPr="00D549DF" w:rsidRDefault="00A54B20" w:rsidP="00333DC0">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1</w:t>
            </w:r>
          </w:p>
        </w:tc>
      </w:tr>
      <w:tr w:rsidR="00A54B20" w:rsidRPr="00D549DF" w14:paraId="5DFD358D" w14:textId="77777777" w:rsidTr="0005761E">
        <w:trPr>
          <w:trHeight w:val="240"/>
          <w:jc w:val="right"/>
        </w:trPr>
        <w:tc>
          <w:tcPr>
            <w:tcW w:w="328" w:type="dxa"/>
            <w:shd w:val="clear" w:color="auto" w:fill="auto"/>
            <w:noWrap/>
            <w:vAlign w:val="bottom"/>
            <w:hideMark/>
          </w:tcPr>
          <w:p w14:paraId="55DEEC55"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641D6047"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Percentage 1</w:t>
            </w:r>
          </w:p>
        </w:tc>
        <w:tc>
          <w:tcPr>
            <w:tcW w:w="1406" w:type="dxa"/>
            <w:gridSpan w:val="2"/>
            <w:shd w:val="clear" w:color="auto" w:fill="auto"/>
            <w:noWrap/>
            <w:vAlign w:val="bottom"/>
            <w:hideMark/>
          </w:tcPr>
          <w:p w14:paraId="5603771B" w14:textId="1F0470B8" w:rsidR="00A54B20" w:rsidRPr="00D549DF" w:rsidRDefault="00A54B20" w:rsidP="00304219">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70%</w:t>
            </w:r>
          </w:p>
        </w:tc>
      </w:tr>
      <w:tr w:rsidR="00A54B20" w:rsidRPr="00D549DF" w14:paraId="6529782B" w14:textId="77777777" w:rsidTr="00304219">
        <w:trPr>
          <w:trHeight w:val="288"/>
          <w:jc w:val="right"/>
        </w:trPr>
        <w:tc>
          <w:tcPr>
            <w:tcW w:w="328" w:type="dxa"/>
            <w:shd w:val="clear" w:color="auto" w:fill="auto"/>
            <w:noWrap/>
            <w:vAlign w:val="bottom"/>
            <w:hideMark/>
          </w:tcPr>
          <w:p w14:paraId="55FC4DE5"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4B4524B4"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Shadow cost type 2</w:t>
            </w:r>
          </w:p>
        </w:tc>
        <w:tc>
          <w:tcPr>
            <w:tcW w:w="1406" w:type="dxa"/>
            <w:gridSpan w:val="2"/>
            <w:shd w:val="clear" w:color="auto" w:fill="auto"/>
            <w:noWrap/>
            <w:vAlign w:val="bottom"/>
            <w:hideMark/>
          </w:tcPr>
          <w:p w14:paraId="369DF76A" w14:textId="77777777" w:rsidR="00A54B20" w:rsidRPr="00D549DF" w:rsidRDefault="00A54B20" w:rsidP="00333DC0">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2</w:t>
            </w:r>
          </w:p>
        </w:tc>
      </w:tr>
      <w:tr w:rsidR="00A54B20" w:rsidRPr="00D549DF" w14:paraId="1EBCE56C" w14:textId="77777777" w:rsidTr="0005761E">
        <w:trPr>
          <w:trHeight w:val="240"/>
          <w:jc w:val="right"/>
        </w:trPr>
        <w:tc>
          <w:tcPr>
            <w:tcW w:w="328" w:type="dxa"/>
            <w:shd w:val="clear" w:color="auto" w:fill="auto"/>
            <w:noWrap/>
            <w:vAlign w:val="bottom"/>
            <w:hideMark/>
          </w:tcPr>
          <w:p w14:paraId="02F40196" w14:textId="77777777" w:rsidR="00A54B20" w:rsidRPr="00D549DF" w:rsidRDefault="00A54B20" w:rsidP="00333DC0">
            <w:pPr>
              <w:rPr>
                <w:rFonts w:ascii="Arial" w:eastAsia="Times New Roman" w:hAnsi="Arial" w:cs="Arial"/>
                <w:color w:val="000000"/>
                <w:sz w:val="20"/>
                <w:lang w:val="en-US"/>
              </w:rPr>
            </w:pPr>
          </w:p>
        </w:tc>
        <w:tc>
          <w:tcPr>
            <w:tcW w:w="7018" w:type="dxa"/>
            <w:gridSpan w:val="4"/>
            <w:shd w:val="clear" w:color="auto" w:fill="auto"/>
            <w:noWrap/>
            <w:vAlign w:val="bottom"/>
            <w:hideMark/>
          </w:tcPr>
          <w:p w14:paraId="65ED838C" w14:textId="77777777" w:rsidR="00A54B20" w:rsidRPr="00D549DF" w:rsidRDefault="00A54B20" w:rsidP="00333DC0">
            <w:pPr>
              <w:rPr>
                <w:rFonts w:ascii="Arial" w:eastAsia="Times New Roman" w:hAnsi="Arial" w:cs="Arial"/>
                <w:color w:val="000000"/>
                <w:sz w:val="20"/>
                <w:lang w:val="en-US"/>
              </w:rPr>
            </w:pPr>
            <w:r w:rsidRPr="00D549DF">
              <w:rPr>
                <w:rFonts w:ascii="Arial" w:eastAsia="Times New Roman" w:hAnsi="Arial" w:cs="Arial"/>
                <w:color w:val="000000"/>
                <w:sz w:val="20"/>
                <w:lang w:val="en-US"/>
              </w:rPr>
              <w:t>Percentage 2</w:t>
            </w:r>
          </w:p>
        </w:tc>
        <w:tc>
          <w:tcPr>
            <w:tcW w:w="1406" w:type="dxa"/>
            <w:gridSpan w:val="2"/>
            <w:shd w:val="clear" w:color="auto" w:fill="auto"/>
            <w:noWrap/>
            <w:vAlign w:val="bottom"/>
            <w:hideMark/>
          </w:tcPr>
          <w:p w14:paraId="63DC8A92" w14:textId="0864FDC5" w:rsidR="00A54B20" w:rsidRPr="00D549DF" w:rsidRDefault="00A54B20" w:rsidP="00304219">
            <w:pPr>
              <w:jc w:val="right"/>
              <w:rPr>
                <w:rFonts w:ascii="Arial" w:eastAsia="Times New Roman" w:hAnsi="Arial" w:cs="Arial"/>
                <w:color w:val="000000"/>
                <w:sz w:val="20"/>
                <w:lang w:val="en-US"/>
              </w:rPr>
            </w:pPr>
            <w:r w:rsidRPr="00D549DF">
              <w:rPr>
                <w:rFonts w:ascii="Arial" w:eastAsia="Times New Roman" w:hAnsi="Arial" w:cs="Arial"/>
                <w:color w:val="000000"/>
                <w:sz w:val="20"/>
                <w:lang w:val="en-US"/>
              </w:rPr>
              <w:t>30%</w:t>
            </w:r>
          </w:p>
        </w:tc>
      </w:tr>
    </w:tbl>
    <w:p w14:paraId="4FBA26AB" w14:textId="03B48A98" w:rsidR="00333DC0" w:rsidRPr="00304219" w:rsidRDefault="00C841C4" w:rsidP="00304219">
      <w:pPr>
        <w:pStyle w:val="Paragraph"/>
        <w:rPr>
          <w:rFonts w:ascii="Arial" w:hAnsi="Arial" w:cs="Arial"/>
          <w:sz w:val="22"/>
          <w:szCs w:val="22"/>
        </w:rPr>
      </w:pPr>
      <w:r w:rsidRPr="00304219">
        <w:rPr>
          <w:rFonts w:ascii="Arial" w:hAnsi="Arial" w:cs="Arial"/>
          <w:sz w:val="22"/>
          <w:szCs w:val="22"/>
        </w:rPr>
        <w:t xml:space="preserve">Sobre la base de estos parámetros, la evaluación ex post consistirá en un nuevo cálculo </w:t>
      </w:r>
      <w:r w:rsidR="008232AA" w:rsidRPr="00304219">
        <w:rPr>
          <w:rFonts w:ascii="Arial" w:hAnsi="Arial" w:cs="Arial"/>
          <w:sz w:val="22"/>
          <w:szCs w:val="22"/>
        </w:rPr>
        <w:t xml:space="preserve">de la tasa interna de retorno </w:t>
      </w:r>
      <w:r w:rsidRPr="00304219">
        <w:rPr>
          <w:rFonts w:ascii="Arial" w:hAnsi="Arial" w:cs="Arial"/>
          <w:sz w:val="22"/>
          <w:szCs w:val="22"/>
        </w:rPr>
        <w:t xml:space="preserve">a fin de verificar si se mantienen los resultados de la tasa interna de retorno </w:t>
      </w:r>
      <w:r w:rsidR="008232AA" w:rsidRPr="00304219">
        <w:rPr>
          <w:rFonts w:ascii="Arial" w:hAnsi="Arial" w:cs="Arial"/>
          <w:sz w:val="22"/>
          <w:szCs w:val="22"/>
        </w:rPr>
        <w:t xml:space="preserve">ex ante </w:t>
      </w:r>
      <w:r w:rsidRPr="00304219">
        <w:rPr>
          <w:rFonts w:ascii="Arial" w:hAnsi="Arial" w:cs="Arial"/>
          <w:sz w:val="22"/>
          <w:szCs w:val="22"/>
        </w:rPr>
        <w:t xml:space="preserve">del programa. </w:t>
      </w:r>
      <w:r w:rsidR="00333DC0" w:rsidRPr="00304219">
        <w:rPr>
          <w:rFonts w:ascii="Arial" w:hAnsi="Arial" w:cs="Arial"/>
          <w:sz w:val="22"/>
          <w:szCs w:val="22"/>
        </w:rPr>
        <w:t xml:space="preserve"> </w:t>
      </w:r>
    </w:p>
    <w:p w14:paraId="336A3E12" w14:textId="06A695F8" w:rsidR="008720DB" w:rsidRPr="00304219" w:rsidRDefault="008232AA" w:rsidP="00D549DF">
      <w:pPr>
        <w:pStyle w:val="Paragraph"/>
        <w:spacing w:before="60"/>
        <w:rPr>
          <w:rFonts w:ascii="Arial" w:hAnsi="Arial" w:cs="Arial"/>
          <w:sz w:val="22"/>
          <w:szCs w:val="22"/>
        </w:rPr>
      </w:pPr>
      <w:r w:rsidRPr="00304219">
        <w:rPr>
          <w:rFonts w:ascii="Arial" w:hAnsi="Arial" w:cs="Arial"/>
          <w:sz w:val="22"/>
          <w:szCs w:val="22"/>
        </w:rPr>
        <w:t xml:space="preserve">Los </w:t>
      </w:r>
      <w:r w:rsidR="00732F29" w:rsidRPr="00304219">
        <w:rPr>
          <w:rFonts w:ascii="Arial" w:hAnsi="Arial" w:cs="Arial"/>
          <w:sz w:val="22"/>
          <w:szCs w:val="22"/>
        </w:rPr>
        <w:t xml:space="preserve">datos </w:t>
      </w:r>
      <w:r w:rsidRPr="00304219">
        <w:rPr>
          <w:rFonts w:ascii="Arial" w:hAnsi="Arial" w:cs="Arial"/>
          <w:sz w:val="22"/>
          <w:szCs w:val="22"/>
        </w:rPr>
        <w:t xml:space="preserve">para esta evaluación </w:t>
      </w:r>
      <w:r w:rsidR="00732F29" w:rsidRPr="00304219">
        <w:rPr>
          <w:rFonts w:ascii="Arial" w:hAnsi="Arial" w:cs="Arial"/>
          <w:sz w:val="22"/>
          <w:szCs w:val="22"/>
        </w:rPr>
        <w:t xml:space="preserve">serán colectados </w:t>
      </w:r>
      <w:r w:rsidR="001E1E28" w:rsidRPr="00304219">
        <w:rPr>
          <w:rFonts w:ascii="Arial" w:hAnsi="Arial" w:cs="Arial"/>
          <w:sz w:val="22"/>
          <w:szCs w:val="22"/>
        </w:rPr>
        <w:t xml:space="preserve">por </w:t>
      </w:r>
      <w:r w:rsidR="00732F29" w:rsidRPr="00304219">
        <w:rPr>
          <w:rFonts w:ascii="Arial" w:hAnsi="Arial" w:cs="Arial"/>
          <w:sz w:val="22"/>
          <w:szCs w:val="22"/>
        </w:rPr>
        <w:t>la UTE</w:t>
      </w:r>
      <w:r w:rsidR="00691A56" w:rsidRPr="00304219">
        <w:rPr>
          <w:rFonts w:ascii="Arial" w:hAnsi="Arial" w:cs="Arial"/>
          <w:sz w:val="22"/>
          <w:szCs w:val="22"/>
        </w:rPr>
        <w:t xml:space="preserve"> y</w:t>
      </w:r>
      <w:r w:rsidR="001E1E28" w:rsidRPr="00304219">
        <w:rPr>
          <w:rFonts w:ascii="Arial" w:hAnsi="Arial" w:cs="Arial"/>
          <w:sz w:val="22"/>
          <w:szCs w:val="22"/>
        </w:rPr>
        <w:t xml:space="preserve"> por SONAPI y complementados por l</w:t>
      </w:r>
      <w:r w:rsidR="00732F29" w:rsidRPr="00304219">
        <w:rPr>
          <w:rFonts w:ascii="Arial" w:hAnsi="Arial" w:cs="Arial"/>
          <w:sz w:val="22"/>
          <w:szCs w:val="22"/>
        </w:rPr>
        <w:t>a firma especializada</w:t>
      </w:r>
      <w:r w:rsidR="00BC4FE4" w:rsidRPr="00304219">
        <w:rPr>
          <w:rFonts w:ascii="Arial" w:hAnsi="Arial" w:cs="Arial"/>
          <w:sz w:val="22"/>
          <w:szCs w:val="22"/>
        </w:rPr>
        <w:t xml:space="preserve"> (</w:t>
      </w:r>
      <w:r w:rsidR="001E1E28" w:rsidRPr="00304219">
        <w:rPr>
          <w:rFonts w:ascii="Arial" w:hAnsi="Arial" w:cs="Arial"/>
          <w:sz w:val="22"/>
          <w:szCs w:val="22"/>
        </w:rPr>
        <w:t>posiblemente un consultor individual) que será contratada para esta evaluación</w:t>
      </w:r>
      <w:r w:rsidR="00732F29" w:rsidRPr="00304219">
        <w:rPr>
          <w:rFonts w:ascii="Arial" w:hAnsi="Arial" w:cs="Arial"/>
          <w:sz w:val="22"/>
          <w:szCs w:val="22"/>
        </w:rPr>
        <w:t xml:space="preserve">. </w:t>
      </w:r>
      <w:r w:rsidR="00982401" w:rsidRPr="00304219">
        <w:rPr>
          <w:rFonts w:ascii="Arial" w:hAnsi="Arial" w:cs="Arial"/>
          <w:sz w:val="22"/>
          <w:szCs w:val="22"/>
        </w:rPr>
        <w:t xml:space="preserve"> </w:t>
      </w:r>
    </w:p>
    <w:p w14:paraId="0DDC0B1D" w14:textId="445287C5" w:rsidR="008720DB" w:rsidRPr="00304219" w:rsidRDefault="00001BCA" w:rsidP="00304219">
      <w:pPr>
        <w:pStyle w:val="FirstHeading"/>
        <w:rPr>
          <w:rFonts w:ascii="Arial" w:hAnsi="Arial" w:cs="Arial"/>
          <w:sz w:val="22"/>
          <w:szCs w:val="22"/>
        </w:rPr>
      </w:pPr>
      <w:r w:rsidRPr="00304219">
        <w:rPr>
          <w:rFonts w:ascii="Arial" w:hAnsi="Arial" w:cs="Arial"/>
          <w:sz w:val="22"/>
          <w:szCs w:val="22"/>
        </w:rPr>
        <w:fldChar w:fldCharType="begin"/>
      </w:r>
      <w:r w:rsidRPr="00304219">
        <w:rPr>
          <w:rFonts w:ascii="Arial" w:hAnsi="Arial" w:cs="Arial"/>
          <w:sz w:val="22"/>
          <w:szCs w:val="22"/>
        </w:rPr>
        <w:instrText xml:space="preserve"> SEQ "</w:instrText>
      </w:r>
      <w:r w:rsidRPr="00304219">
        <w:rPr>
          <w:rFonts w:ascii="Arial" w:hAnsi="Arial" w:cs="Arial"/>
          <w:sz w:val="22"/>
          <w:szCs w:val="22"/>
        </w:rPr>
        <w:fldChar w:fldCharType="begin"/>
      </w:r>
      <w:r w:rsidRPr="00304219">
        <w:rPr>
          <w:rFonts w:ascii="Arial" w:hAnsi="Arial" w:cs="Arial"/>
          <w:sz w:val="22"/>
          <w:szCs w:val="22"/>
        </w:rPr>
        <w:instrText xml:space="preserve"> SECTION  \* MERGEFORMAT </w:instrText>
      </w:r>
      <w:r w:rsidRPr="00304219">
        <w:rPr>
          <w:rFonts w:ascii="Arial" w:hAnsi="Arial" w:cs="Arial"/>
          <w:sz w:val="22"/>
          <w:szCs w:val="22"/>
        </w:rPr>
        <w:fldChar w:fldCharType="separate"/>
      </w:r>
      <w:r w:rsidRPr="00304219">
        <w:rPr>
          <w:rFonts w:ascii="Arial" w:hAnsi="Arial" w:cs="Arial"/>
          <w:sz w:val="22"/>
          <w:szCs w:val="22"/>
        </w:rPr>
        <w:instrText>5</w:instrText>
      </w:r>
      <w:r w:rsidRPr="00304219">
        <w:rPr>
          <w:rFonts w:ascii="Arial" w:hAnsi="Arial" w:cs="Arial"/>
          <w:sz w:val="22"/>
          <w:szCs w:val="22"/>
        </w:rPr>
        <w:fldChar w:fldCharType="end"/>
      </w:r>
      <w:r w:rsidRPr="00304219">
        <w:rPr>
          <w:rFonts w:ascii="Arial" w:hAnsi="Arial" w:cs="Arial"/>
          <w:sz w:val="22"/>
          <w:szCs w:val="22"/>
        </w:rPr>
        <w:instrText xml:space="preserve">#"\* ALPHABETIC \* MERGEFORMAT </w:instrText>
      </w:r>
      <w:r w:rsidRPr="00304219">
        <w:rPr>
          <w:rFonts w:ascii="Arial" w:hAnsi="Arial" w:cs="Arial"/>
          <w:sz w:val="22"/>
          <w:szCs w:val="22"/>
        </w:rPr>
        <w:fldChar w:fldCharType="separate"/>
      </w:r>
      <w:bookmarkStart w:id="34" w:name="_Toc433354370"/>
      <w:r w:rsidRPr="00304219">
        <w:rPr>
          <w:rFonts w:ascii="Arial" w:hAnsi="Arial" w:cs="Arial"/>
          <w:noProof/>
          <w:sz w:val="22"/>
          <w:szCs w:val="22"/>
        </w:rPr>
        <w:t>F</w:t>
      </w:r>
      <w:r w:rsidRPr="00304219">
        <w:rPr>
          <w:rFonts w:ascii="Arial" w:hAnsi="Arial" w:cs="Arial"/>
          <w:sz w:val="22"/>
          <w:szCs w:val="22"/>
        </w:rPr>
        <w:fldChar w:fldCharType="end"/>
      </w:r>
      <w:r w:rsidRPr="00304219">
        <w:rPr>
          <w:rFonts w:ascii="Arial" w:hAnsi="Arial" w:cs="Arial"/>
          <w:sz w:val="22"/>
          <w:szCs w:val="22"/>
        </w:rPr>
        <w:t>.</w:t>
      </w:r>
      <w:r w:rsidRPr="00304219">
        <w:rPr>
          <w:rFonts w:ascii="Arial" w:hAnsi="Arial" w:cs="Arial"/>
          <w:sz w:val="22"/>
          <w:szCs w:val="22"/>
        </w:rPr>
        <w:tab/>
      </w:r>
      <w:r w:rsidR="00A20E22" w:rsidRPr="00304219">
        <w:rPr>
          <w:rFonts w:ascii="Arial" w:hAnsi="Arial" w:cs="Arial"/>
          <w:sz w:val="22"/>
          <w:szCs w:val="22"/>
        </w:rPr>
        <w:t xml:space="preserve">Coordinación de la </w:t>
      </w:r>
      <w:r w:rsidR="00724C99" w:rsidRPr="00304219">
        <w:rPr>
          <w:rFonts w:ascii="Arial" w:hAnsi="Arial" w:cs="Arial"/>
          <w:sz w:val="22"/>
          <w:szCs w:val="22"/>
        </w:rPr>
        <w:t>Evaluación</w:t>
      </w:r>
      <w:r w:rsidR="00A20E22" w:rsidRPr="00304219">
        <w:rPr>
          <w:rFonts w:ascii="Arial" w:hAnsi="Arial" w:cs="Arial"/>
          <w:sz w:val="22"/>
          <w:szCs w:val="22"/>
        </w:rPr>
        <w:t xml:space="preserve">, </w:t>
      </w:r>
      <w:r w:rsidR="00724C99" w:rsidRPr="00304219">
        <w:rPr>
          <w:rFonts w:ascii="Arial" w:hAnsi="Arial" w:cs="Arial"/>
          <w:sz w:val="22"/>
          <w:szCs w:val="22"/>
        </w:rPr>
        <w:t xml:space="preserve">Plan </w:t>
      </w:r>
      <w:r w:rsidR="00A20E22" w:rsidRPr="00304219">
        <w:rPr>
          <w:rFonts w:ascii="Arial" w:hAnsi="Arial" w:cs="Arial"/>
          <w:sz w:val="22"/>
          <w:szCs w:val="22"/>
        </w:rPr>
        <w:t xml:space="preserve">de </w:t>
      </w:r>
      <w:r w:rsidR="00724C99" w:rsidRPr="00304219">
        <w:rPr>
          <w:rFonts w:ascii="Arial" w:hAnsi="Arial" w:cs="Arial"/>
          <w:sz w:val="22"/>
          <w:szCs w:val="22"/>
        </w:rPr>
        <w:t xml:space="preserve">Trabajo </w:t>
      </w:r>
      <w:r w:rsidR="00A20E22" w:rsidRPr="00304219">
        <w:rPr>
          <w:rFonts w:ascii="Arial" w:hAnsi="Arial" w:cs="Arial"/>
          <w:sz w:val="22"/>
          <w:szCs w:val="22"/>
        </w:rPr>
        <w:t xml:space="preserve">y </w:t>
      </w:r>
      <w:r w:rsidR="00724C99" w:rsidRPr="00304219">
        <w:rPr>
          <w:rFonts w:ascii="Arial" w:hAnsi="Arial" w:cs="Arial"/>
          <w:sz w:val="22"/>
          <w:szCs w:val="22"/>
        </w:rPr>
        <w:t>Presupuesto</w:t>
      </w:r>
      <w:bookmarkEnd w:id="34"/>
    </w:p>
    <w:p w14:paraId="4DA31174" w14:textId="3762173B" w:rsidR="00745D68" w:rsidRPr="00304219" w:rsidRDefault="00A20E22" w:rsidP="00D549DF">
      <w:pPr>
        <w:pStyle w:val="Paragraph"/>
        <w:spacing w:before="60"/>
        <w:rPr>
          <w:rFonts w:ascii="Arial" w:hAnsi="Arial" w:cs="Arial"/>
          <w:sz w:val="22"/>
          <w:szCs w:val="22"/>
        </w:rPr>
      </w:pPr>
      <w:r w:rsidRPr="00304219">
        <w:rPr>
          <w:rFonts w:ascii="Arial" w:hAnsi="Arial" w:cs="Arial"/>
          <w:sz w:val="22"/>
          <w:szCs w:val="22"/>
        </w:rPr>
        <w:t>La UTE tendrá, entre otras, la funci</w:t>
      </w:r>
      <w:r w:rsidR="001E1E28" w:rsidRPr="00304219">
        <w:rPr>
          <w:rFonts w:ascii="Arial" w:hAnsi="Arial" w:cs="Arial"/>
          <w:sz w:val="22"/>
          <w:szCs w:val="22"/>
        </w:rPr>
        <w:t xml:space="preserve">ón de coordinar no solo la ejecución general de todo el programa </w:t>
      </w:r>
      <w:r w:rsidR="00111B42" w:rsidRPr="00304219">
        <w:rPr>
          <w:rFonts w:ascii="Arial" w:hAnsi="Arial" w:cs="Arial"/>
          <w:sz w:val="22"/>
          <w:szCs w:val="22"/>
        </w:rPr>
        <w:t>sino también</w:t>
      </w:r>
      <w:r w:rsidR="001E1E28" w:rsidRPr="00304219">
        <w:rPr>
          <w:rFonts w:ascii="Arial" w:hAnsi="Arial" w:cs="Arial"/>
          <w:sz w:val="22"/>
          <w:szCs w:val="22"/>
        </w:rPr>
        <w:t xml:space="preserve"> asegurar que los trabajos de evaluación </w:t>
      </w:r>
      <w:r w:rsidR="00111B42" w:rsidRPr="00304219">
        <w:rPr>
          <w:rFonts w:ascii="Arial" w:hAnsi="Arial" w:cs="Arial"/>
          <w:sz w:val="22"/>
          <w:szCs w:val="22"/>
        </w:rPr>
        <w:t xml:space="preserve">sean realizados oportunamente. </w:t>
      </w:r>
      <w:r w:rsidR="001E1E28" w:rsidRPr="00304219">
        <w:rPr>
          <w:rFonts w:ascii="Arial" w:hAnsi="Arial" w:cs="Arial"/>
          <w:sz w:val="22"/>
          <w:szCs w:val="22"/>
        </w:rPr>
        <w:t xml:space="preserve">SONAPI, a partir de la presente etapa del programa, </w:t>
      </w:r>
      <w:r w:rsidR="00111B42" w:rsidRPr="00304219">
        <w:rPr>
          <w:rFonts w:ascii="Arial" w:hAnsi="Arial" w:cs="Arial"/>
          <w:sz w:val="22"/>
          <w:szCs w:val="22"/>
        </w:rPr>
        <w:t xml:space="preserve">desde la operación anterior, asume </w:t>
      </w:r>
      <w:r w:rsidR="001E1E28" w:rsidRPr="00304219">
        <w:rPr>
          <w:rFonts w:ascii="Arial" w:hAnsi="Arial" w:cs="Arial"/>
          <w:sz w:val="22"/>
          <w:szCs w:val="22"/>
        </w:rPr>
        <w:t>una co</w:t>
      </w:r>
      <w:r w:rsidR="00F82596" w:rsidRPr="00304219">
        <w:rPr>
          <w:rFonts w:ascii="Arial" w:hAnsi="Arial" w:cs="Arial"/>
          <w:sz w:val="22"/>
          <w:szCs w:val="22"/>
        </w:rPr>
        <w:t>r</w:t>
      </w:r>
      <w:r w:rsidR="001E1E28" w:rsidRPr="00304219">
        <w:rPr>
          <w:rFonts w:ascii="Arial" w:hAnsi="Arial" w:cs="Arial"/>
          <w:sz w:val="22"/>
          <w:szCs w:val="22"/>
        </w:rPr>
        <w:t>responsabilidad en relación a la recolección de datos directamente con l</w:t>
      </w:r>
      <w:r w:rsidR="00745D68" w:rsidRPr="00304219">
        <w:rPr>
          <w:rFonts w:ascii="Arial" w:hAnsi="Arial" w:cs="Arial"/>
          <w:sz w:val="22"/>
          <w:szCs w:val="22"/>
        </w:rPr>
        <w:t xml:space="preserve">as firmas instadas en el PIC.  </w:t>
      </w:r>
    </w:p>
    <w:p w14:paraId="03E178A5" w14:textId="15E89A50" w:rsidR="00A77D34" w:rsidRPr="00304219" w:rsidRDefault="00A20E22" w:rsidP="00D549DF">
      <w:pPr>
        <w:pStyle w:val="Paragraph"/>
        <w:spacing w:before="60"/>
        <w:rPr>
          <w:rFonts w:ascii="Arial" w:hAnsi="Arial" w:cs="Arial"/>
          <w:sz w:val="22"/>
          <w:szCs w:val="22"/>
        </w:rPr>
      </w:pPr>
      <w:r w:rsidRPr="00304219">
        <w:rPr>
          <w:rFonts w:ascii="Arial" w:hAnsi="Arial" w:cs="Arial"/>
          <w:sz w:val="22"/>
          <w:szCs w:val="22"/>
        </w:rPr>
        <w:t xml:space="preserve">Las actividades de evaluación </w:t>
      </w:r>
      <w:r w:rsidR="001B2A77" w:rsidRPr="00304219">
        <w:rPr>
          <w:rFonts w:ascii="Arial" w:hAnsi="Arial" w:cs="Arial"/>
          <w:sz w:val="22"/>
          <w:szCs w:val="22"/>
        </w:rPr>
        <w:t>reflexiva</w:t>
      </w:r>
      <w:r w:rsidR="008232AA" w:rsidRPr="00304219">
        <w:rPr>
          <w:rFonts w:ascii="Arial" w:hAnsi="Arial" w:cs="Arial"/>
          <w:sz w:val="22"/>
          <w:szCs w:val="22"/>
        </w:rPr>
        <w:t xml:space="preserve"> y de </w:t>
      </w:r>
      <w:r w:rsidR="000701AB" w:rsidRPr="00304219">
        <w:rPr>
          <w:rFonts w:ascii="Arial" w:hAnsi="Arial" w:cs="Arial"/>
          <w:sz w:val="22"/>
          <w:szCs w:val="22"/>
        </w:rPr>
        <w:t xml:space="preserve">costo-beneficio </w:t>
      </w:r>
      <w:r w:rsidRPr="00304219">
        <w:rPr>
          <w:rFonts w:ascii="Arial" w:hAnsi="Arial" w:cs="Arial"/>
          <w:sz w:val="22"/>
          <w:szCs w:val="22"/>
        </w:rPr>
        <w:t xml:space="preserve">serán realizadas por </w:t>
      </w:r>
      <w:r w:rsidR="000701AB" w:rsidRPr="00304219">
        <w:rPr>
          <w:rFonts w:ascii="Arial" w:hAnsi="Arial" w:cs="Arial"/>
          <w:sz w:val="22"/>
          <w:szCs w:val="22"/>
        </w:rPr>
        <w:t>consultor</w:t>
      </w:r>
      <w:r w:rsidR="00745D68" w:rsidRPr="00304219">
        <w:rPr>
          <w:rFonts w:ascii="Arial" w:hAnsi="Arial" w:cs="Arial"/>
          <w:sz w:val="22"/>
          <w:szCs w:val="22"/>
        </w:rPr>
        <w:t>es individuales</w:t>
      </w:r>
      <w:r w:rsidR="000701AB" w:rsidRPr="00304219">
        <w:rPr>
          <w:rFonts w:ascii="Arial" w:hAnsi="Arial" w:cs="Arial"/>
          <w:sz w:val="22"/>
          <w:szCs w:val="22"/>
        </w:rPr>
        <w:t xml:space="preserve"> o por </w:t>
      </w:r>
      <w:r w:rsidRPr="00304219">
        <w:rPr>
          <w:rFonts w:ascii="Arial" w:hAnsi="Arial" w:cs="Arial"/>
          <w:sz w:val="22"/>
          <w:szCs w:val="22"/>
        </w:rPr>
        <w:t>una firma consultora</w:t>
      </w:r>
      <w:r w:rsidR="00745D68" w:rsidRPr="00304219">
        <w:rPr>
          <w:rFonts w:ascii="Arial" w:hAnsi="Arial" w:cs="Arial"/>
          <w:sz w:val="22"/>
          <w:szCs w:val="22"/>
        </w:rPr>
        <w:t xml:space="preserve">. Sus responsabilidades son </w:t>
      </w:r>
      <w:r w:rsidR="008232AA" w:rsidRPr="00304219">
        <w:rPr>
          <w:rFonts w:ascii="Arial" w:hAnsi="Arial" w:cs="Arial"/>
          <w:sz w:val="22"/>
          <w:szCs w:val="22"/>
        </w:rPr>
        <w:t>a</w:t>
      </w:r>
      <w:r w:rsidR="00745D68" w:rsidRPr="00304219">
        <w:rPr>
          <w:rFonts w:ascii="Arial" w:hAnsi="Arial" w:cs="Arial"/>
          <w:sz w:val="22"/>
          <w:szCs w:val="22"/>
        </w:rPr>
        <w:t xml:space="preserve">l </w:t>
      </w:r>
      <w:r w:rsidRPr="00304219">
        <w:rPr>
          <w:rFonts w:ascii="Arial" w:hAnsi="Arial" w:cs="Arial"/>
          <w:sz w:val="22"/>
          <w:szCs w:val="22"/>
        </w:rPr>
        <w:t>final del período de ejecución</w:t>
      </w:r>
      <w:r w:rsidR="00745D68" w:rsidRPr="00304219">
        <w:rPr>
          <w:rFonts w:ascii="Arial" w:hAnsi="Arial" w:cs="Arial"/>
          <w:sz w:val="22"/>
          <w:szCs w:val="22"/>
        </w:rPr>
        <w:t xml:space="preserve"> (de la presente etapa)</w:t>
      </w:r>
      <w:r w:rsidRPr="00304219">
        <w:rPr>
          <w:rFonts w:ascii="Arial" w:hAnsi="Arial" w:cs="Arial"/>
          <w:sz w:val="22"/>
          <w:szCs w:val="22"/>
        </w:rPr>
        <w:t xml:space="preserve">, realizar la evaluación </w:t>
      </w:r>
      <w:r w:rsidR="00745D68" w:rsidRPr="00304219">
        <w:rPr>
          <w:rFonts w:ascii="Arial" w:hAnsi="Arial" w:cs="Arial"/>
          <w:sz w:val="22"/>
          <w:szCs w:val="22"/>
        </w:rPr>
        <w:t>de resultados del programa hasta el momento, conjuntamente con la evaluación económica</w:t>
      </w:r>
      <w:r w:rsidRPr="00304219">
        <w:rPr>
          <w:rFonts w:ascii="Arial" w:hAnsi="Arial" w:cs="Arial"/>
          <w:sz w:val="22"/>
          <w:szCs w:val="22"/>
        </w:rPr>
        <w:t xml:space="preserve">. </w:t>
      </w:r>
    </w:p>
    <w:p w14:paraId="0E12BC1A" w14:textId="496D56EF" w:rsidR="009C2AE9" w:rsidRPr="00304219" w:rsidRDefault="00561F53" w:rsidP="00D549DF">
      <w:pPr>
        <w:pStyle w:val="Chapter"/>
        <w:numPr>
          <w:ilvl w:val="0"/>
          <w:numId w:val="0"/>
        </w:numPr>
        <w:spacing w:before="0" w:after="0"/>
        <w:ind w:left="288"/>
        <w:rPr>
          <w:rFonts w:ascii="Arial" w:hAnsi="Arial" w:cs="Arial"/>
          <w:sz w:val="22"/>
          <w:szCs w:val="22"/>
        </w:rPr>
      </w:pPr>
      <w:bookmarkStart w:id="35" w:name="_Toc433353692"/>
      <w:bookmarkStart w:id="36" w:name="_Toc433354371"/>
      <w:r w:rsidRPr="00304219">
        <w:rPr>
          <w:rFonts w:ascii="Arial" w:hAnsi="Arial" w:cs="Arial"/>
          <w:smallCaps w:val="0"/>
          <w:sz w:val="22"/>
          <w:szCs w:val="22"/>
        </w:rPr>
        <w:t>Tabla 6</w:t>
      </w:r>
      <w:r w:rsidR="00950A23">
        <w:rPr>
          <w:rFonts w:ascii="Arial" w:hAnsi="Arial" w:cs="Arial"/>
          <w:smallCaps w:val="0"/>
          <w:sz w:val="22"/>
          <w:szCs w:val="22"/>
        </w:rPr>
        <w:t xml:space="preserve">. </w:t>
      </w:r>
      <w:r w:rsidR="00A20E22" w:rsidRPr="00304219">
        <w:rPr>
          <w:rFonts w:ascii="Arial" w:hAnsi="Arial" w:cs="Arial"/>
          <w:smallCaps w:val="0"/>
          <w:sz w:val="22"/>
          <w:szCs w:val="22"/>
        </w:rPr>
        <w:t xml:space="preserve">Plan de </w:t>
      </w:r>
      <w:r w:rsidR="005D0FD1" w:rsidRPr="00304219">
        <w:rPr>
          <w:rFonts w:ascii="Arial" w:hAnsi="Arial" w:cs="Arial"/>
          <w:smallCaps w:val="0"/>
          <w:sz w:val="22"/>
          <w:szCs w:val="22"/>
        </w:rPr>
        <w:t xml:space="preserve">Trabajo </w:t>
      </w:r>
      <w:r w:rsidR="00A20E22" w:rsidRPr="00304219">
        <w:rPr>
          <w:rFonts w:ascii="Arial" w:hAnsi="Arial" w:cs="Arial"/>
          <w:smallCaps w:val="0"/>
          <w:sz w:val="22"/>
          <w:szCs w:val="22"/>
        </w:rPr>
        <w:t xml:space="preserve">y </w:t>
      </w:r>
      <w:r w:rsidR="005D0FD1" w:rsidRPr="00304219">
        <w:rPr>
          <w:rFonts w:ascii="Arial" w:hAnsi="Arial" w:cs="Arial"/>
          <w:smallCaps w:val="0"/>
          <w:sz w:val="22"/>
          <w:szCs w:val="22"/>
        </w:rPr>
        <w:t>Presupuesto</w:t>
      </w:r>
      <w:r w:rsidR="00A20E22" w:rsidRPr="00304219">
        <w:rPr>
          <w:rFonts w:ascii="Arial" w:hAnsi="Arial" w:cs="Arial"/>
          <w:smallCaps w:val="0"/>
          <w:sz w:val="22"/>
          <w:szCs w:val="22"/>
        </w:rPr>
        <w:t xml:space="preserve"> para </w:t>
      </w:r>
      <w:r w:rsidR="005D0FD1" w:rsidRPr="00304219">
        <w:rPr>
          <w:rFonts w:ascii="Arial" w:hAnsi="Arial" w:cs="Arial"/>
          <w:smallCaps w:val="0"/>
          <w:sz w:val="22"/>
          <w:szCs w:val="22"/>
        </w:rPr>
        <w:t>E</w:t>
      </w:r>
      <w:r w:rsidR="00A20E22" w:rsidRPr="00304219">
        <w:rPr>
          <w:rFonts w:ascii="Arial" w:hAnsi="Arial" w:cs="Arial"/>
          <w:smallCaps w:val="0"/>
          <w:sz w:val="22"/>
          <w:szCs w:val="22"/>
        </w:rPr>
        <w:t>valuación</w:t>
      </w:r>
      <w:r w:rsidR="00142F0A" w:rsidRPr="00304219">
        <w:rPr>
          <w:rFonts w:ascii="Arial" w:hAnsi="Arial" w:cs="Arial"/>
          <w:smallCaps w:val="0"/>
          <w:sz w:val="22"/>
          <w:szCs w:val="22"/>
        </w:rPr>
        <w:t>(*)</w:t>
      </w:r>
      <w:bookmarkEnd w:id="35"/>
      <w:bookmarkEnd w:id="36"/>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3"/>
        <w:gridCol w:w="360"/>
        <w:gridCol w:w="360"/>
        <w:gridCol w:w="540"/>
        <w:gridCol w:w="360"/>
        <w:gridCol w:w="450"/>
        <w:gridCol w:w="450"/>
        <w:gridCol w:w="1800"/>
        <w:gridCol w:w="1651"/>
      </w:tblGrid>
      <w:tr w:rsidR="00C659FB" w:rsidRPr="00304219" w14:paraId="549D24CD" w14:textId="77777777" w:rsidTr="00D549DF">
        <w:trPr>
          <w:trHeight w:val="102"/>
          <w:jc w:val="center"/>
        </w:trPr>
        <w:tc>
          <w:tcPr>
            <w:tcW w:w="3263" w:type="dxa"/>
            <w:vMerge w:val="restart"/>
            <w:shd w:val="clear" w:color="auto" w:fill="auto"/>
          </w:tcPr>
          <w:p w14:paraId="7FC6DB07" w14:textId="77777777" w:rsidR="00C659FB" w:rsidRPr="00304219" w:rsidRDefault="00C659FB" w:rsidP="00D04CE7">
            <w:pPr>
              <w:jc w:val="center"/>
              <w:rPr>
                <w:rFonts w:ascii="Arial" w:eastAsia="Calibri" w:hAnsi="Arial" w:cs="Arial"/>
                <w:b/>
                <w:sz w:val="20"/>
              </w:rPr>
            </w:pPr>
            <w:r w:rsidRPr="00304219">
              <w:rPr>
                <w:rFonts w:ascii="Arial" w:eastAsia="Calibri" w:hAnsi="Arial" w:cs="Arial"/>
                <w:b/>
                <w:sz w:val="20"/>
              </w:rPr>
              <w:t>Actividades / Productos por Actividad</w:t>
            </w:r>
          </w:p>
        </w:tc>
        <w:tc>
          <w:tcPr>
            <w:tcW w:w="720" w:type="dxa"/>
            <w:gridSpan w:val="2"/>
            <w:shd w:val="clear" w:color="auto" w:fill="auto"/>
          </w:tcPr>
          <w:p w14:paraId="0ACD947B" w14:textId="5ED3F719" w:rsidR="00C659FB" w:rsidRPr="00304219" w:rsidRDefault="00C659FB">
            <w:pPr>
              <w:jc w:val="center"/>
              <w:rPr>
                <w:rFonts w:ascii="Arial" w:eastAsia="Calibri" w:hAnsi="Arial" w:cs="Arial"/>
                <w:b/>
                <w:sz w:val="20"/>
              </w:rPr>
            </w:pPr>
            <w:r w:rsidRPr="00304219">
              <w:rPr>
                <w:rFonts w:ascii="Arial" w:eastAsia="Calibri" w:hAnsi="Arial" w:cs="Arial"/>
                <w:b/>
                <w:sz w:val="20"/>
              </w:rPr>
              <w:t>Año 2017</w:t>
            </w:r>
          </w:p>
        </w:tc>
        <w:tc>
          <w:tcPr>
            <w:tcW w:w="900" w:type="dxa"/>
            <w:gridSpan w:val="2"/>
            <w:shd w:val="clear" w:color="auto" w:fill="auto"/>
          </w:tcPr>
          <w:p w14:paraId="0BC5ECC2" w14:textId="262141C6" w:rsidR="00C659FB" w:rsidRPr="00304219" w:rsidRDefault="00C659FB">
            <w:pPr>
              <w:jc w:val="center"/>
              <w:rPr>
                <w:rFonts w:ascii="Arial" w:eastAsia="Calibri" w:hAnsi="Arial" w:cs="Arial"/>
                <w:b/>
                <w:sz w:val="20"/>
              </w:rPr>
            </w:pPr>
            <w:r w:rsidRPr="00304219">
              <w:rPr>
                <w:rFonts w:ascii="Arial" w:eastAsia="Calibri" w:hAnsi="Arial" w:cs="Arial"/>
                <w:b/>
                <w:sz w:val="20"/>
              </w:rPr>
              <w:t>Año 2018</w:t>
            </w:r>
          </w:p>
        </w:tc>
        <w:tc>
          <w:tcPr>
            <w:tcW w:w="900" w:type="dxa"/>
            <w:gridSpan w:val="2"/>
          </w:tcPr>
          <w:p w14:paraId="1CEDEE72" w14:textId="4574EB7D" w:rsidR="00C659FB" w:rsidRPr="00304219" w:rsidRDefault="00C659FB" w:rsidP="005F0E82">
            <w:pPr>
              <w:jc w:val="center"/>
              <w:rPr>
                <w:rFonts w:ascii="Arial" w:eastAsia="Calibri" w:hAnsi="Arial" w:cs="Arial"/>
                <w:b/>
                <w:sz w:val="20"/>
              </w:rPr>
            </w:pPr>
            <w:r w:rsidRPr="00304219">
              <w:rPr>
                <w:rFonts w:ascii="Arial" w:eastAsia="Calibri" w:hAnsi="Arial" w:cs="Arial"/>
                <w:b/>
                <w:sz w:val="20"/>
              </w:rPr>
              <w:t>Año 2019</w:t>
            </w:r>
          </w:p>
        </w:tc>
        <w:tc>
          <w:tcPr>
            <w:tcW w:w="1800" w:type="dxa"/>
            <w:shd w:val="clear" w:color="auto" w:fill="auto"/>
          </w:tcPr>
          <w:p w14:paraId="6EE1543E" w14:textId="77777777" w:rsidR="00C659FB" w:rsidRPr="00304219" w:rsidRDefault="00C659FB" w:rsidP="00D04CE7">
            <w:pPr>
              <w:jc w:val="center"/>
              <w:rPr>
                <w:rFonts w:ascii="Arial" w:eastAsia="Calibri" w:hAnsi="Arial" w:cs="Arial"/>
                <w:b/>
                <w:sz w:val="20"/>
              </w:rPr>
            </w:pPr>
            <w:r w:rsidRPr="00304219">
              <w:rPr>
                <w:rFonts w:ascii="Arial" w:eastAsia="Calibri" w:hAnsi="Arial" w:cs="Arial"/>
                <w:b/>
                <w:sz w:val="20"/>
              </w:rPr>
              <w:t>Responsable</w:t>
            </w:r>
          </w:p>
        </w:tc>
        <w:tc>
          <w:tcPr>
            <w:tcW w:w="1651" w:type="dxa"/>
            <w:shd w:val="clear" w:color="auto" w:fill="auto"/>
          </w:tcPr>
          <w:p w14:paraId="5569BDA4" w14:textId="77777777" w:rsidR="00C659FB" w:rsidRPr="00304219" w:rsidRDefault="00C659FB" w:rsidP="00D549DF">
            <w:pPr>
              <w:ind w:right="-77"/>
              <w:rPr>
                <w:rFonts w:ascii="Arial" w:eastAsia="Calibri" w:hAnsi="Arial" w:cs="Arial"/>
                <w:b/>
                <w:sz w:val="20"/>
              </w:rPr>
            </w:pPr>
            <w:r w:rsidRPr="00304219">
              <w:rPr>
                <w:rFonts w:ascii="Arial" w:eastAsia="Calibri" w:hAnsi="Arial" w:cs="Arial"/>
                <w:b/>
                <w:sz w:val="20"/>
              </w:rPr>
              <w:t>Financiamiento</w:t>
            </w:r>
          </w:p>
        </w:tc>
      </w:tr>
      <w:tr w:rsidR="00950A23" w:rsidRPr="00304219" w14:paraId="6DA57DA3" w14:textId="77777777" w:rsidTr="00D549DF">
        <w:trPr>
          <w:jc w:val="center"/>
        </w:trPr>
        <w:tc>
          <w:tcPr>
            <w:tcW w:w="3263" w:type="dxa"/>
            <w:vMerge/>
          </w:tcPr>
          <w:p w14:paraId="2B99BFB7" w14:textId="77777777" w:rsidR="001B2A77" w:rsidRPr="00304219" w:rsidRDefault="001B2A77" w:rsidP="00D04CE7">
            <w:pPr>
              <w:jc w:val="center"/>
              <w:rPr>
                <w:rFonts w:ascii="Arial" w:eastAsia="Calibri" w:hAnsi="Arial" w:cs="Arial"/>
                <w:b/>
                <w:sz w:val="20"/>
              </w:rPr>
            </w:pPr>
          </w:p>
        </w:tc>
        <w:tc>
          <w:tcPr>
            <w:tcW w:w="360" w:type="dxa"/>
            <w:shd w:val="clear" w:color="auto" w:fill="auto"/>
          </w:tcPr>
          <w:p w14:paraId="445C90E5" w14:textId="77777777" w:rsidR="001B2A77" w:rsidRPr="00304219" w:rsidRDefault="001B2A77" w:rsidP="00D04CE7">
            <w:pPr>
              <w:keepLines/>
              <w:framePr w:wrap="around" w:vAnchor="text" w:hAnchor="text" w:y="1"/>
              <w:spacing w:before="20" w:after="20"/>
              <w:jc w:val="center"/>
              <w:rPr>
                <w:rFonts w:ascii="Arial" w:eastAsia="Calibri" w:hAnsi="Arial" w:cs="Arial"/>
                <w:b/>
                <w:sz w:val="20"/>
              </w:rPr>
            </w:pPr>
            <w:r w:rsidRPr="00304219">
              <w:rPr>
                <w:rFonts w:ascii="Arial" w:eastAsia="Calibri" w:hAnsi="Arial" w:cs="Arial"/>
                <w:b/>
                <w:sz w:val="20"/>
              </w:rPr>
              <w:t>1</w:t>
            </w:r>
          </w:p>
        </w:tc>
        <w:tc>
          <w:tcPr>
            <w:tcW w:w="360" w:type="dxa"/>
            <w:shd w:val="clear" w:color="auto" w:fill="auto"/>
          </w:tcPr>
          <w:p w14:paraId="2E2F6A9F" w14:textId="77777777" w:rsidR="001B2A77" w:rsidRPr="00304219" w:rsidRDefault="001B2A77" w:rsidP="00D04CE7">
            <w:pPr>
              <w:keepLines/>
              <w:framePr w:wrap="around" w:vAnchor="text" w:hAnchor="text" w:y="1"/>
              <w:spacing w:before="20" w:after="20"/>
              <w:jc w:val="center"/>
              <w:rPr>
                <w:rFonts w:ascii="Arial" w:eastAsia="Calibri" w:hAnsi="Arial" w:cs="Arial"/>
                <w:b/>
                <w:sz w:val="20"/>
              </w:rPr>
            </w:pPr>
            <w:r w:rsidRPr="00304219">
              <w:rPr>
                <w:rFonts w:ascii="Arial" w:eastAsia="Calibri" w:hAnsi="Arial" w:cs="Arial"/>
                <w:b/>
                <w:sz w:val="20"/>
              </w:rPr>
              <w:t>2</w:t>
            </w:r>
          </w:p>
        </w:tc>
        <w:tc>
          <w:tcPr>
            <w:tcW w:w="540" w:type="dxa"/>
            <w:shd w:val="clear" w:color="auto" w:fill="auto"/>
          </w:tcPr>
          <w:p w14:paraId="6C1A2FE6" w14:textId="77777777" w:rsidR="001B2A77" w:rsidRPr="00304219" w:rsidRDefault="001B2A77" w:rsidP="005F0E82">
            <w:pPr>
              <w:keepLines/>
              <w:framePr w:wrap="around" w:vAnchor="text" w:hAnchor="text" w:y="1"/>
              <w:spacing w:before="20" w:after="20"/>
              <w:jc w:val="center"/>
              <w:rPr>
                <w:rFonts w:ascii="Arial" w:eastAsia="Calibri" w:hAnsi="Arial" w:cs="Arial"/>
                <w:b/>
                <w:sz w:val="20"/>
              </w:rPr>
            </w:pPr>
            <w:r w:rsidRPr="00304219">
              <w:rPr>
                <w:rFonts w:ascii="Arial" w:eastAsia="Calibri" w:hAnsi="Arial" w:cs="Arial"/>
                <w:b/>
                <w:sz w:val="20"/>
              </w:rPr>
              <w:t>1</w:t>
            </w:r>
          </w:p>
        </w:tc>
        <w:tc>
          <w:tcPr>
            <w:tcW w:w="360" w:type="dxa"/>
            <w:shd w:val="clear" w:color="auto" w:fill="auto"/>
          </w:tcPr>
          <w:p w14:paraId="43AC781A" w14:textId="77777777" w:rsidR="001B2A77" w:rsidRPr="00304219" w:rsidRDefault="001B2A77" w:rsidP="005F0E82">
            <w:pPr>
              <w:keepLines/>
              <w:framePr w:wrap="around" w:vAnchor="text" w:hAnchor="text" w:y="1"/>
              <w:spacing w:before="20" w:after="20"/>
              <w:jc w:val="center"/>
              <w:rPr>
                <w:rFonts w:ascii="Arial" w:eastAsia="Calibri" w:hAnsi="Arial" w:cs="Arial"/>
                <w:b/>
                <w:sz w:val="20"/>
              </w:rPr>
            </w:pPr>
            <w:r w:rsidRPr="00304219">
              <w:rPr>
                <w:rFonts w:ascii="Arial" w:eastAsia="Calibri" w:hAnsi="Arial" w:cs="Arial"/>
                <w:b/>
                <w:sz w:val="20"/>
              </w:rPr>
              <w:t>2</w:t>
            </w:r>
          </w:p>
        </w:tc>
        <w:tc>
          <w:tcPr>
            <w:tcW w:w="450" w:type="dxa"/>
          </w:tcPr>
          <w:p w14:paraId="4A884680" w14:textId="317AF7C6" w:rsidR="001B2A77" w:rsidRPr="00304219" w:rsidRDefault="00C659FB" w:rsidP="005F0E82">
            <w:pPr>
              <w:keepLines/>
              <w:framePr w:wrap="around" w:vAnchor="text" w:hAnchor="text" w:y="1"/>
              <w:spacing w:before="20" w:after="20"/>
              <w:jc w:val="center"/>
              <w:rPr>
                <w:rFonts w:ascii="Arial" w:eastAsia="Calibri" w:hAnsi="Arial" w:cs="Arial"/>
                <w:b/>
                <w:sz w:val="20"/>
              </w:rPr>
            </w:pPr>
            <w:r w:rsidRPr="00304219">
              <w:rPr>
                <w:rFonts w:ascii="Arial" w:eastAsia="Calibri" w:hAnsi="Arial" w:cs="Arial"/>
                <w:b/>
                <w:sz w:val="20"/>
              </w:rPr>
              <w:t>1</w:t>
            </w:r>
          </w:p>
        </w:tc>
        <w:tc>
          <w:tcPr>
            <w:tcW w:w="450" w:type="dxa"/>
          </w:tcPr>
          <w:p w14:paraId="69057A28" w14:textId="558026D8" w:rsidR="001B2A77" w:rsidRPr="00304219" w:rsidRDefault="00C659FB" w:rsidP="005F0E82">
            <w:pPr>
              <w:keepLines/>
              <w:framePr w:wrap="around" w:vAnchor="text" w:hAnchor="text" w:y="1"/>
              <w:spacing w:before="20" w:after="20"/>
              <w:jc w:val="center"/>
              <w:rPr>
                <w:rFonts w:ascii="Arial" w:eastAsia="Calibri" w:hAnsi="Arial" w:cs="Arial"/>
                <w:b/>
                <w:sz w:val="20"/>
              </w:rPr>
            </w:pPr>
            <w:r w:rsidRPr="00304219">
              <w:rPr>
                <w:rFonts w:ascii="Arial" w:eastAsia="Calibri" w:hAnsi="Arial" w:cs="Arial"/>
                <w:b/>
                <w:sz w:val="20"/>
              </w:rPr>
              <w:t>2</w:t>
            </w:r>
          </w:p>
        </w:tc>
        <w:tc>
          <w:tcPr>
            <w:tcW w:w="1800" w:type="dxa"/>
          </w:tcPr>
          <w:p w14:paraId="122C52AF" w14:textId="77777777" w:rsidR="001B2A77" w:rsidRPr="00304219" w:rsidRDefault="001B2A77" w:rsidP="00B85A50">
            <w:pPr>
              <w:jc w:val="center"/>
              <w:rPr>
                <w:rFonts w:ascii="Arial" w:hAnsi="Arial" w:cs="Arial"/>
                <w:sz w:val="20"/>
              </w:rPr>
            </w:pPr>
          </w:p>
        </w:tc>
        <w:tc>
          <w:tcPr>
            <w:tcW w:w="1651" w:type="dxa"/>
          </w:tcPr>
          <w:p w14:paraId="496CCA9B" w14:textId="77777777" w:rsidR="001B2A77" w:rsidRPr="00304219" w:rsidRDefault="001B2A77" w:rsidP="00B85A50">
            <w:pPr>
              <w:jc w:val="center"/>
              <w:rPr>
                <w:rFonts w:ascii="Arial" w:hAnsi="Arial" w:cs="Arial"/>
                <w:sz w:val="20"/>
              </w:rPr>
            </w:pPr>
          </w:p>
        </w:tc>
      </w:tr>
      <w:tr w:rsidR="00950A23" w:rsidRPr="00304219" w14:paraId="4BCD6565" w14:textId="77777777" w:rsidTr="00D549DF">
        <w:trPr>
          <w:jc w:val="center"/>
        </w:trPr>
        <w:tc>
          <w:tcPr>
            <w:tcW w:w="3263" w:type="dxa"/>
            <w:shd w:val="clear" w:color="auto" w:fill="auto"/>
          </w:tcPr>
          <w:p w14:paraId="00D1D48C" w14:textId="77777777" w:rsidR="001B2A77" w:rsidRPr="00304219" w:rsidRDefault="001B2A77" w:rsidP="00CE5EE6">
            <w:pPr>
              <w:rPr>
                <w:rFonts w:ascii="Arial" w:eastAsia="Calibri" w:hAnsi="Arial" w:cs="Arial"/>
                <w:sz w:val="20"/>
              </w:rPr>
            </w:pPr>
            <w:r w:rsidRPr="00304219">
              <w:rPr>
                <w:rFonts w:ascii="Arial" w:hAnsi="Arial" w:cs="Arial"/>
                <w:sz w:val="20"/>
              </w:rPr>
              <w:t>Seguimiento anual</w:t>
            </w:r>
            <w:r w:rsidRPr="00304219">
              <w:rPr>
                <w:rFonts w:ascii="Arial" w:eastAsia="Calibri" w:hAnsi="Arial" w:cs="Arial"/>
                <w:sz w:val="20"/>
              </w:rPr>
              <w:t xml:space="preserve"> y análisis de los datos </w:t>
            </w:r>
          </w:p>
        </w:tc>
        <w:tc>
          <w:tcPr>
            <w:tcW w:w="360" w:type="dxa"/>
            <w:shd w:val="clear" w:color="auto" w:fill="auto"/>
            <w:vAlign w:val="center"/>
          </w:tcPr>
          <w:p w14:paraId="0CD3BBEE" w14:textId="77777777" w:rsidR="001B2A77" w:rsidRPr="00304219" w:rsidRDefault="001B2A77" w:rsidP="00D04CE7">
            <w:pPr>
              <w:jc w:val="center"/>
              <w:rPr>
                <w:rFonts w:ascii="Arial" w:eastAsia="Calibri" w:hAnsi="Arial" w:cs="Arial"/>
                <w:sz w:val="20"/>
              </w:rPr>
            </w:pPr>
          </w:p>
        </w:tc>
        <w:tc>
          <w:tcPr>
            <w:tcW w:w="360" w:type="dxa"/>
            <w:shd w:val="clear" w:color="auto" w:fill="auto"/>
            <w:vAlign w:val="center"/>
          </w:tcPr>
          <w:p w14:paraId="31DD4E5D" w14:textId="77777777" w:rsidR="001B2A77" w:rsidRPr="00304219" w:rsidRDefault="001B2A77" w:rsidP="00D04CE7">
            <w:pPr>
              <w:jc w:val="center"/>
              <w:rPr>
                <w:rFonts w:ascii="Arial" w:eastAsia="Calibri" w:hAnsi="Arial" w:cs="Arial"/>
                <w:sz w:val="20"/>
              </w:rPr>
            </w:pPr>
            <w:r w:rsidRPr="00304219">
              <w:rPr>
                <w:rFonts w:ascii="Arial" w:eastAsia="Calibri" w:hAnsi="Arial" w:cs="Arial"/>
                <w:sz w:val="20"/>
              </w:rPr>
              <w:t>X</w:t>
            </w:r>
          </w:p>
        </w:tc>
        <w:tc>
          <w:tcPr>
            <w:tcW w:w="540" w:type="dxa"/>
            <w:shd w:val="clear" w:color="auto" w:fill="auto"/>
            <w:vAlign w:val="center"/>
          </w:tcPr>
          <w:p w14:paraId="12140DE8" w14:textId="77777777" w:rsidR="001B2A77" w:rsidRPr="00304219" w:rsidRDefault="001B2A77" w:rsidP="005F0E82">
            <w:pPr>
              <w:jc w:val="center"/>
              <w:rPr>
                <w:rFonts w:ascii="Arial" w:eastAsia="Calibri" w:hAnsi="Arial" w:cs="Arial"/>
                <w:sz w:val="20"/>
              </w:rPr>
            </w:pPr>
          </w:p>
        </w:tc>
        <w:tc>
          <w:tcPr>
            <w:tcW w:w="360" w:type="dxa"/>
            <w:shd w:val="clear" w:color="auto" w:fill="auto"/>
            <w:vAlign w:val="center"/>
          </w:tcPr>
          <w:p w14:paraId="26663D62" w14:textId="77777777" w:rsidR="001B2A77" w:rsidRPr="00304219" w:rsidRDefault="001B2A77" w:rsidP="005F0E82">
            <w:pPr>
              <w:jc w:val="center"/>
              <w:rPr>
                <w:rFonts w:ascii="Arial" w:eastAsia="Calibri" w:hAnsi="Arial" w:cs="Arial"/>
                <w:sz w:val="20"/>
              </w:rPr>
            </w:pPr>
            <w:r w:rsidRPr="00304219">
              <w:rPr>
                <w:rFonts w:ascii="Arial" w:eastAsia="Calibri" w:hAnsi="Arial" w:cs="Arial"/>
                <w:sz w:val="20"/>
              </w:rPr>
              <w:t>X</w:t>
            </w:r>
          </w:p>
        </w:tc>
        <w:tc>
          <w:tcPr>
            <w:tcW w:w="450" w:type="dxa"/>
            <w:vAlign w:val="center"/>
          </w:tcPr>
          <w:p w14:paraId="3B4DAE5C" w14:textId="0246B60C" w:rsidR="001B2A77" w:rsidRPr="00304219" w:rsidRDefault="001B2A77" w:rsidP="005F0E82">
            <w:pPr>
              <w:jc w:val="center"/>
              <w:rPr>
                <w:rFonts w:ascii="Arial" w:eastAsia="Calibri" w:hAnsi="Arial" w:cs="Arial"/>
                <w:sz w:val="20"/>
              </w:rPr>
            </w:pPr>
          </w:p>
        </w:tc>
        <w:tc>
          <w:tcPr>
            <w:tcW w:w="450" w:type="dxa"/>
            <w:shd w:val="clear" w:color="auto" w:fill="auto"/>
            <w:vAlign w:val="center"/>
          </w:tcPr>
          <w:p w14:paraId="2E26C1C6" w14:textId="6DC2912B" w:rsidR="001B2A77" w:rsidRPr="00304219" w:rsidRDefault="00C659FB" w:rsidP="005F0E82">
            <w:pPr>
              <w:jc w:val="center"/>
              <w:rPr>
                <w:rFonts w:ascii="Arial" w:eastAsia="Calibri" w:hAnsi="Arial" w:cs="Arial"/>
                <w:sz w:val="20"/>
              </w:rPr>
            </w:pPr>
            <w:r w:rsidRPr="00304219">
              <w:rPr>
                <w:rFonts w:ascii="Arial" w:eastAsia="Calibri" w:hAnsi="Arial" w:cs="Arial"/>
                <w:sz w:val="20"/>
              </w:rPr>
              <w:t>X</w:t>
            </w:r>
          </w:p>
        </w:tc>
        <w:tc>
          <w:tcPr>
            <w:tcW w:w="1800" w:type="dxa"/>
            <w:shd w:val="clear" w:color="auto" w:fill="auto"/>
            <w:vAlign w:val="center"/>
          </w:tcPr>
          <w:p w14:paraId="1FE48985" w14:textId="0A475A56" w:rsidR="001B2A77" w:rsidRPr="00304219" w:rsidRDefault="001B2A77" w:rsidP="00D04CE7">
            <w:pPr>
              <w:jc w:val="center"/>
              <w:rPr>
                <w:rFonts w:ascii="Arial" w:eastAsia="Calibri" w:hAnsi="Arial" w:cs="Arial"/>
                <w:sz w:val="20"/>
              </w:rPr>
            </w:pPr>
            <w:r w:rsidRPr="00304219">
              <w:rPr>
                <w:rFonts w:ascii="Arial" w:eastAsia="Calibri" w:hAnsi="Arial" w:cs="Arial"/>
                <w:sz w:val="20"/>
              </w:rPr>
              <w:t>UTE</w:t>
            </w:r>
            <w:r w:rsidR="00111B42" w:rsidRPr="00304219">
              <w:rPr>
                <w:rFonts w:ascii="Arial" w:eastAsia="Calibri" w:hAnsi="Arial" w:cs="Arial"/>
                <w:sz w:val="20"/>
              </w:rPr>
              <w:t>/SONAPI</w:t>
            </w:r>
          </w:p>
        </w:tc>
        <w:tc>
          <w:tcPr>
            <w:tcW w:w="1651" w:type="dxa"/>
            <w:shd w:val="clear" w:color="auto" w:fill="auto"/>
            <w:vAlign w:val="center"/>
          </w:tcPr>
          <w:p w14:paraId="1D7C7CD3" w14:textId="77777777" w:rsidR="001B2A77" w:rsidRPr="00304219" w:rsidRDefault="001B2A77" w:rsidP="00D04CE7">
            <w:pPr>
              <w:jc w:val="center"/>
              <w:rPr>
                <w:rFonts w:ascii="Arial" w:eastAsia="Calibri" w:hAnsi="Arial" w:cs="Arial"/>
                <w:sz w:val="20"/>
              </w:rPr>
            </w:pPr>
            <w:r w:rsidRPr="00304219">
              <w:rPr>
                <w:rFonts w:ascii="Arial" w:eastAsia="Calibri" w:hAnsi="Arial" w:cs="Arial"/>
                <w:sz w:val="20"/>
              </w:rPr>
              <w:t>Programa</w:t>
            </w:r>
          </w:p>
        </w:tc>
      </w:tr>
      <w:tr w:rsidR="00950A23" w:rsidRPr="00304219" w14:paraId="3944F2F8" w14:textId="77777777" w:rsidTr="00D549DF">
        <w:trPr>
          <w:jc w:val="center"/>
        </w:trPr>
        <w:tc>
          <w:tcPr>
            <w:tcW w:w="3263" w:type="dxa"/>
            <w:shd w:val="clear" w:color="auto" w:fill="auto"/>
          </w:tcPr>
          <w:p w14:paraId="21B7BD1E" w14:textId="02ACDAE1" w:rsidR="001B2A77" w:rsidRPr="00304219" w:rsidRDefault="001B2A77" w:rsidP="001B2A77">
            <w:pPr>
              <w:rPr>
                <w:rFonts w:ascii="Arial" w:eastAsia="Calibri" w:hAnsi="Arial" w:cs="Arial"/>
                <w:sz w:val="20"/>
              </w:rPr>
            </w:pPr>
            <w:r w:rsidRPr="00304219">
              <w:rPr>
                <w:rFonts w:ascii="Arial" w:eastAsia="Calibri" w:hAnsi="Arial" w:cs="Arial"/>
                <w:sz w:val="20"/>
              </w:rPr>
              <w:t>Contratación y realización de la evaluación de resultados y económica ex post</w:t>
            </w:r>
          </w:p>
        </w:tc>
        <w:tc>
          <w:tcPr>
            <w:tcW w:w="360" w:type="dxa"/>
            <w:shd w:val="clear" w:color="auto" w:fill="auto"/>
            <w:vAlign w:val="center"/>
          </w:tcPr>
          <w:p w14:paraId="20DEF12E" w14:textId="77777777" w:rsidR="001B2A77" w:rsidRPr="00304219" w:rsidRDefault="001B2A77" w:rsidP="00D04CE7">
            <w:pPr>
              <w:jc w:val="center"/>
              <w:rPr>
                <w:rFonts w:ascii="Arial" w:eastAsia="Calibri" w:hAnsi="Arial" w:cs="Arial"/>
                <w:sz w:val="20"/>
              </w:rPr>
            </w:pPr>
          </w:p>
        </w:tc>
        <w:tc>
          <w:tcPr>
            <w:tcW w:w="360" w:type="dxa"/>
            <w:shd w:val="clear" w:color="auto" w:fill="auto"/>
            <w:vAlign w:val="center"/>
          </w:tcPr>
          <w:p w14:paraId="23D73DEA" w14:textId="77777777" w:rsidR="001B2A77" w:rsidRPr="00304219" w:rsidRDefault="001B2A77" w:rsidP="00D04CE7">
            <w:pPr>
              <w:jc w:val="center"/>
              <w:rPr>
                <w:rFonts w:ascii="Arial" w:eastAsia="Calibri" w:hAnsi="Arial" w:cs="Arial"/>
                <w:sz w:val="20"/>
              </w:rPr>
            </w:pPr>
          </w:p>
        </w:tc>
        <w:tc>
          <w:tcPr>
            <w:tcW w:w="540" w:type="dxa"/>
            <w:shd w:val="clear" w:color="auto" w:fill="auto"/>
            <w:vAlign w:val="center"/>
          </w:tcPr>
          <w:p w14:paraId="136F096F" w14:textId="77777777" w:rsidR="001B2A77" w:rsidRPr="00304219" w:rsidRDefault="001B2A77" w:rsidP="005F0E82">
            <w:pPr>
              <w:jc w:val="center"/>
              <w:rPr>
                <w:rFonts w:ascii="Arial" w:eastAsia="Calibri" w:hAnsi="Arial" w:cs="Arial"/>
                <w:sz w:val="20"/>
              </w:rPr>
            </w:pPr>
          </w:p>
        </w:tc>
        <w:tc>
          <w:tcPr>
            <w:tcW w:w="360" w:type="dxa"/>
            <w:shd w:val="clear" w:color="auto" w:fill="auto"/>
            <w:vAlign w:val="center"/>
          </w:tcPr>
          <w:p w14:paraId="25C9AF7B" w14:textId="77777777" w:rsidR="001B2A77" w:rsidRPr="00304219" w:rsidRDefault="001B2A77" w:rsidP="005F0E82">
            <w:pPr>
              <w:jc w:val="center"/>
              <w:rPr>
                <w:rFonts w:ascii="Arial" w:eastAsia="Calibri" w:hAnsi="Arial" w:cs="Arial"/>
                <w:sz w:val="20"/>
              </w:rPr>
            </w:pPr>
          </w:p>
        </w:tc>
        <w:tc>
          <w:tcPr>
            <w:tcW w:w="450" w:type="dxa"/>
            <w:vAlign w:val="center"/>
          </w:tcPr>
          <w:p w14:paraId="455DD873" w14:textId="77777777" w:rsidR="001B2A77" w:rsidRPr="00304219" w:rsidRDefault="001B2A77" w:rsidP="005F0E82">
            <w:pPr>
              <w:jc w:val="center"/>
              <w:rPr>
                <w:rFonts w:ascii="Arial" w:eastAsia="Calibri" w:hAnsi="Arial" w:cs="Arial"/>
                <w:sz w:val="20"/>
              </w:rPr>
            </w:pPr>
          </w:p>
        </w:tc>
        <w:tc>
          <w:tcPr>
            <w:tcW w:w="450" w:type="dxa"/>
            <w:shd w:val="clear" w:color="auto" w:fill="auto"/>
            <w:vAlign w:val="center"/>
          </w:tcPr>
          <w:p w14:paraId="3C459AA8" w14:textId="77777777" w:rsidR="001B2A77" w:rsidRPr="00304219" w:rsidRDefault="001B2A77" w:rsidP="005F0E82">
            <w:pPr>
              <w:jc w:val="center"/>
              <w:rPr>
                <w:rFonts w:ascii="Arial" w:eastAsia="Calibri" w:hAnsi="Arial" w:cs="Arial"/>
                <w:sz w:val="20"/>
              </w:rPr>
            </w:pPr>
            <w:r w:rsidRPr="00304219">
              <w:rPr>
                <w:rFonts w:ascii="Arial" w:eastAsia="Calibri" w:hAnsi="Arial" w:cs="Arial"/>
                <w:sz w:val="20"/>
              </w:rPr>
              <w:t>X</w:t>
            </w:r>
          </w:p>
        </w:tc>
        <w:tc>
          <w:tcPr>
            <w:tcW w:w="1800" w:type="dxa"/>
            <w:shd w:val="clear" w:color="auto" w:fill="auto"/>
            <w:vAlign w:val="center"/>
          </w:tcPr>
          <w:p w14:paraId="554AE191" w14:textId="263DC05C" w:rsidR="001B2A77" w:rsidRPr="00304219" w:rsidRDefault="001B2A77" w:rsidP="00D04CE7">
            <w:pPr>
              <w:jc w:val="center"/>
              <w:rPr>
                <w:rFonts w:ascii="Arial" w:eastAsia="Calibri" w:hAnsi="Arial" w:cs="Arial"/>
                <w:sz w:val="20"/>
              </w:rPr>
            </w:pPr>
            <w:r w:rsidRPr="00304219">
              <w:rPr>
                <w:rFonts w:ascii="Arial" w:eastAsia="Calibri" w:hAnsi="Arial" w:cs="Arial"/>
                <w:sz w:val="20"/>
              </w:rPr>
              <w:t>UTE</w:t>
            </w:r>
            <w:r w:rsidR="00111B42" w:rsidRPr="00304219">
              <w:rPr>
                <w:rFonts w:ascii="Arial" w:eastAsia="Calibri" w:hAnsi="Arial" w:cs="Arial"/>
                <w:sz w:val="20"/>
              </w:rPr>
              <w:t>/SONAPI</w:t>
            </w:r>
          </w:p>
        </w:tc>
        <w:tc>
          <w:tcPr>
            <w:tcW w:w="1651" w:type="dxa"/>
            <w:shd w:val="clear" w:color="auto" w:fill="auto"/>
            <w:vAlign w:val="center"/>
          </w:tcPr>
          <w:p w14:paraId="34BC5CE8" w14:textId="77777777" w:rsidR="001B2A77" w:rsidRPr="00304219" w:rsidRDefault="001B2A77" w:rsidP="00D04CE7">
            <w:pPr>
              <w:jc w:val="center"/>
              <w:rPr>
                <w:rFonts w:ascii="Arial" w:eastAsia="Calibri" w:hAnsi="Arial" w:cs="Arial"/>
                <w:sz w:val="20"/>
              </w:rPr>
            </w:pPr>
            <w:r w:rsidRPr="00304219">
              <w:rPr>
                <w:rFonts w:ascii="Arial" w:eastAsia="Calibri" w:hAnsi="Arial" w:cs="Arial"/>
                <w:sz w:val="20"/>
              </w:rPr>
              <w:t>Programa</w:t>
            </w:r>
          </w:p>
        </w:tc>
      </w:tr>
      <w:tr w:rsidR="00950A23" w:rsidRPr="00304219" w14:paraId="3CFD6FA7" w14:textId="77777777" w:rsidTr="00D549DF">
        <w:trPr>
          <w:trHeight w:val="156"/>
          <w:jc w:val="center"/>
        </w:trPr>
        <w:tc>
          <w:tcPr>
            <w:tcW w:w="3263" w:type="dxa"/>
            <w:tcBorders>
              <w:bottom w:val="single" w:sz="4" w:space="0" w:color="auto"/>
            </w:tcBorders>
            <w:shd w:val="clear" w:color="auto" w:fill="auto"/>
          </w:tcPr>
          <w:p w14:paraId="2529E0E6" w14:textId="77777777" w:rsidR="001B2A77" w:rsidRPr="00304219" w:rsidRDefault="001B2A77" w:rsidP="00CE5EE6">
            <w:pPr>
              <w:rPr>
                <w:rFonts w:ascii="Arial" w:eastAsia="Calibri" w:hAnsi="Arial" w:cs="Arial"/>
                <w:sz w:val="20"/>
              </w:rPr>
            </w:pPr>
            <w:r w:rsidRPr="00304219">
              <w:rPr>
                <w:rFonts w:ascii="Arial" w:eastAsia="Calibri" w:hAnsi="Arial" w:cs="Arial"/>
                <w:sz w:val="20"/>
              </w:rPr>
              <w:t>Difusión de resultados (seminario e informe de la evaluación)</w:t>
            </w:r>
          </w:p>
        </w:tc>
        <w:tc>
          <w:tcPr>
            <w:tcW w:w="360" w:type="dxa"/>
            <w:tcBorders>
              <w:bottom w:val="single" w:sz="4" w:space="0" w:color="auto"/>
            </w:tcBorders>
            <w:shd w:val="clear" w:color="auto" w:fill="auto"/>
            <w:vAlign w:val="center"/>
          </w:tcPr>
          <w:p w14:paraId="52A591FF" w14:textId="77777777" w:rsidR="001B2A77" w:rsidRPr="00304219" w:rsidRDefault="001B2A77" w:rsidP="00D04CE7">
            <w:pPr>
              <w:jc w:val="center"/>
              <w:rPr>
                <w:rFonts w:ascii="Arial" w:eastAsia="Calibri" w:hAnsi="Arial" w:cs="Arial"/>
                <w:sz w:val="20"/>
              </w:rPr>
            </w:pPr>
          </w:p>
        </w:tc>
        <w:tc>
          <w:tcPr>
            <w:tcW w:w="360" w:type="dxa"/>
            <w:tcBorders>
              <w:bottom w:val="single" w:sz="4" w:space="0" w:color="auto"/>
            </w:tcBorders>
            <w:shd w:val="clear" w:color="auto" w:fill="auto"/>
            <w:vAlign w:val="center"/>
          </w:tcPr>
          <w:p w14:paraId="34DED78D" w14:textId="77777777" w:rsidR="001B2A77" w:rsidRPr="00304219" w:rsidRDefault="001B2A77" w:rsidP="00D04CE7">
            <w:pPr>
              <w:jc w:val="center"/>
              <w:rPr>
                <w:rFonts w:ascii="Arial" w:eastAsia="Calibri" w:hAnsi="Arial" w:cs="Arial"/>
                <w:sz w:val="20"/>
              </w:rPr>
            </w:pPr>
          </w:p>
        </w:tc>
        <w:tc>
          <w:tcPr>
            <w:tcW w:w="540" w:type="dxa"/>
            <w:tcBorders>
              <w:bottom w:val="single" w:sz="4" w:space="0" w:color="auto"/>
            </w:tcBorders>
            <w:shd w:val="clear" w:color="auto" w:fill="auto"/>
            <w:vAlign w:val="center"/>
          </w:tcPr>
          <w:p w14:paraId="640015FC" w14:textId="77777777" w:rsidR="001B2A77" w:rsidRPr="00304219" w:rsidRDefault="001B2A77" w:rsidP="005F0E82">
            <w:pPr>
              <w:jc w:val="center"/>
              <w:rPr>
                <w:rFonts w:ascii="Arial" w:eastAsia="Calibri" w:hAnsi="Arial" w:cs="Arial"/>
                <w:sz w:val="20"/>
              </w:rPr>
            </w:pPr>
          </w:p>
        </w:tc>
        <w:tc>
          <w:tcPr>
            <w:tcW w:w="360" w:type="dxa"/>
            <w:tcBorders>
              <w:bottom w:val="single" w:sz="4" w:space="0" w:color="auto"/>
            </w:tcBorders>
            <w:shd w:val="clear" w:color="auto" w:fill="auto"/>
            <w:vAlign w:val="center"/>
          </w:tcPr>
          <w:p w14:paraId="7258559C" w14:textId="77777777" w:rsidR="001B2A77" w:rsidRPr="00304219" w:rsidRDefault="001B2A77" w:rsidP="005F0E82">
            <w:pPr>
              <w:jc w:val="center"/>
              <w:rPr>
                <w:rFonts w:ascii="Arial" w:eastAsia="Calibri" w:hAnsi="Arial" w:cs="Arial"/>
                <w:sz w:val="20"/>
              </w:rPr>
            </w:pPr>
          </w:p>
        </w:tc>
        <w:tc>
          <w:tcPr>
            <w:tcW w:w="450" w:type="dxa"/>
            <w:tcBorders>
              <w:bottom w:val="single" w:sz="4" w:space="0" w:color="auto"/>
            </w:tcBorders>
            <w:vAlign w:val="center"/>
          </w:tcPr>
          <w:p w14:paraId="41D9458C" w14:textId="77777777" w:rsidR="001B2A77" w:rsidRPr="00304219" w:rsidRDefault="001B2A77" w:rsidP="005F0E82">
            <w:pPr>
              <w:jc w:val="center"/>
              <w:rPr>
                <w:rFonts w:ascii="Arial" w:eastAsia="Calibri" w:hAnsi="Arial" w:cs="Arial"/>
                <w:sz w:val="20"/>
              </w:rPr>
            </w:pPr>
          </w:p>
        </w:tc>
        <w:tc>
          <w:tcPr>
            <w:tcW w:w="450" w:type="dxa"/>
            <w:tcBorders>
              <w:bottom w:val="single" w:sz="4" w:space="0" w:color="auto"/>
            </w:tcBorders>
            <w:shd w:val="clear" w:color="auto" w:fill="auto"/>
            <w:vAlign w:val="center"/>
          </w:tcPr>
          <w:p w14:paraId="474DD9B6" w14:textId="77777777" w:rsidR="001B2A77" w:rsidRPr="00304219" w:rsidRDefault="001B2A77" w:rsidP="005F0E82">
            <w:pPr>
              <w:jc w:val="center"/>
              <w:rPr>
                <w:rFonts w:ascii="Arial" w:eastAsia="Calibri" w:hAnsi="Arial" w:cs="Arial"/>
                <w:sz w:val="20"/>
              </w:rPr>
            </w:pPr>
            <w:r w:rsidRPr="00304219">
              <w:rPr>
                <w:rFonts w:ascii="Arial" w:eastAsia="Calibri" w:hAnsi="Arial" w:cs="Arial"/>
                <w:sz w:val="20"/>
              </w:rPr>
              <w:t>X</w:t>
            </w:r>
          </w:p>
        </w:tc>
        <w:tc>
          <w:tcPr>
            <w:tcW w:w="1800" w:type="dxa"/>
            <w:tcBorders>
              <w:bottom w:val="single" w:sz="4" w:space="0" w:color="auto"/>
            </w:tcBorders>
            <w:shd w:val="clear" w:color="auto" w:fill="auto"/>
            <w:vAlign w:val="center"/>
          </w:tcPr>
          <w:p w14:paraId="10A5EA65" w14:textId="2A095F11" w:rsidR="001B2A77" w:rsidRPr="00304219" w:rsidRDefault="001B2A77" w:rsidP="00D549DF">
            <w:pPr>
              <w:ind w:right="-108"/>
              <w:jc w:val="center"/>
              <w:rPr>
                <w:rFonts w:ascii="Arial" w:hAnsi="Arial" w:cs="Arial"/>
                <w:sz w:val="20"/>
              </w:rPr>
            </w:pPr>
            <w:r w:rsidRPr="00304219">
              <w:rPr>
                <w:rFonts w:ascii="Arial" w:hAnsi="Arial" w:cs="Arial"/>
                <w:sz w:val="20"/>
              </w:rPr>
              <w:t>UTE</w:t>
            </w:r>
            <w:r w:rsidRPr="00304219">
              <w:rPr>
                <w:rFonts w:ascii="Arial" w:eastAsia="Calibri" w:hAnsi="Arial" w:cs="Arial"/>
                <w:sz w:val="20"/>
              </w:rPr>
              <w:t>/</w:t>
            </w:r>
            <w:r w:rsidR="00111B42" w:rsidRPr="00304219">
              <w:rPr>
                <w:rFonts w:ascii="Arial" w:eastAsia="Calibri" w:hAnsi="Arial" w:cs="Arial"/>
                <w:sz w:val="20"/>
              </w:rPr>
              <w:t>SONAPI/</w:t>
            </w:r>
            <w:r w:rsidRPr="00304219">
              <w:rPr>
                <w:rFonts w:ascii="Arial" w:eastAsia="Calibri" w:hAnsi="Arial" w:cs="Arial"/>
                <w:sz w:val="20"/>
              </w:rPr>
              <w:t>BID</w:t>
            </w:r>
          </w:p>
        </w:tc>
        <w:tc>
          <w:tcPr>
            <w:tcW w:w="1651" w:type="dxa"/>
            <w:tcBorders>
              <w:bottom w:val="single" w:sz="4" w:space="0" w:color="auto"/>
            </w:tcBorders>
            <w:shd w:val="clear" w:color="auto" w:fill="auto"/>
            <w:vAlign w:val="center"/>
          </w:tcPr>
          <w:p w14:paraId="481DDEE9" w14:textId="77777777" w:rsidR="001B2A77" w:rsidRPr="00304219" w:rsidRDefault="001B2A77" w:rsidP="00D04CE7">
            <w:pPr>
              <w:jc w:val="center"/>
              <w:rPr>
                <w:rFonts w:ascii="Arial" w:hAnsi="Arial" w:cs="Arial"/>
                <w:sz w:val="20"/>
              </w:rPr>
            </w:pPr>
            <w:r w:rsidRPr="00304219">
              <w:rPr>
                <w:rFonts w:ascii="Arial" w:eastAsia="Calibri" w:hAnsi="Arial" w:cs="Arial"/>
                <w:sz w:val="20"/>
              </w:rPr>
              <w:t>Programa</w:t>
            </w:r>
          </w:p>
        </w:tc>
      </w:tr>
      <w:tr w:rsidR="00C659FB" w:rsidRPr="00D549DF" w14:paraId="561AF903" w14:textId="77777777" w:rsidTr="00D549DF">
        <w:trPr>
          <w:trHeight w:val="48"/>
          <w:jc w:val="center"/>
        </w:trPr>
        <w:tc>
          <w:tcPr>
            <w:tcW w:w="3263" w:type="dxa"/>
            <w:tcBorders>
              <w:bottom w:val="single" w:sz="4" w:space="0" w:color="auto"/>
            </w:tcBorders>
            <w:shd w:val="clear" w:color="auto" w:fill="auto"/>
            <w:vAlign w:val="center"/>
          </w:tcPr>
          <w:p w14:paraId="61B13FCB" w14:textId="77777777" w:rsidR="00C659FB" w:rsidRPr="00D549DF" w:rsidRDefault="00C659FB" w:rsidP="00D549DF">
            <w:pPr>
              <w:rPr>
                <w:rFonts w:ascii="Arial" w:eastAsia="Calibri" w:hAnsi="Arial" w:cs="Arial"/>
                <w:b/>
                <w:sz w:val="20"/>
              </w:rPr>
            </w:pPr>
            <w:r w:rsidRPr="00D549DF">
              <w:rPr>
                <w:rFonts w:ascii="Arial" w:eastAsia="Calibri" w:hAnsi="Arial" w:cs="Arial"/>
                <w:b/>
                <w:sz w:val="20"/>
              </w:rPr>
              <w:t>TOTAL</w:t>
            </w:r>
          </w:p>
        </w:tc>
        <w:tc>
          <w:tcPr>
            <w:tcW w:w="2520" w:type="dxa"/>
            <w:gridSpan w:val="6"/>
            <w:tcBorders>
              <w:bottom w:val="single" w:sz="4" w:space="0" w:color="auto"/>
            </w:tcBorders>
            <w:vAlign w:val="center"/>
          </w:tcPr>
          <w:p w14:paraId="7A16CE02" w14:textId="655829C1" w:rsidR="00C659FB" w:rsidRPr="00D549DF" w:rsidRDefault="00C659FB" w:rsidP="00D549DF">
            <w:pPr>
              <w:keepLines/>
              <w:framePr w:wrap="around" w:vAnchor="text" w:hAnchor="text" w:y="1"/>
              <w:rPr>
                <w:rFonts w:ascii="Arial" w:eastAsia="Calibri" w:hAnsi="Arial" w:cs="Arial"/>
                <w:b/>
                <w:sz w:val="20"/>
              </w:rPr>
            </w:pPr>
            <w:r w:rsidRPr="00D549DF">
              <w:rPr>
                <w:rFonts w:ascii="Arial" w:eastAsia="Calibri" w:hAnsi="Arial" w:cs="Arial"/>
                <w:b/>
                <w:sz w:val="20"/>
              </w:rPr>
              <w:t>US$50.000</w:t>
            </w:r>
          </w:p>
        </w:tc>
        <w:tc>
          <w:tcPr>
            <w:tcW w:w="1800" w:type="dxa"/>
            <w:tcBorders>
              <w:bottom w:val="single" w:sz="4" w:space="0" w:color="auto"/>
            </w:tcBorders>
            <w:shd w:val="clear" w:color="auto" w:fill="auto"/>
            <w:vAlign w:val="center"/>
          </w:tcPr>
          <w:p w14:paraId="57EA2E64" w14:textId="77777777" w:rsidR="00C659FB" w:rsidRPr="00D549DF" w:rsidRDefault="00C659FB" w:rsidP="00D549DF">
            <w:pPr>
              <w:rPr>
                <w:rFonts w:ascii="Arial" w:eastAsia="Calibri" w:hAnsi="Arial" w:cs="Arial"/>
                <w:b/>
                <w:sz w:val="20"/>
              </w:rPr>
            </w:pPr>
          </w:p>
        </w:tc>
        <w:tc>
          <w:tcPr>
            <w:tcW w:w="1651" w:type="dxa"/>
            <w:tcBorders>
              <w:bottom w:val="single" w:sz="4" w:space="0" w:color="auto"/>
            </w:tcBorders>
            <w:shd w:val="clear" w:color="auto" w:fill="auto"/>
            <w:vAlign w:val="center"/>
          </w:tcPr>
          <w:p w14:paraId="4E02A258" w14:textId="77777777" w:rsidR="00C659FB" w:rsidRPr="00D549DF" w:rsidRDefault="00C659FB" w:rsidP="00D549DF">
            <w:pPr>
              <w:rPr>
                <w:rFonts w:ascii="Arial" w:eastAsia="Calibri" w:hAnsi="Arial" w:cs="Arial"/>
                <w:b/>
                <w:sz w:val="20"/>
              </w:rPr>
            </w:pPr>
          </w:p>
        </w:tc>
      </w:tr>
      <w:tr w:rsidR="00950A23" w:rsidRPr="00D549DF" w14:paraId="23A71007" w14:textId="77777777" w:rsidTr="00D549DF">
        <w:trPr>
          <w:trHeight w:val="48"/>
          <w:jc w:val="center"/>
        </w:trPr>
        <w:tc>
          <w:tcPr>
            <w:tcW w:w="9234" w:type="dxa"/>
            <w:gridSpan w:val="9"/>
            <w:tcBorders>
              <w:top w:val="single" w:sz="4" w:space="0" w:color="auto"/>
              <w:left w:val="nil"/>
              <w:bottom w:val="nil"/>
              <w:right w:val="nil"/>
            </w:tcBorders>
          </w:tcPr>
          <w:p w14:paraId="35694C76" w14:textId="3C55AB3A" w:rsidR="00950A23" w:rsidRPr="00D549DF" w:rsidRDefault="00950A23" w:rsidP="00D549DF">
            <w:pPr>
              <w:jc w:val="both"/>
              <w:rPr>
                <w:rFonts w:ascii="Arial" w:eastAsia="Calibri" w:hAnsi="Arial" w:cs="Arial"/>
                <w:b/>
                <w:sz w:val="18"/>
              </w:rPr>
            </w:pPr>
            <w:r w:rsidRPr="00D549DF">
              <w:rPr>
                <w:rFonts w:ascii="Arial" w:hAnsi="Arial" w:cs="Arial"/>
                <w:sz w:val="18"/>
                <w:vertAlign w:val="superscript"/>
              </w:rPr>
              <w:t>(*)</w:t>
            </w:r>
            <w:r w:rsidRPr="00D549DF">
              <w:rPr>
                <w:rFonts w:ascii="Arial" w:hAnsi="Arial" w:cs="Arial"/>
                <w:sz w:val="18"/>
              </w:rPr>
              <w:t xml:space="preserve">Corresponde a las actividades solamente de esta etapa del </w:t>
            </w:r>
            <w:r>
              <w:rPr>
                <w:rFonts w:ascii="Arial" w:hAnsi="Arial" w:cs="Arial"/>
                <w:sz w:val="18"/>
              </w:rPr>
              <w:t>p</w:t>
            </w:r>
            <w:r w:rsidRPr="00D549DF">
              <w:rPr>
                <w:rFonts w:ascii="Arial" w:hAnsi="Arial" w:cs="Arial"/>
                <w:sz w:val="18"/>
              </w:rPr>
              <w:t xml:space="preserve">rograma. </w:t>
            </w:r>
          </w:p>
        </w:tc>
      </w:tr>
    </w:tbl>
    <w:p w14:paraId="5B1EA91E" w14:textId="77777777" w:rsidR="00943302" w:rsidRPr="00D549DF" w:rsidRDefault="00943302" w:rsidP="00691A56">
      <w:pPr>
        <w:rPr>
          <w:rFonts w:ascii="Arial" w:hAnsi="Arial" w:cs="Arial"/>
          <w:sz w:val="4"/>
          <w:szCs w:val="22"/>
        </w:rPr>
      </w:pPr>
    </w:p>
    <w:sectPr w:rsidR="00943302" w:rsidRPr="00D549DF" w:rsidSect="00304219">
      <w:type w:val="continuous"/>
      <w:pgSz w:w="12240" w:h="15840" w:code="1"/>
      <w:pgMar w:top="1526" w:right="1526" w:bottom="1296" w:left="1526"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9B1ED" w14:textId="77777777" w:rsidR="00C76F62" w:rsidRDefault="00C76F62">
      <w:r>
        <w:separator/>
      </w:r>
    </w:p>
  </w:endnote>
  <w:endnote w:type="continuationSeparator" w:id="0">
    <w:p w14:paraId="12718296" w14:textId="77777777" w:rsidR="00C76F62" w:rsidRDefault="00C76F62">
      <w:r>
        <w:continuationSeparator/>
      </w:r>
    </w:p>
  </w:endnote>
  <w:endnote w:type="continuationNotice" w:id="1">
    <w:p w14:paraId="76673644" w14:textId="77777777" w:rsidR="00C76F62" w:rsidRDefault="00C76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4AD62A" w14:textId="77777777" w:rsidR="00C76F62" w:rsidRDefault="00C76F62">
      <w:r>
        <w:separator/>
      </w:r>
    </w:p>
  </w:footnote>
  <w:footnote w:type="continuationSeparator" w:id="0">
    <w:p w14:paraId="3F45E7A0" w14:textId="77777777" w:rsidR="00C76F62" w:rsidRDefault="00C76F62">
      <w:r>
        <w:continuationSeparator/>
      </w:r>
    </w:p>
  </w:footnote>
  <w:footnote w:type="continuationNotice" w:id="1">
    <w:p w14:paraId="10A2834B" w14:textId="77777777" w:rsidR="00C76F62" w:rsidRDefault="00C76F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549517"/>
      <w:docPartObj>
        <w:docPartGallery w:val="Page Numbers (Top of Page)"/>
        <w:docPartUnique/>
      </w:docPartObj>
    </w:sdtPr>
    <w:sdtEndPr>
      <w:rPr>
        <w:rFonts w:ascii="Arial" w:hAnsi="Arial" w:cs="Arial"/>
        <w:noProof/>
        <w:sz w:val="20"/>
      </w:rPr>
    </w:sdtEndPr>
    <w:sdtContent>
      <w:p w14:paraId="4C4DD1DD" w14:textId="16ECE6F3" w:rsidR="00C76F62" w:rsidRPr="00304219" w:rsidRDefault="00C76F62" w:rsidP="00654D64">
        <w:pPr>
          <w:pStyle w:val="Header"/>
          <w:jc w:val="center"/>
          <w:rPr>
            <w:rFonts w:ascii="Arial" w:hAnsi="Arial" w:cs="Arial"/>
            <w:sz w:val="20"/>
          </w:rPr>
        </w:pPr>
        <w:r w:rsidRPr="00304219">
          <w:rPr>
            <w:rFonts w:ascii="Arial" w:hAnsi="Arial" w:cs="Arial"/>
            <w:sz w:val="20"/>
          </w:rPr>
          <w:fldChar w:fldCharType="begin"/>
        </w:r>
        <w:r w:rsidRPr="00304219">
          <w:rPr>
            <w:rFonts w:ascii="Arial" w:hAnsi="Arial" w:cs="Arial"/>
            <w:sz w:val="20"/>
          </w:rPr>
          <w:instrText xml:space="preserve"> PAGE   \* MERGEFORMAT </w:instrText>
        </w:r>
        <w:r w:rsidRPr="00304219">
          <w:rPr>
            <w:rFonts w:ascii="Arial" w:hAnsi="Arial" w:cs="Arial"/>
            <w:sz w:val="20"/>
          </w:rPr>
          <w:fldChar w:fldCharType="separate"/>
        </w:r>
        <w:r w:rsidR="005556B1">
          <w:rPr>
            <w:rFonts w:ascii="Arial" w:hAnsi="Arial" w:cs="Arial"/>
            <w:noProof/>
            <w:sz w:val="20"/>
          </w:rPr>
          <w:t>7</w:t>
        </w:r>
        <w:r w:rsidRPr="00304219">
          <w:rPr>
            <w:rFonts w:ascii="Arial" w:hAnsi="Arial" w:cs="Arial"/>
            <w:noProof/>
            <w:sz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08B77" w14:textId="77777777" w:rsidR="00C76F62" w:rsidRDefault="00C76F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ED1"/>
    <w:multiLevelType w:val="hybridMultilevel"/>
    <w:tmpl w:val="2B329B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C14003D"/>
    <w:multiLevelType w:val="hybridMultilevel"/>
    <w:tmpl w:val="12582E5C"/>
    <w:lvl w:ilvl="0" w:tplc="7D7689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B7FC9"/>
    <w:multiLevelType w:val="multilevel"/>
    <w:tmpl w:val="0CAED43E"/>
    <w:lvl w:ilvl="0">
      <w:start w:val="1"/>
      <w:numFmt w:val="decimal"/>
      <w:lvlText w:val="%1"/>
      <w:lvlJc w:val="left"/>
      <w:pPr>
        <w:ind w:left="720" w:hanging="432"/>
      </w:pPr>
      <w:rPr>
        <w:rFonts w:hint="default"/>
        <w:b/>
        <w:i w:val="0"/>
        <w:lang w:val="es-ES_tradnl"/>
      </w:rPr>
    </w:lvl>
    <w:lvl w:ilvl="1">
      <w:start w:val="1"/>
      <w:numFmt w:val="decimal"/>
      <w:lvlText w:val="%1.%2"/>
      <w:lvlJc w:val="left"/>
      <w:pPr>
        <w:ind w:left="864" w:hanging="576"/>
      </w:pPr>
      <w:rPr>
        <w:rFonts w:hint="default"/>
        <w:b/>
        <w:color w:val="auto"/>
        <w:sz w:val="24"/>
        <w:szCs w:val="24"/>
      </w:rPr>
    </w:lvl>
    <w:lvl w:ilvl="2">
      <w:start w:val="1"/>
      <w:numFmt w:val="decimal"/>
      <w:lvlText w:val="%1.%2.%3"/>
      <w:lvlJc w:val="left"/>
      <w:pPr>
        <w:ind w:left="1008" w:hanging="720"/>
      </w:pPr>
      <w:rPr>
        <w:rFonts w:hint="default"/>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abstractNum w:abstractNumId="4">
    <w:nsid w:val="10832318"/>
    <w:multiLevelType w:val="hybridMultilevel"/>
    <w:tmpl w:val="2110C0FC"/>
    <w:lvl w:ilvl="0" w:tplc="5130080C">
      <w:start w:val="8"/>
      <w:numFmt w:val="bullet"/>
      <w:lvlText w:val="-"/>
      <w:lvlJc w:val="left"/>
      <w:pPr>
        <w:ind w:left="1440" w:hanging="360"/>
      </w:pPr>
      <w:rPr>
        <w:rFonts w:ascii="Times New Roman" w:eastAsia="Batang"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10E0627"/>
    <w:multiLevelType w:val="multilevel"/>
    <w:tmpl w:val="D9FE7E9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40C3AE7"/>
    <w:multiLevelType w:val="multilevel"/>
    <w:tmpl w:val="C7A82B08"/>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17CC26ED"/>
    <w:multiLevelType w:val="multilevel"/>
    <w:tmpl w:val="1932D7C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C797F20"/>
    <w:multiLevelType w:val="hybridMultilevel"/>
    <w:tmpl w:val="EAEE34E0"/>
    <w:lvl w:ilvl="0" w:tplc="F864B680">
      <w:start w:val="8"/>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79533A"/>
    <w:multiLevelType w:val="multilevel"/>
    <w:tmpl w:val="69764E7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0093E25"/>
    <w:multiLevelType w:val="hybridMultilevel"/>
    <w:tmpl w:val="5EA669A6"/>
    <w:lvl w:ilvl="0" w:tplc="5C56B11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1D406F0"/>
    <w:multiLevelType w:val="multilevel"/>
    <w:tmpl w:val="22D4822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7D830DD"/>
    <w:multiLevelType w:val="multilevel"/>
    <w:tmpl w:val="57AAA88A"/>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29C82B66"/>
    <w:multiLevelType w:val="multilevel"/>
    <w:tmpl w:val="FD06885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D217C4A"/>
    <w:multiLevelType w:val="multilevel"/>
    <w:tmpl w:val="A9AA8DB8"/>
    <w:lvl w:ilvl="0">
      <w:start w:val="1"/>
      <w:numFmt w:val="upperRoman"/>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5">
    <w:nsid w:val="2E2B6838"/>
    <w:multiLevelType w:val="multilevel"/>
    <w:tmpl w:val="F216F302"/>
    <w:lvl w:ilvl="0">
      <w:start w:val="1"/>
      <w:numFmt w:val="none"/>
      <w:lvlRestart w:val="0"/>
      <w:suff w:val="nothing"/>
      <w:lvlText w:val=""/>
      <w:lvlJc w:val="left"/>
      <w:pPr>
        <w:ind w:left="3096" w:hanging="720"/>
      </w:pPr>
    </w:lvl>
    <w:lvl w:ilvl="1">
      <w:start w:val="1"/>
      <w:numFmt w:val="decimal"/>
      <w:lvlText w:val="%2."/>
      <w:lvlJc w:val="left"/>
      <w:pPr>
        <w:tabs>
          <w:tab w:val="num" w:pos="3672"/>
        </w:tabs>
        <w:ind w:left="3672" w:hanging="576"/>
      </w:pPr>
      <w:rPr>
        <w:b/>
      </w:rPr>
    </w:lvl>
    <w:lvl w:ilvl="2">
      <w:start w:val="1"/>
      <w:numFmt w:val="lowerLetter"/>
      <w:lvlText w:val="%3)"/>
      <w:lvlJc w:val="left"/>
      <w:pPr>
        <w:tabs>
          <w:tab w:val="num" w:pos="4248"/>
        </w:tabs>
        <w:ind w:left="4248" w:hanging="576"/>
      </w:pPr>
      <w:rPr>
        <w:b/>
      </w:rPr>
    </w:lvl>
    <w:lvl w:ilvl="3">
      <w:start w:val="1"/>
      <w:numFmt w:val="lowerRoman"/>
      <w:lvlText w:val="(%4)"/>
      <w:lvlJc w:val="right"/>
      <w:pPr>
        <w:ind w:left="3240" w:hanging="144"/>
      </w:pPr>
    </w:lvl>
    <w:lvl w:ilvl="4">
      <w:start w:val="1"/>
      <w:numFmt w:val="decimal"/>
      <w:lvlText w:val="%5)"/>
      <w:lvlJc w:val="left"/>
      <w:pPr>
        <w:ind w:left="3384" w:hanging="432"/>
      </w:pPr>
    </w:lvl>
    <w:lvl w:ilvl="5">
      <w:start w:val="1"/>
      <w:numFmt w:val="lowerLetter"/>
      <w:lvlText w:val="%6)"/>
      <w:lvlJc w:val="left"/>
      <w:pPr>
        <w:ind w:left="3528" w:hanging="432"/>
      </w:pPr>
    </w:lvl>
    <w:lvl w:ilvl="6">
      <w:start w:val="1"/>
      <w:numFmt w:val="lowerRoman"/>
      <w:lvlText w:val="%7)"/>
      <w:lvlJc w:val="right"/>
      <w:pPr>
        <w:ind w:left="3672" w:hanging="288"/>
      </w:pPr>
    </w:lvl>
    <w:lvl w:ilvl="7">
      <w:start w:val="1"/>
      <w:numFmt w:val="lowerLetter"/>
      <w:lvlText w:val="%8."/>
      <w:lvlJc w:val="left"/>
      <w:pPr>
        <w:ind w:left="3816" w:hanging="432"/>
      </w:pPr>
    </w:lvl>
    <w:lvl w:ilvl="8">
      <w:start w:val="1"/>
      <w:numFmt w:val="lowerRoman"/>
      <w:lvlText w:val="%9."/>
      <w:lvlJc w:val="right"/>
      <w:pPr>
        <w:ind w:left="3960" w:hanging="144"/>
      </w:pPr>
    </w:lvl>
  </w:abstractNum>
  <w:abstractNum w:abstractNumId="16">
    <w:nsid w:val="2ED61123"/>
    <w:multiLevelType w:val="multilevel"/>
    <w:tmpl w:val="D1DA3042"/>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7">
    <w:nsid w:val="2FD1107B"/>
    <w:multiLevelType w:val="hybridMultilevel"/>
    <w:tmpl w:val="2B466DEA"/>
    <w:lvl w:ilvl="0" w:tplc="3B547D8E">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hint="default"/>
        <w:b/>
        <w:i w:val="0"/>
        <w:sz w:val="28"/>
        <w:szCs w:val="28"/>
      </w:rPr>
    </w:lvl>
    <w:lvl w:ilvl="1">
      <w:start w:val="1"/>
      <w:numFmt w:val="decimal"/>
      <w:pStyle w:val="Heading2TimesNewRoman12pt1"/>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Restart w:val="0"/>
      <w:lvlText w:val="%1.%2.%3.%4"/>
      <w:lvlJc w:val="left"/>
      <w:pPr>
        <w:tabs>
          <w:tab w:val="num" w:pos="864"/>
        </w:tabs>
        <w:ind w:left="864" w:hanging="8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89B481A"/>
    <w:multiLevelType w:val="multilevel"/>
    <w:tmpl w:val="7432325C"/>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20">
    <w:nsid w:val="3F1130DF"/>
    <w:multiLevelType w:val="multilevel"/>
    <w:tmpl w:val="32320C9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40071355"/>
    <w:multiLevelType w:val="multilevel"/>
    <w:tmpl w:val="99527C0C"/>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41715282"/>
    <w:multiLevelType w:val="hybridMultilevel"/>
    <w:tmpl w:val="C40A3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8810B9"/>
    <w:multiLevelType w:val="hybridMultilevel"/>
    <w:tmpl w:val="FABA55F8"/>
    <w:lvl w:ilvl="0" w:tplc="8368CE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2040C2"/>
    <w:multiLevelType w:val="hybridMultilevel"/>
    <w:tmpl w:val="724C43AC"/>
    <w:lvl w:ilvl="0" w:tplc="46FA37FE">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491CB8"/>
    <w:multiLevelType w:val="multilevel"/>
    <w:tmpl w:val="E6E44C3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6">
    <w:nsid w:val="4F1475C9"/>
    <w:multiLevelType w:val="hybridMultilevel"/>
    <w:tmpl w:val="BF628BF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E8026C5"/>
    <w:multiLevelType w:val="multilevel"/>
    <w:tmpl w:val="2FD68E32"/>
    <w:lvl w:ilvl="0">
      <w:start w:val="1"/>
      <w:numFmt w:val="none"/>
      <w:lvlRestart w:val="0"/>
      <w:suff w:val="nothing"/>
      <w:lvlText w:val=""/>
      <w:lvlJc w:val="left"/>
      <w:pPr>
        <w:ind w:left="2592" w:hanging="720"/>
      </w:pPr>
    </w:lvl>
    <w:lvl w:ilvl="1">
      <w:start w:val="1"/>
      <w:numFmt w:val="decimal"/>
      <w:lvlText w:val="%2."/>
      <w:lvlJc w:val="left"/>
      <w:pPr>
        <w:tabs>
          <w:tab w:val="num" w:pos="3168"/>
        </w:tabs>
        <w:ind w:left="3168" w:hanging="576"/>
      </w:pPr>
      <w:rPr>
        <w:b/>
      </w:rPr>
    </w:lvl>
    <w:lvl w:ilvl="2">
      <w:start w:val="1"/>
      <w:numFmt w:val="lowerLetter"/>
      <w:lvlText w:val="(%3)"/>
      <w:lvlJc w:val="left"/>
      <w:pPr>
        <w:ind w:left="2592" w:hanging="432"/>
      </w:pPr>
    </w:lvl>
    <w:lvl w:ilvl="3">
      <w:start w:val="1"/>
      <w:numFmt w:val="lowerRoman"/>
      <w:lvlText w:val="(%4)"/>
      <w:lvlJc w:val="right"/>
      <w:pPr>
        <w:ind w:left="2736" w:hanging="144"/>
      </w:pPr>
    </w:lvl>
    <w:lvl w:ilvl="4">
      <w:start w:val="1"/>
      <w:numFmt w:val="decimal"/>
      <w:lvlText w:val="%5)"/>
      <w:lvlJc w:val="left"/>
      <w:pPr>
        <w:ind w:left="2880" w:hanging="432"/>
      </w:pPr>
    </w:lvl>
    <w:lvl w:ilvl="5">
      <w:start w:val="1"/>
      <w:numFmt w:val="lowerLetter"/>
      <w:lvlText w:val="%6)"/>
      <w:lvlJc w:val="left"/>
      <w:pPr>
        <w:ind w:left="3024" w:hanging="432"/>
      </w:pPr>
    </w:lvl>
    <w:lvl w:ilvl="6">
      <w:start w:val="1"/>
      <w:numFmt w:val="lowerRoman"/>
      <w:lvlText w:val="%7)"/>
      <w:lvlJc w:val="right"/>
      <w:pPr>
        <w:ind w:left="3168" w:hanging="288"/>
      </w:pPr>
    </w:lvl>
    <w:lvl w:ilvl="7">
      <w:start w:val="1"/>
      <w:numFmt w:val="lowerLetter"/>
      <w:lvlText w:val="%8."/>
      <w:lvlJc w:val="left"/>
      <w:pPr>
        <w:ind w:left="3312" w:hanging="432"/>
      </w:pPr>
    </w:lvl>
    <w:lvl w:ilvl="8">
      <w:start w:val="1"/>
      <w:numFmt w:val="lowerRoman"/>
      <w:lvlText w:val="%9."/>
      <w:lvlJc w:val="right"/>
      <w:pPr>
        <w:ind w:left="3456" w:hanging="144"/>
      </w:pPr>
    </w:lvl>
  </w:abstractNum>
  <w:abstractNum w:abstractNumId="28">
    <w:nsid w:val="5F377A4D"/>
    <w:multiLevelType w:val="multilevel"/>
    <w:tmpl w:val="1BB2E4AC"/>
    <w:lvl w:ilvl="0">
      <w:start w:val="1"/>
      <w:numFmt w:val="decimal"/>
      <w:lvlText w:val="%1"/>
      <w:lvlJc w:val="left"/>
      <w:pPr>
        <w:ind w:left="2160" w:hanging="432"/>
      </w:pPr>
      <w:rPr>
        <w:b/>
        <w:i w:val="0"/>
      </w:rPr>
    </w:lvl>
    <w:lvl w:ilvl="1">
      <w:start w:val="1"/>
      <w:numFmt w:val="decimal"/>
      <w:lvlText w:val="%1.%2"/>
      <w:lvlJc w:val="left"/>
      <w:pPr>
        <w:ind w:left="2304" w:hanging="576"/>
      </w:pPr>
    </w:lvl>
    <w:lvl w:ilvl="2">
      <w:start w:val="1"/>
      <w:numFmt w:val="decimal"/>
      <w:lvlText w:val="%1.%2.%3"/>
      <w:lvlJc w:val="left"/>
      <w:pPr>
        <w:ind w:left="2448" w:hanging="720"/>
      </w:pPr>
    </w:lvl>
    <w:lvl w:ilvl="3">
      <w:start w:val="1"/>
      <w:numFmt w:val="decimal"/>
      <w:lvlText w:val="%1.%2.%3.%4"/>
      <w:lvlJc w:val="left"/>
      <w:pPr>
        <w:ind w:left="2592" w:hanging="864"/>
      </w:pPr>
    </w:lvl>
    <w:lvl w:ilvl="4">
      <w:start w:val="1"/>
      <w:numFmt w:val="decimal"/>
      <w:lvlText w:val="%1.%2.%3.%4.%5"/>
      <w:lvlJc w:val="left"/>
      <w:pPr>
        <w:ind w:left="2736" w:hanging="1008"/>
      </w:pPr>
    </w:lvl>
    <w:lvl w:ilvl="5">
      <w:start w:val="1"/>
      <w:numFmt w:val="decimal"/>
      <w:lvlText w:val="%1.%2.%3.%4.%5.%6"/>
      <w:lvlJc w:val="left"/>
      <w:pPr>
        <w:ind w:left="2880" w:hanging="1152"/>
      </w:pPr>
    </w:lvl>
    <w:lvl w:ilvl="6">
      <w:start w:val="1"/>
      <w:numFmt w:val="decimal"/>
      <w:lvlText w:val="%1.%2.%3.%4.%5.%6.%7"/>
      <w:lvlJc w:val="left"/>
      <w:pPr>
        <w:ind w:left="3024" w:hanging="1296"/>
      </w:pPr>
    </w:lvl>
    <w:lvl w:ilvl="7">
      <w:start w:val="1"/>
      <w:numFmt w:val="decimal"/>
      <w:lvlText w:val="%1.%2.%3.%4.%5.%6.%7.%8"/>
      <w:lvlJc w:val="left"/>
      <w:pPr>
        <w:ind w:left="3168" w:hanging="1440"/>
      </w:pPr>
    </w:lvl>
    <w:lvl w:ilvl="8">
      <w:start w:val="1"/>
      <w:numFmt w:val="decimal"/>
      <w:lvlText w:val="%1.%2.%3.%4.%5.%6.%7.%8.%9"/>
      <w:lvlJc w:val="left"/>
      <w:pPr>
        <w:ind w:left="3312" w:hanging="1584"/>
      </w:pPr>
    </w:lvl>
  </w:abstractNum>
  <w:abstractNum w:abstractNumId="29">
    <w:nsid w:val="5F503804"/>
    <w:multiLevelType w:val="hybridMultilevel"/>
    <w:tmpl w:val="D996D07A"/>
    <w:lvl w:ilvl="0" w:tplc="C764D9AE">
      <w:start w:val="1"/>
      <w:numFmt w:val="upperRoman"/>
      <w:lvlText w:val="%1."/>
      <w:lvlJc w:val="left"/>
      <w:pPr>
        <w:ind w:left="72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30">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31">
    <w:nsid w:val="5FEB7A91"/>
    <w:multiLevelType w:val="hybridMultilevel"/>
    <w:tmpl w:val="CBB8ED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ED56D2"/>
    <w:multiLevelType w:val="hybridMultilevel"/>
    <w:tmpl w:val="FD600A02"/>
    <w:lvl w:ilvl="0" w:tplc="01FC8DCA">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0E923E6"/>
    <w:multiLevelType w:val="hybridMultilevel"/>
    <w:tmpl w:val="D4C0440E"/>
    <w:lvl w:ilvl="0" w:tplc="A552A582">
      <w:start w:val="2"/>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5BB0115"/>
    <w:multiLevelType w:val="multilevel"/>
    <w:tmpl w:val="70FE2A6E"/>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5">
    <w:nsid w:val="67172F1E"/>
    <w:multiLevelType w:val="multilevel"/>
    <w:tmpl w:val="2210486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67840055"/>
    <w:multiLevelType w:val="hybridMultilevel"/>
    <w:tmpl w:val="6B90DFD4"/>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37">
    <w:nsid w:val="684B6176"/>
    <w:multiLevelType w:val="multilevel"/>
    <w:tmpl w:val="42ECA7A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nsid w:val="6A2B3D21"/>
    <w:multiLevelType w:val="hybridMultilevel"/>
    <w:tmpl w:val="E2B83822"/>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39">
    <w:nsid w:val="6E4A684E"/>
    <w:multiLevelType w:val="multilevel"/>
    <w:tmpl w:val="09C6373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0">
    <w:nsid w:val="74C74592"/>
    <w:multiLevelType w:val="multilevel"/>
    <w:tmpl w:val="D370FA38"/>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1">
    <w:nsid w:val="752D1D0A"/>
    <w:multiLevelType w:val="hybridMultilevel"/>
    <w:tmpl w:val="43CAFED0"/>
    <w:lvl w:ilvl="0" w:tplc="69543A1A">
      <w:start w:val="8"/>
      <w:numFmt w:val="bullet"/>
      <w:lvlText w:val="-"/>
      <w:lvlJc w:val="left"/>
      <w:pPr>
        <w:ind w:left="1080" w:hanging="360"/>
      </w:pPr>
      <w:rPr>
        <w:rFonts w:ascii="Times New Roman" w:eastAsia="Batang"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6C70C02"/>
    <w:multiLevelType w:val="hybridMultilevel"/>
    <w:tmpl w:val="8A86D962"/>
    <w:lvl w:ilvl="0" w:tplc="1C7053CC">
      <w:start w:val="2"/>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B53947"/>
    <w:multiLevelType w:val="hybridMultilevel"/>
    <w:tmpl w:val="1514FC4A"/>
    <w:lvl w:ilvl="0" w:tplc="261A1C20">
      <w:start w:val="1"/>
      <w:numFmt w:val="lowerLetter"/>
      <w:lvlText w:val="(%1)"/>
      <w:lvlJc w:val="left"/>
      <w:pPr>
        <w:ind w:left="1080" w:hanging="360"/>
      </w:pPr>
      <w:rPr>
        <w:rFonts w:hint="default"/>
        <w:b/>
      </w:rPr>
    </w:lvl>
    <w:lvl w:ilvl="1" w:tplc="4D867F9C">
      <w:numFmt w:val="bullet"/>
      <w:lvlText w:val="-"/>
      <w:lvlJc w:val="left"/>
      <w:pPr>
        <w:ind w:left="1800" w:hanging="360"/>
      </w:pPr>
      <w:rPr>
        <w:rFonts w:ascii="Times New Roman" w:eastAsia="Batang" w:hAnsi="Times New Roman" w:cs="Times New Roman" w:hint="default"/>
      </w:rPr>
    </w:lvl>
    <w:lvl w:ilvl="2" w:tplc="44F2472C">
      <w:numFmt w:val="bullet"/>
      <w:lvlText w:val="–"/>
      <w:lvlJc w:val="left"/>
      <w:pPr>
        <w:ind w:left="2700" w:hanging="360"/>
      </w:pPr>
      <w:rPr>
        <w:rFonts w:ascii="Times New Roman" w:eastAsia="Batang" w:hAnsi="Times New Roman"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894130A"/>
    <w:multiLevelType w:val="hybridMultilevel"/>
    <w:tmpl w:val="2CE83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DAE4CC7"/>
    <w:multiLevelType w:val="hybridMultilevel"/>
    <w:tmpl w:val="4726C9C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0"/>
  </w:num>
  <w:num w:numId="2">
    <w:abstractNumId w:val="40"/>
  </w:num>
  <w:num w:numId="3">
    <w:abstractNumId w:val="40"/>
  </w:num>
  <w:num w:numId="4">
    <w:abstractNumId w:val="40"/>
  </w:num>
  <w:num w:numId="5">
    <w:abstractNumId w:val="40"/>
  </w:num>
  <w:num w:numId="6">
    <w:abstractNumId w:val="40"/>
  </w:num>
  <w:num w:numId="7">
    <w:abstractNumId w:val="40"/>
  </w:num>
  <w:num w:numId="8">
    <w:abstractNumId w:val="40"/>
  </w:num>
  <w:num w:numId="9">
    <w:abstractNumId w:val="40"/>
  </w:num>
  <w:num w:numId="10">
    <w:abstractNumId w:val="3"/>
  </w:num>
  <w:num w:numId="11">
    <w:abstractNumId w:val="9"/>
  </w:num>
  <w:num w:numId="12">
    <w:abstractNumId w:val="18"/>
  </w:num>
  <w:num w:numId="13">
    <w:abstractNumId w:val="1"/>
  </w:num>
  <w:num w:numId="14">
    <w:abstractNumId w:val="36"/>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num>
  <w:num w:numId="18">
    <w:abstractNumId w:val="2"/>
  </w:num>
  <w:num w:numId="19">
    <w:abstractNumId w:val="26"/>
  </w:num>
  <w:num w:numId="20">
    <w:abstractNumId w:val="45"/>
  </w:num>
  <w:num w:numId="21">
    <w:abstractNumId w:val="8"/>
  </w:num>
  <w:num w:numId="22">
    <w:abstractNumId w:val="41"/>
  </w:num>
  <w:num w:numId="23">
    <w:abstractNumId w:val="4"/>
  </w:num>
  <w:num w:numId="24">
    <w:abstractNumId w:val="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2"/>
    </w:lvlOverride>
    <w:lvlOverride w:ilvl="1">
      <w:startOverride w:val="1"/>
    </w:lvlOverride>
  </w:num>
  <w:num w:numId="26">
    <w:abstractNumId w:val="3"/>
    <w:lvlOverride w:ilvl="0">
      <w:startOverride w:val="2"/>
    </w:lvlOverride>
    <w:lvlOverride w:ilvl="1">
      <w:startOverride w:val="1"/>
    </w:lvlOverride>
  </w:num>
  <w:num w:numId="27">
    <w:abstractNumId w:val="3"/>
    <w:lvlOverride w:ilvl="0">
      <w:startOverride w:val="2"/>
    </w:lvlOverride>
    <w:lvlOverride w:ilvl="1">
      <w:startOverride w:val="2"/>
    </w:lvlOverride>
  </w:num>
  <w:num w:numId="28">
    <w:abstractNumId w:val="42"/>
  </w:num>
  <w:num w:numId="29">
    <w:abstractNumId w:val="3"/>
  </w:num>
  <w:num w:numId="30">
    <w:abstractNumId w:val="3"/>
  </w:num>
  <w:num w:numId="31">
    <w:abstractNumId w:val="3"/>
  </w:num>
  <w:num w:numId="32">
    <w:abstractNumId w:val="44"/>
  </w:num>
  <w:num w:numId="33">
    <w:abstractNumId w:val="24"/>
  </w:num>
  <w:num w:numId="34">
    <w:abstractNumId w:val="0"/>
  </w:num>
  <w:num w:numId="35">
    <w:abstractNumId w:val="3"/>
  </w:num>
  <w:num w:numId="36">
    <w:abstractNumId w:val="10"/>
  </w:num>
  <w:num w:numId="37">
    <w:abstractNumId w:val="3"/>
    <w:lvlOverride w:ilvl="0">
      <w:startOverride w:val="1"/>
    </w:lvlOverride>
    <w:lvlOverride w:ilvl="1">
      <w:startOverride w:val="3"/>
    </w:lvlOverride>
  </w:num>
  <w:num w:numId="38">
    <w:abstractNumId w:val="20"/>
  </w:num>
  <w:num w:numId="39">
    <w:abstractNumId w:val="7"/>
  </w:num>
  <w:num w:numId="40">
    <w:abstractNumId w:val="5"/>
  </w:num>
  <w:num w:numId="41">
    <w:abstractNumId w:val="21"/>
  </w:num>
  <w:num w:numId="42">
    <w:abstractNumId w:val="11"/>
  </w:num>
  <w:num w:numId="43">
    <w:abstractNumId w:val="37"/>
  </w:num>
  <w:num w:numId="44">
    <w:abstractNumId w:val="28"/>
  </w:num>
  <w:num w:numId="45">
    <w:abstractNumId w:val="12"/>
  </w:num>
  <w:num w:numId="46">
    <w:abstractNumId w:val="23"/>
  </w:num>
  <w:num w:numId="47">
    <w:abstractNumId w:val="28"/>
  </w:num>
  <w:num w:numId="48">
    <w:abstractNumId w:val="32"/>
  </w:num>
  <w:num w:numId="49">
    <w:abstractNumId w:val="17"/>
  </w:num>
  <w:num w:numId="50">
    <w:abstractNumId w:val="43"/>
  </w:num>
  <w:num w:numId="51">
    <w:abstractNumId w:val="33"/>
  </w:num>
  <w:num w:numId="52">
    <w:abstractNumId w:val="28"/>
  </w:num>
  <w:num w:numId="53">
    <w:abstractNumId w:val="28"/>
  </w:num>
  <w:num w:numId="54">
    <w:abstractNumId w:val="39"/>
  </w:num>
  <w:num w:numId="55">
    <w:abstractNumId w:val="16"/>
  </w:num>
  <w:num w:numId="56">
    <w:abstractNumId w:val="28"/>
  </w:num>
  <w:num w:numId="57">
    <w:abstractNumId w:val="28"/>
  </w:num>
  <w:num w:numId="58">
    <w:abstractNumId w:val="30"/>
  </w:num>
  <w:num w:numId="59">
    <w:abstractNumId w:val="29"/>
  </w:num>
  <w:num w:numId="60">
    <w:abstractNumId w:val="38"/>
  </w:num>
  <w:num w:numId="61">
    <w:abstractNumId w:val="31"/>
  </w:num>
  <w:num w:numId="62">
    <w:abstractNumId w:val="13"/>
  </w:num>
  <w:num w:numId="63">
    <w:abstractNumId w:val="35"/>
  </w:num>
  <w:num w:numId="64">
    <w:abstractNumId w:val="19"/>
  </w:num>
  <w:num w:numId="65">
    <w:abstractNumId w:val="6"/>
  </w:num>
  <w:num w:numId="66">
    <w:abstractNumId w:val="27"/>
  </w:num>
  <w:num w:numId="67">
    <w:abstractNumId w:val="15"/>
  </w:num>
  <w:num w:numId="68">
    <w:abstractNumId w:val="34"/>
  </w:num>
  <w:num w:numId="69">
    <w:abstractNumId w:val="25"/>
  </w:num>
  <w:num w:numId="70">
    <w:abstractNumId w:val="2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UY"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PY" w:vendorID="64" w:dllVersion="131078" w:nlCheck="1" w:checkStyle="1"/>
  <w:activeWritingStyle w:appName="MSWord" w:lang="en-GB" w:vendorID="64" w:dllVersion="131078" w:nlCheck="1" w:checkStyle="1"/>
  <w:activeWritingStyle w:appName="MSWord" w:lang="es-HN" w:vendorID="64" w:dllVersion="131078" w:nlCheck="1" w:checkStyle="1"/>
  <w:activeWritingStyle w:appName="MSWord" w:lang="es-PE" w:vendorID="64" w:dllVersion="131078" w:nlCheck="1" w:checkStyle="1"/>
  <w:activeWritingStyle w:appName="MSWord" w:lang="es-CO" w:vendorID="64" w:dllVersion="131078" w:nlCheck="1" w:checkStyle="1"/>
  <w:activeWritingStyle w:appName="MSWord" w:lang="en-AU" w:vendorID="64" w:dllVersion="131078" w:nlCheck="1" w:checkStyle="1"/>
  <w:activeWritingStyle w:appName="MSWord" w:lang="es-MX"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CA"/>
    <w:rsid w:val="00002757"/>
    <w:rsid w:val="00002A33"/>
    <w:rsid w:val="00003E9E"/>
    <w:rsid w:val="000041BB"/>
    <w:rsid w:val="0000548F"/>
    <w:rsid w:val="00005494"/>
    <w:rsid w:val="00005E81"/>
    <w:rsid w:val="000065FE"/>
    <w:rsid w:val="00006DAD"/>
    <w:rsid w:val="0001085F"/>
    <w:rsid w:val="00010A25"/>
    <w:rsid w:val="000118D9"/>
    <w:rsid w:val="00011DDF"/>
    <w:rsid w:val="00012324"/>
    <w:rsid w:val="0001469C"/>
    <w:rsid w:val="00014A18"/>
    <w:rsid w:val="00014C5A"/>
    <w:rsid w:val="00015EF4"/>
    <w:rsid w:val="00017100"/>
    <w:rsid w:val="000179FD"/>
    <w:rsid w:val="00017CD0"/>
    <w:rsid w:val="0002114C"/>
    <w:rsid w:val="0002151F"/>
    <w:rsid w:val="00021ED1"/>
    <w:rsid w:val="00023AE0"/>
    <w:rsid w:val="0002482E"/>
    <w:rsid w:val="00024DA6"/>
    <w:rsid w:val="00025D6C"/>
    <w:rsid w:val="00025E75"/>
    <w:rsid w:val="000264F3"/>
    <w:rsid w:val="00031D12"/>
    <w:rsid w:val="00031ED2"/>
    <w:rsid w:val="000334D4"/>
    <w:rsid w:val="000347D3"/>
    <w:rsid w:val="00034CBC"/>
    <w:rsid w:val="00034F4E"/>
    <w:rsid w:val="000353A7"/>
    <w:rsid w:val="0003570B"/>
    <w:rsid w:val="000363A5"/>
    <w:rsid w:val="00036FD3"/>
    <w:rsid w:val="00041638"/>
    <w:rsid w:val="0004185C"/>
    <w:rsid w:val="00041C3B"/>
    <w:rsid w:val="00041F8D"/>
    <w:rsid w:val="00042009"/>
    <w:rsid w:val="00042DB1"/>
    <w:rsid w:val="00043850"/>
    <w:rsid w:val="0004492D"/>
    <w:rsid w:val="00045490"/>
    <w:rsid w:val="000456F7"/>
    <w:rsid w:val="00045895"/>
    <w:rsid w:val="00045B7F"/>
    <w:rsid w:val="00045CB2"/>
    <w:rsid w:val="00046228"/>
    <w:rsid w:val="00050883"/>
    <w:rsid w:val="00051C40"/>
    <w:rsid w:val="00052224"/>
    <w:rsid w:val="00052397"/>
    <w:rsid w:val="00052992"/>
    <w:rsid w:val="00053072"/>
    <w:rsid w:val="00055C74"/>
    <w:rsid w:val="000563FC"/>
    <w:rsid w:val="00056F2F"/>
    <w:rsid w:val="000570D4"/>
    <w:rsid w:val="0005761E"/>
    <w:rsid w:val="000578DD"/>
    <w:rsid w:val="00061448"/>
    <w:rsid w:val="000615A4"/>
    <w:rsid w:val="00061D7E"/>
    <w:rsid w:val="00062E58"/>
    <w:rsid w:val="00063DCF"/>
    <w:rsid w:val="00063E62"/>
    <w:rsid w:val="00063FD2"/>
    <w:rsid w:val="0006465E"/>
    <w:rsid w:val="00065138"/>
    <w:rsid w:val="00066400"/>
    <w:rsid w:val="000674D6"/>
    <w:rsid w:val="000701AB"/>
    <w:rsid w:val="000706A8"/>
    <w:rsid w:val="0007089D"/>
    <w:rsid w:val="0007326B"/>
    <w:rsid w:val="00074A37"/>
    <w:rsid w:val="00075C52"/>
    <w:rsid w:val="00076A7A"/>
    <w:rsid w:val="00076D27"/>
    <w:rsid w:val="0007734E"/>
    <w:rsid w:val="00077F9F"/>
    <w:rsid w:val="00080462"/>
    <w:rsid w:val="00080D3C"/>
    <w:rsid w:val="000818A8"/>
    <w:rsid w:val="00081ED9"/>
    <w:rsid w:val="0008250D"/>
    <w:rsid w:val="0008326C"/>
    <w:rsid w:val="00083B2D"/>
    <w:rsid w:val="00083CCB"/>
    <w:rsid w:val="000857BE"/>
    <w:rsid w:val="00085A5C"/>
    <w:rsid w:val="00086B58"/>
    <w:rsid w:val="00086BEB"/>
    <w:rsid w:val="0008772E"/>
    <w:rsid w:val="00087E87"/>
    <w:rsid w:val="0009319A"/>
    <w:rsid w:val="00093393"/>
    <w:rsid w:val="000933B1"/>
    <w:rsid w:val="00093481"/>
    <w:rsid w:val="0009387A"/>
    <w:rsid w:val="00094E85"/>
    <w:rsid w:val="0009529C"/>
    <w:rsid w:val="000968F8"/>
    <w:rsid w:val="000977EB"/>
    <w:rsid w:val="000A06B1"/>
    <w:rsid w:val="000A15E6"/>
    <w:rsid w:val="000A1835"/>
    <w:rsid w:val="000A26E6"/>
    <w:rsid w:val="000A2A44"/>
    <w:rsid w:val="000A2BDF"/>
    <w:rsid w:val="000A37AD"/>
    <w:rsid w:val="000A39FA"/>
    <w:rsid w:val="000A41E9"/>
    <w:rsid w:val="000A4282"/>
    <w:rsid w:val="000A48E3"/>
    <w:rsid w:val="000A4E52"/>
    <w:rsid w:val="000A5CA5"/>
    <w:rsid w:val="000B0DAB"/>
    <w:rsid w:val="000B1BC2"/>
    <w:rsid w:val="000B30CB"/>
    <w:rsid w:val="000B39B3"/>
    <w:rsid w:val="000B463B"/>
    <w:rsid w:val="000B53AC"/>
    <w:rsid w:val="000B5BB6"/>
    <w:rsid w:val="000B60B5"/>
    <w:rsid w:val="000B6809"/>
    <w:rsid w:val="000B753A"/>
    <w:rsid w:val="000C068F"/>
    <w:rsid w:val="000C18F8"/>
    <w:rsid w:val="000C2837"/>
    <w:rsid w:val="000C28E3"/>
    <w:rsid w:val="000C326E"/>
    <w:rsid w:val="000C3D14"/>
    <w:rsid w:val="000C4026"/>
    <w:rsid w:val="000C49DD"/>
    <w:rsid w:val="000C5ADA"/>
    <w:rsid w:val="000C5D73"/>
    <w:rsid w:val="000C5F44"/>
    <w:rsid w:val="000C6415"/>
    <w:rsid w:val="000C6B98"/>
    <w:rsid w:val="000C6FF6"/>
    <w:rsid w:val="000C73A5"/>
    <w:rsid w:val="000C744F"/>
    <w:rsid w:val="000C7503"/>
    <w:rsid w:val="000C75EB"/>
    <w:rsid w:val="000C762F"/>
    <w:rsid w:val="000D00C0"/>
    <w:rsid w:val="000D014A"/>
    <w:rsid w:val="000D0274"/>
    <w:rsid w:val="000D02D2"/>
    <w:rsid w:val="000D0C2D"/>
    <w:rsid w:val="000D0F7D"/>
    <w:rsid w:val="000D0FF7"/>
    <w:rsid w:val="000D2158"/>
    <w:rsid w:val="000D229C"/>
    <w:rsid w:val="000D36C2"/>
    <w:rsid w:val="000D4CA6"/>
    <w:rsid w:val="000D62FB"/>
    <w:rsid w:val="000D63F6"/>
    <w:rsid w:val="000D6981"/>
    <w:rsid w:val="000D6DC1"/>
    <w:rsid w:val="000D7192"/>
    <w:rsid w:val="000D7E16"/>
    <w:rsid w:val="000D7EF1"/>
    <w:rsid w:val="000E1639"/>
    <w:rsid w:val="000E17A9"/>
    <w:rsid w:val="000E23D3"/>
    <w:rsid w:val="000E2476"/>
    <w:rsid w:val="000E307D"/>
    <w:rsid w:val="000E318B"/>
    <w:rsid w:val="000E4CAF"/>
    <w:rsid w:val="000E5579"/>
    <w:rsid w:val="000E5AE6"/>
    <w:rsid w:val="000E680D"/>
    <w:rsid w:val="000E6956"/>
    <w:rsid w:val="000E7123"/>
    <w:rsid w:val="000E775A"/>
    <w:rsid w:val="000F0CF9"/>
    <w:rsid w:val="000F2838"/>
    <w:rsid w:val="000F2863"/>
    <w:rsid w:val="000F2E03"/>
    <w:rsid w:val="000F3289"/>
    <w:rsid w:val="000F32FA"/>
    <w:rsid w:val="000F45A9"/>
    <w:rsid w:val="000F5202"/>
    <w:rsid w:val="000F532A"/>
    <w:rsid w:val="000F54C5"/>
    <w:rsid w:val="000F6B42"/>
    <w:rsid w:val="000F73BA"/>
    <w:rsid w:val="001001AF"/>
    <w:rsid w:val="0010093D"/>
    <w:rsid w:val="00100CA3"/>
    <w:rsid w:val="00102240"/>
    <w:rsid w:val="001022AD"/>
    <w:rsid w:val="001028D0"/>
    <w:rsid w:val="00102A48"/>
    <w:rsid w:val="00103112"/>
    <w:rsid w:val="00103B75"/>
    <w:rsid w:val="00103CB3"/>
    <w:rsid w:val="00104FCD"/>
    <w:rsid w:val="0010695C"/>
    <w:rsid w:val="00106A6D"/>
    <w:rsid w:val="00106FB2"/>
    <w:rsid w:val="001074F4"/>
    <w:rsid w:val="001107EE"/>
    <w:rsid w:val="001109A9"/>
    <w:rsid w:val="00110AD4"/>
    <w:rsid w:val="001116EB"/>
    <w:rsid w:val="00111B42"/>
    <w:rsid w:val="001126BA"/>
    <w:rsid w:val="00112AB1"/>
    <w:rsid w:val="00112FEF"/>
    <w:rsid w:val="00113052"/>
    <w:rsid w:val="00113D15"/>
    <w:rsid w:val="001144AD"/>
    <w:rsid w:val="00114787"/>
    <w:rsid w:val="00114E93"/>
    <w:rsid w:val="0011556B"/>
    <w:rsid w:val="00116417"/>
    <w:rsid w:val="00116717"/>
    <w:rsid w:val="00116805"/>
    <w:rsid w:val="0011680C"/>
    <w:rsid w:val="00116A0C"/>
    <w:rsid w:val="0011707E"/>
    <w:rsid w:val="00117299"/>
    <w:rsid w:val="001179EE"/>
    <w:rsid w:val="00120249"/>
    <w:rsid w:val="00120C03"/>
    <w:rsid w:val="001213FE"/>
    <w:rsid w:val="001222D3"/>
    <w:rsid w:val="00123329"/>
    <w:rsid w:val="00125017"/>
    <w:rsid w:val="001259D9"/>
    <w:rsid w:val="00126E70"/>
    <w:rsid w:val="00131360"/>
    <w:rsid w:val="00131546"/>
    <w:rsid w:val="001345D7"/>
    <w:rsid w:val="0013477E"/>
    <w:rsid w:val="0013487C"/>
    <w:rsid w:val="00134F53"/>
    <w:rsid w:val="00135417"/>
    <w:rsid w:val="00136CC6"/>
    <w:rsid w:val="00137E46"/>
    <w:rsid w:val="001400FA"/>
    <w:rsid w:val="00140CA2"/>
    <w:rsid w:val="00141702"/>
    <w:rsid w:val="0014191D"/>
    <w:rsid w:val="00141964"/>
    <w:rsid w:val="00142C15"/>
    <w:rsid w:val="00142F0A"/>
    <w:rsid w:val="001430E3"/>
    <w:rsid w:val="00143480"/>
    <w:rsid w:val="001449ED"/>
    <w:rsid w:val="00144D4D"/>
    <w:rsid w:val="0014620F"/>
    <w:rsid w:val="0014660F"/>
    <w:rsid w:val="001466F9"/>
    <w:rsid w:val="00147658"/>
    <w:rsid w:val="001515E0"/>
    <w:rsid w:val="00151D71"/>
    <w:rsid w:val="00151DAC"/>
    <w:rsid w:val="00151FDA"/>
    <w:rsid w:val="00153295"/>
    <w:rsid w:val="00153CCD"/>
    <w:rsid w:val="00153F92"/>
    <w:rsid w:val="001562E1"/>
    <w:rsid w:val="00156C9B"/>
    <w:rsid w:val="00156E17"/>
    <w:rsid w:val="00157081"/>
    <w:rsid w:val="00157CE4"/>
    <w:rsid w:val="00157F56"/>
    <w:rsid w:val="00160AB5"/>
    <w:rsid w:val="00160BC1"/>
    <w:rsid w:val="00160E40"/>
    <w:rsid w:val="0016174C"/>
    <w:rsid w:val="00161A5B"/>
    <w:rsid w:val="00161E3C"/>
    <w:rsid w:val="00162596"/>
    <w:rsid w:val="00162735"/>
    <w:rsid w:val="001628FD"/>
    <w:rsid w:val="001635B4"/>
    <w:rsid w:val="0016566C"/>
    <w:rsid w:val="0016623C"/>
    <w:rsid w:val="001672FC"/>
    <w:rsid w:val="00170BD8"/>
    <w:rsid w:val="001714B4"/>
    <w:rsid w:val="00172013"/>
    <w:rsid w:val="0017256F"/>
    <w:rsid w:val="0017318E"/>
    <w:rsid w:val="00173445"/>
    <w:rsid w:val="00174CC5"/>
    <w:rsid w:val="00175D09"/>
    <w:rsid w:val="00175F45"/>
    <w:rsid w:val="001768D2"/>
    <w:rsid w:val="00176A7D"/>
    <w:rsid w:val="00176AC6"/>
    <w:rsid w:val="00176C5F"/>
    <w:rsid w:val="00177751"/>
    <w:rsid w:val="00177D10"/>
    <w:rsid w:val="00180BC0"/>
    <w:rsid w:val="00180F6E"/>
    <w:rsid w:val="001826F1"/>
    <w:rsid w:val="00182E16"/>
    <w:rsid w:val="001865E8"/>
    <w:rsid w:val="001877AC"/>
    <w:rsid w:val="001910B8"/>
    <w:rsid w:val="001910CF"/>
    <w:rsid w:val="00191C22"/>
    <w:rsid w:val="00192B9B"/>
    <w:rsid w:val="00193176"/>
    <w:rsid w:val="0019358F"/>
    <w:rsid w:val="00194C42"/>
    <w:rsid w:val="00194E68"/>
    <w:rsid w:val="00196330"/>
    <w:rsid w:val="001963B3"/>
    <w:rsid w:val="00196B8C"/>
    <w:rsid w:val="00197907"/>
    <w:rsid w:val="00197EA1"/>
    <w:rsid w:val="001A1608"/>
    <w:rsid w:val="001A31F9"/>
    <w:rsid w:val="001A5272"/>
    <w:rsid w:val="001A52E7"/>
    <w:rsid w:val="001A5A24"/>
    <w:rsid w:val="001A64BF"/>
    <w:rsid w:val="001A6F37"/>
    <w:rsid w:val="001A72C3"/>
    <w:rsid w:val="001A7822"/>
    <w:rsid w:val="001A789B"/>
    <w:rsid w:val="001B079F"/>
    <w:rsid w:val="001B07B7"/>
    <w:rsid w:val="001B0D2F"/>
    <w:rsid w:val="001B17E1"/>
    <w:rsid w:val="001B21E9"/>
    <w:rsid w:val="001B2A77"/>
    <w:rsid w:val="001B3188"/>
    <w:rsid w:val="001B31AA"/>
    <w:rsid w:val="001B442D"/>
    <w:rsid w:val="001B47BB"/>
    <w:rsid w:val="001B4CAE"/>
    <w:rsid w:val="001B4D3F"/>
    <w:rsid w:val="001B4E5E"/>
    <w:rsid w:val="001B6BB0"/>
    <w:rsid w:val="001B7279"/>
    <w:rsid w:val="001B79D2"/>
    <w:rsid w:val="001B7B1D"/>
    <w:rsid w:val="001C0670"/>
    <w:rsid w:val="001C0D11"/>
    <w:rsid w:val="001C108E"/>
    <w:rsid w:val="001C2126"/>
    <w:rsid w:val="001C2BD2"/>
    <w:rsid w:val="001C30C7"/>
    <w:rsid w:val="001C3978"/>
    <w:rsid w:val="001C3A13"/>
    <w:rsid w:val="001C4D34"/>
    <w:rsid w:val="001C5F60"/>
    <w:rsid w:val="001C66A0"/>
    <w:rsid w:val="001C7DF6"/>
    <w:rsid w:val="001D016A"/>
    <w:rsid w:val="001D01EF"/>
    <w:rsid w:val="001D09A5"/>
    <w:rsid w:val="001D0CA8"/>
    <w:rsid w:val="001D3148"/>
    <w:rsid w:val="001D36DF"/>
    <w:rsid w:val="001D4017"/>
    <w:rsid w:val="001D64AB"/>
    <w:rsid w:val="001D68C9"/>
    <w:rsid w:val="001D6D0C"/>
    <w:rsid w:val="001D6D7A"/>
    <w:rsid w:val="001D70D4"/>
    <w:rsid w:val="001E1185"/>
    <w:rsid w:val="001E1583"/>
    <w:rsid w:val="001E1E28"/>
    <w:rsid w:val="001E28F9"/>
    <w:rsid w:val="001E2C54"/>
    <w:rsid w:val="001E4316"/>
    <w:rsid w:val="001E4367"/>
    <w:rsid w:val="001E49F8"/>
    <w:rsid w:val="001E4C49"/>
    <w:rsid w:val="001E4E5E"/>
    <w:rsid w:val="001E53AF"/>
    <w:rsid w:val="001E5A06"/>
    <w:rsid w:val="001E5F40"/>
    <w:rsid w:val="001E6732"/>
    <w:rsid w:val="001E6773"/>
    <w:rsid w:val="001E7095"/>
    <w:rsid w:val="001E78E9"/>
    <w:rsid w:val="001F0085"/>
    <w:rsid w:val="001F05C1"/>
    <w:rsid w:val="001F2A5D"/>
    <w:rsid w:val="001F2FEF"/>
    <w:rsid w:val="001F390D"/>
    <w:rsid w:val="001F3BD9"/>
    <w:rsid w:val="001F3E1D"/>
    <w:rsid w:val="001F3FE0"/>
    <w:rsid w:val="001F4B6A"/>
    <w:rsid w:val="001F54B5"/>
    <w:rsid w:val="001F5729"/>
    <w:rsid w:val="001F59C9"/>
    <w:rsid w:val="001F6ED3"/>
    <w:rsid w:val="001F715D"/>
    <w:rsid w:val="001F75B2"/>
    <w:rsid w:val="001F779A"/>
    <w:rsid w:val="001F78B5"/>
    <w:rsid w:val="002001D9"/>
    <w:rsid w:val="00200288"/>
    <w:rsid w:val="00201C85"/>
    <w:rsid w:val="0020255F"/>
    <w:rsid w:val="00203BBA"/>
    <w:rsid w:val="0020471B"/>
    <w:rsid w:val="0020562B"/>
    <w:rsid w:val="00205863"/>
    <w:rsid w:val="00207035"/>
    <w:rsid w:val="002077A2"/>
    <w:rsid w:val="002111AC"/>
    <w:rsid w:val="0021143F"/>
    <w:rsid w:val="00211A2F"/>
    <w:rsid w:val="00212878"/>
    <w:rsid w:val="002129BF"/>
    <w:rsid w:val="00213DFD"/>
    <w:rsid w:val="0021469C"/>
    <w:rsid w:val="0021507B"/>
    <w:rsid w:val="00215A76"/>
    <w:rsid w:val="00215B6A"/>
    <w:rsid w:val="002162E9"/>
    <w:rsid w:val="00216478"/>
    <w:rsid w:val="00216573"/>
    <w:rsid w:val="00216A3B"/>
    <w:rsid w:val="00216E2A"/>
    <w:rsid w:val="00220DD5"/>
    <w:rsid w:val="00220F31"/>
    <w:rsid w:val="0022133E"/>
    <w:rsid w:val="00221B5D"/>
    <w:rsid w:val="00222C3D"/>
    <w:rsid w:val="00222CBB"/>
    <w:rsid w:val="002233CF"/>
    <w:rsid w:val="0022492D"/>
    <w:rsid w:val="0022531F"/>
    <w:rsid w:val="00226239"/>
    <w:rsid w:val="00226BA4"/>
    <w:rsid w:val="002309B1"/>
    <w:rsid w:val="00230D37"/>
    <w:rsid w:val="00230E81"/>
    <w:rsid w:val="0023162D"/>
    <w:rsid w:val="002316B0"/>
    <w:rsid w:val="002327CB"/>
    <w:rsid w:val="002328DA"/>
    <w:rsid w:val="002330E8"/>
    <w:rsid w:val="0023348C"/>
    <w:rsid w:val="00233E78"/>
    <w:rsid w:val="0023434A"/>
    <w:rsid w:val="00234EE1"/>
    <w:rsid w:val="00234F0B"/>
    <w:rsid w:val="0023566D"/>
    <w:rsid w:val="00235FCE"/>
    <w:rsid w:val="002364EE"/>
    <w:rsid w:val="0023674A"/>
    <w:rsid w:val="0023714B"/>
    <w:rsid w:val="0023789F"/>
    <w:rsid w:val="002406D1"/>
    <w:rsid w:val="00240DCF"/>
    <w:rsid w:val="0024170F"/>
    <w:rsid w:val="00241F7F"/>
    <w:rsid w:val="00242316"/>
    <w:rsid w:val="00242A4B"/>
    <w:rsid w:val="00242C82"/>
    <w:rsid w:val="00242DC7"/>
    <w:rsid w:val="002433B4"/>
    <w:rsid w:val="00243DF2"/>
    <w:rsid w:val="00245CB3"/>
    <w:rsid w:val="00247AF9"/>
    <w:rsid w:val="00247C8E"/>
    <w:rsid w:val="0025272A"/>
    <w:rsid w:val="0025372C"/>
    <w:rsid w:val="002549B2"/>
    <w:rsid w:val="0025668A"/>
    <w:rsid w:val="00256F8C"/>
    <w:rsid w:val="00256FD5"/>
    <w:rsid w:val="00260104"/>
    <w:rsid w:val="00260445"/>
    <w:rsid w:val="0026307D"/>
    <w:rsid w:val="002636DB"/>
    <w:rsid w:val="00263B3A"/>
    <w:rsid w:val="002647EE"/>
    <w:rsid w:val="0026486B"/>
    <w:rsid w:val="002675A3"/>
    <w:rsid w:val="002676EF"/>
    <w:rsid w:val="00270141"/>
    <w:rsid w:val="00270D16"/>
    <w:rsid w:val="002714E7"/>
    <w:rsid w:val="0027167B"/>
    <w:rsid w:val="00271C5D"/>
    <w:rsid w:val="00271FF6"/>
    <w:rsid w:val="0027288F"/>
    <w:rsid w:val="00272CE2"/>
    <w:rsid w:val="00273A13"/>
    <w:rsid w:val="00274281"/>
    <w:rsid w:val="002747A6"/>
    <w:rsid w:val="00274DFD"/>
    <w:rsid w:val="002751A5"/>
    <w:rsid w:val="00276127"/>
    <w:rsid w:val="0027623F"/>
    <w:rsid w:val="002762D7"/>
    <w:rsid w:val="00276C91"/>
    <w:rsid w:val="002807F6"/>
    <w:rsid w:val="00280826"/>
    <w:rsid w:val="0028218A"/>
    <w:rsid w:val="0028272F"/>
    <w:rsid w:val="0028286C"/>
    <w:rsid w:val="00282EC0"/>
    <w:rsid w:val="002831C2"/>
    <w:rsid w:val="00283BC3"/>
    <w:rsid w:val="00283C08"/>
    <w:rsid w:val="00283CC2"/>
    <w:rsid w:val="00284524"/>
    <w:rsid w:val="00284BAD"/>
    <w:rsid w:val="0028568F"/>
    <w:rsid w:val="00285E73"/>
    <w:rsid w:val="00285EAB"/>
    <w:rsid w:val="002862DA"/>
    <w:rsid w:val="00286FA9"/>
    <w:rsid w:val="00287B96"/>
    <w:rsid w:val="00290698"/>
    <w:rsid w:val="00290996"/>
    <w:rsid w:val="00290ED4"/>
    <w:rsid w:val="00291E46"/>
    <w:rsid w:val="002922EF"/>
    <w:rsid w:val="00292A95"/>
    <w:rsid w:val="00292CC7"/>
    <w:rsid w:val="00293009"/>
    <w:rsid w:val="00294A1D"/>
    <w:rsid w:val="00294C8B"/>
    <w:rsid w:val="00294F60"/>
    <w:rsid w:val="00295B4F"/>
    <w:rsid w:val="00295EB5"/>
    <w:rsid w:val="0029612E"/>
    <w:rsid w:val="00297987"/>
    <w:rsid w:val="002A1BE2"/>
    <w:rsid w:val="002A3CD6"/>
    <w:rsid w:val="002A4AE6"/>
    <w:rsid w:val="002A58C1"/>
    <w:rsid w:val="002A5D3F"/>
    <w:rsid w:val="002A69D4"/>
    <w:rsid w:val="002A6A0A"/>
    <w:rsid w:val="002B0123"/>
    <w:rsid w:val="002B1BB3"/>
    <w:rsid w:val="002B2013"/>
    <w:rsid w:val="002B2056"/>
    <w:rsid w:val="002B33AD"/>
    <w:rsid w:val="002B3508"/>
    <w:rsid w:val="002B3D2D"/>
    <w:rsid w:val="002B40CE"/>
    <w:rsid w:val="002B4225"/>
    <w:rsid w:val="002B482F"/>
    <w:rsid w:val="002B4CD8"/>
    <w:rsid w:val="002B7CCC"/>
    <w:rsid w:val="002C06FB"/>
    <w:rsid w:val="002C0F04"/>
    <w:rsid w:val="002C1204"/>
    <w:rsid w:val="002C19C4"/>
    <w:rsid w:val="002C2765"/>
    <w:rsid w:val="002C2C98"/>
    <w:rsid w:val="002C4CF7"/>
    <w:rsid w:val="002C65BF"/>
    <w:rsid w:val="002C6704"/>
    <w:rsid w:val="002C7020"/>
    <w:rsid w:val="002C75BF"/>
    <w:rsid w:val="002C7D3A"/>
    <w:rsid w:val="002D0D1A"/>
    <w:rsid w:val="002D0E0C"/>
    <w:rsid w:val="002D1D66"/>
    <w:rsid w:val="002D1FBA"/>
    <w:rsid w:val="002D21B5"/>
    <w:rsid w:val="002D324B"/>
    <w:rsid w:val="002D33B4"/>
    <w:rsid w:val="002D3AA0"/>
    <w:rsid w:val="002D59C1"/>
    <w:rsid w:val="002D5C12"/>
    <w:rsid w:val="002E1163"/>
    <w:rsid w:val="002E16C3"/>
    <w:rsid w:val="002E38F3"/>
    <w:rsid w:val="002E3B26"/>
    <w:rsid w:val="002E468A"/>
    <w:rsid w:val="002E4B79"/>
    <w:rsid w:val="002E4E0A"/>
    <w:rsid w:val="002E52EA"/>
    <w:rsid w:val="002E794B"/>
    <w:rsid w:val="002F0E49"/>
    <w:rsid w:val="002F24D9"/>
    <w:rsid w:val="002F2770"/>
    <w:rsid w:val="002F3CBB"/>
    <w:rsid w:val="002F68EA"/>
    <w:rsid w:val="002F6F16"/>
    <w:rsid w:val="00301527"/>
    <w:rsid w:val="00301E87"/>
    <w:rsid w:val="00304219"/>
    <w:rsid w:val="00304E6F"/>
    <w:rsid w:val="00305297"/>
    <w:rsid w:val="00305AB4"/>
    <w:rsid w:val="00305B3E"/>
    <w:rsid w:val="00306801"/>
    <w:rsid w:val="00306AAF"/>
    <w:rsid w:val="00311463"/>
    <w:rsid w:val="00314156"/>
    <w:rsid w:val="0031427B"/>
    <w:rsid w:val="00314441"/>
    <w:rsid w:val="00314727"/>
    <w:rsid w:val="00314883"/>
    <w:rsid w:val="00314C1A"/>
    <w:rsid w:val="00315582"/>
    <w:rsid w:val="00315A72"/>
    <w:rsid w:val="00315C45"/>
    <w:rsid w:val="0031600A"/>
    <w:rsid w:val="0031623A"/>
    <w:rsid w:val="00316D3C"/>
    <w:rsid w:val="003170AB"/>
    <w:rsid w:val="00317359"/>
    <w:rsid w:val="00317AB1"/>
    <w:rsid w:val="00320461"/>
    <w:rsid w:val="0032088D"/>
    <w:rsid w:val="00320F4C"/>
    <w:rsid w:val="0032143B"/>
    <w:rsid w:val="00321710"/>
    <w:rsid w:val="003221AB"/>
    <w:rsid w:val="003225E1"/>
    <w:rsid w:val="003234C4"/>
    <w:rsid w:val="00323B12"/>
    <w:rsid w:val="00323DB5"/>
    <w:rsid w:val="00323F09"/>
    <w:rsid w:val="003243DB"/>
    <w:rsid w:val="003245F4"/>
    <w:rsid w:val="003248BD"/>
    <w:rsid w:val="00324A20"/>
    <w:rsid w:val="00324B52"/>
    <w:rsid w:val="0032561A"/>
    <w:rsid w:val="00325795"/>
    <w:rsid w:val="00325C1E"/>
    <w:rsid w:val="00326586"/>
    <w:rsid w:val="003271FF"/>
    <w:rsid w:val="0032781E"/>
    <w:rsid w:val="003305C8"/>
    <w:rsid w:val="00331375"/>
    <w:rsid w:val="00332FA6"/>
    <w:rsid w:val="003336AF"/>
    <w:rsid w:val="003338E2"/>
    <w:rsid w:val="00333DC0"/>
    <w:rsid w:val="0033414F"/>
    <w:rsid w:val="00334654"/>
    <w:rsid w:val="0033491F"/>
    <w:rsid w:val="00335946"/>
    <w:rsid w:val="00335A24"/>
    <w:rsid w:val="00335C1F"/>
    <w:rsid w:val="00336692"/>
    <w:rsid w:val="00336B2B"/>
    <w:rsid w:val="003371BD"/>
    <w:rsid w:val="00337D0C"/>
    <w:rsid w:val="00337DC3"/>
    <w:rsid w:val="00341321"/>
    <w:rsid w:val="00341451"/>
    <w:rsid w:val="00342D95"/>
    <w:rsid w:val="00343B9C"/>
    <w:rsid w:val="003455F2"/>
    <w:rsid w:val="00345E9F"/>
    <w:rsid w:val="00347CCD"/>
    <w:rsid w:val="00352250"/>
    <w:rsid w:val="003522CA"/>
    <w:rsid w:val="003522DE"/>
    <w:rsid w:val="00353D5E"/>
    <w:rsid w:val="00354073"/>
    <w:rsid w:val="00354A30"/>
    <w:rsid w:val="00354E2E"/>
    <w:rsid w:val="00354FA3"/>
    <w:rsid w:val="00354FC6"/>
    <w:rsid w:val="003556B9"/>
    <w:rsid w:val="00355A13"/>
    <w:rsid w:val="00355C37"/>
    <w:rsid w:val="0035733D"/>
    <w:rsid w:val="003579EC"/>
    <w:rsid w:val="003620DD"/>
    <w:rsid w:val="00362ADE"/>
    <w:rsid w:val="003636CC"/>
    <w:rsid w:val="00363AF2"/>
    <w:rsid w:val="003645BF"/>
    <w:rsid w:val="00364B2B"/>
    <w:rsid w:val="00366D8D"/>
    <w:rsid w:val="00370B54"/>
    <w:rsid w:val="003721E1"/>
    <w:rsid w:val="003722C4"/>
    <w:rsid w:val="00372331"/>
    <w:rsid w:val="00372343"/>
    <w:rsid w:val="00372514"/>
    <w:rsid w:val="0037258F"/>
    <w:rsid w:val="00372B51"/>
    <w:rsid w:val="0037306A"/>
    <w:rsid w:val="0037323C"/>
    <w:rsid w:val="003733FB"/>
    <w:rsid w:val="00373564"/>
    <w:rsid w:val="00373CE7"/>
    <w:rsid w:val="00373D00"/>
    <w:rsid w:val="00374527"/>
    <w:rsid w:val="00374571"/>
    <w:rsid w:val="00374A2A"/>
    <w:rsid w:val="00374AEB"/>
    <w:rsid w:val="00375D58"/>
    <w:rsid w:val="00375E6B"/>
    <w:rsid w:val="003768D1"/>
    <w:rsid w:val="00376AF2"/>
    <w:rsid w:val="003771F7"/>
    <w:rsid w:val="00381715"/>
    <w:rsid w:val="0038325B"/>
    <w:rsid w:val="0038333E"/>
    <w:rsid w:val="003840AE"/>
    <w:rsid w:val="00384432"/>
    <w:rsid w:val="00384A05"/>
    <w:rsid w:val="00384AE3"/>
    <w:rsid w:val="00384CD2"/>
    <w:rsid w:val="003859DD"/>
    <w:rsid w:val="00385AD4"/>
    <w:rsid w:val="00385F53"/>
    <w:rsid w:val="003860B8"/>
    <w:rsid w:val="00386699"/>
    <w:rsid w:val="00386C93"/>
    <w:rsid w:val="0038747E"/>
    <w:rsid w:val="003875E6"/>
    <w:rsid w:val="00387F2B"/>
    <w:rsid w:val="003910CE"/>
    <w:rsid w:val="00391105"/>
    <w:rsid w:val="00391BE0"/>
    <w:rsid w:val="0039256B"/>
    <w:rsid w:val="00393397"/>
    <w:rsid w:val="00393747"/>
    <w:rsid w:val="00395BEE"/>
    <w:rsid w:val="00395EAD"/>
    <w:rsid w:val="00396236"/>
    <w:rsid w:val="00396F74"/>
    <w:rsid w:val="0039789B"/>
    <w:rsid w:val="00397DF4"/>
    <w:rsid w:val="003A0A9E"/>
    <w:rsid w:val="003A1163"/>
    <w:rsid w:val="003A3CDC"/>
    <w:rsid w:val="003A3E5D"/>
    <w:rsid w:val="003A4455"/>
    <w:rsid w:val="003A4E0E"/>
    <w:rsid w:val="003B130F"/>
    <w:rsid w:val="003B21BF"/>
    <w:rsid w:val="003B3370"/>
    <w:rsid w:val="003B43CD"/>
    <w:rsid w:val="003B4558"/>
    <w:rsid w:val="003B5D3D"/>
    <w:rsid w:val="003B6058"/>
    <w:rsid w:val="003B648B"/>
    <w:rsid w:val="003B7235"/>
    <w:rsid w:val="003B78EC"/>
    <w:rsid w:val="003B7A55"/>
    <w:rsid w:val="003C1710"/>
    <w:rsid w:val="003C3715"/>
    <w:rsid w:val="003C4620"/>
    <w:rsid w:val="003C462B"/>
    <w:rsid w:val="003C4F9E"/>
    <w:rsid w:val="003C581A"/>
    <w:rsid w:val="003C5DE6"/>
    <w:rsid w:val="003C5ED2"/>
    <w:rsid w:val="003C65BE"/>
    <w:rsid w:val="003C6613"/>
    <w:rsid w:val="003C7608"/>
    <w:rsid w:val="003D0D2F"/>
    <w:rsid w:val="003D0F5F"/>
    <w:rsid w:val="003D447F"/>
    <w:rsid w:val="003D456D"/>
    <w:rsid w:val="003D5133"/>
    <w:rsid w:val="003D524C"/>
    <w:rsid w:val="003D596F"/>
    <w:rsid w:val="003D5B88"/>
    <w:rsid w:val="003D5E91"/>
    <w:rsid w:val="003D6150"/>
    <w:rsid w:val="003E07DA"/>
    <w:rsid w:val="003E0AC1"/>
    <w:rsid w:val="003E0AC9"/>
    <w:rsid w:val="003E0E5F"/>
    <w:rsid w:val="003E3621"/>
    <w:rsid w:val="003E36D2"/>
    <w:rsid w:val="003E39F0"/>
    <w:rsid w:val="003E4F71"/>
    <w:rsid w:val="003E66FA"/>
    <w:rsid w:val="003E7882"/>
    <w:rsid w:val="003E7928"/>
    <w:rsid w:val="003E7CAD"/>
    <w:rsid w:val="003F0BD0"/>
    <w:rsid w:val="003F1C54"/>
    <w:rsid w:val="003F2078"/>
    <w:rsid w:val="003F217B"/>
    <w:rsid w:val="003F2A8F"/>
    <w:rsid w:val="003F2CAE"/>
    <w:rsid w:val="003F3FE1"/>
    <w:rsid w:val="003F40D6"/>
    <w:rsid w:val="003F49FA"/>
    <w:rsid w:val="003F4E6D"/>
    <w:rsid w:val="003F4F1A"/>
    <w:rsid w:val="003F5738"/>
    <w:rsid w:val="003F5C8D"/>
    <w:rsid w:val="003F6C07"/>
    <w:rsid w:val="003F6EAA"/>
    <w:rsid w:val="003F7D8A"/>
    <w:rsid w:val="004001F1"/>
    <w:rsid w:val="004018C0"/>
    <w:rsid w:val="00403055"/>
    <w:rsid w:val="00404915"/>
    <w:rsid w:val="00404C19"/>
    <w:rsid w:val="00405558"/>
    <w:rsid w:val="00407398"/>
    <w:rsid w:val="004075F2"/>
    <w:rsid w:val="004104F6"/>
    <w:rsid w:val="00411315"/>
    <w:rsid w:val="00411A68"/>
    <w:rsid w:val="004125F3"/>
    <w:rsid w:val="00413433"/>
    <w:rsid w:val="004146FD"/>
    <w:rsid w:val="00414C8C"/>
    <w:rsid w:val="00414CF0"/>
    <w:rsid w:val="00415098"/>
    <w:rsid w:val="004166F3"/>
    <w:rsid w:val="00416F36"/>
    <w:rsid w:val="00417AA2"/>
    <w:rsid w:val="00420174"/>
    <w:rsid w:val="00420726"/>
    <w:rsid w:val="00421D8F"/>
    <w:rsid w:val="00422005"/>
    <w:rsid w:val="0042303E"/>
    <w:rsid w:val="00423B39"/>
    <w:rsid w:val="00424906"/>
    <w:rsid w:val="00424DF3"/>
    <w:rsid w:val="00424F0D"/>
    <w:rsid w:val="004253A8"/>
    <w:rsid w:val="00426225"/>
    <w:rsid w:val="004304B6"/>
    <w:rsid w:val="004306A8"/>
    <w:rsid w:val="00430CCD"/>
    <w:rsid w:val="0043117F"/>
    <w:rsid w:val="004311DD"/>
    <w:rsid w:val="0043192A"/>
    <w:rsid w:val="00431F5B"/>
    <w:rsid w:val="00432573"/>
    <w:rsid w:val="00432940"/>
    <w:rsid w:val="0043424A"/>
    <w:rsid w:val="004351B0"/>
    <w:rsid w:val="00435420"/>
    <w:rsid w:val="00435718"/>
    <w:rsid w:val="00436397"/>
    <w:rsid w:val="004408CE"/>
    <w:rsid w:val="00441EE7"/>
    <w:rsid w:val="00442217"/>
    <w:rsid w:val="004436F0"/>
    <w:rsid w:val="00443D43"/>
    <w:rsid w:val="0044431C"/>
    <w:rsid w:val="004447C6"/>
    <w:rsid w:val="00447425"/>
    <w:rsid w:val="00447E82"/>
    <w:rsid w:val="004508C0"/>
    <w:rsid w:val="004514F4"/>
    <w:rsid w:val="004518C7"/>
    <w:rsid w:val="00453622"/>
    <w:rsid w:val="0045478C"/>
    <w:rsid w:val="004552F8"/>
    <w:rsid w:val="004555B4"/>
    <w:rsid w:val="00455BC8"/>
    <w:rsid w:val="0045650F"/>
    <w:rsid w:val="00456E98"/>
    <w:rsid w:val="004601D0"/>
    <w:rsid w:val="00460283"/>
    <w:rsid w:val="004621B6"/>
    <w:rsid w:val="004625DB"/>
    <w:rsid w:val="00462E9C"/>
    <w:rsid w:val="00462F30"/>
    <w:rsid w:val="004630BD"/>
    <w:rsid w:val="004635DE"/>
    <w:rsid w:val="00464957"/>
    <w:rsid w:val="0046631E"/>
    <w:rsid w:val="0046752F"/>
    <w:rsid w:val="00467C60"/>
    <w:rsid w:val="0047026D"/>
    <w:rsid w:val="0047062E"/>
    <w:rsid w:val="00470697"/>
    <w:rsid w:val="004714F7"/>
    <w:rsid w:val="004717FB"/>
    <w:rsid w:val="00471B47"/>
    <w:rsid w:val="004722E6"/>
    <w:rsid w:val="0047245C"/>
    <w:rsid w:val="004728CD"/>
    <w:rsid w:val="00472C32"/>
    <w:rsid w:val="00472CFD"/>
    <w:rsid w:val="00473529"/>
    <w:rsid w:val="004739E6"/>
    <w:rsid w:val="00474125"/>
    <w:rsid w:val="004749BC"/>
    <w:rsid w:val="00474E60"/>
    <w:rsid w:val="00475112"/>
    <w:rsid w:val="00475B39"/>
    <w:rsid w:val="0047605D"/>
    <w:rsid w:val="0047746A"/>
    <w:rsid w:val="0047783F"/>
    <w:rsid w:val="0047792F"/>
    <w:rsid w:val="004812F8"/>
    <w:rsid w:val="00481671"/>
    <w:rsid w:val="00482DB3"/>
    <w:rsid w:val="004833B1"/>
    <w:rsid w:val="0048358B"/>
    <w:rsid w:val="004835B0"/>
    <w:rsid w:val="00483F6D"/>
    <w:rsid w:val="00484216"/>
    <w:rsid w:val="00484F0F"/>
    <w:rsid w:val="0048534A"/>
    <w:rsid w:val="00485882"/>
    <w:rsid w:val="0048602F"/>
    <w:rsid w:val="00487778"/>
    <w:rsid w:val="00487872"/>
    <w:rsid w:val="00487ADC"/>
    <w:rsid w:val="00487F72"/>
    <w:rsid w:val="004907BF"/>
    <w:rsid w:val="00490E76"/>
    <w:rsid w:val="004927F7"/>
    <w:rsid w:val="004929CB"/>
    <w:rsid w:val="004929D9"/>
    <w:rsid w:val="004946C7"/>
    <w:rsid w:val="00494F17"/>
    <w:rsid w:val="00495036"/>
    <w:rsid w:val="0049522F"/>
    <w:rsid w:val="004969C1"/>
    <w:rsid w:val="00497522"/>
    <w:rsid w:val="004975AB"/>
    <w:rsid w:val="004A04EB"/>
    <w:rsid w:val="004A204C"/>
    <w:rsid w:val="004A2259"/>
    <w:rsid w:val="004A236C"/>
    <w:rsid w:val="004A2C83"/>
    <w:rsid w:val="004A34BE"/>
    <w:rsid w:val="004A3B83"/>
    <w:rsid w:val="004A3DCC"/>
    <w:rsid w:val="004A3DF7"/>
    <w:rsid w:val="004A449A"/>
    <w:rsid w:val="004A5A66"/>
    <w:rsid w:val="004A5E54"/>
    <w:rsid w:val="004A6996"/>
    <w:rsid w:val="004A737A"/>
    <w:rsid w:val="004A7547"/>
    <w:rsid w:val="004A79CF"/>
    <w:rsid w:val="004A7BDA"/>
    <w:rsid w:val="004A7EA6"/>
    <w:rsid w:val="004A7F80"/>
    <w:rsid w:val="004B37C0"/>
    <w:rsid w:val="004B4E4A"/>
    <w:rsid w:val="004B5477"/>
    <w:rsid w:val="004B5669"/>
    <w:rsid w:val="004B7011"/>
    <w:rsid w:val="004C09AB"/>
    <w:rsid w:val="004C0F22"/>
    <w:rsid w:val="004C1149"/>
    <w:rsid w:val="004C1A70"/>
    <w:rsid w:val="004C1BBE"/>
    <w:rsid w:val="004C2331"/>
    <w:rsid w:val="004C2607"/>
    <w:rsid w:val="004C288C"/>
    <w:rsid w:val="004C2FB3"/>
    <w:rsid w:val="004C4908"/>
    <w:rsid w:val="004C5F8E"/>
    <w:rsid w:val="004C6C6F"/>
    <w:rsid w:val="004C6D9E"/>
    <w:rsid w:val="004C7254"/>
    <w:rsid w:val="004C727C"/>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28C"/>
    <w:rsid w:val="004D735F"/>
    <w:rsid w:val="004D7A41"/>
    <w:rsid w:val="004D7F00"/>
    <w:rsid w:val="004E058C"/>
    <w:rsid w:val="004E0A69"/>
    <w:rsid w:val="004E1F5A"/>
    <w:rsid w:val="004E2999"/>
    <w:rsid w:val="004E2A82"/>
    <w:rsid w:val="004E2ECB"/>
    <w:rsid w:val="004E4BCB"/>
    <w:rsid w:val="004E4C9E"/>
    <w:rsid w:val="004E50CE"/>
    <w:rsid w:val="004E571D"/>
    <w:rsid w:val="004E57DE"/>
    <w:rsid w:val="004E5B08"/>
    <w:rsid w:val="004E5B54"/>
    <w:rsid w:val="004E6051"/>
    <w:rsid w:val="004E6217"/>
    <w:rsid w:val="004E73C6"/>
    <w:rsid w:val="004F059B"/>
    <w:rsid w:val="004F08B6"/>
    <w:rsid w:val="004F190C"/>
    <w:rsid w:val="004F1A1E"/>
    <w:rsid w:val="004F37C6"/>
    <w:rsid w:val="004F4357"/>
    <w:rsid w:val="004F5E12"/>
    <w:rsid w:val="004F5E98"/>
    <w:rsid w:val="004F65EE"/>
    <w:rsid w:val="004F6F8D"/>
    <w:rsid w:val="004F6FC5"/>
    <w:rsid w:val="004F71B6"/>
    <w:rsid w:val="004F739C"/>
    <w:rsid w:val="004F75BE"/>
    <w:rsid w:val="005005E4"/>
    <w:rsid w:val="00502FA9"/>
    <w:rsid w:val="005036E2"/>
    <w:rsid w:val="005038D6"/>
    <w:rsid w:val="00504DA7"/>
    <w:rsid w:val="00505BC2"/>
    <w:rsid w:val="00505D9C"/>
    <w:rsid w:val="00505FD6"/>
    <w:rsid w:val="0050627C"/>
    <w:rsid w:val="00506CB4"/>
    <w:rsid w:val="00507E04"/>
    <w:rsid w:val="00510134"/>
    <w:rsid w:val="005101A3"/>
    <w:rsid w:val="005104A3"/>
    <w:rsid w:val="005123AA"/>
    <w:rsid w:val="00512EA8"/>
    <w:rsid w:val="00515F3A"/>
    <w:rsid w:val="0051657D"/>
    <w:rsid w:val="00516951"/>
    <w:rsid w:val="005176F6"/>
    <w:rsid w:val="0051777A"/>
    <w:rsid w:val="00520E17"/>
    <w:rsid w:val="00521204"/>
    <w:rsid w:val="0052146F"/>
    <w:rsid w:val="00521B90"/>
    <w:rsid w:val="005220BE"/>
    <w:rsid w:val="00522C69"/>
    <w:rsid w:val="00522C8A"/>
    <w:rsid w:val="00522E9B"/>
    <w:rsid w:val="00523BBC"/>
    <w:rsid w:val="005242A9"/>
    <w:rsid w:val="00524A93"/>
    <w:rsid w:val="005261F7"/>
    <w:rsid w:val="00526DA4"/>
    <w:rsid w:val="00527EEE"/>
    <w:rsid w:val="00530405"/>
    <w:rsid w:val="00530744"/>
    <w:rsid w:val="00530A30"/>
    <w:rsid w:val="00531568"/>
    <w:rsid w:val="005320E5"/>
    <w:rsid w:val="0053246E"/>
    <w:rsid w:val="00533071"/>
    <w:rsid w:val="0053382C"/>
    <w:rsid w:val="005339BB"/>
    <w:rsid w:val="00534386"/>
    <w:rsid w:val="00534CB4"/>
    <w:rsid w:val="00535DBC"/>
    <w:rsid w:val="00536267"/>
    <w:rsid w:val="0053673E"/>
    <w:rsid w:val="00536E45"/>
    <w:rsid w:val="005377E5"/>
    <w:rsid w:val="00537817"/>
    <w:rsid w:val="0054024A"/>
    <w:rsid w:val="00540538"/>
    <w:rsid w:val="00542082"/>
    <w:rsid w:val="00542B98"/>
    <w:rsid w:val="00542EA5"/>
    <w:rsid w:val="00542FF1"/>
    <w:rsid w:val="005433B7"/>
    <w:rsid w:val="00543B3D"/>
    <w:rsid w:val="005460EF"/>
    <w:rsid w:val="00546A63"/>
    <w:rsid w:val="005477C2"/>
    <w:rsid w:val="00550A60"/>
    <w:rsid w:val="00550C4B"/>
    <w:rsid w:val="00550C97"/>
    <w:rsid w:val="00551E1F"/>
    <w:rsid w:val="005526C9"/>
    <w:rsid w:val="00552ABD"/>
    <w:rsid w:val="00552D25"/>
    <w:rsid w:val="00553C5A"/>
    <w:rsid w:val="00553FFF"/>
    <w:rsid w:val="00554B83"/>
    <w:rsid w:val="00555512"/>
    <w:rsid w:val="005556B1"/>
    <w:rsid w:val="0055574B"/>
    <w:rsid w:val="00555BE9"/>
    <w:rsid w:val="005560D3"/>
    <w:rsid w:val="0055623E"/>
    <w:rsid w:val="00556DC6"/>
    <w:rsid w:val="005600E7"/>
    <w:rsid w:val="0056071F"/>
    <w:rsid w:val="00561540"/>
    <w:rsid w:val="005615B7"/>
    <w:rsid w:val="00561F53"/>
    <w:rsid w:val="00562967"/>
    <w:rsid w:val="00563894"/>
    <w:rsid w:val="00563E21"/>
    <w:rsid w:val="00564748"/>
    <w:rsid w:val="00566B8C"/>
    <w:rsid w:val="00566C03"/>
    <w:rsid w:val="0057005B"/>
    <w:rsid w:val="00570E29"/>
    <w:rsid w:val="00572F5A"/>
    <w:rsid w:val="00573230"/>
    <w:rsid w:val="00573256"/>
    <w:rsid w:val="00573D20"/>
    <w:rsid w:val="0057459D"/>
    <w:rsid w:val="00574DF7"/>
    <w:rsid w:val="00575A0E"/>
    <w:rsid w:val="00576799"/>
    <w:rsid w:val="0057692D"/>
    <w:rsid w:val="00577166"/>
    <w:rsid w:val="00580456"/>
    <w:rsid w:val="005812EF"/>
    <w:rsid w:val="0058132A"/>
    <w:rsid w:val="00581B55"/>
    <w:rsid w:val="00581F87"/>
    <w:rsid w:val="00582FDF"/>
    <w:rsid w:val="0058427D"/>
    <w:rsid w:val="0058486C"/>
    <w:rsid w:val="00584CE1"/>
    <w:rsid w:val="00585171"/>
    <w:rsid w:val="005853B3"/>
    <w:rsid w:val="0058680D"/>
    <w:rsid w:val="00587051"/>
    <w:rsid w:val="005872F3"/>
    <w:rsid w:val="0059068E"/>
    <w:rsid w:val="00590836"/>
    <w:rsid w:val="005911EA"/>
    <w:rsid w:val="005915D7"/>
    <w:rsid w:val="005920B5"/>
    <w:rsid w:val="005921C5"/>
    <w:rsid w:val="005930D3"/>
    <w:rsid w:val="005950C1"/>
    <w:rsid w:val="00595741"/>
    <w:rsid w:val="00595CC3"/>
    <w:rsid w:val="005962E6"/>
    <w:rsid w:val="005979A5"/>
    <w:rsid w:val="005A0223"/>
    <w:rsid w:val="005A022A"/>
    <w:rsid w:val="005A065D"/>
    <w:rsid w:val="005A0843"/>
    <w:rsid w:val="005A0BAE"/>
    <w:rsid w:val="005A160A"/>
    <w:rsid w:val="005A1884"/>
    <w:rsid w:val="005A1905"/>
    <w:rsid w:val="005A1B44"/>
    <w:rsid w:val="005A3B64"/>
    <w:rsid w:val="005A4D84"/>
    <w:rsid w:val="005A749D"/>
    <w:rsid w:val="005B0E0B"/>
    <w:rsid w:val="005B3CF4"/>
    <w:rsid w:val="005B444E"/>
    <w:rsid w:val="005B45D2"/>
    <w:rsid w:val="005B48FC"/>
    <w:rsid w:val="005B4A37"/>
    <w:rsid w:val="005B4CE3"/>
    <w:rsid w:val="005B5118"/>
    <w:rsid w:val="005B6456"/>
    <w:rsid w:val="005B6A63"/>
    <w:rsid w:val="005B6E16"/>
    <w:rsid w:val="005B6F4C"/>
    <w:rsid w:val="005B75FD"/>
    <w:rsid w:val="005C0D43"/>
    <w:rsid w:val="005C273F"/>
    <w:rsid w:val="005C2BF3"/>
    <w:rsid w:val="005C2CB0"/>
    <w:rsid w:val="005C32E6"/>
    <w:rsid w:val="005C3D66"/>
    <w:rsid w:val="005C5E59"/>
    <w:rsid w:val="005C600D"/>
    <w:rsid w:val="005C6245"/>
    <w:rsid w:val="005C62EB"/>
    <w:rsid w:val="005C6E9A"/>
    <w:rsid w:val="005C781E"/>
    <w:rsid w:val="005D0236"/>
    <w:rsid w:val="005D0FD1"/>
    <w:rsid w:val="005D153E"/>
    <w:rsid w:val="005D181E"/>
    <w:rsid w:val="005D2982"/>
    <w:rsid w:val="005D325B"/>
    <w:rsid w:val="005D39B1"/>
    <w:rsid w:val="005D4C1B"/>
    <w:rsid w:val="005D531D"/>
    <w:rsid w:val="005D5E73"/>
    <w:rsid w:val="005D689B"/>
    <w:rsid w:val="005D6D65"/>
    <w:rsid w:val="005D7810"/>
    <w:rsid w:val="005E0774"/>
    <w:rsid w:val="005E0807"/>
    <w:rsid w:val="005E0DA6"/>
    <w:rsid w:val="005E1792"/>
    <w:rsid w:val="005E2EE0"/>
    <w:rsid w:val="005E339A"/>
    <w:rsid w:val="005E3968"/>
    <w:rsid w:val="005E40E7"/>
    <w:rsid w:val="005E468D"/>
    <w:rsid w:val="005E4DEF"/>
    <w:rsid w:val="005E5631"/>
    <w:rsid w:val="005E5B6F"/>
    <w:rsid w:val="005E679C"/>
    <w:rsid w:val="005E7C57"/>
    <w:rsid w:val="005F07E3"/>
    <w:rsid w:val="005F0E82"/>
    <w:rsid w:val="005F2222"/>
    <w:rsid w:val="005F2A46"/>
    <w:rsid w:val="005F35A3"/>
    <w:rsid w:val="005F46A1"/>
    <w:rsid w:val="005F566D"/>
    <w:rsid w:val="005F5848"/>
    <w:rsid w:val="005F60BC"/>
    <w:rsid w:val="005F7E1D"/>
    <w:rsid w:val="00601EF7"/>
    <w:rsid w:val="00602737"/>
    <w:rsid w:val="00602774"/>
    <w:rsid w:val="00603242"/>
    <w:rsid w:val="00603B5B"/>
    <w:rsid w:val="00603B63"/>
    <w:rsid w:val="00604DD0"/>
    <w:rsid w:val="00605BE3"/>
    <w:rsid w:val="00606F3C"/>
    <w:rsid w:val="00607572"/>
    <w:rsid w:val="006078C8"/>
    <w:rsid w:val="006102F8"/>
    <w:rsid w:val="00610B6A"/>
    <w:rsid w:val="00611882"/>
    <w:rsid w:val="00612186"/>
    <w:rsid w:val="006127E6"/>
    <w:rsid w:val="00613340"/>
    <w:rsid w:val="0061422D"/>
    <w:rsid w:val="00614BC0"/>
    <w:rsid w:val="00614F4D"/>
    <w:rsid w:val="00615544"/>
    <w:rsid w:val="006155C6"/>
    <w:rsid w:val="00617610"/>
    <w:rsid w:val="006177E7"/>
    <w:rsid w:val="00617D68"/>
    <w:rsid w:val="00617E0D"/>
    <w:rsid w:val="00621E53"/>
    <w:rsid w:val="006227DE"/>
    <w:rsid w:val="0062356F"/>
    <w:rsid w:val="00623628"/>
    <w:rsid w:val="00623708"/>
    <w:rsid w:val="00624D89"/>
    <w:rsid w:val="00624F74"/>
    <w:rsid w:val="00625345"/>
    <w:rsid w:val="00625A6A"/>
    <w:rsid w:val="00630012"/>
    <w:rsid w:val="00630417"/>
    <w:rsid w:val="0063202C"/>
    <w:rsid w:val="00633467"/>
    <w:rsid w:val="0063368E"/>
    <w:rsid w:val="00633E6B"/>
    <w:rsid w:val="00634BA9"/>
    <w:rsid w:val="00634EE7"/>
    <w:rsid w:val="0063597C"/>
    <w:rsid w:val="00635AA4"/>
    <w:rsid w:val="00635B1C"/>
    <w:rsid w:val="00635B44"/>
    <w:rsid w:val="006360CD"/>
    <w:rsid w:val="006365BA"/>
    <w:rsid w:val="00636632"/>
    <w:rsid w:val="006373F9"/>
    <w:rsid w:val="00640B64"/>
    <w:rsid w:val="00640EB0"/>
    <w:rsid w:val="00642446"/>
    <w:rsid w:val="006432EB"/>
    <w:rsid w:val="00644418"/>
    <w:rsid w:val="006449AC"/>
    <w:rsid w:val="006458A0"/>
    <w:rsid w:val="00650450"/>
    <w:rsid w:val="006512C4"/>
    <w:rsid w:val="00651A70"/>
    <w:rsid w:val="006523F0"/>
    <w:rsid w:val="006525DF"/>
    <w:rsid w:val="00652631"/>
    <w:rsid w:val="00654849"/>
    <w:rsid w:val="00654D64"/>
    <w:rsid w:val="00655AEA"/>
    <w:rsid w:val="00656113"/>
    <w:rsid w:val="00656BE2"/>
    <w:rsid w:val="006573C1"/>
    <w:rsid w:val="0066082A"/>
    <w:rsid w:val="00660EE3"/>
    <w:rsid w:val="006610F8"/>
    <w:rsid w:val="00661BA8"/>
    <w:rsid w:val="00662AD1"/>
    <w:rsid w:val="00664B45"/>
    <w:rsid w:val="00664C59"/>
    <w:rsid w:val="00664EBC"/>
    <w:rsid w:val="00665085"/>
    <w:rsid w:val="006660B3"/>
    <w:rsid w:val="00666545"/>
    <w:rsid w:val="00666B83"/>
    <w:rsid w:val="00667763"/>
    <w:rsid w:val="00670493"/>
    <w:rsid w:val="0067092A"/>
    <w:rsid w:val="00670B80"/>
    <w:rsid w:val="00671A09"/>
    <w:rsid w:val="00672831"/>
    <w:rsid w:val="0067286F"/>
    <w:rsid w:val="00672A0C"/>
    <w:rsid w:val="0067397B"/>
    <w:rsid w:val="006740E9"/>
    <w:rsid w:val="00674DBD"/>
    <w:rsid w:val="006755C1"/>
    <w:rsid w:val="006757BE"/>
    <w:rsid w:val="00675C67"/>
    <w:rsid w:val="006775AC"/>
    <w:rsid w:val="00677712"/>
    <w:rsid w:val="00677839"/>
    <w:rsid w:val="00680B2F"/>
    <w:rsid w:val="006826B1"/>
    <w:rsid w:val="00682966"/>
    <w:rsid w:val="006841F8"/>
    <w:rsid w:val="00685451"/>
    <w:rsid w:val="00685694"/>
    <w:rsid w:val="00685F10"/>
    <w:rsid w:val="006867D0"/>
    <w:rsid w:val="00686B5F"/>
    <w:rsid w:val="00686B68"/>
    <w:rsid w:val="00686CA5"/>
    <w:rsid w:val="006903A0"/>
    <w:rsid w:val="006907B1"/>
    <w:rsid w:val="00691A56"/>
    <w:rsid w:val="00691F32"/>
    <w:rsid w:val="006925D8"/>
    <w:rsid w:val="00693880"/>
    <w:rsid w:val="006944C5"/>
    <w:rsid w:val="00694E83"/>
    <w:rsid w:val="00695F80"/>
    <w:rsid w:val="0069659F"/>
    <w:rsid w:val="006966FB"/>
    <w:rsid w:val="006979A7"/>
    <w:rsid w:val="00697FFE"/>
    <w:rsid w:val="006A08C4"/>
    <w:rsid w:val="006A1A90"/>
    <w:rsid w:val="006A1E52"/>
    <w:rsid w:val="006A2A20"/>
    <w:rsid w:val="006A2ABF"/>
    <w:rsid w:val="006A3070"/>
    <w:rsid w:val="006A4019"/>
    <w:rsid w:val="006A48D2"/>
    <w:rsid w:val="006A4922"/>
    <w:rsid w:val="006A4CFA"/>
    <w:rsid w:val="006A528B"/>
    <w:rsid w:val="006A5B73"/>
    <w:rsid w:val="006A5DB1"/>
    <w:rsid w:val="006B0F34"/>
    <w:rsid w:val="006B255C"/>
    <w:rsid w:val="006B2ABD"/>
    <w:rsid w:val="006B3212"/>
    <w:rsid w:val="006B35E9"/>
    <w:rsid w:val="006B3E28"/>
    <w:rsid w:val="006B4AA3"/>
    <w:rsid w:val="006B5528"/>
    <w:rsid w:val="006B5636"/>
    <w:rsid w:val="006B60A7"/>
    <w:rsid w:val="006B6A17"/>
    <w:rsid w:val="006B6E10"/>
    <w:rsid w:val="006B773B"/>
    <w:rsid w:val="006C024E"/>
    <w:rsid w:val="006C080A"/>
    <w:rsid w:val="006C126A"/>
    <w:rsid w:val="006C14EB"/>
    <w:rsid w:val="006C2F05"/>
    <w:rsid w:val="006C3168"/>
    <w:rsid w:val="006C35BE"/>
    <w:rsid w:val="006C452F"/>
    <w:rsid w:val="006C45BF"/>
    <w:rsid w:val="006C5260"/>
    <w:rsid w:val="006C538A"/>
    <w:rsid w:val="006C6755"/>
    <w:rsid w:val="006D0CF3"/>
    <w:rsid w:val="006D1E69"/>
    <w:rsid w:val="006D1EE3"/>
    <w:rsid w:val="006D2545"/>
    <w:rsid w:val="006D26FD"/>
    <w:rsid w:val="006D28DC"/>
    <w:rsid w:val="006D3014"/>
    <w:rsid w:val="006D3365"/>
    <w:rsid w:val="006D37B0"/>
    <w:rsid w:val="006D39F1"/>
    <w:rsid w:val="006D3A5D"/>
    <w:rsid w:val="006D3B5A"/>
    <w:rsid w:val="006D4983"/>
    <w:rsid w:val="006D560E"/>
    <w:rsid w:val="006D5BE1"/>
    <w:rsid w:val="006D6A8A"/>
    <w:rsid w:val="006D6C73"/>
    <w:rsid w:val="006D7FB0"/>
    <w:rsid w:val="006E015A"/>
    <w:rsid w:val="006E1184"/>
    <w:rsid w:val="006E3CE1"/>
    <w:rsid w:val="006E46ED"/>
    <w:rsid w:val="006E5038"/>
    <w:rsid w:val="006E587F"/>
    <w:rsid w:val="006E69F9"/>
    <w:rsid w:val="006F0A97"/>
    <w:rsid w:val="006F0EB4"/>
    <w:rsid w:val="006F20F5"/>
    <w:rsid w:val="006F3697"/>
    <w:rsid w:val="006F4F43"/>
    <w:rsid w:val="006F54B4"/>
    <w:rsid w:val="006F5C9A"/>
    <w:rsid w:val="006F62CA"/>
    <w:rsid w:val="006F7D8E"/>
    <w:rsid w:val="007002D2"/>
    <w:rsid w:val="00701DFE"/>
    <w:rsid w:val="007023CE"/>
    <w:rsid w:val="007039A0"/>
    <w:rsid w:val="0070590B"/>
    <w:rsid w:val="007062B7"/>
    <w:rsid w:val="00706587"/>
    <w:rsid w:val="007066F8"/>
    <w:rsid w:val="00707BD5"/>
    <w:rsid w:val="00707D7A"/>
    <w:rsid w:val="00710299"/>
    <w:rsid w:val="00710479"/>
    <w:rsid w:val="0071148E"/>
    <w:rsid w:val="00711544"/>
    <w:rsid w:val="00712235"/>
    <w:rsid w:val="00712767"/>
    <w:rsid w:val="0071280C"/>
    <w:rsid w:val="00712E83"/>
    <w:rsid w:val="00713923"/>
    <w:rsid w:val="00713AA9"/>
    <w:rsid w:val="00714087"/>
    <w:rsid w:val="0071413F"/>
    <w:rsid w:val="0071490D"/>
    <w:rsid w:val="007153DF"/>
    <w:rsid w:val="00715CF2"/>
    <w:rsid w:val="0071694A"/>
    <w:rsid w:val="00716E27"/>
    <w:rsid w:val="0071762C"/>
    <w:rsid w:val="007207FF"/>
    <w:rsid w:val="00720CE4"/>
    <w:rsid w:val="007211DE"/>
    <w:rsid w:val="007216BC"/>
    <w:rsid w:val="0072244F"/>
    <w:rsid w:val="0072256F"/>
    <w:rsid w:val="007227E6"/>
    <w:rsid w:val="00722CAC"/>
    <w:rsid w:val="00723358"/>
    <w:rsid w:val="0072395B"/>
    <w:rsid w:val="00724C99"/>
    <w:rsid w:val="00725B3B"/>
    <w:rsid w:val="00725DF3"/>
    <w:rsid w:val="0072636C"/>
    <w:rsid w:val="00726968"/>
    <w:rsid w:val="00726C25"/>
    <w:rsid w:val="00726F3E"/>
    <w:rsid w:val="00727BE1"/>
    <w:rsid w:val="00730383"/>
    <w:rsid w:val="0073111F"/>
    <w:rsid w:val="00732F29"/>
    <w:rsid w:val="00733196"/>
    <w:rsid w:val="00733BD5"/>
    <w:rsid w:val="00733FC0"/>
    <w:rsid w:val="0073445F"/>
    <w:rsid w:val="0073446B"/>
    <w:rsid w:val="00734ADC"/>
    <w:rsid w:val="00734E11"/>
    <w:rsid w:val="00735C81"/>
    <w:rsid w:val="00736843"/>
    <w:rsid w:val="00736C97"/>
    <w:rsid w:val="00737BC5"/>
    <w:rsid w:val="007412DC"/>
    <w:rsid w:val="007413F9"/>
    <w:rsid w:val="0074158F"/>
    <w:rsid w:val="00741633"/>
    <w:rsid w:val="00742057"/>
    <w:rsid w:val="0074286A"/>
    <w:rsid w:val="00743154"/>
    <w:rsid w:val="00743DE6"/>
    <w:rsid w:val="00743DF2"/>
    <w:rsid w:val="00744014"/>
    <w:rsid w:val="007447C0"/>
    <w:rsid w:val="00744B28"/>
    <w:rsid w:val="007451BA"/>
    <w:rsid w:val="00745D68"/>
    <w:rsid w:val="00746733"/>
    <w:rsid w:val="00746C1A"/>
    <w:rsid w:val="00746F19"/>
    <w:rsid w:val="007477F0"/>
    <w:rsid w:val="007479D5"/>
    <w:rsid w:val="0075073B"/>
    <w:rsid w:val="00750DAF"/>
    <w:rsid w:val="0075186D"/>
    <w:rsid w:val="0075380E"/>
    <w:rsid w:val="00754BAB"/>
    <w:rsid w:val="0075537A"/>
    <w:rsid w:val="00756053"/>
    <w:rsid w:val="00756437"/>
    <w:rsid w:val="00756713"/>
    <w:rsid w:val="00757DFF"/>
    <w:rsid w:val="00760DC1"/>
    <w:rsid w:val="00761463"/>
    <w:rsid w:val="007616AC"/>
    <w:rsid w:val="00762519"/>
    <w:rsid w:val="00762F8D"/>
    <w:rsid w:val="00763D40"/>
    <w:rsid w:val="00764219"/>
    <w:rsid w:val="007653C6"/>
    <w:rsid w:val="00765CCA"/>
    <w:rsid w:val="00765D23"/>
    <w:rsid w:val="00765D76"/>
    <w:rsid w:val="007661E9"/>
    <w:rsid w:val="0076746E"/>
    <w:rsid w:val="00767CE6"/>
    <w:rsid w:val="00770651"/>
    <w:rsid w:val="007706A2"/>
    <w:rsid w:val="00770A22"/>
    <w:rsid w:val="00770D27"/>
    <w:rsid w:val="007713F4"/>
    <w:rsid w:val="00771B52"/>
    <w:rsid w:val="00771F7F"/>
    <w:rsid w:val="00772A46"/>
    <w:rsid w:val="00772BB3"/>
    <w:rsid w:val="00772E72"/>
    <w:rsid w:val="00773029"/>
    <w:rsid w:val="00773828"/>
    <w:rsid w:val="0077421B"/>
    <w:rsid w:val="00774943"/>
    <w:rsid w:val="00774A4E"/>
    <w:rsid w:val="00774AE8"/>
    <w:rsid w:val="00774B47"/>
    <w:rsid w:val="00774DD5"/>
    <w:rsid w:val="007755B1"/>
    <w:rsid w:val="00777D8F"/>
    <w:rsid w:val="00780A75"/>
    <w:rsid w:val="00781180"/>
    <w:rsid w:val="00781BAC"/>
    <w:rsid w:val="00781D53"/>
    <w:rsid w:val="007827DF"/>
    <w:rsid w:val="007839FB"/>
    <w:rsid w:val="00783A7A"/>
    <w:rsid w:val="00783BF1"/>
    <w:rsid w:val="007847FF"/>
    <w:rsid w:val="007854D1"/>
    <w:rsid w:val="00785ADA"/>
    <w:rsid w:val="007867F6"/>
    <w:rsid w:val="00786D0F"/>
    <w:rsid w:val="00787968"/>
    <w:rsid w:val="00790DFB"/>
    <w:rsid w:val="00790F21"/>
    <w:rsid w:val="0079289C"/>
    <w:rsid w:val="0079365F"/>
    <w:rsid w:val="00793CF2"/>
    <w:rsid w:val="00793E39"/>
    <w:rsid w:val="007944C5"/>
    <w:rsid w:val="007963F4"/>
    <w:rsid w:val="00796606"/>
    <w:rsid w:val="00796665"/>
    <w:rsid w:val="0079693C"/>
    <w:rsid w:val="00796A76"/>
    <w:rsid w:val="00796B18"/>
    <w:rsid w:val="00796C59"/>
    <w:rsid w:val="0079738C"/>
    <w:rsid w:val="007A2230"/>
    <w:rsid w:val="007A2858"/>
    <w:rsid w:val="007A291A"/>
    <w:rsid w:val="007A2E10"/>
    <w:rsid w:val="007A2E78"/>
    <w:rsid w:val="007A2EEA"/>
    <w:rsid w:val="007A4E1B"/>
    <w:rsid w:val="007A50A1"/>
    <w:rsid w:val="007A57FB"/>
    <w:rsid w:val="007A6AB9"/>
    <w:rsid w:val="007A7699"/>
    <w:rsid w:val="007A798B"/>
    <w:rsid w:val="007A7CD5"/>
    <w:rsid w:val="007B1304"/>
    <w:rsid w:val="007B235A"/>
    <w:rsid w:val="007B2498"/>
    <w:rsid w:val="007B24AB"/>
    <w:rsid w:val="007B36FB"/>
    <w:rsid w:val="007B3E82"/>
    <w:rsid w:val="007B5F46"/>
    <w:rsid w:val="007B5F61"/>
    <w:rsid w:val="007B6407"/>
    <w:rsid w:val="007B68E3"/>
    <w:rsid w:val="007B6C51"/>
    <w:rsid w:val="007B7BAD"/>
    <w:rsid w:val="007B7EC7"/>
    <w:rsid w:val="007B7F81"/>
    <w:rsid w:val="007C0889"/>
    <w:rsid w:val="007C0A52"/>
    <w:rsid w:val="007C0B26"/>
    <w:rsid w:val="007C1324"/>
    <w:rsid w:val="007C185C"/>
    <w:rsid w:val="007C19BD"/>
    <w:rsid w:val="007C1E41"/>
    <w:rsid w:val="007C2018"/>
    <w:rsid w:val="007C294D"/>
    <w:rsid w:val="007C41AD"/>
    <w:rsid w:val="007C4374"/>
    <w:rsid w:val="007C466B"/>
    <w:rsid w:val="007C4CE3"/>
    <w:rsid w:val="007C4DD9"/>
    <w:rsid w:val="007C6259"/>
    <w:rsid w:val="007C6357"/>
    <w:rsid w:val="007C6BE0"/>
    <w:rsid w:val="007C7020"/>
    <w:rsid w:val="007C7752"/>
    <w:rsid w:val="007C7AAD"/>
    <w:rsid w:val="007C7F13"/>
    <w:rsid w:val="007D1387"/>
    <w:rsid w:val="007D215C"/>
    <w:rsid w:val="007D3C33"/>
    <w:rsid w:val="007D3D46"/>
    <w:rsid w:val="007D4158"/>
    <w:rsid w:val="007D543E"/>
    <w:rsid w:val="007D5839"/>
    <w:rsid w:val="007E25E9"/>
    <w:rsid w:val="007E2C29"/>
    <w:rsid w:val="007E2F13"/>
    <w:rsid w:val="007E3035"/>
    <w:rsid w:val="007E47B1"/>
    <w:rsid w:val="007E4845"/>
    <w:rsid w:val="007E4FAC"/>
    <w:rsid w:val="007E6120"/>
    <w:rsid w:val="007E6593"/>
    <w:rsid w:val="007E69EF"/>
    <w:rsid w:val="007E7E72"/>
    <w:rsid w:val="007E7EE3"/>
    <w:rsid w:val="007F0C84"/>
    <w:rsid w:val="007F1004"/>
    <w:rsid w:val="007F28FB"/>
    <w:rsid w:val="007F30E9"/>
    <w:rsid w:val="007F350E"/>
    <w:rsid w:val="007F3C23"/>
    <w:rsid w:val="007F637F"/>
    <w:rsid w:val="007F6634"/>
    <w:rsid w:val="007F748D"/>
    <w:rsid w:val="0080047F"/>
    <w:rsid w:val="00801DAB"/>
    <w:rsid w:val="00802851"/>
    <w:rsid w:val="00802F4B"/>
    <w:rsid w:val="0080310C"/>
    <w:rsid w:val="00803DE7"/>
    <w:rsid w:val="008044BB"/>
    <w:rsid w:val="008053C2"/>
    <w:rsid w:val="00806177"/>
    <w:rsid w:val="008070DC"/>
    <w:rsid w:val="0081002E"/>
    <w:rsid w:val="00810B8D"/>
    <w:rsid w:val="008118A8"/>
    <w:rsid w:val="008118BA"/>
    <w:rsid w:val="00812AA6"/>
    <w:rsid w:val="00812CDD"/>
    <w:rsid w:val="00815063"/>
    <w:rsid w:val="00815151"/>
    <w:rsid w:val="0081578D"/>
    <w:rsid w:val="00816B4B"/>
    <w:rsid w:val="00821F24"/>
    <w:rsid w:val="00822A5E"/>
    <w:rsid w:val="00822ED3"/>
    <w:rsid w:val="00822EEA"/>
    <w:rsid w:val="008232AA"/>
    <w:rsid w:val="00823FD2"/>
    <w:rsid w:val="008267AD"/>
    <w:rsid w:val="00826A77"/>
    <w:rsid w:val="00830EC7"/>
    <w:rsid w:val="00831469"/>
    <w:rsid w:val="00831D08"/>
    <w:rsid w:val="00831F4D"/>
    <w:rsid w:val="008328AA"/>
    <w:rsid w:val="008333BA"/>
    <w:rsid w:val="00833933"/>
    <w:rsid w:val="00833F63"/>
    <w:rsid w:val="008346F6"/>
    <w:rsid w:val="00834887"/>
    <w:rsid w:val="008362F0"/>
    <w:rsid w:val="008413E9"/>
    <w:rsid w:val="0084148C"/>
    <w:rsid w:val="00842071"/>
    <w:rsid w:val="008436B8"/>
    <w:rsid w:val="00843F1E"/>
    <w:rsid w:val="008443E9"/>
    <w:rsid w:val="00846716"/>
    <w:rsid w:val="00846765"/>
    <w:rsid w:val="008467D8"/>
    <w:rsid w:val="00846D09"/>
    <w:rsid w:val="008514C2"/>
    <w:rsid w:val="008521FD"/>
    <w:rsid w:val="008527EC"/>
    <w:rsid w:val="00852F54"/>
    <w:rsid w:val="008532BD"/>
    <w:rsid w:val="00853FD6"/>
    <w:rsid w:val="00854B82"/>
    <w:rsid w:val="00854CC4"/>
    <w:rsid w:val="00855703"/>
    <w:rsid w:val="00855ACB"/>
    <w:rsid w:val="008562AF"/>
    <w:rsid w:val="008564C5"/>
    <w:rsid w:val="008564D4"/>
    <w:rsid w:val="0085687C"/>
    <w:rsid w:val="00856D22"/>
    <w:rsid w:val="00857224"/>
    <w:rsid w:val="0085795D"/>
    <w:rsid w:val="00857A06"/>
    <w:rsid w:val="00857EC1"/>
    <w:rsid w:val="00862965"/>
    <w:rsid w:val="00864317"/>
    <w:rsid w:val="00864C05"/>
    <w:rsid w:val="00866D0A"/>
    <w:rsid w:val="00866EFC"/>
    <w:rsid w:val="00867E31"/>
    <w:rsid w:val="008720DB"/>
    <w:rsid w:val="00872D6F"/>
    <w:rsid w:val="00872EF5"/>
    <w:rsid w:val="00874140"/>
    <w:rsid w:val="0087419B"/>
    <w:rsid w:val="00875AB0"/>
    <w:rsid w:val="00876D1C"/>
    <w:rsid w:val="00877128"/>
    <w:rsid w:val="00877707"/>
    <w:rsid w:val="00877875"/>
    <w:rsid w:val="00880CDF"/>
    <w:rsid w:val="00880EFE"/>
    <w:rsid w:val="00881256"/>
    <w:rsid w:val="00881E7A"/>
    <w:rsid w:val="00881ED4"/>
    <w:rsid w:val="00882377"/>
    <w:rsid w:val="00882C8D"/>
    <w:rsid w:val="00882F0A"/>
    <w:rsid w:val="00883462"/>
    <w:rsid w:val="0088587D"/>
    <w:rsid w:val="0088599F"/>
    <w:rsid w:val="00886000"/>
    <w:rsid w:val="00886320"/>
    <w:rsid w:val="00886A2B"/>
    <w:rsid w:val="00890355"/>
    <w:rsid w:val="00890424"/>
    <w:rsid w:val="008906A2"/>
    <w:rsid w:val="008916C9"/>
    <w:rsid w:val="00891CD9"/>
    <w:rsid w:val="008921E8"/>
    <w:rsid w:val="00893697"/>
    <w:rsid w:val="00893F9C"/>
    <w:rsid w:val="0089483B"/>
    <w:rsid w:val="008959EB"/>
    <w:rsid w:val="00896105"/>
    <w:rsid w:val="0089616A"/>
    <w:rsid w:val="00896ECE"/>
    <w:rsid w:val="008971E0"/>
    <w:rsid w:val="00897810"/>
    <w:rsid w:val="00897C3D"/>
    <w:rsid w:val="00897E96"/>
    <w:rsid w:val="008A00DB"/>
    <w:rsid w:val="008A05F5"/>
    <w:rsid w:val="008A1827"/>
    <w:rsid w:val="008A294A"/>
    <w:rsid w:val="008A2A6A"/>
    <w:rsid w:val="008A3992"/>
    <w:rsid w:val="008A3FA8"/>
    <w:rsid w:val="008A4355"/>
    <w:rsid w:val="008A4916"/>
    <w:rsid w:val="008A52F7"/>
    <w:rsid w:val="008A5E2C"/>
    <w:rsid w:val="008A634F"/>
    <w:rsid w:val="008A705C"/>
    <w:rsid w:val="008A7127"/>
    <w:rsid w:val="008A7AB2"/>
    <w:rsid w:val="008B1016"/>
    <w:rsid w:val="008B1B86"/>
    <w:rsid w:val="008B46DB"/>
    <w:rsid w:val="008B4885"/>
    <w:rsid w:val="008B4EEB"/>
    <w:rsid w:val="008B6658"/>
    <w:rsid w:val="008B6F5B"/>
    <w:rsid w:val="008B774D"/>
    <w:rsid w:val="008B7FA9"/>
    <w:rsid w:val="008C01D9"/>
    <w:rsid w:val="008C02CB"/>
    <w:rsid w:val="008C2681"/>
    <w:rsid w:val="008C2A80"/>
    <w:rsid w:val="008C3374"/>
    <w:rsid w:val="008C3BF9"/>
    <w:rsid w:val="008C5550"/>
    <w:rsid w:val="008C555C"/>
    <w:rsid w:val="008C7200"/>
    <w:rsid w:val="008C7566"/>
    <w:rsid w:val="008D07D9"/>
    <w:rsid w:val="008D0AA0"/>
    <w:rsid w:val="008D19C3"/>
    <w:rsid w:val="008D228A"/>
    <w:rsid w:val="008D2DB6"/>
    <w:rsid w:val="008D3069"/>
    <w:rsid w:val="008D33DE"/>
    <w:rsid w:val="008D36F3"/>
    <w:rsid w:val="008D5831"/>
    <w:rsid w:val="008D5BEE"/>
    <w:rsid w:val="008E00F4"/>
    <w:rsid w:val="008E06DF"/>
    <w:rsid w:val="008E2E47"/>
    <w:rsid w:val="008E3C2D"/>
    <w:rsid w:val="008E43D4"/>
    <w:rsid w:val="008E4FDA"/>
    <w:rsid w:val="008E5331"/>
    <w:rsid w:val="008E580F"/>
    <w:rsid w:val="008E5BCF"/>
    <w:rsid w:val="008E6C7B"/>
    <w:rsid w:val="008E7DDE"/>
    <w:rsid w:val="008E7F82"/>
    <w:rsid w:val="008F0260"/>
    <w:rsid w:val="008F0541"/>
    <w:rsid w:val="008F05CC"/>
    <w:rsid w:val="008F1E1A"/>
    <w:rsid w:val="008F2386"/>
    <w:rsid w:val="008F3219"/>
    <w:rsid w:val="008F3365"/>
    <w:rsid w:val="008F365B"/>
    <w:rsid w:val="008F47FA"/>
    <w:rsid w:val="008F4F46"/>
    <w:rsid w:val="008F6F78"/>
    <w:rsid w:val="008F71F7"/>
    <w:rsid w:val="00900049"/>
    <w:rsid w:val="009018B6"/>
    <w:rsid w:val="00901BF0"/>
    <w:rsid w:val="0090289A"/>
    <w:rsid w:val="00902BFF"/>
    <w:rsid w:val="009031BA"/>
    <w:rsid w:val="0090393D"/>
    <w:rsid w:val="0090403D"/>
    <w:rsid w:val="00904B1D"/>
    <w:rsid w:val="009051DB"/>
    <w:rsid w:val="00907EA3"/>
    <w:rsid w:val="00911306"/>
    <w:rsid w:val="00911EDB"/>
    <w:rsid w:val="009121F5"/>
    <w:rsid w:val="00913844"/>
    <w:rsid w:val="009139F4"/>
    <w:rsid w:val="00914E20"/>
    <w:rsid w:val="009154FE"/>
    <w:rsid w:val="00916EB9"/>
    <w:rsid w:val="009174B9"/>
    <w:rsid w:val="00920A7A"/>
    <w:rsid w:val="00920EDE"/>
    <w:rsid w:val="009222AF"/>
    <w:rsid w:val="0092237C"/>
    <w:rsid w:val="00922AB7"/>
    <w:rsid w:val="00923349"/>
    <w:rsid w:val="00923D8E"/>
    <w:rsid w:val="00924208"/>
    <w:rsid w:val="00924A78"/>
    <w:rsid w:val="0092509D"/>
    <w:rsid w:val="00925E26"/>
    <w:rsid w:val="00926CA4"/>
    <w:rsid w:val="00926CE9"/>
    <w:rsid w:val="00931832"/>
    <w:rsid w:val="00932142"/>
    <w:rsid w:val="00933A91"/>
    <w:rsid w:val="00935878"/>
    <w:rsid w:val="00935BEC"/>
    <w:rsid w:val="009372BC"/>
    <w:rsid w:val="00937C36"/>
    <w:rsid w:val="00940118"/>
    <w:rsid w:val="00940605"/>
    <w:rsid w:val="00941744"/>
    <w:rsid w:val="00941DF6"/>
    <w:rsid w:val="009427E7"/>
    <w:rsid w:val="00942F7C"/>
    <w:rsid w:val="00943302"/>
    <w:rsid w:val="00943823"/>
    <w:rsid w:val="00944BD9"/>
    <w:rsid w:val="0094509B"/>
    <w:rsid w:val="0094517D"/>
    <w:rsid w:val="00945AD7"/>
    <w:rsid w:val="0094794A"/>
    <w:rsid w:val="00950A23"/>
    <w:rsid w:val="009517AD"/>
    <w:rsid w:val="00952B33"/>
    <w:rsid w:val="0095316A"/>
    <w:rsid w:val="0095364F"/>
    <w:rsid w:val="00954A05"/>
    <w:rsid w:val="0095582A"/>
    <w:rsid w:val="009562B8"/>
    <w:rsid w:val="009562FA"/>
    <w:rsid w:val="00956B3D"/>
    <w:rsid w:val="009575D1"/>
    <w:rsid w:val="00957AF6"/>
    <w:rsid w:val="00957C1F"/>
    <w:rsid w:val="009609DC"/>
    <w:rsid w:val="00961622"/>
    <w:rsid w:val="0096194A"/>
    <w:rsid w:val="009623E0"/>
    <w:rsid w:val="00963889"/>
    <w:rsid w:val="00964B80"/>
    <w:rsid w:val="00966630"/>
    <w:rsid w:val="00966C13"/>
    <w:rsid w:val="00967460"/>
    <w:rsid w:val="009710C5"/>
    <w:rsid w:val="0097143F"/>
    <w:rsid w:val="00971B3A"/>
    <w:rsid w:val="00971B93"/>
    <w:rsid w:val="009728A8"/>
    <w:rsid w:val="00972F39"/>
    <w:rsid w:val="00973541"/>
    <w:rsid w:val="009740B5"/>
    <w:rsid w:val="0097457E"/>
    <w:rsid w:val="00975255"/>
    <w:rsid w:val="00975DDC"/>
    <w:rsid w:val="00976864"/>
    <w:rsid w:val="009772B3"/>
    <w:rsid w:val="009774BA"/>
    <w:rsid w:val="00977984"/>
    <w:rsid w:val="009805B5"/>
    <w:rsid w:val="00980706"/>
    <w:rsid w:val="0098122D"/>
    <w:rsid w:val="00981A96"/>
    <w:rsid w:val="00982057"/>
    <w:rsid w:val="00982401"/>
    <w:rsid w:val="00982595"/>
    <w:rsid w:val="00982E7D"/>
    <w:rsid w:val="009837DC"/>
    <w:rsid w:val="00984361"/>
    <w:rsid w:val="0098454F"/>
    <w:rsid w:val="009845A2"/>
    <w:rsid w:val="009848C4"/>
    <w:rsid w:val="009850E2"/>
    <w:rsid w:val="00985750"/>
    <w:rsid w:val="0098631C"/>
    <w:rsid w:val="00986456"/>
    <w:rsid w:val="00986554"/>
    <w:rsid w:val="00986B1F"/>
    <w:rsid w:val="00987023"/>
    <w:rsid w:val="00987945"/>
    <w:rsid w:val="00992321"/>
    <w:rsid w:val="00992BA2"/>
    <w:rsid w:val="009932EC"/>
    <w:rsid w:val="0099333E"/>
    <w:rsid w:val="00993F1F"/>
    <w:rsid w:val="009961FB"/>
    <w:rsid w:val="009965E6"/>
    <w:rsid w:val="009974E1"/>
    <w:rsid w:val="00997BE9"/>
    <w:rsid w:val="00997E46"/>
    <w:rsid w:val="009A0121"/>
    <w:rsid w:val="009A197B"/>
    <w:rsid w:val="009A1B64"/>
    <w:rsid w:val="009A2C68"/>
    <w:rsid w:val="009A2F21"/>
    <w:rsid w:val="009A3439"/>
    <w:rsid w:val="009A397D"/>
    <w:rsid w:val="009A4AD5"/>
    <w:rsid w:val="009A7984"/>
    <w:rsid w:val="009A7B99"/>
    <w:rsid w:val="009A7C44"/>
    <w:rsid w:val="009A7E49"/>
    <w:rsid w:val="009B0829"/>
    <w:rsid w:val="009B08CD"/>
    <w:rsid w:val="009B0913"/>
    <w:rsid w:val="009B10F5"/>
    <w:rsid w:val="009B1777"/>
    <w:rsid w:val="009B35AA"/>
    <w:rsid w:val="009B4877"/>
    <w:rsid w:val="009B4913"/>
    <w:rsid w:val="009B79F9"/>
    <w:rsid w:val="009C01D0"/>
    <w:rsid w:val="009C042B"/>
    <w:rsid w:val="009C056A"/>
    <w:rsid w:val="009C0A43"/>
    <w:rsid w:val="009C2AE9"/>
    <w:rsid w:val="009C3589"/>
    <w:rsid w:val="009C35E4"/>
    <w:rsid w:val="009C4853"/>
    <w:rsid w:val="009C4D8E"/>
    <w:rsid w:val="009C5DD6"/>
    <w:rsid w:val="009C6649"/>
    <w:rsid w:val="009C6B1D"/>
    <w:rsid w:val="009C7284"/>
    <w:rsid w:val="009C7443"/>
    <w:rsid w:val="009C7494"/>
    <w:rsid w:val="009D01F3"/>
    <w:rsid w:val="009D0B26"/>
    <w:rsid w:val="009D1B13"/>
    <w:rsid w:val="009D1D9C"/>
    <w:rsid w:val="009D2BF3"/>
    <w:rsid w:val="009D2DF3"/>
    <w:rsid w:val="009D3C72"/>
    <w:rsid w:val="009D44AF"/>
    <w:rsid w:val="009D5E84"/>
    <w:rsid w:val="009D6464"/>
    <w:rsid w:val="009D778B"/>
    <w:rsid w:val="009E1684"/>
    <w:rsid w:val="009E1D90"/>
    <w:rsid w:val="009E2635"/>
    <w:rsid w:val="009E2AE7"/>
    <w:rsid w:val="009E3503"/>
    <w:rsid w:val="009E3E9F"/>
    <w:rsid w:val="009E4910"/>
    <w:rsid w:val="009E6F68"/>
    <w:rsid w:val="009E7892"/>
    <w:rsid w:val="009E7897"/>
    <w:rsid w:val="009F0E71"/>
    <w:rsid w:val="009F0EC6"/>
    <w:rsid w:val="009F187E"/>
    <w:rsid w:val="009F1AFF"/>
    <w:rsid w:val="009F2124"/>
    <w:rsid w:val="009F22C9"/>
    <w:rsid w:val="009F3767"/>
    <w:rsid w:val="009F3B11"/>
    <w:rsid w:val="009F4457"/>
    <w:rsid w:val="009F4C37"/>
    <w:rsid w:val="009F4D47"/>
    <w:rsid w:val="009F66BE"/>
    <w:rsid w:val="00A0005B"/>
    <w:rsid w:val="00A00355"/>
    <w:rsid w:val="00A01028"/>
    <w:rsid w:val="00A01250"/>
    <w:rsid w:val="00A01E87"/>
    <w:rsid w:val="00A02734"/>
    <w:rsid w:val="00A03599"/>
    <w:rsid w:val="00A03A01"/>
    <w:rsid w:val="00A0409B"/>
    <w:rsid w:val="00A069DF"/>
    <w:rsid w:val="00A07A29"/>
    <w:rsid w:val="00A11A8A"/>
    <w:rsid w:val="00A11E48"/>
    <w:rsid w:val="00A11F9A"/>
    <w:rsid w:val="00A12784"/>
    <w:rsid w:val="00A129E0"/>
    <w:rsid w:val="00A12F20"/>
    <w:rsid w:val="00A13216"/>
    <w:rsid w:val="00A140EC"/>
    <w:rsid w:val="00A14D8D"/>
    <w:rsid w:val="00A15AB9"/>
    <w:rsid w:val="00A17441"/>
    <w:rsid w:val="00A20AE4"/>
    <w:rsid w:val="00A20E22"/>
    <w:rsid w:val="00A20F94"/>
    <w:rsid w:val="00A21544"/>
    <w:rsid w:val="00A21B25"/>
    <w:rsid w:val="00A227A4"/>
    <w:rsid w:val="00A23FDB"/>
    <w:rsid w:val="00A24217"/>
    <w:rsid w:val="00A245F5"/>
    <w:rsid w:val="00A24829"/>
    <w:rsid w:val="00A2563E"/>
    <w:rsid w:val="00A25E0E"/>
    <w:rsid w:val="00A272C2"/>
    <w:rsid w:val="00A27FDB"/>
    <w:rsid w:val="00A30093"/>
    <w:rsid w:val="00A30822"/>
    <w:rsid w:val="00A3161B"/>
    <w:rsid w:val="00A31DBA"/>
    <w:rsid w:val="00A32658"/>
    <w:rsid w:val="00A338EB"/>
    <w:rsid w:val="00A339FE"/>
    <w:rsid w:val="00A33DCA"/>
    <w:rsid w:val="00A35000"/>
    <w:rsid w:val="00A355A3"/>
    <w:rsid w:val="00A35E11"/>
    <w:rsid w:val="00A36CD6"/>
    <w:rsid w:val="00A375CA"/>
    <w:rsid w:val="00A37929"/>
    <w:rsid w:val="00A379BD"/>
    <w:rsid w:val="00A37C63"/>
    <w:rsid w:val="00A37DE3"/>
    <w:rsid w:val="00A40127"/>
    <w:rsid w:val="00A41019"/>
    <w:rsid w:val="00A41883"/>
    <w:rsid w:val="00A42720"/>
    <w:rsid w:val="00A42E8C"/>
    <w:rsid w:val="00A43461"/>
    <w:rsid w:val="00A43605"/>
    <w:rsid w:val="00A44029"/>
    <w:rsid w:val="00A4416D"/>
    <w:rsid w:val="00A44CEE"/>
    <w:rsid w:val="00A45350"/>
    <w:rsid w:val="00A45508"/>
    <w:rsid w:val="00A462FA"/>
    <w:rsid w:val="00A46322"/>
    <w:rsid w:val="00A47D6C"/>
    <w:rsid w:val="00A505F5"/>
    <w:rsid w:val="00A523F3"/>
    <w:rsid w:val="00A52D45"/>
    <w:rsid w:val="00A52FEB"/>
    <w:rsid w:val="00A5345D"/>
    <w:rsid w:val="00A54719"/>
    <w:rsid w:val="00A54B20"/>
    <w:rsid w:val="00A5595E"/>
    <w:rsid w:val="00A55DFE"/>
    <w:rsid w:val="00A61399"/>
    <w:rsid w:val="00A61BCD"/>
    <w:rsid w:val="00A61D3D"/>
    <w:rsid w:val="00A62CCA"/>
    <w:rsid w:val="00A63925"/>
    <w:rsid w:val="00A63DCB"/>
    <w:rsid w:val="00A64D32"/>
    <w:rsid w:val="00A651AA"/>
    <w:rsid w:val="00A665A4"/>
    <w:rsid w:val="00A70202"/>
    <w:rsid w:val="00A71310"/>
    <w:rsid w:val="00A71C94"/>
    <w:rsid w:val="00A72052"/>
    <w:rsid w:val="00A721F3"/>
    <w:rsid w:val="00A764E6"/>
    <w:rsid w:val="00A7698E"/>
    <w:rsid w:val="00A76C59"/>
    <w:rsid w:val="00A7753C"/>
    <w:rsid w:val="00A77D34"/>
    <w:rsid w:val="00A81780"/>
    <w:rsid w:val="00A81F3E"/>
    <w:rsid w:val="00A82059"/>
    <w:rsid w:val="00A82368"/>
    <w:rsid w:val="00A83209"/>
    <w:rsid w:val="00A83490"/>
    <w:rsid w:val="00A8407C"/>
    <w:rsid w:val="00A847C7"/>
    <w:rsid w:val="00A84A0A"/>
    <w:rsid w:val="00A84AB4"/>
    <w:rsid w:val="00A85AE0"/>
    <w:rsid w:val="00A86220"/>
    <w:rsid w:val="00A8752D"/>
    <w:rsid w:val="00A87D1A"/>
    <w:rsid w:val="00A9106B"/>
    <w:rsid w:val="00A912AC"/>
    <w:rsid w:val="00A932AA"/>
    <w:rsid w:val="00A935BF"/>
    <w:rsid w:val="00A93C48"/>
    <w:rsid w:val="00A93FB7"/>
    <w:rsid w:val="00A94254"/>
    <w:rsid w:val="00A94C93"/>
    <w:rsid w:val="00A96013"/>
    <w:rsid w:val="00A9721E"/>
    <w:rsid w:val="00A97BC3"/>
    <w:rsid w:val="00AA0015"/>
    <w:rsid w:val="00AA005A"/>
    <w:rsid w:val="00AA0F0F"/>
    <w:rsid w:val="00AA1672"/>
    <w:rsid w:val="00AA33A0"/>
    <w:rsid w:val="00AA3BB8"/>
    <w:rsid w:val="00AA469A"/>
    <w:rsid w:val="00AA4B1F"/>
    <w:rsid w:val="00AA4DC7"/>
    <w:rsid w:val="00AA5095"/>
    <w:rsid w:val="00AA5613"/>
    <w:rsid w:val="00AA5765"/>
    <w:rsid w:val="00AA62D5"/>
    <w:rsid w:val="00AA63D4"/>
    <w:rsid w:val="00AB01FE"/>
    <w:rsid w:val="00AB0B66"/>
    <w:rsid w:val="00AB1213"/>
    <w:rsid w:val="00AB198D"/>
    <w:rsid w:val="00AB22DD"/>
    <w:rsid w:val="00AB3452"/>
    <w:rsid w:val="00AB4823"/>
    <w:rsid w:val="00AB4873"/>
    <w:rsid w:val="00AB4CAD"/>
    <w:rsid w:val="00AB4D5C"/>
    <w:rsid w:val="00AB4DDC"/>
    <w:rsid w:val="00AB58DE"/>
    <w:rsid w:val="00AC0BBD"/>
    <w:rsid w:val="00AC14B6"/>
    <w:rsid w:val="00AC1576"/>
    <w:rsid w:val="00AC17A0"/>
    <w:rsid w:val="00AC1C93"/>
    <w:rsid w:val="00AC2FA1"/>
    <w:rsid w:val="00AC3374"/>
    <w:rsid w:val="00AC357E"/>
    <w:rsid w:val="00AC39CE"/>
    <w:rsid w:val="00AC5969"/>
    <w:rsid w:val="00AC637E"/>
    <w:rsid w:val="00AC6CA0"/>
    <w:rsid w:val="00AC6CCA"/>
    <w:rsid w:val="00AC741D"/>
    <w:rsid w:val="00AC772B"/>
    <w:rsid w:val="00AD05DD"/>
    <w:rsid w:val="00AD0B67"/>
    <w:rsid w:val="00AD0DBE"/>
    <w:rsid w:val="00AD153E"/>
    <w:rsid w:val="00AD179F"/>
    <w:rsid w:val="00AD1952"/>
    <w:rsid w:val="00AD19A5"/>
    <w:rsid w:val="00AD245B"/>
    <w:rsid w:val="00AD3921"/>
    <w:rsid w:val="00AD3E4B"/>
    <w:rsid w:val="00AD3F31"/>
    <w:rsid w:val="00AD4863"/>
    <w:rsid w:val="00AD513F"/>
    <w:rsid w:val="00AD51B6"/>
    <w:rsid w:val="00AD5265"/>
    <w:rsid w:val="00AD6707"/>
    <w:rsid w:val="00AD775B"/>
    <w:rsid w:val="00AD7F0D"/>
    <w:rsid w:val="00AD7F4A"/>
    <w:rsid w:val="00AE0CD5"/>
    <w:rsid w:val="00AE105C"/>
    <w:rsid w:val="00AE141E"/>
    <w:rsid w:val="00AE18A9"/>
    <w:rsid w:val="00AE1B97"/>
    <w:rsid w:val="00AE258F"/>
    <w:rsid w:val="00AE2DB5"/>
    <w:rsid w:val="00AE3E60"/>
    <w:rsid w:val="00AE56B4"/>
    <w:rsid w:val="00AE5F56"/>
    <w:rsid w:val="00AE6447"/>
    <w:rsid w:val="00AE6E4B"/>
    <w:rsid w:val="00AE706F"/>
    <w:rsid w:val="00AE71FD"/>
    <w:rsid w:val="00AE74FE"/>
    <w:rsid w:val="00AE7B27"/>
    <w:rsid w:val="00AF045B"/>
    <w:rsid w:val="00AF21AF"/>
    <w:rsid w:val="00AF23BC"/>
    <w:rsid w:val="00AF2D5A"/>
    <w:rsid w:val="00AF3DAC"/>
    <w:rsid w:val="00AF44BB"/>
    <w:rsid w:val="00AF58BC"/>
    <w:rsid w:val="00AF6566"/>
    <w:rsid w:val="00B006C0"/>
    <w:rsid w:val="00B007AA"/>
    <w:rsid w:val="00B018E9"/>
    <w:rsid w:val="00B02212"/>
    <w:rsid w:val="00B02C0D"/>
    <w:rsid w:val="00B052FE"/>
    <w:rsid w:val="00B05674"/>
    <w:rsid w:val="00B06466"/>
    <w:rsid w:val="00B06DF5"/>
    <w:rsid w:val="00B07107"/>
    <w:rsid w:val="00B1025A"/>
    <w:rsid w:val="00B10669"/>
    <w:rsid w:val="00B1069F"/>
    <w:rsid w:val="00B106CF"/>
    <w:rsid w:val="00B10982"/>
    <w:rsid w:val="00B109BA"/>
    <w:rsid w:val="00B10AF6"/>
    <w:rsid w:val="00B11052"/>
    <w:rsid w:val="00B111BB"/>
    <w:rsid w:val="00B1269D"/>
    <w:rsid w:val="00B12BE4"/>
    <w:rsid w:val="00B13514"/>
    <w:rsid w:val="00B159F3"/>
    <w:rsid w:val="00B15E55"/>
    <w:rsid w:val="00B1750A"/>
    <w:rsid w:val="00B17795"/>
    <w:rsid w:val="00B21211"/>
    <w:rsid w:val="00B21372"/>
    <w:rsid w:val="00B21C5B"/>
    <w:rsid w:val="00B23B15"/>
    <w:rsid w:val="00B24531"/>
    <w:rsid w:val="00B24761"/>
    <w:rsid w:val="00B253DE"/>
    <w:rsid w:val="00B26656"/>
    <w:rsid w:val="00B2715D"/>
    <w:rsid w:val="00B273D3"/>
    <w:rsid w:val="00B27431"/>
    <w:rsid w:val="00B27855"/>
    <w:rsid w:val="00B279BA"/>
    <w:rsid w:val="00B3182B"/>
    <w:rsid w:val="00B320B4"/>
    <w:rsid w:val="00B32A84"/>
    <w:rsid w:val="00B337C1"/>
    <w:rsid w:val="00B3403E"/>
    <w:rsid w:val="00B35651"/>
    <w:rsid w:val="00B36B52"/>
    <w:rsid w:val="00B37455"/>
    <w:rsid w:val="00B374CE"/>
    <w:rsid w:val="00B40903"/>
    <w:rsid w:val="00B40989"/>
    <w:rsid w:val="00B41810"/>
    <w:rsid w:val="00B425D2"/>
    <w:rsid w:val="00B43590"/>
    <w:rsid w:val="00B43F08"/>
    <w:rsid w:val="00B4400D"/>
    <w:rsid w:val="00B445E7"/>
    <w:rsid w:val="00B44933"/>
    <w:rsid w:val="00B45146"/>
    <w:rsid w:val="00B4588D"/>
    <w:rsid w:val="00B45E45"/>
    <w:rsid w:val="00B45EED"/>
    <w:rsid w:val="00B46DC6"/>
    <w:rsid w:val="00B46F0D"/>
    <w:rsid w:val="00B47C93"/>
    <w:rsid w:val="00B47F03"/>
    <w:rsid w:val="00B5000E"/>
    <w:rsid w:val="00B503D7"/>
    <w:rsid w:val="00B5046E"/>
    <w:rsid w:val="00B51AB1"/>
    <w:rsid w:val="00B5209C"/>
    <w:rsid w:val="00B5237E"/>
    <w:rsid w:val="00B52648"/>
    <w:rsid w:val="00B556F6"/>
    <w:rsid w:val="00B57B66"/>
    <w:rsid w:val="00B57E3E"/>
    <w:rsid w:val="00B60BE8"/>
    <w:rsid w:val="00B60C14"/>
    <w:rsid w:val="00B625AF"/>
    <w:rsid w:val="00B6277E"/>
    <w:rsid w:val="00B62AD8"/>
    <w:rsid w:val="00B62CC9"/>
    <w:rsid w:val="00B62CD4"/>
    <w:rsid w:val="00B63C2C"/>
    <w:rsid w:val="00B64408"/>
    <w:rsid w:val="00B645F8"/>
    <w:rsid w:val="00B6482D"/>
    <w:rsid w:val="00B64ABC"/>
    <w:rsid w:val="00B65C8E"/>
    <w:rsid w:val="00B66194"/>
    <w:rsid w:val="00B664A5"/>
    <w:rsid w:val="00B66BD0"/>
    <w:rsid w:val="00B704B1"/>
    <w:rsid w:val="00B7077F"/>
    <w:rsid w:val="00B7092F"/>
    <w:rsid w:val="00B710BE"/>
    <w:rsid w:val="00B713AD"/>
    <w:rsid w:val="00B71492"/>
    <w:rsid w:val="00B71FB0"/>
    <w:rsid w:val="00B72807"/>
    <w:rsid w:val="00B72BF8"/>
    <w:rsid w:val="00B74763"/>
    <w:rsid w:val="00B74D5F"/>
    <w:rsid w:val="00B75ACF"/>
    <w:rsid w:val="00B770E8"/>
    <w:rsid w:val="00B771AD"/>
    <w:rsid w:val="00B77AA2"/>
    <w:rsid w:val="00B8109A"/>
    <w:rsid w:val="00B81D10"/>
    <w:rsid w:val="00B8455C"/>
    <w:rsid w:val="00B847E1"/>
    <w:rsid w:val="00B84A96"/>
    <w:rsid w:val="00B85A4B"/>
    <w:rsid w:val="00B85A50"/>
    <w:rsid w:val="00B85C0D"/>
    <w:rsid w:val="00B87661"/>
    <w:rsid w:val="00B8781D"/>
    <w:rsid w:val="00B879F6"/>
    <w:rsid w:val="00B9051C"/>
    <w:rsid w:val="00B90923"/>
    <w:rsid w:val="00B91677"/>
    <w:rsid w:val="00B91B95"/>
    <w:rsid w:val="00B94273"/>
    <w:rsid w:val="00B94E77"/>
    <w:rsid w:val="00B95EF2"/>
    <w:rsid w:val="00B97016"/>
    <w:rsid w:val="00B97C82"/>
    <w:rsid w:val="00BA0E9E"/>
    <w:rsid w:val="00BA18B9"/>
    <w:rsid w:val="00BA4269"/>
    <w:rsid w:val="00BA493D"/>
    <w:rsid w:val="00BA4B76"/>
    <w:rsid w:val="00BA5093"/>
    <w:rsid w:val="00BA65C0"/>
    <w:rsid w:val="00BA7AE7"/>
    <w:rsid w:val="00BA7CA4"/>
    <w:rsid w:val="00BB022D"/>
    <w:rsid w:val="00BB09D2"/>
    <w:rsid w:val="00BB0DBA"/>
    <w:rsid w:val="00BB0DDB"/>
    <w:rsid w:val="00BB1293"/>
    <w:rsid w:val="00BB164C"/>
    <w:rsid w:val="00BB2529"/>
    <w:rsid w:val="00BB2761"/>
    <w:rsid w:val="00BB2966"/>
    <w:rsid w:val="00BB2C6C"/>
    <w:rsid w:val="00BB3160"/>
    <w:rsid w:val="00BB4165"/>
    <w:rsid w:val="00BB4B89"/>
    <w:rsid w:val="00BB68D4"/>
    <w:rsid w:val="00BB69C0"/>
    <w:rsid w:val="00BB6E68"/>
    <w:rsid w:val="00BB7791"/>
    <w:rsid w:val="00BC0350"/>
    <w:rsid w:val="00BC0464"/>
    <w:rsid w:val="00BC05BF"/>
    <w:rsid w:val="00BC0FC2"/>
    <w:rsid w:val="00BC188F"/>
    <w:rsid w:val="00BC1DBA"/>
    <w:rsid w:val="00BC2BE1"/>
    <w:rsid w:val="00BC3768"/>
    <w:rsid w:val="00BC4FE4"/>
    <w:rsid w:val="00BC6A92"/>
    <w:rsid w:val="00BC709A"/>
    <w:rsid w:val="00BC7501"/>
    <w:rsid w:val="00BC76AC"/>
    <w:rsid w:val="00BD01DF"/>
    <w:rsid w:val="00BD05EF"/>
    <w:rsid w:val="00BD0851"/>
    <w:rsid w:val="00BD0BFC"/>
    <w:rsid w:val="00BD1541"/>
    <w:rsid w:val="00BD2394"/>
    <w:rsid w:val="00BD2E14"/>
    <w:rsid w:val="00BD2E75"/>
    <w:rsid w:val="00BD4317"/>
    <w:rsid w:val="00BD44ED"/>
    <w:rsid w:val="00BD4FFE"/>
    <w:rsid w:val="00BD5430"/>
    <w:rsid w:val="00BD6279"/>
    <w:rsid w:val="00BD7151"/>
    <w:rsid w:val="00BD7239"/>
    <w:rsid w:val="00BD73DA"/>
    <w:rsid w:val="00BD76B5"/>
    <w:rsid w:val="00BE1C4E"/>
    <w:rsid w:val="00BE261A"/>
    <w:rsid w:val="00BE297F"/>
    <w:rsid w:val="00BE2D7F"/>
    <w:rsid w:val="00BE3612"/>
    <w:rsid w:val="00BE3CE0"/>
    <w:rsid w:val="00BE5EAA"/>
    <w:rsid w:val="00BE6587"/>
    <w:rsid w:val="00BE779E"/>
    <w:rsid w:val="00BF0CC9"/>
    <w:rsid w:val="00BF13A4"/>
    <w:rsid w:val="00BF1D41"/>
    <w:rsid w:val="00BF26F0"/>
    <w:rsid w:val="00BF2A60"/>
    <w:rsid w:val="00BF3533"/>
    <w:rsid w:val="00BF3723"/>
    <w:rsid w:val="00BF4017"/>
    <w:rsid w:val="00BF471C"/>
    <w:rsid w:val="00BF481B"/>
    <w:rsid w:val="00BF495D"/>
    <w:rsid w:val="00BF644D"/>
    <w:rsid w:val="00BF6565"/>
    <w:rsid w:val="00BF7077"/>
    <w:rsid w:val="00BF7C59"/>
    <w:rsid w:val="00C009EE"/>
    <w:rsid w:val="00C00B3F"/>
    <w:rsid w:val="00C00EAE"/>
    <w:rsid w:val="00C01352"/>
    <w:rsid w:val="00C0147C"/>
    <w:rsid w:val="00C027E4"/>
    <w:rsid w:val="00C031FC"/>
    <w:rsid w:val="00C0391D"/>
    <w:rsid w:val="00C049C7"/>
    <w:rsid w:val="00C04D8C"/>
    <w:rsid w:val="00C05124"/>
    <w:rsid w:val="00C055F7"/>
    <w:rsid w:val="00C06F3F"/>
    <w:rsid w:val="00C072F7"/>
    <w:rsid w:val="00C11017"/>
    <w:rsid w:val="00C12209"/>
    <w:rsid w:val="00C136E8"/>
    <w:rsid w:val="00C1399F"/>
    <w:rsid w:val="00C148CC"/>
    <w:rsid w:val="00C149D4"/>
    <w:rsid w:val="00C16785"/>
    <w:rsid w:val="00C16B34"/>
    <w:rsid w:val="00C16CB0"/>
    <w:rsid w:val="00C16E6C"/>
    <w:rsid w:val="00C1782A"/>
    <w:rsid w:val="00C17E6F"/>
    <w:rsid w:val="00C2075D"/>
    <w:rsid w:val="00C20A81"/>
    <w:rsid w:val="00C218DB"/>
    <w:rsid w:val="00C21A4E"/>
    <w:rsid w:val="00C21BFD"/>
    <w:rsid w:val="00C22397"/>
    <w:rsid w:val="00C23AEA"/>
    <w:rsid w:val="00C24435"/>
    <w:rsid w:val="00C25CDA"/>
    <w:rsid w:val="00C260AB"/>
    <w:rsid w:val="00C262C9"/>
    <w:rsid w:val="00C26C6C"/>
    <w:rsid w:val="00C32E64"/>
    <w:rsid w:val="00C3358A"/>
    <w:rsid w:val="00C335EF"/>
    <w:rsid w:val="00C33C55"/>
    <w:rsid w:val="00C33F96"/>
    <w:rsid w:val="00C34529"/>
    <w:rsid w:val="00C34997"/>
    <w:rsid w:val="00C34E1E"/>
    <w:rsid w:val="00C34EC7"/>
    <w:rsid w:val="00C35A1D"/>
    <w:rsid w:val="00C35CEC"/>
    <w:rsid w:val="00C36F1C"/>
    <w:rsid w:val="00C37A95"/>
    <w:rsid w:val="00C37AA6"/>
    <w:rsid w:val="00C40500"/>
    <w:rsid w:val="00C40ED7"/>
    <w:rsid w:val="00C40FA6"/>
    <w:rsid w:val="00C41372"/>
    <w:rsid w:val="00C41435"/>
    <w:rsid w:val="00C41844"/>
    <w:rsid w:val="00C42FE6"/>
    <w:rsid w:val="00C4428D"/>
    <w:rsid w:val="00C44D8A"/>
    <w:rsid w:val="00C45991"/>
    <w:rsid w:val="00C463A9"/>
    <w:rsid w:val="00C463F1"/>
    <w:rsid w:val="00C46854"/>
    <w:rsid w:val="00C475F9"/>
    <w:rsid w:val="00C47A3F"/>
    <w:rsid w:val="00C51662"/>
    <w:rsid w:val="00C53C87"/>
    <w:rsid w:val="00C55374"/>
    <w:rsid w:val="00C56069"/>
    <w:rsid w:val="00C56FC0"/>
    <w:rsid w:val="00C56FC5"/>
    <w:rsid w:val="00C5771C"/>
    <w:rsid w:val="00C6036B"/>
    <w:rsid w:val="00C60660"/>
    <w:rsid w:val="00C60DEC"/>
    <w:rsid w:val="00C60EA8"/>
    <w:rsid w:val="00C61663"/>
    <w:rsid w:val="00C62F21"/>
    <w:rsid w:val="00C6311C"/>
    <w:rsid w:val="00C64204"/>
    <w:rsid w:val="00C659FB"/>
    <w:rsid w:val="00C67361"/>
    <w:rsid w:val="00C673D0"/>
    <w:rsid w:val="00C6781C"/>
    <w:rsid w:val="00C67FB2"/>
    <w:rsid w:val="00C71442"/>
    <w:rsid w:val="00C71E38"/>
    <w:rsid w:val="00C72193"/>
    <w:rsid w:val="00C726A1"/>
    <w:rsid w:val="00C7305D"/>
    <w:rsid w:val="00C74754"/>
    <w:rsid w:val="00C747F6"/>
    <w:rsid w:val="00C758EA"/>
    <w:rsid w:val="00C76021"/>
    <w:rsid w:val="00C76478"/>
    <w:rsid w:val="00C76F62"/>
    <w:rsid w:val="00C76FC7"/>
    <w:rsid w:val="00C77974"/>
    <w:rsid w:val="00C801FB"/>
    <w:rsid w:val="00C809A0"/>
    <w:rsid w:val="00C80FD1"/>
    <w:rsid w:val="00C810B9"/>
    <w:rsid w:val="00C816DC"/>
    <w:rsid w:val="00C821F9"/>
    <w:rsid w:val="00C82A61"/>
    <w:rsid w:val="00C82D1D"/>
    <w:rsid w:val="00C82F85"/>
    <w:rsid w:val="00C8305F"/>
    <w:rsid w:val="00C83397"/>
    <w:rsid w:val="00C841C4"/>
    <w:rsid w:val="00C84F44"/>
    <w:rsid w:val="00C85CFD"/>
    <w:rsid w:val="00C85E3C"/>
    <w:rsid w:val="00C86189"/>
    <w:rsid w:val="00C863E2"/>
    <w:rsid w:val="00C87294"/>
    <w:rsid w:val="00C879E4"/>
    <w:rsid w:val="00C90349"/>
    <w:rsid w:val="00C90365"/>
    <w:rsid w:val="00C90715"/>
    <w:rsid w:val="00C918CD"/>
    <w:rsid w:val="00C9485C"/>
    <w:rsid w:val="00C953BB"/>
    <w:rsid w:val="00C955D9"/>
    <w:rsid w:val="00C95E5D"/>
    <w:rsid w:val="00C96265"/>
    <w:rsid w:val="00C964F1"/>
    <w:rsid w:val="00C97ACD"/>
    <w:rsid w:val="00C97F70"/>
    <w:rsid w:val="00CA07CB"/>
    <w:rsid w:val="00CA14D9"/>
    <w:rsid w:val="00CA193E"/>
    <w:rsid w:val="00CA258D"/>
    <w:rsid w:val="00CA2688"/>
    <w:rsid w:val="00CA308B"/>
    <w:rsid w:val="00CA30C4"/>
    <w:rsid w:val="00CA3A2B"/>
    <w:rsid w:val="00CA3F0D"/>
    <w:rsid w:val="00CA4962"/>
    <w:rsid w:val="00CA4F83"/>
    <w:rsid w:val="00CA59EC"/>
    <w:rsid w:val="00CA5D27"/>
    <w:rsid w:val="00CA6084"/>
    <w:rsid w:val="00CA66DD"/>
    <w:rsid w:val="00CA7C25"/>
    <w:rsid w:val="00CB044D"/>
    <w:rsid w:val="00CB0BFC"/>
    <w:rsid w:val="00CB15A8"/>
    <w:rsid w:val="00CB3541"/>
    <w:rsid w:val="00CB3596"/>
    <w:rsid w:val="00CB3903"/>
    <w:rsid w:val="00CB3A4E"/>
    <w:rsid w:val="00CB3CA8"/>
    <w:rsid w:val="00CB3D3E"/>
    <w:rsid w:val="00CB3DDF"/>
    <w:rsid w:val="00CB3E40"/>
    <w:rsid w:val="00CB4EB6"/>
    <w:rsid w:val="00CB7E5C"/>
    <w:rsid w:val="00CC013D"/>
    <w:rsid w:val="00CC05A0"/>
    <w:rsid w:val="00CC0843"/>
    <w:rsid w:val="00CC1C7E"/>
    <w:rsid w:val="00CC214C"/>
    <w:rsid w:val="00CC22F6"/>
    <w:rsid w:val="00CC248E"/>
    <w:rsid w:val="00CC498C"/>
    <w:rsid w:val="00CC548C"/>
    <w:rsid w:val="00CC6374"/>
    <w:rsid w:val="00CC6422"/>
    <w:rsid w:val="00CC68A2"/>
    <w:rsid w:val="00CC71C1"/>
    <w:rsid w:val="00CC73B9"/>
    <w:rsid w:val="00CC7CFB"/>
    <w:rsid w:val="00CC7F4F"/>
    <w:rsid w:val="00CD001B"/>
    <w:rsid w:val="00CD0AC5"/>
    <w:rsid w:val="00CD0E8F"/>
    <w:rsid w:val="00CD13A6"/>
    <w:rsid w:val="00CD1D66"/>
    <w:rsid w:val="00CD2BBD"/>
    <w:rsid w:val="00CD2D58"/>
    <w:rsid w:val="00CD32FA"/>
    <w:rsid w:val="00CD3DFE"/>
    <w:rsid w:val="00CD44B9"/>
    <w:rsid w:val="00CD5071"/>
    <w:rsid w:val="00CD50D0"/>
    <w:rsid w:val="00CD5AB3"/>
    <w:rsid w:val="00CD5BA3"/>
    <w:rsid w:val="00CD6697"/>
    <w:rsid w:val="00CD7126"/>
    <w:rsid w:val="00CD71E8"/>
    <w:rsid w:val="00CD7BDD"/>
    <w:rsid w:val="00CE00F7"/>
    <w:rsid w:val="00CE06AE"/>
    <w:rsid w:val="00CE0A58"/>
    <w:rsid w:val="00CE22CB"/>
    <w:rsid w:val="00CE36EB"/>
    <w:rsid w:val="00CE477C"/>
    <w:rsid w:val="00CE4899"/>
    <w:rsid w:val="00CE51FD"/>
    <w:rsid w:val="00CE5276"/>
    <w:rsid w:val="00CE52DB"/>
    <w:rsid w:val="00CE559C"/>
    <w:rsid w:val="00CE5EE6"/>
    <w:rsid w:val="00CE639D"/>
    <w:rsid w:val="00CE6F3D"/>
    <w:rsid w:val="00CE73E8"/>
    <w:rsid w:val="00CE7EF7"/>
    <w:rsid w:val="00CF0ACA"/>
    <w:rsid w:val="00CF2654"/>
    <w:rsid w:val="00CF3144"/>
    <w:rsid w:val="00CF35E5"/>
    <w:rsid w:val="00CF4FA4"/>
    <w:rsid w:val="00CF56E9"/>
    <w:rsid w:val="00CF7437"/>
    <w:rsid w:val="00CF75EE"/>
    <w:rsid w:val="00D02D6D"/>
    <w:rsid w:val="00D035F6"/>
    <w:rsid w:val="00D0454E"/>
    <w:rsid w:val="00D04CE7"/>
    <w:rsid w:val="00D0549A"/>
    <w:rsid w:val="00D05BEF"/>
    <w:rsid w:val="00D06446"/>
    <w:rsid w:val="00D06CEA"/>
    <w:rsid w:val="00D06E1D"/>
    <w:rsid w:val="00D070B3"/>
    <w:rsid w:val="00D11EAB"/>
    <w:rsid w:val="00D11F16"/>
    <w:rsid w:val="00D12636"/>
    <w:rsid w:val="00D138A2"/>
    <w:rsid w:val="00D13D67"/>
    <w:rsid w:val="00D13DB8"/>
    <w:rsid w:val="00D14169"/>
    <w:rsid w:val="00D14D7D"/>
    <w:rsid w:val="00D15A4A"/>
    <w:rsid w:val="00D15DBA"/>
    <w:rsid w:val="00D164FE"/>
    <w:rsid w:val="00D168AA"/>
    <w:rsid w:val="00D17445"/>
    <w:rsid w:val="00D17D31"/>
    <w:rsid w:val="00D17EE9"/>
    <w:rsid w:val="00D20151"/>
    <w:rsid w:val="00D20280"/>
    <w:rsid w:val="00D20567"/>
    <w:rsid w:val="00D21572"/>
    <w:rsid w:val="00D220C8"/>
    <w:rsid w:val="00D2220B"/>
    <w:rsid w:val="00D2387C"/>
    <w:rsid w:val="00D25134"/>
    <w:rsid w:val="00D25570"/>
    <w:rsid w:val="00D27ACC"/>
    <w:rsid w:val="00D304EF"/>
    <w:rsid w:val="00D3173E"/>
    <w:rsid w:val="00D31FA1"/>
    <w:rsid w:val="00D32031"/>
    <w:rsid w:val="00D32A10"/>
    <w:rsid w:val="00D32E06"/>
    <w:rsid w:val="00D3309C"/>
    <w:rsid w:val="00D33E02"/>
    <w:rsid w:val="00D33EA1"/>
    <w:rsid w:val="00D34A9E"/>
    <w:rsid w:val="00D34B36"/>
    <w:rsid w:val="00D34D86"/>
    <w:rsid w:val="00D35232"/>
    <w:rsid w:val="00D3582D"/>
    <w:rsid w:val="00D361AD"/>
    <w:rsid w:val="00D36535"/>
    <w:rsid w:val="00D37D10"/>
    <w:rsid w:val="00D407EE"/>
    <w:rsid w:val="00D41CCD"/>
    <w:rsid w:val="00D42A48"/>
    <w:rsid w:val="00D42D92"/>
    <w:rsid w:val="00D436A2"/>
    <w:rsid w:val="00D44506"/>
    <w:rsid w:val="00D44C3E"/>
    <w:rsid w:val="00D45208"/>
    <w:rsid w:val="00D45270"/>
    <w:rsid w:val="00D45584"/>
    <w:rsid w:val="00D46E38"/>
    <w:rsid w:val="00D46FAB"/>
    <w:rsid w:val="00D50556"/>
    <w:rsid w:val="00D516C5"/>
    <w:rsid w:val="00D51EF4"/>
    <w:rsid w:val="00D528C4"/>
    <w:rsid w:val="00D52DC8"/>
    <w:rsid w:val="00D539C5"/>
    <w:rsid w:val="00D542DD"/>
    <w:rsid w:val="00D549DF"/>
    <w:rsid w:val="00D54B4C"/>
    <w:rsid w:val="00D54E7C"/>
    <w:rsid w:val="00D56331"/>
    <w:rsid w:val="00D56D09"/>
    <w:rsid w:val="00D57D2A"/>
    <w:rsid w:val="00D6095C"/>
    <w:rsid w:val="00D61E1B"/>
    <w:rsid w:val="00D62202"/>
    <w:rsid w:val="00D6287E"/>
    <w:rsid w:val="00D6338A"/>
    <w:rsid w:val="00D6357E"/>
    <w:rsid w:val="00D65066"/>
    <w:rsid w:val="00D651E2"/>
    <w:rsid w:val="00D65C34"/>
    <w:rsid w:val="00D662E2"/>
    <w:rsid w:val="00D66332"/>
    <w:rsid w:val="00D66723"/>
    <w:rsid w:val="00D6673E"/>
    <w:rsid w:val="00D66FEE"/>
    <w:rsid w:val="00D674C8"/>
    <w:rsid w:val="00D67BBD"/>
    <w:rsid w:val="00D7107A"/>
    <w:rsid w:val="00D71AD8"/>
    <w:rsid w:val="00D73035"/>
    <w:rsid w:val="00D739B0"/>
    <w:rsid w:val="00D748D9"/>
    <w:rsid w:val="00D74D31"/>
    <w:rsid w:val="00D7583D"/>
    <w:rsid w:val="00D76AFC"/>
    <w:rsid w:val="00D76EBC"/>
    <w:rsid w:val="00D81EE3"/>
    <w:rsid w:val="00D81F19"/>
    <w:rsid w:val="00D82E77"/>
    <w:rsid w:val="00D82FAB"/>
    <w:rsid w:val="00D84D8E"/>
    <w:rsid w:val="00D859DB"/>
    <w:rsid w:val="00D866DE"/>
    <w:rsid w:val="00D87315"/>
    <w:rsid w:val="00D906CC"/>
    <w:rsid w:val="00D9075B"/>
    <w:rsid w:val="00D90C1D"/>
    <w:rsid w:val="00D91CCB"/>
    <w:rsid w:val="00D92444"/>
    <w:rsid w:val="00D935F5"/>
    <w:rsid w:val="00D93FBA"/>
    <w:rsid w:val="00D940CD"/>
    <w:rsid w:val="00D94690"/>
    <w:rsid w:val="00D9570B"/>
    <w:rsid w:val="00D959CE"/>
    <w:rsid w:val="00D95DDA"/>
    <w:rsid w:val="00D96489"/>
    <w:rsid w:val="00D97426"/>
    <w:rsid w:val="00D97E06"/>
    <w:rsid w:val="00DA07E2"/>
    <w:rsid w:val="00DA0EAE"/>
    <w:rsid w:val="00DA100E"/>
    <w:rsid w:val="00DA1416"/>
    <w:rsid w:val="00DA2296"/>
    <w:rsid w:val="00DA2A26"/>
    <w:rsid w:val="00DA32BB"/>
    <w:rsid w:val="00DA37B3"/>
    <w:rsid w:val="00DA3AD7"/>
    <w:rsid w:val="00DA3F6C"/>
    <w:rsid w:val="00DA43D5"/>
    <w:rsid w:val="00DA4824"/>
    <w:rsid w:val="00DA4F9E"/>
    <w:rsid w:val="00DA6183"/>
    <w:rsid w:val="00DA6AC6"/>
    <w:rsid w:val="00DA734B"/>
    <w:rsid w:val="00DA7571"/>
    <w:rsid w:val="00DA7787"/>
    <w:rsid w:val="00DB07E6"/>
    <w:rsid w:val="00DB10E9"/>
    <w:rsid w:val="00DB1A16"/>
    <w:rsid w:val="00DB1F3F"/>
    <w:rsid w:val="00DB24BC"/>
    <w:rsid w:val="00DB308C"/>
    <w:rsid w:val="00DB410D"/>
    <w:rsid w:val="00DB5811"/>
    <w:rsid w:val="00DB5A1E"/>
    <w:rsid w:val="00DB5A78"/>
    <w:rsid w:val="00DB6488"/>
    <w:rsid w:val="00DB65FC"/>
    <w:rsid w:val="00DB6635"/>
    <w:rsid w:val="00DB67D3"/>
    <w:rsid w:val="00DB79FB"/>
    <w:rsid w:val="00DC0B8E"/>
    <w:rsid w:val="00DC0EEE"/>
    <w:rsid w:val="00DC2134"/>
    <w:rsid w:val="00DC28DE"/>
    <w:rsid w:val="00DC39CF"/>
    <w:rsid w:val="00DC3C92"/>
    <w:rsid w:val="00DC4321"/>
    <w:rsid w:val="00DC46A5"/>
    <w:rsid w:val="00DC5CC0"/>
    <w:rsid w:val="00DC7FE5"/>
    <w:rsid w:val="00DD0658"/>
    <w:rsid w:val="00DD0BE7"/>
    <w:rsid w:val="00DD1D54"/>
    <w:rsid w:val="00DD23FA"/>
    <w:rsid w:val="00DD2AA6"/>
    <w:rsid w:val="00DD42DA"/>
    <w:rsid w:val="00DD5DDC"/>
    <w:rsid w:val="00DD5E21"/>
    <w:rsid w:val="00DD65E7"/>
    <w:rsid w:val="00DD72BF"/>
    <w:rsid w:val="00DD7D0A"/>
    <w:rsid w:val="00DE0BC1"/>
    <w:rsid w:val="00DE0BFD"/>
    <w:rsid w:val="00DE0E1F"/>
    <w:rsid w:val="00DE0F7E"/>
    <w:rsid w:val="00DE107D"/>
    <w:rsid w:val="00DE1F60"/>
    <w:rsid w:val="00DE28CA"/>
    <w:rsid w:val="00DE30D3"/>
    <w:rsid w:val="00DE3B77"/>
    <w:rsid w:val="00DE3E3C"/>
    <w:rsid w:val="00DE45E3"/>
    <w:rsid w:val="00DE4749"/>
    <w:rsid w:val="00DE4A73"/>
    <w:rsid w:val="00DE4FA6"/>
    <w:rsid w:val="00DE505A"/>
    <w:rsid w:val="00DE57EE"/>
    <w:rsid w:val="00DE668C"/>
    <w:rsid w:val="00DE6DE9"/>
    <w:rsid w:val="00DE6ECF"/>
    <w:rsid w:val="00DE70BB"/>
    <w:rsid w:val="00DF0287"/>
    <w:rsid w:val="00DF02C0"/>
    <w:rsid w:val="00DF1691"/>
    <w:rsid w:val="00DF2233"/>
    <w:rsid w:val="00DF31C3"/>
    <w:rsid w:val="00DF31CC"/>
    <w:rsid w:val="00DF45FD"/>
    <w:rsid w:val="00DF5405"/>
    <w:rsid w:val="00DF7D04"/>
    <w:rsid w:val="00DF7F69"/>
    <w:rsid w:val="00E00334"/>
    <w:rsid w:val="00E014E9"/>
    <w:rsid w:val="00E01D57"/>
    <w:rsid w:val="00E024AA"/>
    <w:rsid w:val="00E024D4"/>
    <w:rsid w:val="00E027F6"/>
    <w:rsid w:val="00E030FC"/>
    <w:rsid w:val="00E03F37"/>
    <w:rsid w:val="00E04AD9"/>
    <w:rsid w:val="00E04EAC"/>
    <w:rsid w:val="00E060A3"/>
    <w:rsid w:val="00E060B2"/>
    <w:rsid w:val="00E062ED"/>
    <w:rsid w:val="00E06B40"/>
    <w:rsid w:val="00E06E35"/>
    <w:rsid w:val="00E07F99"/>
    <w:rsid w:val="00E10BA5"/>
    <w:rsid w:val="00E10D89"/>
    <w:rsid w:val="00E10D8F"/>
    <w:rsid w:val="00E118AF"/>
    <w:rsid w:val="00E124A6"/>
    <w:rsid w:val="00E1373D"/>
    <w:rsid w:val="00E13FCC"/>
    <w:rsid w:val="00E14919"/>
    <w:rsid w:val="00E14CAE"/>
    <w:rsid w:val="00E14E7D"/>
    <w:rsid w:val="00E1596B"/>
    <w:rsid w:val="00E163E8"/>
    <w:rsid w:val="00E16CD7"/>
    <w:rsid w:val="00E17556"/>
    <w:rsid w:val="00E17E9C"/>
    <w:rsid w:val="00E21AD0"/>
    <w:rsid w:val="00E222A5"/>
    <w:rsid w:val="00E223E6"/>
    <w:rsid w:val="00E227FD"/>
    <w:rsid w:val="00E22D7D"/>
    <w:rsid w:val="00E22F36"/>
    <w:rsid w:val="00E233CE"/>
    <w:rsid w:val="00E23639"/>
    <w:rsid w:val="00E239BD"/>
    <w:rsid w:val="00E23A16"/>
    <w:rsid w:val="00E23FBF"/>
    <w:rsid w:val="00E24418"/>
    <w:rsid w:val="00E2591B"/>
    <w:rsid w:val="00E25DE2"/>
    <w:rsid w:val="00E2652E"/>
    <w:rsid w:val="00E266FB"/>
    <w:rsid w:val="00E27A21"/>
    <w:rsid w:val="00E3069A"/>
    <w:rsid w:val="00E30BE1"/>
    <w:rsid w:val="00E30C0A"/>
    <w:rsid w:val="00E30DA4"/>
    <w:rsid w:val="00E31370"/>
    <w:rsid w:val="00E31753"/>
    <w:rsid w:val="00E32020"/>
    <w:rsid w:val="00E32A1A"/>
    <w:rsid w:val="00E32A92"/>
    <w:rsid w:val="00E335AA"/>
    <w:rsid w:val="00E3435E"/>
    <w:rsid w:val="00E34FC5"/>
    <w:rsid w:val="00E354CE"/>
    <w:rsid w:val="00E35A07"/>
    <w:rsid w:val="00E36268"/>
    <w:rsid w:val="00E368E0"/>
    <w:rsid w:val="00E369B4"/>
    <w:rsid w:val="00E36CE9"/>
    <w:rsid w:val="00E3757D"/>
    <w:rsid w:val="00E40382"/>
    <w:rsid w:val="00E410EF"/>
    <w:rsid w:val="00E420C3"/>
    <w:rsid w:val="00E4395C"/>
    <w:rsid w:val="00E43EF7"/>
    <w:rsid w:val="00E44ED2"/>
    <w:rsid w:val="00E453CF"/>
    <w:rsid w:val="00E46139"/>
    <w:rsid w:val="00E46AC0"/>
    <w:rsid w:val="00E47927"/>
    <w:rsid w:val="00E5041E"/>
    <w:rsid w:val="00E50D3F"/>
    <w:rsid w:val="00E51506"/>
    <w:rsid w:val="00E523EB"/>
    <w:rsid w:val="00E54345"/>
    <w:rsid w:val="00E54B4F"/>
    <w:rsid w:val="00E55106"/>
    <w:rsid w:val="00E55A26"/>
    <w:rsid w:val="00E56803"/>
    <w:rsid w:val="00E56831"/>
    <w:rsid w:val="00E56B0A"/>
    <w:rsid w:val="00E5788D"/>
    <w:rsid w:val="00E60750"/>
    <w:rsid w:val="00E627B3"/>
    <w:rsid w:val="00E62BF2"/>
    <w:rsid w:val="00E6371F"/>
    <w:rsid w:val="00E63908"/>
    <w:rsid w:val="00E63CBF"/>
    <w:rsid w:val="00E63D5E"/>
    <w:rsid w:val="00E63E72"/>
    <w:rsid w:val="00E6455D"/>
    <w:rsid w:val="00E64792"/>
    <w:rsid w:val="00E64BC4"/>
    <w:rsid w:val="00E6538F"/>
    <w:rsid w:val="00E6560A"/>
    <w:rsid w:val="00E65813"/>
    <w:rsid w:val="00E65B3B"/>
    <w:rsid w:val="00E663A1"/>
    <w:rsid w:val="00E66D10"/>
    <w:rsid w:val="00E67406"/>
    <w:rsid w:val="00E67C68"/>
    <w:rsid w:val="00E715F1"/>
    <w:rsid w:val="00E71981"/>
    <w:rsid w:val="00E71B7F"/>
    <w:rsid w:val="00E72149"/>
    <w:rsid w:val="00E722BA"/>
    <w:rsid w:val="00E72BBD"/>
    <w:rsid w:val="00E73209"/>
    <w:rsid w:val="00E7334A"/>
    <w:rsid w:val="00E74085"/>
    <w:rsid w:val="00E748E0"/>
    <w:rsid w:val="00E74982"/>
    <w:rsid w:val="00E74D8E"/>
    <w:rsid w:val="00E74F0C"/>
    <w:rsid w:val="00E7548C"/>
    <w:rsid w:val="00E75EAA"/>
    <w:rsid w:val="00E7676E"/>
    <w:rsid w:val="00E76B98"/>
    <w:rsid w:val="00E76F0D"/>
    <w:rsid w:val="00E774B9"/>
    <w:rsid w:val="00E820DB"/>
    <w:rsid w:val="00E823AD"/>
    <w:rsid w:val="00E83453"/>
    <w:rsid w:val="00E84543"/>
    <w:rsid w:val="00E848C1"/>
    <w:rsid w:val="00E85839"/>
    <w:rsid w:val="00E859DA"/>
    <w:rsid w:val="00E87B0D"/>
    <w:rsid w:val="00E9062B"/>
    <w:rsid w:val="00E91471"/>
    <w:rsid w:val="00E91FC9"/>
    <w:rsid w:val="00E925C4"/>
    <w:rsid w:val="00E94EDF"/>
    <w:rsid w:val="00E957D9"/>
    <w:rsid w:val="00E95BFE"/>
    <w:rsid w:val="00E96F5F"/>
    <w:rsid w:val="00E971E7"/>
    <w:rsid w:val="00E97F0D"/>
    <w:rsid w:val="00EA0598"/>
    <w:rsid w:val="00EA0702"/>
    <w:rsid w:val="00EA0B90"/>
    <w:rsid w:val="00EA0BC2"/>
    <w:rsid w:val="00EA0E98"/>
    <w:rsid w:val="00EA1BCC"/>
    <w:rsid w:val="00EA2027"/>
    <w:rsid w:val="00EA2F96"/>
    <w:rsid w:val="00EA4DFD"/>
    <w:rsid w:val="00EA534F"/>
    <w:rsid w:val="00EA58AF"/>
    <w:rsid w:val="00EA661F"/>
    <w:rsid w:val="00EA6777"/>
    <w:rsid w:val="00EA6D5C"/>
    <w:rsid w:val="00EA7FDB"/>
    <w:rsid w:val="00EB07C2"/>
    <w:rsid w:val="00EB11E5"/>
    <w:rsid w:val="00EB203D"/>
    <w:rsid w:val="00EB3489"/>
    <w:rsid w:val="00EB3BB2"/>
    <w:rsid w:val="00EB4DFF"/>
    <w:rsid w:val="00EB52BE"/>
    <w:rsid w:val="00EB531E"/>
    <w:rsid w:val="00EB54AE"/>
    <w:rsid w:val="00EB5580"/>
    <w:rsid w:val="00EB620E"/>
    <w:rsid w:val="00EB65F1"/>
    <w:rsid w:val="00EB78FF"/>
    <w:rsid w:val="00EC0F40"/>
    <w:rsid w:val="00EC25ED"/>
    <w:rsid w:val="00EC25FA"/>
    <w:rsid w:val="00EC2886"/>
    <w:rsid w:val="00EC3F72"/>
    <w:rsid w:val="00EC4DF2"/>
    <w:rsid w:val="00EC6542"/>
    <w:rsid w:val="00EC6F83"/>
    <w:rsid w:val="00ED1015"/>
    <w:rsid w:val="00ED194F"/>
    <w:rsid w:val="00ED27EC"/>
    <w:rsid w:val="00ED3392"/>
    <w:rsid w:val="00ED3910"/>
    <w:rsid w:val="00ED4295"/>
    <w:rsid w:val="00ED4ABA"/>
    <w:rsid w:val="00ED4BA7"/>
    <w:rsid w:val="00ED59CB"/>
    <w:rsid w:val="00ED5ABA"/>
    <w:rsid w:val="00ED5CCE"/>
    <w:rsid w:val="00ED7651"/>
    <w:rsid w:val="00ED7DBF"/>
    <w:rsid w:val="00ED7FA6"/>
    <w:rsid w:val="00EE0B42"/>
    <w:rsid w:val="00EE105C"/>
    <w:rsid w:val="00EE16FB"/>
    <w:rsid w:val="00EE19FD"/>
    <w:rsid w:val="00EE2752"/>
    <w:rsid w:val="00EE323B"/>
    <w:rsid w:val="00EE3AF6"/>
    <w:rsid w:val="00EE49A3"/>
    <w:rsid w:val="00EE5E8D"/>
    <w:rsid w:val="00EE7068"/>
    <w:rsid w:val="00EE7205"/>
    <w:rsid w:val="00EE7572"/>
    <w:rsid w:val="00EF01CB"/>
    <w:rsid w:val="00EF0584"/>
    <w:rsid w:val="00EF08FA"/>
    <w:rsid w:val="00EF14CC"/>
    <w:rsid w:val="00EF1D69"/>
    <w:rsid w:val="00EF29E5"/>
    <w:rsid w:val="00EF3005"/>
    <w:rsid w:val="00EF31BC"/>
    <w:rsid w:val="00EF33D5"/>
    <w:rsid w:val="00EF48BE"/>
    <w:rsid w:val="00EF4CD9"/>
    <w:rsid w:val="00EF6E86"/>
    <w:rsid w:val="00F00962"/>
    <w:rsid w:val="00F00D91"/>
    <w:rsid w:val="00F00FAE"/>
    <w:rsid w:val="00F015AA"/>
    <w:rsid w:val="00F01B95"/>
    <w:rsid w:val="00F02217"/>
    <w:rsid w:val="00F02255"/>
    <w:rsid w:val="00F02B2A"/>
    <w:rsid w:val="00F02EB7"/>
    <w:rsid w:val="00F04877"/>
    <w:rsid w:val="00F04F5D"/>
    <w:rsid w:val="00F0525D"/>
    <w:rsid w:val="00F06D80"/>
    <w:rsid w:val="00F102C5"/>
    <w:rsid w:val="00F10AD5"/>
    <w:rsid w:val="00F10FF7"/>
    <w:rsid w:val="00F1138D"/>
    <w:rsid w:val="00F11B00"/>
    <w:rsid w:val="00F139BD"/>
    <w:rsid w:val="00F13FB1"/>
    <w:rsid w:val="00F14939"/>
    <w:rsid w:val="00F14A9B"/>
    <w:rsid w:val="00F14DAC"/>
    <w:rsid w:val="00F151D4"/>
    <w:rsid w:val="00F15606"/>
    <w:rsid w:val="00F156BB"/>
    <w:rsid w:val="00F167EA"/>
    <w:rsid w:val="00F16CC4"/>
    <w:rsid w:val="00F1758E"/>
    <w:rsid w:val="00F204BF"/>
    <w:rsid w:val="00F21235"/>
    <w:rsid w:val="00F213A7"/>
    <w:rsid w:val="00F214CF"/>
    <w:rsid w:val="00F22161"/>
    <w:rsid w:val="00F2251B"/>
    <w:rsid w:val="00F22952"/>
    <w:rsid w:val="00F23DBD"/>
    <w:rsid w:val="00F23EA6"/>
    <w:rsid w:val="00F2454C"/>
    <w:rsid w:val="00F27481"/>
    <w:rsid w:val="00F30733"/>
    <w:rsid w:val="00F30F6A"/>
    <w:rsid w:val="00F311A3"/>
    <w:rsid w:val="00F317F8"/>
    <w:rsid w:val="00F31838"/>
    <w:rsid w:val="00F31FF2"/>
    <w:rsid w:val="00F32312"/>
    <w:rsid w:val="00F33493"/>
    <w:rsid w:val="00F33821"/>
    <w:rsid w:val="00F35BB0"/>
    <w:rsid w:val="00F35BCD"/>
    <w:rsid w:val="00F368DC"/>
    <w:rsid w:val="00F36ABE"/>
    <w:rsid w:val="00F36B7F"/>
    <w:rsid w:val="00F370CE"/>
    <w:rsid w:val="00F370D3"/>
    <w:rsid w:val="00F37FBB"/>
    <w:rsid w:val="00F4015E"/>
    <w:rsid w:val="00F41168"/>
    <w:rsid w:val="00F41C90"/>
    <w:rsid w:val="00F41FBD"/>
    <w:rsid w:val="00F4291D"/>
    <w:rsid w:val="00F42F2A"/>
    <w:rsid w:val="00F44579"/>
    <w:rsid w:val="00F44626"/>
    <w:rsid w:val="00F450E0"/>
    <w:rsid w:val="00F458C5"/>
    <w:rsid w:val="00F46B44"/>
    <w:rsid w:val="00F470E7"/>
    <w:rsid w:val="00F47A77"/>
    <w:rsid w:val="00F47B55"/>
    <w:rsid w:val="00F51699"/>
    <w:rsid w:val="00F51D4D"/>
    <w:rsid w:val="00F52A42"/>
    <w:rsid w:val="00F53E13"/>
    <w:rsid w:val="00F543F4"/>
    <w:rsid w:val="00F54B84"/>
    <w:rsid w:val="00F54BDE"/>
    <w:rsid w:val="00F56E7D"/>
    <w:rsid w:val="00F606C1"/>
    <w:rsid w:val="00F60B37"/>
    <w:rsid w:val="00F6190A"/>
    <w:rsid w:val="00F63E85"/>
    <w:rsid w:val="00F64215"/>
    <w:rsid w:val="00F643C4"/>
    <w:rsid w:val="00F6520A"/>
    <w:rsid w:val="00F6525B"/>
    <w:rsid w:val="00F672C1"/>
    <w:rsid w:val="00F675BB"/>
    <w:rsid w:val="00F67FED"/>
    <w:rsid w:val="00F70C44"/>
    <w:rsid w:val="00F70CF1"/>
    <w:rsid w:val="00F716D3"/>
    <w:rsid w:val="00F71E69"/>
    <w:rsid w:val="00F73546"/>
    <w:rsid w:val="00F73794"/>
    <w:rsid w:val="00F73E66"/>
    <w:rsid w:val="00F74295"/>
    <w:rsid w:val="00F74563"/>
    <w:rsid w:val="00F74BD6"/>
    <w:rsid w:val="00F758AF"/>
    <w:rsid w:val="00F7648E"/>
    <w:rsid w:val="00F76696"/>
    <w:rsid w:val="00F76A7A"/>
    <w:rsid w:val="00F76CE2"/>
    <w:rsid w:val="00F7724A"/>
    <w:rsid w:val="00F77AA0"/>
    <w:rsid w:val="00F80BAC"/>
    <w:rsid w:val="00F814E9"/>
    <w:rsid w:val="00F81762"/>
    <w:rsid w:val="00F82279"/>
    <w:rsid w:val="00F82579"/>
    <w:rsid w:val="00F82596"/>
    <w:rsid w:val="00F82E4C"/>
    <w:rsid w:val="00F83622"/>
    <w:rsid w:val="00F8411E"/>
    <w:rsid w:val="00F865E6"/>
    <w:rsid w:val="00F87A78"/>
    <w:rsid w:val="00F87BB2"/>
    <w:rsid w:val="00F87F83"/>
    <w:rsid w:val="00F90AB7"/>
    <w:rsid w:val="00F91FC5"/>
    <w:rsid w:val="00F92E36"/>
    <w:rsid w:val="00F9316B"/>
    <w:rsid w:val="00F94135"/>
    <w:rsid w:val="00F941CF"/>
    <w:rsid w:val="00F94669"/>
    <w:rsid w:val="00F9475B"/>
    <w:rsid w:val="00F94B13"/>
    <w:rsid w:val="00F962D0"/>
    <w:rsid w:val="00F96BCB"/>
    <w:rsid w:val="00F97933"/>
    <w:rsid w:val="00F97B3A"/>
    <w:rsid w:val="00F97C4F"/>
    <w:rsid w:val="00FA146D"/>
    <w:rsid w:val="00FA3D05"/>
    <w:rsid w:val="00FA45CC"/>
    <w:rsid w:val="00FA632E"/>
    <w:rsid w:val="00FA65AB"/>
    <w:rsid w:val="00FA6675"/>
    <w:rsid w:val="00FA6A4C"/>
    <w:rsid w:val="00FB0278"/>
    <w:rsid w:val="00FB0DB4"/>
    <w:rsid w:val="00FB3265"/>
    <w:rsid w:val="00FB6171"/>
    <w:rsid w:val="00FB6A23"/>
    <w:rsid w:val="00FB757D"/>
    <w:rsid w:val="00FB7643"/>
    <w:rsid w:val="00FB7CE8"/>
    <w:rsid w:val="00FC0875"/>
    <w:rsid w:val="00FC1143"/>
    <w:rsid w:val="00FC1853"/>
    <w:rsid w:val="00FC1C8C"/>
    <w:rsid w:val="00FC1E52"/>
    <w:rsid w:val="00FC247D"/>
    <w:rsid w:val="00FC335D"/>
    <w:rsid w:val="00FC33BB"/>
    <w:rsid w:val="00FC3744"/>
    <w:rsid w:val="00FC3EC2"/>
    <w:rsid w:val="00FC3F77"/>
    <w:rsid w:val="00FC421B"/>
    <w:rsid w:val="00FC4ABD"/>
    <w:rsid w:val="00FC4D08"/>
    <w:rsid w:val="00FC4E02"/>
    <w:rsid w:val="00FC5166"/>
    <w:rsid w:val="00FC5E12"/>
    <w:rsid w:val="00FC6AD3"/>
    <w:rsid w:val="00FC7D37"/>
    <w:rsid w:val="00FD049F"/>
    <w:rsid w:val="00FD0603"/>
    <w:rsid w:val="00FD0AD7"/>
    <w:rsid w:val="00FD1F5D"/>
    <w:rsid w:val="00FD296B"/>
    <w:rsid w:val="00FD3120"/>
    <w:rsid w:val="00FD3209"/>
    <w:rsid w:val="00FD339C"/>
    <w:rsid w:val="00FD33A3"/>
    <w:rsid w:val="00FD396F"/>
    <w:rsid w:val="00FD426B"/>
    <w:rsid w:val="00FD5095"/>
    <w:rsid w:val="00FD58DA"/>
    <w:rsid w:val="00FE01B1"/>
    <w:rsid w:val="00FE2208"/>
    <w:rsid w:val="00FE24BE"/>
    <w:rsid w:val="00FE29FA"/>
    <w:rsid w:val="00FE340E"/>
    <w:rsid w:val="00FE4023"/>
    <w:rsid w:val="00FE4075"/>
    <w:rsid w:val="00FE43FC"/>
    <w:rsid w:val="00FE4656"/>
    <w:rsid w:val="00FE4AC4"/>
    <w:rsid w:val="00FE4E8A"/>
    <w:rsid w:val="00FE6BF8"/>
    <w:rsid w:val="00FE78E9"/>
    <w:rsid w:val="00FE7A4E"/>
    <w:rsid w:val="00FF38A2"/>
    <w:rsid w:val="00FF3A64"/>
    <w:rsid w:val="00FF40B6"/>
    <w:rsid w:val="00FF493E"/>
    <w:rsid w:val="00FF4A13"/>
    <w:rsid w:val="00FF5539"/>
    <w:rsid w:val="00FF575C"/>
    <w:rsid w:val="00FF5E20"/>
    <w:rsid w:val="00FF61CD"/>
    <w:rsid w:val="00FF64E6"/>
    <w:rsid w:val="00FF65DF"/>
    <w:rsid w:val="00FF6918"/>
    <w:rsid w:val="00FF73B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CB53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7522"/>
    <w:rPr>
      <w:sz w:val="24"/>
      <w:lang w:val="es-ES_tradnl"/>
    </w:rPr>
  </w:style>
  <w:style w:type="paragraph" w:styleId="Heading1">
    <w:name w:val="heading 1"/>
    <w:aliases w:val="Capítulo"/>
    <w:basedOn w:val="Normal"/>
    <w:next w:val="Normal"/>
    <w:qFormat/>
    <w:rsid w:val="008C02CB"/>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8C02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8C02CB"/>
    <w:pPr>
      <w:keepNext/>
      <w:numPr>
        <w:ilvl w:val="2"/>
        <w:numId w:val="3"/>
      </w:numPr>
      <w:spacing w:before="240" w:after="60"/>
      <w:outlineLvl w:val="2"/>
    </w:pPr>
    <w:rPr>
      <w:rFonts w:ascii="Arial" w:hAnsi="Arial"/>
    </w:rPr>
  </w:style>
  <w:style w:type="paragraph" w:styleId="Heading4">
    <w:name w:val="heading 4"/>
    <w:basedOn w:val="Normal"/>
    <w:next w:val="Normal"/>
    <w:qFormat/>
    <w:rsid w:val="008C02CB"/>
    <w:pPr>
      <w:keepNext/>
      <w:numPr>
        <w:ilvl w:val="3"/>
        <w:numId w:val="4"/>
      </w:numPr>
      <w:spacing w:before="240" w:after="60"/>
      <w:outlineLvl w:val="3"/>
    </w:pPr>
    <w:rPr>
      <w:rFonts w:ascii="Arial" w:hAnsi="Arial"/>
      <w:b/>
    </w:rPr>
  </w:style>
  <w:style w:type="paragraph" w:styleId="Heading5">
    <w:name w:val="heading 5"/>
    <w:basedOn w:val="Normal"/>
    <w:next w:val="Normal"/>
    <w:qFormat/>
    <w:rsid w:val="00001BCA"/>
    <w:pPr>
      <w:numPr>
        <w:ilvl w:val="4"/>
        <w:numId w:val="69"/>
      </w:numPr>
      <w:spacing w:before="240" w:after="60"/>
      <w:outlineLvl w:val="4"/>
    </w:pPr>
    <w:rPr>
      <w:sz w:val="22"/>
    </w:rPr>
  </w:style>
  <w:style w:type="paragraph" w:styleId="Heading6">
    <w:name w:val="heading 6"/>
    <w:basedOn w:val="Normal"/>
    <w:next w:val="Normal"/>
    <w:qFormat/>
    <w:rsid w:val="00001BCA"/>
    <w:pPr>
      <w:numPr>
        <w:ilvl w:val="5"/>
        <w:numId w:val="69"/>
      </w:numPr>
      <w:spacing w:before="240" w:after="60"/>
      <w:outlineLvl w:val="5"/>
    </w:pPr>
    <w:rPr>
      <w:i/>
      <w:sz w:val="22"/>
    </w:rPr>
  </w:style>
  <w:style w:type="paragraph" w:styleId="Heading7">
    <w:name w:val="heading 7"/>
    <w:basedOn w:val="Normal"/>
    <w:next w:val="Normal"/>
    <w:qFormat/>
    <w:rsid w:val="00001BCA"/>
    <w:pPr>
      <w:numPr>
        <w:ilvl w:val="6"/>
        <w:numId w:val="69"/>
      </w:numPr>
      <w:spacing w:before="240" w:after="60"/>
      <w:outlineLvl w:val="6"/>
    </w:pPr>
    <w:rPr>
      <w:rFonts w:ascii="Arial" w:hAnsi="Arial"/>
    </w:rPr>
  </w:style>
  <w:style w:type="paragraph" w:styleId="Heading8">
    <w:name w:val="heading 8"/>
    <w:basedOn w:val="Normal"/>
    <w:next w:val="Normal"/>
    <w:qFormat/>
    <w:rsid w:val="00001BCA"/>
    <w:pPr>
      <w:numPr>
        <w:ilvl w:val="7"/>
        <w:numId w:val="69"/>
      </w:numPr>
      <w:spacing w:before="240" w:after="60"/>
      <w:outlineLvl w:val="7"/>
    </w:pPr>
    <w:rPr>
      <w:rFonts w:ascii="Arial" w:hAnsi="Arial"/>
      <w:i/>
    </w:rPr>
  </w:style>
  <w:style w:type="paragraph" w:styleId="Heading9">
    <w:name w:val="heading 9"/>
    <w:basedOn w:val="Normal"/>
    <w:next w:val="Normal"/>
    <w:qFormat/>
    <w:rsid w:val="00001BCA"/>
    <w:pPr>
      <w:numPr>
        <w:ilvl w:val="8"/>
        <w:numId w:val="6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8C02CB"/>
    <w:rPr>
      <w:caps/>
    </w:rPr>
  </w:style>
  <w:style w:type="paragraph" w:customStyle="1" w:styleId="ABBR">
    <w:name w:val="ABBR"/>
    <w:basedOn w:val="Annex"/>
    <w:rsid w:val="008C02CB"/>
  </w:style>
  <w:style w:type="paragraph" w:customStyle="1" w:styleId="AbbrDesc">
    <w:name w:val="AbbrDesc"/>
    <w:basedOn w:val="Normal"/>
    <w:rsid w:val="00E354CE"/>
    <w:pPr>
      <w:tabs>
        <w:tab w:val="left" w:pos="3060"/>
      </w:tabs>
      <w:jc w:val="both"/>
    </w:pPr>
  </w:style>
  <w:style w:type="paragraph" w:styleId="BodyText">
    <w:name w:val="Body Text"/>
    <w:basedOn w:val="Normal"/>
    <w:rsid w:val="00E354CE"/>
    <w:pPr>
      <w:tabs>
        <w:tab w:val="left" w:pos="3060"/>
      </w:tabs>
      <w:jc w:val="center"/>
    </w:pPr>
  </w:style>
  <w:style w:type="paragraph" w:styleId="BodyTextIndent">
    <w:name w:val="Body Text Indent"/>
    <w:basedOn w:val="Normal"/>
    <w:rsid w:val="008C02CB"/>
    <w:pPr>
      <w:spacing w:after="120"/>
      <w:ind w:left="360"/>
    </w:pPr>
  </w:style>
  <w:style w:type="paragraph" w:styleId="BodyTextIndent3">
    <w:name w:val="Body Text Indent 3"/>
    <w:basedOn w:val="Normal"/>
    <w:rsid w:val="008C02CB"/>
    <w:pPr>
      <w:spacing w:after="120"/>
      <w:ind w:left="360"/>
    </w:pPr>
  </w:style>
  <w:style w:type="paragraph" w:customStyle="1" w:styleId="Chapter">
    <w:name w:val="Chapter"/>
    <w:basedOn w:val="Normal"/>
    <w:next w:val="Normal"/>
    <w:rsid w:val="00001BCA"/>
    <w:pPr>
      <w:keepNext/>
      <w:numPr>
        <w:numId w:val="68"/>
      </w:numPr>
      <w:tabs>
        <w:tab w:val="clear" w:pos="2088"/>
        <w:tab w:val="num" w:pos="648"/>
        <w:tab w:val="left" w:pos="1440"/>
      </w:tabs>
      <w:spacing w:before="240" w:after="240"/>
      <w:ind w:left="0"/>
      <w:jc w:val="center"/>
    </w:pPr>
    <w:rPr>
      <w:b/>
      <w:smallCaps/>
      <w:lang w:val="es-ES"/>
    </w:rPr>
  </w:style>
  <w:style w:type="paragraph" w:styleId="DocumentMap">
    <w:name w:val="Document Map"/>
    <w:basedOn w:val="Normal"/>
    <w:semiHidden/>
    <w:rsid w:val="008C02CB"/>
    <w:pPr>
      <w:shd w:val="clear" w:color="auto" w:fill="000080"/>
    </w:pPr>
    <w:rPr>
      <w:rFonts w:ascii="Tahoma" w:hAnsi="Tahoma"/>
    </w:rPr>
  </w:style>
  <w:style w:type="paragraph" w:customStyle="1" w:styleId="FirstHeading">
    <w:name w:val="FirstHeading"/>
    <w:basedOn w:val="Normal"/>
    <w:next w:val="Normal"/>
    <w:link w:val="FirstHeadingChar"/>
    <w:rsid w:val="00001BCA"/>
    <w:pPr>
      <w:keepNext/>
      <w:numPr>
        <w:numId w:val="69"/>
      </w:numPr>
      <w:tabs>
        <w:tab w:val="left" w:pos="0"/>
        <w:tab w:val="left" w:pos="86"/>
      </w:tabs>
      <w:spacing w:before="120" w:after="120"/>
      <w:ind w:left="720"/>
    </w:pPr>
    <w:rPr>
      <w:b/>
      <w:lang w:val="es-ES"/>
    </w:rPr>
  </w:style>
  <w:style w:type="paragraph" w:styleId="Footer">
    <w:name w:val="footer"/>
    <w:basedOn w:val="Normal"/>
    <w:link w:val="FooterChar"/>
    <w:uiPriority w:val="99"/>
    <w:rsid w:val="008C02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
    <w:basedOn w:val="Normal"/>
    <w:link w:val="FootnoteTextChar"/>
    <w:rsid w:val="008C02CB"/>
    <w:pPr>
      <w:keepNext/>
      <w:keepLines/>
      <w:spacing w:after="120"/>
      <w:ind w:left="288" w:hanging="288"/>
      <w:jc w:val="both"/>
    </w:pPr>
    <w:rPr>
      <w:spacing w:val="-3"/>
      <w:sz w:val="20"/>
    </w:rPr>
  </w:style>
  <w:style w:type="paragraph" w:styleId="Header">
    <w:name w:val="header"/>
    <w:basedOn w:val="Normal"/>
    <w:link w:val="HeaderChar"/>
    <w:uiPriority w:val="99"/>
    <w:rsid w:val="008C02CB"/>
    <w:pPr>
      <w:tabs>
        <w:tab w:val="center" w:pos="4320"/>
        <w:tab w:val="right" w:pos="8640"/>
      </w:tabs>
    </w:pPr>
  </w:style>
  <w:style w:type="character" w:styleId="LineNumber">
    <w:name w:val="line number"/>
    <w:basedOn w:val="DefaultParagraphFont"/>
    <w:rsid w:val="008C02CB"/>
  </w:style>
  <w:style w:type="paragraph" w:customStyle="1" w:styleId="MasterSourceText">
    <w:name w:val="Master_SourceText"/>
    <w:basedOn w:val="Normal"/>
    <w:rsid w:val="00E354CE"/>
    <w:pPr>
      <w:tabs>
        <w:tab w:val="left" w:pos="1440"/>
      </w:tabs>
      <w:ind w:left="1440" w:hanging="720"/>
      <w:jc w:val="both"/>
    </w:pPr>
    <w:rPr>
      <w:sz w:val="20"/>
    </w:rPr>
  </w:style>
  <w:style w:type="paragraph" w:customStyle="1" w:styleId="Newpage">
    <w:name w:val="Newpage"/>
    <w:basedOn w:val="Chapter"/>
    <w:rsid w:val="00E354CE"/>
    <w:pPr>
      <w:numPr>
        <w:numId w:val="0"/>
      </w:numPr>
      <w:tabs>
        <w:tab w:val="clear" w:pos="1440"/>
        <w:tab w:val="left" w:pos="3060"/>
      </w:tabs>
      <w:spacing w:after="0"/>
    </w:pPr>
  </w:style>
  <w:style w:type="character" w:styleId="PageNumber">
    <w:name w:val="page number"/>
    <w:basedOn w:val="DefaultParagraphFont"/>
    <w:rsid w:val="008C02CB"/>
  </w:style>
  <w:style w:type="paragraph" w:customStyle="1" w:styleId="Paragraph">
    <w:name w:val="Paragraph"/>
    <w:aliases w:val="paragraph,p,PARAGRAPH,PG,pa,at"/>
    <w:basedOn w:val="BodyTextIndent"/>
    <w:link w:val="ParagraphChar"/>
    <w:rsid w:val="00001BCA"/>
    <w:pPr>
      <w:numPr>
        <w:ilvl w:val="1"/>
        <w:numId w:val="68"/>
      </w:numPr>
      <w:tabs>
        <w:tab w:val="clear" w:pos="2736"/>
        <w:tab w:val="num" w:pos="720"/>
      </w:tabs>
      <w:spacing w:before="120"/>
      <w:ind w:left="720" w:hanging="720"/>
      <w:jc w:val="both"/>
      <w:outlineLvl w:val="1"/>
    </w:pPr>
    <w:rPr>
      <w:lang w:val="es-ES"/>
    </w:rPr>
  </w:style>
  <w:style w:type="paragraph" w:customStyle="1" w:styleId="RegheadTab">
    <w:name w:val="RegheadTab"/>
    <w:basedOn w:val="FirstHeading"/>
    <w:rsid w:val="00E354CE"/>
    <w:pPr>
      <w:numPr>
        <w:numId w:val="0"/>
      </w:numPr>
      <w:tabs>
        <w:tab w:val="num" w:pos="504"/>
      </w:tabs>
      <w:spacing w:after="0"/>
      <w:ind w:left="504" w:hanging="504"/>
      <w:jc w:val="center"/>
    </w:pPr>
  </w:style>
  <w:style w:type="paragraph" w:customStyle="1" w:styleId="SecHeading">
    <w:name w:val="SecHeading"/>
    <w:basedOn w:val="Normal"/>
    <w:next w:val="Paragraph"/>
    <w:rsid w:val="00001BCA"/>
    <w:pPr>
      <w:keepNext/>
      <w:numPr>
        <w:ilvl w:val="1"/>
        <w:numId w:val="69"/>
      </w:numPr>
      <w:tabs>
        <w:tab w:val="clear" w:pos="5400"/>
        <w:tab w:val="num" w:pos="1296"/>
      </w:tabs>
      <w:spacing w:before="120" w:after="120"/>
      <w:ind w:left="1296"/>
    </w:pPr>
    <w:rPr>
      <w:b/>
    </w:rPr>
  </w:style>
  <w:style w:type="paragraph" w:customStyle="1" w:styleId="SubHeading1">
    <w:name w:val="SubHeading1"/>
    <w:basedOn w:val="SecHeading"/>
    <w:rsid w:val="00001BCA"/>
    <w:pPr>
      <w:numPr>
        <w:ilvl w:val="2"/>
      </w:numPr>
      <w:tabs>
        <w:tab w:val="clear" w:pos="5976"/>
        <w:tab w:val="num" w:pos="1872"/>
      </w:tabs>
      <w:ind w:left="1872"/>
    </w:pPr>
  </w:style>
  <w:style w:type="paragraph" w:customStyle="1" w:styleId="Subheading2">
    <w:name w:val="Subheading2"/>
    <w:basedOn w:val="SecHeading"/>
    <w:rsid w:val="00001BCA"/>
    <w:pPr>
      <w:numPr>
        <w:ilvl w:val="3"/>
      </w:numPr>
      <w:tabs>
        <w:tab w:val="clear" w:pos="6480"/>
        <w:tab w:val="num" w:pos="2376"/>
      </w:tabs>
      <w:ind w:left="2376"/>
    </w:pPr>
  </w:style>
  <w:style w:type="paragraph" w:customStyle="1" w:styleId="subpar">
    <w:name w:val="subpar"/>
    <w:basedOn w:val="BodyTextIndent3"/>
    <w:rsid w:val="00001BCA"/>
    <w:pPr>
      <w:numPr>
        <w:ilvl w:val="2"/>
        <w:numId w:val="68"/>
      </w:numPr>
      <w:tabs>
        <w:tab w:val="clear" w:pos="2592"/>
        <w:tab w:val="num" w:pos="1152"/>
      </w:tabs>
      <w:spacing w:before="120"/>
      <w:ind w:left="1152"/>
      <w:jc w:val="both"/>
      <w:outlineLvl w:val="2"/>
    </w:pPr>
  </w:style>
  <w:style w:type="paragraph" w:customStyle="1" w:styleId="SubSubPar">
    <w:name w:val="SubSubPar"/>
    <w:basedOn w:val="subpar"/>
    <w:rsid w:val="00001BCA"/>
    <w:pPr>
      <w:numPr>
        <w:ilvl w:val="3"/>
      </w:numPr>
      <w:tabs>
        <w:tab w:val="clear" w:pos="3024"/>
        <w:tab w:val="left" w:pos="0"/>
        <w:tab w:val="num" w:pos="1296"/>
      </w:tabs>
      <w:ind w:left="1296"/>
    </w:pPr>
  </w:style>
  <w:style w:type="paragraph" w:styleId="Title">
    <w:name w:val="Title"/>
    <w:basedOn w:val="Normal"/>
    <w:link w:val="TitleChar"/>
    <w:qFormat/>
    <w:rsid w:val="00E354CE"/>
    <w:pPr>
      <w:tabs>
        <w:tab w:val="left" w:pos="1440"/>
        <w:tab w:val="left" w:pos="3060"/>
      </w:tabs>
      <w:jc w:val="center"/>
      <w:outlineLvl w:val="0"/>
    </w:pPr>
  </w:style>
  <w:style w:type="paragraph" w:styleId="TOC1">
    <w:name w:val="toc 1"/>
    <w:basedOn w:val="Normal"/>
    <w:next w:val="Normal"/>
    <w:autoRedefine/>
    <w:uiPriority w:val="39"/>
    <w:rsid w:val="00001BCA"/>
    <w:pPr>
      <w:tabs>
        <w:tab w:val="left" w:pos="540"/>
        <w:tab w:val="right" w:leader="dot" w:pos="8741"/>
      </w:tabs>
      <w:spacing w:before="240" w:after="240"/>
      <w:ind w:left="547" w:hanging="547"/>
    </w:pPr>
    <w:rPr>
      <w:rFonts w:ascii="Arial" w:hAnsi="Arial" w:cs="Arial"/>
      <w:b/>
      <w:smallCaps/>
      <w:noProof/>
    </w:rPr>
  </w:style>
  <w:style w:type="paragraph" w:styleId="TOC2">
    <w:name w:val="toc 2"/>
    <w:basedOn w:val="Normal"/>
    <w:next w:val="Normal"/>
    <w:autoRedefine/>
    <w:uiPriority w:val="39"/>
    <w:rsid w:val="000D0274"/>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354CE"/>
    <w:pPr>
      <w:tabs>
        <w:tab w:val="left" w:pos="1728"/>
        <w:tab w:val="right" w:leader="dot" w:pos="8741"/>
      </w:tabs>
      <w:ind w:left="1714" w:hanging="562"/>
    </w:pPr>
    <w:rPr>
      <w:lang w:val="es-ES"/>
    </w:rPr>
  </w:style>
  <w:style w:type="paragraph" w:styleId="TOC4">
    <w:name w:val="toc 4"/>
    <w:basedOn w:val="Normal"/>
    <w:next w:val="Normal"/>
    <w:autoRedefine/>
    <w:semiHidden/>
    <w:rsid w:val="008C02CB"/>
    <w:pPr>
      <w:ind w:left="400"/>
    </w:pPr>
  </w:style>
  <w:style w:type="paragraph" w:styleId="TOC5">
    <w:name w:val="toc 5"/>
    <w:basedOn w:val="Normal"/>
    <w:next w:val="Normal"/>
    <w:autoRedefine/>
    <w:semiHidden/>
    <w:rsid w:val="008C02CB"/>
    <w:pPr>
      <w:ind w:left="600"/>
    </w:pPr>
  </w:style>
  <w:style w:type="paragraph" w:styleId="TOC6">
    <w:name w:val="toc 6"/>
    <w:basedOn w:val="Normal"/>
    <w:next w:val="Normal"/>
    <w:autoRedefine/>
    <w:semiHidden/>
    <w:rsid w:val="008C02CB"/>
    <w:pPr>
      <w:ind w:left="800"/>
    </w:pPr>
  </w:style>
  <w:style w:type="paragraph" w:styleId="TOC7">
    <w:name w:val="toc 7"/>
    <w:basedOn w:val="Normal"/>
    <w:next w:val="Normal"/>
    <w:autoRedefine/>
    <w:semiHidden/>
    <w:rsid w:val="008C02CB"/>
    <w:pPr>
      <w:ind w:left="1000"/>
    </w:pPr>
  </w:style>
  <w:style w:type="paragraph" w:styleId="TOC8">
    <w:name w:val="toc 8"/>
    <w:basedOn w:val="Normal"/>
    <w:next w:val="Normal"/>
    <w:autoRedefine/>
    <w:semiHidden/>
    <w:rsid w:val="008C02CB"/>
    <w:pPr>
      <w:ind w:left="1200"/>
    </w:pPr>
  </w:style>
  <w:style w:type="paragraph" w:styleId="TOC9">
    <w:name w:val="toc 9"/>
    <w:basedOn w:val="Normal"/>
    <w:next w:val="Normal"/>
    <w:autoRedefine/>
    <w:semiHidden/>
    <w:rsid w:val="008C02CB"/>
    <w:pPr>
      <w:ind w:left="1400"/>
    </w:pPr>
  </w:style>
  <w:style w:type="character" w:styleId="Hyperlink">
    <w:name w:val="Hyperlink"/>
    <w:uiPriority w:val="99"/>
    <w:rsid w:val="008C02CB"/>
    <w:rPr>
      <w:color w:val="0000FF"/>
      <w:u w:val="single"/>
    </w:rPr>
  </w:style>
  <w:style w:type="character" w:styleId="FollowedHyperlink">
    <w:name w:val="FollowedHyperlink"/>
    <w:rsid w:val="008C02CB"/>
    <w:rPr>
      <w:color w:val="800080"/>
      <w:u w:val="single"/>
    </w:rPr>
  </w:style>
  <w:style w:type="paragraph" w:styleId="BodyTextIndent2">
    <w:name w:val="Body Text Indent 2"/>
    <w:basedOn w:val="Normal"/>
    <w:rsid w:val="008C02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
    <w:rsid w:val="008C02CB"/>
    <w:rPr>
      <w:vertAlign w:val="superscript"/>
    </w:rPr>
  </w:style>
  <w:style w:type="paragraph" w:styleId="Subtitle">
    <w:name w:val="Subtitle"/>
    <w:basedOn w:val="Normal"/>
    <w:qFormat/>
    <w:rsid w:val="008C02CB"/>
    <w:pPr>
      <w:jc w:val="center"/>
    </w:pPr>
    <w:rPr>
      <w:b/>
      <w:bCs/>
      <w:sz w:val="28"/>
      <w:szCs w:val="24"/>
      <w:lang w:val="en-US"/>
    </w:rPr>
  </w:style>
  <w:style w:type="paragraph" w:customStyle="1" w:styleId="Textodebalo1">
    <w:name w:val="Texto de balão1"/>
    <w:basedOn w:val="Normal"/>
    <w:rsid w:val="008C02CB"/>
    <w:pPr>
      <w:suppressAutoHyphens/>
    </w:pPr>
    <w:rPr>
      <w:rFonts w:ascii="Tahoma" w:hAnsi="Tahoma" w:cs="Tahoma"/>
      <w:sz w:val="16"/>
      <w:szCs w:val="16"/>
      <w:lang w:val="en-US" w:eastAsia="ar-SA"/>
    </w:rPr>
  </w:style>
  <w:style w:type="paragraph" w:styleId="BodyText2">
    <w:name w:val="Body Text 2"/>
    <w:basedOn w:val="Normal"/>
    <w:rsid w:val="008C02CB"/>
    <w:pPr>
      <w:jc w:val="both"/>
    </w:pPr>
    <w:rPr>
      <w:sz w:val="19"/>
      <w:lang w:val="es-ES"/>
    </w:rPr>
  </w:style>
  <w:style w:type="character" w:styleId="Emphasis">
    <w:name w:val="Emphasis"/>
    <w:uiPriority w:val="20"/>
    <w:qFormat/>
    <w:rsid w:val="008C02CB"/>
    <w:rPr>
      <w:i/>
      <w:iCs/>
    </w:rPr>
  </w:style>
  <w:style w:type="paragraph" w:styleId="NormalWeb">
    <w:name w:val="Normal (Web)"/>
    <w:basedOn w:val="Normal"/>
    <w:rsid w:val="008C02CB"/>
    <w:pPr>
      <w:spacing w:before="100" w:beforeAutospacing="1" w:after="100" w:afterAutospacing="1"/>
    </w:pPr>
    <w:rPr>
      <w:szCs w:val="24"/>
      <w:lang w:val="en-US"/>
    </w:rPr>
  </w:style>
  <w:style w:type="character" w:styleId="Strong">
    <w:name w:val="Strong"/>
    <w:uiPriority w:val="22"/>
    <w:qFormat/>
    <w:rsid w:val="008C02CB"/>
    <w:rPr>
      <w:b/>
      <w:bCs/>
    </w:rPr>
  </w:style>
  <w:style w:type="paragraph" w:styleId="BalloonText">
    <w:name w:val="Balloon Text"/>
    <w:basedOn w:val="Normal"/>
    <w:semiHidden/>
    <w:rsid w:val="008C02CB"/>
    <w:rPr>
      <w:rFonts w:ascii="Tahoma" w:hAnsi="Tahoma" w:cs="Tahoma"/>
      <w:sz w:val="16"/>
      <w:szCs w:val="16"/>
    </w:rPr>
  </w:style>
  <w:style w:type="table" w:styleId="TableGrid">
    <w:name w:val="Table Grid"/>
    <w:basedOn w:val="TableNormal"/>
    <w:uiPriority w:val="59"/>
    <w:rsid w:val="004722E6"/>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7A2E78"/>
    <w:rPr>
      <w:sz w:val="24"/>
      <w:lang w:eastAsia="en-US"/>
    </w:rPr>
  </w:style>
  <w:style w:type="character" w:customStyle="1" w:styleId="ParagraphChar">
    <w:name w:val="Paragraph Char"/>
    <w:link w:val="Paragraph"/>
    <w:rsid w:val="00001BCA"/>
    <w:rPr>
      <w:sz w:val="24"/>
      <w:lang w:val="es-ES"/>
    </w:rPr>
  </w:style>
  <w:style w:type="paragraph" w:customStyle="1" w:styleId="Prrafodelista">
    <w:name w:val="Párrafo de lista"/>
    <w:basedOn w:val="Normal"/>
    <w:uiPriority w:val="34"/>
    <w:qFormat/>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link w:val="FootnoteText"/>
    <w:rsid w:val="007E2F13"/>
    <w:rPr>
      <w:spacing w:val="-3"/>
      <w:lang w:val="es-ES_tradnl"/>
    </w:rPr>
  </w:style>
  <w:style w:type="character" w:customStyle="1" w:styleId="bonze">
    <w:name w:val="b onze"/>
    <w:rsid w:val="002E794B"/>
    <w:rPr>
      <w:rFonts w:ascii="Arial" w:hAnsi="Arial" w:cs="Arial" w:hint="default"/>
    </w:rPr>
  </w:style>
  <w:style w:type="character" w:styleId="CommentReference">
    <w:name w:val="annotation reference"/>
    <w:rsid w:val="00052992"/>
    <w:rPr>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contextualSpacing/>
    </w:pPr>
    <w:rPr>
      <w:rFonts w:ascii="Calibri" w:eastAsia="Calibri"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uiPriority w:val="99"/>
    <w:semiHidden/>
    <w:rsid w:val="00C0147C"/>
    <w:rPr>
      <w:sz w:val="24"/>
      <w:lang w:val="es-ES_tradnl"/>
    </w:rPr>
  </w:style>
  <w:style w:type="character" w:customStyle="1" w:styleId="ParagraphCar">
    <w:name w:val="Paragraph Car"/>
    <w:rsid w:val="00935878"/>
    <w:rPr>
      <w:rFonts w:eastAsia="Calibri"/>
      <w:sz w:val="24"/>
      <w:lang w:val="en-US" w:eastAsia="en-US" w:bidi="ar-SA"/>
    </w:rPr>
  </w:style>
  <w:style w:type="character" w:customStyle="1" w:styleId="FirstHeadingChar">
    <w:name w:val="FirstHeading Char"/>
    <w:link w:val="FirstHeading"/>
    <w:locked/>
    <w:rsid w:val="00001BCA"/>
    <w:rPr>
      <w:b/>
      <w:sz w:val="24"/>
      <w:lang w:val="es-ES"/>
    </w:rPr>
  </w:style>
  <w:style w:type="character" w:customStyle="1" w:styleId="ParagraphCar1">
    <w:name w:val="Paragraph Car1"/>
    <w:rsid w:val="001F3FE0"/>
    <w:rPr>
      <w:rFonts w:ascii="Times New Roman" w:eastAsia="Times New Roman" w:hAnsi="Times New Roman" w:cs="Times New Roman"/>
      <w:sz w:val="24"/>
      <w:szCs w:val="20"/>
      <w:lang w:val="es-ES"/>
    </w:rPr>
  </w:style>
  <w:style w:type="table" w:customStyle="1" w:styleId="TableGrid1">
    <w:name w:val="Table Grid1"/>
    <w:basedOn w:val="TableNormal"/>
    <w:next w:val="TableGrid"/>
    <w:uiPriority w:val="59"/>
    <w:rsid w:val="00CE5EE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EE16FB"/>
    <w:rPr>
      <w:sz w:val="24"/>
      <w:lang w:val="es-ES_tradnl"/>
    </w:rPr>
  </w:style>
  <w:style w:type="character" w:customStyle="1" w:styleId="TitleChar">
    <w:name w:val="Title Char"/>
    <w:link w:val="Title"/>
    <w:rsid w:val="00EE16FB"/>
    <w:rPr>
      <w:sz w:val="24"/>
      <w:lang w:val="es-ES_tradnl"/>
    </w:rPr>
  </w:style>
  <w:style w:type="paragraph" w:customStyle="1" w:styleId="Regtable">
    <w:name w:val="Regtable"/>
    <w:basedOn w:val="Normal"/>
    <w:link w:val="RegtableChar"/>
    <w:rsid w:val="00001BCA"/>
    <w:pPr>
      <w:keepLines/>
      <w:framePr w:wrap="around" w:vAnchor="text" w:hAnchor="text" w:y="1"/>
      <w:spacing w:before="20" w:after="20"/>
    </w:pPr>
    <w:rPr>
      <w:sz w:val="20"/>
    </w:rPr>
  </w:style>
  <w:style w:type="character" w:customStyle="1" w:styleId="RegtableChar">
    <w:name w:val="Regtable Char"/>
    <w:basedOn w:val="DefaultParagraphFont"/>
    <w:link w:val="Regtable"/>
    <w:rsid w:val="00001BCA"/>
    <w:rPr>
      <w:lang w:val="es-ES_tradnl"/>
    </w:rPr>
  </w:style>
  <w:style w:type="paragraph" w:customStyle="1" w:styleId="TableTitle">
    <w:name w:val="TableTitle"/>
    <w:basedOn w:val="Normal"/>
    <w:link w:val="TableTitleChar"/>
    <w:rsid w:val="00001BCA"/>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01BCA"/>
    <w:rPr>
      <w:rFonts w:ascii="Times New Roman Bold" w:hAnsi="Times New Roman Bold"/>
      <w:b/>
      <w:spacing w:val="-3"/>
      <w:lang w:val="es-ES_tradnl"/>
    </w:rPr>
  </w:style>
  <w:style w:type="character" w:customStyle="1" w:styleId="CommentTextChar">
    <w:name w:val="Comment Text Char"/>
    <w:basedOn w:val="DefaultParagraphFont"/>
    <w:link w:val="CommentText"/>
    <w:rsid w:val="001D01EF"/>
    <w:rPr>
      <w:lang w:val="es-ES_tradnl"/>
    </w:rPr>
  </w:style>
  <w:style w:type="paragraph" w:styleId="EndnoteText">
    <w:name w:val="endnote text"/>
    <w:basedOn w:val="Normal"/>
    <w:link w:val="EndnoteTextChar"/>
    <w:rsid w:val="005D0FD1"/>
    <w:rPr>
      <w:sz w:val="20"/>
    </w:rPr>
  </w:style>
  <w:style w:type="character" w:customStyle="1" w:styleId="EndnoteTextChar">
    <w:name w:val="Endnote Text Char"/>
    <w:basedOn w:val="DefaultParagraphFont"/>
    <w:link w:val="EndnoteText"/>
    <w:rsid w:val="005D0FD1"/>
    <w:rPr>
      <w:lang w:val="es-ES_tradnl"/>
    </w:rPr>
  </w:style>
  <w:style w:type="character" w:styleId="EndnoteReference">
    <w:name w:val="endnote reference"/>
    <w:basedOn w:val="DefaultParagraphFont"/>
    <w:rsid w:val="005D0F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7522"/>
    <w:rPr>
      <w:sz w:val="24"/>
      <w:lang w:val="es-ES_tradnl"/>
    </w:rPr>
  </w:style>
  <w:style w:type="paragraph" w:styleId="Heading1">
    <w:name w:val="heading 1"/>
    <w:aliases w:val="Capítulo"/>
    <w:basedOn w:val="Normal"/>
    <w:next w:val="Normal"/>
    <w:qFormat/>
    <w:rsid w:val="008C02CB"/>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8C02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8C02CB"/>
    <w:pPr>
      <w:keepNext/>
      <w:numPr>
        <w:ilvl w:val="2"/>
        <w:numId w:val="3"/>
      </w:numPr>
      <w:spacing w:before="240" w:after="60"/>
      <w:outlineLvl w:val="2"/>
    </w:pPr>
    <w:rPr>
      <w:rFonts w:ascii="Arial" w:hAnsi="Arial"/>
    </w:rPr>
  </w:style>
  <w:style w:type="paragraph" w:styleId="Heading4">
    <w:name w:val="heading 4"/>
    <w:basedOn w:val="Normal"/>
    <w:next w:val="Normal"/>
    <w:qFormat/>
    <w:rsid w:val="008C02CB"/>
    <w:pPr>
      <w:keepNext/>
      <w:numPr>
        <w:ilvl w:val="3"/>
        <w:numId w:val="4"/>
      </w:numPr>
      <w:spacing w:before="240" w:after="60"/>
      <w:outlineLvl w:val="3"/>
    </w:pPr>
    <w:rPr>
      <w:rFonts w:ascii="Arial" w:hAnsi="Arial"/>
      <w:b/>
    </w:rPr>
  </w:style>
  <w:style w:type="paragraph" w:styleId="Heading5">
    <w:name w:val="heading 5"/>
    <w:basedOn w:val="Normal"/>
    <w:next w:val="Normal"/>
    <w:qFormat/>
    <w:rsid w:val="00001BCA"/>
    <w:pPr>
      <w:numPr>
        <w:ilvl w:val="4"/>
        <w:numId w:val="69"/>
      </w:numPr>
      <w:spacing w:before="240" w:after="60"/>
      <w:outlineLvl w:val="4"/>
    </w:pPr>
    <w:rPr>
      <w:sz w:val="22"/>
    </w:rPr>
  </w:style>
  <w:style w:type="paragraph" w:styleId="Heading6">
    <w:name w:val="heading 6"/>
    <w:basedOn w:val="Normal"/>
    <w:next w:val="Normal"/>
    <w:qFormat/>
    <w:rsid w:val="00001BCA"/>
    <w:pPr>
      <w:numPr>
        <w:ilvl w:val="5"/>
        <w:numId w:val="69"/>
      </w:numPr>
      <w:spacing w:before="240" w:after="60"/>
      <w:outlineLvl w:val="5"/>
    </w:pPr>
    <w:rPr>
      <w:i/>
      <w:sz w:val="22"/>
    </w:rPr>
  </w:style>
  <w:style w:type="paragraph" w:styleId="Heading7">
    <w:name w:val="heading 7"/>
    <w:basedOn w:val="Normal"/>
    <w:next w:val="Normal"/>
    <w:qFormat/>
    <w:rsid w:val="00001BCA"/>
    <w:pPr>
      <w:numPr>
        <w:ilvl w:val="6"/>
        <w:numId w:val="69"/>
      </w:numPr>
      <w:spacing w:before="240" w:after="60"/>
      <w:outlineLvl w:val="6"/>
    </w:pPr>
    <w:rPr>
      <w:rFonts w:ascii="Arial" w:hAnsi="Arial"/>
    </w:rPr>
  </w:style>
  <w:style w:type="paragraph" w:styleId="Heading8">
    <w:name w:val="heading 8"/>
    <w:basedOn w:val="Normal"/>
    <w:next w:val="Normal"/>
    <w:qFormat/>
    <w:rsid w:val="00001BCA"/>
    <w:pPr>
      <w:numPr>
        <w:ilvl w:val="7"/>
        <w:numId w:val="69"/>
      </w:numPr>
      <w:spacing w:before="240" w:after="60"/>
      <w:outlineLvl w:val="7"/>
    </w:pPr>
    <w:rPr>
      <w:rFonts w:ascii="Arial" w:hAnsi="Arial"/>
      <w:i/>
    </w:rPr>
  </w:style>
  <w:style w:type="paragraph" w:styleId="Heading9">
    <w:name w:val="heading 9"/>
    <w:basedOn w:val="Normal"/>
    <w:next w:val="Normal"/>
    <w:qFormat/>
    <w:rsid w:val="00001BCA"/>
    <w:pPr>
      <w:numPr>
        <w:ilvl w:val="8"/>
        <w:numId w:val="6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8C02CB"/>
    <w:rPr>
      <w:caps/>
    </w:rPr>
  </w:style>
  <w:style w:type="paragraph" w:customStyle="1" w:styleId="ABBR">
    <w:name w:val="ABBR"/>
    <w:basedOn w:val="Annex"/>
    <w:rsid w:val="008C02CB"/>
  </w:style>
  <w:style w:type="paragraph" w:customStyle="1" w:styleId="AbbrDesc">
    <w:name w:val="AbbrDesc"/>
    <w:basedOn w:val="Normal"/>
    <w:rsid w:val="00E354CE"/>
    <w:pPr>
      <w:tabs>
        <w:tab w:val="left" w:pos="3060"/>
      </w:tabs>
      <w:jc w:val="both"/>
    </w:pPr>
  </w:style>
  <w:style w:type="paragraph" w:styleId="BodyText">
    <w:name w:val="Body Text"/>
    <w:basedOn w:val="Normal"/>
    <w:rsid w:val="00E354CE"/>
    <w:pPr>
      <w:tabs>
        <w:tab w:val="left" w:pos="3060"/>
      </w:tabs>
      <w:jc w:val="center"/>
    </w:pPr>
  </w:style>
  <w:style w:type="paragraph" w:styleId="BodyTextIndent">
    <w:name w:val="Body Text Indent"/>
    <w:basedOn w:val="Normal"/>
    <w:rsid w:val="008C02CB"/>
    <w:pPr>
      <w:spacing w:after="120"/>
      <w:ind w:left="360"/>
    </w:pPr>
  </w:style>
  <w:style w:type="paragraph" w:styleId="BodyTextIndent3">
    <w:name w:val="Body Text Indent 3"/>
    <w:basedOn w:val="Normal"/>
    <w:rsid w:val="008C02CB"/>
    <w:pPr>
      <w:spacing w:after="120"/>
      <w:ind w:left="360"/>
    </w:pPr>
  </w:style>
  <w:style w:type="paragraph" w:customStyle="1" w:styleId="Chapter">
    <w:name w:val="Chapter"/>
    <w:basedOn w:val="Normal"/>
    <w:next w:val="Normal"/>
    <w:rsid w:val="00001BCA"/>
    <w:pPr>
      <w:keepNext/>
      <w:numPr>
        <w:numId w:val="68"/>
      </w:numPr>
      <w:tabs>
        <w:tab w:val="clear" w:pos="2088"/>
        <w:tab w:val="num" w:pos="648"/>
        <w:tab w:val="left" w:pos="1440"/>
      </w:tabs>
      <w:spacing w:before="240" w:after="240"/>
      <w:ind w:left="0"/>
      <w:jc w:val="center"/>
    </w:pPr>
    <w:rPr>
      <w:b/>
      <w:smallCaps/>
      <w:lang w:val="es-ES"/>
    </w:rPr>
  </w:style>
  <w:style w:type="paragraph" w:styleId="DocumentMap">
    <w:name w:val="Document Map"/>
    <w:basedOn w:val="Normal"/>
    <w:semiHidden/>
    <w:rsid w:val="008C02CB"/>
    <w:pPr>
      <w:shd w:val="clear" w:color="auto" w:fill="000080"/>
    </w:pPr>
    <w:rPr>
      <w:rFonts w:ascii="Tahoma" w:hAnsi="Tahoma"/>
    </w:rPr>
  </w:style>
  <w:style w:type="paragraph" w:customStyle="1" w:styleId="FirstHeading">
    <w:name w:val="FirstHeading"/>
    <w:basedOn w:val="Normal"/>
    <w:next w:val="Normal"/>
    <w:link w:val="FirstHeadingChar"/>
    <w:rsid w:val="00001BCA"/>
    <w:pPr>
      <w:keepNext/>
      <w:numPr>
        <w:numId w:val="69"/>
      </w:numPr>
      <w:tabs>
        <w:tab w:val="left" w:pos="0"/>
        <w:tab w:val="left" w:pos="86"/>
      </w:tabs>
      <w:spacing w:before="120" w:after="120"/>
      <w:ind w:left="720"/>
    </w:pPr>
    <w:rPr>
      <w:b/>
      <w:lang w:val="es-ES"/>
    </w:rPr>
  </w:style>
  <w:style w:type="paragraph" w:styleId="Footer">
    <w:name w:val="footer"/>
    <w:basedOn w:val="Normal"/>
    <w:link w:val="FooterChar"/>
    <w:uiPriority w:val="99"/>
    <w:rsid w:val="008C02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
    <w:basedOn w:val="Normal"/>
    <w:link w:val="FootnoteTextChar"/>
    <w:rsid w:val="008C02CB"/>
    <w:pPr>
      <w:keepNext/>
      <w:keepLines/>
      <w:spacing w:after="120"/>
      <w:ind w:left="288" w:hanging="288"/>
      <w:jc w:val="both"/>
    </w:pPr>
    <w:rPr>
      <w:spacing w:val="-3"/>
      <w:sz w:val="20"/>
    </w:rPr>
  </w:style>
  <w:style w:type="paragraph" w:styleId="Header">
    <w:name w:val="header"/>
    <w:basedOn w:val="Normal"/>
    <w:link w:val="HeaderChar"/>
    <w:uiPriority w:val="99"/>
    <w:rsid w:val="008C02CB"/>
    <w:pPr>
      <w:tabs>
        <w:tab w:val="center" w:pos="4320"/>
        <w:tab w:val="right" w:pos="8640"/>
      </w:tabs>
    </w:pPr>
  </w:style>
  <w:style w:type="character" w:styleId="LineNumber">
    <w:name w:val="line number"/>
    <w:basedOn w:val="DefaultParagraphFont"/>
    <w:rsid w:val="008C02CB"/>
  </w:style>
  <w:style w:type="paragraph" w:customStyle="1" w:styleId="MasterSourceText">
    <w:name w:val="Master_SourceText"/>
    <w:basedOn w:val="Normal"/>
    <w:rsid w:val="00E354CE"/>
    <w:pPr>
      <w:tabs>
        <w:tab w:val="left" w:pos="1440"/>
      </w:tabs>
      <w:ind w:left="1440" w:hanging="720"/>
      <w:jc w:val="both"/>
    </w:pPr>
    <w:rPr>
      <w:sz w:val="20"/>
    </w:rPr>
  </w:style>
  <w:style w:type="paragraph" w:customStyle="1" w:styleId="Newpage">
    <w:name w:val="Newpage"/>
    <w:basedOn w:val="Chapter"/>
    <w:rsid w:val="00E354CE"/>
    <w:pPr>
      <w:numPr>
        <w:numId w:val="0"/>
      </w:numPr>
      <w:tabs>
        <w:tab w:val="clear" w:pos="1440"/>
        <w:tab w:val="left" w:pos="3060"/>
      </w:tabs>
      <w:spacing w:after="0"/>
    </w:pPr>
  </w:style>
  <w:style w:type="character" w:styleId="PageNumber">
    <w:name w:val="page number"/>
    <w:basedOn w:val="DefaultParagraphFont"/>
    <w:rsid w:val="008C02CB"/>
  </w:style>
  <w:style w:type="paragraph" w:customStyle="1" w:styleId="Paragraph">
    <w:name w:val="Paragraph"/>
    <w:aliases w:val="paragraph,p,PARAGRAPH,PG,pa,at"/>
    <w:basedOn w:val="BodyTextIndent"/>
    <w:link w:val="ParagraphChar"/>
    <w:rsid w:val="00001BCA"/>
    <w:pPr>
      <w:numPr>
        <w:ilvl w:val="1"/>
        <w:numId w:val="68"/>
      </w:numPr>
      <w:tabs>
        <w:tab w:val="clear" w:pos="2736"/>
        <w:tab w:val="num" w:pos="720"/>
      </w:tabs>
      <w:spacing w:before="120"/>
      <w:ind w:left="720" w:hanging="720"/>
      <w:jc w:val="both"/>
      <w:outlineLvl w:val="1"/>
    </w:pPr>
    <w:rPr>
      <w:lang w:val="es-ES"/>
    </w:rPr>
  </w:style>
  <w:style w:type="paragraph" w:customStyle="1" w:styleId="RegheadTab">
    <w:name w:val="RegheadTab"/>
    <w:basedOn w:val="FirstHeading"/>
    <w:rsid w:val="00E354CE"/>
    <w:pPr>
      <w:numPr>
        <w:numId w:val="0"/>
      </w:numPr>
      <w:tabs>
        <w:tab w:val="num" w:pos="504"/>
      </w:tabs>
      <w:spacing w:after="0"/>
      <w:ind w:left="504" w:hanging="504"/>
      <w:jc w:val="center"/>
    </w:pPr>
  </w:style>
  <w:style w:type="paragraph" w:customStyle="1" w:styleId="SecHeading">
    <w:name w:val="SecHeading"/>
    <w:basedOn w:val="Normal"/>
    <w:next w:val="Paragraph"/>
    <w:rsid w:val="00001BCA"/>
    <w:pPr>
      <w:keepNext/>
      <w:numPr>
        <w:ilvl w:val="1"/>
        <w:numId w:val="69"/>
      </w:numPr>
      <w:tabs>
        <w:tab w:val="clear" w:pos="5400"/>
        <w:tab w:val="num" w:pos="1296"/>
      </w:tabs>
      <w:spacing w:before="120" w:after="120"/>
      <w:ind w:left="1296"/>
    </w:pPr>
    <w:rPr>
      <w:b/>
    </w:rPr>
  </w:style>
  <w:style w:type="paragraph" w:customStyle="1" w:styleId="SubHeading1">
    <w:name w:val="SubHeading1"/>
    <w:basedOn w:val="SecHeading"/>
    <w:rsid w:val="00001BCA"/>
    <w:pPr>
      <w:numPr>
        <w:ilvl w:val="2"/>
      </w:numPr>
      <w:tabs>
        <w:tab w:val="clear" w:pos="5976"/>
        <w:tab w:val="num" w:pos="1872"/>
      </w:tabs>
      <w:ind w:left="1872"/>
    </w:pPr>
  </w:style>
  <w:style w:type="paragraph" w:customStyle="1" w:styleId="Subheading2">
    <w:name w:val="Subheading2"/>
    <w:basedOn w:val="SecHeading"/>
    <w:rsid w:val="00001BCA"/>
    <w:pPr>
      <w:numPr>
        <w:ilvl w:val="3"/>
      </w:numPr>
      <w:tabs>
        <w:tab w:val="clear" w:pos="6480"/>
        <w:tab w:val="num" w:pos="2376"/>
      </w:tabs>
      <w:ind w:left="2376"/>
    </w:pPr>
  </w:style>
  <w:style w:type="paragraph" w:customStyle="1" w:styleId="subpar">
    <w:name w:val="subpar"/>
    <w:basedOn w:val="BodyTextIndent3"/>
    <w:rsid w:val="00001BCA"/>
    <w:pPr>
      <w:numPr>
        <w:ilvl w:val="2"/>
        <w:numId w:val="68"/>
      </w:numPr>
      <w:tabs>
        <w:tab w:val="clear" w:pos="2592"/>
        <w:tab w:val="num" w:pos="1152"/>
      </w:tabs>
      <w:spacing w:before="120"/>
      <w:ind w:left="1152"/>
      <w:jc w:val="both"/>
      <w:outlineLvl w:val="2"/>
    </w:pPr>
  </w:style>
  <w:style w:type="paragraph" w:customStyle="1" w:styleId="SubSubPar">
    <w:name w:val="SubSubPar"/>
    <w:basedOn w:val="subpar"/>
    <w:rsid w:val="00001BCA"/>
    <w:pPr>
      <w:numPr>
        <w:ilvl w:val="3"/>
      </w:numPr>
      <w:tabs>
        <w:tab w:val="clear" w:pos="3024"/>
        <w:tab w:val="left" w:pos="0"/>
        <w:tab w:val="num" w:pos="1296"/>
      </w:tabs>
      <w:ind w:left="1296"/>
    </w:pPr>
  </w:style>
  <w:style w:type="paragraph" w:styleId="Title">
    <w:name w:val="Title"/>
    <w:basedOn w:val="Normal"/>
    <w:link w:val="TitleChar"/>
    <w:qFormat/>
    <w:rsid w:val="00E354CE"/>
    <w:pPr>
      <w:tabs>
        <w:tab w:val="left" w:pos="1440"/>
        <w:tab w:val="left" w:pos="3060"/>
      </w:tabs>
      <w:jc w:val="center"/>
      <w:outlineLvl w:val="0"/>
    </w:pPr>
  </w:style>
  <w:style w:type="paragraph" w:styleId="TOC1">
    <w:name w:val="toc 1"/>
    <w:basedOn w:val="Normal"/>
    <w:next w:val="Normal"/>
    <w:autoRedefine/>
    <w:uiPriority w:val="39"/>
    <w:rsid w:val="00001BCA"/>
    <w:pPr>
      <w:tabs>
        <w:tab w:val="left" w:pos="540"/>
        <w:tab w:val="right" w:leader="dot" w:pos="8741"/>
      </w:tabs>
      <w:spacing w:before="240" w:after="240"/>
      <w:ind w:left="547" w:hanging="547"/>
    </w:pPr>
    <w:rPr>
      <w:rFonts w:ascii="Arial" w:hAnsi="Arial" w:cs="Arial"/>
      <w:b/>
      <w:smallCaps/>
      <w:noProof/>
    </w:rPr>
  </w:style>
  <w:style w:type="paragraph" w:styleId="TOC2">
    <w:name w:val="toc 2"/>
    <w:basedOn w:val="Normal"/>
    <w:next w:val="Normal"/>
    <w:autoRedefine/>
    <w:uiPriority w:val="39"/>
    <w:rsid w:val="000D0274"/>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354CE"/>
    <w:pPr>
      <w:tabs>
        <w:tab w:val="left" w:pos="1728"/>
        <w:tab w:val="right" w:leader="dot" w:pos="8741"/>
      </w:tabs>
      <w:ind w:left="1714" w:hanging="562"/>
    </w:pPr>
    <w:rPr>
      <w:lang w:val="es-ES"/>
    </w:rPr>
  </w:style>
  <w:style w:type="paragraph" w:styleId="TOC4">
    <w:name w:val="toc 4"/>
    <w:basedOn w:val="Normal"/>
    <w:next w:val="Normal"/>
    <w:autoRedefine/>
    <w:semiHidden/>
    <w:rsid w:val="008C02CB"/>
    <w:pPr>
      <w:ind w:left="400"/>
    </w:pPr>
  </w:style>
  <w:style w:type="paragraph" w:styleId="TOC5">
    <w:name w:val="toc 5"/>
    <w:basedOn w:val="Normal"/>
    <w:next w:val="Normal"/>
    <w:autoRedefine/>
    <w:semiHidden/>
    <w:rsid w:val="008C02CB"/>
    <w:pPr>
      <w:ind w:left="600"/>
    </w:pPr>
  </w:style>
  <w:style w:type="paragraph" w:styleId="TOC6">
    <w:name w:val="toc 6"/>
    <w:basedOn w:val="Normal"/>
    <w:next w:val="Normal"/>
    <w:autoRedefine/>
    <w:semiHidden/>
    <w:rsid w:val="008C02CB"/>
    <w:pPr>
      <w:ind w:left="800"/>
    </w:pPr>
  </w:style>
  <w:style w:type="paragraph" w:styleId="TOC7">
    <w:name w:val="toc 7"/>
    <w:basedOn w:val="Normal"/>
    <w:next w:val="Normal"/>
    <w:autoRedefine/>
    <w:semiHidden/>
    <w:rsid w:val="008C02CB"/>
    <w:pPr>
      <w:ind w:left="1000"/>
    </w:pPr>
  </w:style>
  <w:style w:type="paragraph" w:styleId="TOC8">
    <w:name w:val="toc 8"/>
    <w:basedOn w:val="Normal"/>
    <w:next w:val="Normal"/>
    <w:autoRedefine/>
    <w:semiHidden/>
    <w:rsid w:val="008C02CB"/>
    <w:pPr>
      <w:ind w:left="1200"/>
    </w:pPr>
  </w:style>
  <w:style w:type="paragraph" w:styleId="TOC9">
    <w:name w:val="toc 9"/>
    <w:basedOn w:val="Normal"/>
    <w:next w:val="Normal"/>
    <w:autoRedefine/>
    <w:semiHidden/>
    <w:rsid w:val="008C02CB"/>
    <w:pPr>
      <w:ind w:left="1400"/>
    </w:pPr>
  </w:style>
  <w:style w:type="character" w:styleId="Hyperlink">
    <w:name w:val="Hyperlink"/>
    <w:uiPriority w:val="99"/>
    <w:rsid w:val="008C02CB"/>
    <w:rPr>
      <w:color w:val="0000FF"/>
      <w:u w:val="single"/>
    </w:rPr>
  </w:style>
  <w:style w:type="character" w:styleId="FollowedHyperlink">
    <w:name w:val="FollowedHyperlink"/>
    <w:rsid w:val="008C02CB"/>
    <w:rPr>
      <w:color w:val="800080"/>
      <w:u w:val="single"/>
    </w:rPr>
  </w:style>
  <w:style w:type="paragraph" w:styleId="BodyTextIndent2">
    <w:name w:val="Body Text Indent 2"/>
    <w:basedOn w:val="Normal"/>
    <w:rsid w:val="008C02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
    <w:rsid w:val="008C02CB"/>
    <w:rPr>
      <w:vertAlign w:val="superscript"/>
    </w:rPr>
  </w:style>
  <w:style w:type="paragraph" w:styleId="Subtitle">
    <w:name w:val="Subtitle"/>
    <w:basedOn w:val="Normal"/>
    <w:qFormat/>
    <w:rsid w:val="008C02CB"/>
    <w:pPr>
      <w:jc w:val="center"/>
    </w:pPr>
    <w:rPr>
      <w:b/>
      <w:bCs/>
      <w:sz w:val="28"/>
      <w:szCs w:val="24"/>
      <w:lang w:val="en-US"/>
    </w:rPr>
  </w:style>
  <w:style w:type="paragraph" w:customStyle="1" w:styleId="Textodebalo1">
    <w:name w:val="Texto de balão1"/>
    <w:basedOn w:val="Normal"/>
    <w:rsid w:val="008C02CB"/>
    <w:pPr>
      <w:suppressAutoHyphens/>
    </w:pPr>
    <w:rPr>
      <w:rFonts w:ascii="Tahoma" w:hAnsi="Tahoma" w:cs="Tahoma"/>
      <w:sz w:val="16"/>
      <w:szCs w:val="16"/>
      <w:lang w:val="en-US" w:eastAsia="ar-SA"/>
    </w:rPr>
  </w:style>
  <w:style w:type="paragraph" w:styleId="BodyText2">
    <w:name w:val="Body Text 2"/>
    <w:basedOn w:val="Normal"/>
    <w:rsid w:val="008C02CB"/>
    <w:pPr>
      <w:jc w:val="both"/>
    </w:pPr>
    <w:rPr>
      <w:sz w:val="19"/>
      <w:lang w:val="es-ES"/>
    </w:rPr>
  </w:style>
  <w:style w:type="character" w:styleId="Emphasis">
    <w:name w:val="Emphasis"/>
    <w:uiPriority w:val="20"/>
    <w:qFormat/>
    <w:rsid w:val="008C02CB"/>
    <w:rPr>
      <w:i/>
      <w:iCs/>
    </w:rPr>
  </w:style>
  <w:style w:type="paragraph" w:styleId="NormalWeb">
    <w:name w:val="Normal (Web)"/>
    <w:basedOn w:val="Normal"/>
    <w:rsid w:val="008C02CB"/>
    <w:pPr>
      <w:spacing w:before="100" w:beforeAutospacing="1" w:after="100" w:afterAutospacing="1"/>
    </w:pPr>
    <w:rPr>
      <w:szCs w:val="24"/>
      <w:lang w:val="en-US"/>
    </w:rPr>
  </w:style>
  <w:style w:type="character" w:styleId="Strong">
    <w:name w:val="Strong"/>
    <w:uiPriority w:val="22"/>
    <w:qFormat/>
    <w:rsid w:val="008C02CB"/>
    <w:rPr>
      <w:b/>
      <w:bCs/>
    </w:rPr>
  </w:style>
  <w:style w:type="paragraph" w:styleId="BalloonText">
    <w:name w:val="Balloon Text"/>
    <w:basedOn w:val="Normal"/>
    <w:semiHidden/>
    <w:rsid w:val="008C02CB"/>
    <w:rPr>
      <w:rFonts w:ascii="Tahoma" w:hAnsi="Tahoma" w:cs="Tahoma"/>
      <w:sz w:val="16"/>
      <w:szCs w:val="16"/>
    </w:rPr>
  </w:style>
  <w:style w:type="table" w:styleId="TableGrid">
    <w:name w:val="Table Grid"/>
    <w:basedOn w:val="TableNormal"/>
    <w:uiPriority w:val="59"/>
    <w:rsid w:val="004722E6"/>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7A2E78"/>
    <w:rPr>
      <w:sz w:val="24"/>
      <w:lang w:eastAsia="en-US"/>
    </w:rPr>
  </w:style>
  <w:style w:type="character" w:customStyle="1" w:styleId="ParagraphChar">
    <w:name w:val="Paragraph Char"/>
    <w:link w:val="Paragraph"/>
    <w:rsid w:val="00001BCA"/>
    <w:rPr>
      <w:sz w:val="24"/>
      <w:lang w:val="es-ES"/>
    </w:rPr>
  </w:style>
  <w:style w:type="paragraph" w:customStyle="1" w:styleId="Prrafodelista">
    <w:name w:val="Párrafo de lista"/>
    <w:basedOn w:val="Normal"/>
    <w:uiPriority w:val="34"/>
    <w:qFormat/>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link w:val="FootnoteText"/>
    <w:rsid w:val="007E2F13"/>
    <w:rPr>
      <w:spacing w:val="-3"/>
      <w:lang w:val="es-ES_tradnl"/>
    </w:rPr>
  </w:style>
  <w:style w:type="character" w:customStyle="1" w:styleId="bonze">
    <w:name w:val="b onze"/>
    <w:rsid w:val="002E794B"/>
    <w:rPr>
      <w:rFonts w:ascii="Arial" w:hAnsi="Arial" w:cs="Arial" w:hint="default"/>
    </w:rPr>
  </w:style>
  <w:style w:type="character" w:styleId="CommentReference">
    <w:name w:val="annotation reference"/>
    <w:rsid w:val="00052992"/>
    <w:rPr>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contextualSpacing/>
    </w:pPr>
    <w:rPr>
      <w:rFonts w:ascii="Calibri" w:eastAsia="Calibri"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uiPriority w:val="99"/>
    <w:semiHidden/>
    <w:rsid w:val="00C0147C"/>
    <w:rPr>
      <w:sz w:val="24"/>
      <w:lang w:val="es-ES_tradnl"/>
    </w:rPr>
  </w:style>
  <w:style w:type="character" w:customStyle="1" w:styleId="ParagraphCar">
    <w:name w:val="Paragraph Car"/>
    <w:rsid w:val="00935878"/>
    <w:rPr>
      <w:rFonts w:eastAsia="Calibri"/>
      <w:sz w:val="24"/>
      <w:lang w:val="en-US" w:eastAsia="en-US" w:bidi="ar-SA"/>
    </w:rPr>
  </w:style>
  <w:style w:type="character" w:customStyle="1" w:styleId="FirstHeadingChar">
    <w:name w:val="FirstHeading Char"/>
    <w:link w:val="FirstHeading"/>
    <w:locked/>
    <w:rsid w:val="00001BCA"/>
    <w:rPr>
      <w:b/>
      <w:sz w:val="24"/>
      <w:lang w:val="es-ES"/>
    </w:rPr>
  </w:style>
  <w:style w:type="character" w:customStyle="1" w:styleId="ParagraphCar1">
    <w:name w:val="Paragraph Car1"/>
    <w:rsid w:val="001F3FE0"/>
    <w:rPr>
      <w:rFonts w:ascii="Times New Roman" w:eastAsia="Times New Roman" w:hAnsi="Times New Roman" w:cs="Times New Roman"/>
      <w:sz w:val="24"/>
      <w:szCs w:val="20"/>
      <w:lang w:val="es-ES"/>
    </w:rPr>
  </w:style>
  <w:style w:type="table" w:customStyle="1" w:styleId="TableGrid1">
    <w:name w:val="Table Grid1"/>
    <w:basedOn w:val="TableNormal"/>
    <w:next w:val="TableGrid"/>
    <w:uiPriority w:val="59"/>
    <w:rsid w:val="00CE5EE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EE16FB"/>
    <w:rPr>
      <w:sz w:val="24"/>
      <w:lang w:val="es-ES_tradnl"/>
    </w:rPr>
  </w:style>
  <w:style w:type="character" w:customStyle="1" w:styleId="TitleChar">
    <w:name w:val="Title Char"/>
    <w:link w:val="Title"/>
    <w:rsid w:val="00EE16FB"/>
    <w:rPr>
      <w:sz w:val="24"/>
      <w:lang w:val="es-ES_tradnl"/>
    </w:rPr>
  </w:style>
  <w:style w:type="paragraph" w:customStyle="1" w:styleId="Regtable">
    <w:name w:val="Regtable"/>
    <w:basedOn w:val="Normal"/>
    <w:link w:val="RegtableChar"/>
    <w:rsid w:val="00001BCA"/>
    <w:pPr>
      <w:keepLines/>
      <w:framePr w:wrap="around" w:vAnchor="text" w:hAnchor="text" w:y="1"/>
      <w:spacing w:before="20" w:after="20"/>
    </w:pPr>
    <w:rPr>
      <w:sz w:val="20"/>
    </w:rPr>
  </w:style>
  <w:style w:type="character" w:customStyle="1" w:styleId="RegtableChar">
    <w:name w:val="Regtable Char"/>
    <w:basedOn w:val="DefaultParagraphFont"/>
    <w:link w:val="Regtable"/>
    <w:rsid w:val="00001BCA"/>
    <w:rPr>
      <w:lang w:val="es-ES_tradnl"/>
    </w:rPr>
  </w:style>
  <w:style w:type="paragraph" w:customStyle="1" w:styleId="TableTitle">
    <w:name w:val="TableTitle"/>
    <w:basedOn w:val="Normal"/>
    <w:link w:val="TableTitleChar"/>
    <w:rsid w:val="00001BCA"/>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01BCA"/>
    <w:rPr>
      <w:rFonts w:ascii="Times New Roman Bold" w:hAnsi="Times New Roman Bold"/>
      <w:b/>
      <w:spacing w:val="-3"/>
      <w:lang w:val="es-ES_tradnl"/>
    </w:rPr>
  </w:style>
  <w:style w:type="character" w:customStyle="1" w:styleId="CommentTextChar">
    <w:name w:val="Comment Text Char"/>
    <w:basedOn w:val="DefaultParagraphFont"/>
    <w:link w:val="CommentText"/>
    <w:rsid w:val="001D01EF"/>
    <w:rPr>
      <w:lang w:val="es-ES_tradnl"/>
    </w:rPr>
  </w:style>
  <w:style w:type="paragraph" w:styleId="EndnoteText">
    <w:name w:val="endnote text"/>
    <w:basedOn w:val="Normal"/>
    <w:link w:val="EndnoteTextChar"/>
    <w:rsid w:val="005D0FD1"/>
    <w:rPr>
      <w:sz w:val="20"/>
    </w:rPr>
  </w:style>
  <w:style w:type="character" w:customStyle="1" w:styleId="EndnoteTextChar">
    <w:name w:val="Endnote Text Char"/>
    <w:basedOn w:val="DefaultParagraphFont"/>
    <w:link w:val="EndnoteText"/>
    <w:rsid w:val="005D0FD1"/>
    <w:rPr>
      <w:lang w:val="es-ES_tradnl"/>
    </w:rPr>
  </w:style>
  <w:style w:type="character" w:styleId="EndnoteReference">
    <w:name w:val="endnote reference"/>
    <w:basedOn w:val="DefaultParagraphFont"/>
    <w:rsid w:val="005D0F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4892">
      <w:bodyDiv w:val="1"/>
      <w:marLeft w:val="0"/>
      <w:marRight w:val="0"/>
      <w:marTop w:val="0"/>
      <w:marBottom w:val="0"/>
      <w:divBdr>
        <w:top w:val="none" w:sz="0" w:space="0" w:color="auto"/>
        <w:left w:val="none" w:sz="0" w:space="0" w:color="auto"/>
        <w:bottom w:val="none" w:sz="0" w:space="0" w:color="auto"/>
        <w:right w:val="none" w:sz="0" w:space="0" w:color="auto"/>
      </w:divBdr>
    </w:div>
    <w:div w:id="68618979">
      <w:bodyDiv w:val="1"/>
      <w:marLeft w:val="0"/>
      <w:marRight w:val="0"/>
      <w:marTop w:val="0"/>
      <w:marBottom w:val="0"/>
      <w:divBdr>
        <w:top w:val="none" w:sz="0" w:space="0" w:color="auto"/>
        <w:left w:val="none" w:sz="0" w:space="0" w:color="auto"/>
        <w:bottom w:val="none" w:sz="0" w:space="0" w:color="auto"/>
        <w:right w:val="none" w:sz="0" w:space="0" w:color="auto"/>
      </w:divBdr>
    </w:div>
    <w:div w:id="87430935">
      <w:bodyDiv w:val="1"/>
      <w:marLeft w:val="0"/>
      <w:marRight w:val="0"/>
      <w:marTop w:val="0"/>
      <w:marBottom w:val="0"/>
      <w:divBdr>
        <w:top w:val="none" w:sz="0" w:space="0" w:color="auto"/>
        <w:left w:val="none" w:sz="0" w:space="0" w:color="auto"/>
        <w:bottom w:val="none" w:sz="0" w:space="0" w:color="auto"/>
        <w:right w:val="none" w:sz="0" w:space="0" w:color="auto"/>
      </w:divBdr>
    </w:div>
    <w:div w:id="163403291">
      <w:bodyDiv w:val="1"/>
      <w:marLeft w:val="0"/>
      <w:marRight w:val="0"/>
      <w:marTop w:val="0"/>
      <w:marBottom w:val="0"/>
      <w:divBdr>
        <w:top w:val="none" w:sz="0" w:space="0" w:color="auto"/>
        <w:left w:val="none" w:sz="0" w:space="0" w:color="auto"/>
        <w:bottom w:val="none" w:sz="0" w:space="0" w:color="auto"/>
        <w:right w:val="none" w:sz="0" w:space="0" w:color="auto"/>
      </w:divBdr>
    </w:div>
    <w:div w:id="215629471">
      <w:bodyDiv w:val="1"/>
      <w:marLeft w:val="0"/>
      <w:marRight w:val="0"/>
      <w:marTop w:val="0"/>
      <w:marBottom w:val="0"/>
      <w:divBdr>
        <w:top w:val="none" w:sz="0" w:space="0" w:color="auto"/>
        <w:left w:val="none" w:sz="0" w:space="0" w:color="auto"/>
        <w:bottom w:val="none" w:sz="0" w:space="0" w:color="auto"/>
        <w:right w:val="none" w:sz="0" w:space="0" w:color="auto"/>
      </w:divBdr>
    </w:div>
    <w:div w:id="241186776">
      <w:bodyDiv w:val="1"/>
      <w:marLeft w:val="0"/>
      <w:marRight w:val="0"/>
      <w:marTop w:val="0"/>
      <w:marBottom w:val="0"/>
      <w:divBdr>
        <w:top w:val="none" w:sz="0" w:space="0" w:color="auto"/>
        <w:left w:val="none" w:sz="0" w:space="0" w:color="auto"/>
        <w:bottom w:val="none" w:sz="0" w:space="0" w:color="auto"/>
        <w:right w:val="none" w:sz="0" w:space="0" w:color="auto"/>
      </w:divBdr>
    </w:div>
    <w:div w:id="263853772">
      <w:bodyDiv w:val="1"/>
      <w:marLeft w:val="0"/>
      <w:marRight w:val="0"/>
      <w:marTop w:val="0"/>
      <w:marBottom w:val="0"/>
      <w:divBdr>
        <w:top w:val="none" w:sz="0" w:space="0" w:color="auto"/>
        <w:left w:val="none" w:sz="0" w:space="0" w:color="auto"/>
        <w:bottom w:val="none" w:sz="0" w:space="0" w:color="auto"/>
        <w:right w:val="none" w:sz="0" w:space="0" w:color="auto"/>
      </w:divBdr>
    </w:div>
    <w:div w:id="265499426">
      <w:bodyDiv w:val="1"/>
      <w:marLeft w:val="0"/>
      <w:marRight w:val="0"/>
      <w:marTop w:val="0"/>
      <w:marBottom w:val="0"/>
      <w:divBdr>
        <w:top w:val="none" w:sz="0" w:space="0" w:color="auto"/>
        <w:left w:val="none" w:sz="0" w:space="0" w:color="auto"/>
        <w:bottom w:val="none" w:sz="0" w:space="0" w:color="auto"/>
        <w:right w:val="none" w:sz="0" w:space="0" w:color="auto"/>
      </w:divBdr>
    </w:div>
    <w:div w:id="287442246">
      <w:bodyDiv w:val="1"/>
      <w:marLeft w:val="0"/>
      <w:marRight w:val="0"/>
      <w:marTop w:val="0"/>
      <w:marBottom w:val="0"/>
      <w:divBdr>
        <w:top w:val="none" w:sz="0" w:space="0" w:color="auto"/>
        <w:left w:val="none" w:sz="0" w:space="0" w:color="auto"/>
        <w:bottom w:val="none" w:sz="0" w:space="0" w:color="auto"/>
        <w:right w:val="none" w:sz="0" w:space="0" w:color="auto"/>
      </w:divBdr>
    </w:div>
    <w:div w:id="287591418">
      <w:bodyDiv w:val="1"/>
      <w:marLeft w:val="0"/>
      <w:marRight w:val="0"/>
      <w:marTop w:val="0"/>
      <w:marBottom w:val="0"/>
      <w:divBdr>
        <w:top w:val="none" w:sz="0" w:space="0" w:color="auto"/>
        <w:left w:val="none" w:sz="0" w:space="0" w:color="auto"/>
        <w:bottom w:val="none" w:sz="0" w:space="0" w:color="auto"/>
        <w:right w:val="none" w:sz="0" w:space="0" w:color="auto"/>
      </w:divBdr>
    </w:div>
    <w:div w:id="324627250">
      <w:bodyDiv w:val="1"/>
      <w:marLeft w:val="0"/>
      <w:marRight w:val="0"/>
      <w:marTop w:val="0"/>
      <w:marBottom w:val="0"/>
      <w:divBdr>
        <w:top w:val="none" w:sz="0" w:space="0" w:color="auto"/>
        <w:left w:val="none" w:sz="0" w:space="0" w:color="auto"/>
        <w:bottom w:val="none" w:sz="0" w:space="0" w:color="auto"/>
        <w:right w:val="none" w:sz="0" w:space="0" w:color="auto"/>
      </w:divBdr>
    </w:div>
    <w:div w:id="345324663">
      <w:bodyDiv w:val="1"/>
      <w:marLeft w:val="0"/>
      <w:marRight w:val="0"/>
      <w:marTop w:val="0"/>
      <w:marBottom w:val="0"/>
      <w:divBdr>
        <w:top w:val="none" w:sz="0" w:space="0" w:color="auto"/>
        <w:left w:val="none" w:sz="0" w:space="0" w:color="auto"/>
        <w:bottom w:val="none" w:sz="0" w:space="0" w:color="auto"/>
        <w:right w:val="none" w:sz="0" w:space="0" w:color="auto"/>
      </w:divBdr>
    </w:div>
    <w:div w:id="360982131">
      <w:bodyDiv w:val="1"/>
      <w:marLeft w:val="0"/>
      <w:marRight w:val="0"/>
      <w:marTop w:val="0"/>
      <w:marBottom w:val="0"/>
      <w:divBdr>
        <w:top w:val="none" w:sz="0" w:space="0" w:color="auto"/>
        <w:left w:val="none" w:sz="0" w:space="0" w:color="auto"/>
        <w:bottom w:val="none" w:sz="0" w:space="0" w:color="auto"/>
        <w:right w:val="none" w:sz="0" w:space="0" w:color="auto"/>
      </w:divBdr>
    </w:div>
    <w:div w:id="368385191">
      <w:bodyDiv w:val="1"/>
      <w:marLeft w:val="0"/>
      <w:marRight w:val="0"/>
      <w:marTop w:val="0"/>
      <w:marBottom w:val="0"/>
      <w:divBdr>
        <w:top w:val="none" w:sz="0" w:space="0" w:color="auto"/>
        <w:left w:val="none" w:sz="0" w:space="0" w:color="auto"/>
        <w:bottom w:val="none" w:sz="0" w:space="0" w:color="auto"/>
        <w:right w:val="none" w:sz="0" w:space="0" w:color="auto"/>
      </w:divBdr>
    </w:div>
    <w:div w:id="379523504">
      <w:bodyDiv w:val="1"/>
      <w:marLeft w:val="0"/>
      <w:marRight w:val="0"/>
      <w:marTop w:val="0"/>
      <w:marBottom w:val="0"/>
      <w:divBdr>
        <w:top w:val="none" w:sz="0" w:space="0" w:color="auto"/>
        <w:left w:val="none" w:sz="0" w:space="0" w:color="auto"/>
        <w:bottom w:val="none" w:sz="0" w:space="0" w:color="auto"/>
        <w:right w:val="none" w:sz="0" w:space="0" w:color="auto"/>
      </w:divBdr>
    </w:div>
    <w:div w:id="394161433">
      <w:bodyDiv w:val="1"/>
      <w:marLeft w:val="0"/>
      <w:marRight w:val="0"/>
      <w:marTop w:val="0"/>
      <w:marBottom w:val="0"/>
      <w:divBdr>
        <w:top w:val="none" w:sz="0" w:space="0" w:color="auto"/>
        <w:left w:val="none" w:sz="0" w:space="0" w:color="auto"/>
        <w:bottom w:val="none" w:sz="0" w:space="0" w:color="auto"/>
        <w:right w:val="none" w:sz="0" w:space="0" w:color="auto"/>
      </w:divBdr>
    </w:div>
    <w:div w:id="422576554">
      <w:bodyDiv w:val="1"/>
      <w:marLeft w:val="0"/>
      <w:marRight w:val="0"/>
      <w:marTop w:val="0"/>
      <w:marBottom w:val="0"/>
      <w:divBdr>
        <w:top w:val="none" w:sz="0" w:space="0" w:color="auto"/>
        <w:left w:val="none" w:sz="0" w:space="0" w:color="auto"/>
        <w:bottom w:val="none" w:sz="0" w:space="0" w:color="auto"/>
        <w:right w:val="none" w:sz="0" w:space="0" w:color="auto"/>
      </w:divBdr>
    </w:div>
    <w:div w:id="425078594">
      <w:bodyDiv w:val="1"/>
      <w:marLeft w:val="0"/>
      <w:marRight w:val="0"/>
      <w:marTop w:val="0"/>
      <w:marBottom w:val="0"/>
      <w:divBdr>
        <w:top w:val="none" w:sz="0" w:space="0" w:color="auto"/>
        <w:left w:val="none" w:sz="0" w:space="0" w:color="auto"/>
        <w:bottom w:val="none" w:sz="0" w:space="0" w:color="auto"/>
        <w:right w:val="none" w:sz="0" w:space="0" w:color="auto"/>
      </w:divBdr>
    </w:div>
    <w:div w:id="438254718">
      <w:bodyDiv w:val="1"/>
      <w:marLeft w:val="0"/>
      <w:marRight w:val="0"/>
      <w:marTop w:val="0"/>
      <w:marBottom w:val="0"/>
      <w:divBdr>
        <w:top w:val="none" w:sz="0" w:space="0" w:color="auto"/>
        <w:left w:val="none" w:sz="0" w:space="0" w:color="auto"/>
        <w:bottom w:val="none" w:sz="0" w:space="0" w:color="auto"/>
        <w:right w:val="none" w:sz="0" w:space="0" w:color="auto"/>
      </w:divBdr>
    </w:div>
    <w:div w:id="440078430">
      <w:bodyDiv w:val="1"/>
      <w:marLeft w:val="0"/>
      <w:marRight w:val="0"/>
      <w:marTop w:val="0"/>
      <w:marBottom w:val="0"/>
      <w:divBdr>
        <w:top w:val="none" w:sz="0" w:space="0" w:color="auto"/>
        <w:left w:val="none" w:sz="0" w:space="0" w:color="auto"/>
        <w:bottom w:val="none" w:sz="0" w:space="0" w:color="auto"/>
        <w:right w:val="none" w:sz="0" w:space="0" w:color="auto"/>
      </w:divBdr>
    </w:div>
    <w:div w:id="475032490">
      <w:bodyDiv w:val="1"/>
      <w:marLeft w:val="0"/>
      <w:marRight w:val="0"/>
      <w:marTop w:val="0"/>
      <w:marBottom w:val="0"/>
      <w:divBdr>
        <w:top w:val="none" w:sz="0" w:space="0" w:color="auto"/>
        <w:left w:val="none" w:sz="0" w:space="0" w:color="auto"/>
        <w:bottom w:val="none" w:sz="0" w:space="0" w:color="auto"/>
        <w:right w:val="none" w:sz="0" w:space="0" w:color="auto"/>
      </w:divBdr>
    </w:div>
    <w:div w:id="477066579">
      <w:bodyDiv w:val="1"/>
      <w:marLeft w:val="0"/>
      <w:marRight w:val="0"/>
      <w:marTop w:val="0"/>
      <w:marBottom w:val="0"/>
      <w:divBdr>
        <w:top w:val="none" w:sz="0" w:space="0" w:color="auto"/>
        <w:left w:val="none" w:sz="0" w:space="0" w:color="auto"/>
        <w:bottom w:val="none" w:sz="0" w:space="0" w:color="auto"/>
        <w:right w:val="none" w:sz="0" w:space="0" w:color="auto"/>
      </w:divBdr>
    </w:div>
    <w:div w:id="488331826">
      <w:bodyDiv w:val="1"/>
      <w:marLeft w:val="0"/>
      <w:marRight w:val="0"/>
      <w:marTop w:val="0"/>
      <w:marBottom w:val="0"/>
      <w:divBdr>
        <w:top w:val="none" w:sz="0" w:space="0" w:color="auto"/>
        <w:left w:val="none" w:sz="0" w:space="0" w:color="auto"/>
        <w:bottom w:val="none" w:sz="0" w:space="0" w:color="auto"/>
        <w:right w:val="none" w:sz="0" w:space="0" w:color="auto"/>
      </w:divBdr>
    </w:div>
    <w:div w:id="512838990">
      <w:bodyDiv w:val="1"/>
      <w:marLeft w:val="0"/>
      <w:marRight w:val="0"/>
      <w:marTop w:val="0"/>
      <w:marBottom w:val="0"/>
      <w:divBdr>
        <w:top w:val="none" w:sz="0" w:space="0" w:color="auto"/>
        <w:left w:val="none" w:sz="0" w:space="0" w:color="auto"/>
        <w:bottom w:val="none" w:sz="0" w:space="0" w:color="auto"/>
        <w:right w:val="none" w:sz="0" w:space="0" w:color="auto"/>
      </w:divBdr>
    </w:div>
    <w:div w:id="543180135">
      <w:bodyDiv w:val="1"/>
      <w:marLeft w:val="0"/>
      <w:marRight w:val="0"/>
      <w:marTop w:val="0"/>
      <w:marBottom w:val="0"/>
      <w:divBdr>
        <w:top w:val="none" w:sz="0" w:space="0" w:color="auto"/>
        <w:left w:val="none" w:sz="0" w:space="0" w:color="auto"/>
        <w:bottom w:val="none" w:sz="0" w:space="0" w:color="auto"/>
        <w:right w:val="none" w:sz="0" w:space="0" w:color="auto"/>
      </w:divBdr>
    </w:div>
    <w:div w:id="557671228">
      <w:bodyDiv w:val="1"/>
      <w:marLeft w:val="0"/>
      <w:marRight w:val="0"/>
      <w:marTop w:val="0"/>
      <w:marBottom w:val="0"/>
      <w:divBdr>
        <w:top w:val="none" w:sz="0" w:space="0" w:color="auto"/>
        <w:left w:val="none" w:sz="0" w:space="0" w:color="auto"/>
        <w:bottom w:val="none" w:sz="0" w:space="0" w:color="auto"/>
        <w:right w:val="none" w:sz="0" w:space="0" w:color="auto"/>
      </w:divBdr>
    </w:div>
    <w:div w:id="567114020">
      <w:bodyDiv w:val="1"/>
      <w:marLeft w:val="0"/>
      <w:marRight w:val="0"/>
      <w:marTop w:val="0"/>
      <w:marBottom w:val="0"/>
      <w:divBdr>
        <w:top w:val="none" w:sz="0" w:space="0" w:color="auto"/>
        <w:left w:val="none" w:sz="0" w:space="0" w:color="auto"/>
        <w:bottom w:val="none" w:sz="0" w:space="0" w:color="auto"/>
        <w:right w:val="none" w:sz="0" w:space="0" w:color="auto"/>
      </w:divBdr>
    </w:div>
    <w:div w:id="567619332">
      <w:bodyDiv w:val="1"/>
      <w:marLeft w:val="0"/>
      <w:marRight w:val="0"/>
      <w:marTop w:val="0"/>
      <w:marBottom w:val="0"/>
      <w:divBdr>
        <w:top w:val="none" w:sz="0" w:space="0" w:color="auto"/>
        <w:left w:val="none" w:sz="0" w:space="0" w:color="auto"/>
        <w:bottom w:val="none" w:sz="0" w:space="0" w:color="auto"/>
        <w:right w:val="none" w:sz="0" w:space="0" w:color="auto"/>
      </w:divBdr>
    </w:div>
    <w:div w:id="589966706">
      <w:bodyDiv w:val="1"/>
      <w:marLeft w:val="0"/>
      <w:marRight w:val="0"/>
      <w:marTop w:val="0"/>
      <w:marBottom w:val="0"/>
      <w:divBdr>
        <w:top w:val="none" w:sz="0" w:space="0" w:color="auto"/>
        <w:left w:val="none" w:sz="0" w:space="0" w:color="auto"/>
        <w:bottom w:val="none" w:sz="0" w:space="0" w:color="auto"/>
        <w:right w:val="none" w:sz="0" w:space="0" w:color="auto"/>
      </w:divBdr>
    </w:div>
    <w:div w:id="591552745">
      <w:bodyDiv w:val="1"/>
      <w:marLeft w:val="0"/>
      <w:marRight w:val="0"/>
      <w:marTop w:val="0"/>
      <w:marBottom w:val="0"/>
      <w:divBdr>
        <w:top w:val="none" w:sz="0" w:space="0" w:color="auto"/>
        <w:left w:val="none" w:sz="0" w:space="0" w:color="auto"/>
        <w:bottom w:val="none" w:sz="0" w:space="0" w:color="auto"/>
        <w:right w:val="none" w:sz="0" w:space="0" w:color="auto"/>
      </w:divBdr>
    </w:div>
    <w:div w:id="605842693">
      <w:bodyDiv w:val="1"/>
      <w:marLeft w:val="0"/>
      <w:marRight w:val="0"/>
      <w:marTop w:val="0"/>
      <w:marBottom w:val="0"/>
      <w:divBdr>
        <w:top w:val="none" w:sz="0" w:space="0" w:color="auto"/>
        <w:left w:val="none" w:sz="0" w:space="0" w:color="auto"/>
        <w:bottom w:val="none" w:sz="0" w:space="0" w:color="auto"/>
        <w:right w:val="none" w:sz="0" w:space="0" w:color="auto"/>
      </w:divBdr>
    </w:div>
    <w:div w:id="610940733">
      <w:bodyDiv w:val="1"/>
      <w:marLeft w:val="0"/>
      <w:marRight w:val="0"/>
      <w:marTop w:val="0"/>
      <w:marBottom w:val="0"/>
      <w:divBdr>
        <w:top w:val="none" w:sz="0" w:space="0" w:color="auto"/>
        <w:left w:val="none" w:sz="0" w:space="0" w:color="auto"/>
        <w:bottom w:val="none" w:sz="0" w:space="0" w:color="auto"/>
        <w:right w:val="none" w:sz="0" w:space="0" w:color="auto"/>
      </w:divBdr>
    </w:div>
    <w:div w:id="612786426">
      <w:bodyDiv w:val="1"/>
      <w:marLeft w:val="0"/>
      <w:marRight w:val="0"/>
      <w:marTop w:val="0"/>
      <w:marBottom w:val="0"/>
      <w:divBdr>
        <w:top w:val="none" w:sz="0" w:space="0" w:color="auto"/>
        <w:left w:val="none" w:sz="0" w:space="0" w:color="auto"/>
        <w:bottom w:val="none" w:sz="0" w:space="0" w:color="auto"/>
        <w:right w:val="none" w:sz="0" w:space="0" w:color="auto"/>
      </w:divBdr>
    </w:div>
    <w:div w:id="664091772">
      <w:bodyDiv w:val="1"/>
      <w:marLeft w:val="0"/>
      <w:marRight w:val="0"/>
      <w:marTop w:val="0"/>
      <w:marBottom w:val="0"/>
      <w:divBdr>
        <w:top w:val="none" w:sz="0" w:space="0" w:color="auto"/>
        <w:left w:val="none" w:sz="0" w:space="0" w:color="auto"/>
        <w:bottom w:val="none" w:sz="0" w:space="0" w:color="auto"/>
        <w:right w:val="none" w:sz="0" w:space="0" w:color="auto"/>
      </w:divBdr>
    </w:div>
    <w:div w:id="701132433">
      <w:bodyDiv w:val="1"/>
      <w:marLeft w:val="0"/>
      <w:marRight w:val="0"/>
      <w:marTop w:val="0"/>
      <w:marBottom w:val="0"/>
      <w:divBdr>
        <w:top w:val="none" w:sz="0" w:space="0" w:color="auto"/>
        <w:left w:val="none" w:sz="0" w:space="0" w:color="auto"/>
        <w:bottom w:val="none" w:sz="0" w:space="0" w:color="auto"/>
        <w:right w:val="none" w:sz="0" w:space="0" w:color="auto"/>
      </w:divBdr>
    </w:div>
    <w:div w:id="702946267">
      <w:bodyDiv w:val="1"/>
      <w:marLeft w:val="0"/>
      <w:marRight w:val="0"/>
      <w:marTop w:val="0"/>
      <w:marBottom w:val="0"/>
      <w:divBdr>
        <w:top w:val="none" w:sz="0" w:space="0" w:color="auto"/>
        <w:left w:val="none" w:sz="0" w:space="0" w:color="auto"/>
        <w:bottom w:val="none" w:sz="0" w:space="0" w:color="auto"/>
        <w:right w:val="none" w:sz="0" w:space="0" w:color="auto"/>
      </w:divBdr>
    </w:div>
    <w:div w:id="707022667">
      <w:bodyDiv w:val="1"/>
      <w:marLeft w:val="0"/>
      <w:marRight w:val="0"/>
      <w:marTop w:val="35"/>
      <w:marBottom w:val="35"/>
      <w:divBdr>
        <w:top w:val="none" w:sz="0" w:space="0" w:color="auto"/>
        <w:left w:val="none" w:sz="0" w:space="0" w:color="auto"/>
        <w:bottom w:val="none" w:sz="0" w:space="0" w:color="auto"/>
        <w:right w:val="none" w:sz="0" w:space="0" w:color="auto"/>
      </w:divBdr>
      <w:divsChild>
        <w:div w:id="1771006754">
          <w:marLeft w:val="0"/>
          <w:marRight w:val="0"/>
          <w:marTop w:val="0"/>
          <w:marBottom w:val="0"/>
          <w:divBdr>
            <w:top w:val="none" w:sz="0" w:space="0" w:color="auto"/>
            <w:left w:val="none" w:sz="0" w:space="0" w:color="auto"/>
            <w:bottom w:val="none" w:sz="0" w:space="0" w:color="auto"/>
            <w:right w:val="none" w:sz="0" w:space="0" w:color="auto"/>
          </w:divBdr>
          <w:divsChild>
            <w:div w:id="1839882756">
              <w:marLeft w:val="0"/>
              <w:marRight w:val="0"/>
              <w:marTop w:val="0"/>
              <w:marBottom w:val="0"/>
              <w:divBdr>
                <w:top w:val="none" w:sz="0" w:space="0" w:color="auto"/>
                <w:left w:val="none" w:sz="0" w:space="0" w:color="auto"/>
                <w:bottom w:val="none" w:sz="0" w:space="0" w:color="auto"/>
                <w:right w:val="none" w:sz="0" w:space="0" w:color="auto"/>
              </w:divBdr>
              <w:divsChild>
                <w:div w:id="1929385308">
                  <w:marLeft w:val="1832"/>
                  <w:marRight w:val="3041"/>
                  <w:marTop w:val="0"/>
                  <w:marBottom w:val="0"/>
                  <w:divBdr>
                    <w:top w:val="none" w:sz="0" w:space="0" w:color="auto"/>
                    <w:left w:val="single" w:sz="4" w:space="0" w:color="D3E1F9"/>
                    <w:bottom w:val="none" w:sz="0" w:space="0" w:color="auto"/>
                    <w:right w:val="none" w:sz="0" w:space="0" w:color="auto"/>
                  </w:divBdr>
                  <w:divsChild>
                    <w:div w:id="1385643492">
                      <w:marLeft w:val="0"/>
                      <w:marRight w:val="0"/>
                      <w:marTop w:val="0"/>
                      <w:marBottom w:val="0"/>
                      <w:divBdr>
                        <w:top w:val="none" w:sz="0" w:space="0" w:color="auto"/>
                        <w:left w:val="none" w:sz="0" w:space="0" w:color="auto"/>
                        <w:bottom w:val="none" w:sz="0" w:space="0" w:color="auto"/>
                        <w:right w:val="none" w:sz="0" w:space="0" w:color="auto"/>
                      </w:divBdr>
                      <w:divsChild>
                        <w:div w:id="94392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845659">
      <w:bodyDiv w:val="1"/>
      <w:marLeft w:val="0"/>
      <w:marRight w:val="0"/>
      <w:marTop w:val="0"/>
      <w:marBottom w:val="0"/>
      <w:divBdr>
        <w:top w:val="none" w:sz="0" w:space="0" w:color="auto"/>
        <w:left w:val="none" w:sz="0" w:space="0" w:color="auto"/>
        <w:bottom w:val="none" w:sz="0" w:space="0" w:color="auto"/>
        <w:right w:val="none" w:sz="0" w:space="0" w:color="auto"/>
      </w:divBdr>
    </w:div>
    <w:div w:id="810681499">
      <w:bodyDiv w:val="1"/>
      <w:marLeft w:val="0"/>
      <w:marRight w:val="0"/>
      <w:marTop w:val="0"/>
      <w:marBottom w:val="0"/>
      <w:divBdr>
        <w:top w:val="none" w:sz="0" w:space="0" w:color="auto"/>
        <w:left w:val="none" w:sz="0" w:space="0" w:color="auto"/>
        <w:bottom w:val="none" w:sz="0" w:space="0" w:color="auto"/>
        <w:right w:val="none" w:sz="0" w:space="0" w:color="auto"/>
      </w:divBdr>
    </w:div>
    <w:div w:id="827939025">
      <w:bodyDiv w:val="1"/>
      <w:marLeft w:val="0"/>
      <w:marRight w:val="0"/>
      <w:marTop w:val="0"/>
      <w:marBottom w:val="0"/>
      <w:divBdr>
        <w:top w:val="none" w:sz="0" w:space="0" w:color="auto"/>
        <w:left w:val="none" w:sz="0" w:space="0" w:color="auto"/>
        <w:bottom w:val="none" w:sz="0" w:space="0" w:color="auto"/>
        <w:right w:val="none" w:sz="0" w:space="0" w:color="auto"/>
      </w:divBdr>
    </w:div>
    <w:div w:id="834034807">
      <w:bodyDiv w:val="1"/>
      <w:marLeft w:val="0"/>
      <w:marRight w:val="0"/>
      <w:marTop w:val="0"/>
      <w:marBottom w:val="0"/>
      <w:divBdr>
        <w:top w:val="none" w:sz="0" w:space="0" w:color="auto"/>
        <w:left w:val="none" w:sz="0" w:space="0" w:color="auto"/>
        <w:bottom w:val="none" w:sz="0" w:space="0" w:color="auto"/>
        <w:right w:val="none" w:sz="0" w:space="0" w:color="auto"/>
      </w:divBdr>
    </w:div>
    <w:div w:id="836074408">
      <w:bodyDiv w:val="1"/>
      <w:marLeft w:val="0"/>
      <w:marRight w:val="0"/>
      <w:marTop w:val="0"/>
      <w:marBottom w:val="0"/>
      <w:divBdr>
        <w:top w:val="none" w:sz="0" w:space="0" w:color="auto"/>
        <w:left w:val="none" w:sz="0" w:space="0" w:color="auto"/>
        <w:bottom w:val="none" w:sz="0" w:space="0" w:color="auto"/>
        <w:right w:val="none" w:sz="0" w:space="0" w:color="auto"/>
      </w:divBdr>
    </w:div>
    <w:div w:id="846751976">
      <w:bodyDiv w:val="1"/>
      <w:marLeft w:val="0"/>
      <w:marRight w:val="0"/>
      <w:marTop w:val="0"/>
      <w:marBottom w:val="0"/>
      <w:divBdr>
        <w:top w:val="none" w:sz="0" w:space="0" w:color="auto"/>
        <w:left w:val="none" w:sz="0" w:space="0" w:color="auto"/>
        <w:bottom w:val="none" w:sz="0" w:space="0" w:color="auto"/>
        <w:right w:val="none" w:sz="0" w:space="0" w:color="auto"/>
      </w:divBdr>
    </w:div>
    <w:div w:id="854271405">
      <w:bodyDiv w:val="1"/>
      <w:marLeft w:val="0"/>
      <w:marRight w:val="0"/>
      <w:marTop w:val="0"/>
      <w:marBottom w:val="0"/>
      <w:divBdr>
        <w:top w:val="none" w:sz="0" w:space="0" w:color="auto"/>
        <w:left w:val="none" w:sz="0" w:space="0" w:color="auto"/>
        <w:bottom w:val="none" w:sz="0" w:space="0" w:color="auto"/>
        <w:right w:val="none" w:sz="0" w:space="0" w:color="auto"/>
      </w:divBdr>
    </w:div>
    <w:div w:id="883054602">
      <w:bodyDiv w:val="1"/>
      <w:marLeft w:val="0"/>
      <w:marRight w:val="0"/>
      <w:marTop w:val="0"/>
      <w:marBottom w:val="0"/>
      <w:divBdr>
        <w:top w:val="none" w:sz="0" w:space="0" w:color="auto"/>
        <w:left w:val="none" w:sz="0" w:space="0" w:color="auto"/>
        <w:bottom w:val="none" w:sz="0" w:space="0" w:color="auto"/>
        <w:right w:val="none" w:sz="0" w:space="0" w:color="auto"/>
      </w:divBdr>
    </w:div>
    <w:div w:id="889267182">
      <w:bodyDiv w:val="1"/>
      <w:marLeft w:val="0"/>
      <w:marRight w:val="0"/>
      <w:marTop w:val="0"/>
      <w:marBottom w:val="0"/>
      <w:divBdr>
        <w:top w:val="none" w:sz="0" w:space="0" w:color="auto"/>
        <w:left w:val="none" w:sz="0" w:space="0" w:color="auto"/>
        <w:bottom w:val="none" w:sz="0" w:space="0" w:color="auto"/>
        <w:right w:val="none" w:sz="0" w:space="0" w:color="auto"/>
      </w:divBdr>
    </w:div>
    <w:div w:id="917907226">
      <w:bodyDiv w:val="1"/>
      <w:marLeft w:val="0"/>
      <w:marRight w:val="0"/>
      <w:marTop w:val="0"/>
      <w:marBottom w:val="0"/>
      <w:divBdr>
        <w:top w:val="none" w:sz="0" w:space="0" w:color="auto"/>
        <w:left w:val="none" w:sz="0" w:space="0" w:color="auto"/>
        <w:bottom w:val="none" w:sz="0" w:space="0" w:color="auto"/>
        <w:right w:val="none" w:sz="0" w:space="0" w:color="auto"/>
      </w:divBdr>
    </w:div>
    <w:div w:id="963461174">
      <w:bodyDiv w:val="1"/>
      <w:marLeft w:val="0"/>
      <w:marRight w:val="0"/>
      <w:marTop w:val="0"/>
      <w:marBottom w:val="0"/>
      <w:divBdr>
        <w:top w:val="none" w:sz="0" w:space="0" w:color="auto"/>
        <w:left w:val="none" w:sz="0" w:space="0" w:color="auto"/>
        <w:bottom w:val="none" w:sz="0" w:space="0" w:color="auto"/>
        <w:right w:val="none" w:sz="0" w:space="0" w:color="auto"/>
      </w:divBdr>
    </w:div>
    <w:div w:id="976178305">
      <w:bodyDiv w:val="1"/>
      <w:marLeft w:val="0"/>
      <w:marRight w:val="0"/>
      <w:marTop w:val="0"/>
      <w:marBottom w:val="0"/>
      <w:divBdr>
        <w:top w:val="none" w:sz="0" w:space="0" w:color="auto"/>
        <w:left w:val="none" w:sz="0" w:space="0" w:color="auto"/>
        <w:bottom w:val="none" w:sz="0" w:space="0" w:color="auto"/>
        <w:right w:val="none" w:sz="0" w:space="0" w:color="auto"/>
      </w:divBdr>
    </w:div>
    <w:div w:id="984360924">
      <w:bodyDiv w:val="1"/>
      <w:marLeft w:val="0"/>
      <w:marRight w:val="0"/>
      <w:marTop w:val="0"/>
      <w:marBottom w:val="0"/>
      <w:divBdr>
        <w:top w:val="none" w:sz="0" w:space="0" w:color="auto"/>
        <w:left w:val="none" w:sz="0" w:space="0" w:color="auto"/>
        <w:bottom w:val="none" w:sz="0" w:space="0" w:color="auto"/>
        <w:right w:val="none" w:sz="0" w:space="0" w:color="auto"/>
      </w:divBdr>
    </w:div>
    <w:div w:id="1008557316">
      <w:bodyDiv w:val="1"/>
      <w:marLeft w:val="0"/>
      <w:marRight w:val="0"/>
      <w:marTop w:val="0"/>
      <w:marBottom w:val="0"/>
      <w:divBdr>
        <w:top w:val="none" w:sz="0" w:space="0" w:color="auto"/>
        <w:left w:val="none" w:sz="0" w:space="0" w:color="auto"/>
        <w:bottom w:val="none" w:sz="0" w:space="0" w:color="auto"/>
        <w:right w:val="none" w:sz="0" w:space="0" w:color="auto"/>
      </w:divBdr>
    </w:div>
    <w:div w:id="1018003122">
      <w:bodyDiv w:val="1"/>
      <w:marLeft w:val="0"/>
      <w:marRight w:val="0"/>
      <w:marTop w:val="0"/>
      <w:marBottom w:val="0"/>
      <w:divBdr>
        <w:top w:val="none" w:sz="0" w:space="0" w:color="auto"/>
        <w:left w:val="none" w:sz="0" w:space="0" w:color="auto"/>
        <w:bottom w:val="none" w:sz="0" w:space="0" w:color="auto"/>
        <w:right w:val="none" w:sz="0" w:space="0" w:color="auto"/>
      </w:divBdr>
    </w:div>
    <w:div w:id="1036275057">
      <w:bodyDiv w:val="1"/>
      <w:marLeft w:val="0"/>
      <w:marRight w:val="0"/>
      <w:marTop w:val="0"/>
      <w:marBottom w:val="0"/>
      <w:divBdr>
        <w:top w:val="none" w:sz="0" w:space="0" w:color="auto"/>
        <w:left w:val="none" w:sz="0" w:space="0" w:color="auto"/>
        <w:bottom w:val="none" w:sz="0" w:space="0" w:color="auto"/>
        <w:right w:val="none" w:sz="0" w:space="0" w:color="auto"/>
      </w:divBdr>
    </w:div>
    <w:div w:id="1039668129">
      <w:bodyDiv w:val="1"/>
      <w:marLeft w:val="0"/>
      <w:marRight w:val="0"/>
      <w:marTop w:val="0"/>
      <w:marBottom w:val="0"/>
      <w:divBdr>
        <w:top w:val="none" w:sz="0" w:space="0" w:color="auto"/>
        <w:left w:val="none" w:sz="0" w:space="0" w:color="auto"/>
        <w:bottom w:val="none" w:sz="0" w:space="0" w:color="auto"/>
        <w:right w:val="none" w:sz="0" w:space="0" w:color="auto"/>
      </w:divBdr>
    </w:div>
    <w:div w:id="1088382674">
      <w:bodyDiv w:val="1"/>
      <w:marLeft w:val="0"/>
      <w:marRight w:val="0"/>
      <w:marTop w:val="0"/>
      <w:marBottom w:val="0"/>
      <w:divBdr>
        <w:top w:val="none" w:sz="0" w:space="0" w:color="auto"/>
        <w:left w:val="none" w:sz="0" w:space="0" w:color="auto"/>
        <w:bottom w:val="none" w:sz="0" w:space="0" w:color="auto"/>
        <w:right w:val="none" w:sz="0" w:space="0" w:color="auto"/>
      </w:divBdr>
    </w:div>
    <w:div w:id="1095050511">
      <w:bodyDiv w:val="1"/>
      <w:marLeft w:val="0"/>
      <w:marRight w:val="0"/>
      <w:marTop w:val="0"/>
      <w:marBottom w:val="0"/>
      <w:divBdr>
        <w:top w:val="none" w:sz="0" w:space="0" w:color="auto"/>
        <w:left w:val="none" w:sz="0" w:space="0" w:color="auto"/>
        <w:bottom w:val="none" w:sz="0" w:space="0" w:color="auto"/>
        <w:right w:val="none" w:sz="0" w:space="0" w:color="auto"/>
      </w:divBdr>
    </w:div>
    <w:div w:id="1095126395">
      <w:bodyDiv w:val="1"/>
      <w:marLeft w:val="0"/>
      <w:marRight w:val="0"/>
      <w:marTop w:val="0"/>
      <w:marBottom w:val="0"/>
      <w:divBdr>
        <w:top w:val="none" w:sz="0" w:space="0" w:color="auto"/>
        <w:left w:val="none" w:sz="0" w:space="0" w:color="auto"/>
        <w:bottom w:val="none" w:sz="0" w:space="0" w:color="auto"/>
        <w:right w:val="none" w:sz="0" w:space="0" w:color="auto"/>
      </w:divBdr>
    </w:div>
    <w:div w:id="1110052246">
      <w:bodyDiv w:val="1"/>
      <w:marLeft w:val="0"/>
      <w:marRight w:val="0"/>
      <w:marTop w:val="0"/>
      <w:marBottom w:val="0"/>
      <w:divBdr>
        <w:top w:val="none" w:sz="0" w:space="0" w:color="auto"/>
        <w:left w:val="none" w:sz="0" w:space="0" w:color="auto"/>
        <w:bottom w:val="none" w:sz="0" w:space="0" w:color="auto"/>
        <w:right w:val="none" w:sz="0" w:space="0" w:color="auto"/>
      </w:divBdr>
    </w:div>
    <w:div w:id="1118914317">
      <w:bodyDiv w:val="1"/>
      <w:marLeft w:val="0"/>
      <w:marRight w:val="0"/>
      <w:marTop w:val="0"/>
      <w:marBottom w:val="0"/>
      <w:divBdr>
        <w:top w:val="none" w:sz="0" w:space="0" w:color="auto"/>
        <w:left w:val="none" w:sz="0" w:space="0" w:color="auto"/>
        <w:bottom w:val="none" w:sz="0" w:space="0" w:color="auto"/>
        <w:right w:val="none" w:sz="0" w:space="0" w:color="auto"/>
      </w:divBdr>
    </w:div>
    <w:div w:id="1144614618">
      <w:bodyDiv w:val="1"/>
      <w:marLeft w:val="0"/>
      <w:marRight w:val="0"/>
      <w:marTop w:val="0"/>
      <w:marBottom w:val="0"/>
      <w:divBdr>
        <w:top w:val="none" w:sz="0" w:space="0" w:color="auto"/>
        <w:left w:val="none" w:sz="0" w:space="0" w:color="auto"/>
        <w:bottom w:val="none" w:sz="0" w:space="0" w:color="auto"/>
        <w:right w:val="none" w:sz="0" w:space="0" w:color="auto"/>
      </w:divBdr>
    </w:div>
    <w:div w:id="1175924671">
      <w:bodyDiv w:val="1"/>
      <w:marLeft w:val="0"/>
      <w:marRight w:val="0"/>
      <w:marTop w:val="0"/>
      <w:marBottom w:val="0"/>
      <w:divBdr>
        <w:top w:val="none" w:sz="0" w:space="0" w:color="auto"/>
        <w:left w:val="none" w:sz="0" w:space="0" w:color="auto"/>
        <w:bottom w:val="none" w:sz="0" w:space="0" w:color="auto"/>
        <w:right w:val="none" w:sz="0" w:space="0" w:color="auto"/>
      </w:divBdr>
    </w:div>
    <w:div w:id="1207063710">
      <w:bodyDiv w:val="1"/>
      <w:marLeft w:val="0"/>
      <w:marRight w:val="0"/>
      <w:marTop w:val="0"/>
      <w:marBottom w:val="0"/>
      <w:divBdr>
        <w:top w:val="none" w:sz="0" w:space="0" w:color="auto"/>
        <w:left w:val="none" w:sz="0" w:space="0" w:color="auto"/>
        <w:bottom w:val="none" w:sz="0" w:space="0" w:color="auto"/>
        <w:right w:val="none" w:sz="0" w:space="0" w:color="auto"/>
      </w:divBdr>
    </w:div>
    <w:div w:id="1227298799">
      <w:bodyDiv w:val="1"/>
      <w:marLeft w:val="0"/>
      <w:marRight w:val="0"/>
      <w:marTop w:val="0"/>
      <w:marBottom w:val="0"/>
      <w:divBdr>
        <w:top w:val="none" w:sz="0" w:space="0" w:color="auto"/>
        <w:left w:val="none" w:sz="0" w:space="0" w:color="auto"/>
        <w:bottom w:val="none" w:sz="0" w:space="0" w:color="auto"/>
        <w:right w:val="none" w:sz="0" w:space="0" w:color="auto"/>
      </w:divBdr>
    </w:div>
    <w:div w:id="1250113240">
      <w:bodyDiv w:val="1"/>
      <w:marLeft w:val="0"/>
      <w:marRight w:val="0"/>
      <w:marTop w:val="0"/>
      <w:marBottom w:val="0"/>
      <w:divBdr>
        <w:top w:val="none" w:sz="0" w:space="0" w:color="auto"/>
        <w:left w:val="none" w:sz="0" w:space="0" w:color="auto"/>
        <w:bottom w:val="none" w:sz="0" w:space="0" w:color="auto"/>
        <w:right w:val="none" w:sz="0" w:space="0" w:color="auto"/>
      </w:divBdr>
    </w:div>
    <w:div w:id="1259370287">
      <w:bodyDiv w:val="1"/>
      <w:marLeft w:val="0"/>
      <w:marRight w:val="0"/>
      <w:marTop w:val="0"/>
      <w:marBottom w:val="0"/>
      <w:divBdr>
        <w:top w:val="none" w:sz="0" w:space="0" w:color="auto"/>
        <w:left w:val="none" w:sz="0" w:space="0" w:color="auto"/>
        <w:bottom w:val="none" w:sz="0" w:space="0" w:color="auto"/>
        <w:right w:val="none" w:sz="0" w:space="0" w:color="auto"/>
      </w:divBdr>
    </w:div>
    <w:div w:id="1265261658">
      <w:bodyDiv w:val="1"/>
      <w:marLeft w:val="0"/>
      <w:marRight w:val="0"/>
      <w:marTop w:val="0"/>
      <w:marBottom w:val="0"/>
      <w:divBdr>
        <w:top w:val="none" w:sz="0" w:space="0" w:color="auto"/>
        <w:left w:val="none" w:sz="0" w:space="0" w:color="auto"/>
        <w:bottom w:val="none" w:sz="0" w:space="0" w:color="auto"/>
        <w:right w:val="none" w:sz="0" w:space="0" w:color="auto"/>
      </w:divBdr>
    </w:div>
    <w:div w:id="1273242185">
      <w:bodyDiv w:val="1"/>
      <w:marLeft w:val="0"/>
      <w:marRight w:val="0"/>
      <w:marTop w:val="0"/>
      <w:marBottom w:val="0"/>
      <w:divBdr>
        <w:top w:val="none" w:sz="0" w:space="0" w:color="auto"/>
        <w:left w:val="none" w:sz="0" w:space="0" w:color="auto"/>
        <w:bottom w:val="none" w:sz="0" w:space="0" w:color="auto"/>
        <w:right w:val="none" w:sz="0" w:space="0" w:color="auto"/>
      </w:divBdr>
    </w:div>
    <w:div w:id="1282036628">
      <w:bodyDiv w:val="1"/>
      <w:marLeft w:val="0"/>
      <w:marRight w:val="0"/>
      <w:marTop w:val="0"/>
      <w:marBottom w:val="0"/>
      <w:divBdr>
        <w:top w:val="none" w:sz="0" w:space="0" w:color="auto"/>
        <w:left w:val="none" w:sz="0" w:space="0" w:color="auto"/>
        <w:bottom w:val="none" w:sz="0" w:space="0" w:color="auto"/>
        <w:right w:val="none" w:sz="0" w:space="0" w:color="auto"/>
      </w:divBdr>
    </w:div>
    <w:div w:id="1309171134">
      <w:bodyDiv w:val="1"/>
      <w:marLeft w:val="0"/>
      <w:marRight w:val="0"/>
      <w:marTop w:val="0"/>
      <w:marBottom w:val="0"/>
      <w:divBdr>
        <w:top w:val="none" w:sz="0" w:space="0" w:color="auto"/>
        <w:left w:val="none" w:sz="0" w:space="0" w:color="auto"/>
        <w:bottom w:val="none" w:sz="0" w:space="0" w:color="auto"/>
        <w:right w:val="none" w:sz="0" w:space="0" w:color="auto"/>
      </w:divBdr>
    </w:div>
    <w:div w:id="1320306996">
      <w:bodyDiv w:val="1"/>
      <w:marLeft w:val="0"/>
      <w:marRight w:val="0"/>
      <w:marTop w:val="0"/>
      <w:marBottom w:val="0"/>
      <w:divBdr>
        <w:top w:val="none" w:sz="0" w:space="0" w:color="auto"/>
        <w:left w:val="none" w:sz="0" w:space="0" w:color="auto"/>
        <w:bottom w:val="none" w:sz="0" w:space="0" w:color="auto"/>
        <w:right w:val="none" w:sz="0" w:space="0" w:color="auto"/>
      </w:divBdr>
    </w:div>
    <w:div w:id="1332097932">
      <w:bodyDiv w:val="1"/>
      <w:marLeft w:val="0"/>
      <w:marRight w:val="0"/>
      <w:marTop w:val="0"/>
      <w:marBottom w:val="0"/>
      <w:divBdr>
        <w:top w:val="none" w:sz="0" w:space="0" w:color="auto"/>
        <w:left w:val="none" w:sz="0" w:space="0" w:color="auto"/>
        <w:bottom w:val="none" w:sz="0" w:space="0" w:color="auto"/>
        <w:right w:val="none" w:sz="0" w:space="0" w:color="auto"/>
      </w:divBdr>
    </w:div>
    <w:div w:id="1338074482">
      <w:bodyDiv w:val="1"/>
      <w:marLeft w:val="0"/>
      <w:marRight w:val="0"/>
      <w:marTop w:val="0"/>
      <w:marBottom w:val="0"/>
      <w:divBdr>
        <w:top w:val="none" w:sz="0" w:space="0" w:color="auto"/>
        <w:left w:val="none" w:sz="0" w:space="0" w:color="auto"/>
        <w:bottom w:val="none" w:sz="0" w:space="0" w:color="auto"/>
        <w:right w:val="none" w:sz="0" w:space="0" w:color="auto"/>
      </w:divBdr>
    </w:div>
    <w:div w:id="1366636133">
      <w:bodyDiv w:val="1"/>
      <w:marLeft w:val="0"/>
      <w:marRight w:val="0"/>
      <w:marTop w:val="0"/>
      <w:marBottom w:val="0"/>
      <w:divBdr>
        <w:top w:val="none" w:sz="0" w:space="0" w:color="auto"/>
        <w:left w:val="none" w:sz="0" w:space="0" w:color="auto"/>
        <w:bottom w:val="none" w:sz="0" w:space="0" w:color="auto"/>
        <w:right w:val="none" w:sz="0" w:space="0" w:color="auto"/>
      </w:divBdr>
    </w:div>
    <w:div w:id="1400245764">
      <w:bodyDiv w:val="1"/>
      <w:marLeft w:val="0"/>
      <w:marRight w:val="0"/>
      <w:marTop w:val="0"/>
      <w:marBottom w:val="0"/>
      <w:divBdr>
        <w:top w:val="none" w:sz="0" w:space="0" w:color="auto"/>
        <w:left w:val="none" w:sz="0" w:space="0" w:color="auto"/>
        <w:bottom w:val="none" w:sz="0" w:space="0" w:color="auto"/>
        <w:right w:val="none" w:sz="0" w:space="0" w:color="auto"/>
      </w:divBdr>
    </w:div>
    <w:div w:id="1400322976">
      <w:bodyDiv w:val="1"/>
      <w:marLeft w:val="0"/>
      <w:marRight w:val="0"/>
      <w:marTop w:val="0"/>
      <w:marBottom w:val="0"/>
      <w:divBdr>
        <w:top w:val="none" w:sz="0" w:space="0" w:color="auto"/>
        <w:left w:val="none" w:sz="0" w:space="0" w:color="auto"/>
        <w:bottom w:val="none" w:sz="0" w:space="0" w:color="auto"/>
        <w:right w:val="none" w:sz="0" w:space="0" w:color="auto"/>
      </w:divBdr>
    </w:div>
    <w:div w:id="1407537309">
      <w:bodyDiv w:val="1"/>
      <w:marLeft w:val="0"/>
      <w:marRight w:val="0"/>
      <w:marTop w:val="0"/>
      <w:marBottom w:val="0"/>
      <w:divBdr>
        <w:top w:val="none" w:sz="0" w:space="0" w:color="auto"/>
        <w:left w:val="none" w:sz="0" w:space="0" w:color="auto"/>
        <w:bottom w:val="none" w:sz="0" w:space="0" w:color="auto"/>
        <w:right w:val="none" w:sz="0" w:space="0" w:color="auto"/>
      </w:divBdr>
    </w:div>
    <w:div w:id="1442263771">
      <w:bodyDiv w:val="1"/>
      <w:marLeft w:val="0"/>
      <w:marRight w:val="0"/>
      <w:marTop w:val="0"/>
      <w:marBottom w:val="0"/>
      <w:divBdr>
        <w:top w:val="none" w:sz="0" w:space="0" w:color="auto"/>
        <w:left w:val="none" w:sz="0" w:space="0" w:color="auto"/>
        <w:bottom w:val="none" w:sz="0" w:space="0" w:color="auto"/>
        <w:right w:val="none" w:sz="0" w:space="0" w:color="auto"/>
      </w:divBdr>
    </w:div>
    <w:div w:id="1446266123">
      <w:bodyDiv w:val="1"/>
      <w:marLeft w:val="0"/>
      <w:marRight w:val="0"/>
      <w:marTop w:val="0"/>
      <w:marBottom w:val="0"/>
      <w:divBdr>
        <w:top w:val="none" w:sz="0" w:space="0" w:color="auto"/>
        <w:left w:val="none" w:sz="0" w:space="0" w:color="auto"/>
        <w:bottom w:val="none" w:sz="0" w:space="0" w:color="auto"/>
        <w:right w:val="none" w:sz="0" w:space="0" w:color="auto"/>
      </w:divBdr>
    </w:div>
    <w:div w:id="1454514366">
      <w:bodyDiv w:val="1"/>
      <w:marLeft w:val="0"/>
      <w:marRight w:val="0"/>
      <w:marTop w:val="0"/>
      <w:marBottom w:val="0"/>
      <w:divBdr>
        <w:top w:val="none" w:sz="0" w:space="0" w:color="auto"/>
        <w:left w:val="none" w:sz="0" w:space="0" w:color="auto"/>
        <w:bottom w:val="none" w:sz="0" w:space="0" w:color="auto"/>
        <w:right w:val="none" w:sz="0" w:space="0" w:color="auto"/>
      </w:divBdr>
    </w:div>
    <w:div w:id="1483158962">
      <w:bodyDiv w:val="1"/>
      <w:marLeft w:val="0"/>
      <w:marRight w:val="0"/>
      <w:marTop w:val="0"/>
      <w:marBottom w:val="0"/>
      <w:divBdr>
        <w:top w:val="none" w:sz="0" w:space="0" w:color="auto"/>
        <w:left w:val="none" w:sz="0" w:space="0" w:color="auto"/>
        <w:bottom w:val="none" w:sz="0" w:space="0" w:color="auto"/>
        <w:right w:val="none" w:sz="0" w:space="0" w:color="auto"/>
      </w:divBdr>
    </w:div>
    <w:div w:id="1483740710">
      <w:bodyDiv w:val="1"/>
      <w:marLeft w:val="0"/>
      <w:marRight w:val="0"/>
      <w:marTop w:val="0"/>
      <w:marBottom w:val="0"/>
      <w:divBdr>
        <w:top w:val="none" w:sz="0" w:space="0" w:color="auto"/>
        <w:left w:val="none" w:sz="0" w:space="0" w:color="auto"/>
        <w:bottom w:val="none" w:sz="0" w:space="0" w:color="auto"/>
        <w:right w:val="none" w:sz="0" w:space="0" w:color="auto"/>
      </w:divBdr>
    </w:div>
    <w:div w:id="1491292315">
      <w:bodyDiv w:val="1"/>
      <w:marLeft w:val="0"/>
      <w:marRight w:val="0"/>
      <w:marTop w:val="0"/>
      <w:marBottom w:val="0"/>
      <w:divBdr>
        <w:top w:val="none" w:sz="0" w:space="0" w:color="auto"/>
        <w:left w:val="none" w:sz="0" w:space="0" w:color="auto"/>
        <w:bottom w:val="none" w:sz="0" w:space="0" w:color="auto"/>
        <w:right w:val="none" w:sz="0" w:space="0" w:color="auto"/>
      </w:divBdr>
    </w:div>
    <w:div w:id="1503666463">
      <w:bodyDiv w:val="1"/>
      <w:marLeft w:val="0"/>
      <w:marRight w:val="0"/>
      <w:marTop w:val="0"/>
      <w:marBottom w:val="0"/>
      <w:divBdr>
        <w:top w:val="none" w:sz="0" w:space="0" w:color="auto"/>
        <w:left w:val="none" w:sz="0" w:space="0" w:color="auto"/>
        <w:bottom w:val="none" w:sz="0" w:space="0" w:color="auto"/>
        <w:right w:val="none" w:sz="0" w:space="0" w:color="auto"/>
      </w:divBdr>
    </w:div>
    <w:div w:id="1504516670">
      <w:bodyDiv w:val="1"/>
      <w:marLeft w:val="0"/>
      <w:marRight w:val="0"/>
      <w:marTop w:val="0"/>
      <w:marBottom w:val="0"/>
      <w:divBdr>
        <w:top w:val="none" w:sz="0" w:space="0" w:color="auto"/>
        <w:left w:val="none" w:sz="0" w:space="0" w:color="auto"/>
        <w:bottom w:val="none" w:sz="0" w:space="0" w:color="auto"/>
        <w:right w:val="none" w:sz="0" w:space="0" w:color="auto"/>
      </w:divBdr>
    </w:div>
    <w:div w:id="1505627871">
      <w:bodyDiv w:val="1"/>
      <w:marLeft w:val="0"/>
      <w:marRight w:val="0"/>
      <w:marTop w:val="0"/>
      <w:marBottom w:val="0"/>
      <w:divBdr>
        <w:top w:val="none" w:sz="0" w:space="0" w:color="auto"/>
        <w:left w:val="none" w:sz="0" w:space="0" w:color="auto"/>
        <w:bottom w:val="none" w:sz="0" w:space="0" w:color="auto"/>
        <w:right w:val="none" w:sz="0" w:space="0" w:color="auto"/>
      </w:divBdr>
    </w:div>
    <w:div w:id="1576628559">
      <w:bodyDiv w:val="1"/>
      <w:marLeft w:val="0"/>
      <w:marRight w:val="0"/>
      <w:marTop w:val="0"/>
      <w:marBottom w:val="0"/>
      <w:divBdr>
        <w:top w:val="none" w:sz="0" w:space="0" w:color="auto"/>
        <w:left w:val="none" w:sz="0" w:space="0" w:color="auto"/>
        <w:bottom w:val="none" w:sz="0" w:space="0" w:color="auto"/>
        <w:right w:val="none" w:sz="0" w:space="0" w:color="auto"/>
      </w:divBdr>
    </w:div>
    <w:div w:id="1579485600">
      <w:bodyDiv w:val="1"/>
      <w:marLeft w:val="0"/>
      <w:marRight w:val="0"/>
      <w:marTop w:val="0"/>
      <w:marBottom w:val="0"/>
      <w:divBdr>
        <w:top w:val="none" w:sz="0" w:space="0" w:color="auto"/>
        <w:left w:val="none" w:sz="0" w:space="0" w:color="auto"/>
        <w:bottom w:val="none" w:sz="0" w:space="0" w:color="auto"/>
        <w:right w:val="none" w:sz="0" w:space="0" w:color="auto"/>
      </w:divBdr>
    </w:div>
    <w:div w:id="1587105006">
      <w:bodyDiv w:val="1"/>
      <w:marLeft w:val="0"/>
      <w:marRight w:val="0"/>
      <w:marTop w:val="0"/>
      <w:marBottom w:val="0"/>
      <w:divBdr>
        <w:top w:val="none" w:sz="0" w:space="0" w:color="auto"/>
        <w:left w:val="none" w:sz="0" w:space="0" w:color="auto"/>
        <w:bottom w:val="none" w:sz="0" w:space="0" w:color="auto"/>
        <w:right w:val="none" w:sz="0" w:space="0" w:color="auto"/>
      </w:divBdr>
    </w:div>
    <w:div w:id="1587691132">
      <w:bodyDiv w:val="1"/>
      <w:marLeft w:val="0"/>
      <w:marRight w:val="0"/>
      <w:marTop w:val="0"/>
      <w:marBottom w:val="0"/>
      <w:divBdr>
        <w:top w:val="none" w:sz="0" w:space="0" w:color="auto"/>
        <w:left w:val="none" w:sz="0" w:space="0" w:color="auto"/>
        <w:bottom w:val="none" w:sz="0" w:space="0" w:color="auto"/>
        <w:right w:val="none" w:sz="0" w:space="0" w:color="auto"/>
      </w:divBdr>
    </w:div>
    <w:div w:id="1598752797">
      <w:bodyDiv w:val="1"/>
      <w:marLeft w:val="0"/>
      <w:marRight w:val="0"/>
      <w:marTop w:val="0"/>
      <w:marBottom w:val="0"/>
      <w:divBdr>
        <w:top w:val="none" w:sz="0" w:space="0" w:color="auto"/>
        <w:left w:val="none" w:sz="0" w:space="0" w:color="auto"/>
        <w:bottom w:val="none" w:sz="0" w:space="0" w:color="auto"/>
        <w:right w:val="none" w:sz="0" w:space="0" w:color="auto"/>
      </w:divBdr>
    </w:div>
    <w:div w:id="1618365693">
      <w:bodyDiv w:val="1"/>
      <w:marLeft w:val="0"/>
      <w:marRight w:val="0"/>
      <w:marTop w:val="0"/>
      <w:marBottom w:val="0"/>
      <w:divBdr>
        <w:top w:val="none" w:sz="0" w:space="0" w:color="auto"/>
        <w:left w:val="none" w:sz="0" w:space="0" w:color="auto"/>
        <w:bottom w:val="none" w:sz="0" w:space="0" w:color="auto"/>
        <w:right w:val="none" w:sz="0" w:space="0" w:color="auto"/>
      </w:divBdr>
    </w:div>
    <w:div w:id="1625384440">
      <w:bodyDiv w:val="1"/>
      <w:marLeft w:val="0"/>
      <w:marRight w:val="0"/>
      <w:marTop w:val="0"/>
      <w:marBottom w:val="0"/>
      <w:divBdr>
        <w:top w:val="none" w:sz="0" w:space="0" w:color="auto"/>
        <w:left w:val="none" w:sz="0" w:space="0" w:color="auto"/>
        <w:bottom w:val="none" w:sz="0" w:space="0" w:color="auto"/>
        <w:right w:val="none" w:sz="0" w:space="0" w:color="auto"/>
      </w:divBdr>
      <w:divsChild>
        <w:div w:id="138692175">
          <w:marLeft w:val="0"/>
          <w:marRight w:val="0"/>
          <w:marTop w:val="0"/>
          <w:marBottom w:val="0"/>
          <w:divBdr>
            <w:top w:val="none" w:sz="0" w:space="0" w:color="auto"/>
            <w:left w:val="none" w:sz="0" w:space="0" w:color="auto"/>
            <w:bottom w:val="none" w:sz="0" w:space="0" w:color="auto"/>
            <w:right w:val="none" w:sz="0" w:space="0" w:color="auto"/>
          </w:divBdr>
          <w:divsChild>
            <w:div w:id="1601836194">
              <w:marLeft w:val="0"/>
              <w:marRight w:val="0"/>
              <w:marTop w:val="0"/>
              <w:marBottom w:val="0"/>
              <w:divBdr>
                <w:top w:val="none" w:sz="0" w:space="0" w:color="auto"/>
                <w:left w:val="none" w:sz="0" w:space="0" w:color="auto"/>
                <w:bottom w:val="none" w:sz="0" w:space="0" w:color="auto"/>
                <w:right w:val="none" w:sz="0" w:space="0" w:color="auto"/>
              </w:divBdr>
              <w:divsChild>
                <w:div w:id="1705255137">
                  <w:marLeft w:val="0"/>
                  <w:marRight w:val="0"/>
                  <w:marTop w:val="0"/>
                  <w:marBottom w:val="0"/>
                  <w:divBdr>
                    <w:top w:val="none" w:sz="0" w:space="0" w:color="auto"/>
                    <w:left w:val="none" w:sz="0" w:space="0" w:color="auto"/>
                    <w:bottom w:val="none" w:sz="0" w:space="0" w:color="auto"/>
                    <w:right w:val="none" w:sz="0" w:space="0" w:color="auto"/>
                  </w:divBdr>
                  <w:divsChild>
                    <w:div w:id="197932308">
                      <w:marLeft w:val="0"/>
                      <w:marRight w:val="0"/>
                      <w:marTop w:val="0"/>
                      <w:marBottom w:val="0"/>
                      <w:divBdr>
                        <w:top w:val="none" w:sz="0" w:space="0" w:color="auto"/>
                        <w:left w:val="none" w:sz="0" w:space="0" w:color="auto"/>
                        <w:bottom w:val="none" w:sz="0" w:space="0" w:color="auto"/>
                        <w:right w:val="none" w:sz="0" w:space="0" w:color="auto"/>
                      </w:divBdr>
                      <w:divsChild>
                        <w:div w:id="172260928">
                          <w:marLeft w:val="0"/>
                          <w:marRight w:val="0"/>
                          <w:marTop w:val="0"/>
                          <w:marBottom w:val="0"/>
                          <w:divBdr>
                            <w:top w:val="none" w:sz="0" w:space="0" w:color="auto"/>
                            <w:left w:val="none" w:sz="0" w:space="0" w:color="auto"/>
                            <w:bottom w:val="none" w:sz="0" w:space="0" w:color="auto"/>
                            <w:right w:val="none" w:sz="0" w:space="0" w:color="auto"/>
                          </w:divBdr>
                          <w:divsChild>
                            <w:div w:id="353508104">
                              <w:marLeft w:val="0"/>
                              <w:marRight w:val="0"/>
                              <w:marTop w:val="0"/>
                              <w:marBottom w:val="0"/>
                              <w:divBdr>
                                <w:top w:val="none" w:sz="0" w:space="0" w:color="auto"/>
                                <w:left w:val="none" w:sz="0" w:space="0" w:color="auto"/>
                                <w:bottom w:val="none" w:sz="0" w:space="0" w:color="auto"/>
                                <w:right w:val="none" w:sz="0" w:space="0" w:color="auto"/>
                              </w:divBdr>
                              <w:divsChild>
                                <w:div w:id="1948077132">
                                  <w:marLeft w:val="0"/>
                                  <w:marRight w:val="0"/>
                                  <w:marTop w:val="0"/>
                                  <w:marBottom w:val="0"/>
                                  <w:divBdr>
                                    <w:top w:val="none" w:sz="0" w:space="0" w:color="auto"/>
                                    <w:left w:val="none" w:sz="0" w:space="0" w:color="auto"/>
                                    <w:bottom w:val="none" w:sz="0" w:space="0" w:color="auto"/>
                                    <w:right w:val="none" w:sz="0" w:space="0" w:color="auto"/>
                                  </w:divBdr>
                                  <w:divsChild>
                                    <w:div w:id="1365400038">
                                      <w:marLeft w:val="0"/>
                                      <w:marRight w:val="0"/>
                                      <w:marTop w:val="0"/>
                                      <w:marBottom w:val="0"/>
                                      <w:divBdr>
                                        <w:top w:val="single" w:sz="6" w:space="0" w:color="F5F5F5"/>
                                        <w:left w:val="single" w:sz="6" w:space="0" w:color="F5F5F5"/>
                                        <w:bottom w:val="single" w:sz="6" w:space="0" w:color="F5F5F5"/>
                                        <w:right w:val="single" w:sz="6" w:space="0" w:color="F5F5F5"/>
                                      </w:divBdr>
                                      <w:divsChild>
                                        <w:div w:id="749808448">
                                          <w:marLeft w:val="0"/>
                                          <w:marRight w:val="0"/>
                                          <w:marTop w:val="0"/>
                                          <w:marBottom w:val="0"/>
                                          <w:divBdr>
                                            <w:top w:val="none" w:sz="0" w:space="0" w:color="auto"/>
                                            <w:left w:val="none" w:sz="0" w:space="0" w:color="auto"/>
                                            <w:bottom w:val="none" w:sz="0" w:space="0" w:color="auto"/>
                                            <w:right w:val="none" w:sz="0" w:space="0" w:color="auto"/>
                                          </w:divBdr>
                                          <w:divsChild>
                                            <w:div w:id="20585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9161648">
      <w:bodyDiv w:val="1"/>
      <w:marLeft w:val="0"/>
      <w:marRight w:val="0"/>
      <w:marTop w:val="0"/>
      <w:marBottom w:val="0"/>
      <w:divBdr>
        <w:top w:val="none" w:sz="0" w:space="0" w:color="auto"/>
        <w:left w:val="none" w:sz="0" w:space="0" w:color="auto"/>
        <w:bottom w:val="none" w:sz="0" w:space="0" w:color="auto"/>
        <w:right w:val="none" w:sz="0" w:space="0" w:color="auto"/>
      </w:divBdr>
    </w:div>
    <w:div w:id="1645693432">
      <w:bodyDiv w:val="1"/>
      <w:marLeft w:val="0"/>
      <w:marRight w:val="0"/>
      <w:marTop w:val="0"/>
      <w:marBottom w:val="0"/>
      <w:divBdr>
        <w:top w:val="none" w:sz="0" w:space="0" w:color="auto"/>
        <w:left w:val="none" w:sz="0" w:space="0" w:color="auto"/>
        <w:bottom w:val="none" w:sz="0" w:space="0" w:color="auto"/>
        <w:right w:val="none" w:sz="0" w:space="0" w:color="auto"/>
      </w:divBdr>
    </w:div>
    <w:div w:id="1651639620">
      <w:bodyDiv w:val="1"/>
      <w:marLeft w:val="0"/>
      <w:marRight w:val="0"/>
      <w:marTop w:val="0"/>
      <w:marBottom w:val="0"/>
      <w:divBdr>
        <w:top w:val="none" w:sz="0" w:space="0" w:color="auto"/>
        <w:left w:val="none" w:sz="0" w:space="0" w:color="auto"/>
        <w:bottom w:val="none" w:sz="0" w:space="0" w:color="auto"/>
        <w:right w:val="none" w:sz="0" w:space="0" w:color="auto"/>
      </w:divBdr>
    </w:div>
    <w:div w:id="1681353317">
      <w:bodyDiv w:val="1"/>
      <w:marLeft w:val="0"/>
      <w:marRight w:val="0"/>
      <w:marTop w:val="0"/>
      <w:marBottom w:val="0"/>
      <w:divBdr>
        <w:top w:val="none" w:sz="0" w:space="0" w:color="auto"/>
        <w:left w:val="none" w:sz="0" w:space="0" w:color="auto"/>
        <w:bottom w:val="none" w:sz="0" w:space="0" w:color="auto"/>
        <w:right w:val="none" w:sz="0" w:space="0" w:color="auto"/>
      </w:divBdr>
    </w:div>
    <w:div w:id="1697655479">
      <w:bodyDiv w:val="1"/>
      <w:marLeft w:val="0"/>
      <w:marRight w:val="0"/>
      <w:marTop w:val="0"/>
      <w:marBottom w:val="0"/>
      <w:divBdr>
        <w:top w:val="none" w:sz="0" w:space="0" w:color="auto"/>
        <w:left w:val="none" w:sz="0" w:space="0" w:color="auto"/>
        <w:bottom w:val="none" w:sz="0" w:space="0" w:color="auto"/>
        <w:right w:val="none" w:sz="0" w:space="0" w:color="auto"/>
      </w:divBdr>
    </w:div>
    <w:div w:id="1717118071">
      <w:bodyDiv w:val="1"/>
      <w:marLeft w:val="0"/>
      <w:marRight w:val="0"/>
      <w:marTop w:val="0"/>
      <w:marBottom w:val="0"/>
      <w:divBdr>
        <w:top w:val="none" w:sz="0" w:space="0" w:color="auto"/>
        <w:left w:val="none" w:sz="0" w:space="0" w:color="auto"/>
        <w:bottom w:val="none" w:sz="0" w:space="0" w:color="auto"/>
        <w:right w:val="none" w:sz="0" w:space="0" w:color="auto"/>
      </w:divBdr>
    </w:div>
    <w:div w:id="1722289527">
      <w:bodyDiv w:val="1"/>
      <w:marLeft w:val="0"/>
      <w:marRight w:val="0"/>
      <w:marTop w:val="0"/>
      <w:marBottom w:val="0"/>
      <w:divBdr>
        <w:top w:val="none" w:sz="0" w:space="0" w:color="auto"/>
        <w:left w:val="none" w:sz="0" w:space="0" w:color="auto"/>
        <w:bottom w:val="none" w:sz="0" w:space="0" w:color="auto"/>
        <w:right w:val="none" w:sz="0" w:space="0" w:color="auto"/>
      </w:divBdr>
    </w:div>
    <w:div w:id="1728798056">
      <w:bodyDiv w:val="1"/>
      <w:marLeft w:val="0"/>
      <w:marRight w:val="0"/>
      <w:marTop w:val="0"/>
      <w:marBottom w:val="0"/>
      <w:divBdr>
        <w:top w:val="none" w:sz="0" w:space="0" w:color="auto"/>
        <w:left w:val="none" w:sz="0" w:space="0" w:color="auto"/>
        <w:bottom w:val="none" w:sz="0" w:space="0" w:color="auto"/>
        <w:right w:val="none" w:sz="0" w:space="0" w:color="auto"/>
      </w:divBdr>
    </w:div>
    <w:div w:id="1733963549">
      <w:bodyDiv w:val="1"/>
      <w:marLeft w:val="0"/>
      <w:marRight w:val="0"/>
      <w:marTop w:val="0"/>
      <w:marBottom w:val="0"/>
      <w:divBdr>
        <w:top w:val="none" w:sz="0" w:space="0" w:color="auto"/>
        <w:left w:val="none" w:sz="0" w:space="0" w:color="auto"/>
        <w:bottom w:val="none" w:sz="0" w:space="0" w:color="auto"/>
        <w:right w:val="none" w:sz="0" w:space="0" w:color="auto"/>
      </w:divBdr>
    </w:div>
    <w:div w:id="1742870871">
      <w:bodyDiv w:val="1"/>
      <w:marLeft w:val="0"/>
      <w:marRight w:val="0"/>
      <w:marTop w:val="0"/>
      <w:marBottom w:val="0"/>
      <w:divBdr>
        <w:top w:val="none" w:sz="0" w:space="0" w:color="auto"/>
        <w:left w:val="none" w:sz="0" w:space="0" w:color="auto"/>
        <w:bottom w:val="none" w:sz="0" w:space="0" w:color="auto"/>
        <w:right w:val="none" w:sz="0" w:space="0" w:color="auto"/>
      </w:divBdr>
    </w:div>
    <w:div w:id="1744375818">
      <w:bodyDiv w:val="1"/>
      <w:marLeft w:val="0"/>
      <w:marRight w:val="0"/>
      <w:marTop w:val="0"/>
      <w:marBottom w:val="0"/>
      <w:divBdr>
        <w:top w:val="none" w:sz="0" w:space="0" w:color="auto"/>
        <w:left w:val="none" w:sz="0" w:space="0" w:color="auto"/>
        <w:bottom w:val="none" w:sz="0" w:space="0" w:color="auto"/>
        <w:right w:val="none" w:sz="0" w:space="0" w:color="auto"/>
      </w:divBdr>
    </w:div>
    <w:div w:id="1765879254">
      <w:bodyDiv w:val="1"/>
      <w:marLeft w:val="0"/>
      <w:marRight w:val="0"/>
      <w:marTop w:val="0"/>
      <w:marBottom w:val="0"/>
      <w:divBdr>
        <w:top w:val="none" w:sz="0" w:space="0" w:color="auto"/>
        <w:left w:val="none" w:sz="0" w:space="0" w:color="auto"/>
        <w:bottom w:val="none" w:sz="0" w:space="0" w:color="auto"/>
        <w:right w:val="none" w:sz="0" w:space="0" w:color="auto"/>
      </w:divBdr>
    </w:div>
    <w:div w:id="1781951653">
      <w:bodyDiv w:val="1"/>
      <w:marLeft w:val="0"/>
      <w:marRight w:val="0"/>
      <w:marTop w:val="0"/>
      <w:marBottom w:val="0"/>
      <w:divBdr>
        <w:top w:val="none" w:sz="0" w:space="0" w:color="auto"/>
        <w:left w:val="none" w:sz="0" w:space="0" w:color="auto"/>
        <w:bottom w:val="none" w:sz="0" w:space="0" w:color="auto"/>
        <w:right w:val="none" w:sz="0" w:space="0" w:color="auto"/>
      </w:divBdr>
    </w:div>
    <w:div w:id="1785660643">
      <w:bodyDiv w:val="1"/>
      <w:marLeft w:val="0"/>
      <w:marRight w:val="0"/>
      <w:marTop w:val="0"/>
      <w:marBottom w:val="0"/>
      <w:divBdr>
        <w:top w:val="none" w:sz="0" w:space="0" w:color="auto"/>
        <w:left w:val="none" w:sz="0" w:space="0" w:color="auto"/>
        <w:bottom w:val="none" w:sz="0" w:space="0" w:color="auto"/>
        <w:right w:val="none" w:sz="0" w:space="0" w:color="auto"/>
      </w:divBdr>
    </w:div>
    <w:div w:id="1792479181">
      <w:bodyDiv w:val="1"/>
      <w:marLeft w:val="0"/>
      <w:marRight w:val="0"/>
      <w:marTop w:val="0"/>
      <w:marBottom w:val="0"/>
      <w:divBdr>
        <w:top w:val="none" w:sz="0" w:space="0" w:color="auto"/>
        <w:left w:val="none" w:sz="0" w:space="0" w:color="auto"/>
        <w:bottom w:val="none" w:sz="0" w:space="0" w:color="auto"/>
        <w:right w:val="none" w:sz="0" w:space="0" w:color="auto"/>
      </w:divBdr>
    </w:div>
    <w:div w:id="1824614147">
      <w:bodyDiv w:val="1"/>
      <w:marLeft w:val="0"/>
      <w:marRight w:val="0"/>
      <w:marTop w:val="0"/>
      <w:marBottom w:val="0"/>
      <w:divBdr>
        <w:top w:val="none" w:sz="0" w:space="0" w:color="auto"/>
        <w:left w:val="none" w:sz="0" w:space="0" w:color="auto"/>
        <w:bottom w:val="none" w:sz="0" w:space="0" w:color="auto"/>
        <w:right w:val="none" w:sz="0" w:space="0" w:color="auto"/>
      </w:divBdr>
    </w:div>
    <w:div w:id="1849562243">
      <w:bodyDiv w:val="1"/>
      <w:marLeft w:val="0"/>
      <w:marRight w:val="0"/>
      <w:marTop w:val="0"/>
      <w:marBottom w:val="0"/>
      <w:divBdr>
        <w:top w:val="none" w:sz="0" w:space="0" w:color="auto"/>
        <w:left w:val="none" w:sz="0" w:space="0" w:color="auto"/>
        <w:bottom w:val="none" w:sz="0" w:space="0" w:color="auto"/>
        <w:right w:val="none" w:sz="0" w:space="0" w:color="auto"/>
      </w:divBdr>
    </w:div>
    <w:div w:id="1850441321">
      <w:bodyDiv w:val="1"/>
      <w:marLeft w:val="0"/>
      <w:marRight w:val="0"/>
      <w:marTop w:val="0"/>
      <w:marBottom w:val="0"/>
      <w:divBdr>
        <w:top w:val="none" w:sz="0" w:space="0" w:color="auto"/>
        <w:left w:val="none" w:sz="0" w:space="0" w:color="auto"/>
        <w:bottom w:val="none" w:sz="0" w:space="0" w:color="auto"/>
        <w:right w:val="none" w:sz="0" w:space="0" w:color="auto"/>
      </w:divBdr>
    </w:div>
    <w:div w:id="1864128400">
      <w:bodyDiv w:val="1"/>
      <w:marLeft w:val="0"/>
      <w:marRight w:val="0"/>
      <w:marTop w:val="0"/>
      <w:marBottom w:val="0"/>
      <w:divBdr>
        <w:top w:val="none" w:sz="0" w:space="0" w:color="auto"/>
        <w:left w:val="none" w:sz="0" w:space="0" w:color="auto"/>
        <w:bottom w:val="none" w:sz="0" w:space="0" w:color="auto"/>
        <w:right w:val="none" w:sz="0" w:space="0" w:color="auto"/>
      </w:divBdr>
    </w:div>
    <w:div w:id="1866601787">
      <w:bodyDiv w:val="1"/>
      <w:marLeft w:val="0"/>
      <w:marRight w:val="0"/>
      <w:marTop w:val="0"/>
      <w:marBottom w:val="0"/>
      <w:divBdr>
        <w:top w:val="none" w:sz="0" w:space="0" w:color="auto"/>
        <w:left w:val="none" w:sz="0" w:space="0" w:color="auto"/>
        <w:bottom w:val="none" w:sz="0" w:space="0" w:color="auto"/>
        <w:right w:val="none" w:sz="0" w:space="0" w:color="auto"/>
      </w:divBdr>
    </w:div>
    <w:div w:id="1880163796">
      <w:bodyDiv w:val="1"/>
      <w:marLeft w:val="0"/>
      <w:marRight w:val="0"/>
      <w:marTop w:val="0"/>
      <w:marBottom w:val="0"/>
      <w:divBdr>
        <w:top w:val="none" w:sz="0" w:space="0" w:color="auto"/>
        <w:left w:val="none" w:sz="0" w:space="0" w:color="auto"/>
        <w:bottom w:val="none" w:sz="0" w:space="0" w:color="auto"/>
        <w:right w:val="none" w:sz="0" w:space="0" w:color="auto"/>
      </w:divBdr>
    </w:div>
    <w:div w:id="1889415493">
      <w:bodyDiv w:val="1"/>
      <w:marLeft w:val="0"/>
      <w:marRight w:val="0"/>
      <w:marTop w:val="0"/>
      <w:marBottom w:val="0"/>
      <w:divBdr>
        <w:top w:val="none" w:sz="0" w:space="0" w:color="auto"/>
        <w:left w:val="none" w:sz="0" w:space="0" w:color="auto"/>
        <w:bottom w:val="none" w:sz="0" w:space="0" w:color="auto"/>
        <w:right w:val="none" w:sz="0" w:space="0" w:color="auto"/>
      </w:divBdr>
    </w:div>
    <w:div w:id="1913613397">
      <w:bodyDiv w:val="1"/>
      <w:marLeft w:val="0"/>
      <w:marRight w:val="0"/>
      <w:marTop w:val="0"/>
      <w:marBottom w:val="0"/>
      <w:divBdr>
        <w:top w:val="none" w:sz="0" w:space="0" w:color="auto"/>
        <w:left w:val="none" w:sz="0" w:space="0" w:color="auto"/>
        <w:bottom w:val="none" w:sz="0" w:space="0" w:color="auto"/>
        <w:right w:val="none" w:sz="0" w:space="0" w:color="auto"/>
      </w:divBdr>
    </w:div>
    <w:div w:id="1916890889">
      <w:bodyDiv w:val="1"/>
      <w:marLeft w:val="0"/>
      <w:marRight w:val="0"/>
      <w:marTop w:val="0"/>
      <w:marBottom w:val="0"/>
      <w:divBdr>
        <w:top w:val="none" w:sz="0" w:space="0" w:color="auto"/>
        <w:left w:val="none" w:sz="0" w:space="0" w:color="auto"/>
        <w:bottom w:val="none" w:sz="0" w:space="0" w:color="auto"/>
        <w:right w:val="none" w:sz="0" w:space="0" w:color="auto"/>
      </w:divBdr>
    </w:div>
    <w:div w:id="1930775981">
      <w:bodyDiv w:val="1"/>
      <w:marLeft w:val="0"/>
      <w:marRight w:val="0"/>
      <w:marTop w:val="0"/>
      <w:marBottom w:val="0"/>
      <w:divBdr>
        <w:top w:val="none" w:sz="0" w:space="0" w:color="auto"/>
        <w:left w:val="none" w:sz="0" w:space="0" w:color="auto"/>
        <w:bottom w:val="none" w:sz="0" w:space="0" w:color="auto"/>
        <w:right w:val="none" w:sz="0" w:space="0" w:color="auto"/>
      </w:divBdr>
    </w:div>
    <w:div w:id="1932742381">
      <w:bodyDiv w:val="1"/>
      <w:marLeft w:val="0"/>
      <w:marRight w:val="0"/>
      <w:marTop w:val="0"/>
      <w:marBottom w:val="0"/>
      <w:divBdr>
        <w:top w:val="none" w:sz="0" w:space="0" w:color="auto"/>
        <w:left w:val="none" w:sz="0" w:space="0" w:color="auto"/>
        <w:bottom w:val="none" w:sz="0" w:space="0" w:color="auto"/>
        <w:right w:val="none" w:sz="0" w:space="0" w:color="auto"/>
      </w:divBdr>
    </w:div>
    <w:div w:id="1941136576">
      <w:bodyDiv w:val="1"/>
      <w:marLeft w:val="0"/>
      <w:marRight w:val="0"/>
      <w:marTop w:val="0"/>
      <w:marBottom w:val="0"/>
      <w:divBdr>
        <w:top w:val="none" w:sz="0" w:space="0" w:color="auto"/>
        <w:left w:val="none" w:sz="0" w:space="0" w:color="auto"/>
        <w:bottom w:val="none" w:sz="0" w:space="0" w:color="auto"/>
        <w:right w:val="none" w:sz="0" w:space="0" w:color="auto"/>
      </w:divBdr>
    </w:div>
    <w:div w:id="1944066165">
      <w:bodyDiv w:val="1"/>
      <w:marLeft w:val="0"/>
      <w:marRight w:val="0"/>
      <w:marTop w:val="0"/>
      <w:marBottom w:val="0"/>
      <w:divBdr>
        <w:top w:val="none" w:sz="0" w:space="0" w:color="auto"/>
        <w:left w:val="none" w:sz="0" w:space="0" w:color="auto"/>
        <w:bottom w:val="none" w:sz="0" w:space="0" w:color="auto"/>
        <w:right w:val="none" w:sz="0" w:space="0" w:color="auto"/>
      </w:divBdr>
    </w:div>
    <w:div w:id="1953245055">
      <w:bodyDiv w:val="1"/>
      <w:marLeft w:val="0"/>
      <w:marRight w:val="0"/>
      <w:marTop w:val="0"/>
      <w:marBottom w:val="0"/>
      <w:divBdr>
        <w:top w:val="none" w:sz="0" w:space="0" w:color="auto"/>
        <w:left w:val="none" w:sz="0" w:space="0" w:color="auto"/>
        <w:bottom w:val="none" w:sz="0" w:space="0" w:color="auto"/>
        <w:right w:val="none" w:sz="0" w:space="0" w:color="auto"/>
      </w:divBdr>
    </w:div>
    <w:div w:id="1954553678">
      <w:bodyDiv w:val="1"/>
      <w:marLeft w:val="0"/>
      <w:marRight w:val="0"/>
      <w:marTop w:val="0"/>
      <w:marBottom w:val="0"/>
      <w:divBdr>
        <w:top w:val="none" w:sz="0" w:space="0" w:color="auto"/>
        <w:left w:val="none" w:sz="0" w:space="0" w:color="auto"/>
        <w:bottom w:val="none" w:sz="0" w:space="0" w:color="auto"/>
        <w:right w:val="none" w:sz="0" w:space="0" w:color="auto"/>
      </w:divBdr>
    </w:div>
    <w:div w:id="1966157397">
      <w:bodyDiv w:val="1"/>
      <w:marLeft w:val="0"/>
      <w:marRight w:val="0"/>
      <w:marTop w:val="0"/>
      <w:marBottom w:val="0"/>
      <w:divBdr>
        <w:top w:val="none" w:sz="0" w:space="0" w:color="auto"/>
        <w:left w:val="none" w:sz="0" w:space="0" w:color="auto"/>
        <w:bottom w:val="none" w:sz="0" w:space="0" w:color="auto"/>
        <w:right w:val="none" w:sz="0" w:space="0" w:color="auto"/>
      </w:divBdr>
    </w:div>
    <w:div w:id="1979993097">
      <w:bodyDiv w:val="1"/>
      <w:marLeft w:val="0"/>
      <w:marRight w:val="0"/>
      <w:marTop w:val="0"/>
      <w:marBottom w:val="0"/>
      <w:divBdr>
        <w:top w:val="none" w:sz="0" w:space="0" w:color="auto"/>
        <w:left w:val="none" w:sz="0" w:space="0" w:color="auto"/>
        <w:bottom w:val="none" w:sz="0" w:space="0" w:color="auto"/>
        <w:right w:val="none" w:sz="0" w:space="0" w:color="auto"/>
      </w:divBdr>
    </w:div>
    <w:div w:id="1997415991">
      <w:bodyDiv w:val="1"/>
      <w:marLeft w:val="0"/>
      <w:marRight w:val="0"/>
      <w:marTop w:val="0"/>
      <w:marBottom w:val="0"/>
      <w:divBdr>
        <w:top w:val="none" w:sz="0" w:space="0" w:color="auto"/>
        <w:left w:val="none" w:sz="0" w:space="0" w:color="auto"/>
        <w:bottom w:val="none" w:sz="0" w:space="0" w:color="auto"/>
        <w:right w:val="none" w:sz="0" w:space="0" w:color="auto"/>
      </w:divBdr>
    </w:div>
    <w:div w:id="2025472330">
      <w:bodyDiv w:val="1"/>
      <w:marLeft w:val="0"/>
      <w:marRight w:val="0"/>
      <w:marTop w:val="0"/>
      <w:marBottom w:val="0"/>
      <w:divBdr>
        <w:top w:val="none" w:sz="0" w:space="0" w:color="auto"/>
        <w:left w:val="none" w:sz="0" w:space="0" w:color="auto"/>
        <w:bottom w:val="none" w:sz="0" w:space="0" w:color="auto"/>
        <w:right w:val="none" w:sz="0" w:space="0" w:color="auto"/>
      </w:divBdr>
    </w:div>
    <w:div w:id="2032028360">
      <w:bodyDiv w:val="1"/>
      <w:marLeft w:val="0"/>
      <w:marRight w:val="0"/>
      <w:marTop w:val="0"/>
      <w:marBottom w:val="0"/>
      <w:divBdr>
        <w:top w:val="none" w:sz="0" w:space="0" w:color="auto"/>
        <w:left w:val="none" w:sz="0" w:space="0" w:color="auto"/>
        <w:bottom w:val="none" w:sz="0" w:space="0" w:color="auto"/>
        <w:right w:val="none" w:sz="0" w:space="0" w:color="auto"/>
      </w:divBdr>
    </w:div>
    <w:div w:id="2033417455">
      <w:bodyDiv w:val="1"/>
      <w:marLeft w:val="0"/>
      <w:marRight w:val="0"/>
      <w:marTop w:val="0"/>
      <w:marBottom w:val="0"/>
      <w:divBdr>
        <w:top w:val="none" w:sz="0" w:space="0" w:color="auto"/>
        <w:left w:val="none" w:sz="0" w:space="0" w:color="auto"/>
        <w:bottom w:val="none" w:sz="0" w:space="0" w:color="auto"/>
        <w:right w:val="none" w:sz="0" w:space="0" w:color="auto"/>
      </w:divBdr>
    </w:div>
    <w:div w:id="2061006050">
      <w:bodyDiv w:val="1"/>
      <w:marLeft w:val="0"/>
      <w:marRight w:val="0"/>
      <w:marTop w:val="0"/>
      <w:marBottom w:val="0"/>
      <w:divBdr>
        <w:top w:val="none" w:sz="0" w:space="0" w:color="auto"/>
        <w:left w:val="none" w:sz="0" w:space="0" w:color="auto"/>
        <w:bottom w:val="none" w:sz="0" w:space="0" w:color="auto"/>
        <w:right w:val="none" w:sz="0" w:space="0" w:color="auto"/>
      </w:divBdr>
    </w:div>
    <w:div w:id="2062249395">
      <w:bodyDiv w:val="1"/>
      <w:marLeft w:val="0"/>
      <w:marRight w:val="0"/>
      <w:marTop w:val="0"/>
      <w:marBottom w:val="0"/>
      <w:divBdr>
        <w:top w:val="none" w:sz="0" w:space="0" w:color="auto"/>
        <w:left w:val="none" w:sz="0" w:space="0" w:color="auto"/>
        <w:bottom w:val="none" w:sz="0" w:space="0" w:color="auto"/>
        <w:right w:val="none" w:sz="0" w:space="0" w:color="auto"/>
      </w:divBdr>
      <w:divsChild>
        <w:div w:id="737629355">
          <w:marLeft w:val="0"/>
          <w:marRight w:val="0"/>
          <w:marTop w:val="0"/>
          <w:marBottom w:val="0"/>
          <w:divBdr>
            <w:top w:val="none" w:sz="0" w:space="0" w:color="auto"/>
            <w:left w:val="none" w:sz="0" w:space="0" w:color="auto"/>
            <w:bottom w:val="none" w:sz="0" w:space="0" w:color="auto"/>
            <w:right w:val="none" w:sz="0" w:space="0" w:color="auto"/>
          </w:divBdr>
        </w:div>
        <w:div w:id="1155339188">
          <w:marLeft w:val="0"/>
          <w:marRight w:val="0"/>
          <w:marTop w:val="0"/>
          <w:marBottom w:val="0"/>
          <w:divBdr>
            <w:top w:val="none" w:sz="0" w:space="0" w:color="auto"/>
            <w:left w:val="none" w:sz="0" w:space="0" w:color="auto"/>
            <w:bottom w:val="none" w:sz="0" w:space="0" w:color="auto"/>
            <w:right w:val="none" w:sz="0" w:space="0" w:color="auto"/>
          </w:divBdr>
        </w:div>
      </w:divsChild>
    </w:div>
    <w:div w:id="2082411279">
      <w:bodyDiv w:val="1"/>
      <w:marLeft w:val="0"/>
      <w:marRight w:val="0"/>
      <w:marTop w:val="35"/>
      <w:marBottom w:val="35"/>
      <w:divBdr>
        <w:top w:val="none" w:sz="0" w:space="0" w:color="auto"/>
        <w:left w:val="none" w:sz="0" w:space="0" w:color="auto"/>
        <w:bottom w:val="none" w:sz="0" w:space="0" w:color="auto"/>
        <w:right w:val="none" w:sz="0" w:space="0" w:color="auto"/>
      </w:divBdr>
      <w:divsChild>
        <w:div w:id="1515072531">
          <w:marLeft w:val="0"/>
          <w:marRight w:val="0"/>
          <w:marTop w:val="0"/>
          <w:marBottom w:val="0"/>
          <w:divBdr>
            <w:top w:val="none" w:sz="0" w:space="0" w:color="auto"/>
            <w:left w:val="none" w:sz="0" w:space="0" w:color="auto"/>
            <w:bottom w:val="none" w:sz="0" w:space="0" w:color="auto"/>
            <w:right w:val="none" w:sz="0" w:space="0" w:color="auto"/>
          </w:divBdr>
          <w:divsChild>
            <w:div w:id="1862817694">
              <w:marLeft w:val="0"/>
              <w:marRight w:val="0"/>
              <w:marTop w:val="0"/>
              <w:marBottom w:val="0"/>
              <w:divBdr>
                <w:top w:val="none" w:sz="0" w:space="0" w:color="auto"/>
                <w:left w:val="none" w:sz="0" w:space="0" w:color="auto"/>
                <w:bottom w:val="none" w:sz="0" w:space="0" w:color="auto"/>
                <w:right w:val="none" w:sz="0" w:space="0" w:color="auto"/>
              </w:divBdr>
              <w:divsChild>
                <w:div w:id="165216372">
                  <w:marLeft w:val="1832"/>
                  <w:marRight w:val="3041"/>
                  <w:marTop w:val="0"/>
                  <w:marBottom w:val="0"/>
                  <w:divBdr>
                    <w:top w:val="none" w:sz="0" w:space="0" w:color="auto"/>
                    <w:left w:val="single" w:sz="4" w:space="0" w:color="D3E1F9"/>
                    <w:bottom w:val="none" w:sz="0" w:space="0" w:color="auto"/>
                    <w:right w:val="none" w:sz="0" w:space="0" w:color="auto"/>
                  </w:divBdr>
                  <w:divsChild>
                    <w:div w:id="713769568">
                      <w:marLeft w:val="0"/>
                      <w:marRight w:val="0"/>
                      <w:marTop w:val="0"/>
                      <w:marBottom w:val="0"/>
                      <w:divBdr>
                        <w:top w:val="none" w:sz="0" w:space="0" w:color="auto"/>
                        <w:left w:val="none" w:sz="0" w:space="0" w:color="auto"/>
                        <w:bottom w:val="none" w:sz="0" w:space="0" w:color="auto"/>
                        <w:right w:val="none" w:sz="0" w:space="0" w:color="auto"/>
                      </w:divBdr>
                      <w:divsChild>
                        <w:div w:id="57763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922077">
      <w:bodyDiv w:val="1"/>
      <w:marLeft w:val="0"/>
      <w:marRight w:val="0"/>
      <w:marTop w:val="0"/>
      <w:marBottom w:val="0"/>
      <w:divBdr>
        <w:top w:val="none" w:sz="0" w:space="0" w:color="auto"/>
        <w:left w:val="none" w:sz="0" w:space="0" w:color="auto"/>
        <w:bottom w:val="none" w:sz="0" w:space="0" w:color="auto"/>
        <w:right w:val="none" w:sz="0" w:space="0" w:color="auto"/>
      </w:divBdr>
    </w:div>
    <w:div w:id="2115857187">
      <w:bodyDiv w:val="1"/>
      <w:marLeft w:val="0"/>
      <w:marRight w:val="0"/>
      <w:marTop w:val="0"/>
      <w:marBottom w:val="0"/>
      <w:divBdr>
        <w:top w:val="none" w:sz="0" w:space="0" w:color="auto"/>
        <w:left w:val="none" w:sz="0" w:space="0" w:color="auto"/>
        <w:bottom w:val="none" w:sz="0" w:space="0" w:color="auto"/>
        <w:right w:val="none" w:sz="0" w:space="0" w:color="auto"/>
      </w:divBdr>
    </w:div>
    <w:div w:id="2125030253">
      <w:bodyDiv w:val="1"/>
      <w:marLeft w:val="0"/>
      <w:marRight w:val="0"/>
      <w:marTop w:val="0"/>
      <w:marBottom w:val="0"/>
      <w:divBdr>
        <w:top w:val="none" w:sz="0" w:space="0" w:color="auto"/>
        <w:left w:val="none" w:sz="0" w:space="0" w:color="auto"/>
        <w:bottom w:val="none" w:sz="0" w:space="0" w:color="auto"/>
        <w:right w:val="none" w:sz="0" w:space="0" w:color="auto"/>
      </w:divBdr>
    </w:div>
    <w:div w:id="213798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openxmlformats.org/officeDocument/2006/relationships/customXml" Target="../customXml/item1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customXml" Target="../customXml/item13.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29" Type="http://schemas.openxmlformats.org/officeDocument/2006/relationships/customXml" Target="../customXml/item1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28" Type="http://schemas.openxmlformats.org/officeDocument/2006/relationships/customXml" Target="../customXml/item16.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yperlink" Target="http://idbdocs.iadb.org/wsdocs/getDocument.aspx?DOCNUM=39909547" TargetMode="External"/><Relationship Id="rId27" Type="http://schemas.openxmlformats.org/officeDocument/2006/relationships/customXml" Target="../customXml/item1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s\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12EC49DDE5A9045847F050F0408D37F" ma:contentTypeVersion="0" ma:contentTypeDescription="A content type to manage public (operations) IDB documents" ma:contentTypeScope="" ma:versionID="4aaab6f7b61e97b1d4b3a2179ca48d55">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JESUS NAVARRETE</Other_x0020_Author>
    <Region xmlns="9c571b2f-e523-4ab2-ba2e-09e151a03ef4" xsi:nil="true"/>
    <IDBDocs_x0020_Number xmlns="9c571b2f-e523-4ab2-ba2e-09e151a03ef4">39864017</IDBDocs_x0020_Number>
    <Document_x0020_Author xmlns="9c571b2f-e523-4ab2-ba2e-09e151a03ef4">Saiz, Ana Maria</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HA-L1101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DU-DUR</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spe:Receivers xmlns:spe="http://schemas.microsoft.com/sharepoint/events"/>
</file>

<file path=customXml/itemProps1.xml><?xml version="1.0" encoding="utf-8"?>
<ds:datastoreItem xmlns:ds="http://schemas.openxmlformats.org/officeDocument/2006/customXml" ds:itemID="{4BDACB56-E467-4C3A-ACA9-1F70BE9B1819}"/>
</file>

<file path=customXml/itemProps10.xml><?xml version="1.0" encoding="utf-8"?>
<ds:datastoreItem xmlns:ds="http://schemas.openxmlformats.org/officeDocument/2006/customXml" ds:itemID="{980B3ECB-6E97-46E5-9034-46C80C3EC849}"/>
</file>

<file path=customXml/itemProps11.xml><?xml version="1.0" encoding="utf-8"?>
<ds:datastoreItem xmlns:ds="http://schemas.openxmlformats.org/officeDocument/2006/customXml" ds:itemID="{A5C470B0-AE17-4FF6-9A53-9B9A3C54118B}"/>
</file>

<file path=customXml/itemProps12.xml><?xml version="1.0" encoding="utf-8"?>
<ds:datastoreItem xmlns:ds="http://schemas.openxmlformats.org/officeDocument/2006/customXml" ds:itemID="{23C01754-E91E-4A95-9606-72518E348CE3}"/>
</file>

<file path=customXml/itemProps13.xml><?xml version="1.0" encoding="utf-8"?>
<ds:datastoreItem xmlns:ds="http://schemas.openxmlformats.org/officeDocument/2006/customXml" ds:itemID="{22E4408C-9BD6-442E-8DEC-6BBE1316759E}"/>
</file>

<file path=customXml/itemProps14.xml><?xml version="1.0" encoding="utf-8"?>
<ds:datastoreItem xmlns:ds="http://schemas.openxmlformats.org/officeDocument/2006/customXml" ds:itemID="{63346E44-A0D9-4EB5-BC13-A44030507B7E}"/>
</file>

<file path=customXml/itemProps15.xml><?xml version="1.0" encoding="utf-8"?>
<ds:datastoreItem xmlns:ds="http://schemas.openxmlformats.org/officeDocument/2006/customXml" ds:itemID="{5048AFD4-B91F-4BB5-82A6-52C7D0778A1E}"/>
</file>

<file path=customXml/itemProps16.xml><?xml version="1.0" encoding="utf-8"?>
<ds:datastoreItem xmlns:ds="http://schemas.openxmlformats.org/officeDocument/2006/customXml" ds:itemID="{409DEF53-41F5-49B3-ACA7-243FD8EC8199}"/>
</file>

<file path=customXml/itemProps17.xml><?xml version="1.0" encoding="utf-8"?>
<ds:datastoreItem xmlns:ds="http://schemas.openxmlformats.org/officeDocument/2006/customXml" ds:itemID="{08CE8956-2570-42C4-9DED-B995FE93F83F}"/>
</file>

<file path=customXml/itemProps2.xml><?xml version="1.0" encoding="utf-8"?>
<ds:datastoreItem xmlns:ds="http://schemas.openxmlformats.org/officeDocument/2006/customXml" ds:itemID="{AB875B0E-294F-4AD5-8598-DE225A304877}"/>
</file>

<file path=customXml/itemProps3.xml><?xml version="1.0" encoding="utf-8"?>
<ds:datastoreItem xmlns:ds="http://schemas.openxmlformats.org/officeDocument/2006/customXml" ds:itemID="{32829F6F-52C0-4150-AB43-1B7883488C8D}"/>
</file>

<file path=customXml/itemProps4.xml><?xml version="1.0" encoding="utf-8"?>
<ds:datastoreItem xmlns:ds="http://schemas.openxmlformats.org/officeDocument/2006/customXml" ds:itemID="{6EA9DE74-DB3A-4D66-AD29-14AEC8972544}"/>
</file>

<file path=customXml/itemProps5.xml><?xml version="1.0" encoding="utf-8"?>
<ds:datastoreItem xmlns:ds="http://schemas.openxmlformats.org/officeDocument/2006/customXml" ds:itemID="{82E25865-5777-4F50-A4F8-E53DB987B1A5}"/>
</file>

<file path=customXml/itemProps6.xml><?xml version="1.0" encoding="utf-8"?>
<ds:datastoreItem xmlns:ds="http://schemas.openxmlformats.org/officeDocument/2006/customXml" ds:itemID="{6550E152-26B6-4838-A47B-6FB44E011683}"/>
</file>

<file path=customXml/itemProps7.xml><?xml version="1.0" encoding="utf-8"?>
<ds:datastoreItem xmlns:ds="http://schemas.openxmlformats.org/officeDocument/2006/customXml" ds:itemID="{F6680D5D-9E6F-4016-A923-B7C5EB77D0AB}"/>
</file>

<file path=customXml/itemProps8.xml><?xml version="1.0" encoding="utf-8"?>
<ds:datastoreItem xmlns:ds="http://schemas.openxmlformats.org/officeDocument/2006/customXml" ds:itemID="{1A5EAE2D-9625-4904-A1FD-D023BE835D6C}"/>
</file>

<file path=customXml/itemProps9.xml><?xml version="1.0" encoding="utf-8"?>
<ds:datastoreItem xmlns:ds="http://schemas.openxmlformats.org/officeDocument/2006/customXml" ds:itemID="{0C66EAE2-47E4-4BBD-A9D0-B7397DDE4D46}"/>
</file>

<file path=docProps/app.xml><?xml version="1.0" encoding="utf-8"?>
<Properties xmlns="http://schemas.openxmlformats.org/officeDocument/2006/extended-properties" xmlns:vt="http://schemas.openxmlformats.org/officeDocument/2006/docPropsVTypes">
  <Template>INVsp.dot</Template>
  <TotalTime>3</TotalTime>
  <Pages>14</Pages>
  <Words>5031</Words>
  <Characters>29315</Characters>
  <Application>Microsoft Office Word</Application>
  <DocSecurity>0</DocSecurity>
  <Lines>1127</Lines>
  <Paragraphs>288</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34058</CharactersWithSpaces>
  <SharedDoc>false</SharedDoc>
  <HLinks>
    <vt:vector size="18" baseType="variant">
      <vt:variant>
        <vt:i4>8323104</vt:i4>
      </vt:variant>
      <vt:variant>
        <vt:i4>3</vt:i4>
      </vt:variant>
      <vt:variant>
        <vt:i4>0</vt:i4>
      </vt:variant>
      <vt:variant>
        <vt:i4>5</vt:i4>
      </vt:variant>
      <vt:variant>
        <vt:lpwstr>http://idbdocs.iadb.org/wsdocs/getDocument.aspx?DOCNUM=36850836</vt:lpwstr>
      </vt:variant>
      <vt:variant>
        <vt:lpwstr/>
      </vt:variant>
      <vt:variant>
        <vt:i4>7929888</vt:i4>
      </vt:variant>
      <vt:variant>
        <vt:i4>3</vt:i4>
      </vt:variant>
      <vt:variant>
        <vt:i4>0</vt:i4>
      </vt:variant>
      <vt:variant>
        <vt:i4>5</vt:i4>
      </vt:variant>
      <vt:variant>
        <vt:lpwstr>http://idbdocs.iadb.org/wsdocs/getDocument.aspx?DOCNUM=36850853</vt:lpwstr>
      </vt:variant>
      <vt:variant>
        <vt:lpwstr/>
      </vt:variant>
      <vt:variant>
        <vt:i4>8323117</vt:i4>
      </vt:variant>
      <vt:variant>
        <vt:i4>0</vt:i4>
      </vt:variant>
      <vt:variant>
        <vt:i4>0</vt:i4>
      </vt:variant>
      <vt:variant>
        <vt:i4>5</vt:i4>
      </vt:variant>
      <vt:variant>
        <vt:lpwstr>http://idbdocs.iadb.org/wsdocs/getDocument.aspx?DOCNUM=36880836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and Evaluation Arrangements </dc:title>
  <dc:creator>Sáiz, Ana Maria</dc:creator>
  <cp:lastModifiedBy>Dianela Avila</cp:lastModifiedBy>
  <cp:revision>4</cp:revision>
  <cp:lastPrinted>2014-09-12T20:08:00Z</cp:lastPrinted>
  <dcterms:created xsi:type="dcterms:W3CDTF">2015-11-18T22:18:00Z</dcterms:created>
  <dcterms:modified xsi:type="dcterms:W3CDTF">2015-11-18T22:20:00Z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0x01010046CF21643EE8D14686A648AA6DAD089200F12EC49DDE5A9045847F050F0408D37F</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JESUS NAVARRETE</vt:lpwstr>
  </property>
  <property fmtid="{D5CDD505-2E9C-101B-9397-08002B2CF9AE}" pid="13" name="Sector IDB">
    <vt:lpwstr/>
  </property>
  <property fmtid="{D5CDD505-2E9C-101B-9397-08002B2CF9AE}" pid="14" name="Function Operations IDB">
    <vt:lpwstr>4;#IDBDocs|cca77002-e150-4b2d-ab1f-1d7a7cdcae16</vt:lpwstr>
  </property>
</Properties>
</file>