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15BF" w:rsidRDefault="00D93847" w:rsidP="007D15BF">
      <w:pPr>
        <w:spacing w:line="240" w:lineRule="auto"/>
        <w:jc w:val="center"/>
        <w:rPr>
          <w:rFonts w:ascii="Times New Roman" w:hAnsi="Times New Roman" w:cs="Times New Roman"/>
          <w:b/>
          <w:sz w:val="32"/>
          <w:szCs w:val="24"/>
          <w:u w:val="single"/>
        </w:rPr>
      </w:pPr>
      <w:r w:rsidRPr="00B432A6">
        <w:rPr>
          <w:rFonts w:ascii="Times New Roman" w:hAnsi="Times New Roman" w:cs="Times New Roman"/>
          <w:b/>
          <w:sz w:val="32"/>
          <w:szCs w:val="24"/>
          <w:u w:val="single"/>
        </w:rPr>
        <w:t xml:space="preserve">FINANCIAL ANALYSIS </w:t>
      </w:r>
    </w:p>
    <w:p w:rsidR="00ED0B4D" w:rsidRDefault="00ED0B4D" w:rsidP="007D15BF">
      <w:pPr>
        <w:spacing w:line="240" w:lineRule="auto"/>
        <w:jc w:val="center"/>
        <w:rPr>
          <w:rFonts w:ascii="Times New Roman" w:hAnsi="Times New Roman" w:cs="Times New Roman"/>
          <w:b/>
          <w:sz w:val="32"/>
          <w:szCs w:val="24"/>
          <w:u w:val="single"/>
        </w:rPr>
      </w:pPr>
    </w:p>
    <w:p w:rsidR="00ED0B4D" w:rsidRPr="00B432A6" w:rsidRDefault="00ED0B4D" w:rsidP="007D15BF">
      <w:pPr>
        <w:spacing w:line="240" w:lineRule="auto"/>
        <w:jc w:val="center"/>
        <w:rPr>
          <w:rFonts w:ascii="Times New Roman" w:hAnsi="Times New Roman" w:cs="Times New Roman"/>
          <w:b/>
          <w:sz w:val="32"/>
          <w:szCs w:val="24"/>
          <w:u w:val="single"/>
        </w:rPr>
      </w:pPr>
    </w:p>
    <w:p w:rsidR="00803A94" w:rsidRDefault="00803A94" w:rsidP="007D15BF">
      <w:pPr>
        <w:spacing w:line="240" w:lineRule="auto"/>
        <w:jc w:val="both"/>
        <w:rPr>
          <w:rFonts w:ascii="Times New Roman" w:hAnsi="Times New Roman" w:cs="Times New Roman"/>
          <w:b/>
          <w:sz w:val="24"/>
          <w:szCs w:val="24"/>
        </w:rPr>
      </w:pPr>
    </w:p>
    <w:p w:rsidR="005A1F56" w:rsidRDefault="005266AB" w:rsidP="00903325">
      <w:pPr>
        <w:pStyle w:val="ListParagraph"/>
        <w:numPr>
          <w:ilvl w:val="0"/>
          <w:numId w:val="21"/>
        </w:numPr>
        <w:spacing w:line="240" w:lineRule="auto"/>
        <w:jc w:val="center"/>
        <w:rPr>
          <w:rFonts w:ascii="Times New Roman" w:hAnsi="Times New Roman" w:cs="Times New Roman"/>
          <w:b/>
          <w:sz w:val="24"/>
          <w:szCs w:val="24"/>
          <w:u w:val="single"/>
        </w:rPr>
      </w:pPr>
      <w:r w:rsidRPr="005266AB">
        <w:rPr>
          <w:rFonts w:ascii="Times New Roman" w:hAnsi="Times New Roman" w:cs="Times New Roman"/>
          <w:b/>
          <w:sz w:val="24"/>
          <w:szCs w:val="24"/>
          <w:u w:val="single"/>
        </w:rPr>
        <w:t>National Infrastructure Development Company (NIDCO)</w:t>
      </w:r>
    </w:p>
    <w:p w:rsidR="005266AB" w:rsidRPr="005266AB" w:rsidRDefault="005266AB" w:rsidP="00903325">
      <w:pPr>
        <w:pStyle w:val="ListParagraph"/>
        <w:spacing w:line="240" w:lineRule="auto"/>
        <w:ind w:left="1080"/>
        <w:jc w:val="center"/>
        <w:rPr>
          <w:rFonts w:ascii="Times New Roman" w:hAnsi="Times New Roman" w:cs="Times New Roman"/>
          <w:b/>
          <w:sz w:val="24"/>
          <w:szCs w:val="24"/>
          <w:u w:val="single"/>
        </w:rPr>
      </w:pPr>
    </w:p>
    <w:p w:rsidR="005266AB" w:rsidRPr="005266AB" w:rsidRDefault="005266AB" w:rsidP="00903325">
      <w:pPr>
        <w:pStyle w:val="ListParagraph"/>
        <w:spacing w:line="240" w:lineRule="auto"/>
        <w:ind w:left="1080"/>
        <w:jc w:val="center"/>
        <w:rPr>
          <w:rFonts w:ascii="Times New Roman" w:hAnsi="Times New Roman" w:cs="Times New Roman"/>
          <w:b/>
          <w:sz w:val="24"/>
          <w:szCs w:val="24"/>
        </w:rPr>
      </w:pPr>
    </w:p>
    <w:p w:rsidR="005266AB" w:rsidRPr="003C2088" w:rsidRDefault="005266AB" w:rsidP="00903325">
      <w:pPr>
        <w:pStyle w:val="ListParagraph"/>
        <w:spacing w:line="480" w:lineRule="auto"/>
        <w:ind w:firstLine="720"/>
        <w:jc w:val="center"/>
        <w:rPr>
          <w:rFonts w:ascii="Times New Roman" w:hAnsi="Times New Roman" w:cs="Times New Roman"/>
          <w:b/>
          <w:sz w:val="24"/>
          <w:szCs w:val="24"/>
        </w:rPr>
      </w:pPr>
    </w:p>
    <w:p w:rsidR="007D15BF" w:rsidRDefault="005266AB" w:rsidP="00903325">
      <w:pPr>
        <w:pStyle w:val="ListParagraph"/>
        <w:numPr>
          <w:ilvl w:val="0"/>
          <w:numId w:val="21"/>
        </w:numPr>
        <w:spacing w:line="240" w:lineRule="auto"/>
        <w:jc w:val="center"/>
        <w:rPr>
          <w:rFonts w:ascii="Times New Roman" w:hAnsi="Times New Roman" w:cs="Times New Roman"/>
          <w:b/>
          <w:sz w:val="24"/>
          <w:szCs w:val="24"/>
          <w:u w:val="single"/>
        </w:rPr>
      </w:pPr>
      <w:r w:rsidRPr="005266AB">
        <w:rPr>
          <w:rFonts w:ascii="Times New Roman" w:hAnsi="Times New Roman" w:cs="Times New Roman"/>
          <w:b/>
          <w:sz w:val="24"/>
          <w:szCs w:val="24"/>
          <w:u w:val="single"/>
        </w:rPr>
        <w:t>Ministry Of Environment and Water Resou</w:t>
      </w:r>
      <w:r>
        <w:rPr>
          <w:rFonts w:ascii="Times New Roman" w:hAnsi="Times New Roman" w:cs="Times New Roman"/>
          <w:b/>
          <w:sz w:val="24"/>
          <w:szCs w:val="24"/>
          <w:u w:val="single"/>
        </w:rPr>
        <w:t>r</w:t>
      </w:r>
      <w:r w:rsidRPr="005266AB">
        <w:rPr>
          <w:rFonts w:ascii="Times New Roman" w:hAnsi="Times New Roman" w:cs="Times New Roman"/>
          <w:b/>
          <w:sz w:val="24"/>
          <w:szCs w:val="24"/>
          <w:u w:val="single"/>
        </w:rPr>
        <w:t>ces (MoEWR)</w:t>
      </w:r>
    </w:p>
    <w:p w:rsidR="005266AB" w:rsidRDefault="005266AB" w:rsidP="00903325">
      <w:pPr>
        <w:spacing w:line="240" w:lineRule="auto"/>
        <w:jc w:val="center"/>
        <w:rPr>
          <w:rFonts w:ascii="Times New Roman" w:hAnsi="Times New Roman" w:cs="Times New Roman"/>
          <w:b/>
          <w:sz w:val="24"/>
          <w:szCs w:val="24"/>
          <w:u w:val="single"/>
        </w:rPr>
      </w:pPr>
    </w:p>
    <w:p w:rsidR="005266AB" w:rsidRDefault="005266AB" w:rsidP="00903325">
      <w:pPr>
        <w:spacing w:line="240" w:lineRule="auto"/>
        <w:jc w:val="center"/>
        <w:rPr>
          <w:rFonts w:ascii="Times New Roman" w:hAnsi="Times New Roman" w:cs="Times New Roman"/>
          <w:b/>
          <w:sz w:val="24"/>
          <w:szCs w:val="24"/>
          <w:u w:val="single"/>
        </w:rPr>
      </w:pPr>
    </w:p>
    <w:p w:rsidR="005266AB" w:rsidRPr="005266AB" w:rsidRDefault="005266AB" w:rsidP="00903325">
      <w:pPr>
        <w:pStyle w:val="ListParagraph"/>
        <w:numPr>
          <w:ilvl w:val="0"/>
          <w:numId w:val="21"/>
        </w:numPr>
        <w:spacing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Port Of Spain (POS) City Corporation</w:t>
      </w:r>
    </w:p>
    <w:p w:rsidR="007D15BF" w:rsidRDefault="007D15BF" w:rsidP="007D15BF">
      <w:pPr>
        <w:spacing w:line="240" w:lineRule="auto"/>
        <w:jc w:val="both"/>
        <w:rPr>
          <w:rFonts w:ascii="Times New Roman" w:hAnsi="Times New Roman" w:cs="Times New Roman"/>
          <w:b/>
          <w:sz w:val="24"/>
          <w:szCs w:val="24"/>
        </w:rPr>
      </w:pPr>
    </w:p>
    <w:p w:rsidR="007D15BF" w:rsidRDefault="007D15BF" w:rsidP="007D15BF">
      <w:pPr>
        <w:spacing w:line="240" w:lineRule="auto"/>
        <w:jc w:val="both"/>
        <w:rPr>
          <w:rFonts w:ascii="Times New Roman" w:hAnsi="Times New Roman" w:cs="Times New Roman"/>
          <w:b/>
          <w:sz w:val="24"/>
          <w:szCs w:val="24"/>
        </w:rPr>
      </w:pPr>
    </w:p>
    <w:p w:rsidR="007D15BF" w:rsidRDefault="007D15BF" w:rsidP="007D15BF">
      <w:pPr>
        <w:spacing w:line="240" w:lineRule="auto"/>
        <w:jc w:val="both"/>
        <w:rPr>
          <w:rFonts w:ascii="Times New Roman" w:hAnsi="Times New Roman" w:cs="Times New Roman"/>
          <w:b/>
          <w:sz w:val="24"/>
          <w:szCs w:val="24"/>
        </w:rPr>
      </w:pPr>
    </w:p>
    <w:p w:rsidR="007D15BF" w:rsidRDefault="007D15BF" w:rsidP="007D15BF">
      <w:pPr>
        <w:spacing w:line="240" w:lineRule="auto"/>
        <w:jc w:val="both"/>
        <w:rPr>
          <w:rFonts w:ascii="Times New Roman" w:hAnsi="Times New Roman" w:cs="Times New Roman"/>
          <w:b/>
          <w:sz w:val="24"/>
          <w:szCs w:val="24"/>
        </w:rPr>
      </w:pPr>
    </w:p>
    <w:p w:rsidR="007D15BF" w:rsidRDefault="007D15BF" w:rsidP="007D15BF">
      <w:pPr>
        <w:spacing w:line="240" w:lineRule="auto"/>
        <w:jc w:val="both"/>
        <w:rPr>
          <w:rFonts w:ascii="Times New Roman" w:hAnsi="Times New Roman" w:cs="Times New Roman"/>
          <w:b/>
          <w:sz w:val="24"/>
          <w:szCs w:val="24"/>
        </w:rPr>
      </w:pPr>
    </w:p>
    <w:p w:rsidR="007D15BF" w:rsidRDefault="007D15BF" w:rsidP="007D15BF">
      <w:pPr>
        <w:spacing w:line="240" w:lineRule="auto"/>
        <w:jc w:val="both"/>
        <w:rPr>
          <w:rFonts w:ascii="Times New Roman" w:hAnsi="Times New Roman" w:cs="Times New Roman"/>
          <w:b/>
          <w:sz w:val="24"/>
          <w:szCs w:val="24"/>
        </w:rPr>
      </w:pPr>
    </w:p>
    <w:p w:rsidR="00FD337F" w:rsidRDefault="00FD337F" w:rsidP="007D15BF">
      <w:pPr>
        <w:spacing w:line="240" w:lineRule="auto"/>
        <w:jc w:val="both"/>
        <w:rPr>
          <w:rFonts w:ascii="Times New Roman" w:hAnsi="Times New Roman" w:cs="Times New Roman"/>
          <w:b/>
          <w:sz w:val="24"/>
          <w:szCs w:val="24"/>
        </w:rPr>
      </w:pPr>
    </w:p>
    <w:p w:rsidR="00FD337F" w:rsidRDefault="00FD337F" w:rsidP="007D15BF">
      <w:pPr>
        <w:spacing w:line="240" w:lineRule="auto"/>
        <w:jc w:val="both"/>
        <w:rPr>
          <w:rFonts w:ascii="Times New Roman" w:hAnsi="Times New Roman" w:cs="Times New Roman"/>
          <w:b/>
          <w:sz w:val="24"/>
          <w:szCs w:val="24"/>
        </w:rPr>
      </w:pPr>
    </w:p>
    <w:p w:rsidR="00FD337F" w:rsidRDefault="00FD337F" w:rsidP="007D15BF">
      <w:pPr>
        <w:spacing w:line="240" w:lineRule="auto"/>
        <w:jc w:val="both"/>
        <w:rPr>
          <w:rFonts w:ascii="Times New Roman" w:hAnsi="Times New Roman" w:cs="Times New Roman"/>
          <w:b/>
          <w:sz w:val="24"/>
          <w:szCs w:val="24"/>
        </w:rPr>
      </w:pPr>
    </w:p>
    <w:p w:rsidR="00FD337F" w:rsidRDefault="00FD337F" w:rsidP="007D15BF">
      <w:pPr>
        <w:spacing w:line="240" w:lineRule="auto"/>
        <w:jc w:val="both"/>
        <w:rPr>
          <w:rFonts w:ascii="Times New Roman" w:hAnsi="Times New Roman" w:cs="Times New Roman"/>
          <w:b/>
          <w:sz w:val="24"/>
          <w:szCs w:val="24"/>
        </w:rPr>
      </w:pPr>
    </w:p>
    <w:p w:rsidR="00903325" w:rsidRDefault="00903325">
      <w:pPr>
        <w:rPr>
          <w:rFonts w:ascii="Times New Roman" w:hAnsi="Times New Roman" w:cs="Times New Roman"/>
          <w:b/>
          <w:sz w:val="24"/>
          <w:szCs w:val="24"/>
        </w:rPr>
      </w:pPr>
      <w:r>
        <w:rPr>
          <w:rFonts w:ascii="Times New Roman" w:hAnsi="Times New Roman" w:cs="Times New Roman"/>
          <w:b/>
          <w:sz w:val="24"/>
          <w:szCs w:val="24"/>
        </w:rPr>
        <w:br w:type="page"/>
      </w:r>
    </w:p>
    <w:p w:rsidR="005266AB" w:rsidRDefault="005266AB" w:rsidP="005266AB">
      <w:pPr>
        <w:pStyle w:val="ListParagraph"/>
        <w:numPr>
          <w:ilvl w:val="0"/>
          <w:numId w:val="24"/>
        </w:numPr>
        <w:spacing w:line="240" w:lineRule="auto"/>
        <w:jc w:val="both"/>
        <w:rPr>
          <w:rFonts w:ascii="Times New Roman" w:hAnsi="Times New Roman" w:cs="Times New Roman"/>
          <w:b/>
          <w:sz w:val="24"/>
          <w:szCs w:val="24"/>
          <w:u w:val="single"/>
        </w:rPr>
      </w:pPr>
      <w:r w:rsidRPr="005266AB">
        <w:rPr>
          <w:rFonts w:ascii="Times New Roman" w:hAnsi="Times New Roman" w:cs="Times New Roman"/>
          <w:b/>
          <w:sz w:val="24"/>
          <w:szCs w:val="24"/>
          <w:u w:val="single"/>
        </w:rPr>
        <w:lastRenderedPageBreak/>
        <w:t>National Infrastructure Development Company (NIDCO)</w:t>
      </w:r>
    </w:p>
    <w:p w:rsidR="005266AB" w:rsidRPr="005266AB" w:rsidRDefault="005266AB" w:rsidP="005266AB">
      <w:pPr>
        <w:spacing w:line="240" w:lineRule="auto"/>
        <w:jc w:val="both"/>
        <w:rPr>
          <w:rFonts w:ascii="Times New Roman" w:hAnsi="Times New Roman" w:cs="Times New Roman"/>
          <w:b/>
          <w:sz w:val="24"/>
          <w:szCs w:val="24"/>
          <w:u w:val="single"/>
        </w:rPr>
      </w:pPr>
    </w:p>
    <w:p w:rsidR="007D15BF" w:rsidRPr="007D15BF" w:rsidRDefault="007D15BF" w:rsidP="00ED0B4D">
      <w:pPr>
        <w:pStyle w:val="ListParagraph"/>
        <w:numPr>
          <w:ilvl w:val="1"/>
          <w:numId w:val="23"/>
        </w:numPr>
        <w:spacing w:line="240" w:lineRule="auto"/>
        <w:ind w:left="720" w:hanging="720"/>
        <w:rPr>
          <w:rFonts w:ascii="Times New Roman" w:hAnsi="Times New Roman" w:cs="Times New Roman"/>
          <w:b/>
          <w:sz w:val="24"/>
          <w:szCs w:val="24"/>
        </w:rPr>
      </w:pPr>
      <w:r w:rsidRPr="007D15BF">
        <w:rPr>
          <w:rFonts w:ascii="Times New Roman" w:hAnsi="Times New Roman" w:cs="Times New Roman"/>
          <w:b/>
          <w:sz w:val="24"/>
          <w:szCs w:val="24"/>
        </w:rPr>
        <w:t>Description of NIDCO</w:t>
      </w:r>
    </w:p>
    <w:p w:rsidR="007425CE" w:rsidRDefault="009775CE" w:rsidP="00ED0B4D">
      <w:pPr>
        <w:spacing w:line="240" w:lineRule="auto"/>
        <w:jc w:val="both"/>
        <w:rPr>
          <w:rFonts w:ascii="Times New Roman" w:hAnsi="Times New Roman" w:cs="Times New Roman"/>
          <w:sz w:val="24"/>
          <w:szCs w:val="24"/>
        </w:rPr>
      </w:pPr>
      <w:r w:rsidRPr="007D15BF">
        <w:rPr>
          <w:rFonts w:ascii="Times New Roman" w:hAnsi="Times New Roman" w:cs="Times New Roman"/>
          <w:sz w:val="24"/>
          <w:szCs w:val="24"/>
        </w:rPr>
        <w:t xml:space="preserve">The </w:t>
      </w:r>
      <w:r w:rsidR="002E52AB" w:rsidRPr="007D15BF">
        <w:rPr>
          <w:rFonts w:ascii="Times New Roman" w:hAnsi="Times New Roman" w:cs="Times New Roman"/>
          <w:sz w:val="24"/>
          <w:szCs w:val="24"/>
        </w:rPr>
        <w:t>National Infrastructure Development Company (NIDCO) was established in 2005 by the Government of the Republic of Trinidad and Tobago (GORTT), as a special purpose state enterprise.</w:t>
      </w:r>
      <w:r w:rsidR="0051540B" w:rsidRPr="007D15BF">
        <w:rPr>
          <w:rFonts w:ascii="Times New Roman" w:hAnsi="Times New Roman" w:cs="Times New Roman"/>
          <w:sz w:val="24"/>
          <w:szCs w:val="24"/>
        </w:rPr>
        <w:t xml:space="preserve"> It is a</w:t>
      </w:r>
      <w:r w:rsidR="007F71C5">
        <w:rPr>
          <w:rFonts w:ascii="Times New Roman" w:hAnsi="Times New Roman" w:cs="Times New Roman"/>
          <w:sz w:val="24"/>
          <w:szCs w:val="24"/>
        </w:rPr>
        <w:t>n incorporated, limited liability company</w:t>
      </w:r>
      <w:r w:rsidR="0051540B" w:rsidRPr="007D15BF">
        <w:rPr>
          <w:rFonts w:ascii="Times New Roman" w:hAnsi="Times New Roman" w:cs="Times New Roman"/>
          <w:sz w:val="24"/>
          <w:szCs w:val="24"/>
        </w:rPr>
        <w:t xml:space="preserve"> which is 100 percent owned by the GORTT</w:t>
      </w:r>
      <w:r w:rsidR="007F71C5">
        <w:rPr>
          <w:rFonts w:ascii="Times New Roman" w:hAnsi="Times New Roman" w:cs="Times New Roman"/>
          <w:sz w:val="24"/>
          <w:szCs w:val="24"/>
        </w:rPr>
        <w:t xml:space="preserve">, and it is governed by the provisions of the Companies Act Chap 81:01 and its </w:t>
      </w:r>
      <w:r w:rsidR="00D77D6A">
        <w:rPr>
          <w:rFonts w:ascii="Times New Roman" w:hAnsi="Times New Roman" w:cs="Times New Roman"/>
          <w:sz w:val="24"/>
          <w:szCs w:val="24"/>
        </w:rPr>
        <w:t>Byelaws</w:t>
      </w:r>
      <w:r w:rsidR="0051540B" w:rsidRPr="007D15BF">
        <w:rPr>
          <w:rFonts w:ascii="Times New Roman" w:hAnsi="Times New Roman" w:cs="Times New Roman"/>
          <w:sz w:val="24"/>
          <w:szCs w:val="24"/>
        </w:rPr>
        <w:t>.</w:t>
      </w:r>
      <w:r w:rsidR="007F71C5">
        <w:rPr>
          <w:rFonts w:ascii="Times New Roman" w:hAnsi="Times New Roman" w:cs="Times New Roman"/>
          <w:sz w:val="24"/>
          <w:szCs w:val="24"/>
        </w:rPr>
        <w:t xml:space="preserve"> NIDCO is required to comply with the provisions of other statu</w:t>
      </w:r>
      <w:r w:rsidR="00D77D6A">
        <w:rPr>
          <w:rFonts w:ascii="Times New Roman" w:hAnsi="Times New Roman" w:cs="Times New Roman"/>
          <w:sz w:val="24"/>
          <w:szCs w:val="24"/>
        </w:rPr>
        <w:t>t</w:t>
      </w:r>
      <w:r w:rsidR="007F71C5">
        <w:rPr>
          <w:rFonts w:ascii="Times New Roman" w:hAnsi="Times New Roman" w:cs="Times New Roman"/>
          <w:sz w:val="24"/>
          <w:szCs w:val="24"/>
        </w:rPr>
        <w:t xml:space="preserve">es, inter alia, </w:t>
      </w:r>
      <w:r w:rsidR="007425CE">
        <w:rPr>
          <w:rFonts w:ascii="Times New Roman" w:hAnsi="Times New Roman" w:cs="Times New Roman"/>
          <w:sz w:val="24"/>
          <w:szCs w:val="24"/>
        </w:rPr>
        <w:t>the provisions of the Securities Industries Act, 1995 Integrity in Public Life Act No.83 of 200</w:t>
      </w:r>
      <w:r w:rsidR="001C3C91">
        <w:rPr>
          <w:rFonts w:ascii="Times New Roman" w:hAnsi="Times New Roman" w:cs="Times New Roman"/>
          <w:sz w:val="24"/>
          <w:szCs w:val="24"/>
        </w:rPr>
        <w:t>0</w:t>
      </w:r>
      <w:r w:rsidR="007425CE">
        <w:rPr>
          <w:rFonts w:ascii="Times New Roman" w:hAnsi="Times New Roman" w:cs="Times New Roman"/>
          <w:sz w:val="24"/>
          <w:szCs w:val="24"/>
        </w:rPr>
        <w:t>, the Occupational Safety and Health and the Freedom of Information Act.</w:t>
      </w:r>
    </w:p>
    <w:p w:rsidR="00BC3653" w:rsidRPr="007D15BF" w:rsidRDefault="0051540B" w:rsidP="007425CE">
      <w:pPr>
        <w:spacing w:line="240" w:lineRule="auto"/>
        <w:jc w:val="both"/>
        <w:rPr>
          <w:rFonts w:ascii="Times New Roman" w:hAnsi="Times New Roman" w:cs="Times New Roman"/>
          <w:sz w:val="24"/>
          <w:szCs w:val="24"/>
        </w:rPr>
      </w:pPr>
      <w:r w:rsidRPr="007D15BF">
        <w:rPr>
          <w:rFonts w:ascii="Times New Roman" w:hAnsi="Times New Roman" w:cs="Times New Roman"/>
          <w:sz w:val="24"/>
          <w:szCs w:val="24"/>
        </w:rPr>
        <w:t>Since its formation, NIDCO has been partnering with the Ministry of Works</w:t>
      </w:r>
      <w:r w:rsidR="00B550AE">
        <w:rPr>
          <w:rFonts w:ascii="Times New Roman" w:hAnsi="Times New Roman" w:cs="Times New Roman"/>
          <w:sz w:val="24"/>
          <w:szCs w:val="24"/>
        </w:rPr>
        <w:t xml:space="preserve"> and </w:t>
      </w:r>
      <w:r w:rsidR="003F6E96">
        <w:rPr>
          <w:rFonts w:ascii="Times New Roman" w:hAnsi="Times New Roman" w:cs="Times New Roman"/>
          <w:sz w:val="24"/>
          <w:szCs w:val="24"/>
        </w:rPr>
        <w:t>Transport</w:t>
      </w:r>
      <w:r w:rsidRPr="007D15BF">
        <w:rPr>
          <w:rFonts w:ascii="Times New Roman" w:hAnsi="Times New Roman" w:cs="Times New Roman"/>
          <w:sz w:val="24"/>
          <w:szCs w:val="24"/>
        </w:rPr>
        <w:t xml:space="preserve"> of the GORT</w:t>
      </w:r>
      <w:r w:rsidR="00B23C3E" w:rsidRPr="007D15BF">
        <w:rPr>
          <w:rFonts w:ascii="Times New Roman" w:hAnsi="Times New Roman" w:cs="Times New Roman"/>
          <w:sz w:val="24"/>
          <w:szCs w:val="24"/>
        </w:rPr>
        <w:t>T in providing procurement, project and contract management services for assigned projects.</w:t>
      </w:r>
      <w:r w:rsidR="002E52AB" w:rsidRPr="007D15BF">
        <w:rPr>
          <w:rFonts w:ascii="Times New Roman" w:hAnsi="Times New Roman" w:cs="Times New Roman"/>
          <w:sz w:val="24"/>
          <w:szCs w:val="24"/>
        </w:rPr>
        <w:t xml:space="preserve"> It was created </w:t>
      </w:r>
      <w:r w:rsidR="00D46902" w:rsidRPr="007D15BF">
        <w:rPr>
          <w:rFonts w:ascii="Times New Roman" w:hAnsi="Times New Roman" w:cs="Times New Roman"/>
          <w:sz w:val="24"/>
          <w:szCs w:val="24"/>
        </w:rPr>
        <w:t>to increase the rate of implementation of the Government’s expanded Public Sector Investment Program, and to undertake projects in areas critical to the overall national development. More</w:t>
      </w:r>
      <w:r w:rsidR="002E52AB" w:rsidRPr="007D15BF">
        <w:rPr>
          <w:rFonts w:ascii="Times New Roman" w:hAnsi="Times New Roman" w:cs="Times New Roman"/>
          <w:sz w:val="24"/>
          <w:szCs w:val="24"/>
        </w:rPr>
        <w:t xml:space="preserve"> </w:t>
      </w:r>
      <w:r w:rsidR="00D46902" w:rsidRPr="007D15BF">
        <w:rPr>
          <w:rFonts w:ascii="Times New Roman" w:hAnsi="Times New Roman" w:cs="Times New Roman"/>
          <w:sz w:val="24"/>
          <w:szCs w:val="24"/>
        </w:rPr>
        <w:t>specifically, NIDCO has been charged with responsibility for providing project management and construction management services</w:t>
      </w:r>
      <w:r w:rsidR="00D60E28">
        <w:rPr>
          <w:rFonts w:ascii="Times New Roman" w:hAnsi="Times New Roman" w:cs="Times New Roman"/>
          <w:sz w:val="24"/>
          <w:szCs w:val="24"/>
        </w:rPr>
        <w:t>,</w:t>
      </w:r>
      <w:r w:rsidR="00D46902" w:rsidRPr="007D15BF">
        <w:rPr>
          <w:rFonts w:ascii="Times New Roman" w:hAnsi="Times New Roman" w:cs="Times New Roman"/>
          <w:sz w:val="24"/>
          <w:szCs w:val="24"/>
        </w:rPr>
        <w:t xml:space="preserve"> ensuring that the execution of Government’s initiatives is done in a manner that is timely, transparent, effective and efficient.</w:t>
      </w:r>
    </w:p>
    <w:p w:rsidR="00B550AE" w:rsidRDefault="007C37F3" w:rsidP="00B550AE">
      <w:pPr>
        <w:spacing w:line="240" w:lineRule="auto"/>
        <w:jc w:val="both"/>
        <w:rPr>
          <w:rFonts w:ascii="Times New Roman" w:hAnsi="Times New Roman" w:cs="Times New Roman"/>
          <w:sz w:val="24"/>
          <w:szCs w:val="24"/>
        </w:rPr>
      </w:pPr>
      <w:r w:rsidRPr="006604B3">
        <w:rPr>
          <w:rFonts w:ascii="Times New Roman" w:hAnsi="Times New Roman" w:cs="Times New Roman"/>
          <w:sz w:val="24"/>
          <w:szCs w:val="24"/>
        </w:rPr>
        <w:t>NIDCO</w:t>
      </w:r>
      <w:r w:rsidR="00D77D6A">
        <w:rPr>
          <w:rFonts w:ascii="Times New Roman" w:hAnsi="Times New Roman" w:cs="Times New Roman"/>
          <w:sz w:val="24"/>
          <w:szCs w:val="24"/>
        </w:rPr>
        <w:t>,</w:t>
      </w:r>
      <w:r w:rsidRPr="006604B3">
        <w:rPr>
          <w:rFonts w:ascii="Times New Roman" w:hAnsi="Times New Roman" w:cs="Times New Roman"/>
          <w:sz w:val="24"/>
          <w:szCs w:val="24"/>
        </w:rPr>
        <w:t xml:space="preserve"> therefore</w:t>
      </w:r>
      <w:r w:rsidR="00D77D6A">
        <w:rPr>
          <w:rFonts w:ascii="Times New Roman" w:hAnsi="Times New Roman" w:cs="Times New Roman"/>
          <w:sz w:val="24"/>
          <w:szCs w:val="24"/>
        </w:rPr>
        <w:t>,</w:t>
      </w:r>
      <w:r w:rsidRPr="006604B3">
        <w:rPr>
          <w:rFonts w:ascii="Times New Roman" w:hAnsi="Times New Roman" w:cs="Times New Roman"/>
          <w:sz w:val="24"/>
          <w:szCs w:val="24"/>
        </w:rPr>
        <w:t xml:space="preserve"> was mandated to create an organizational structure and an operations framework with appropriate facilities, systems and resources (human, financial and material) to be able to respond effectively and p</w:t>
      </w:r>
      <w:r w:rsidR="00726917">
        <w:rPr>
          <w:rFonts w:ascii="Times New Roman" w:hAnsi="Times New Roman" w:cs="Times New Roman"/>
          <w:sz w:val="24"/>
          <w:szCs w:val="24"/>
        </w:rPr>
        <w:t xml:space="preserve">ositively to the </w:t>
      </w:r>
      <w:r w:rsidRPr="006604B3">
        <w:rPr>
          <w:rFonts w:ascii="Times New Roman" w:hAnsi="Times New Roman" w:cs="Times New Roman"/>
          <w:sz w:val="24"/>
          <w:szCs w:val="24"/>
        </w:rPr>
        <w:t>Government</w:t>
      </w:r>
      <w:r w:rsidR="00D77D6A">
        <w:rPr>
          <w:rFonts w:ascii="Times New Roman" w:hAnsi="Times New Roman" w:cs="Times New Roman"/>
          <w:sz w:val="24"/>
          <w:szCs w:val="24"/>
        </w:rPr>
        <w:t xml:space="preserve"> expectations</w:t>
      </w:r>
      <w:r w:rsidRPr="006604B3">
        <w:rPr>
          <w:rFonts w:ascii="Times New Roman" w:hAnsi="Times New Roman" w:cs="Times New Roman"/>
          <w:sz w:val="24"/>
          <w:szCs w:val="24"/>
        </w:rPr>
        <w:t xml:space="preserve"> </w:t>
      </w:r>
      <w:r w:rsidR="00CA5322" w:rsidRPr="006604B3">
        <w:rPr>
          <w:rFonts w:ascii="Times New Roman" w:hAnsi="Times New Roman" w:cs="Times New Roman"/>
          <w:sz w:val="24"/>
          <w:szCs w:val="24"/>
        </w:rPr>
        <w:t xml:space="preserve">and to </w:t>
      </w:r>
      <w:r w:rsidR="00726917">
        <w:rPr>
          <w:rFonts w:ascii="Times New Roman" w:hAnsi="Times New Roman" w:cs="Times New Roman"/>
          <w:sz w:val="24"/>
          <w:szCs w:val="24"/>
        </w:rPr>
        <w:t xml:space="preserve">the </w:t>
      </w:r>
      <w:r w:rsidR="00CA5322" w:rsidRPr="006604B3">
        <w:rPr>
          <w:rFonts w:ascii="Times New Roman" w:hAnsi="Times New Roman" w:cs="Times New Roman"/>
          <w:sz w:val="24"/>
          <w:szCs w:val="24"/>
        </w:rPr>
        <w:t>achievement of its corporate goals and objectives.</w:t>
      </w:r>
      <w:r w:rsidR="00B550AE">
        <w:rPr>
          <w:rFonts w:ascii="Times New Roman" w:hAnsi="Times New Roman" w:cs="Times New Roman"/>
          <w:sz w:val="24"/>
          <w:szCs w:val="24"/>
        </w:rPr>
        <w:t xml:space="preserve"> </w:t>
      </w:r>
      <w:r w:rsidR="00B550AE" w:rsidRPr="006604B3">
        <w:rPr>
          <w:rFonts w:ascii="Times New Roman" w:hAnsi="Times New Roman" w:cs="Times New Roman"/>
          <w:sz w:val="24"/>
          <w:szCs w:val="24"/>
        </w:rPr>
        <w:t>In carrying out this mandate, consideration is given to the objectives of improving quality standards and equity of access to facilities and services throughout the country and to create and sustain a culture of continuous human and national development.</w:t>
      </w:r>
    </w:p>
    <w:p w:rsidR="003612AD" w:rsidRDefault="003612AD" w:rsidP="007D15BF">
      <w:pPr>
        <w:spacing w:line="240" w:lineRule="auto"/>
        <w:jc w:val="both"/>
        <w:rPr>
          <w:rFonts w:ascii="Times New Roman" w:hAnsi="Times New Roman" w:cs="Times New Roman"/>
          <w:sz w:val="24"/>
          <w:szCs w:val="24"/>
        </w:rPr>
      </w:pPr>
      <w:r>
        <w:rPr>
          <w:rFonts w:ascii="Times New Roman" w:hAnsi="Times New Roman" w:cs="Times New Roman"/>
          <w:sz w:val="24"/>
          <w:szCs w:val="24"/>
        </w:rPr>
        <w:t>NIDCO’s core areas of business can be categorized as follows:</w:t>
      </w:r>
    </w:p>
    <w:p w:rsidR="003612AD" w:rsidRPr="003612AD" w:rsidRDefault="003612AD" w:rsidP="007D15BF">
      <w:pPr>
        <w:spacing w:line="240" w:lineRule="auto"/>
        <w:jc w:val="both"/>
        <w:rPr>
          <w:rFonts w:ascii="Times New Roman" w:hAnsi="Times New Roman" w:cs="Times New Roman"/>
          <w:b/>
          <w:sz w:val="24"/>
          <w:szCs w:val="24"/>
        </w:rPr>
      </w:pPr>
      <w:r w:rsidRPr="003612AD">
        <w:rPr>
          <w:rFonts w:ascii="Times New Roman" w:hAnsi="Times New Roman" w:cs="Times New Roman"/>
          <w:b/>
          <w:sz w:val="24"/>
          <w:szCs w:val="24"/>
        </w:rPr>
        <w:t>Project Planning:</w:t>
      </w:r>
    </w:p>
    <w:p w:rsidR="003612AD" w:rsidRDefault="00095C2B" w:rsidP="007D15BF">
      <w:pPr>
        <w:spacing w:line="240" w:lineRule="auto"/>
        <w:jc w:val="both"/>
        <w:rPr>
          <w:rFonts w:ascii="Times New Roman" w:hAnsi="Times New Roman" w:cs="Times New Roman"/>
          <w:sz w:val="24"/>
          <w:szCs w:val="24"/>
        </w:rPr>
      </w:pPr>
      <w:r>
        <w:rPr>
          <w:rFonts w:ascii="Times New Roman" w:hAnsi="Times New Roman" w:cs="Times New Roman"/>
          <w:sz w:val="24"/>
          <w:szCs w:val="24"/>
        </w:rPr>
        <w:t>Formulation of</w:t>
      </w:r>
      <w:r w:rsidR="003612AD">
        <w:rPr>
          <w:rFonts w:ascii="Times New Roman" w:hAnsi="Times New Roman" w:cs="Times New Roman"/>
          <w:sz w:val="24"/>
          <w:szCs w:val="24"/>
        </w:rPr>
        <w:t xml:space="preserve"> strategic goals for implementation of </w:t>
      </w:r>
      <w:r w:rsidR="008B1185">
        <w:rPr>
          <w:rFonts w:ascii="Times New Roman" w:hAnsi="Times New Roman" w:cs="Times New Roman"/>
          <w:sz w:val="24"/>
          <w:szCs w:val="24"/>
        </w:rPr>
        <w:t xml:space="preserve">sustainable </w:t>
      </w:r>
      <w:r w:rsidR="003612AD">
        <w:rPr>
          <w:rFonts w:ascii="Times New Roman" w:hAnsi="Times New Roman" w:cs="Times New Roman"/>
          <w:sz w:val="24"/>
          <w:szCs w:val="24"/>
        </w:rPr>
        <w:t>infrastructure development projects</w:t>
      </w:r>
      <w:r w:rsidR="008B1185">
        <w:rPr>
          <w:rFonts w:ascii="Times New Roman" w:hAnsi="Times New Roman" w:cs="Times New Roman"/>
          <w:sz w:val="24"/>
          <w:szCs w:val="24"/>
        </w:rPr>
        <w:t>.</w:t>
      </w:r>
    </w:p>
    <w:p w:rsidR="003612AD" w:rsidRPr="009C3214" w:rsidRDefault="003612AD" w:rsidP="007D15BF">
      <w:pPr>
        <w:spacing w:line="240" w:lineRule="auto"/>
        <w:jc w:val="both"/>
        <w:rPr>
          <w:rFonts w:ascii="Times New Roman" w:hAnsi="Times New Roman" w:cs="Times New Roman"/>
          <w:b/>
          <w:sz w:val="24"/>
          <w:szCs w:val="24"/>
        </w:rPr>
      </w:pPr>
      <w:r w:rsidRPr="009C3214">
        <w:rPr>
          <w:rFonts w:ascii="Times New Roman" w:hAnsi="Times New Roman" w:cs="Times New Roman"/>
          <w:b/>
          <w:sz w:val="24"/>
          <w:szCs w:val="24"/>
        </w:rPr>
        <w:t>Procurement Management:</w:t>
      </w:r>
    </w:p>
    <w:p w:rsidR="003612AD" w:rsidRDefault="003612AD" w:rsidP="007D15BF">
      <w:pPr>
        <w:spacing w:line="240" w:lineRule="auto"/>
        <w:jc w:val="both"/>
        <w:rPr>
          <w:rFonts w:ascii="Times New Roman" w:hAnsi="Times New Roman" w:cs="Times New Roman"/>
          <w:sz w:val="24"/>
          <w:szCs w:val="24"/>
        </w:rPr>
      </w:pPr>
      <w:r>
        <w:rPr>
          <w:rFonts w:ascii="Times New Roman" w:hAnsi="Times New Roman" w:cs="Times New Roman"/>
          <w:sz w:val="24"/>
          <w:szCs w:val="24"/>
        </w:rPr>
        <w:t>Acquisition of goods and services through a process that reflects the highest level of integrity and that ensures value for money</w:t>
      </w:r>
      <w:r w:rsidR="008B1185">
        <w:rPr>
          <w:rFonts w:ascii="Times New Roman" w:hAnsi="Times New Roman" w:cs="Times New Roman"/>
          <w:sz w:val="24"/>
          <w:szCs w:val="24"/>
        </w:rPr>
        <w:t>.</w:t>
      </w:r>
    </w:p>
    <w:p w:rsidR="003612AD" w:rsidRPr="009C3214" w:rsidRDefault="003612AD" w:rsidP="007D15BF">
      <w:pPr>
        <w:spacing w:line="240" w:lineRule="auto"/>
        <w:jc w:val="both"/>
        <w:rPr>
          <w:rFonts w:ascii="Times New Roman" w:hAnsi="Times New Roman" w:cs="Times New Roman"/>
          <w:b/>
          <w:sz w:val="24"/>
          <w:szCs w:val="24"/>
        </w:rPr>
      </w:pPr>
      <w:r w:rsidRPr="009C3214">
        <w:rPr>
          <w:rFonts w:ascii="Times New Roman" w:hAnsi="Times New Roman" w:cs="Times New Roman"/>
          <w:b/>
          <w:sz w:val="24"/>
          <w:szCs w:val="24"/>
        </w:rPr>
        <w:t>Project Development:</w:t>
      </w:r>
    </w:p>
    <w:p w:rsidR="003612AD" w:rsidRDefault="003612AD" w:rsidP="007D15BF">
      <w:pPr>
        <w:spacing w:line="240" w:lineRule="auto"/>
        <w:jc w:val="both"/>
        <w:rPr>
          <w:rFonts w:ascii="Times New Roman" w:hAnsi="Times New Roman" w:cs="Times New Roman"/>
          <w:sz w:val="24"/>
          <w:szCs w:val="24"/>
        </w:rPr>
      </w:pPr>
      <w:r>
        <w:rPr>
          <w:rFonts w:ascii="Times New Roman" w:hAnsi="Times New Roman" w:cs="Times New Roman"/>
          <w:sz w:val="24"/>
          <w:szCs w:val="24"/>
        </w:rPr>
        <w:t>Continuous review of processes, procedures and systems to ensure project efficiency and optimize value for money</w:t>
      </w:r>
      <w:r w:rsidR="005160A0">
        <w:rPr>
          <w:rFonts w:ascii="Times New Roman" w:hAnsi="Times New Roman" w:cs="Times New Roman"/>
          <w:sz w:val="24"/>
          <w:szCs w:val="24"/>
        </w:rPr>
        <w:t>.</w:t>
      </w:r>
    </w:p>
    <w:p w:rsidR="00ED0B4D" w:rsidRDefault="00ED0B4D" w:rsidP="007D15BF">
      <w:pPr>
        <w:spacing w:line="240" w:lineRule="auto"/>
        <w:jc w:val="both"/>
        <w:rPr>
          <w:rFonts w:ascii="Times New Roman" w:hAnsi="Times New Roman" w:cs="Times New Roman"/>
          <w:sz w:val="24"/>
          <w:szCs w:val="24"/>
        </w:rPr>
      </w:pPr>
    </w:p>
    <w:p w:rsidR="003612AD" w:rsidRPr="009C3214" w:rsidRDefault="003612AD" w:rsidP="007D15BF">
      <w:pPr>
        <w:spacing w:line="240" w:lineRule="auto"/>
        <w:jc w:val="both"/>
        <w:rPr>
          <w:rFonts w:ascii="Times New Roman" w:hAnsi="Times New Roman" w:cs="Times New Roman"/>
          <w:b/>
          <w:sz w:val="24"/>
          <w:szCs w:val="24"/>
        </w:rPr>
      </w:pPr>
      <w:r w:rsidRPr="009C3214">
        <w:rPr>
          <w:rFonts w:ascii="Times New Roman" w:hAnsi="Times New Roman" w:cs="Times New Roman"/>
          <w:b/>
          <w:sz w:val="24"/>
          <w:szCs w:val="24"/>
        </w:rPr>
        <w:lastRenderedPageBreak/>
        <w:t>Project Execution and Implementation:</w:t>
      </w:r>
    </w:p>
    <w:p w:rsidR="003612AD" w:rsidRDefault="003612AD" w:rsidP="007D15BF">
      <w:pPr>
        <w:spacing w:line="240" w:lineRule="auto"/>
        <w:jc w:val="both"/>
        <w:rPr>
          <w:rFonts w:ascii="Times New Roman" w:hAnsi="Times New Roman" w:cs="Times New Roman"/>
          <w:sz w:val="24"/>
          <w:szCs w:val="24"/>
        </w:rPr>
      </w:pPr>
      <w:r>
        <w:rPr>
          <w:rFonts w:ascii="Times New Roman" w:hAnsi="Times New Roman" w:cs="Times New Roman"/>
          <w:sz w:val="24"/>
          <w:szCs w:val="24"/>
        </w:rPr>
        <w:t>Institution of appropriate project organization teams, technical</w:t>
      </w:r>
      <w:r w:rsidR="005160A0">
        <w:rPr>
          <w:rFonts w:ascii="Times New Roman" w:hAnsi="Times New Roman" w:cs="Times New Roman"/>
          <w:sz w:val="24"/>
          <w:szCs w:val="24"/>
        </w:rPr>
        <w:t xml:space="preserve"> and administrative resources to</w:t>
      </w:r>
      <w:r>
        <w:rPr>
          <w:rFonts w:ascii="Times New Roman" w:hAnsi="Times New Roman" w:cs="Times New Roman"/>
          <w:sz w:val="24"/>
          <w:szCs w:val="24"/>
        </w:rPr>
        <w:t xml:space="preserve"> ensure high quality services and satisfactory project outcomes.</w:t>
      </w:r>
    </w:p>
    <w:p w:rsidR="003612AD" w:rsidRPr="009C3214" w:rsidRDefault="003612AD" w:rsidP="007D15BF">
      <w:pPr>
        <w:spacing w:line="240" w:lineRule="auto"/>
        <w:jc w:val="both"/>
        <w:rPr>
          <w:rFonts w:ascii="Times New Roman" w:hAnsi="Times New Roman" w:cs="Times New Roman"/>
          <w:b/>
          <w:sz w:val="24"/>
          <w:szCs w:val="24"/>
        </w:rPr>
      </w:pPr>
      <w:r w:rsidRPr="009C3214">
        <w:rPr>
          <w:rFonts w:ascii="Times New Roman" w:hAnsi="Times New Roman" w:cs="Times New Roman"/>
          <w:b/>
          <w:sz w:val="24"/>
          <w:szCs w:val="24"/>
        </w:rPr>
        <w:t>Project Monitoring and Evaluation:</w:t>
      </w:r>
    </w:p>
    <w:p w:rsidR="003612AD" w:rsidRDefault="009C3214" w:rsidP="007D15BF">
      <w:pPr>
        <w:spacing w:line="240" w:lineRule="auto"/>
        <w:jc w:val="both"/>
        <w:rPr>
          <w:rFonts w:ascii="Times New Roman" w:hAnsi="Times New Roman" w:cs="Times New Roman"/>
          <w:sz w:val="24"/>
          <w:szCs w:val="24"/>
        </w:rPr>
      </w:pPr>
      <w:r>
        <w:rPr>
          <w:rFonts w:ascii="Times New Roman" w:hAnsi="Times New Roman" w:cs="Times New Roman"/>
          <w:sz w:val="24"/>
          <w:szCs w:val="24"/>
        </w:rPr>
        <w:t>Development and implementation of systems to monitor project benchmarks against international best practices for delivery of infrastructure projects and facilities.</w:t>
      </w:r>
    </w:p>
    <w:p w:rsidR="009C3214" w:rsidRPr="009C3214" w:rsidRDefault="009C3214" w:rsidP="007D15BF">
      <w:pPr>
        <w:spacing w:line="240" w:lineRule="auto"/>
        <w:jc w:val="both"/>
        <w:rPr>
          <w:rFonts w:ascii="Times New Roman" w:hAnsi="Times New Roman" w:cs="Times New Roman"/>
          <w:b/>
          <w:sz w:val="24"/>
          <w:szCs w:val="24"/>
        </w:rPr>
      </w:pPr>
      <w:r w:rsidRPr="009C3214">
        <w:rPr>
          <w:rFonts w:ascii="Times New Roman" w:hAnsi="Times New Roman" w:cs="Times New Roman"/>
          <w:b/>
          <w:sz w:val="24"/>
          <w:szCs w:val="24"/>
        </w:rPr>
        <w:t>Management of the Water Taxi Service:</w:t>
      </w:r>
    </w:p>
    <w:p w:rsidR="009C3214" w:rsidRDefault="009C3214" w:rsidP="007D15BF">
      <w:pPr>
        <w:spacing w:line="240" w:lineRule="auto"/>
        <w:jc w:val="both"/>
        <w:rPr>
          <w:rFonts w:ascii="Times New Roman" w:hAnsi="Times New Roman" w:cs="Times New Roman"/>
          <w:sz w:val="24"/>
          <w:szCs w:val="24"/>
        </w:rPr>
      </w:pPr>
      <w:r>
        <w:rPr>
          <w:rFonts w:ascii="Times New Roman" w:hAnsi="Times New Roman" w:cs="Times New Roman"/>
          <w:sz w:val="24"/>
          <w:szCs w:val="24"/>
        </w:rPr>
        <w:t>Responsibility for the efficient and effective management and operation of the Water Taxi Service and projects assigned to it.</w:t>
      </w:r>
    </w:p>
    <w:p w:rsidR="003612AD" w:rsidRDefault="003F6E96" w:rsidP="007D15BF">
      <w:pPr>
        <w:spacing w:line="240" w:lineRule="auto"/>
        <w:jc w:val="both"/>
        <w:rPr>
          <w:rFonts w:ascii="Times New Roman" w:hAnsi="Times New Roman" w:cs="Times New Roman"/>
          <w:sz w:val="24"/>
          <w:szCs w:val="24"/>
        </w:rPr>
      </w:pPr>
      <w:r w:rsidRPr="003F6E96">
        <w:rPr>
          <w:rFonts w:ascii="Times New Roman" w:hAnsi="Times New Roman" w:cs="Times New Roman"/>
          <w:sz w:val="24"/>
          <w:szCs w:val="24"/>
        </w:rPr>
        <w:t>As a State Agency, NIDCO receives its mandates for its program of works from the Government of the Republic of Trinidad and Tobago (GORTT), through its line Ministry, the Ministr</w:t>
      </w:r>
      <w:r w:rsidR="00376B5C">
        <w:rPr>
          <w:rFonts w:ascii="Times New Roman" w:hAnsi="Times New Roman" w:cs="Times New Roman"/>
          <w:sz w:val="24"/>
          <w:szCs w:val="24"/>
        </w:rPr>
        <w:t xml:space="preserve">y of Works and Infrastructure. </w:t>
      </w:r>
      <w:bookmarkStart w:id="0" w:name="_GoBack"/>
      <w:bookmarkEnd w:id="0"/>
      <w:r w:rsidRPr="003F6E96">
        <w:rPr>
          <w:rFonts w:ascii="Times New Roman" w:hAnsi="Times New Roman" w:cs="Times New Roman"/>
          <w:sz w:val="24"/>
          <w:szCs w:val="24"/>
        </w:rPr>
        <w:t>The organization, however, has established strong partnerships with other Ministries involved in public infrastructure development, namely, the Ministry of Environment and Water Resources (for drainage and flood mitigation projects); the Ministry of Community Development (for small drainage and community enhancement projects, such as play parks); and the Ministry of Transport.</w:t>
      </w:r>
    </w:p>
    <w:p w:rsidR="006C543E" w:rsidRDefault="00D36913" w:rsidP="007D15BF">
      <w:pPr>
        <w:spacing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List of </w:t>
      </w:r>
      <w:r w:rsidR="003F6E96">
        <w:rPr>
          <w:rFonts w:ascii="Times New Roman" w:hAnsi="Times New Roman" w:cs="Times New Roman"/>
          <w:b/>
          <w:sz w:val="24"/>
          <w:szCs w:val="24"/>
        </w:rPr>
        <w:t xml:space="preserve">major </w:t>
      </w:r>
      <w:r>
        <w:rPr>
          <w:rFonts w:ascii="Times New Roman" w:hAnsi="Times New Roman" w:cs="Times New Roman"/>
          <w:b/>
          <w:sz w:val="24"/>
          <w:szCs w:val="24"/>
        </w:rPr>
        <w:t>n</w:t>
      </w:r>
      <w:r w:rsidR="006C543E" w:rsidRPr="006C543E">
        <w:rPr>
          <w:rFonts w:ascii="Times New Roman" w:hAnsi="Times New Roman" w:cs="Times New Roman"/>
          <w:b/>
          <w:sz w:val="24"/>
          <w:szCs w:val="24"/>
        </w:rPr>
        <w:t>ational infrastructure development projects assigned to NIDCO:</w:t>
      </w:r>
    </w:p>
    <w:p w:rsidR="00D36913" w:rsidRDefault="00D36913" w:rsidP="00D36913">
      <w:pPr>
        <w:pStyle w:val="ListParagraph"/>
        <w:numPr>
          <w:ilvl w:val="0"/>
          <w:numId w:val="5"/>
        </w:numPr>
        <w:spacing w:line="240" w:lineRule="auto"/>
        <w:jc w:val="both"/>
        <w:rPr>
          <w:rFonts w:ascii="Times New Roman" w:hAnsi="Times New Roman" w:cs="Times New Roman"/>
          <w:b/>
          <w:sz w:val="24"/>
          <w:szCs w:val="24"/>
        </w:rPr>
      </w:pPr>
      <w:r>
        <w:rPr>
          <w:rFonts w:ascii="Times New Roman" w:hAnsi="Times New Roman" w:cs="Times New Roman"/>
          <w:b/>
          <w:sz w:val="24"/>
          <w:szCs w:val="24"/>
        </w:rPr>
        <w:t>Comprehensive land surface program:</w:t>
      </w:r>
    </w:p>
    <w:p w:rsidR="00D36913" w:rsidRDefault="00D36913" w:rsidP="00D36913">
      <w:pPr>
        <w:pStyle w:val="ListParagraph"/>
        <w:spacing w:line="240" w:lineRule="auto"/>
        <w:jc w:val="both"/>
        <w:rPr>
          <w:rFonts w:ascii="Times New Roman" w:hAnsi="Times New Roman" w:cs="Times New Roman"/>
          <w:b/>
          <w:sz w:val="24"/>
          <w:szCs w:val="24"/>
        </w:rPr>
      </w:pPr>
    </w:p>
    <w:p w:rsidR="00D36913" w:rsidRPr="00D36913" w:rsidRDefault="00D36913" w:rsidP="00D36913">
      <w:pPr>
        <w:pStyle w:val="ListParagraph"/>
        <w:numPr>
          <w:ilvl w:val="0"/>
          <w:numId w:val="6"/>
        </w:numPr>
        <w:spacing w:line="240" w:lineRule="auto"/>
        <w:jc w:val="both"/>
        <w:rPr>
          <w:rFonts w:ascii="Times New Roman" w:hAnsi="Times New Roman" w:cs="Times New Roman"/>
          <w:sz w:val="24"/>
          <w:szCs w:val="24"/>
        </w:rPr>
      </w:pPr>
      <w:r w:rsidRPr="00D36913">
        <w:rPr>
          <w:rFonts w:ascii="Times New Roman" w:hAnsi="Times New Roman" w:cs="Times New Roman"/>
          <w:sz w:val="24"/>
          <w:szCs w:val="24"/>
        </w:rPr>
        <w:t>San Fernando to Point Fortin Highway</w:t>
      </w:r>
    </w:p>
    <w:p w:rsidR="00D36913" w:rsidRPr="00D36913" w:rsidRDefault="00D36913" w:rsidP="00D36913">
      <w:pPr>
        <w:pStyle w:val="ListParagraph"/>
        <w:numPr>
          <w:ilvl w:val="0"/>
          <w:numId w:val="6"/>
        </w:numPr>
        <w:spacing w:line="240" w:lineRule="auto"/>
        <w:jc w:val="both"/>
        <w:rPr>
          <w:rFonts w:ascii="Times New Roman" w:hAnsi="Times New Roman" w:cs="Times New Roman"/>
          <w:sz w:val="24"/>
          <w:szCs w:val="24"/>
        </w:rPr>
      </w:pPr>
      <w:r w:rsidRPr="00D36913">
        <w:rPr>
          <w:rFonts w:ascii="Times New Roman" w:hAnsi="Times New Roman" w:cs="Times New Roman"/>
          <w:sz w:val="24"/>
          <w:szCs w:val="24"/>
        </w:rPr>
        <w:t>Port of Spain – East/West corridor transportation project</w:t>
      </w:r>
    </w:p>
    <w:p w:rsidR="00D36913" w:rsidRPr="00D36913" w:rsidRDefault="00D36913" w:rsidP="00D36913">
      <w:pPr>
        <w:pStyle w:val="ListParagraph"/>
        <w:numPr>
          <w:ilvl w:val="0"/>
          <w:numId w:val="6"/>
        </w:numPr>
        <w:spacing w:line="240" w:lineRule="auto"/>
        <w:jc w:val="both"/>
        <w:rPr>
          <w:rFonts w:ascii="Times New Roman" w:hAnsi="Times New Roman" w:cs="Times New Roman"/>
          <w:sz w:val="24"/>
          <w:szCs w:val="24"/>
        </w:rPr>
      </w:pPr>
      <w:r w:rsidRPr="00D36913">
        <w:rPr>
          <w:rFonts w:ascii="Times New Roman" w:hAnsi="Times New Roman" w:cs="Times New Roman"/>
          <w:sz w:val="24"/>
          <w:szCs w:val="24"/>
        </w:rPr>
        <w:t>San Fernando to Mayaro highway</w:t>
      </w:r>
    </w:p>
    <w:p w:rsidR="00D36913" w:rsidRPr="00D36913" w:rsidRDefault="00D36913" w:rsidP="00D36913">
      <w:pPr>
        <w:pStyle w:val="ListParagraph"/>
        <w:numPr>
          <w:ilvl w:val="0"/>
          <w:numId w:val="6"/>
        </w:numPr>
        <w:spacing w:line="240" w:lineRule="auto"/>
        <w:jc w:val="both"/>
        <w:rPr>
          <w:rFonts w:ascii="Times New Roman" w:hAnsi="Times New Roman" w:cs="Times New Roman"/>
          <w:sz w:val="24"/>
          <w:szCs w:val="24"/>
        </w:rPr>
      </w:pPr>
      <w:r w:rsidRPr="00D36913">
        <w:rPr>
          <w:rFonts w:ascii="Times New Roman" w:hAnsi="Times New Roman" w:cs="Times New Roman"/>
          <w:sz w:val="24"/>
          <w:szCs w:val="24"/>
        </w:rPr>
        <w:t>Churchill Roosevelt highway interchange upgrade program – package C &amp; package D</w:t>
      </w:r>
    </w:p>
    <w:p w:rsidR="00D36913" w:rsidRPr="00D36913" w:rsidRDefault="00D36913" w:rsidP="00D36913">
      <w:pPr>
        <w:pStyle w:val="ListParagraph"/>
        <w:numPr>
          <w:ilvl w:val="0"/>
          <w:numId w:val="6"/>
        </w:numPr>
        <w:spacing w:line="240" w:lineRule="auto"/>
        <w:jc w:val="both"/>
        <w:rPr>
          <w:rFonts w:ascii="Times New Roman" w:hAnsi="Times New Roman" w:cs="Times New Roman"/>
          <w:sz w:val="24"/>
          <w:szCs w:val="24"/>
        </w:rPr>
      </w:pPr>
      <w:r w:rsidRPr="00D36913">
        <w:rPr>
          <w:rFonts w:ascii="Times New Roman" w:hAnsi="Times New Roman" w:cs="Times New Roman"/>
          <w:sz w:val="24"/>
          <w:szCs w:val="24"/>
        </w:rPr>
        <w:t>National Traffic Management System (NTMS) project</w:t>
      </w:r>
    </w:p>
    <w:p w:rsidR="00D36913" w:rsidRPr="00D36913" w:rsidRDefault="00D36913" w:rsidP="00D36913">
      <w:pPr>
        <w:pStyle w:val="ListParagraph"/>
        <w:numPr>
          <w:ilvl w:val="0"/>
          <w:numId w:val="6"/>
        </w:numPr>
        <w:spacing w:line="240" w:lineRule="auto"/>
        <w:jc w:val="both"/>
        <w:rPr>
          <w:rFonts w:ascii="Times New Roman" w:hAnsi="Times New Roman" w:cs="Times New Roman"/>
          <w:sz w:val="24"/>
          <w:szCs w:val="24"/>
        </w:rPr>
      </w:pPr>
      <w:r w:rsidRPr="00D36913">
        <w:rPr>
          <w:rFonts w:ascii="Times New Roman" w:hAnsi="Times New Roman" w:cs="Times New Roman"/>
          <w:sz w:val="24"/>
          <w:szCs w:val="24"/>
        </w:rPr>
        <w:t>Community outreach programs</w:t>
      </w:r>
    </w:p>
    <w:p w:rsidR="00D36913" w:rsidRPr="00D36913" w:rsidRDefault="00D36913" w:rsidP="00D36913">
      <w:pPr>
        <w:pStyle w:val="ListParagraph"/>
        <w:numPr>
          <w:ilvl w:val="0"/>
          <w:numId w:val="6"/>
        </w:numPr>
        <w:spacing w:line="240" w:lineRule="auto"/>
        <w:jc w:val="both"/>
        <w:rPr>
          <w:rFonts w:ascii="Times New Roman" w:hAnsi="Times New Roman" w:cs="Times New Roman"/>
          <w:sz w:val="24"/>
          <w:szCs w:val="24"/>
        </w:rPr>
      </w:pPr>
      <w:r w:rsidRPr="00D36913">
        <w:rPr>
          <w:rFonts w:ascii="Times New Roman" w:hAnsi="Times New Roman" w:cs="Times New Roman"/>
          <w:sz w:val="24"/>
          <w:szCs w:val="24"/>
        </w:rPr>
        <w:t>Major Bridges Reconstruction program</w:t>
      </w:r>
    </w:p>
    <w:p w:rsidR="00D36913" w:rsidRDefault="00D36913" w:rsidP="00D36913">
      <w:pPr>
        <w:pStyle w:val="ListParagraph"/>
        <w:numPr>
          <w:ilvl w:val="0"/>
          <w:numId w:val="6"/>
        </w:numPr>
        <w:spacing w:line="240" w:lineRule="auto"/>
        <w:jc w:val="both"/>
        <w:rPr>
          <w:rFonts w:ascii="Times New Roman" w:hAnsi="Times New Roman" w:cs="Times New Roman"/>
          <w:sz w:val="24"/>
          <w:szCs w:val="24"/>
        </w:rPr>
      </w:pPr>
      <w:r w:rsidRPr="00D36913">
        <w:rPr>
          <w:rFonts w:ascii="Times New Roman" w:hAnsi="Times New Roman" w:cs="Times New Roman"/>
          <w:sz w:val="24"/>
          <w:szCs w:val="24"/>
        </w:rPr>
        <w:t>Claude Noel Highway &amp; Store Bay Local Road</w:t>
      </w:r>
    </w:p>
    <w:p w:rsidR="00D36913" w:rsidRPr="00D36913" w:rsidRDefault="00D36913" w:rsidP="00D36913">
      <w:pPr>
        <w:pStyle w:val="ListParagraph"/>
        <w:spacing w:line="240" w:lineRule="auto"/>
        <w:ind w:left="1440"/>
        <w:jc w:val="both"/>
        <w:rPr>
          <w:rFonts w:ascii="Times New Roman" w:hAnsi="Times New Roman" w:cs="Times New Roman"/>
          <w:sz w:val="24"/>
          <w:szCs w:val="24"/>
        </w:rPr>
      </w:pPr>
    </w:p>
    <w:p w:rsidR="00D36913" w:rsidRDefault="00D36913" w:rsidP="00D36913">
      <w:pPr>
        <w:pStyle w:val="ListParagraph"/>
        <w:numPr>
          <w:ilvl w:val="0"/>
          <w:numId w:val="5"/>
        </w:numPr>
        <w:spacing w:line="240" w:lineRule="auto"/>
        <w:jc w:val="both"/>
        <w:rPr>
          <w:rFonts w:ascii="Times New Roman" w:hAnsi="Times New Roman" w:cs="Times New Roman"/>
          <w:b/>
          <w:sz w:val="24"/>
          <w:szCs w:val="24"/>
        </w:rPr>
      </w:pPr>
      <w:r w:rsidRPr="00D36913">
        <w:rPr>
          <w:rFonts w:ascii="Times New Roman" w:hAnsi="Times New Roman" w:cs="Times New Roman"/>
          <w:b/>
          <w:sz w:val="24"/>
          <w:szCs w:val="24"/>
        </w:rPr>
        <w:t>Drainage</w:t>
      </w:r>
      <w:r w:rsidR="00BE6743">
        <w:rPr>
          <w:rFonts w:ascii="Times New Roman" w:hAnsi="Times New Roman" w:cs="Times New Roman"/>
          <w:b/>
          <w:sz w:val="24"/>
          <w:szCs w:val="24"/>
        </w:rPr>
        <w:t xml:space="preserve"> &amp; Landslips repair program</w:t>
      </w:r>
    </w:p>
    <w:p w:rsidR="00BE6743" w:rsidRPr="00D36913" w:rsidRDefault="00BE6743" w:rsidP="00BE6743">
      <w:pPr>
        <w:pStyle w:val="ListParagraph"/>
        <w:spacing w:line="240" w:lineRule="auto"/>
        <w:jc w:val="both"/>
        <w:rPr>
          <w:rFonts w:ascii="Times New Roman" w:hAnsi="Times New Roman" w:cs="Times New Roman"/>
          <w:b/>
          <w:sz w:val="24"/>
          <w:szCs w:val="24"/>
        </w:rPr>
      </w:pPr>
    </w:p>
    <w:p w:rsidR="00D36913" w:rsidRPr="00BE6743" w:rsidRDefault="00BE6743" w:rsidP="00BE6743">
      <w:pPr>
        <w:pStyle w:val="ListParagraph"/>
        <w:numPr>
          <w:ilvl w:val="0"/>
          <w:numId w:val="8"/>
        </w:numPr>
        <w:spacing w:line="240" w:lineRule="auto"/>
        <w:ind w:left="990" w:firstLine="0"/>
        <w:jc w:val="both"/>
        <w:rPr>
          <w:rFonts w:ascii="Times New Roman" w:hAnsi="Times New Roman" w:cs="Times New Roman"/>
          <w:sz w:val="24"/>
          <w:szCs w:val="24"/>
        </w:rPr>
      </w:pPr>
      <w:r w:rsidRPr="00BE6743">
        <w:rPr>
          <w:rFonts w:ascii="Times New Roman" w:hAnsi="Times New Roman" w:cs="Times New Roman"/>
          <w:sz w:val="24"/>
          <w:szCs w:val="24"/>
        </w:rPr>
        <w:t>Po</w:t>
      </w:r>
      <w:r>
        <w:rPr>
          <w:rFonts w:ascii="Times New Roman" w:hAnsi="Times New Roman" w:cs="Times New Roman"/>
          <w:sz w:val="24"/>
          <w:szCs w:val="24"/>
        </w:rPr>
        <w:t>r</w:t>
      </w:r>
      <w:r w:rsidRPr="00BE6743">
        <w:rPr>
          <w:rFonts w:ascii="Times New Roman" w:hAnsi="Times New Roman" w:cs="Times New Roman"/>
          <w:sz w:val="24"/>
          <w:szCs w:val="24"/>
        </w:rPr>
        <w:t>t of Spain Flood alleviation project</w:t>
      </w:r>
    </w:p>
    <w:p w:rsidR="00BE6743" w:rsidRPr="00BE6743" w:rsidRDefault="00BE6743" w:rsidP="00BE6743">
      <w:pPr>
        <w:pStyle w:val="ListParagraph"/>
        <w:numPr>
          <w:ilvl w:val="0"/>
          <w:numId w:val="8"/>
        </w:numPr>
        <w:spacing w:line="240" w:lineRule="auto"/>
        <w:ind w:left="990" w:firstLine="0"/>
        <w:jc w:val="both"/>
        <w:rPr>
          <w:rFonts w:ascii="Times New Roman" w:hAnsi="Times New Roman" w:cs="Times New Roman"/>
          <w:sz w:val="24"/>
          <w:szCs w:val="24"/>
        </w:rPr>
      </w:pPr>
      <w:r w:rsidRPr="00BE6743">
        <w:rPr>
          <w:rFonts w:ascii="Times New Roman" w:hAnsi="Times New Roman" w:cs="Times New Roman"/>
          <w:sz w:val="24"/>
          <w:szCs w:val="24"/>
        </w:rPr>
        <w:t>Mamoral Dam</w:t>
      </w:r>
    </w:p>
    <w:p w:rsidR="00BE6743" w:rsidRPr="00BE6743" w:rsidRDefault="00BE6743" w:rsidP="00BE6743">
      <w:pPr>
        <w:pStyle w:val="ListParagraph"/>
        <w:numPr>
          <w:ilvl w:val="0"/>
          <w:numId w:val="8"/>
        </w:numPr>
        <w:spacing w:line="240" w:lineRule="auto"/>
        <w:ind w:left="990" w:firstLine="0"/>
        <w:jc w:val="both"/>
        <w:rPr>
          <w:rFonts w:ascii="Times New Roman" w:hAnsi="Times New Roman" w:cs="Times New Roman"/>
          <w:sz w:val="24"/>
          <w:szCs w:val="24"/>
        </w:rPr>
      </w:pPr>
      <w:r w:rsidRPr="00BE6743">
        <w:rPr>
          <w:rFonts w:ascii="Times New Roman" w:hAnsi="Times New Roman" w:cs="Times New Roman"/>
          <w:sz w:val="24"/>
          <w:szCs w:val="24"/>
        </w:rPr>
        <w:t>Comprehensive National Drainage Development study</w:t>
      </w:r>
    </w:p>
    <w:p w:rsidR="00BE6743" w:rsidRPr="00BE6743" w:rsidRDefault="00BE6743" w:rsidP="00BE6743">
      <w:pPr>
        <w:pStyle w:val="ListParagraph"/>
        <w:numPr>
          <w:ilvl w:val="0"/>
          <w:numId w:val="8"/>
        </w:numPr>
        <w:spacing w:line="240" w:lineRule="auto"/>
        <w:ind w:left="990" w:firstLine="0"/>
        <w:jc w:val="both"/>
        <w:rPr>
          <w:rFonts w:ascii="Times New Roman" w:hAnsi="Times New Roman" w:cs="Times New Roman"/>
          <w:sz w:val="24"/>
          <w:szCs w:val="24"/>
        </w:rPr>
      </w:pPr>
      <w:r w:rsidRPr="00BE6743">
        <w:rPr>
          <w:rFonts w:ascii="Times New Roman" w:hAnsi="Times New Roman" w:cs="Times New Roman"/>
          <w:sz w:val="24"/>
          <w:szCs w:val="24"/>
        </w:rPr>
        <w:t>Flood mitigation and coastal erosion program</w:t>
      </w:r>
    </w:p>
    <w:p w:rsidR="00BE6743" w:rsidRPr="00BE6743" w:rsidRDefault="00BE6743" w:rsidP="00BE6743">
      <w:pPr>
        <w:pStyle w:val="ListParagraph"/>
        <w:numPr>
          <w:ilvl w:val="0"/>
          <w:numId w:val="8"/>
        </w:numPr>
        <w:spacing w:line="240" w:lineRule="auto"/>
        <w:ind w:left="990" w:firstLine="0"/>
        <w:jc w:val="both"/>
        <w:rPr>
          <w:rFonts w:ascii="Times New Roman" w:hAnsi="Times New Roman" w:cs="Times New Roman"/>
          <w:b/>
          <w:sz w:val="24"/>
          <w:szCs w:val="24"/>
        </w:rPr>
      </w:pPr>
      <w:r w:rsidRPr="00BE6743">
        <w:rPr>
          <w:rFonts w:ascii="Times New Roman" w:hAnsi="Times New Roman" w:cs="Times New Roman"/>
          <w:sz w:val="24"/>
          <w:szCs w:val="24"/>
        </w:rPr>
        <w:t>Major landslip repair</w:t>
      </w:r>
    </w:p>
    <w:p w:rsidR="00BE6743" w:rsidRDefault="00BE6743" w:rsidP="00BE6743">
      <w:pPr>
        <w:pStyle w:val="ListParagraph"/>
        <w:spacing w:line="240" w:lineRule="auto"/>
        <w:jc w:val="both"/>
        <w:rPr>
          <w:rFonts w:ascii="Times New Roman" w:hAnsi="Times New Roman" w:cs="Times New Roman"/>
          <w:b/>
          <w:sz w:val="24"/>
          <w:szCs w:val="24"/>
        </w:rPr>
      </w:pPr>
    </w:p>
    <w:p w:rsidR="00D36913" w:rsidRDefault="00BE6743" w:rsidP="00BE6743">
      <w:pPr>
        <w:pStyle w:val="ListParagraph"/>
        <w:numPr>
          <w:ilvl w:val="0"/>
          <w:numId w:val="5"/>
        </w:numPr>
        <w:spacing w:line="240" w:lineRule="auto"/>
        <w:jc w:val="both"/>
        <w:rPr>
          <w:rFonts w:ascii="Times New Roman" w:hAnsi="Times New Roman" w:cs="Times New Roman"/>
          <w:b/>
          <w:sz w:val="24"/>
          <w:szCs w:val="24"/>
        </w:rPr>
      </w:pPr>
      <w:r>
        <w:rPr>
          <w:rFonts w:ascii="Times New Roman" w:hAnsi="Times New Roman" w:cs="Times New Roman"/>
          <w:b/>
          <w:sz w:val="24"/>
          <w:szCs w:val="24"/>
        </w:rPr>
        <w:t>Transportation</w:t>
      </w:r>
    </w:p>
    <w:p w:rsidR="00BE6743" w:rsidRPr="00BE6743" w:rsidRDefault="00BE6743" w:rsidP="00BE6743">
      <w:pPr>
        <w:pStyle w:val="ListParagraph"/>
        <w:spacing w:line="240" w:lineRule="auto"/>
        <w:jc w:val="both"/>
        <w:rPr>
          <w:rFonts w:ascii="Times New Roman" w:hAnsi="Times New Roman" w:cs="Times New Roman"/>
          <w:b/>
          <w:sz w:val="24"/>
          <w:szCs w:val="24"/>
        </w:rPr>
      </w:pPr>
    </w:p>
    <w:p w:rsidR="00D36913" w:rsidRPr="00BE6743" w:rsidRDefault="00BE6743" w:rsidP="00BE6743">
      <w:pPr>
        <w:pStyle w:val="ListParagraph"/>
        <w:numPr>
          <w:ilvl w:val="0"/>
          <w:numId w:val="9"/>
        </w:numPr>
        <w:spacing w:line="240" w:lineRule="auto"/>
        <w:ind w:hanging="2"/>
        <w:jc w:val="both"/>
        <w:rPr>
          <w:rFonts w:ascii="Times New Roman" w:hAnsi="Times New Roman" w:cs="Times New Roman"/>
          <w:sz w:val="24"/>
          <w:szCs w:val="24"/>
        </w:rPr>
      </w:pPr>
      <w:r w:rsidRPr="00BE6743">
        <w:rPr>
          <w:rFonts w:ascii="Times New Roman" w:hAnsi="Times New Roman" w:cs="Times New Roman"/>
          <w:sz w:val="24"/>
          <w:szCs w:val="24"/>
        </w:rPr>
        <w:t>Water Taxi service</w:t>
      </w:r>
    </w:p>
    <w:p w:rsidR="00BE6743" w:rsidRPr="00BE6743" w:rsidRDefault="00BE6743" w:rsidP="00BE6743">
      <w:pPr>
        <w:pStyle w:val="ListParagraph"/>
        <w:numPr>
          <w:ilvl w:val="0"/>
          <w:numId w:val="9"/>
        </w:numPr>
        <w:spacing w:line="240" w:lineRule="auto"/>
        <w:ind w:hanging="2"/>
        <w:jc w:val="both"/>
        <w:rPr>
          <w:rFonts w:ascii="Times New Roman" w:hAnsi="Times New Roman" w:cs="Times New Roman"/>
          <w:sz w:val="24"/>
          <w:szCs w:val="24"/>
        </w:rPr>
      </w:pPr>
      <w:r w:rsidRPr="00BE6743">
        <w:rPr>
          <w:rFonts w:ascii="Times New Roman" w:hAnsi="Times New Roman" w:cs="Times New Roman"/>
          <w:sz w:val="24"/>
          <w:szCs w:val="24"/>
        </w:rPr>
        <w:lastRenderedPageBreak/>
        <w:t>Motor vehicle authority licensing transformation project</w:t>
      </w:r>
    </w:p>
    <w:p w:rsidR="00BE6743" w:rsidRDefault="00BE6743" w:rsidP="00BE6743">
      <w:pPr>
        <w:pStyle w:val="ListParagraph"/>
        <w:numPr>
          <w:ilvl w:val="0"/>
          <w:numId w:val="9"/>
        </w:numPr>
        <w:spacing w:line="240" w:lineRule="auto"/>
        <w:ind w:hanging="2"/>
        <w:jc w:val="both"/>
        <w:rPr>
          <w:rFonts w:ascii="Times New Roman" w:hAnsi="Times New Roman" w:cs="Times New Roman"/>
          <w:sz w:val="24"/>
          <w:szCs w:val="24"/>
        </w:rPr>
      </w:pPr>
      <w:r w:rsidRPr="00BE6743">
        <w:rPr>
          <w:rFonts w:ascii="Times New Roman" w:hAnsi="Times New Roman" w:cs="Times New Roman"/>
          <w:sz w:val="24"/>
          <w:szCs w:val="24"/>
        </w:rPr>
        <w:t>East west corridor mass transit system</w:t>
      </w:r>
    </w:p>
    <w:p w:rsidR="005266AB" w:rsidRDefault="005266AB" w:rsidP="005266AB">
      <w:pPr>
        <w:pStyle w:val="ListParagraph"/>
        <w:spacing w:line="240" w:lineRule="auto"/>
        <w:ind w:left="902"/>
        <w:jc w:val="both"/>
        <w:rPr>
          <w:rFonts w:ascii="Times New Roman" w:hAnsi="Times New Roman" w:cs="Times New Roman"/>
          <w:sz w:val="24"/>
          <w:szCs w:val="24"/>
        </w:rPr>
      </w:pPr>
    </w:p>
    <w:p w:rsidR="00ED6899" w:rsidRDefault="00783FF2" w:rsidP="00ED0B4D">
      <w:pPr>
        <w:pStyle w:val="ListParagraph"/>
        <w:numPr>
          <w:ilvl w:val="1"/>
          <w:numId w:val="23"/>
        </w:numPr>
        <w:spacing w:line="240" w:lineRule="auto"/>
        <w:ind w:left="810" w:hanging="810"/>
        <w:jc w:val="both"/>
        <w:rPr>
          <w:rFonts w:ascii="Times New Roman" w:hAnsi="Times New Roman" w:cs="Times New Roman"/>
          <w:b/>
          <w:sz w:val="24"/>
          <w:szCs w:val="24"/>
        </w:rPr>
      </w:pPr>
      <w:r>
        <w:rPr>
          <w:rFonts w:ascii="Times New Roman" w:hAnsi="Times New Roman" w:cs="Times New Roman"/>
          <w:b/>
          <w:sz w:val="24"/>
          <w:szCs w:val="24"/>
        </w:rPr>
        <w:t>NIDCO</w:t>
      </w:r>
      <w:r w:rsidR="00ED6899" w:rsidRPr="00ED6899">
        <w:rPr>
          <w:rFonts w:ascii="Times New Roman" w:hAnsi="Times New Roman" w:cs="Times New Roman"/>
          <w:b/>
          <w:sz w:val="24"/>
          <w:szCs w:val="24"/>
        </w:rPr>
        <w:t xml:space="preserve"> Strategic Plan 2011- 2015</w:t>
      </w:r>
    </w:p>
    <w:p w:rsidR="00ED6899" w:rsidRDefault="00ED6899" w:rsidP="00ED6899">
      <w:pPr>
        <w:pStyle w:val="ListParagraph"/>
        <w:spacing w:line="240" w:lineRule="auto"/>
        <w:ind w:left="1080"/>
        <w:jc w:val="both"/>
        <w:rPr>
          <w:rFonts w:ascii="Times New Roman" w:hAnsi="Times New Roman" w:cs="Times New Roman"/>
          <w:b/>
          <w:sz w:val="24"/>
          <w:szCs w:val="24"/>
        </w:rPr>
      </w:pPr>
    </w:p>
    <w:p w:rsidR="00ED6899" w:rsidRDefault="00676EE3" w:rsidP="00ED0B4D">
      <w:pPr>
        <w:pStyle w:val="ListParagraph"/>
        <w:spacing w:line="240" w:lineRule="auto"/>
        <w:ind w:left="0"/>
        <w:jc w:val="both"/>
        <w:rPr>
          <w:rFonts w:ascii="Times New Roman" w:hAnsi="Times New Roman" w:cs="Times New Roman"/>
          <w:sz w:val="24"/>
          <w:szCs w:val="24"/>
        </w:rPr>
      </w:pPr>
      <w:r w:rsidRPr="00676EE3">
        <w:rPr>
          <w:rFonts w:ascii="Times New Roman" w:hAnsi="Times New Roman" w:cs="Times New Roman"/>
          <w:sz w:val="24"/>
          <w:szCs w:val="24"/>
        </w:rPr>
        <w:t>In formulating its Corporate</w:t>
      </w:r>
      <w:r>
        <w:rPr>
          <w:rFonts w:ascii="Times New Roman" w:hAnsi="Times New Roman" w:cs="Times New Roman"/>
          <w:sz w:val="24"/>
          <w:szCs w:val="24"/>
        </w:rPr>
        <w:t xml:space="preserve"> Strategic Plan for the period </w:t>
      </w:r>
      <w:r w:rsidRPr="00676EE3">
        <w:rPr>
          <w:rFonts w:ascii="Times New Roman" w:hAnsi="Times New Roman" w:cs="Times New Roman"/>
          <w:sz w:val="24"/>
          <w:szCs w:val="24"/>
        </w:rPr>
        <w:t>2011-2015, NIDCO sought to align its key activities with the goals set for national human development and to enhance the quality of life for all residents.</w:t>
      </w:r>
      <w:r>
        <w:rPr>
          <w:rFonts w:ascii="Times New Roman" w:hAnsi="Times New Roman" w:cs="Times New Roman"/>
          <w:sz w:val="24"/>
          <w:szCs w:val="24"/>
        </w:rPr>
        <w:t xml:space="preserve"> The Plan set out the Company’s new vision, mission, and the strategic goals for the period 2011-2015. The plan also identified the initiatives that would be undertaken to achieve NIDCO’s goals, the potential performance outcomes the company was seeking, and possible measures that might be used to monitor performance toward achieving those goals.</w:t>
      </w:r>
    </w:p>
    <w:p w:rsidR="00676EE3" w:rsidRDefault="00676EE3" w:rsidP="00676EE3">
      <w:pPr>
        <w:pStyle w:val="ListParagraph"/>
        <w:spacing w:line="240" w:lineRule="auto"/>
        <w:ind w:left="0" w:firstLine="720"/>
        <w:jc w:val="both"/>
        <w:rPr>
          <w:rFonts w:ascii="Times New Roman" w:hAnsi="Times New Roman" w:cs="Times New Roman"/>
          <w:sz w:val="24"/>
          <w:szCs w:val="24"/>
        </w:rPr>
      </w:pPr>
    </w:p>
    <w:p w:rsidR="001B5F6A" w:rsidRDefault="009A2989" w:rsidP="00676EE3">
      <w:pPr>
        <w:pStyle w:val="ListParagraph"/>
        <w:spacing w:line="240" w:lineRule="auto"/>
        <w:ind w:left="0"/>
        <w:jc w:val="both"/>
        <w:rPr>
          <w:rFonts w:ascii="Times New Roman" w:hAnsi="Times New Roman" w:cs="Times New Roman"/>
          <w:sz w:val="24"/>
          <w:szCs w:val="24"/>
        </w:rPr>
      </w:pPr>
      <w:r>
        <w:rPr>
          <w:rFonts w:ascii="Times New Roman" w:hAnsi="Times New Roman" w:cs="Times New Roman"/>
          <w:sz w:val="24"/>
          <w:szCs w:val="24"/>
        </w:rPr>
        <w:t>The Corporate Strategic Plan</w:t>
      </w:r>
      <w:r w:rsidR="00482849">
        <w:rPr>
          <w:rFonts w:ascii="Times New Roman" w:hAnsi="Times New Roman" w:cs="Times New Roman"/>
          <w:sz w:val="24"/>
          <w:szCs w:val="24"/>
        </w:rPr>
        <w:t>,</w:t>
      </w:r>
      <w:r>
        <w:rPr>
          <w:rFonts w:ascii="Times New Roman" w:hAnsi="Times New Roman" w:cs="Times New Roman"/>
          <w:sz w:val="24"/>
          <w:szCs w:val="24"/>
        </w:rPr>
        <w:t xml:space="preserve"> therefore</w:t>
      </w:r>
      <w:r w:rsidR="00482849">
        <w:rPr>
          <w:rFonts w:ascii="Times New Roman" w:hAnsi="Times New Roman" w:cs="Times New Roman"/>
          <w:sz w:val="24"/>
          <w:szCs w:val="24"/>
        </w:rPr>
        <w:t>,</w:t>
      </w:r>
      <w:r>
        <w:rPr>
          <w:rFonts w:ascii="Times New Roman" w:hAnsi="Times New Roman" w:cs="Times New Roman"/>
          <w:sz w:val="24"/>
          <w:szCs w:val="24"/>
        </w:rPr>
        <w:t xml:space="preserve"> set a path for the future that has at its </w:t>
      </w:r>
      <w:r w:rsidR="00903325">
        <w:rPr>
          <w:rFonts w:ascii="Times New Roman" w:hAnsi="Times New Roman" w:cs="Times New Roman"/>
          <w:sz w:val="24"/>
          <w:szCs w:val="24"/>
        </w:rPr>
        <w:t>center</w:t>
      </w:r>
      <w:r>
        <w:rPr>
          <w:rFonts w:ascii="Times New Roman" w:hAnsi="Times New Roman" w:cs="Times New Roman"/>
          <w:sz w:val="24"/>
          <w:szCs w:val="24"/>
        </w:rPr>
        <w:t xml:space="preserve"> integrity, initiatives that would deliver ‘value for money’</w:t>
      </w:r>
      <w:r w:rsidR="001B5F6A">
        <w:rPr>
          <w:rFonts w:ascii="Times New Roman" w:hAnsi="Times New Roman" w:cs="Times New Roman"/>
          <w:sz w:val="24"/>
          <w:szCs w:val="24"/>
        </w:rPr>
        <w:t>, transparency and cohesiveness. It defines NIDCO</w:t>
      </w:r>
      <w:r w:rsidR="00482849">
        <w:rPr>
          <w:rFonts w:ascii="Times New Roman" w:hAnsi="Times New Roman" w:cs="Times New Roman"/>
          <w:sz w:val="24"/>
          <w:szCs w:val="24"/>
        </w:rPr>
        <w:t>’</w:t>
      </w:r>
      <w:r w:rsidR="001B5F6A">
        <w:rPr>
          <w:rFonts w:ascii="Times New Roman" w:hAnsi="Times New Roman" w:cs="Times New Roman"/>
          <w:sz w:val="24"/>
          <w:szCs w:val="24"/>
        </w:rPr>
        <w:t>s purpose</w:t>
      </w:r>
      <w:r w:rsidR="00482849">
        <w:rPr>
          <w:rFonts w:ascii="Times New Roman" w:hAnsi="Times New Roman" w:cs="Times New Roman"/>
          <w:sz w:val="24"/>
          <w:szCs w:val="24"/>
        </w:rPr>
        <w:t xml:space="preserve"> and sets out its</w:t>
      </w:r>
      <w:r w:rsidR="001B5F6A">
        <w:rPr>
          <w:rFonts w:ascii="Times New Roman" w:hAnsi="Times New Roman" w:cs="Times New Roman"/>
          <w:sz w:val="24"/>
          <w:szCs w:val="24"/>
        </w:rPr>
        <w:t xml:space="preserve"> vision</w:t>
      </w:r>
      <w:r w:rsidR="001B5F6A">
        <w:rPr>
          <w:rStyle w:val="FootnoteReference"/>
          <w:rFonts w:ascii="Times New Roman" w:hAnsi="Times New Roman" w:cs="Times New Roman"/>
          <w:sz w:val="24"/>
          <w:szCs w:val="24"/>
        </w:rPr>
        <w:footnoteReference w:id="1"/>
      </w:r>
      <w:r w:rsidR="001B5F6A">
        <w:rPr>
          <w:rFonts w:ascii="Times New Roman" w:hAnsi="Times New Roman" w:cs="Times New Roman"/>
          <w:sz w:val="24"/>
          <w:szCs w:val="24"/>
        </w:rPr>
        <w:t xml:space="preserve"> and core strategic aims that reflect its distinctive mission</w:t>
      </w:r>
      <w:r w:rsidR="006A3969">
        <w:rPr>
          <w:rStyle w:val="FootnoteReference"/>
          <w:rFonts w:ascii="Times New Roman" w:hAnsi="Times New Roman" w:cs="Times New Roman"/>
          <w:sz w:val="24"/>
          <w:szCs w:val="24"/>
        </w:rPr>
        <w:footnoteReference w:id="2"/>
      </w:r>
      <w:r w:rsidR="001B5F6A">
        <w:rPr>
          <w:rFonts w:ascii="Times New Roman" w:hAnsi="Times New Roman" w:cs="Times New Roman"/>
          <w:sz w:val="24"/>
          <w:szCs w:val="24"/>
        </w:rPr>
        <w:t>, recognizes its core competences and strengths while supporting a un</w:t>
      </w:r>
      <w:r w:rsidR="00482849">
        <w:rPr>
          <w:rFonts w:ascii="Times New Roman" w:hAnsi="Times New Roman" w:cs="Times New Roman"/>
          <w:sz w:val="24"/>
          <w:szCs w:val="24"/>
        </w:rPr>
        <w:t>ique</w:t>
      </w:r>
      <w:r w:rsidR="001B5F6A">
        <w:rPr>
          <w:rFonts w:ascii="Times New Roman" w:hAnsi="Times New Roman" w:cs="Times New Roman"/>
          <w:sz w:val="24"/>
          <w:szCs w:val="24"/>
        </w:rPr>
        <w:t xml:space="preserve"> approach that reflects common cause and purpose.</w:t>
      </w:r>
    </w:p>
    <w:p w:rsidR="001B5F6A" w:rsidRDefault="001B5F6A" w:rsidP="00676EE3">
      <w:pPr>
        <w:pStyle w:val="ListParagraph"/>
        <w:spacing w:line="240" w:lineRule="auto"/>
        <w:ind w:left="0"/>
        <w:jc w:val="both"/>
        <w:rPr>
          <w:rFonts w:ascii="Times New Roman" w:hAnsi="Times New Roman" w:cs="Times New Roman"/>
          <w:sz w:val="24"/>
          <w:szCs w:val="24"/>
        </w:rPr>
      </w:pPr>
    </w:p>
    <w:p w:rsidR="001B5F6A" w:rsidRDefault="001B5F6A" w:rsidP="00676EE3">
      <w:pPr>
        <w:pStyle w:val="ListParagraph"/>
        <w:spacing w:line="240" w:lineRule="auto"/>
        <w:ind w:left="0"/>
        <w:jc w:val="both"/>
        <w:rPr>
          <w:rFonts w:ascii="Times New Roman" w:hAnsi="Times New Roman" w:cs="Times New Roman"/>
          <w:sz w:val="24"/>
          <w:szCs w:val="24"/>
        </w:rPr>
      </w:pPr>
      <w:r>
        <w:rPr>
          <w:rFonts w:ascii="Times New Roman" w:hAnsi="Times New Roman" w:cs="Times New Roman"/>
          <w:sz w:val="24"/>
          <w:szCs w:val="24"/>
        </w:rPr>
        <w:t>Accordingly, NIDCO identified 4 major strategic objectives to be pursued over the Plan period:</w:t>
      </w:r>
    </w:p>
    <w:p w:rsidR="0088604F" w:rsidRDefault="0088604F" w:rsidP="00676EE3">
      <w:pPr>
        <w:pStyle w:val="ListParagraph"/>
        <w:spacing w:line="240" w:lineRule="auto"/>
        <w:ind w:left="0"/>
        <w:jc w:val="both"/>
        <w:rPr>
          <w:rFonts w:ascii="Times New Roman" w:hAnsi="Times New Roman" w:cs="Times New Roman"/>
          <w:sz w:val="24"/>
          <w:szCs w:val="24"/>
        </w:rPr>
      </w:pPr>
    </w:p>
    <w:p w:rsidR="0050474B" w:rsidRDefault="0050474B" w:rsidP="006D64FE">
      <w:pPr>
        <w:pStyle w:val="ListParagraph"/>
        <w:spacing w:line="240" w:lineRule="auto"/>
        <w:ind w:left="0"/>
        <w:jc w:val="both"/>
        <w:rPr>
          <w:rFonts w:ascii="Times New Roman" w:hAnsi="Times New Roman" w:cs="Times New Roman"/>
          <w:sz w:val="24"/>
          <w:szCs w:val="24"/>
        </w:rPr>
      </w:pPr>
      <w:r w:rsidRPr="0050474B">
        <w:rPr>
          <w:rFonts w:ascii="Times New Roman" w:hAnsi="Times New Roman" w:cs="Times New Roman"/>
          <w:b/>
          <w:sz w:val="24"/>
          <w:szCs w:val="24"/>
        </w:rPr>
        <w:t xml:space="preserve">Objective </w:t>
      </w:r>
      <w:r w:rsidR="0099397A">
        <w:rPr>
          <w:rFonts w:ascii="Times New Roman" w:hAnsi="Times New Roman" w:cs="Times New Roman"/>
          <w:b/>
          <w:sz w:val="24"/>
          <w:szCs w:val="24"/>
        </w:rPr>
        <w:t>#</w:t>
      </w:r>
      <w:r w:rsidRPr="0050474B">
        <w:rPr>
          <w:rFonts w:ascii="Times New Roman" w:hAnsi="Times New Roman" w:cs="Times New Roman"/>
          <w:b/>
          <w:sz w:val="24"/>
          <w:szCs w:val="24"/>
        </w:rPr>
        <w:t>1: Provide consistently high quality project management and construction service</w:t>
      </w:r>
      <w:r w:rsidRPr="0050474B">
        <w:rPr>
          <w:rFonts w:ascii="Times New Roman" w:hAnsi="Times New Roman" w:cs="Times New Roman"/>
          <w:sz w:val="24"/>
          <w:szCs w:val="24"/>
        </w:rPr>
        <w:t xml:space="preserve"> </w:t>
      </w:r>
    </w:p>
    <w:p w:rsidR="006D64FE" w:rsidRPr="0050474B" w:rsidRDefault="006D64FE" w:rsidP="0050474B">
      <w:pPr>
        <w:pStyle w:val="ListParagraph"/>
        <w:spacing w:line="240" w:lineRule="auto"/>
        <w:ind w:left="0" w:firstLine="720"/>
        <w:jc w:val="both"/>
        <w:rPr>
          <w:rFonts w:ascii="Times New Roman" w:hAnsi="Times New Roman" w:cs="Times New Roman"/>
          <w:sz w:val="24"/>
          <w:szCs w:val="24"/>
        </w:rPr>
      </w:pPr>
    </w:p>
    <w:p w:rsidR="0050474B" w:rsidRDefault="0050474B" w:rsidP="0050474B">
      <w:pPr>
        <w:pStyle w:val="ListParagraph"/>
        <w:numPr>
          <w:ilvl w:val="0"/>
          <w:numId w:val="11"/>
        </w:numPr>
        <w:spacing w:line="240" w:lineRule="auto"/>
        <w:jc w:val="both"/>
        <w:rPr>
          <w:rFonts w:ascii="Times New Roman" w:hAnsi="Times New Roman" w:cs="Times New Roman"/>
          <w:sz w:val="24"/>
          <w:szCs w:val="24"/>
        </w:rPr>
      </w:pPr>
      <w:r>
        <w:rPr>
          <w:rFonts w:ascii="Times New Roman" w:hAnsi="Times New Roman" w:cs="Times New Roman"/>
          <w:sz w:val="24"/>
          <w:szCs w:val="24"/>
        </w:rPr>
        <w:t>Improve the operational capability and capacity to execute project responsibilities with the highest levels of professional excellence</w:t>
      </w:r>
    </w:p>
    <w:p w:rsidR="0050474B" w:rsidRDefault="0050474B" w:rsidP="0050474B">
      <w:pPr>
        <w:pStyle w:val="ListParagraph"/>
        <w:numPr>
          <w:ilvl w:val="0"/>
          <w:numId w:val="11"/>
        </w:numPr>
        <w:spacing w:line="240" w:lineRule="auto"/>
        <w:jc w:val="both"/>
        <w:rPr>
          <w:rFonts w:ascii="Times New Roman" w:hAnsi="Times New Roman" w:cs="Times New Roman"/>
          <w:sz w:val="24"/>
          <w:szCs w:val="24"/>
        </w:rPr>
      </w:pPr>
      <w:r>
        <w:rPr>
          <w:rFonts w:ascii="Times New Roman" w:hAnsi="Times New Roman" w:cs="Times New Roman"/>
          <w:sz w:val="24"/>
          <w:szCs w:val="24"/>
        </w:rPr>
        <w:t>Provide a project-supportive organizational structure</w:t>
      </w:r>
    </w:p>
    <w:p w:rsidR="0050474B" w:rsidRDefault="0050474B" w:rsidP="0050474B">
      <w:pPr>
        <w:pStyle w:val="ListParagraph"/>
        <w:numPr>
          <w:ilvl w:val="0"/>
          <w:numId w:val="11"/>
        </w:numPr>
        <w:spacing w:line="240" w:lineRule="auto"/>
        <w:jc w:val="both"/>
        <w:rPr>
          <w:rFonts w:ascii="Times New Roman" w:hAnsi="Times New Roman" w:cs="Times New Roman"/>
          <w:sz w:val="24"/>
          <w:szCs w:val="24"/>
        </w:rPr>
      </w:pPr>
      <w:r>
        <w:rPr>
          <w:rFonts w:ascii="Times New Roman" w:hAnsi="Times New Roman" w:cs="Times New Roman"/>
          <w:sz w:val="24"/>
          <w:szCs w:val="24"/>
        </w:rPr>
        <w:t>Establish project management systems to effectively monitor and control project progress stages</w:t>
      </w:r>
    </w:p>
    <w:p w:rsidR="0050474B" w:rsidRDefault="0050474B" w:rsidP="0050474B">
      <w:pPr>
        <w:pStyle w:val="ListParagraph"/>
        <w:numPr>
          <w:ilvl w:val="0"/>
          <w:numId w:val="11"/>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623A0">
        <w:rPr>
          <w:rFonts w:ascii="Times New Roman" w:hAnsi="Times New Roman" w:cs="Times New Roman"/>
          <w:sz w:val="24"/>
          <w:szCs w:val="24"/>
        </w:rPr>
        <w:t>Ensure project outcomes satisfy the terms of reference of the assigned responsibility</w:t>
      </w:r>
    </w:p>
    <w:p w:rsidR="003623A0" w:rsidRDefault="003623A0" w:rsidP="003623A0">
      <w:pPr>
        <w:pStyle w:val="ListParagraph"/>
        <w:spacing w:line="240" w:lineRule="auto"/>
        <w:ind w:left="1440"/>
        <w:jc w:val="both"/>
        <w:rPr>
          <w:rFonts w:ascii="Times New Roman" w:hAnsi="Times New Roman" w:cs="Times New Roman"/>
          <w:sz w:val="24"/>
          <w:szCs w:val="24"/>
        </w:rPr>
      </w:pPr>
    </w:p>
    <w:p w:rsidR="003623A0" w:rsidRDefault="003623A0" w:rsidP="006D64FE">
      <w:pPr>
        <w:pStyle w:val="ListParagraph"/>
        <w:spacing w:line="240" w:lineRule="auto"/>
        <w:ind w:left="0"/>
        <w:jc w:val="both"/>
        <w:rPr>
          <w:rFonts w:ascii="Times New Roman" w:hAnsi="Times New Roman" w:cs="Times New Roman"/>
          <w:b/>
          <w:sz w:val="24"/>
          <w:szCs w:val="24"/>
        </w:rPr>
      </w:pPr>
      <w:r w:rsidRPr="003623A0">
        <w:rPr>
          <w:rFonts w:ascii="Times New Roman" w:hAnsi="Times New Roman" w:cs="Times New Roman"/>
          <w:b/>
          <w:sz w:val="24"/>
          <w:szCs w:val="24"/>
        </w:rPr>
        <w:t xml:space="preserve">Objective </w:t>
      </w:r>
      <w:r w:rsidR="0099397A">
        <w:rPr>
          <w:rFonts w:ascii="Times New Roman" w:hAnsi="Times New Roman" w:cs="Times New Roman"/>
          <w:b/>
          <w:sz w:val="24"/>
          <w:szCs w:val="24"/>
        </w:rPr>
        <w:t>#</w:t>
      </w:r>
      <w:r w:rsidRPr="003623A0">
        <w:rPr>
          <w:rFonts w:ascii="Times New Roman" w:hAnsi="Times New Roman" w:cs="Times New Roman"/>
          <w:b/>
          <w:sz w:val="24"/>
          <w:szCs w:val="24"/>
        </w:rPr>
        <w:t xml:space="preserve">2: Become a model for corporate governance that operate in compliance with established </w:t>
      </w:r>
      <w:r>
        <w:rPr>
          <w:rFonts w:ascii="Times New Roman" w:hAnsi="Times New Roman" w:cs="Times New Roman"/>
          <w:b/>
          <w:sz w:val="24"/>
          <w:szCs w:val="24"/>
        </w:rPr>
        <w:t>policies and procedures</w:t>
      </w:r>
    </w:p>
    <w:p w:rsidR="003623A0" w:rsidRDefault="003623A0" w:rsidP="003623A0">
      <w:pPr>
        <w:pStyle w:val="ListParagraph"/>
        <w:spacing w:line="240" w:lineRule="auto"/>
        <w:ind w:left="0" w:firstLine="720"/>
        <w:jc w:val="both"/>
        <w:rPr>
          <w:rFonts w:ascii="Times New Roman" w:hAnsi="Times New Roman" w:cs="Times New Roman"/>
          <w:b/>
          <w:sz w:val="24"/>
          <w:szCs w:val="24"/>
        </w:rPr>
      </w:pPr>
    </w:p>
    <w:p w:rsidR="003623A0" w:rsidRPr="00F47EA8" w:rsidRDefault="00963CA9" w:rsidP="003623A0">
      <w:pPr>
        <w:pStyle w:val="ListParagraph"/>
        <w:numPr>
          <w:ilvl w:val="0"/>
          <w:numId w:val="12"/>
        </w:numPr>
        <w:spacing w:line="240" w:lineRule="auto"/>
        <w:jc w:val="both"/>
        <w:rPr>
          <w:rFonts w:ascii="Times New Roman" w:hAnsi="Times New Roman" w:cs="Times New Roman"/>
          <w:sz w:val="24"/>
          <w:szCs w:val="24"/>
        </w:rPr>
      </w:pPr>
      <w:r>
        <w:rPr>
          <w:rFonts w:ascii="Times New Roman" w:hAnsi="Times New Roman" w:cs="Times New Roman"/>
          <w:sz w:val="24"/>
          <w:szCs w:val="24"/>
        </w:rPr>
        <w:t>Ensure that all project services</w:t>
      </w:r>
      <w:r w:rsidR="003623A0" w:rsidRPr="00F47EA8">
        <w:rPr>
          <w:rFonts w:ascii="Times New Roman" w:hAnsi="Times New Roman" w:cs="Times New Roman"/>
          <w:sz w:val="24"/>
          <w:szCs w:val="24"/>
        </w:rPr>
        <w:t xml:space="preserve"> and organizational needs are acquired through a system of best practices</w:t>
      </w:r>
      <w:r>
        <w:rPr>
          <w:rFonts w:ascii="Times New Roman" w:hAnsi="Times New Roman" w:cs="Times New Roman"/>
          <w:sz w:val="24"/>
          <w:szCs w:val="24"/>
        </w:rPr>
        <w:t xml:space="preserve"> to obtain best value for money</w:t>
      </w:r>
    </w:p>
    <w:p w:rsidR="003623A0" w:rsidRDefault="003623A0" w:rsidP="003623A0">
      <w:pPr>
        <w:pStyle w:val="ListParagraph"/>
        <w:numPr>
          <w:ilvl w:val="0"/>
          <w:numId w:val="12"/>
        </w:numPr>
        <w:spacing w:line="240" w:lineRule="auto"/>
        <w:jc w:val="both"/>
        <w:rPr>
          <w:rFonts w:ascii="Times New Roman" w:hAnsi="Times New Roman" w:cs="Times New Roman"/>
          <w:sz w:val="24"/>
          <w:szCs w:val="24"/>
        </w:rPr>
      </w:pPr>
      <w:r w:rsidRPr="00F47EA8">
        <w:rPr>
          <w:rFonts w:ascii="Times New Roman" w:hAnsi="Times New Roman" w:cs="Times New Roman"/>
          <w:sz w:val="24"/>
          <w:szCs w:val="24"/>
        </w:rPr>
        <w:lastRenderedPageBreak/>
        <w:t xml:space="preserve">Develop and implement administrative and operations policies </w:t>
      </w:r>
      <w:r w:rsidR="00F47EA8">
        <w:rPr>
          <w:rFonts w:ascii="Times New Roman" w:hAnsi="Times New Roman" w:cs="Times New Roman"/>
          <w:sz w:val="24"/>
          <w:szCs w:val="24"/>
        </w:rPr>
        <w:t>and procedures to improve consistency in methods of operation and encourage higher stan</w:t>
      </w:r>
      <w:r w:rsidR="00963CA9">
        <w:rPr>
          <w:rFonts w:ascii="Times New Roman" w:hAnsi="Times New Roman" w:cs="Times New Roman"/>
          <w:sz w:val="24"/>
          <w:szCs w:val="24"/>
        </w:rPr>
        <w:t>dards of performance excellence</w:t>
      </w:r>
    </w:p>
    <w:p w:rsidR="00F47EA8" w:rsidRDefault="00F47EA8" w:rsidP="003623A0">
      <w:pPr>
        <w:pStyle w:val="ListParagraph"/>
        <w:numPr>
          <w:ilvl w:val="0"/>
          <w:numId w:val="12"/>
        </w:numPr>
        <w:spacing w:line="240" w:lineRule="auto"/>
        <w:jc w:val="both"/>
        <w:rPr>
          <w:rFonts w:ascii="Times New Roman" w:hAnsi="Times New Roman" w:cs="Times New Roman"/>
          <w:sz w:val="24"/>
          <w:szCs w:val="24"/>
        </w:rPr>
      </w:pPr>
      <w:r>
        <w:rPr>
          <w:rFonts w:ascii="Times New Roman" w:hAnsi="Times New Roman" w:cs="Times New Roman"/>
          <w:sz w:val="24"/>
          <w:szCs w:val="24"/>
        </w:rPr>
        <w:t>Incorporate quality management and quality assurance systems in all areas of its business operations.</w:t>
      </w:r>
    </w:p>
    <w:p w:rsidR="0099397A" w:rsidRDefault="0099397A" w:rsidP="0099397A">
      <w:pPr>
        <w:pStyle w:val="ListParagraph"/>
        <w:spacing w:line="240" w:lineRule="auto"/>
        <w:ind w:left="1440"/>
        <w:jc w:val="both"/>
        <w:rPr>
          <w:rFonts w:ascii="Times New Roman" w:hAnsi="Times New Roman" w:cs="Times New Roman"/>
          <w:sz w:val="24"/>
          <w:szCs w:val="24"/>
        </w:rPr>
      </w:pPr>
    </w:p>
    <w:p w:rsidR="0099397A" w:rsidRDefault="00927E73" w:rsidP="006D64FE">
      <w:pPr>
        <w:pStyle w:val="ListParagraph"/>
        <w:spacing w:line="240" w:lineRule="auto"/>
        <w:ind w:left="0"/>
        <w:jc w:val="both"/>
        <w:rPr>
          <w:rFonts w:ascii="Times New Roman" w:hAnsi="Times New Roman" w:cs="Times New Roman"/>
          <w:b/>
          <w:sz w:val="24"/>
          <w:szCs w:val="24"/>
        </w:rPr>
      </w:pPr>
      <w:r w:rsidRPr="00927E73">
        <w:rPr>
          <w:rFonts w:ascii="Times New Roman" w:hAnsi="Times New Roman" w:cs="Times New Roman"/>
          <w:b/>
          <w:sz w:val="24"/>
          <w:szCs w:val="24"/>
        </w:rPr>
        <w:t>Objective</w:t>
      </w:r>
      <w:r w:rsidR="0099397A" w:rsidRPr="00927E73">
        <w:rPr>
          <w:rFonts w:ascii="Times New Roman" w:hAnsi="Times New Roman" w:cs="Times New Roman"/>
          <w:b/>
          <w:sz w:val="24"/>
          <w:szCs w:val="24"/>
        </w:rPr>
        <w:t xml:space="preserve"> #3:</w:t>
      </w:r>
      <w:r w:rsidRPr="00927E73">
        <w:rPr>
          <w:rFonts w:ascii="Times New Roman" w:hAnsi="Times New Roman" w:cs="Times New Roman"/>
          <w:b/>
          <w:sz w:val="24"/>
          <w:szCs w:val="24"/>
        </w:rPr>
        <w:t xml:space="preserve"> </w:t>
      </w:r>
      <w:r w:rsidR="00963CA9">
        <w:rPr>
          <w:rFonts w:ascii="Times New Roman" w:hAnsi="Times New Roman" w:cs="Times New Roman"/>
          <w:b/>
          <w:sz w:val="24"/>
          <w:szCs w:val="24"/>
        </w:rPr>
        <w:t>B</w:t>
      </w:r>
      <w:r w:rsidRPr="00927E73">
        <w:rPr>
          <w:rFonts w:ascii="Times New Roman" w:hAnsi="Times New Roman" w:cs="Times New Roman"/>
          <w:b/>
          <w:sz w:val="24"/>
          <w:szCs w:val="24"/>
        </w:rPr>
        <w:t>ecome a model of corporate governance that can withstand scrutiny in all facets o</w:t>
      </w:r>
      <w:r>
        <w:rPr>
          <w:rFonts w:ascii="Times New Roman" w:hAnsi="Times New Roman" w:cs="Times New Roman"/>
          <w:b/>
          <w:sz w:val="24"/>
          <w:szCs w:val="24"/>
        </w:rPr>
        <w:t>f</w:t>
      </w:r>
      <w:r w:rsidRPr="00927E73">
        <w:rPr>
          <w:rFonts w:ascii="Times New Roman" w:hAnsi="Times New Roman" w:cs="Times New Roman"/>
          <w:b/>
          <w:sz w:val="24"/>
          <w:szCs w:val="24"/>
        </w:rPr>
        <w:t xml:space="preserve"> its business activities</w:t>
      </w:r>
    </w:p>
    <w:p w:rsidR="00927E73" w:rsidRDefault="00927E73" w:rsidP="00927E73">
      <w:pPr>
        <w:pStyle w:val="ListParagraph"/>
        <w:spacing w:line="240" w:lineRule="auto"/>
        <w:ind w:left="0" w:firstLine="720"/>
        <w:jc w:val="both"/>
        <w:rPr>
          <w:rFonts w:ascii="Times New Roman" w:hAnsi="Times New Roman" w:cs="Times New Roman"/>
          <w:b/>
          <w:sz w:val="24"/>
          <w:szCs w:val="24"/>
        </w:rPr>
      </w:pPr>
    </w:p>
    <w:p w:rsidR="00927E73" w:rsidRPr="006D64FE" w:rsidRDefault="006D64FE" w:rsidP="00927E73">
      <w:pPr>
        <w:pStyle w:val="ListParagraph"/>
        <w:numPr>
          <w:ilvl w:val="0"/>
          <w:numId w:val="13"/>
        </w:numPr>
        <w:spacing w:line="240" w:lineRule="auto"/>
        <w:jc w:val="both"/>
        <w:rPr>
          <w:rFonts w:ascii="Times New Roman" w:hAnsi="Times New Roman" w:cs="Times New Roman"/>
          <w:sz w:val="24"/>
          <w:szCs w:val="24"/>
        </w:rPr>
      </w:pPr>
      <w:r w:rsidRPr="006D64FE">
        <w:rPr>
          <w:rFonts w:ascii="Times New Roman" w:hAnsi="Times New Roman" w:cs="Times New Roman"/>
          <w:sz w:val="24"/>
          <w:szCs w:val="24"/>
        </w:rPr>
        <w:t>Perform all work and services to standards of total accountability and transparency</w:t>
      </w:r>
    </w:p>
    <w:p w:rsidR="006D64FE" w:rsidRPr="006D64FE" w:rsidRDefault="006D64FE" w:rsidP="00927E73">
      <w:pPr>
        <w:pStyle w:val="ListParagraph"/>
        <w:numPr>
          <w:ilvl w:val="0"/>
          <w:numId w:val="13"/>
        </w:numPr>
        <w:spacing w:line="240" w:lineRule="auto"/>
        <w:jc w:val="both"/>
        <w:rPr>
          <w:rFonts w:ascii="Times New Roman" w:hAnsi="Times New Roman" w:cs="Times New Roman"/>
          <w:sz w:val="24"/>
          <w:szCs w:val="24"/>
        </w:rPr>
      </w:pPr>
      <w:r w:rsidRPr="006D64FE">
        <w:rPr>
          <w:rFonts w:ascii="Times New Roman" w:hAnsi="Times New Roman" w:cs="Times New Roman"/>
          <w:sz w:val="24"/>
          <w:szCs w:val="24"/>
        </w:rPr>
        <w:t>Develop and implement an international benchmark procedure for procurement of goods and services</w:t>
      </w:r>
    </w:p>
    <w:p w:rsidR="006D64FE" w:rsidRPr="006D64FE" w:rsidRDefault="006D64FE" w:rsidP="00927E73">
      <w:pPr>
        <w:pStyle w:val="ListParagraph"/>
        <w:numPr>
          <w:ilvl w:val="0"/>
          <w:numId w:val="13"/>
        </w:numPr>
        <w:spacing w:line="240" w:lineRule="auto"/>
        <w:jc w:val="both"/>
        <w:rPr>
          <w:rFonts w:ascii="Times New Roman" w:hAnsi="Times New Roman" w:cs="Times New Roman"/>
          <w:sz w:val="24"/>
          <w:szCs w:val="24"/>
        </w:rPr>
      </w:pPr>
      <w:r w:rsidRPr="006D64FE">
        <w:rPr>
          <w:rFonts w:ascii="Times New Roman" w:hAnsi="Times New Roman" w:cs="Times New Roman"/>
          <w:sz w:val="24"/>
          <w:szCs w:val="24"/>
        </w:rPr>
        <w:t>Perform all work in compliance with established policies and procedures</w:t>
      </w:r>
    </w:p>
    <w:p w:rsidR="006D64FE" w:rsidRDefault="006D64FE" w:rsidP="00927E73">
      <w:pPr>
        <w:pStyle w:val="ListParagraph"/>
        <w:numPr>
          <w:ilvl w:val="0"/>
          <w:numId w:val="13"/>
        </w:numPr>
        <w:spacing w:line="240" w:lineRule="auto"/>
        <w:jc w:val="both"/>
        <w:rPr>
          <w:rFonts w:ascii="Times New Roman" w:hAnsi="Times New Roman" w:cs="Times New Roman"/>
          <w:sz w:val="24"/>
          <w:szCs w:val="24"/>
        </w:rPr>
      </w:pPr>
      <w:r w:rsidRPr="006D64FE">
        <w:rPr>
          <w:rFonts w:ascii="Times New Roman" w:hAnsi="Times New Roman" w:cs="Times New Roman"/>
          <w:sz w:val="24"/>
          <w:szCs w:val="24"/>
        </w:rPr>
        <w:t>Delegate authority and hold persons responsible for their actions</w:t>
      </w:r>
    </w:p>
    <w:p w:rsidR="006D64FE" w:rsidRDefault="006D64FE" w:rsidP="006D64FE">
      <w:pPr>
        <w:pStyle w:val="ListParagraph"/>
        <w:spacing w:line="240" w:lineRule="auto"/>
        <w:ind w:left="0" w:firstLine="720"/>
        <w:jc w:val="both"/>
        <w:rPr>
          <w:rFonts w:ascii="Times New Roman" w:hAnsi="Times New Roman" w:cs="Times New Roman"/>
          <w:b/>
          <w:sz w:val="24"/>
          <w:szCs w:val="24"/>
        </w:rPr>
      </w:pPr>
    </w:p>
    <w:p w:rsidR="006D64FE" w:rsidRDefault="006D64FE" w:rsidP="006D64FE">
      <w:pPr>
        <w:pStyle w:val="ListParagraph"/>
        <w:spacing w:line="240" w:lineRule="auto"/>
        <w:ind w:left="0"/>
        <w:jc w:val="both"/>
        <w:rPr>
          <w:rFonts w:ascii="Times New Roman" w:hAnsi="Times New Roman" w:cs="Times New Roman"/>
          <w:b/>
          <w:sz w:val="24"/>
          <w:szCs w:val="24"/>
        </w:rPr>
      </w:pPr>
      <w:r w:rsidRPr="006D64FE">
        <w:rPr>
          <w:rFonts w:ascii="Times New Roman" w:hAnsi="Times New Roman" w:cs="Times New Roman"/>
          <w:b/>
          <w:sz w:val="24"/>
          <w:szCs w:val="24"/>
        </w:rPr>
        <w:t>Objective #4: Alignment of NIDCO’s human resources to identify with its corporate Vision</w:t>
      </w:r>
    </w:p>
    <w:p w:rsidR="006D64FE" w:rsidRDefault="006D64FE" w:rsidP="006D64FE">
      <w:pPr>
        <w:pStyle w:val="ListParagraph"/>
        <w:spacing w:line="240" w:lineRule="auto"/>
        <w:ind w:left="0" w:firstLine="720"/>
        <w:jc w:val="both"/>
        <w:rPr>
          <w:rFonts w:ascii="Times New Roman" w:hAnsi="Times New Roman" w:cs="Times New Roman"/>
          <w:b/>
          <w:sz w:val="24"/>
          <w:szCs w:val="24"/>
        </w:rPr>
      </w:pPr>
    </w:p>
    <w:p w:rsidR="006D64FE" w:rsidRPr="006D64FE" w:rsidRDefault="006D64FE" w:rsidP="006D64FE">
      <w:pPr>
        <w:pStyle w:val="ListParagraph"/>
        <w:numPr>
          <w:ilvl w:val="0"/>
          <w:numId w:val="14"/>
        </w:numPr>
        <w:spacing w:line="240" w:lineRule="auto"/>
        <w:jc w:val="both"/>
        <w:rPr>
          <w:rFonts w:ascii="Times New Roman" w:hAnsi="Times New Roman" w:cs="Times New Roman"/>
          <w:sz w:val="24"/>
          <w:szCs w:val="24"/>
        </w:rPr>
      </w:pPr>
      <w:r w:rsidRPr="006D64FE">
        <w:rPr>
          <w:rFonts w:ascii="Times New Roman" w:hAnsi="Times New Roman" w:cs="Times New Roman"/>
          <w:sz w:val="24"/>
          <w:szCs w:val="24"/>
        </w:rPr>
        <w:t>Create a structure to reward standards of performance</w:t>
      </w:r>
    </w:p>
    <w:p w:rsidR="006D64FE" w:rsidRPr="006D64FE" w:rsidRDefault="006D64FE" w:rsidP="006D64FE">
      <w:pPr>
        <w:pStyle w:val="ListParagraph"/>
        <w:numPr>
          <w:ilvl w:val="0"/>
          <w:numId w:val="14"/>
        </w:numPr>
        <w:spacing w:line="240" w:lineRule="auto"/>
        <w:jc w:val="both"/>
        <w:rPr>
          <w:rFonts w:ascii="Times New Roman" w:hAnsi="Times New Roman" w:cs="Times New Roman"/>
          <w:sz w:val="24"/>
          <w:szCs w:val="24"/>
        </w:rPr>
      </w:pPr>
      <w:r w:rsidRPr="006D64FE">
        <w:rPr>
          <w:rFonts w:ascii="Times New Roman" w:hAnsi="Times New Roman" w:cs="Times New Roman"/>
          <w:sz w:val="24"/>
          <w:szCs w:val="24"/>
        </w:rPr>
        <w:t>Clear and understandable delegation of responsibility and authority</w:t>
      </w:r>
    </w:p>
    <w:p w:rsidR="006D64FE" w:rsidRPr="006D64FE" w:rsidRDefault="006D64FE" w:rsidP="006D64FE">
      <w:pPr>
        <w:pStyle w:val="ListParagraph"/>
        <w:numPr>
          <w:ilvl w:val="0"/>
          <w:numId w:val="14"/>
        </w:numPr>
        <w:spacing w:line="240" w:lineRule="auto"/>
        <w:jc w:val="both"/>
        <w:rPr>
          <w:rFonts w:ascii="Times New Roman" w:hAnsi="Times New Roman" w:cs="Times New Roman"/>
          <w:sz w:val="24"/>
          <w:szCs w:val="24"/>
        </w:rPr>
      </w:pPr>
      <w:r w:rsidRPr="006D64FE">
        <w:rPr>
          <w:rFonts w:ascii="Times New Roman" w:hAnsi="Times New Roman" w:cs="Times New Roman"/>
          <w:sz w:val="24"/>
          <w:szCs w:val="24"/>
        </w:rPr>
        <w:t>Shared vision of corporate objectives</w:t>
      </w:r>
    </w:p>
    <w:p w:rsidR="006D64FE" w:rsidRPr="006D64FE" w:rsidRDefault="006D64FE" w:rsidP="006D64FE">
      <w:pPr>
        <w:pStyle w:val="ListParagraph"/>
        <w:numPr>
          <w:ilvl w:val="0"/>
          <w:numId w:val="14"/>
        </w:numPr>
        <w:spacing w:line="240" w:lineRule="auto"/>
        <w:jc w:val="both"/>
        <w:rPr>
          <w:rFonts w:ascii="Times New Roman" w:hAnsi="Times New Roman" w:cs="Times New Roman"/>
          <w:sz w:val="24"/>
          <w:szCs w:val="24"/>
        </w:rPr>
      </w:pPr>
      <w:r w:rsidRPr="006D64FE">
        <w:rPr>
          <w:rFonts w:ascii="Times New Roman" w:hAnsi="Times New Roman" w:cs="Times New Roman"/>
          <w:sz w:val="24"/>
          <w:szCs w:val="24"/>
        </w:rPr>
        <w:t>A organizational structure that symbolizes systemic order</w:t>
      </w:r>
    </w:p>
    <w:p w:rsidR="006D64FE" w:rsidRPr="006D64FE" w:rsidRDefault="006D64FE" w:rsidP="006D64FE">
      <w:pPr>
        <w:pStyle w:val="ListParagraph"/>
        <w:numPr>
          <w:ilvl w:val="0"/>
          <w:numId w:val="14"/>
        </w:numPr>
        <w:spacing w:line="240" w:lineRule="auto"/>
        <w:jc w:val="both"/>
        <w:rPr>
          <w:rFonts w:ascii="Times New Roman" w:hAnsi="Times New Roman" w:cs="Times New Roman"/>
          <w:sz w:val="24"/>
          <w:szCs w:val="24"/>
        </w:rPr>
      </w:pPr>
      <w:r w:rsidRPr="006D64FE">
        <w:rPr>
          <w:rFonts w:ascii="Times New Roman" w:hAnsi="Times New Roman" w:cs="Times New Roman"/>
          <w:sz w:val="24"/>
          <w:szCs w:val="24"/>
        </w:rPr>
        <w:t>Introduce communication systems to strengthen inter-departmental relationships and strengthen communication with external stakeholders</w:t>
      </w:r>
    </w:p>
    <w:p w:rsidR="006D64FE" w:rsidRPr="006D64FE" w:rsidRDefault="006D64FE" w:rsidP="006D64FE">
      <w:pPr>
        <w:pStyle w:val="ListParagraph"/>
        <w:numPr>
          <w:ilvl w:val="0"/>
          <w:numId w:val="14"/>
        </w:numPr>
        <w:spacing w:line="240" w:lineRule="auto"/>
        <w:jc w:val="both"/>
        <w:rPr>
          <w:rFonts w:ascii="Times New Roman" w:hAnsi="Times New Roman" w:cs="Times New Roman"/>
          <w:sz w:val="24"/>
          <w:szCs w:val="24"/>
        </w:rPr>
      </w:pPr>
      <w:r w:rsidRPr="006D64FE">
        <w:rPr>
          <w:rFonts w:ascii="Times New Roman" w:hAnsi="Times New Roman" w:cs="Times New Roman"/>
          <w:sz w:val="24"/>
          <w:szCs w:val="24"/>
        </w:rPr>
        <w:t xml:space="preserve">Training </w:t>
      </w:r>
    </w:p>
    <w:p w:rsidR="0050474B" w:rsidRDefault="0050474B" w:rsidP="0050474B">
      <w:pPr>
        <w:pStyle w:val="ListParagraph"/>
        <w:spacing w:line="240" w:lineRule="auto"/>
        <w:ind w:left="0" w:firstLine="720"/>
        <w:jc w:val="both"/>
        <w:rPr>
          <w:rFonts w:ascii="Times New Roman" w:hAnsi="Times New Roman" w:cs="Times New Roman"/>
          <w:sz w:val="24"/>
          <w:szCs w:val="24"/>
        </w:rPr>
      </w:pPr>
    </w:p>
    <w:p w:rsidR="006D64FE" w:rsidRDefault="00C54A14" w:rsidP="00CC0B4C">
      <w:pPr>
        <w:pStyle w:val="ListParagraph"/>
        <w:spacing w:line="240" w:lineRule="auto"/>
        <w:ind w:left="0"/>
        <w:jc w:val="both"/>
        <w:rPr>
          <w:rFonts w:ascii="Times New Roman" w:hAnsi="Times New Roman" w:cs="Times New Roman"/>
          <w:sz w:val="24"/>
          <w:szCs w:val="24"/>
        </w:rPr>
      </w:pPr>
      <w:r>
        <w:rPr>
          <w:rFonts w:ascii="Times New Roman" w:hAnsi="Times New Roman" w:cs="Times New Roman"/>
          <w:sz w:val="24"/>
          <w:szCs w:val="24"/>
        </w:rPr>
        <w:t>The main focus of the strategic</w:t>
      </w:r>
      <w:r w:rsidR="00121B4A">
        <w:rPr>
          <w:rFonts w:ascii="Times New Roman" w:hAnsi="Times New Roman" w:cs="Times New Roman"/>
          <w:sz w:val="24"/>
          <w:szCs w:val="24"/>
        </w:rPr>
        <w:t xml:space="preserve"> thrust resides with the commitment of NIDCO to provide procurement, project and construction management services to deliver projects and services adhering to and in compliance with sound business principles anchored to a policy of best practices integrity at all stages of business development, and systems designed to achieve best value for money.</w:t>
      </w:r>
    </w:p>
    <w:p w:rsidR="00CB13CB" w:rsidRDefault="00CB13CB" w:rsidP="00CC0B4C">
      <w:pPr>
        <w:pStyle w:val="ListParagraph"/>
        <w:spacing w:line="240" w:lineRule="auto"/>
        <w:ind w:left="0"/>
        <w:jc w:val="both"/>
        <w:rPr>
          <w:rFonts w:ascii="Times New Roman" w:hAnsi="Times New Roman" w:cs="Times New Roman"/>
          <w:sz w:val="24"/>
          <w:szCs w:val="24"/>
        </w:rPr>
      </w:pPr>
    </w:p>
    <w:p w:rsidR="00CB13CB" w:rsidRDefault="00CB13CB" w:rsidP="00CC0B4C">
      <w:pPr>
        <w:pStyle w:val="ListParagraph"/>
        <w:spacing w:line="240" w:lineRule="auto"/>
        <w:ind w:left="0"/>
        <w:jc w:val="both"/>
        <w:rPr>
          <w:rFonts w:ascii="Times New Roman" w:hAnsi="Times New Roman" w:cs="Times New Roman"/>
          <w:sz w:val="24"/>
          <w:szCs w:val="24"/>
        </w:rPr>
      </w:pPr>
      <w:r>
        <w:rPr>
          <w:rFonts w:ascii="Times New Roman" w:hAnsi="Times New Roman" w:cs="Times New Roman"/>
          <w:sz w:val="24"/>
          <w:szCs w:val="24"/>
        </w:rPr>
        <w:t>NIDCO and the GORTT are confident that the following scenarios will continue for the company to utilize its resources and apply best practices in the delivery of its tasks and services:</w:t>
      </w:r>
    </w:p>
    <w:p w:rsidR="00CB13CB" w:rsidRDefault="00CB13CB" w:rsidP="00CC0B4C">
      <w:pPr>
        <w:pStyle w:val="ListParagraph"/>
        <w:spacing w:line="240" w:lineRule="auto"/>
        <w:ind w:left="0"/>
        <w:jc w:val="both"/>
        <w:rPr>
          <w:rFonts w:ascii="Times New Roman" w:hAnsi="Times New Roman" w:cs="Times New Roman"/>
          <w:sz w:val="24"/>
          <w:szCs w:val="24"/>
        </w:rPr>
      </w:pPr>
    </w:p>
    <w:p w:rsidR="00CB13CB" w:rsidRDefault="000E2C32" w:rsidP="000E2C32">
      <w:pPr>
        <w:pStyle w:val="ListParagraph"/>
        <w:numPr>
          <w:ilvl w:val="0"/>
          <w:numId w:val="15"/>
        </w:numPr>
        <w:spacing w:line="240" w:lineRule="auto"/>
        <w:jc w:val="both"/>
        <w:rPr>
          <w:rFonts w:ascii="Times New Roman" w:hAnsi="Times New Roman" w:cs="Times New Roman"/>
          <w:sz w:val="24"/>
          <w:szCs w:val="24"/>
        </w:rPr>
      </w:pPr>
      <w:r>
        <w:rPr>
          <w:rFonts w:ascii="Times New Roman" w:hAnsi="Times New Roman" w:cs="Times New Roman"/>
          <w:sz w:val="24"/>
          <w:szCs w:val="24"/>
        </w:rPr>
        <w:t>Recognize the need for an interim revision</w:t>
      </w:r>
      <w:r w:rsidR="00C87BBD">
        <w:rPr>
          <w:rFonts w:ascii="Times New Roman" w:hAnsi="Times New Roman" w:cs="Times New Roman"/>
          <w:sz w:val="24"/>
          <w:szCs w:val="24"/>
        </w:rPr>
        <w:t xml:space="preserve"> of its Corporate Plan</w:t>
      </w:r>
      <w:r>
        <w:rPr>
          <w:rFonts w:ascii="Times New Roman" w:hAnsi="Times New Roman" w:cs="Times New Roman"/>
          <w:sz w:val="24"/>
          <w:szCs w:val="24"/>
        </w:rPr>
        <w:t xml:space="preserve"> to accommodate any possible shifts in priority on the part of government as well as evaluating progress in implementation of corporate management plan;</w:t>
      </w:r>
    </w:p>
    <w:p w:rsidR="000E2C32" w:rsidRDefault="00873E17" w:rsidP="000E2C32">
      <w:pPr>
        <w:pStyle w:val="ListParagraph"/>
        <w:numPr>
          <w:ilvl w:val="0"/>
          <w:numId w:val="15"/>
        </w:numPr>
        <w:spacing w:line="240" w:lineRule="auto"/>
        <w:jc w:val="both"/>
        <w:rPr>
          <w:rFonts w:ascii="Times New Roman" w:hAnsi="Times New Roman" w:cs="Times New Roman"/>
          <w:sz w:val="24"/>
          <w:szCs w:val="24"/>
        </w:rPr>
      </w:pPr>
      <w:r>
        <w:rPr>
          <w:rFonts w:ascii="Times New Roman" w:hAnsi="Times New Roman" w:cs="Times New Roman"/>
          <w:sz w:val="24"/>
          <w:szCs w:val="24"/>
        </w:rPr>
        <w:t>GORTT</w:t>
      </w:r>
      <w:r w:rsidR="00575E82">
        <w:rPr>
          <w:rFonts w:ascii="Times New Roman" w:hAnsi="Times New Roman" w:cs="Times New Roman"/>
          <w:sz w:val="24"/>
          <w:szCs w:val="24"/>
        </w:rPr>
        <w:t xml:space="preserve"> policies and strategies will remain the same over the </w:t>
      </w:r>
      <w:r w:rsidR="00C87BBD">
        <w:rPr>
          <w:rFonts w:ascii="Times New Roman" w:hAnsi="Times New Roman" w:cs="Times New Roman"/>
          <w:sz w:val="24"/>
          <w:szCs w:val="24"/>
        </w:rPr>
        <w:t>duration of the P</w:t>
      </w:r>
      <w:r w:rsidR="00575E82">
        <w:rPr>
          <w:rFonts w:ascii="Times New Roman" w:hAnsi="Times New Roman" w:cs="Times New Roman"/>
          <w:sz w:val="24"/>
          <w:szCs w:val="24"/>
        </w:rPr>
        <w:t>lan;</w:t>
      </w:r>
    </w:p>
    <w:p w:rsidR="00575E82" w:rsidRDefault="00575E82" w:rsidP="000E2C32">
      <w:pPr>
        <w:pStyle w:val="ListParagraph"/>
        <w:numPr>
          <w:ilvl w:val="0"/>
          <w:numId w:val="15"/>
        </w:numPr>
        <w:spacing w:line="240" w:lineRule="auto"/>
        <w:jc w:val="both"/>
        <w:rPr>
          <w:rFonts w:ascii="Times New Roman" w:hAnsi="Times New Roman" w:cs="Times New Roman"/>
          <w:sz w:val="24"/>
          <w:szCs w:val="24"/>
        </w:rPr>
      </w:pPr>
      <w:r>
        <w:rPr>
          <w:rFonts w:ascii="Times New Roman" w:hAnsi="Times New Roman" w:cs="Times New Roman"/>
          <w:sz w:val="24"/>
          <w:szCs w:val="24"/>
        </w:rPr>
        <w:t>Stakeholders will continue to be supportive of government programs;</w:t>
      </w:r>
    </w:p>
    <w:p w:rsidR="00575E82" w:rsidRDefault="00575E82" w:rsidP="000E2C32">
      <w:pPr>
        <w:pStyle w:val="ListParagraph"/>
        <w:numPr>
          <w:ilvl w:val="0"/>
          <w:numId w:val="15"/>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Good partnership with other government agencies, private sector and </w:t>
      </w:r>
      <w:r w:rsidR="00903325">
        <w:rPr>
          <w:rFonts w:ascii="Times New Roman" w:hAnsi="Times New Roman" w:cs="Times New Roman"/>
          <w:sz w:val="24"/>
          <w:szCs w:val="24"/>
        </w:rPr>
        <w:br/>
      </w:r>
      <w:r>
        <w:rPr>
          <w:rFonts w:ascii="Times New Roman" w:hAnsi="Times New Roman" w:cs="Times New Roman"/>
          <w:sz w:val="24"/>
          <w:szCs w:val="24"/>
        </w:rPr>
        <w:t>non-governmental</w:t>
      </w:r>
      <w:r w:rsidR="000F04A0">
        <w:rPr>
          <w:rFonts w:ascii="Times New Roman" w:hAnsi="Times New Roman" w:cs="Times New Roman"/>
          <w:sz w:val="24"/>
          <w:szCs w:val="24"/>
        </w:rPr>
        <w:t xml:space="preserve"> organization i</w:t>
      </w:r>
      <w:r>
        <w:rPr>
          <w:rFonts w:ascii="Times New Roman" w:hAnsi="Times New Roman" w:cs="Times New Roman"/>
          <w:sz w:val="24"/>
          <w:szCs w:val="24"/>
        </w:rPr>
        <w:t>n areas of common interest;</w:t>
      </w:r>
    </w:p>
    <w:p w:rsidR="00575E82" w:rsidRDefault="00575E82" w:rsidP="000E2C32">
      <w:pPr>
        <w:pStyle w:val="ListParagraph"/>
        <w:numPr>
          <w:ilvl w:val="0"/>
          <w:numId w:val="15"/>
        </w:numPr>
        <w:spacing w:line="240" w:lineRule="auto"/>
        <w:jc w:val="both"/>
        <w:rPr>
          <w:rFonts w:ascii="Times New Roman" w:hAnsi="Times New Roman" w:cs="Times New Roman"/>
          <w:sz w:val="24"/>
          <w:szCs w:val="24"/>
        </w:rPr>
      </w:pPr>
      <w:r>
        <w:rPr>
          <w:rFonts w:ascii="Times New Roman" w:hAnsi="Times New Roman" w:cs="Times New Roman"/>
          <w:sz w:val="24"/>
          <w:szCs w:val="24"/>
        </w:rPr>
        <w:t>The GORT</w:t>
      </w:r>
      <w:r w:rsidR="00CB490A">
        <w:rPr>
          <w:rFonts w:ascii="Times New Roman" w:hAnsi="Times New Roman" w:cs="Times New Roman"/>
          <w:sz w:val="24"/>
          <w:szCs w:val="24"/>
        </w:rPr>
        <w:t>T provide</w:t>
      </w:r>
      <w:r w:rsidR="00482849">
        <w:rPr>
          <w:rFonts w:ascii="Times New Roman" w:hAnsi="Times New Roman" w:cs="Times New Roman"/>
          <w:sz w:val="24"/>
          <w:szCs w:val="24"/>
        </w:rPr>
        <w:t>s</w:t>
      </w:r>
      <w:r w:rsidR="00CB490A">
        <w:rPr>
          <w:rFonts w:ascii="Times New Roman" w:hAnsi="Times New Roman" w:cs="Times New Roman"/>
          <w:sz w:val="24"/>
          <w:szCs w:val="24"/>
        </w:rPr>
        <w:t xml:space="preserve"> sufficient resources </w:t>
      </w:r>
      <w:r>
        <w:rPr>
          <w:rFonts w:ascii="Times New Roman" w:hAnsi="Times New Roman" w:cs="Times New Roman"/>
          <w:sz w:val="24"/>
          <w:szCs w:val="24"/>
        </w:rPr>
        <w:t>to allow NIDCO to deliver its assigned portfolio responsibilities;</w:t>
      </w:r>
    </w:p>
    <w:p w:rsidR="00575E82" w:rsidRDefault="00575E82" w:rsidP="000E2C32">
      <w:pPr>
        <w:pStyle w:val="ListParagraph"/>
        <w:numPr>
          <w:ilvl w:val="0"/>
          <w:numId w:val="15"/>
        </w:num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The GORTT will continue to support and expand NIDCO’s corporate strategic plan</w:t>
      </w:r>
      <w:r w:rsidR="00C64CE5">
        <w:rPr>
          <w:rFonts w:ascii="Times New Roman" w:hAnsi="Times New Roman" w:cs="Times New Roman"/>
          <w:sz w:val="24"/>
          <w:szCs w:val="24"/>
        </w:rPr>
        <w:t>.</w:t>
      </w:r>
    </w:p>
    <w:p w:rsidR="00ED0B4D" w:rsidRDefault="00ED0B4D" w:rsidP="00ED0B4D">
      <w:pPr>
        <w:pStyle w:val="ListParagraph"/>
        <w:spacing w:line="240" w:lineRule="auto"/>
        <w:ind w:left="780"/>
        <w:jc w:val="both"/>
        <w:rPr>
          <w:rFonts w:ascii="Times New Roman" w:hAnsi="Times New Roman" w:cs="Times New Roman"/>
          <w:sz w:val="24"/>
          <w:szCs w:val="24"/>
        </w:rPr>
      </w:pPr>
    </w:p>
    <w:p w:rsidR="005A1F56" w:rsidRPr="00ED6899" w:rsidRDefault="00ED0B4D" w:rsidP="005266AB">
      <w:pPr>
        <w:pStyle w:val="ListParagraph"/>
        <w:numPr>
          <w:ilvl w:val="1"/>
          <w:numId w:val="23"/>
        </w:numPr>
        <w:spacing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tab/>
      </w:r>
      <w:r w:rsidR="005A1F56" w:rsidRPr="00ED6899">
        <w:rPr>
          <w:rFonts w:ascii="Times New Roman" w:hAnsi="Times New Roman" w:cs="Times New Roman"/>
          <w:b/>
          <w:sz w:val="24"/>
          <w:szCs w:val="24"/>
        </w:rPr>
        <w:t xml:space="preserve">NIDCO </w:t>
      </w:r>
      <w:r w:rsidR="008B791F" w:rsidRPr="00ED6899">
        <w:rPr>
          <w:rFonts w:ascii="Times New Roman" w:hAnsi="Times New Roman" w:cs="Times New Roman"/>
          <w:b/>
          <w:sz w:val="24"/>
          <w:szCs w:val="24"/>
        </w:rPr>
        <w:t>H</w:t>
      </w:r>
      <w:r w:rsidR="005A1F56" w:rsidRPr="00ED6899">
        <w:rPr>
          <w:rFonts w:ascii="Times New Roman" w:hAnsi="Times New Roman" w:cs="Times New Roman"/>
          <w:b/>
          <w:sz w:val="24"/>
          <w:szCs w:val="24"/>
        </w:rPr>
        <w:t>istorical Financial Statements</w:t>
      </w:r>
      <w:r w:rsidR="002E79BA" w:rsidRPr="00ED6899">
        <w:rPr>
          <w:rFonts w:ascii="Times New Roman" w:hAnsi="Times New Roman" w:cs="Times New Roman"/>
          <w:b/>
          <w:sz w:val="24"/>
          <w:szCs w:val="24"/>
        </w:rPr>
        <w:t xml:space="preserve"> </w:t>
      </w:r>
      <w:r w:rsidR="00783FF2">
        <w:rPr>
          <w:rFonts w:ascii="Times New Roman" w:hAnsi="Times New Roman" w:cs="Times New Roman"/>
          <w:b/>
          <w:sz w:val="24"/>
          <w:szCs w:val="24"/>
        </w:rPr>
        <w:t>2010-2012</w:t>
      </w:r>
    </w:p>
    <w:p w:rsidR="00804EF0" w:rsidRPr="00804EF0" w:rsidRDefault="00804EF0" w:rsidP="00804EF0">
      <w:pPr>
        <w:pStyle w:val="ListParagraph"/>
        <w:spacing w:line="240" w:lineRule="auto"/>
        <w:ind w:left="0"/>
        <w:jc w:val="both"/>
        <w:rPr>
          <w:rFonts w:ascii="Times New Roman" w:hAnsi="Times New Roman" w:cs="Times New Roman"/>
          <w:b/>
          <w:sz w:val="24"/>
          <w:szCs w:val="24"/>
        </w:rPr>
      </w:pPr>
    </w:p>
    <w:p w:rsidR="00262C05" w:rsidRDefault="003118AA" w:rsidP="00ED0B4D">
      <w:pPr>
        <w:pStyle w:val="ListParagraph"/>
        <w:spacing w:line="240" w:lineRule="auto"/>
        <w:ind w:left="0"/>
        <w:jc w:val="both"/>
        <w:rPr>
          <w:rFonts w:ascii="Times New Roman" w:hAnsi="Times New Roman" w:cs="Times New Roman"/>
          <w:b/>
          <w:sz w:val="24"/>
          <w:szCs w:val="24"/>
        </w:rPr>
      </w:pPr>
      <w:r w:rsidRPr="00FB7CB5">
        <w:rPr>
          <w:rFonts w:ascii="Times New Roman" w:hAnsi="Times New Roman" w:cs="Times New Roman"/>
          <w:sz w:val="24"/>
          <w:szCs w:val="24"/>
        </w:rPr>
        <w:t xml:space="preserve">The historical </w:t>
      </w:r>
      <w:r>
        <w:rPr>
          <w:rFonts w:ascii="Times New Roman" w:hAnsi="Times New Roman" w:cs="Times New Roman"/>
          <w:sz w:val="24"/>
          <w:szCs w:val="24"/>
        </w:rPr>
        <w:t>financial analysis is based o</w:t>
      </w:r>
      <w:r w:rsidRPr="00FB7CB5">
        <w:rPr>
          <w:rFonts w:ascii="Times New Roman" w:hAnsi="Times New Roman" w:cs="Times New Roman"/>
          <w:sz w:val="24"/>
          <w:szCs w:val="24"/>
        </w:rPr>
        <w:t xml:space="preserve">n </w:t>
      </w:r>
      <w:r>
        <w:rPr>
          <w:rFonts w:ascii="Times New Roman" w:hAnsi="Times New Roman" w:cs="Times New Roman"/>
          <w:sz w:val="24"/>
          <w:szCs w:val="24"/>
        </w:rPr>
        <w:t>NIDCO</w:t>
      </w:r>
      <w:r w:rsidRPr="00FB7CB5">
        <w:rPr>
          <w:rFonts w:ascii="Times New Roman" w:hAnsi="Times New Roman" w:cs="Times New Roman"/>
          <w:sz w:val="24"/>
          <w:szCs w:val="24"/>
        </w:rPr>
        <w:t xml:space="preserve">’s </w:t>
      </w:r>
      <w:r>
        <w:rPr>
          <w:rFonts w:ascii="Times New Roman" w:hAnsi="Times New Roman" w:cs="Times New Roman"/>
          <w:sz w:val="24"/>
          <w:szCs w:val="24"/>
        </w:rPr>
        <w:t xml:space="preserve">Income Statement </w:t>
      </w:r>
      <w:r w:rsidRPr="00FB7CB5">
        <w:rPr>
          <w:rFonts w:ascii="Times New Roman" w:hAnsi="Times New Roman" w:cs="Times New Roman"/>
          <w:sz w:val="24"/>
          <w:szCs w:val="24"/>
        </w:rPr>
        <w:t>for</w:t>
      </w:r>
      <w:r>
        <w:rPr>
          <w:rFonts w:ascii="Times New Roman" w:hAnsi="Times New Roman" w:cs="Times New Roman"/>
          <w:sz w:val="24"/>
          <w:szCs w:val="24"/>
        </w:rPr>
        <w:t xml:space="preserve"> the last 3</w:t>
      </w:r>
      <w:r w:rsidRPr="00FB7CB5">
        <w:rPr>
          <w:rFonts w:ascii="Times New Roman" w:hAnsi="Times New Roman" w:cs="Times New Roman"/>
          <w:sz w:val="24"/>
          <w:szCs w:val="24"/>
        </w:rPr>
        <w:t xml:space="preserve"> years </w:t>
      </w:r>
      <w:r>
        <w:rPr>
          <w:rFonts w:ascii="Times New Roman" w:hAnsi="Times New Roman" w:cs="Times New Roman"/>
          <w:sz w:val="24"/>
          <w:szCs w:val="24"/>
        </w:rPr>
        <w:t>closed</w:t>
      </w:r>
      <w:r>
        <w:rPr>
          <w:rStyle w:val="FootnoteReference"/>
          <w:rFonts w:ascii="Times New Roman" w:hAnsi="Times New Roman" w:cs="Times New Roman"/>
          <w:sz w:val="24"/>
          <w:szCs w:val="24"/>
        </w:rPr>
        <w:footnoteReference w:id="3"/>
      </w:r>
      <w:r>
        <w:rPr>
          <w:rFonts w:ascii="Times New Roman" w:hAnsi="Times New Roman" w:cs="Times New Roman"/>
          <w:sz w:val="24"/>
          <w:szCs w:val="24"/>
        </w:rPr>
        <w:t xml:space="preserve"> (2010, 2011 and 2012</w:t>
      </w:r>
      <w:r w:rsidRPr="00FB7CB5">
        <w:rPr>
          <w:rFonts w:ascii="Times New Roman" w:hAnsi="Times New Roman" w:cs="Times New Roman"/>
          <w:sz w:val="24"/>
          <w:szCs w:val="24"/>
        </w:rPr>
        <w:t xml:space="preserve">), </w:t>
      </w:r>
      <w:r w:rsidR="00A770EF">
        <w:rPr>
          <w:rFonts w:ascii="Times New Roman" w:hAnsi="Times New Roman" w:cs="Times New Roman"/>
          <w:sz w:val="24"/>
          <w:szCs w:val="24"/>
        </w:rPr>
        <w:t>and converted to US Dollars (US$</w:t>
      </w:r>
      <w:r w:rsidRPr="00FB7CB5">
        <w:rPr>
          <w:rFonts w:ascii="Times New Roman" w:hAnsi="Times New Roman" w:cs="Times New Roman"/>
          <w:sz w:val="24"/>
          <w:szCs w:val="24"/>
        </w:rPr>
        <w:t>) with an exchange rate of TT$</w:t>
      </w:r>
      <w:r w:rsidR="00913652">
        <w:rPr>
          <w:rStyle w:val="FootnoteReference"/>
          <w:rFonts w:ascii="Times New Roman" w:hAnsi="Times New Roman" w:cs="Times New Roman"/>
          <w:sz w:val="24"/>
          <w:szCs w:val="24"/>
        </w:rPr>
        <w:footnoteReference w:id="4"/>
      </w:r>
      <w:r w:rsidR="000B7BFC">
        <w:rPr>
          <w:rFonts w:ascii="Times New Roman" w:hAnsi="Times New Roman" w:cs="Times New Roman"/>
          <w:sz w:val="24"/>
          <w:szCs w:val="24"/>
        </w:rPr>
        <w:t>6.3147</w:t>
      </w:r>
      <w:r w:rsidR="00A770EF">
        <w:rPr>
          <w:rFonts w:ascii="Times New Roman" w:hAnsi="Times New Roman" w:cs="Times New Roman"/>
          <w:sz w:val="24"/>
          <w:szCs w:val="24"/>
        </w:rPr>
        <w:t>/US$</w:t>
      </w:r>
      <w:r w:rsidRPr="00FB7CB5">
        <w:rPr>
          <w:rFonts w:ascii="Times New Roman" w:hAnsi="Times New Roman" w:cs="Times New Roman"/>
          <w:sz w:val="24"/>
          <w:szCs w:val="24"/>
        </w:rPr>
        <w:t xml:space="preserve"> at 3</w:t>
      </w:r>
      <w:r w:rsidR="000B7BFC">
        <w:rPr>
          <w:rFonts w:ascii="Times New Roman" w:hAnsi="Times New Roman" w:cs="Times New Roman"/>
          <w:sz w:val="24"/>
          <w:szCs w:val="24"/>
        </w:rPr>
        <w:t>0</w:t>
      </w:r>
      <w:r w:rsidRPr="00FB7CB5">
        <w:rPr>
          <w:rFonts w:ascii="Times New Roman" w:hAnsi="Times New Roman" w:cs="Times New Roman"/>
          <w:sz w:val="24"/>
          <w:szCs w:val="24"/>
        </w:rPr>
        <w:t xml:space="preserve"> </w:t>
      </w:r>
      <w:r w:rsidR="000B7BFC">
        <w:rPr>
          <w:rFonts w:ascii="Times New Roman" w:hAnsi="Times New Roman" w:cs="Times New Roman"/>
          <w:sz w:val="24"/>
          <w:szCs w:val="24"/>
        </w:rPr>
        <w:t>September 2012</w:t>
      </w:r>
      <w:r w:rsidRPr="00FB7CB5">
        <w:rPr>
          <w:rFonts w:ascii="Times New Roman" w:hAnsi="Times New Roman" w:cs="Times New Roman"/>
          <w:sz w:val="24"/>
          <w:szCs w:val="24"/>
        </w:rPr>
        <w:t xml:space="preserve">. </w:t>
      </w:r>
      <w:r w:rsidR="00984B31">
        <w:rPr>
          <w:rFonts w:ascii="Times New Roman" w:hAnsi="Times New Roman" w:cs="Times New Roman"/>
          <w:sz w:val="24"/>
          <w:szCs w:val="24"/>
        </w:rPr>
        <w:t>For the years</w:t>
      </w:r>
      <w:r w:rsidRPr="00FB7CB5">
        <w:rPr>
          <w:rFonts w:ascii="Times New Roman" w:hAnsi="Times New Roman" w:cs="Times New Roman"/>
          <w:sz w:val="24"/>
          <w:szCs w:val="24"/>
        </w:rPr>
        <w:t xml:space="preserve"> </w:t>
      </w:r>
      <w:r w:rsidR="00A55A8D">
        <w:rPr>
          <w:rFonts w:ascii="Times New Roman" w:hAnsi="Times New Roman" w:cs="Times New Roman"/>
          <w:sz w:val="24"/>
          <w:szCs w:val="24"/>
        </w:rPr>
        <w:t>2010 and 2011</w:t>
      </w:r>
      <w:r w:rsidR="00984B31">
        <w:rPr>
          <w:rFonts w:ascii="Times New Roman" w:hAnsi="Times New Roman" w:cs="Times New Roman"/>
          <w:sz w:val="24"/>
          <w:szCs w:val="24"/>
        </w:rPr>
        <w:t>, the financial statements</w:t>
      </w:r>
      <w:r w:rsidR="00A55A8D">
        <w:rPr>
          <w:rFonts w:ascii="Times New Roman" w:hAnsi="Times New Roman" w:cs="Times New Roman"/>
          <w:sz w:val="24"/>
          <w:szCs w:val="24"/>
        </w:rPr>
        <w:t xml:space="preserve"> </w:t>
      </w:r>
      <w:r w:rsidRPr="00FB7CB5">
        <w:rPr>
          <w:rFonts w:ascii="Times New Roman" w:hAnsi="Times New Roman" w:cs="Times New Roman"/>
          <w:sz w:val="24"/>
          <w:szCs w:val="24"/>
        </w:rPr>
        <w:t>were audited by an external firm</w:t>
      </w:r>
      <w:r w:rsidR="003B2452">
        <w:rPr>
          <w:rFonts w:ascii="Times New Roman" w:hAnsi="Times New Roman" w:cs="Times New Roman"/>
          <w:sz w:val="24"/>
          <w:szCs w:val="24"/>
        </w:rPr>
        <w:t xml:space="preserve"> who has given a clear opinion,</w:t>
      </w:r>
      <w:r w:rsidRPr="00FB7CB5">
        <w:rPr>
          <w:rFonts w:ascii="Times New Roman" w:hAnsi="Times New Roman" w:cs="Times New Roman"/>
          <w:sz w:val="24"/>
          <w:szCs w:val="24"/>
        </w:rPr>
        <w:t xml:space="preserve"> and they have been prepared in accordance with International Financial Reporting Standards (IFRS)</w:t>
      </w:r>
      <w:r w:rsidR="00984B31">
        <w:rPr>
          <w:rFonts w:ascii="Times New Roman" w:hAnsi="Times New Roman" w:cs="Times New Roman"/>
          <w:sz w:val="24"/>
          <w:szCs w:val="24"/>
        </w:rPr>
        <w:t>. For the year 2012, the financial statements</w:t>
      </w:r>
      <w:r w:rsidR="005A64F8">
        <w:rPr>
          <w:rFonts w:ascii="Times New Roman" w:hAnsi="Times New Roman" w:cs="Times New Roman"/>
          <w:sz w:val="24"/>
          <w:szCs w:val="24"/>
        </w:rPr>
        <w:t xml:space="preserve"> are still unaudited</w:t>
      </w:r>
      <w:r w:rsidR="002E29C7">
        <w:rPr>
          <w:rFonts w:ascii="Times New Roman" w:hAnsi="Times New Roman" w:cs="Times New Roman"/>
          <w:sz w:val="24"/>
          <w:szCs w:val="24"/>
        </w:rPr>
        <w:t>,</w:t>
      </w:r>
      <w:r w:rsidR="005A64F8">
        <w:rPr>
          <w:rFonts w:ascii="Times New Roman" w:hAnsi="Times New Roman" w:cs="Times New Roman"/>
          <w:sz w:val="24"/>
          <w:szCs w:val="24"/>
        </w:rPr>
        <w:t xml:space="preserve"> and</w:t>
      </w:r>
      <w:r w:rsidR="00984B31">
        <w:rPr>
          <w:rFonts w:ascii="Times New Roman" w:hAnsi="Times New Roman" w:cs="Times New Roman"/>
          <w:sz w:val="24"/>
          <w:szCs w:val="24"/>
        </w:rPr>
        <w:t xml:space="preserve"> are</w:t>
      </w:r>
      <w:r w:rsidR="00BE4CB8">
        <w:rPr>
          <w:rFonts w:ascii="Times New Roman" w:hAnsi="Times New Roman" w:cs="Times New Roman"/>
          <w:sz w:val="24"/>
          <w:szCs w:val="24"/>
        </w:rPr>
        <w:t xml:space="preserve"> derived</w:t>
      </w:r>
      <w:r w:rsidR="00984B31">
        <w:rPr>
          <w:rFonts w:ascii="Times New Roman" w:hAnsi="Times New Roman" w:cs="Times New Roman"/>
          <w:sz w:val="24"/>
          <w:szCs w:val="24"/>
        </w:rPr>
        <w:t xml:space="preserve"> </w:t>
      </w:r>
      <w:r w:rsidR="00BE4CB8" w:rsidRPr="00FB7CB5">
        <w:rPr>
          <w:rFonts w:ascii="Times New Roman" w:hAnsi="Times New Roman" w:cs="Times New Roman"/>
          <w:sz w:val="24"/>
          <w:szCs w:val="24"/>
        </w:rPr>
        <w:t>from</w:t>
      </w:r>
      <w:r w:rsidR="00BE4CB8">
        <w:rPr>
          <w:rFonts w:ascii="Times New Roman" w:hAnsi="Times New Roman" w:cs="Times New Roman"/>
          <w:sz w:val="24"/>
          <w:szCs w:val="24"/>
        </w:rPr>
        <w:t xml:space="preserve"> NIDCO’s</w:t>
      </w:r>
      <w:r w:rsidR="00BE4CB8" w:rsidRPr="00FB7CB5">
        <w:rPr>
          <w:rFonts w:ascii="Times New Roman" w:hAnsi="Times New Roman" w:cs="Times New Roman"/>
          <w:sz w:val="24"/>
          <w:szCs w:val="24"/>
        </w:rPr>
        <w:t xml:space="preserve"> management account information</w:t>
      </w:r>
      <w:r w:rsidR="005A64F8">
        <w:rPr>
          <w:rFonts w:ascii="Times New Roman" w:hAnsi="Times New Roman" w:cs="Times New Roman"/>
          <w:sz w:val="24"/>
          <w:szCs w:val="24"/>
        </w:rPr>
        <w:t>.</w:t>
      </w:r>
      <w:r w:rsidR="00BE4CB8">
        <w:rPr>
          <w:rFonts w:ascii="Times New Roman" w:hAnsi="Times New Roman" w:cs="Times New Roman"/>
          <w:sz w:val="24"/>
          <w:szCs w:val="24"/>
        </w:rPr>
        <w:t xml:space="preserve"> </w:t>
      </w:r>
    </w:p>
    <w:p w:rsidR="00262C05" w:rsidRDefault="00262C05" w:rsidP="003118AA">
      <w:pPr>
        <w:pStyle w:val="ListParagraph"/>
        <w:spacing w:line="240" w:lineRule="auto"/>
        <w:ind w:left="0"/>
        <w:jc w:val="both"/>
        <w:rPr>
          <w:rFonts w:ascii="Times New Roman" w:hAnsi="Times New Roman" w:cs="Times New Roman"/>
          <w:b/>
          <w:sz w:val="24"/>
          <w:szCs w:val="24"/>
        </w:rPr>
      </w:pPr>
    </w:p>
    <w:p w:rsidR="005A1F56" w:rsidRPr="009A2989" w:rsidRDefault="005A1F56" w:rsidP="005266AB">
      <w:pPr>
        <w:pStyle w:val="ListParagraph"/>
        <w:numPr>
          <w:ilvl w:val="2"/>
          <w:numId w:val="23"/>
        </w:numPr>
        <w:spacing w:line="240" w:lineRule="auto"/>
        <w:jc w:val="both"/>
        <w:rPr>
          <w:rFonts w:ascii="Times New Roman" w:hAnsi="Times New Roman" w:cs="Times New Roman"/>
          <w:b/>
          <w:sz w:val="24"/>
          <w:szCs w:val="24"/>
        </w:rPr>
      </w:pPr>
      <w:r w:rsidRPr="009A2989">
        <w:rPr>
          <w:rFonts w:ascii="Times New Roman" w:hAnsi="Times New Roman" w:cs="Times New Roman"/>
          <w:b/>
          <w:sz w:val="24"/>
          <w:szCs w:val="24"/>
        </w:rPr>
        <w:t xml:space="preserve">NIDCO Income Statement </w:t>
      </w:r>
      <w:r w:rsidR="00783FF2">
        <w:rPr>
          <w:rFonts w:ascii="Times New Roman" w:hAnsi="Times New Roman" w:cs="Times New Roman"/>
          <w:b/>
          <w:sz w:val="24"/>
          <w:szCs w:val="24"/>
        </w:rPr>
        <w:t>2010-2012</w:t>
      </w:r>
    </w:p>
    <w:p w:rsidR="000379DC" w:rsidRDefault="000379DC" w:rsidP="000379DC">
      <w:pPr>
        <w:pStyle w:val="ListParagraph"/>
        <w:spacing w:line="240" w:lineRule="auto"/>
        <w:ind w:left="0"/>
        <w:jc w:val="both"/>
        <w:rPr>
          <w:rFonts w:ascii="Times New Roman" w:hAnsi="Times New Roman" w:cs="Times New Roman"/>
          <w:b/>
          <w:sz w:val="24"/>
          <w:szCs w:val="24"/>
        </w:rPr>
      </w:pPr>
    </w:p>
    <w:p w:rsidR="00823E98" w:rsidRPr="0050337F" w:rsidRDefault="0050337F" w:rsidP="000379DC">
      <w:pPr>
        <w:pStyle w:val="ListParagraph"/>
        <w:spacing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The following </w:t>
      </w:r>
      <w:r w:rsidR="00F31015">
        <w:rPr>
          <w:rFonts w:ascii="Times New Roman" w:hAnsi="Times New Roman" w:cs="Times New Roman"/>
          <w:sz w:val="24"/>
          <w:szCs w:val="24"/>
        </w:rPr>
        <w:t>T</w:t>
      </w:r>
      <w:r w:rsidR="00BF7A1B" w:rsidRPr="0050337F">
        <w:rPr>
          <w:rFonts w:ascii="Times New Roman" w:hAnsi="Times New Roman" w:cs="Times New Roman"/>
          <w:sz w:val="24"/>
          <w:szCs w:val="24"/>
        </w:rPr>
        <w:t>able</w:t>
      </w:r>
      <w:r w:rsidR="00F31015">
        <w:rPr>
          <w:rFonts w:ascii="Times New Roman" w:hAnsi="Times New Roman" w:cs="Times New Roman"/>
          <w:sz w:val="24"/>
          <w:szCs w:val="24"/>
        </w:rPr>
        <w:t xml:space="preserve"> 1</w:t>
      </w:r>
      <w:r>
        <w:rPr>
          <w:rFonts w:ascii="Times New Roman" w:hAnsi="Times New Roman" w:cs="Times New Roman"/>
          <w:sz w:val="24"/>
          <w:szCs w:val="24"/>
        </w:rPr>
        <w:t xml:space="preserve"> represents the Historical Income </w:t>
      </w:r>
      <w:r w:rsidRPr="0050337F">
        <w:rPr>
          <w:rFonts w:ascii="Times New Roman" w:hAnsi="Times New Roman" w:cs="Times New Roman"/>
          <w:sz w:val="24"/>
          <w:szCs w:val="24"/>
        </w:rPr>
        <w:t xml:space="preserve">Statement of </w:t>
      </w:r>
      <w:r>
        <w:rPr>
          <w:rFonts w:ascii="Times New Roman" w:hAnsi="Times New Roman" w:cs="Times New Roman"/>
          <w:sz w:val="24"/>
          <w:szCs w:val="24"/>
        </w:rPr>
        <w:t xml:space="preserve">NIDCO for years </w:t>
      </w:r>
      <w:r w:rsidR="00903325">
        <w:rPr>
          <w:rFonts w:ascii="Times New Roman" w:hAnsi="Times New Roman" w:cs="Times New Roman"/>
          <w:sz w:val="24"/>
          <w:szCs w:val="24"/>
        </w:rPr>
        <w:br/>
      </w:r>
      <w:r>
        <w:rPr>
          <w:rFonts w:ascii="Times New Roman" w:hAnsi="Times New Roman" w:cs="Times New Roman"/>
          <w:sz w:val="24"/>
          <w:szCs w:val="24"/>
        </w:rPr>
        <w:t>2010-2012</w:t>
      </w:r>
      <w:r w:rsidRPr="0050337F">
        <w:rPr>
          <w:rFonts w:ascii="Times New Roman" w:hAnsi="Times New Roman" w:cs="Times New Roman"/>
          <w:sz w:val="24"/>
          <w:szCs w:val="24"/>
        </w:rPr>
        <w:t xml:space="preserve">:  </w:t>
      </w:r>
    </w:p>
    <w:p w:rsidR="00AF1E51" w:rsidRDefault="00AF1E51" w:rsidP="000379DC">
      <w:pPr>
        <w:pStyle w:val="ListParagraph"/>
        <w:tabs>
          <w:tab w:val="left" w:pos="3168"/>
        </w:tabs>
        <w:spacing w:line="240" w:lineRule="auto"/>
        <w:ind w:left="0"/>
        <w:jc w:val="center"/>
        <w:rPr>
          <w:rFonts w:ascii="Times New Roman" w:hAnsi="Times New Roman" w:cs="Times New Roman"/>
          <w:b/>
          <w:sz w:val="20"/>
          <w:szCs w:val="20"/>
          <w:u w:val="single"/>
        </w:rPr>
      </w:pPr>
    </w:p>
    <w:p w:rsidR="008B791F" w:rsidRPr="000379DC" w:rsidRDefault="000379DC" w:rsidP="000379DC">
      <w:pPr>
        <w:pStyle w:val="ListParagraph"/>
        <w:tabs>
          <w:tab w:val="left" w:pos="3168"/>
        </w:tabs>
        <w:spacing w:line="240" w:lineRule="auto"/>
        <w:ind w:left="0"/>
        <w:jc w:val="center"/>
        <w:rPr>
          <w:rFonts w:ascii="Times New Roman" w:hAnsi="Times New Roman" w:cs="Times New Roman"/>
          <w:b/>
          <w:sz w:val="20"/>
          <w:szCs w:val="20"/>
          <w:u w:val="single"/>
        </w:rPr>
      </w:pPr>
      <w:r w:rsidRPr="000379DC">
        <w:rPr>
          <w:rFonts w:ascii="Times New Roman" w:hAnsi="Times New Roman" w:cs="Times New Roman"/>
          <w:b/>
          <w:sz w:val="20"/>
          <w:szCs w:val="20"/>
          <w:u w:val="single"/>
        </w:rPr>
        <w:t>Table 1.  NIDCO Income Statement 2010 -2012</w:t>
      </w:r>
    </w:p>
    <w:p w:rsidR="00262C05" w:rsidRDefault="00AF1E51" w:rsidP="008B791F">
      <w:pPr>
        <w:spacing w:line="240" w:lineRule="auto"/>
        <w:jc w:val="center"/>
        <w:rPr>
          <w:rFonts w:ascii="Times New Roman" w:hAnsi="Times New Roman" w:cs="Times New Roman"/>
          <w:b/>
          <w:sz w:val="24"/>
          <w:szCs w:val="24"/>
        </w:rPr>
      </w:pPr>
      <w:r w:rsidRPr="0074245A">
        <w:rPr>
          <w:noProof/>
        </w:rPr>
        <w:drawing>
          <wp:inline distT="0" distB="0" distL="0" distR="0" wp14:anchorId="2F5E3C0E" wp14:editId="4D32BCFA">
            <wp:extent cx="4176582" cy="4222750"/>
            <wp:effectExtent l="0" t="0" r="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81862" cy="4228088"/>
                    </a:xfrm>
                    <a:prstGeom prst="rect">
                      <a:avLst/>
                    </a:prstGeom>
                    <a:noFill/>
                    <a:ln>
                      <a:noFill/>
                    </a:ln>
                  </pic:spPr>
                </pic:pic>
              </a:graphicData>
            </a:graphic>
          </wp:inline>
        </w:drawing>
      </w:r>
    </w:p>
    <w:p w:rsidR="004846A4" w:rsidRPr="00AC53B2" w:rsidRDefault="004846A4" w:rsidP="004731A3">
      <w:pPr>
        <w:spacing w:line="240" w:lineRule="auto"/>
        <w:jc w:val="both"/>
        <w:rPr>
          <w:rFonts w:ascii="Times New Roman" w:hAnsi="Times New Roman" w:cs="Times New Roman"/>
          <w:b/>
          <w:i/>
          <w:sz w:val="24"/>
          <w:szCs w:val="24"/>
        </w:rPr>
      </w:pPr>
      <w:r w:rsidRPr="00AC53B2">
        <w:rPr>
          <w:rFonts w:ascii="Times New Roman" w:hAnsi="Times New Roman" w:cs="Times New Roman"/>
          <w:b/>
          <w:i/>
          <w:sz w:val="24"/>
          <w:szCs w:val="24"/>
        </w:rPr>
        <w:lastRenderedPageBreak/>
        <w:t>NIDCO operating activities</w:t>
      </w:r>
    </w:p>
    <w:p w:rsidR="00262C05" w:rsidRDefault="00861A0C" w:rsidP="004731A3">
      <w:pPr>
        <w:spacing w:line="240" w:lineRule="auto"/>
        <w:jc w:val="both"/>
        <w:rPr>
          <w:rFonts w:ascii="Times New Roman" w:hAnsi="Times New Roman" w:cs="Times New Roman"/>
          <w:sz w:val="24"/>
          <w:szCs w:val="24"/>
        </w:rPr>
      </w:pPr>
      <w:r w:rsidRPr="00861A0C">
        <w:rPr>
          <w:rFonts w:ascii="Times New Roman" w:hAnsi="Times New Roman" w:cs="Times New Roman"/>
          <w:i/>
          <w:sz w:val="24"/>
          <w:szCs w:val="24"/>
        </w:rPr>
        <w:t>Operating Revenues.</w:t>
      </w:r>
      <w:r>
        <w:rPr>
          <w:rFonts w:ascii="Times New Roman" w:hAnsi="Times New Roman" w:cs="Times New Roman"/>
          <w:i/>
          <w:sz w:val="24"/>
          <w:szCs w:val="24"/>
        </w:rPr>
        <w:t xml:space="preserve"> </w:t>
      </w:r>
      <w:r w:rsidR="00BD35EE" w:rsidRPr="00AF75BD">
        <w:rPr>
          <w:rFonts w:ascii="Times New Roman" w:hAnsi="Times New Roman" w:cs="Times New Roman"/>
          <w:sz w:val="24"/>
          <w:szCs w:val="24"/>
        </w:rPr>
        <w:t>As</w:t>
      </w:r>
      <w:r w:rsidR="00BD35EE">
        <w:rPr>
          <w:rFonts w:ascii="Times New Roman" w:hAnsi="Times New Roman" w:cs="Times New Roman"/>
          <w:sz w:val="24"/>
          <w:szCs w:val="24"/>
        </w:rPr>
        <w:t xml:space="preserve"> shown in the previous table</w:t>
      </w:r>
      <w:r w:rsidR="00BF7A1B">
        <w:rPr>
          <w:rFonts w:ascii="Times New Roman" w:hAnsi="Times New Roman" w:cs="Times New Roman"/>
          <w:sz w:val="24"/>
          <w:szCs w:val="24"/>
        </w:rPr>
        <w:t>,</w:t>
      </w:r>
      <w:r w:rsidR="00BD35EE">
        <w:rPr>
          <w:rFonts w:ascii="Times New Roman" w:hAnsi="Times New Roman" w:cs="Times New Roman"/>
          <w:sz w:val="24"/>
          <w:szCs w:val="24"/>
        </w:rPr>
        <w:t xml:space="preserve"> </w:t>
      </w:r>
      <w:r w:rsidR="001F47C6">
        <w:rPr>
          <w:rFonts w:ascii="Times New Roman" w:hAnsi="Times New Roman" w:cs="Times New Roman"/>
          <w:sz w:val="24"/>
          <w:szCs w:val="24"/>
        </w:rPr>
        <w:t xml:space="preserve">NIDCO operating revenues </w:t>
      </w:r>
      <w:r w:rsidR="00BF7A1B">
        <w:rPr>
          <w:rFonts w:ascii="Times New Roman" w:hAnsi="Times New Roman" w:cs="Times New Roman"/>
          <w:sz w:val="24"/>
          <w:szCs w:val="24"/>
        </w:rPr>
        <w:t>comes</w:t>
      </w:r>
      <w:r>
        <w:rPr>
          <w:rFonts w:ascii="Times New Roman" w:hAnsi="Times New Roman" w:cs="Times New Roman"/>
          <w:sz w:val="24"/>
          <w:szCs w:val="24"/>
        </w:rPr>
        <w:t xml:space="preserve"> </w:t>
      </w:r>
      <w:r w:rsidR="006B4D78">
        <w:rPr>
          <w:rFonts w:ascii="Times New Roman" w:hAnsi="Times New Roman" w:cs="Times New Roman"/>
          <w:sz w:val="24"/>
          <w:szCs w:val="24"/>
        </w:rPr>
        <w:t>from</w:t>
      </w:r>
      <w:r w:rsidR="001F47C6">
        <w:rPr>
          <w:rFonts w:ascii="Times New Roman" w:hAnsi="Times New Roman" w:cs="Times New Roman"/>
          <w:sz w:val="24"/>
          <w:szCs w:val="24"/>
        </w:rPr>
        <w:t xml:space="preserve"> 3 </w:t>
      </w:r>
      <w:r>
        <w:rPr>
          <w:rFonts w:ascii="Times New Roman" w:hAnsi="Times New Roman" w:cs="Times New Roman"/>
          <w:sz w:val="24"/>
          <w:szCs w:val="24"/>
        </w:rPr>
        <w:t>r</w:t>
      </w:r>
      <w:r w:rsidR="001F47C6">
        <w:rPr>
          <w:rFonts w:ascii="Times New Roman" w:hAnsi="Times New Roman" w:cs="Times New Roman"/>
          <w:sz w:val="24"/>
          <w:szCs w:val="24"/>
        </w:rPr>
        <w:t xml:space="preserve">esources: Management Fees, Tender Fees and Other Income. </w:t>
      </w:r>
      <w:r>
        <w:rPr>
          <w:rFonts w:ascii="Times New Roman" w:hAnsi="Times New Roman" w:cs="Times New Roman"/>
          <w:sz w:val="24"/>
          <w:szCs w:val="24"/>
        </w:rPr>
        <w:t xml:space="preserve">NIDCO’s operating </w:t>
      </w:r>
      <w:r w:rsidR="00205717">
        <w:rPr>
          <w:rFonts w:ascii="Times New Roman" w:hAnsi="Times New Roman" w:cs="Times New Roman"/>
          <w:sz w:val="24"/>
          <w:szCs w:val="24"/>
        </w:rPr>
        <w:t>revenue</w:t>
      </w:r>
      <w:r w:rsidR="00BF7A1B">
        <w:rPr>
          <w:rFonts w:ascii="Times New Roman" w:hAnsi="Times New Roman" w:cs="Times New Roman"/>
          <w:sz w:val="24"/>
          <w:szCs w:val="24"/>
        </w:rPr>
        <w:t xml:space="preserve"> is mainly obtained</w:t>
      </w:r>
      <w:r w:rsidR="00E21C83">
        <w:rPr>
          <w:rFonts w:ascii="Times New Roman" w:hAnsi="Times New Roman" w:cs="Times New Roman"/>
          <w:sz w:val="24"/>
          <w:szCs w:val="24"/>
        </w:rPr>
        <w:t xml:space="preserve"> from the </w:t>
      </w:r>
      <w:r w:rsidR="001F47C6" w:rsidRPr="00691A23">
        <w:rPr>
          <w:rFonts w:ascii="Times New Roman" w:hAnsi="Times New Roman" w:cs="Times New Roman"/>
          <w:sz w:val="24"/>
          <w:szCs w:val="24"/>
          <w:u w:val="single"/>
        </w:rPr>
        <w:t>Management</w:t>
      </w:r>
      <w:r w:rsidR="00691A23" w:rsidRPr="00691A23">
        <w:rPr>
          <w:rFonts w:ascii="Times New Roman" w:hAnsi="Times New Roman" w:cs="Times New Roman"/>
          <w:sz w:val="24"/>
          <w:szCs w:val="24"/>
          <w:u w:val="single"/>
        </w:rPr>
        <w:t xml:space="preserve"> Fee</w:t>
      </w:r>
      <w:r w:rsidR="001F47C6" w:rsidRPr="00691A23">
        <w:rPr>
          <w:rFonts w:ascii="Times New Roman" w:hAnsi="Times New Roman" w:cs="Times New Roman"/>
          <w:sz w:val="24"/>
          <w:szCs w:val="24"/>
          <w:u w:val="single"/>
        </w:rPr>
        <w:t>s</w:t>
      </w:r>
      <w:r w:rsidR="00BF7A1B">
        <w:rPr>
          <w:rFonts w:ascii="Times New Roman" w:hAnsi="Times New Roman" w:cs="Times New Roman"/>
          <w:sz w:val="24"/>
          <w:szCs w:val="24"/>
          <w:u w:val="single"/>
        </w:rPr>
        <w:t>,</w:t>
      </w:r>
      <w:r w:rsidR="001F47C6">
        <w:rPr>
          <w:rFonts w:ascii="Times New Roman" w:hAnsi="Times New Roman" w:cs="Times New Roman"/>
          <w:sz w:val="24"/>
          <w:szCs w:val="24"/>
        </w:rPr>
        <w:t xml:space="preserve"> </w:t>
      </w:r>
      <w:r w:rsidR="00E21C83">
        <w:rPr>
          <w:rFonts w:ascii="Times New Roman" w:hAnsi="Times New Roman" w:cs="Times New Roman"/>
          <w:sz w:val="24"/>
          <w:szCs w:val="24"/>
        </w:rPr>
        <w:t xml:space="preserve">which are earned </w:t>
      </w:r>
      <w:r w:rsidR="0052043D">
        <w:rPr>
          <w:rFonts w:ascii="Times New Roman" w:hAnsi="Times New Roman" w:cs="Times New Roman"/>
          <w:sz w:val="24"/>
          <w:szCs w:val="24"/>
        </w:rPr>
        <w:t xml:space="preserve">in </w:t>
      </w:r>
      <w:r w:rsidR="0052043D" w:rsidRPr="004731A3">
        <w:rPr>
          <w:rFonts w:ascii="Times New Roman" w:hAnsi="Times New Roman" w:cs="Times New Roman"/>
          <w:sz w:val="24"/>
          <w:szCs w:val="24"/>
        </w:rPr>
        <w:t xml:space="preserve">compensation for services </w:t>
      </w:r>
      <w:r w:rsidR="0052043D">
        <w:rPr>
          <w:rFonts w:ascii="Times New Roman" w:hAnsi="Times New Roman" w:cs="Times New Roman"/>
          <w:sz w:val="24"/>
          <w:szCs w:val="24"/>
        </w:rPr>
        <w:t>of infrastructure projects p</w:t>
      </w:r>
      <w:r w:rsidR="0052043D" w:rsidRPr="004731A3">
        <w:rPr>
          <w:rFonts w:ascii="Times New Roman" w:hAnsi="Times New Roman" w:cs="Times New Roman"/>
          <w:sz w:val="24"/>
          <w:szCs w:val="24"/>
        </w:rPr>
        <w:t xml:space="preserve">erformed by NIDCO on behalf of the </w:t>
      </w:r>
      <w:r w:rsidR="0052043D">
        <w:rPr>
          <w:rFonts w:ascii="Times New Roman" w:hAnsi="Times New Roman" w:cs="Times New Roman"/>
          <w:sz w:val="24"/>
          <w:szCs w:val="24"/>
        </w:rPr>
        <w:t>GORTT,</w:t>
      </w:r>
      <w:r w:rsidR="00E21C83">
        <w:rPr>
          <w:rFonts w:ascii="Times New Roman" w:hAnsi="Times New Roman" w:cs="Times New Roman"/>
          <w:sz w:val="24"/>
          <w:szCs w:val="24"/>
        </w:rPr>
        <w:t xml:space="preserve"> and </w:t>
      </w:r>
      <w:r w:rsidR="00231C2E">
        <w:rPr>
          <w:rFonts w:ascii="Times New Roman" w:hAnsi="Times New Roman" w:cs="Times New Roman"/>
          <w:sz w:val="24"/>
          <w:szCs w:val="24"/>
        </w:rPr>
        <w:t>represent almost 98% of the operating incomes of the company</w:t>
      </w:r>
      <w:r w:rsidR="00E21C83">
        <w:rPr>
          <w:rFonts w:ascii="Times New Roman" w:hAnsi="Times New Roman" w:cs="Times New Roman"/>
          <w:sz w:val="24"/>
          <w:szCs w:val="24"/>
        </w:rPr>
        <w:t xml:space="preserve"> during last year. </w:t>
      </w:r>
      <w:r w:rsidR="0052043D">
        <w:rPr>
          <w:rFonts w:ascii="Times New Roman" w:hAnsi="Times New Roman" w:cs="Times New Roman"/>
          <w:sz w:val="24"/>
          <w:szCs w:val="24"/>
        </w:rPr>
        <w:t>Therefore,</w:t>
      </w:r>
      <w:r w:rsidR="00231C2E">
        <w:rPr>
          <w:rFonts w:ascii="Times New Roman" w:hAnsi="Times New Roman" w:cs="Times New Roman"/>
          <w:sz w:val="24"/>
          <w:szCs w:val="24"/>
        </w:rPr>
        <w:t xml:space="preserve"> </w:t>
      </w:r>
      <w:r w:rsidR="0052043D">
        <w:rPr>
          <w:rFonts w:ascii="Times New Roman" w:hAnsi="Times New Roman" w:cs="Times New Roman"/>
          <w:sz w:val="24"/>
          <w:szCs w:val="24"/>
        </w:rPr>
        <w:t>the Management Fees</w:t>
      </w:r>
      <w:r>
        <w:rPr>
          <w:rFonts w:ascii="Times New Roman" w:hAnsi="Times New Roman" w:cs="Times New Roman"/>
          <w:sz w:val="24"/>
          <w:szCs w:val="24"/>
        </w:rPr>
        <w:t xml:space="preserve"> </w:t>
      </w:r>
      <w:r w:rsidR="0052043D">
        <w:rPr>
          <w:rFonts w:ascii="Times New Roman" w:hAnsi="Times New Roman" w:cs="Times New Roman"/>
          <w:sz w:val="24"/>
          <w:szCs w:val="24"/>
        </w:rPr>
        <w:t>are fee</w:t>
      </w:r>
      <w:r w:rsidR="00A27A89">
        <w:rPr>
          <w:rFonts w:ascii="Times New Roman" w:hAnsi="Times New Roman" w:cs="Times New Roman"/>
          <w:sz w:val="24"/>
          <w:szCs w:val="24"/>
        </w:rPr>
        <w:t>s</w:t>
      </w:r>
      <w:r w:rsidR="004731A3" w:rsidRPr="004731A3">
        <w:rPr>
          <w:rFonts w:ascii="Times New Roman" w:hAnsi="Times New Roman" w:cs="Times New Roman"/>
          <w:sz w:val="24"/>
          <w:szCs w:val="24"/>
        </w:rPr>
        <w:t xml:space="preserve"> paid</w:t>
      </w:r>
      <w:r w:rsidR="00485371">
        <w:rPr>
          <w:rFonts w:ascii="Times New Roman" w:hAnsi="Times New Roman" w:cs="Times New Roman"/>
          <w:sz w:val="24"/>
          <w:szCs w:val="24"/>
        </w:rPr>
        <w:t xml:space="preserve"> from the GOR</w:t>
      </w:r>
      <w:r w:rsidR="009168AD">
        <w:rPr>
          <w:rFonts w:ascii="Times New Roman" w:hAnsi="Times New Roman" w:cs="Times New Roman"/>
          <w:sz w:val="24"/>
          <w:szCs w:val="24"/>
        </w:rPr>
        <w:t>T</w:t>
      </w:r>
      <w:r w:rsidR="002A20FE">
        <w:rPr>
          <w:rFonts w:ascii="Times New Roman" w:hAnsi="Times New Roman" w:cs="Times New Roman"/>
          <w:sz w:val="24"/>
          <w:szCs w:val="24"/>
        </w:rPr>
        <w:t>T to NIDCO</w:t>
      </w:r>
      <w:r w:rsidR="004731A3" w:rsidRPr="004731A3">
        <w:rPr>
          <w:rFonts w:ascii="Times New Roman" w:hAnsi="Times New Roman" w:cs="Times New Roman"/>
          <w:sz w:val="24"/>
          <w:szCs w:val="24"/>
        </w:rPr>
        <w:t xml:space="preserve"> based on</w:t>
      </w:r>
      <w:r w:rsidR="005237C7">
        <w:rPr>
          <w:rFonts w:ascii="Times New Roman" w:hAnsi="Times New Roman" w:cs="Times New Roman"/>
          <w:sz w:val="24"/>
          <w:szCs w:val="24"/>
        </w:rPr>
        <w:t xml:space="preserve"> both</w:t>
      </w:r>
      <w:r w:rsidR="004731A3" w:rsidRPr="004731A3">
        <w:rPr>
          <w:rFonts w:ascii="Times New Roman" w:hAnsi="Times New Roman" w:cs="Times New Roman"/>
          <w:sz w:val="24"/>
          <w:szCs w:val="24"/>
        </w:rPr>
        <w:t xml:space="preserve"> the</w:t>
      </w:r>
      <w:r w:rsidR="00E3479F">
        <w:rPr>
          <w:rFonts w:ascii="Times New Roman" w:hAnsi="Times New Roman" w:cs="Times New Roman"/>
          <w:sz w:val="24"/>
          <w:szCs w:val="24"/>
        </w:rPr>
        <w:t xml:space="preserve"> a</w:t>
      </w:r>
      <w:r w:rsidR="004731A3" w:rsidRPr="004731A3">
        <w:rPr>
          <w:rFonts w:ascii="Times New Roman" w:hAnsi="Times New Roman" w:cs="Times New Roman"/>
          <w:sz w:val="24"/>
          <w:szCs w:val="24"/>
        </w:rPr>
        <w:t xml:space="preserve">pproved value of all contracts necessary to accomplish the result for each </w:t>
      </w:r>
      <w:r w:rsidR="00C82DAF">
        <w:rPr>
          <w:rFonts w:ascii="Times New Roman" w:hAnsi="Times New Roman" w:cs="Times New Roman"/>
          <w:sz w:val="24"/>
          <w:szCs w:val="24"/>
        </w:rPr>
        <w:t>project</w:t>
      </w:r>
      <w:r w:rsidR="006B4D78">
        <w:rPr>
          <w:rFonts w:ascii="Times New Roman" w:hAnsi="Times New Roman" w:cs="Times New Roman"/>
          <w:sz w:val="24"/>
          <w:szCs w:val="24"/>
        </w:rPr>
        <w:t xml:space="preserve"> and an</w:t>
      </w:r>
      <w:r w:rsidR="00574B74">
        <w:rPr>
          <w:rFonts w:ascii="Times New Roman" w:hAnsi="Times New Roman" w:cs="Times New Roman"/>
          <w:sz w:val="24"/>
          <w:szCs w:val="24"/>
        </w:rPr>
        <w:t xml:space="preserve"> </w:t>
      </w:r>
      <w:r w:rsidR="006B4D78">
        <w:rPr>
          <w:rFonts w:ascii="Times New Roman" w:hAnsi="Times New Roman" w:cs="Times New Roman"/>
          <w:sz w:val="24"/>
          <w:szCs w:val="24"/>
        </w:rPr>
        <w:t>agreed</w:t>
      </w:r>
      <w:r w:rsidR="00574B74">
        <w:rPr>
          <w:rFonts w:ascii="Times New Roman" w:hAnsi="Times New Roman" w:cs="Times New Roman"/>
          <w:sz w:val="24"/>
          <w:szCs w:val="24"/>
        </w:rPr>
        <w:t xml:space="preserve"> upon</w:t>
      </w:r>
      <w:r w:rsidR="006B4D78">
        <w:rPr>
          <w:rFonts w:ascii="Times New Roman" w:hAnsi="Times New Roman" w:cs="Times New Roman"/>
          <w:sz w:val="24"/>
          <w:szCs w:val="24"/>
        </w:rPr>
        <w:t xml:space="preserve"> tiered structure with the GORTT</w:t>
      </w:r>
      <w:r w:rsidR="00C82DAF">
        <w:rPr>
          <w:rFonts w:ascii="Times New Roman" w:hAnsi="Times New Roman" w:cs="Times New Roman"/>
          <w:sz w:val="24"/>
          <w:szCs w:val="24"/>
        </w:rPr>
        <w:t>;</w:t>
      </w:r>
      <w:r w:rsidR="008375B1">
        <w:rPr>
          <w:rFonts w:ascii="Times New Roman" w:hAnsi="Times New Roman" w:cs="Times New Roman"/>
          <w:sz w:val="24"/>
          <w:szCs w:val="24"/>
        </w:rPr>
        <w:t xml:space="preserve"> t</w:t>
      </w:r>
      <w:r w:rsidR="006B4D78">
        <w:rPr>
          <w:rFonts w:ascii="Times New Roman" w:hAnsi="Times New Roman" w:cs="Times New Roman"/>
          <w:sz w:val="24"/>
          <w:szCs w:val="24"/>
        </w:rPr>
        <w:t>hus,</w:t>
      </w:r>
      <w:r w:rsidR="00C82DAF">
        <w:rPr>
          <w:rFonts w:ascii="Times New Roman" w:hAnsi="Times New Roman" w:cs="Times New Roman"/>
          <w:sz w:val="24"/>
          <w:szCs w:val="24"/>
        </w:rPr>
        <w:t xml:space="preserve"> these</w:t>
      </w:r>
      <w:r w:rsidR="004731A3" w:rsidRPr="004731A3">
        <w:rPr>
          <w:rFonts w:ascii="Times New Roman" w:hAnsi="Times New Roman" w:cs="Times New Roman"/>
          <w:sz w:val="24"/>
          <w:szCs w:val="24"/>
        </w:rPr>
        <w:t xml:space="preserve"> </w:t>
      </w:r>
      <w:r w:rsidR="00C82DAF">
        <w:rPr>
          <w:rFonts w:ascii="Times New Roman" w:hAnsi="Times New Roman" w:cs="Times New Roman"/>
          <w:sz w:val="24"/>
          <w:szCs w:val="24"/>
        </w:rPr>
        <w:t>managements fees are</w:t>
      </w:r>
      <w:r w:rsidR="004731A3" w:rsidRPr="004731A3">
        <w:rPr>
          <w:rFonts w:ascii="Times New Roman" w:hAnsi="Times New Roman" w:cs="Times New Roman"/>
          <w:sz w:val="24"/>
          <w:szCs w:val="24"/>
        </w:rPr>
        <w:t xml:space="preserve"> based on a sliding scale between 2% and 7.5%</w:t>
      </w:r>
      <w:r w:rsidR="006B4D78">
        <w:rPr>
          <w:rFonts w:ascii="Times New Roman" w:hAnsi="Times New Roman" w:cs="Times New Roman"/>
          <w:sz w:val="24"/>
          <w:szCs w:val="24"/>
        </w:rPr>
        <w:t xml:space="preserve"> of the </w:t>
      </w:r>
      <w:r w:rsidR="00064CAE">
        <w:rPr>
          <w:rFonts w:ascii="Times New Roman" w:hAnsi="Times New Roman" w:cs="Times New Roman"/>
          <w:sz w:val="24"/>
          <w:szCs w:val="24"/>
        </w:rPr>
        <w:t xml:space="preserve">sum </w:t>
      </w:r>
      <w:r w:rsidR="006B4D78">
        <w:rPr>
          <w:rFonts w:ascii="Times New Roman" w:hAnsi="Times New Roman" w:cs="Times New Roman"/>
          <w:sz w:val="24"/>
          <w:szCs w:val="24"/>
        </w:rPr>
        <w:t>contract value</w:t>
      </w:r>
      <w:r w:rsidR="00574B74">
        <w:rPr>
          <w:rFonts w:ascii="Times New Roman" w:hAnsi="Times New Roman" w:cs="Times New Roman"/>
          <w:sz w:val="24"/>
          <w:szCs w:val="24"/>
        </w:rPr>
        <w:t xml:space="preserve"> (excluding</w:t>
      </w:r>
      <w:r w:rsidR="00064CAE">
        <w:rPr>
          <w:rFonts w:ascii="Times New Roman" w:hAnsi="Times New Roman" w:cs="Times New Roman"/>
          <w:sz w:val="24"/>
          <w:szCs w:val="24"/>
        </w:rPr>
        <w:t xml:space="preserve"> VAT)</w:t>
      </w:r>
      <w:r w:rsidR="006B4D78">
        <w:rPr>
          <w:rFonts w:ascii="Times New Roman" w:hAnsi="Times New Roman" w:cs="Times New Roman"/>
          <w:sz w:val="24"/>
          <w:szCs w:val="24"/>
        </w:rPr>
        <w:t xml:space="preserve"> of the projects that NIDCO have been awarded, </w:t>
      </w:r>
      <w:r w:rsidR="00574B74">
        <w:rPr>
          <w:rFonts w:ascii="Times New Roman" w:hAnsi="Times New Roman" w:cs="Times New Roman"/>
          <w:sz w:val="24"/>
          <w:szCs w:val="24"/>
        </w:rPr>
        <w:t xml:space="preserve">normally </w:t>
      </w:r>
      <w:r w:rsidR="006B4D78">
        <w:rPr>
          <w:rFonts w:ascii="Times New Roman" w:hAnsi="Times New Roman" w:cs="Times New Roman"/>
          <w:sz w:val="24"/>
          <w:szCs w:val="24"/>
        </w:rPr>
        <w:t>following</w:t>
      </w:r>
      <w:r w:rsidR="00574B74">
        <w:rPr>
          <w:rFonts w:ascii="Times New Roman" w:hAnsi="Times New Roman" w:cs="Times New Roman"/>
          <w:sz w:val="24"/>
          <w:szCs w:val="24"/>
        </w:rPr>
        <w:t xml:space="preserve"> </w:t>
      </w:r>
      <w:r w:rsidR="00064CAE">
        <w:rPr>
          <w:rFonts w:ascii="Times New Roman" w:hAnsi="Times New Roman" w:cs="Times New Roman"/>
          <w:sz w:val="24"/>
          <w:szCs w:val="24"/>
        </w:rPr>
        <w:t>this disbursement schedule</w:t>
      </w:r>
      <w:r w:rsidR="00C5083D" w:rsidRPr="00C5083D">
        <w:rPr>
          <w:rFonts w:ascii="Times New Roman" w:hAnsi="Times New Roman" w:cs="Times New Roman"/>
          <w:sz w:val="24"/>
          <w:szCs w:val="24"/>
        </w:rPr>
        <w:t xml:space="preserve"> </w:t>
      </w:r>
      <w:r w:rsidR="00C5083D">
        <w:rPr>
          <w:rFonts w:ascii="Times New Roman" w:hAnsi="Times New Roman" w:cs="Times New Roman"/>
          <w:sz w:val="24"/>
          <w:szCs w:val="24"/>
        </w:rPr>
        <w:t>of the fee</w:t>
      </w:r>
      <w:r w:rsidR="008D4813">
        <w:rPr>
          <w:rFonts w:ascii="Times New Roman" w:hAnsi="Times New Roman" w:cs="Times New Roman"/>
          <w:sz w:val="24"/>
          <w:szCs w:val="24"/>
        </w:rPr>
        <w:t>,</w:t>
      </w:r>
      <w:r w:rsidR="00C5083D">
        <w:rPr>
          <w:rFonts w:ascii="Times New Roman" w:hAnsi="Times New Roman" w:cs="Times New Roman"/>
          <w:sz w:val="24"/>
          <w:szCs w:val="24"/>
        </w:rPr>
        <w:t xml:space="preserve"> previously</w:t>
      </w:r>
      <w:r w:rsidR="003A4572">
        <w:rPr>
          <w:rFonts w:ascii="Times New Roman" w:hAnsi="Times New Roman" w:cs="Times New Roman"/>
          <w:sz w:val="24"/>
          <w:szCs w:val="24"/>
        </w:rPr>
        <w:t xml:space="preserve"> agreed</w:t>
      </w:r>
      <w:r w:rsidR="00574B74">
        <w:rPr>
          <w:rFonts w:ascii="Times New Roman" w:hAnsi="Times New Roman" w:cs="Times New Roman"/>
          <w:sz w:val="24"/>
          <w:szCs w:val="24"/>
        </w:rPr>
        <w:t xml:space="preserve"> upon</w:t>
      </w:r>
      <w:r w:rsidR="003A4572">
        <w:rPr>
          <w:rFonts w:ascii="Times New Roman" w:hAnsi="Times New Roman" w:cs="Times New Roman"/>
          <w:sz w:val="24"/>
          <w:szCs w:val="24"/>
        </w:rPr>
        <w:t xml:space="preserve"> with the GORTT</w:t>
      </w:r>
      <w:r w:rsidR="00064CAE">
        <w:rPr>
          <w:rFonts w:ascii="Times New Roman" w:hAnsi="Times New Roman" w:cs="Times New Roman"/>
          <w:sz w:val="24"/>
          <w:szCs w:val="24"/>
        </w:rPr>
        <w:t>:</w:t>
      </w:r>
    </w:p>
    <w:p w:rsidR="00064CAE" w:rsidRDefault="00C765D3" w:rsidP="009C1055">
      <w:pPr>
        <w:spacing w:line="240" w:lineRule="auto"/>
        <w:jc w:val="center"/>
        <w:rPr>
          <w:rFonts w:ascii="Times New Roman" w:hAnsi="Times New Roman" w:cs="Times New Roman"/>
          <w:sz w:val="24"/>
          <w:szCs w:val="24"/>
        </w:rPr>
      </w:pPr>
      <w:r w:rsidRPr="00C765D3">
        <w:rPr>
          <w:noProof/>
        </w:rPr>
        <w:drawing>
          <wp:inline distT="0" distB="0" distL="0" distR="0" wp14:anchorId="2E889F22" wp14:editId="4A4DACCC">
            <wp:extent cx="4457700" cy="115146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57700" cy="1151468"/>
                    </a:xfrm>
                    <a:prstGeom prst="rect">
                      <a:avLst/>
                    </a:prstGeom>
                    <a:noFill/>
                    <a:ln>
                      <a:noFill/>
                    </a:ln>
                  </pic:spPr>
                </pic:pic>
              </a:graphicData>
            </a:graphic>
          </wp:inline>
        </w:drawing>
      </w:r>
    </w:p>
    <w:p w:rsidR="008D4813" w:rsidRDefault="00574B74" w:rsidP="004731A3">
      <w:pPr>
        <w:spacing w:line="240" w:lineRule="auto"/>
        <w:jc w:val="both"/>
        <w:rPr>
          <w:rFonts w:ascii="Times New Roman" w:hAnsi="Times New Roman" w:cs="Times New Roman"/>
          <w:sz w:val="24"/>
          <w:szCs w:val="24"/>
        </w:rPr>
      </w:pPr>
      <w:r>
        <w:rPr>
          <w:rFonts w:ascii="Times New Roman" w:hAnsi="Times New Roman" w:cs="Times New Roman"/>
          <w:sz w:val="24"/>
          <w:szCs w:val="24"/>
        </w:rPr>
        <w:t>The e</w:t>
      </w:r>
      <w:r w:rsidR="0072401F">
        <w:rPr>
          <w:rFonts w:ascii="Times New Roman" w:hAnsi="Times New Roman" w:cs="Times New Roman"/>
          <w:sz w:val="24"/>
          <w:szCs w:val="24"/>
        </w:rPr>
        <w:t>stimated fee would be based on the agreed percentage of each contract sum (</w:t>
      </w:r>
      <w:r>
        <w:rPr>
          <w:rFonts w:ascii="Times New Roman" w:hAnsi="Times New Roman" w:cs="Times New Roman"/>
          <w:sz w:val="24"/>
          <w:szCs w:val="24"/>
        </w:rPr>
        <w:t>excluding</w:t>
      </w:r>
      <w:r w:rsidR="0072401F">
        <w:rPr>
          <w:rFonts w:ascii="Times New Roman" w:hAnsi="Times New Roman" w:cs="Times New Roman"/>
          <w:sz w:val="24"/>
          <w:szCs w:val="24"/>
        </w:rPr>
        <w:t xml:space="preserve"> VAT). The Actual fee would be the agreed percentage</w:t>
      </w:r>
      <w:r>
        <w:rPr>
          <w:rFonts w:ascii="Times New Roman" w:hAnsi="Times New Roman" w:cs="Times New Roman"/>
          <w:sz w:val="24"/>
          <w:szCs w:val="24"/>
        </w:rPr>
        <w:t xml:space="preserve"> of the final project cost (excluding</w:t>
      </w:r>
      <w:r w:rsidR="0072401F">
        <w:rPr>
          <w:rFonts w:ascii="Times New Roman" w:hAnsi="Times New Roman" w:cs="Times New Roman"/>
          <w:sz w:val="24"/>
          <w:szCs w:val="24"/>
        </w:rPr>
        <w:t xml:space="preserve"> VAT).</w:t>
      </w:r>
    </w:p>
    <w:p w:rsidR="0093798A" w:rsidRDefault="00C5083D" w:rsidP="004731A3">
      <w:pPr>
        <w:spacing w:line="240" w:lineRule="auto"/>
        <w:jc w:val="both"/>
        <w:rPr>
          <w:rFonts w:ascii="Times New Roman" w:hAnsi="Times New Roman" w:cs="Times New Roman"/>
          <w:sz w:val="24"/>
          <w:szCs w:val="24"/>
          <w:u w:val="single"/>
        </w:rPr>
      </w:pPr>
      <w:r>
        <w:rPr>
          <w:rFonts w:ascii="Times New Roman" w:hAnsi="Times New Roman" w:cs="Times New Roman"/>
          <w:sz w:val="24"/>
          <w:szCs w:val="24"/>
        </w:rPr>
        <w:t>The other ope</w:t>
      </w:r>
      <w:r w:rsidR="00442C95">
        <w:rPr>
          <w:rFonts w:ascii="Times New Roman" w:hAnsi="Times New Roman" w:cs="Times New Roman"/>
          <w:sz w:val="24"/>
          <w:szCs w:val="24"/>
        </w:rPr>
        <w:t xml:space="preserve">rating revenue stream includes the </w:t>
      </w:r>
      <w:r w:rsidR="00442C95" w:rsidRPr="00442C95">
        <w:rPr>
          <w:rFonts w:ascii="Times New Roman" w:hAnsi="Times New Roman" w:cs="Times New Roman"/>
          <w:sz w:val="24"/>
          <w:szCs w:val="24"/>
          <w:u w:val="single"/>
        </w:rPr>
        <w:t>Tender Fees</w:t>
      </w:r>
      <w:r w:rsidR="00442C95">
        <w:rPr>
          <w:rFonts w:ascii="Times New Roman" w:hAnsi="Times New Roman" w:cs="Times New Roman"/>
          <w:sz w:val="24"/>
          <w:szCs w:val="24"/>
        </w:rPr>
        <w:t xml:space="preserve"> (fees paid by the contractors to NIDCO when they submit offers for infrastructure projects that NIDCO </w:t>
      </w:r>
      <w:r w:rsidR="00C14C4D">
        <w:rPr>
          <w:rFonts w:ascii="Times New Roman" w:hAnsi="Times New Roman" w:cs="Times New Roman"/>
          <w:sz w:val="24"/>
          <w:szCs w:val="24"/>
        </w:rPr>
        <w:t>will manage, and usually based o</w:t>
      </w:r>
      <w:r w:rsidR="00442C95">
        <w:rPr>
          <w:rFonts w:ascii="Times New Roman" w:hAnsi="Times New Roman" w:cs="Times New Roman"/>
          <w:sz w:val="24"/>
          <w:szCs w:val="24"/>
        </w:rPr>
        <w:t xml:space="preserve">n a lump sum paid at the moment </w:t>
      </w:r>
      <w:r w:rsidR="00924F10">
        <w:rPr>
          <w:rFonts w:ascii="Times New Roman" w:hAnsi="Times New Roman" w:cs="Times New Roman"/>
          <w:sz w:val="24"/>
          <w:szCs w:val="24"/>
        </w:rPr>
        <w:t>of the</w:t>
      </w:r>
      <w:r w:rsidR="00442C95">
        <w:rPr>
          <w:rFonts w:ascii="Times New Roman" w:hAnsi="Times New Roman" w:cs="Times New Roman"/>
          <w:sz w:val="24"/>
          <w:szCs w:val="24"/>
        </w:rPr>
        <w:t xml:space="preserve"> submi</w:t>
      </w:r>
      <w:r w:rsidR="00924F10">
        <w:rPr>
          <w:rFonts w:ascii="Times New Roman" w:hAnsi="Times New Roman" w:cs="Times New Roman"/>
          <w:sz w:val="24"/>
          <w:szCs w:val="24"/>
        </w:rPr>
        <w:t>ssion</w:t>
      </w:r>
      <w:r w:rsidR="00442C95">
        <w:rPr>
          <w:rFonts w:ascii="Times New Roman" w:hAnsi="Times New Roman" w:cs="Times New Roman"/>
          <w:sz w:val="24"/>
          <w:szCs w:val="24"/>
        </w:rPr>
        <w:t xml:space="preserve"> </w:t>
      </w:r>
      <w:r w:rsidR="00924F10">
        <w:rPr>
          <w:rFonts w:ascii="Times New Roman" w:hAnsi="Times New Roman" w:cs="Times New Roman"/>
          <w:sz w:val="24"/>
          <w:szCs w:val="24"/>
        </w:rPr>
        <w:t>of</w:t>
      </w:r>
      <w:r w:rsidR="00442C95">
        <w:rPr>
          <w:rFonts w:ascii="Times New Roman" w:hAnsi="Times New Roman" w:cs="Times New Roman"/>
          <w:sz w:val="24"/>
          <w:szCs w:val="24"/>
        </w:rPr>
        <w:t xml:space="preserve"> </w:t>
      </w:r>
      <w:r w:rsidR="00924F10">
        <w:rPr>
          <w:rFonts w:ascii="Times New Roman" w:hAnsi="Times New Roman" w:cs="Times New Roman"/>
          <w:sz w:val="24"/>
          <w:szCs w:val="24"/>
        </w:rPr>
        <w:t>bids</w:t>
      </w:r>
      <w:r w:rsidR="00442C95">
        <w:rPr>
          <w:rFonts w:ascii="Times New Roman" w:hAnsi="Times New Roman" w:cs="Times New Roman"/>
          <w:sz w:val="24"/>
          <w:szCs w:val="24"/>
        </w:rPr>
        <w:t xml:space="preserve"> to NIDCO</w:t>
      </w:r>
      <w:r w:rsidR="005D28D5">
        <w:rPr>
          <w:rFonts w:ascii="Times New Roman" w:hAnsi="Times New Roman" w:cs="Times New Roman"/>
          <w:sz w:val="24"/>
          <w:szCs w:val="24"/>
        </w:rPr>
        <w:t>. Revenue is recognized upon sale of tender packages</w:t>
      </w:r>
      <w:r w:rsidR="00442C95">
        <w:rPr>
          <w:rFonts w:ascii="Times New Roman" w:hAnsi="Times New Roman" w:cs="Times New Roman"/>
          <w:sz w:val="24"/>
          <w:szCs w:val="24"/>
        </w:rPr>
        <w:t xml:space="preserve">) and </w:t>
      </w:r>
      <w:r w:rsidR="00442C95" w:rsidRPr="00442C95">
        <w:rPr>
          <w:rFonts w:ascii="Times New Roman" w:hAnsi="Times New Roman" w:cs="Times New Roman"/>
          <w:sz w:val="24"/>
          <w:szCs w:val="24"/>
          <w:u w:val="single"/>
        </w:rPr>
        <w:t xml:space="preserve">other </w:t>
      </w:r>
      <w:r w:rsidR="006E49D4">
        <w:rPr>
          <w:rFonts w:ascii="Times New Roman" w:hAnsi="Times New Roman" w:cs="Times New Roman"/>
          <w:sz w:val="24"/>
          <w:szCs w:val="24"/>
          <w:u w:val="single"/>
        </w:rPr>
        <w:t xml:space="preserve">operating </w:t>
      </w:r>
      <w:r w:rsidR="00442C95" w:rsidRPr="00442C95">
        <w:rPr>
          <w:rFonts w:ascii="Times New Roman" w:hAnsi="Times New Roman" w:cs="Times New Roman"/>
          <w:sz w:val="24"/>
          <w:szCs w:val="24"/>
          <w:u w:val="single"/>
        </w:rPr>
        <w:t>Incomes.</w:t>
      </w:r>
    </w:p>
    <w:p w:rsidR="006E49D4" w:rsidRDefault="006A3334" w:rsidP="004731A3">
      <w:pPr>
        <w:spacing w:line="240" w:lineRule="auto"/>
        <w:jc w:val="both"/>
        <w:rPr>
          <w:rFonts w:ascii="Times New Roman" w:hAnsi="Times New Roman" w:cs="Times New Roman"/>
          <w:sz w:val="24"/>
          <w:szCs w:val="24"/>
        </w:rPr>
      </w:pPr>
      <w:r>
        <w:rPr>
          <w:rFonts w:ascii="Times New Roman" w:hAnsi="Times New Roman" w:cs="Times New Roman"/>
          <w:sz w:val="24"/>
          <w:szCs w:val="24"/>
        </w:rPr>
        <w:t>Globally, t</w:t>
      </w:r>
      <w:r w:rsidR="008923F2" w:rsidRPr="00FB7CB5">
        <w:rPr>
          <w:rFonts w:ascii="Times New Roman" w:hAnsi="Times New Roman" w:cs="Times New Roman"/>
          <w:sz w:val="24"/>
          <w:szCs w:val="24"/>
        </w:rPr>
        <w:t>hroughout</w:t>
      </w:r>
      <w:r>
        <w:rPr>
          <w:rFonts w:ascii="Times New Roman" w:hAnsi="Times New Roman" w:cs="Times New Roman"/>
          <w:sz w:val="24"/>
          <w:szCs w:val="24"/>
        </w:rPr>
        <w:t xml:space="preserve"> the 2010-2012</w:t>
      </w:r>
      <w:r w:rsidR="008923F2">
        <w:rPr>
          <w:rFonts w:ascii="Times New Roman" w:hAnsi="Times New Roman" w:cs="Times New Roman"/>
          <w:sz w:val="24"/>
          <w:szCs w:val="24"/>
        </w:rPr>
        <w:t xml:space="preserve"> </w:t>
      </w:r>
      <w:r w:rsidR="00C14C4D">
        <w:rPr>
          <w:rFonts w:ascii="Times New Roman" w:hAnsi="Times New Roman" w:cs="Times New Roman"/>
          <w:sz w:val="24"/>
          <w:szCs w:val="24"/>
        </w:rPr>
        <w:t xml:space="preserve">period </w:t>
      </w:r>
      <w:r w:rsidR="008923F2">
        <w:rPr>
          <w:rFonts w:ascii="Times New Roman" w:hAnsi="Times New Roman" w:cs="Times New Roman"/>
          <w:sz w:val="24"/>
          <w:szCs w:val="24"/>
        </w:rPr>
        <w:t>a</w:t>
      </w:r>
      <w:r w:rsidR="008E45EE">
        <w:rPr>
          <w:rFonts w:ascii="Times New Roman" w:hAnsi="Times New Roman" w:cs="Times New Roman"/>
          <w:sz w:val="24"/>
          <w:szCs w:val="24"/>
        </w:rPr>
        <w:t>ll these operating revenues</w:t>
      </w:r>
      <w:r w:rsidR="00021F52">
        <w:rPr>
          <w:rFonts w:ascii="Times New Roman" w:hAnsi="Times New Roman" w:cs="Times New Roman"/>
          <w:sz w:val="24"/>
          <w:szCs w:val="24"/>
        </w:rPr>
        <w:t xml:space="preserve"> of the company</w:t>
      </w:r>
      <w:r w:rsidR="008923F2" w:rsidRPr="008923F2">
        <w:t xml:space="preserve"> </w:t>
      </w:r>
      <w:r w:rsidR="008923F2" w:rsidRPr="008923F2">
        <w:rPr>
          <w:rFonts w:ascii="Times New Roman" w:hAnsi="Times New Roman" w:cs="Times New Roman"/>
          <w:sz w:val="24"/>
          <w:szCs w:val="24"/>
        </w:rPr>
        <w:t>have</w:t>
      </w:r>
      <w:r w:rsidR="008923F2">
        <w:rPr>
          <w:rFonts w:ascii="Times New Roman" w:hAnsi="Times New Roman" w:cs="Times New Roman"/>
          <w:sz w:val="24"/>
          <w:szCs w:val="24"/>
        </w:rPr>
        <w:t xml:space="preserve"> reached an average value of </w:t>
      </w:r>
      <w:r w:rsidR="00A770EF">
        <w:rPr>
          <w:rFonts w:ascii="Times New Roman" w:hAnsi="Times New Roman" w:cs="Times New Roman"/>
          <w:sz w:val="24"/>
          <w:szCs w:val="24"/>
        </w:rPr>
        <w:t>US$</w:t>
      </w:r>
      <w:r w:rsidR="008923F2">
        <w:rPr>
          <w:rFonts w:ascii="Times New Roman" w:hAnsi="Times New Roman" w:cs="Times New Roman"/>
          <w:sz w:val="24"/>
          <w:szCs w:val="24"/>
        </w:rPr>
        <w:t>6</w:t>
      </w:r>
      <w:r w:rsidR="008923F2" w:rsidRPr="008923F2">
        <w:rPr>
          <w:rFonts w:ascii="Times New Roman" w:hAnsi="Times New Roman" w:cs="Times New Roman"/>
          <w:sz w:val="24"/>
          <w:szCs w:val="24"/>
        </w:rPr>
        <w:t xml:space="preserve"> million</w:t>
      </w:r>
      <w:r w:rsidR="008923F2">
        <w:rPr>
          <w:rFonts w:ascii="Times New Roman" w:hAnsi="Times New Roman" w:cs="Times New Roman"/>
          <w:sz w:val="24"/>
          <w:szCs w:val="24"/>
        </w:rPr>
        <w:t xml:space="preserve">, with a significant </w:t>
      </w:r>
      <w:r w:rsidR="006E431F">
        <w:rPr>
          <w:rFonts w:ascii="Times New Roman" w:hAnsi="Times New Roman" w:cs="Times New Roman"/>
          <w:sz w:val="24"/>
          <w:szCs w:val="24"/>
        </w:rPr>
        <w:t>escalation</w:t>
      </w:r>
      <w:r w:rsidR="008923F2">
        <w:rPr>
          <w:rFonts w:ascii="Times New Roman" w:hAnsi="Times New Roman" w:cs="Times New Roman"/>
          <w:sz w:val="24"/>
          <w:szCs w:val="24"/>
        </w:rPr>
        <w:t xml:space="preserve"> in year 2011 of 130.8% due to the increas</w:t>
      </w:r>
      <w:r w:rsidR="00FF4BAC">
        <w:rPr>
          <w:rFonts w:ascii="Times New Roman" w:hAnsi="Times New Roman" w:cs="Times New Roman"/>
          <w:sz w:val="24"/>
          <w:szCs w:val="24"/>
        </w:rPr>
        <w:t>e of</w:t>
      </w:r>
      <w:r w:rsidR="008923F2">
        <w:rPr>
          <w:rFonts w:ascii="Times New Roman" w:hAnsi="Times New Roman" w:cs="Times New Roman"/>
          <w:sz w:val="24"/>
          <w:szCs w:val="24"/>
        </w:rPr>
        <w:t xml:space="preserve"> the management fees in that year.</w:t>
      </w:r>
      <w:r w:rsidR="00AC53B2">
        <w:rPr>
          <w:rFonts w:ascii="Times New Roman" w:hAnsi="Times New Roman" w:cs="Times New Roman"/>
          <w:sz w:val="24"/>
          <w:szCs w:val="24"/>
        </w:rPr>
        <w:t xml:space="preserve"> </w:t>
      </w:r>
    </w:p>
    <w:p w:rsidR="009A74F7" w:rsidRDefault="00AC53B2" w:rsidP="004731A3">
      <w:pPr>
        <w:spacing w:line="240" w:lineRule="auto"/>
        <w:jc w:val="both"/>
        <w:rPr>
          <w:rFonts w:ascii="Times New Roman" w:hAnsi="Times New Roman" w:cs="Times New Roman"/>
          <w:sz w:val="24"/>
          <w:szCs w:val="24"/>
        </w:rPr>
      </w:pPr>
      <w:r w:rsidRPr="00AC53B2">
        <w:rPr>
          <w:rFonts w:ascii="Times New Roman" w:hAnsi="Times New Roman" w:cs="Times New Roman"/>
          <w:i/>
          <w:sz w:val="24"/>
          <w:szCs w:val="24"/>
        </w:rPr>
        <w:t>Operational Expenses.</w:t>
      </w:r>
      <w:r w:rsidR="0082769C">
        <w:rPr>
          <w:rFonts w:ascii="Times New Roman" w:hAnsi="Times New Roman" w:cs="Times New Roman"/>
          <w:sz w:val="24"/>
          <w:szCs w:val="24"/>
        </w:rPr>
        <w:t xml:space="preserve"> </w:t>
      </w:r>
      <w:r w:rsidR="00715379" w:rsidRPr="00FB7CB5">
        <w:rPr>
          <w:rFonts w:ascii="Times New Roman" w:hAnsi="Times New Roman" w:cs="Times New Roman"/>
          <w:sz w:val="24"/>
          <w:szCs w:val="24"/>
        </w:rPr>
        <w:t>Throughout</w:t>
      </w:r>
      <w:r w:rsidR="00715379">
        <w:rPr>
          <w:rFonts w:ascii="Times New Roman" w:hAnsi="Times New Roman" w:cs="Times New Roman"/>
          <w:sz w:val="24"/>
          <w:szCs w:val="24"/>
        </w:rPr>
        <w:t xml:space="preserve"> the 2010</w:t>
      </w:r>
      <w:r w:rsidR="00715379" w:rsidRPr="00FB7CB5">
        <w:rPr>
          <w:rFonts w:ascii="Times New Roman" w:hAnsi="Times New Roman" w:cs="Times New Roman"/>
          <w:sz w:val="24"/>
          <w:szCs w:val="24"/>
        </w:rPr>
        <w:t>-201</w:t>
      </w:r>
      <w:r w:rsidR="00715379">
        <w:rPr>
          <w:rFonts w:ascii="Times New Roman" w:hAnsi="Times New Roman" w:cs="Times New Roman"/>
          <w:sz w:val="24"/>
          <w:szCs w:val="24"/>
        </w:rPr>
        <w:t>2</w:t>
      </w:r>
      <w:r w:rsidR="00C14C4D">
        <w:rPr>
          <w:rFonts w:ascii="Times New Roman" w:hAnsi="Times New Roman" w:cs="Times New Roman"/>
          <w:sz w:val="24"/>
          <w:szCs w:val="24"/>
        </w:rPr>
        <w:t xml:space="preserve"> </w:t>
      </w:r>
      <w:r w:rsidR="00903325">
        <w:rPr>
          <w:rFonts w:ascii="Times New Roman" w:hAnsi="Times New Roman" w:cs="Times New Roman"/>
          <w:sz w:val="24"/>
          <w:szCs w:val="24"/>
        </w:rPr>
        <w:t>periods</w:t>
      </w:r>
      <w:r w:rsidR="00715379" w:rsidRPr="00FB7CB5">
        <w:rPr>
          <w:rFonts w:ascii="Times New Roman" w:hAnsi="Times New Roman" w:cs="Times New Roman"/>
          <w:sz w:val="24"/>
          <w:szCs w:val="24"/>
        </w:rPr>
        <w:t xml:space="preserve">, the </w:t>
      </w:r>
      <w:r w:rsidR="00715379" w:rsidRPr="00715379">
        <w:rPr>
          <w:rFonts w:ascii="Times New Roman" w:hAnsi="Times New Roman" w:cs="Times New Roman"/>
          <w:sz w:val="24"/>
          <w:szCs w:val="24"/>
        </w:rPr>
        <w:t>operating costs</w:t>
      </w:r>
      <w:r w:rsidR="004C772E">
        <w:rPr>
          <w:rFonts w:ascii="Times New Roman" w:hAnsi="Times New Roman" w:cs="Times New Roman"/>
          <w:sz w:val="24"/>
          <w:szCs w:val="24"/>
        </w:rPr>
        <w:t xml:space="preserve"> of NIDCO</w:t>
      </w:r>
      <w:r w:rsidR="00715379" w:rsidRPr="00FB7CB5">
        <w:rPr>
          <w:rFonts w:ascii="Times New Roman" w:hAnsi="Times New Roman" w:cs="Times New Roman"/>
          <w:sz w:val="24"/>
          <w:szCs w:val="24"/>
        </w:rPr>
        <w:t xml:space="preserve"> have reached an average of </w:t>
      </w:r>
      <w:r w:rsidR="00A770EF">
        <w:rPr>
          <w:rFonts w:ascii="Times New Roman" w:hAnsi="Times New Roman" w:cs="Times New Roman"/>
          <w:sz w:val="24"/>
          <w:szCs w:val="24"/>
        </w:rPr>
        <w:t>US$</w:t>
      </w:r>
      <w:r w:rsidR="00715379">
        <w:rPr>
          <w:rFonts w:ascii="Times New Roman" w:hAnsi="Times New Roman" w:cs="Times New Roman"/>
          <w:sz w:val="24"/>
          <w:szCs w:val="24"/>
        </w:rPr>
        <w:t>5.5</w:t>
      </w:r>
      <w:r w:rsidR="00715379" w:rsidRPr="00FB7CB5">
        <w:rPr>
          <w:rFonts w:ascii="Times New Roman" w:hAnsi="Times New Roman" w:cs="Times New Roman"/>
          <w:sz w:val="24"/>
          <w:szCs w:val="24"/>
        </w:rPr>
        <w:t xml:space="preserve"> million</w:t>
      </w:r>
      <w:r w:rsidR="00715379">
        <w:rPr>
          <w:rFonts w:ascii="Times New Roman" w:hAnsi="Times New Roman" w:cs="Times New Roman"/>
          <w:sz w:val="24"/>
          <w:szCs w:val="24"/>
        </w:rPr>
        <w:t>, with an average increase of 35.1% in that period.</w:t>
      </w:r>
      <w:r w:rsidR="00D3369E">
        <w:rPr>
          <w:rFonts w:ascii="Times New Roman" w:hAnsi="Times New Roman" w:cs="Times New Roman"/>
          <w:sz w:val="24"/>
          <w:szCs w:val="24"/>
        </w:rPr>
        <w:t xml:space="preserve"> </w:t>
      </w:r>
      <w:r w:rsidR="00707491" w:rsidRPr="00482849">
        <w:rPr>
          <w:rFonts w:ascii="Times New Roman" w:hAnsi="Times New Roman" w:cs="Times New Roman"/>
          <w:sz w:val="24"/>
          <w:szCs w:val="24"/>
          <w:u w:val="single"/>
        </w:rPr>
        <w:t>A</w:t>
      </w:r>
      <w:r w:rsidR="00D3369E" w:rsidRPr="00482849">
        <w:rPr>
          <w:rFonts w:ascii="Times New Roman" w:hAnsi="Times New Roman" w:cs="Times New Roman"/>
          <w:sz w:val="24"/>
          <w:szCs w:val="24"/>
          <w:u w:val="single"/>
        </w:rPr>
        <w:t>dm</w:t>
      </w:r>
      <w:r w:rsidR="00D3369E" w:rsidRPr="004C772E">
        <w:rPr>
          <w:rFonts w:ascii="Times New Roman" w:hAnsi="Times New Roman" w:cs="Times New Roman"/>
          <w:sz w:val="24"/>
          <w:szCs w:val="24"/>
          <w:u w:val="single"/>
        </w:rPr>
        <w:t>inistrative expenses</w:t>
      </w:r>
      <w:r w:rsidR="00D3369E">
        <w:rPr>
          <w:rFonts w:ascii="Times New Roman" w:hAnsi="Times New Roman" w:cs="Times New Roman"/>
          <w:sz w:val="24"/>
          <w:szCs w:val="24"/>
        </w:rPr>
        <w:t xml:space="preserve"> are</w:t>
      </w:r>
      <w:r w:rsidR="00707491">
        <w:rPr>
          <w:rFonts w:ascii="Times New Roman" w:hAnsi="Times New Roman" w:cs="Times New Roman"/>
          <w:sz w:val="24"/>
          <w:szCs w:val="24"/>
        </w:rPr>
        <w:t xml:space="preserve"> divided in the following cost distribution in the last year closed</w:t>
      </w:r>
      <w:r w:rsidR="00A770EF">
        <w:rPr>
          <w:rFonts w:ascii="Times New Roman" w:hAnsi="Times New Roman" w:cs="Times New Roman"/>
          <w:sz w:val="24"/>
          <w:szCs w:val="24"/>
        </w:rPr>
        <w:t>: i) s</w:t>
      </w:r>
      <w:r w:rsidR="00712E63">
        <w:rPr>
          <w:rFonts w:ascii="Times New Roman" w:hAnsi="Times New Roman" w:cs="Times New Roman"/>
          <w:sz w:val="24"/>
          <w:szCs w:val="24"/>
        </w:rPr>
        <w:t xml:space="preserve">taff cost (represents </w:t>
      </w:r>
      <w:r w:rsidR="00D3369E">
        <w:rPr>
          <w:rFonts w:ascii="Times New Roman" w:hAnsi="Times New Roman" w:cs="Times New Roman"/>
          <w:sz w:val="24"/>
          <w:szCs w:val="24"/>
        </w:rPr>
        <w:t>74% of the</w:t>
      </w:r>
      <w:r w:rsidR="00A770EF">
        <w:rPr>
          <w:rFonts w:ascii="Times New Roman" w:hAnsi="Times New Roman" w:cs="Times New Roman"/>
          <w:sz w:val="24"/>
          <w:szCs w:val="24"/>
        </w:rPr>
        <w:t xml:space="preserve"> administrative expenses); ii) r</w:t>
      </w:r>
      <w:r w:rsidR="004C772E">
        <w:rPr>
          <w:rFonts w:ascii="Times New Roman" w:hAnsi="Times New Roman" w:cs="Times New Roman"/>
          <w:sz w:val="24"/>
          <w:szCs w:val="24"/>
        </w:rPr>
        <w:t xml:space="preserve">ental cost (represents 18% of the </w:t>
      </w:r>
      <w:r w:rsidR="00A770EF">
        <w:rPr>
          <w:rFonts w:ascii="Times New Roman" w:hAnsi="Times New Roman" w:cs="Times New Roman"/>
          <w:sz w:val="24"/>
          <w:szCs w:val="24"/>
        </w:rPr>
        <w:t>administrative expenses); iii) l</w:t>
      </w:r>
      <w:r w:rsidR="004C772E">
        <w:rPr>
          <w:rFonts w:ascii="Times New Roman" w:hAnsi="Times New Roman" w:cs="Times New Roman"/>
          <w:sz w:val="24"/>
          <w:szCs w:val="24"/>
        </w:rPr>
        <w:t xml:space="preserve">egal, professional and consultancy services costs (represents 7% </w:t>
      </w:r>
      <w:r w:rsidR="00A770EF">
        <w:rPr>
          <w:rFonts w:ascii="Times New Roman" w:hAnsi="Times New Roman" w:cs="Times New Roman"/>
          <w:sz w:val="24"/>
          <w:szCs w:val="24"/>
        </w:rPr>
        <w:t>of the administrative expenses);</w:t>
      </w:r>
      <w:r w:rsidR="004C772E">
        <w:rPr>
          <w:rFonts w:ascii="Times New Roman" w:hAnsi="Times New Roman" w:cs="Times New Roman"/>
          <w:sz w:val="24"/>
          <w:szCs w:val="24"/>
        </w:rPr>
        <w:t xml:space="preserve"> and </w:t>
      </w:r>
      <w:r w:rsidR="006217B5">
        <w:rPr>
          <w:rFonts w:ascii="Times New Roman" w:hAnsi="Times New Roman" w:cs="Times New Roman"/>
          <w:sz w:val="24"/>
          <w:szCs w:val="24"/>
        </w:rPr>
        <w:t>iv)</w:t>
      </w:r>
      <w:r w:rsidR="00C14C4D">
        <w:rPr>
          <w:rFonts w:ascii="Times New Roman" w:hAnsi="Times New Roman" w:cs="Times New Roman"/>
          <w:sz w:val="24"/>
          <w:szCs w:val="24"/>
        </w:rPr>
        <w:t xml:space="preserve"> </w:t>
      </w:r>
      <w:r w:rsidR="004C772E">
        <w:rPr>
          <w:rFonts w:ascii="Times New Roman" w:hAnsi="Times New Roman" w:cs="Times New Roman"/>
          <w:sz w:val="24"/>
          <w:szCs w:val="24"/>
        </w:rPr>
        <w:t>Director fee</w:t>
      </w:r>
      <w:r w:rsidR="00C14C4D">
        <w:rPr>
          <w:rFonts w:ascii="Times New Roman" w:hAnsi="Times New Roman" w:cs="Times New Roman"/>
          <w:sz w:val="24"/>
          <w:szCs w:val="24"/>
        </w:rPr>
        <w:t xml:space="preserve">s costs (represents </w:t>
      </w:r>
      <w:r w:rsidR="004C772E">
        <w:rPr>
          <w:rFonts w:ascii="Times New Roman" w:hAnsi="Times New Roman" w:cs="Times New Roman"/>
          <w:sz w:val="24"/>
          <w:szCs w:val="24"/>
        </w:rPr>
        <w:t>1% of the administrative expenses).</w:t>
      </w:r>
      <w:r w:rsidR="006217B5">
        <w:rPr>
          <w:rFonts w:ascii="Times New Roman" w:hAnsi="Times New Roman" w:cs="Times New Roman"/>
          <w:sz w:val="24"/>
          <w:szCs w:val="24"/>
        </w:rPr>
        <w:t xml:space="preserve"> </w:t>
      </w:r>
      <w:r w:rsidR="006217B5" w:rsidRPr="006217B5">
        <w:rPr>
          <w:rFonts w:ascii="Times New Roman" w:hAnsi="Times New Roman" w:cs="Times New Roman"/>
          <w:sz w:val="24"/>
          <w:szCs w:val="24"/>
          <w:u w:val="single"/>
        </w:rPr>
        <w:t>Other Expenses</w:t>
      </w:r>
      <w:r w:rsidR="006217B5">
        <w:rPr>
          <w:rFonts w:ascii="Times New Roman" w:hAnsi="Times New Roman" w:cs="Times New Roman"/>
          <w:sz w:val="24"/>
          <w:szCs w:val="24"/>
          <w:u w:val="single"/>
        </w:rPr>
        <w:t xml:space="preserve"> </w:t>
      </w:r>
      <w:r w:rsidR="006217B5" w:rsidRPr="006217B5">
        <w:rPr>
          <w:rFonts w:ascii="Times New Roman" w:hAnsi="Times New Roman" w:cs="Times New Roman"/>
          <w:sz w:val="24"/>
          <w:szCs w:val="24"/>
        </w:rPr>
        <w:t>item</w:t>
      </w:r>
      <w:r w:rsidR="00F522A9">
        <w:rPr>
          <w:rFonts w:ascii="Times New Roman" w:hAnsi="Times New Roman" w:cs="Times New Roman"/>
          <w:sz w:val="24"/>
          <w:szCs w:val="24"/>
        </w:rPr>
        <w:t>s</w:t>
      </w:r>
      <w:r w:rsidR="00533CF6">
        <w:rPr>
          <w:rFonts w:ascii="Times New Roman" w:hAnsi="Times New Roman" w:cs="Times New Roman"/>
          <w:sz w:val="24"/>
          <w:szCs w:val="24"/>
        </w:rPr>
        <w:t xml:space="preserve"> </w:t>
      </w:r>
      <w:r w:rsidR="00C14C4D">
        <w:rPr>
          <w:rFonts w:ascii="Times New Roman" w:hAnsi="Times New Roman" w:cs="Times New Roman"/>
          <w:sz w:val="24"/>
          <w:szCs w:val="24"/>
        </w:rPr>
        <w:t>consists mainly</w:t>
      </w:r>
      <w:r w:rsidR="00533CF6">
        <w:rPr>
          <w:rFonts w:ascii="Times New Roman" w:hAnsi="Times New Roman" w:cs="Times New Roman"/>
          <w:sz w:val="24"/>
          <w:szCs w:val="24"/>
        </w:rPr>
        <w:t xml:space="preserve"> </w:t>
      </w:r>
      <w:r w:rsidR="00C14C4D">
        <w:rPr>
          <w:rFonts w:ascii="Times New Roman" w:hAnsi="Times New Roman" w:cs="Times New Roman"/>
          <w:sz w:val="24"/>
          <w:szCs w:val="24"/>
        </w:rPr>
        <w:t xml:space="preserve">of </w:t>
      </w:r>
      <w:r w:rsidR="00533CF6">
        <w:rPr>
          <w:rFonts w:ascii="Times New Roman" w:hAnsi="Times New Roman" w:cs="Times New Roman"/>
          <w:sz w:val="24"/>
          <w:szCs w:val="24"/>
        </w:rPr>
        <w:t>Utilities and Public R</w:t>
      </w:r>
      <w:r w:rsidR="006217B5">
        <w:rPr>
          <w:rFonts w:ascii="Times New Roman" w:hAnsi="Times New Roman" w:cs="Times New Roman"/>
          <w:sz w:val="24"/>
          <w:szCs w:val="24"/>
        </w:rPr>
        <w:t>elations costs</w:t>
      </w:r>
      <w:r w:rsidR="003A4572">
        <w:rPr>
          <w:rFonts w:ascii="Times New Roman" w:hAnsi="Times New Roman" w:cs="Times New Roman"/>
          <w:sz w:val="24"/>
          <w:szCs w:val="24"/>
        </w:rPr>
        <w:t xml:space="preserve"> of the company</w:t>
      </w:r>
      <w:r w:rsidR="006217B5">
        <w:rPr>
          <w:rFonts w:ascii="Times New Roman" w:hAnsi="Times New Roman" w:cs="Times New Roman"/>
          <w:sz w:val="24"/>
          <w:szCs w:val="24"/>
        </w:rPr>
        <w:t>.</w:t>
      </w:r>
    </w:p>
    <w:p w:rsidR="003A4572" w:rsidRPr="003A4572" w:rsidRDefault="003A4572" w:rsidP="004731A3">
      <w:pPr>
        <w:spacing w:line="240" w:lineRule="auto"/>
        <w:jc w:val="both"/>
        <w:rPr>
          <w:rFonts w:ascii="Times New Roman" w:hAnsi="Times New Roman" w:cs="Times New Roman"/>
          <w:sz w:val="24"/>
          <w:szCs w:val="24"/>
        </w:rPr>
      </w:pPr>
      <w:r w:rsidRPr="003A4572">
        <w:rPr>
          <w:rFonts w:ascii="Times New Roman" w:hAnsi="Times New Roman" w:cs="Times New Roman"/>
          <w:i/>
          <w:sz w:val="24"/>
          <w:szCs w:val="24"/>
        </w:rPr>
        <w:lastRenderedPageBreak/>
        <w:t>Operating Margin.</w:t>
      </w:r>
      <w:r>
        <w:rPr>
          <w:rFonts w:ascii="Times New Roman" w:hAnsi="Times New Roman" w:cs="Times New Roman"/>
          <w:i/>
          <w:sz w:val="24"/>
          <w:szCs w:val="24"/>
        </w:rPr>
        <w:t xml:space="preserve"> </w:t>
      </w:r>
      <w:r>
        <w:rPr>
          <w:rFonts w:ascii="Times New Roman" w:hAnsi="Times New Roman" w:cs="Times New Roman"/>
          <w:sz w:val="24"/>
          <w:szCs w:val="24"/>
        </w:rPr>
        <w:t>NIDCO</w:t>
      </w:r>
      <w:r w:rsidR="00AA0296">
        <w:rPr>
          <w:rFonts w:ascii="Times New Roman" w:hAnsi="Times New Roman" w:cs="Times New Roman"/>
          <w:sz w:val="24"/>
          <w:szCs w:val="24"/>
        </w:rPr>
        <w:t>’s</w:t>
      </w:r>
      <w:r>
        <w:rPr>
          <w:rFonts w:ascii="Times New Roman" w:hAnsi="Times New Roman" w:cs="Times New Roman"/>
          <w:sz w:val="24"/>
          <w:szCs w:val="24"/>
        </w:rPr>
        <w:t xml:space="preserve"> operating margin has been positive in the last 2 years </w:t>
      </w:r>
      <w:r w:rsidR="008D1F5D">
        <w:rPr>
          <w:rFonts w:ascii="Times New Roman" w:hAnsi="Times New Roman" w:cs="Times New Roman"/>
          <w:sz w:val="24"/>
          <w:szCs w:val="24"/>
        </w:rPr>
        <w:t>(2011 and 2012)</w:t>
      </w:r>
      <w:r>
        <w:rPr>
          <w:rFonts w:ascii="Times New Roman" w:hAnsi="Times New Roman" w:cs="Times New Roman"/>
          <w:sz w:val="24"/>
          <w:szCs w:val="24"/>
        </w:rPr>
        <w:t>, reaching an</w:t>
      </w:r>
      <w:r w:rsidR="00314F8C">
        <w:rPr>
          <w:rFonts w:ascii="Times New Roman" w:hAnsi="Times New Roman" w:cs="Times New Roman"/>
          <w:sz w:val="24"/>
          <w:szCs w:val="24"/>
        </w:rPr>
        <w:t xml:space="preserve"> average</w:t>
      </w:r>
      <w:r>
        <w:rPr>
          <w:rFonts w:ascii="Times New Roman" w:hAnsi="Times New Roman" w:cs="Times New Roman"/>
          <w:sz w:val="24"/>
          <w:szCs w:val="24"/>
        </w:rPr>
        <w:t xml:space="preserve"> operating margin of 18%</w:t>
      </w:r>
      <w:r w:rsidR="00314F8C">
        <w:rPr>
          <w:rFonts w:ascii="Times New Roman" w:hAnsi="Times New Roman" w:cs="Times New Roman"/>
          <w:sz w:val="24"/>
          <w:szCs w:val="24"/>
        </w:rPr>
        <w:t xml:space="preserve"> of NIDCO’s operating revenues</w:t>
      </w:r>
      <w:r w:rsidR="00086C28">
        <w:rPr>
          <w:rFonts w:ascii="Times New Roman" w:hAnsi="Times New Roman" w:cs="Times New Roman"/>
          <w:sz w:val="24"/>
          <w:szCs w:val="24"/>
        </w:rPr>
        <w:t>, which represents a</w:t>
      </w:r>
      <w:r w:rsidR="00932EC7">
        <w:rPr>
          <w:rFonts w:ascii="Times New Roman" w:hAnsi="Times New Roman" w:cs="Times New Roman"/>
          <w:sz w:val="24"/>
          <w:szCs w:val="24"/>
        </w:rPr>
        <w:t>n</w:t>
      </w:r>
      <w:r w:rsidR="00086C28">
        <w:rPr>
          <w:rFonts w:ascii="Times New Roman" w:hAnsi="Times New Roman" w:cs="Times New Roman"/>
          <w:sz w:val="24"/>
          <w:szCs w:val="24"/>
        </w:rPr>
        <w:t xml:space="preserve"> average </w:t>
      </w:r>
      <w:r w:rsidR="008D1F5D">
        <w:rPr>
          <w:rFonts w:ascii="Times New Roman" w:hAnsi="Times New Roman" w:cs="Times New Roman"/>
          <w:sz w:val="24"/>
          <w:szCs w:val="24"/>
        </w:rPr>
        <w:t>Cost Coverage Ra</w:t>
      </w:r>
      <w:r w:rsidR="00086C28">
        <w:rPr>
          <w:rFonts w:ascii="Times New Roman" w:hAnsi="Times New Roman" w:cs="Times New Roman"/>
          <w:sz w:val="24"/>
          <w:szCs w:val="24"/>
        </w:rPr>
        <w:t>tio</w:t>
      </w:r>
      <w:r w:rsidR="008D1F5D">
        <w:rPr>
          <w:rStyle w:val="FootnoteReference"/>
          <w:rFonts w:ascii="Times New Roman" w:hAnsi="Times New Roman" w:cs="Times New Roman"/>
          <w:sz w:val="24"/>
          <w:szCs w:val="24"/>
        </w:rPr>
        <w:footnoteReference w:id="5"/>
      </w:r>
      <w:r w:rsidR="00086C28">
        <w:rPr>
          <w:rFonts w:ascii="Times New Roman" w:hAnsi="Times New Roman" w:cs="Times New Roman"/>
          <w:sz w:val="24"/>
          <w:szCs w:val="24"/>
        </w:rPr>
        <w:t xml:space="preserve"> of 122% in that</w:t>
      </w:r>
      <w:r w:rsidR="008D1F5D">
        <w:rPr>
          <w:rFonts w:ascii="Times New Roman" w:hAnsi="Times New Roman" w:cs="Times New Roman"/>
          <w:sz w:val="24"/>
          <w:szCs w:val="24"/>
        </w:rPr>
        <w:t xml:space="preserve"> two year</w:t>
      </w:r>
      <w:r w:rsidR="00086C28">
        <w:rPr>
          <w:rFonts w:ascii="Times New Roman" w:hAnsi="Times New Roman" w:cs="Times New Roman"/>
          <w:sz w:val="24"/>
          <w:szCs w:val="24"/>
        </w:rPr>
        <w:t xml:space="preserve"> period.</w:t>
      </w:r>
    </w:p>
    <w:p w:rsidR="00B06273" w:rsidRDefault="00B06273" w:rsidP="004731A3">
      <w:pPr>
        <w:spacing w:line="240" w:lineRule="auto"/>
        <w:jc w:val="both"/>
        <w:rPr>
          <w:rFonts w:ascii="Times New Roman" w:hAnsi="Times New Roman" w:cs="Times New Roman"/>
          <w:sz w:val="24"/>
          <w:szCs w:val="24"/>
        </w:rPr>
      </w:pPr>
      <w:r w:rsidRPr="00B06273">
        <w:rPr>
          <w:rFonts w:ascii="Times New Roman" w:hAnsi="Times New Roman" w:cs="Times New Roman"/>
          <w:i/>
          <w:sz w:val="24"/>
          <w:szCs w:val="24"/>
        </w:rPr>
        <w:t>Depreciation and Amortization</w:t>
      </w:r>
      <w:r>
        <w:rPr>
          <w:rFonts w:ascii="Times New Roman" w:hAnsi="Times New Roman" w:cs="Times New Roman"/>
          <w:sz w:val="24"/>
          <w:szCs w:val="24"/>
        </w:rPr>
        <w:t>.  Comprise</w:t>
      </w:r>
      <w:r w:rsidR="00D71EE1">
        <w:rPr>
          <w:rFonts w:ascii="Times New Roman" w:hAnsi="Times New Roman" w:cs="Times New Roman"/>
          <w:sz w:val="24"/>
          <w:szCs w:val="24"/>
        </w:rPr>
        <w:t xml:space="preserve"> of</w:t>
      </w:r>
      <w:r>
        <w:rPr>
          <w:rFonts w:ascii="Times New Roman" w:hAnsi="Times New Roman" w:cs="Times New Roman"/>
          <w:sz w:val="24"/>
          <w:szCs w:val="24"/>
        </w:rPr>
        <w:t xml:space="preserve"> the amortization and depreciation costs of NIDCO’s fixed assets which includes the property and equipment of NIDCO to deliver its activities (Amortization of buildings, furniture, and equipment, among others).</w:t>
      </w:r>
    </w:p>
    <w:p w:rsidR="00B06273" w:rsidRDefault="004B1E7E" w:rsidP="004731A3">
      <w:pPr>
        <w:spacing w:line="240" w:lineRule="auto"/>
        <w:jc w:val="both"/>
        <w:rPr>
          <w:rFonts w:ascii="Times New Roman" w:hAnsi="Times New Roman" w:cs="Times New Roman"/>
          <w:sz w:val="24"/>
          <w:szCs w:val="24"/>
        </w:rPr>
      </w:pPr>
      <w:r w:rsidRPr="004B1E7E">
        <w:rPr>
          <w:rFonts w:ascii="Times New Roman" w:hAnsi="Times New Roman" w:cs="Times New Roman"/>
          <w:i/>
          <w:sz w:val="24"/>
          <w:szCs w:val="24"/>
        </w:rPr>
        <w:t>Interest Income.</w:t>
      </w:r>
      <w:r w:rsidR="0088494B">
        <w:rPr>
          <w:rFonts w:ascii="Times New Roman" w:hAnsi="Times New Roman" w:cs="Times New Roman"/>
          <w:i/>
          <w:sz w:val="24"/>
          <w:szCs w:val="24"/>
        </w:rPr>
        <w:t xml:space="preserve"> </w:t>
      </w:r>
      <w:r w:rsidR="0088494B">
        <w:rPr>
          <w:rFonts w:ascii="Times New Roman" w:hAnsi="Times New Roman" w:cs="Times New Roman"/>
          <w:sz w:val="24"/>
          <w:szCs w:val="24"/>
        </w:rPr>
        <w:t>NIDCO is committed to employ</w:t>
      </w:r>
      <w:r w:rsidR="003D0677">
        <w:rPr>
          <w:rFonts w:ascii="Times New Roman" w:hAnsi="Times New Roman" w:cs="Times New Roman"/>
          <w:sz w:val="24"/>
          <w:szCs w:val="24"/>
        </w:rPr>
        <w:t>ing</w:t>
      </w:r>
      <w:r w:rsidR="0088494B">
        <w:rPr>
          <w:rFonts w:ascii="Times New Roman" w:hAnsi="Times New Roman" w:cs="Times New Roman"/>
          <w:sz w:val="24"/>
          <w:szCs w:val="24"/>
        </w:rPr>
        <w:t xml:space="preserve"> prudence when dealing with excess funds in hand </w:t>
      </w:r>
      <w:r w:rsidR="003D0677">
        <w:rPr>
          <w:rFonts w:ascii="Times New Roman" w:hAnsi="Times New Roman" w:cs="Times New Roman"/>
          <w:sz w:val="24"/>
          <w:szCs w:val="24"/>
        </w:rPr>
        <w:t xml:space="preserve">in </w:t>
      </w:r>
      <w:r w:rsidR="0088494B">
        <w:rPr>
          <w:rFonts w:ascii="Times New Roman" w:hAnsi="Times New Roman" w:cs="Times New Roman"/>
          <w:sz w:val="24"/>
          <w:szCs w:val="24"/>
        </w:rPr>
        <w:t>relati</w:t>
      </w:r>
      <w:r w:rsidR="003D0677">
        <w:rPr>
          <w:rFonts w:ascii="Times New Roman" w:hAnsi="Times New Roman" w:cs="Times New Roman"/>
          <w:sz w:val="24"/>
          <w:szCs w:val="24"/>
        </w:rPr>
        <w:t>on</w:t>
      </w:r>
      <w:r w:rsidR="0088494B">
        <w:rPr>
          <w:rFonts w:ascii="Times New Roman" w:hAnsi="Times New Roman" w:cs="Times New Roman"/>
          <w:sz w:val="24"/>
          <w:szCs w:val="24"/>
        </w:rPr>
        <w:t xml:space="preserve"> to the financing of projects. The surplus funds that are held by NIDCO pending payment to contractors for invoices and expenses are invested to secure returns for the company. Only Banks, their subsidiaries and the Trinidad and Tobago Unit Trust Corporation are utilized since these are institutions regulated by the Central Bank under the Financial Regulatory Act.</w:t>
      </w:r>
      <w:r w:rsidR="005D28D5">
        <w:rPr>
          <w:rFonts w:ascii="Times New Roman" w:hAnsi="Times New Roman" w:cs="Times New Roman"/>
          <w:sz w:val="24"/>
          <w:szCs w:val="24"/>
        </w:rPr>
        <w:t xml:space="preserve"> Revenue is recognized as interest accrues.</w:t>
      </w:r>
    </w:p>
    <w:p w:rsidR="00D91884" w:rsidRPr="0088494B" w:rsidRDefault="0044245F" w:rsidP="004731A3">
      <w:pPr>
        <w:spacing w:line="240" w:lineRule="auto"/>
        <w:jc w:val="both"/>
        <w:rPr>
          <w:rFonts w:ascii="Times New Roman" w:hAnsi="Times New Roman" w:cs="Times New Roman"/>
          <w:sz w:val="24"/>
          <w:szCs w:val="24"/>
        </w:rPr>
      </w:pPr>
      <w:r>
        <w:rPr>
          <w:rFonts w:ascii="Times New Roman" w:hAnsi="Times New Roman" w:cs="Times New Roman"/>
          <w:sz w:val="24"/>
          <w:szCs w:val="24"/>
        </w:rPr>
        <w:t>After consider</w:t>
      </w:r>
      <w:r w:rsidR="003D0677">
        <w:rPr>
          <w:rFonts w:ascii="Times New Roman" w:hAnsi="Times New Roman" w:cs="Times New Roman"/>
          <w:sz w:val="24"/>
          <w:szCs w:val="24"/>
        </w:rPr>
        <w:t>ing</w:t>
      </w:r>
      <w:r>
        <w:rPr>
          <w:rFonts w:ascii="Times New Roman" w:hAnsi="Times New Roman" w:cs="Times New Roman"/>
          <w:sz w:val="24"/>
          <w:szCs w:val="24"/>
        </w:rPr>
        <w:t xml:space="preserve"> all </w:t>
      </w:r>
      <w:r w:rsidR="00753F1A">
        <w:rPr>
          <w:rFonts w:ascii="Times New Roman" w:hAnsi="Times New Roman" w:cs="Times New Roman"/>
          <w:sz w:val="24"/>
          <w:szCs w:val="24"/>
        </w:rPr>
        <w:t>the</w:t>
      </w:r>
      <w:r>
        <w:rPr>
          <w:rFonts w:ascii="Times New Roman" w:hAnsi="Times New Roman" w:cs="Times New Roman"/>
          <w:sz w:val="24"/>
          <w:szCs w:val="24"/>
        </w:rPr>
        <w:t>se</w:t>
      </w:r>
      <w:r w:rsidR="00753F1A">
        <w:rPr>
          <w:rFonts w:ascii="Times New Roman" w:hAnsi="Times New Roman" w:cs="Times New Roman"/>
          <w:sz w:val="24"/>
          <w:szCs w:val="24"/>
        </w:rPr>
        <w:t xml:space="preserve"> previous elements, NIDCO</w:t>
      </w:r>
      <w:r w:rsidR="00D71EE1">
        <w:rPr>
          <w:rFonts w:ascii="Times New Roman" w:hAnsi="Times New Roman" w:cs="Times New Roman"/>
          <w:sz w:val="24"/>
          <w:szCs w:val="24"/>
        </w:rPr>
        <w:t>’s</w:t>
      </w:r>
      <w:r w:rsidR="00753F1A">
        <w:rPr>
          <w:rFonts w:ascii="Times New Roman" w:hAnsi="Times New Roman" w:cs="Times New Roman"/>
          <w:sz w:val="24"/>
          <w:szCs w:val="24"/>
        </w:rPr>
        <w:t xml:space="preserve"> </w:t>
      </w:r>
      <w:r w:rsidR="00753F1A" w:rsidRPr="004F0719">
        <w:rPr>
          <w:rFonts w:ascii="Times New Roman" w:hAnsi="Times New Roman" w:cs="Times New Roman"/>
          <w:i/>
          <w:sz w:val="24"/>
          <w:szCs w:val="24"/>
        </w:rPr>
        <w:t xml:space="preserve">net profit </w:t>
      </w:r>
      <w:r w:rsidR="004F0719" w:rsidRPr="004F0719">
        <w:rPr>
          <w:rFonts w:ascii="Times New Roman" w:hAnsi="Times New Roman" w:cs="Times New Roman"/>
          <w:i/>
          <w:sz w:val="24"/>
          <w:szCs w:val="24"/>
        </w:rPr>
        <w:t>before taxation</w:t>
      </w:r>
      <w:r w:rsidR="00753F1A">
        <w:rPr>
          <w:rFonts w:ascii="Times New Roman" w:hAnsi="Times New Roman" w:cs="Times New Roman"/>
          <w:sz w:val="24"/>
          <w:szCs w:val="24"/>
        </w:rPr>
        <w:t xml:space="preserve"> </w:t>
      </w:r>
      <w:r w:rsidR="004F0719">
        <w:rPr>
          <w:rFonts w:ascii="Times New Roman" w:hAnsi="Times New Roman" w:cs="Times New Roman"/>
          <w:sz w:val="24"/>
          <w:szCs w:val="24"/>
        </w:rPr>
        <w:t>has reach</w:t>
      </w:r>
      <w:r w:rsidR="003D0677">
        <w:rPr>
          <w:rFonts w:ascii="Times New Roman" w:hAnsi="Times New Roman" w:cs="Times New Roman"/>
          <w:sz w:val="24"/>
          <w:szCs w:val="24"/>
        </w:rPr>
        <w:t>ed</w:t>
      </w:r>
      <w:r w:rsidR="004F0719">
        <w:rPr>
          <w:rFonts w:ascii="Times New Roman" w:hAnsi="Times New Roman" w:cs="Times New Roman"/>
          <w:sz w:val="24"/>
          <w:szCs w:val="24"/>
        </w:rPr>
        <w:t xml:space="preserve"> a positive average value of 19.2% of NIDCO’s operating revenues in the </w:t>
      </w:r>
      <w:r>
        <w:rPr>
          <w:rFonts w:ascii="Times New Roman" w:hAnsi="Times New Roman" w:cs="Times New Roman"/>
          <w:sz w:val="24"/>
          <w:szCs w:val="24"/>
        </w:rPr>
        <w:t xml:space="preserve">2010-2012 </w:t>
      </w:r>
      <w:r w:rsidR="00903325">
        <w:rPr>
          <w:rFonts w:ascii="Times New Roman" w:hAnsi="Times New Roman" w:cs="Times New Roman"/>
          <w:sz w:val="24"/>
          <w:szCs w:val="24"/>
        </w:rPr>
        <w:t>periods</w:t>
      </w:r>
      <w:r>
        <w:rPr>
          <w:rFonts w:ascii="Times New Roman" w:hAnsi="Times New Roman" w:cs="Times New Roman"/>
          <w:sz w:val="24"/>
          <w:szCs w:val="24"/>
        </w:rPr>
        <w:t>.</w:t>
      </w:r>
    </w:p>
    <w:p w:rsidR="004731A3" w:rsidRPr="00AC53B2" w:rsidRDefault="004731A3" w:rsidP="00262C05">
      <w:pPr>
        <w:spacing w:line="240" w:lineRule="auto"/>
        <w:jc w:val="both"/>
        <w:rPr>
          <w:rFonts w:ascii="Times New Roman" w:hAnsi="Times New Roman" w:cs="Times New Roman"/>
          <w:b/>
          <w:sz w:val="24"/>
          <w:szCs w:val="24"/>
        </w:rPr>
      </w:pPr>
      <w:r w:rsidRPr="00AC53B2">
        <w:rPr>
          <w:rFonts w:ascii="Times New Roman" w:hAnsi="Times New Roman" w:cs="Times New Roman"/>
          <w:b/>
          <w:i/>
          <w:sz w:val="24"/>
          <w:szCs w:val="24"/>
        </w:rPr>
        <w:t>Water Taxi services</w:t>
      </w:r>
    </w:p>
    <w:p w:rsidR="000F77A8" w:rsidRDefault="00AD45FD" w:rsidP="00262C05">
      <w:pPr>
        <w:spacing w:line="240" w:lineRule="auto"/>
        <w:jc w:val="both"/>
        <w:rPr>
          <w:rFonts w:ascii="Times New Roman" w:hAnsi="Times New Roman" w:cs="Times New Roman"/>
          <w:sz w:val="24"/>
          <w:szCs w:val="24"/>
        </w:rPr>
      </w:pPr>
      <w:r w:rsidRPr="00AD45FD">
        <w:rPr>
          <w:rFonts w:ascii="Times New Roman" w:hAnsi="Times New Roman" w:cs="Times New Roman"/>
          <w:i/>
          <w:sz w:val="24"/>
          <w:szCs w:val="24"/>
        </w:rPr>
        <w:t>Background</w:t>
      </w:r>
      <w:r w:rsidR="003D0677">
        <w:rPr>
          <w:rFonts w:ascii="Times New Roman" w:hAnsi="Times New Roman" w:cs="Times New Roman"/>
          <w:i/>
          <w:sz w:val="24"/>
          <w:szCs w:val="24"/>
        </w:rPr>
        <w:t xml:space="preserve"> of</w:t>
      </w:r>
      <w:r>
        <w:rPr>
          <w:rFonts w:ascii="Times New Roman" w:hAnsi="Times New Roman" w:cs="Times New Roman"/>
          <w:i/>
          <w:sz w:val="24"/>
          <w:szCs w:val="24"/>
        </w:rPr>
        <w:t xml:space="preserve"> Water Taxi Services</w:t>
      </w:r>
      <w:r w:rsidRPr="00AD45FD">
        <w:rPr>
          <w:rFonts w:ascii="Times New Roman" w:hAnsi="Times New Roman" w:cs="Times New Roman"/>
          <w:i/>
          <w:sz w:val="24"/>
          <w:szCs w:val="24"/>
        </w:rPr>
        <w:t>.</w:t>
      </w:r>
      <w:r>
        <w:rPr>
          <w:rFonts w:ascii="Times New Roman" w:hAnsi="Times New Roman" w:cs="Times New Roman"/>
          <w:sz w:val="24"/>
          <w:szCs w:val="24"/>
        </w:rPr>
        <w:t xml:space="preserve"> </w:t>
      </w:r>
      <w:r w:rsidR="000F77A8" w:rsidRPr="0053400E">
        <w:rPr>
          <w:rFonts w:ascii="Times New Roman" w:hAnsi="Times New Roman" w:cs="Times New Roman"/>
          <w:sz w:val="24"/>
          <w:szCs w:val="24"/>
        </w:rPr>
        <w:t>NIDCO was given the responsibility in 2007 for the establishment and operation of a Water Service between Point Fortin and Diego Martin. The first phase of the project was launched in December 2008 with the introduction of a San Fernando/ Port of Spain service utilizing a</w:t>
      </w:r>
      <w:r w:rsidR="0053400E">
        <w:rPr>
          <w:rFonts w:ascii="Times New Roman" w:hAnsi="Times New Roman" w:cs="Times New Roman"/>
          <w:sz w:val="24"/>
          <w:szCs w:val="24"/>
        </w:rPr>
        <w:t xml:space="preserve"> </w:t>
      </w:r>
      <w:r w:rsidR="000F77A8" w:rsidRPr="0053400E">
        <w:rPr>
          <w:rFonts w:ascii="Times New Roman" w:hAnsi="Times New Roman" w:cs="Times New Roman"/>
          <w:sz w:val="24"/>
          <w:szCs w:val="24"/>
        </w:rPr>
        <w:t>fleet o</w:t>
      </w:r>
      <w:r w:rsidR="0053400E">
        <w:rPr>
          <w:rFonts w:ascii="Times New Roman" w:hAnsi="Times New Roman" w:cs="Times New Roman"/>
          <w:sz w:val="24"/>
          <w:szCs w:val="24"/>
        </w:rPr>
        <w:t xml:space="preserve">f three second-hand 27m high speed ferries each with a capacity of 149 passengers. The operation was upgraded in 2010 with the introduction of a new fleet of four newly-constructed 41m vessels each with a capacity of </w:t>
      </w:r>
      <w:r w:rsidR="00903325">
        <w:rPr>
          <w:rFonts w:ascii="Times New Roman" w:hAnsi="Times New Roman" w:cs="Times New Roman"/>
          <w:sz w:val="24"/>
          <w:szCs w:val="24"/>
        </w:rPr>
        <w:br/>
      </w:r>
      <w:r w:rsidR="0053400E">
        <w:rPr>
          <w:rFonts w:ascii="Times New Roman" w:hAnsi="Times New Roman" w:cs="Times New Roman"/>
          <w:sz w:val="24"/>
          <w:szCs w:val="24"/>
        </w:rPr>
        <w:t>405</w:t>
      </w:r>
      <w:r w:rsidR="003D0677">
        <w:rPr>
          <w:rFonts w:ascii="Times New Roman" w:hAnsi="Times New Roman" w:cs="Times New Roman"/>
          <w:sz w:val="24"/>
          <w:szCs w:val="24"/>
        </w:rPr>
        <w:t xml:space="preserve"> passengers</w:t>
      </w:r>
      <w:r w:rsidR="0053400E">
        <w:rPr>
          <w:rFonts w:ascii="Times New Roman" w:hAnsi="Times New Roman" w:cs="Times New Roman"/>
          <w:sz w:val="24"/>
          <w:szCs w:val="24"/>
        </w:rPr>
        <w:t xml:space="preserve">. Expansion the service to new ports will be undertaken </w:t>
      </w:r>
      <w:r w:rsidR="003D0677">
        <w:rPr>
          <w:rFonts w:ascii="Times New Roman" w:hAnsi="Times New Roman" w:cs="Times New Roman"/>
          <w:sz w:val="24"/>
          <w:szCs w:val="24"/>
        </w:rPr>
        <w:t>during the</w:t>
      </w:r>
      <w:r w:rsidR="0053400E">
        <w:rPr>
          <w:rFonts w:ascii="Times New Roman" w:hAnsi="Times New Roman" w:cs="Times New Roman"/>
          <w:sz w:val="24"/>
          <w:szCs w:val="24"/>
        </w:rPr>
        <w:t xml:space="preserve"> nex</w:t>
      </w:r>
      <w:r w:rsidR="00D71EE1">
        <w:rPr>
          <w:rFonts w:ascii="Times New Roman" w:hAnsi="Times New Roman" w:cs="Times New Roman"/>
          <w:sz w:val="24"/>
          <w:szCs w:val="24"/>
        </w:rPr>
        <w:t>t</w:t>
      </w:r>
      <w:r w:rsidR="0053400E">
        <w:rPr>
          <w:rFonts w:ascii="Times New Roman" w:hAnsi="Times New Roman" w:cs="Times New Roman"/>
          <w:sz w:val="24"/>
          <w:szCs w:val="24"/>
        </w:rPr>
        <w:t xml:space="preserve"> phases of development of these services.</w:t>
      </w:r>
      <w:r w:rsidR="001F47C6">
        <w:rPr>
          <w:rFonts w:ascii="Times New Roman" w:hAnsi="Times New Roman" w:cs="Times New Roman"/>
          <w:sz w:val="24"/>
          <w:szCs w:val="24"/>
        </w:rPr>
        <w:t xml:space="preserve"> </w:t>
      </w:r>
    </w:p>
    <w:p w:rsidR="008A67A3" w:rsidRDefault="008A67A3" w:rsidP="00262C05">
      <w:pPr>
        <w:spacing w:line="240" w:lineRule="auto"/>
        <w:jc w:val="both"/>
        <w:rPr>
          <w:rFonts w:ascii="Times New Roman" w:hAnsi="Times New Roman" w:cs="Times New Roman"/>
          <w:sz w:val="24"/>
          <w:szCs w:val="24"/>
        </w:rPr>
      </w:pPr>
      <w:r>
        <w:rPr>
          <w:rFonts w:ascii="Times New Roman" w:hAnsi="Times New Roman" w:cs="Times New Roman"/>
          <w:sz w:val="24"/>
          <w:szCs w:val="24"/>
        </w:rPr>
        <w:t>Within NIDCO’</w:t>
      </w:r>
      <w:r w:rsidR="000D27B7">
        <w:rPr>
          <w:rFonts w:ascii="Times New Roman" w:hAnsi="Times New Roman" w:cs="Times New Roman"/>
          <w:sz w:val="24"/>
          <w:szCs w:val="24"/>
        </w:rPr>
        <w:t xml:space="preserve">s organization </w:t>
      </w:r>
      <w:r w:rsidR="008B473F">
        <w:rPr>
          <w:rFonts w:ascii="Times New Roman" w:hAnsi="Times New Roman" w:cs="Times New Roman"/>
          <w:sz w:val="24"/>
          <w:szCs w:val="24"/>
        </w:rPr>
        <w:t>structure</w:t>
      </w:r>
      <w:r w:rsidR="000D27B7">
        <w:rPr>
          <w:rFonts w:ascii="Times New Roman" w:hAnsi="Times New Roman" w:cs="Times New Roman"/>
          <w:sz w:val="24"/>
          <w:szCs w:val="24"/>
        </w:rPr>
        <w:t xml:space="preserve"> includes a Water Taxi Service Department who has the following </w:t>
      </w:r>
      <w:r w:rsidR="004F0606">
        <w:rPr>
          <w:rFonts w:ascii="Times New Roman" w:hAnsi="Times New Roman" w:cs="Times New Roman"/>
          <w:sz w:val="24"/>
          <w:szCs w:val="24"/>
        </w:rPr>
        <w:t>responsibilities:</w:t>
      </w:r>
    </w:p>
    <w:p w:rsidR="004F0606" w:rsidRDefault="00AD45FD" w:rsidP="00290A93">
      <w:pPr>
        <w:pStyle w:val="ListParagraph"/>
        <w:numPr>
          <w:ilvl w:val="0"/>
          <w:numId w:val="16"/>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D71EE1">
        <w:rPr>
          <w:rFonts w:ascii="Times New Roman" w:hAnsi="Times New Roman" w:cs="Times New Roman"/>
          <w:sz w:val="24"/>
          <w:szCs w:val="24"/>
        </w:rPr>
        <w:t>M</w:t>
      </w:r>
      <w:r>
        <w:rPr>
          <w:rFonts w:ascii="Times New Roman" w:hAnsi="Times New Roman" w:cs="Times New Roman"/>
          <w:sz w:val="24"/>
          <w:szCs w:val="24"/>
        </w:rPr>
        <w:t>anage</w:t>
      </w:r>
      <w:r w:rsidR="00D71EE1">
        <w:rPr>
          <w:rFonts w:ascii="Times New Roman" w:hAnsi="Times New Roman" w:cs="Times New Roman"/>
          <w:sz w:val="24"/>
          <w:szCs w:val="24"/>
        </w:rPr>
        <w:t xml:space="preserve"> and operate</w:t>
      </w:r>
      <w:r>
        <w:rPr>
          <w:rFonts w:ascii="Times New Roman" w:hAnsi="Times New Roman" w:cs="Times New Roman"/>
          <w:sz w:val="24"/>
          <w:szCs w:val="24"/>
        </w:rPr>
        <w:t xml:space="preserve"> </w:t>
      </w:r>
      <w:r w:rsidR="00D71EE1">
        <w:rPr>
          <w:rFonts w:ascii="Times New Roman" w:hAnsi="Times New Roman" w:cs="Times New Roman"/>
          <w:sz w:val="24"/>
          <w:szCs w:val="24"/>
        </w:rPr>
        <w:t>the</w:t>
      </w:r>
      <w:r>
        <w:rPr>
          <w:rFonts w:ascii="Times New Roman" w:hAnsi="Times New Roman" w:cs="Times New Roman"/>
          <w:sz w:val="24"/>
          <w:szCs w:val="24"/>
        </w:rPr>
        <w:t xml:space="preserve"> Water Taxi Service</w:t>
      </w:r>
    </w:p>
    <w:p w:rsidR="007C5057" w:rsidRDefault="007C5057" w:rsidP="00290A93">
      <w:pPr>
        <w:pStyle w:val="ListParagraph"/>
        <w:numPr>
          <w:ilvl w:val="0"/>
          <w:numId w:val="16"/>
        </w:numPr>
        <w:spacing w:line="240" w:lineRule="auto"/>
        <w:jc w:val="both"/>
        <w:rPr>
          <w:rFonts w:ascii="Times New Roman" w:hAnsi="Times New Roman" w:cs="Times New Roman"/>
          <w:sz w:val="24"/>
          <w:szCs w:val="24"/>
        </w:rPr>
      </w:pPr>
      <w:r>
        <w:rPr>
          <w:rFonts w:ascii="Times New Roman" w:hAnsi="Times New Roman" w:cs="Times New Roman"/>
          <w:sz w:val="24"/>
          <w:szCs w:val="24"/>
        </w:rPr>
        <w:t>Establish organization structure to achieve project goals and objectives</w:t>
      </w:r>
    </w:p>
    <w:p w:rsidR="007C5057" w:rsidRDefault="007C5057" w:rsidP="00290A93">
      <w:pPr>
        <w:pStyle w:val="ListParagraph"/>
        <w:numPr>
          <w:ilvl w:val="0"/>
          <w:numId w:val="16"/>
        </w:numPr>
        <w:spacing w:line="240" w:lineRule="auto"/>
        <w:jc w:val="both"/>
        <w:rPr>
          <w:rFonts w:ascii="Times New Roman" w:hAnsi="Times New Roman" w:cs="Times New Roman"/>
          <w:sz w:val="24"/>
          <w:szCs w:val="24"/>
        </w:rPr>
      </w:pPr>
      <w:r>
        <w:rPr>
          <w:rFonts w:ascii="Times New Roman" w:hAnsi="Times New Roman" w:cs="Times New Roman"/>
          <w:sz w:val="24"/>
          <w:szCs w:val="24"/>
        </w:rPr>
        <w:t>Ensure compliance with obligations as stated in contractual arrangements between NIDCO and Ministry of Works and Transport</w:t>
      </w:r>
    </w:p>
    <w:p w:rsidR="007C5057" w:rsidRDefault="007C5057" w:rsidP="00290A93">
      <w:pPr>
        <w:pStyle w:val="ListParagraph"/>
        <w:numPr>
          <w:ilvl w:val="0"/>
          <w:numId w:val="16"/>
        </w:numPr>
        <w:spacing w:line="240" w:lineRule="auto"/>
        <w:jc w:val="both"/>
        <w:rPr>
          <w:rFonts w:ascii="Times New Roman" w:hAnsi="Times New Roman" w:cs="Times New Roman"/>
          <w:sz w:val="24"/>
          <w:szCs w:val="24"/>
        </w:rPr>
      </w:pPr>
      <w:r>
        <w:rPr>
          <w:rFonts w:ascii="Times New Roman" w:hAnsi="Times New Roman" w:cs="Times New Roman"/>
          <w:sz w:val="24"/>
          <w:szCs w:val="24"/>
        </w:rPr>
        <w:t>Ensure procedures of operations are consistent with best operation practice</w:t>
      </w:r>
      <w:r w:rsidR="003D0677">
        <w:rPr>
          <w:rFonts w:ascii="Times New Roman" w:hAnsi="Times New Roman" w:cs="Times New Roman"/>
          <w:sz w:val="24"/>
          <w:szCs w:val="24"/>
        </w:rPr>
        <w:t>s</w:t>
      </w:r>
    </w:p>
    <w:p w:rsidR="007C5057" w:rsidRDefault="007C5057" w:rsidP="00290A93">
      <w:pPr>
        <w:pStyle w:val="ListParagraph"/>
        <w:numPr>
          <w:ilvl w:val="0"/>
          <w:numId w:val="16"/>
        </w:numPr>
        <w:spacing w:line="240" w:lineRule="auto"/>
        <w:jc w:val="both"/>
        <w:rPr>
          <w:rFonts w:ascii="Times New Roman" w:hAnsi="Times New Roman" w:cs="Times New Roman"/>
          <w:sz w:val="24"/>
          <w:szCs w:val="24"/>
        </w:rPr>
      </w:pPr>
      <w:r>
        <w:rPr>
          <w:rFonts w:ascii="Times New Roman" w:hAnsi="Times New Roman" w:cs="Times New Roman"/>
          <w:sz w:val="24"/>
          <w:szCs w:val="24"/>
        </w:rPr>
        <w:t>Promot</w:t>
      </w:r>
      <w:r w:rsidR="00D71EE1">
        <w:rPr>
          <w:rFonts w:ascii="Times New Roman" w:hAnsi="Times New Roman" w:cs="Times New Roman"/>
          <w:sz w:val="24"/>
          <w:szCs w:val="24"/>
        </w:rPr>
        <w:t>e the</w:t>
      </w:r>
      <w:r>
        <w:rPr>
          <w:rFonts w:ascii="Times New Roman" w:hAnsi="Times New Roman" w:cs="Times New Roman"/>
          <w:sz w:val="24"/>
          <w:szCs w:val="24"/>
        </w:rPr>
        <w:t xml:space="preserve"> Water Taxi Service</w:t>
      </w:r>
      <w:r w:rsidR="00D71EE1">
        <w:rPr>
          <w:rFonts w:ascii="Times New Roman" w:hAnsi="Times New Roman" w:cs="Times New Roman"/>
          <w:sz w:val="24"/>
          <w:szCs w:val="24"/>
        </w:rPr>
        <w:t>s</w:t>
      </w:r>
    </w:p>
    <w:p w:rsidR="007C5057" w:rsidRDefault="00D71EE1" w:rsidP="00290A93">
      <w:pPr>
        <w:pStyle w:val="ListParagraph"/>
        <w:numPr>
          <w:ilvl w:val="0"/>
          <w:numId w:val="16"/>
        </w:numPr>
        <w:spacing w:line="240" w:lineRule="auto"/>
        <w:jc w:val="both"/>
        <w:rPr>
          <w:rFonts w:ascii="Times New Roman" w:hAnsi="Times New Roman" w:cs="Times New Roman"/>
          <w:sz w:val="24"/>
          <w:szCs w:val="24"/>
        </w:rPr>
      </w:pPr>
      <w:r>
        <w:rPr>
          <w:rFonts w:ascii="Times New Roman" w:hAnsi="Times New Roman" w:cs="Times New Roman"/>
          <w:sz w:val="24"/>
          <w:szCs w:val="24"/>
        </w:rPr>
        <w:t>Prepare the</w:t>
      </w:r>
      <w:r w:rsidR="007C5057">
        <w:rPr>
          <w:rFonts w:ascii="Times New Roman" w:hAnsi="Times New Roman" w:cs="Times New Roman"/>
          <w:sz w:val="24"/>
          <w:szCs w:val="24"/>
        </w:rPr>
        <w:t xml:space="preserve"> Management Report</w:t>
      </w:r>
    </w:p>
    <w:p w:rsidR="007C5057" w:rsidRDefault="007C5057" w:rsidP="00290A93">
      <w:pPr>
        <w:pStyle w:val="ListParagraph"/>
        <w:numPr>
          <w:ilvl w:val="0"/>
          <w:numId w:val="16"/>
        </w:numPr>
        <w:spacing w:line="240" w:lineRule="auto"/>
        <w:jc w:val="both"/>
        <w:rPr>
          <w:rFonts w:ascii="Times New Roman" w:hAnsi="Times New Roman" w:cs="Times New Roman"/>
          <w:sz w:val="24"/>
          <w:szCs w:val="24"/>
        </w:rPr>
      </w:pPr>
      <w:r>
        <w:rPr>
          <w:rFonts w:ascii="Times New Roman" w:hAnsi="Times New Roman" w:cs="Times New Roman"/>
          <w:sz w:val="24"/>
          <w:szCs w:val="24"/>
        </w:rPr>
        <w:t>Prepar</w:t>
      </w:r>
      <w:r w:rsidR="00D71EE1">
        <w:rPr>
          <w:rFonts w:ascii="Times New Roman" w:hAnsi="Times New Roman" w:cs="Times New Roman"/>
          <w:sz w:val="24"/>
          <w:szCs w:val="24"/>
        </w:rPr>
        <w:t>e</w:t>
      </w:r>
      <w:r>
        <w:rPr>
          <w:rFonts w:ascii="Times New Roman" w:hAnsi="Times New Roman" w:cs="Times New Roman"/>
          <w:sz w:val="24"/>
          <w:szCs w:val="24"/>
        </w:rPr>
        <w:t xml:space="preserve"> </w:t>
      </w:r>
      <w:r w:rsidR="00D71EE1">
        <w:rPr>
          <w:rFonts w:ascii="Times New Roman" w:hAnsi="Times New Roman" w:cs="Times New Roman"/>
          <w:sz w:val="24"/>
          <w:szCs w:val="24"/>
        </w:rPr>
        <w:t>the</w:t>
      </w:r>
      <w:r>
        <w:rPr>
          <w:rFonts w:ascii="Times New Roman" w:hAnsi="Times New Roman" w:cs="Times New Roman"/>
          <w:sz w:val="24"/>
          <w:szCs w:val="24"/>
        </w:rPr>
        <w:t xml:space="preserve"> Business Economic Performance Report</w:t>
      </w:r>
    </w:p>
    <w:p w:rsidR="007C5057" w:rsidRPr="002C70A8" w:rsidRDefault="007C5057" w:rsidP="00290A93">
      <w:pPr>
        <w:pStyle w:val="ListParagraph"/>
        <w:spacing w:line="240" w:lineRule="auto"/>
        <w:jc w:val="both"/>
        <w:rPr>
          <w:rFonts w:ascii="Times New Roman" w:hAnsi="Times New Roman" w:cs="Times New Roman"/>
          <w:i/>
          <w:sz w:val="24"/>
          <w:szCs w:val="24"/>
        </w:rPr>
      </w:pPr>
    </w:p>
    <w:p w:rsidR="007C5057" w:rsidRDefault="002C70A8" w:rsidP="00290A93">
      <w:pPr>
        <w:pStyle w:val="ListParagraph"/>
        <w:spacing w:line="240" w:lineRule="auto"/>
        <w:ind w:left="0"/>
        <w:jc w:val="both"/>
        <w:rPr>
          <w:rFonts w:ascii="Times New Roman" w:hAnsi="Times New Roman" w:cs="Times New Roman"/>
          <w:sz w:val="24"/>
          <w:szCs w:val="24"/>
        </w:rPr>
      </w:pPr>
      <w:r w:rsidRPr="002C70A8">
        <w:rPr>
          <w:rFonts w:ascii="Times New Roman" w:hAnsi="Times New Roman" w:cs="Times New Roman"/>
          <w:i/>
          <w:sz w:val="24"/>
          <w:szCs w:val="24"/>
        </w:rPr>
        <w:t>Ticket</w:t>
      </w:r>
      <w:r>
        <w:rPr>
          <w:rFonts w:ascii="Times New Roman" w:hAnsi="Times New Roman" w:cs="Times New Roman"/>
          <w:i/>
          <w:sz w:val="24"/>
          <w:szCs w:val="24"/>
        </w:rPr>
        <w:t>ing</w:t>
      </w:r>
      <w:r w:rsidRPr="002C70A8">
        <w:rPr>
          <w:rFonts w:ascii="Times New Roman" w:hAnsi="Times New Roman" w:cs="Times New Roman"/>
          <w:i/>
          <w:sz w:val="24"/>
          <w:szCs w:val="24"/>
        </w:rPr>
        <w:t xml:space="preserve"> Income.</w:t>
      </w:r>
      <w:r>
        <w:rPr>
          <w:rFonts w:ascii="Times New Roman" w:hAnsi="Times New Roman" w:cs="Times New Roman"/>
          <w:i/>
          <w:sz w:val="24"/>
          <w:szCs w:val="24"/>
        </w:rPr>
        <w:t xml:space="preserve"> </w:t>
      </w:r>
      <w:r w:rsidR="00117D53" w:rsidRPr="00117D53">
        <w:rPr>
          <w:rFonts w:ascii="Times New Roman" w:hAnsi="Times New Roman" w:cs="Times New Roman"/>
          <w:sz w:val="24"/>
          <w:szCs w:val="24"/>
        </w:rPr>
        <w:t>T</w:t>
      </w:r>
      <w:r>
        <w:rPr>
          <w:rFonts w:ascii="Times New Roman" w:hAnsi="Times New Roman" w:cs="Times New Roman"/>
          <w:sz w:val="24"/>
          <w:szCs w:val="24"/>
        </w:rPr>
        <w:t>he revenues</w:t>
      </w:r>
      <w:r w:rsidR="00C018A2">
        <w:rPr>
          <w:rFonts w:ascii="Times New Roman" w:hAnsi="Times New Roman" w:cs="Times New Roman"/>
          <w:sz w:val="24"/>
          <w:szCs w:val="24"/>
        </w:rPr>
        <w:t xml:space="preserve"> from</w:t>
      </w:r>
      <w:r>
        <w:rPr>
          <w:rFonts w:ascii="Times New Roman" w:hAnsi="Times New Roman" w:cs="Times New Roman"/>
          <w:sz w:val="24"/>
          <w:szCs w:val="24"/>
        </w:rPr>
        <w:t xml:space="preserve"> </w:t>
      </w:r>
      <w:r w:rsidR="00C018A2">
        <w:rPr>
          <w:rFonts w:ascii="Times New Roman" w:hAnsi="Times New Roman" w:cs="Times New Roman"/>
          <w:sz w:val="24"/>
          <w:szCs w:val="24"/>
        </w:rPr>
        <w:t xml:space="preserve">the application of the fares that NIDCO </w:t>
      </w:r>
      <w:r w:rsidR="009D19EA">
        <w:rPr>
          <w:rFonts w:ascii="Times New Roman" w:hAnsi="Times New Roman" w:cs="Times New Roman"/>
          <w:sz w:val="24"/>
          <w:szCs w:val="24"/>
        </w:rPr>
        <w:t>charge</w:t>
      </w:r>
      <w:r w:rsidR="00117D53">
        <w:rPr>
          <w:rFonts w:ascii="Times New Roman" w:hAnsi="Times New Roman" w:cs="Times New Roman"/>
          <w:sz w:val="24"/>
          <w:szCs w:val="24"/>
        </w:rPr>
        <w:t>s</w:t>
      </w:r>
      <w:r>
        <w:rPr>
          <w:rFonts w:ascii="Times New Roman" w:hAnsi="Times New Roman" w:cs="Times New Roman"/>
          <w:sz w:val="24"/>
          <w:szCs w:val="24"/>
        </w:rPr>
        <w:t xml:space="preserve"> to the users of the Water </w:t>
      </w:r>
      <w:r w:rsidR="00C018A2">
        <w:rPr>
          <w:rFonts w:ascii="Times New Roman" w:hAnsi="Times New Roman" w:cs="Times New Roman"/>
          <w:sz w:val="24"/>
          <w:szCs w:val="24"/>
        </w:rPr>
        <w:t xml:space="preserve">Taxi </w:t>
      </w:r>
      <w:r>
        <w:rPr>
          <w:rFonts w:ascii="Times New Roman" w:hAnsi="Times New Roman" w:cs="Times New Roman"/>
          <w:sz w:val="24"/>
          <w:szCs w:val="24"/>
        </w:rPr>
        <w:t>Se</w:t>
      </w:r>
      <w:r w:rsidR="00C018A2">
        <w:rPr>
          <w:rFonts w:ascii="Times New Roman" w:hAnsi="Times New Roman" w:cs="Times New Roman"/>
          <w:sz w:val="24"/>
          <w:szCs w:val="24"/>
        </w:rPr>
        <w:t>rvice</w:t>
      </w:r>
      <w:r w:rsidR="009D19EA">
        <w:rPr>
          <w:rFonts w:ascii="Times New Roman" w:hAnsi="Times New Roman" w:cs="Times New Roman"/>
          <w:sz w:val="24"/>
          <w:szCs w:val="24"/>
        </w:rPr>
        <w:t>.</w:t>
      </w:r>
    </w:p>
    <w:p w:rsidR="009D19EA" w:rsidRDefault="009D19EA" w:rsidP="00290A93">
      <w:pPr>
        <w:pStyle w:val="ListParagraph"/>
        <w:spacing w:line="240" w:lineRule="auto"/>
        <w:ind w:left="0"/>
        <w:jc w:val="both"/>
        <w:rPr>
          <w:rFonts w:ascii="Times New Roman" w:hAnsi="Times New Roman" w:cs="Times New Roman"/>
          <w:sz w:val="24"/>
          <w:szCs w:val="24"/>
        </w:rPr>
      </w:pPr>
    </w:p>
    <w:p w:rsidR="009D19EA" w:rsidRDefault="009D19EA" w:rsidP="00290A93">
      <w:pPr>
        <w:pStyle w:val="ListParagraph"/>
        <w:spacing w:line="240" w:lineRule="auto"/>
        <w:ind w:left="0"/>
        <w:jc w:val="both"/>
        <w:rPr>
          <w:rFonts w:ascii="Times New Roman" w:hAnsi="Times New Roman" w:cs="Times New Roman"/>
          <w:sz w:val="24"/>
          <w:szCs w:val="24"/>
        </w:rPr>
      </w:pPr>
      <w:r>
        <w:rPr>
          <w:rFonts w:ascii="Times New Roman" w:hAnsi="Times New Roman" w:cs="Times New Roman"/>
          <w:i/>
          <w:sz w:val="24"/>
          <w:szCs w:val="24"/>
        </w:rPr>
        <w:lastRenderedPageBreak/>
        <w:t xml:space="preserve">Administrative expenses </w:t>
      </w:r>
      <w:r>
        <w:rPr>
          <w:rFonts w:ascii="Times New Roman" w:hAnsi="Times New Roman" w:cs="Times New Roman"/>
          <w:sz w:val="24"/>
          <w:szCs w:val="24"/>
        </w:rPr>
        <w:t>are divided in the following cost distribution: Staff cost of the Water Taxi service, Repairs &amp; Maintenance cost of the vessels, Fuel expenses for the vessels and Utilities and other operational cost.</w:t>
      </w:r>
    </w:p>
    <w:p w:rsidR="003A2DC5" w:rsidRDefault="003A2DC5" w:rsidP="00290A93">
      <w:pPr>
        <w:pStyle w:val="ListParagraph"/>
        <w:spacing w:line="240" w:lineRule="auto"/>
        <w:ind w:left="0"/>
        <w:jc w:val="both"/>
        <w:rPr>
          <w:rFonts w:ascii="Times New Roman" w:hAnsi="Times New Roman" w:cs="Times New Roman"/>
          <w:sz w:val="24"/>
          <w:szCs w:val="24"/>
        </w:rPr>
      </w:pPr>
    </w:p>
    <w:p w:rsidR="003A2DC5" w:rsidRPr="009D19EA" w:rsidRDefault="009168AD" w:rsidP="00290A93">
      <w:pPr>
        <w:pStyle w:val="ListParagraph"/>
        <w:spacing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As the Water Taxi Service is a subsidized activity, the GORTT provides NIDCO a </w:t>
      </w:r>
      <w:r w:rsidR="00D71EE1">
        <w:rPr>
          <w:rFonts w:ascii="Times New Roman" w:hAnsi="Times New Roman" w:cs="Times New Roman"/>
          <w:sz w:val="24"/>
          <w:szCs w:val="24"/>
        </w:rPr>
        <w:t>monthly</w:t>
      </w:r>
      <w:r w:rsidR="00D71EE1" w:rsidRPr="00E5340D">
        <w:rPr>
          <w:rFonts w:ascii="Times New Roman" w:hAnsi="Times New Roman" w:cs="Times New Roman"/>
          <w:i/>
          <w:sz w:val="24"/>
          <w:szCs w:val="24"/>
        </w:rPr>
        <w:t xml:space="preserve"> </w:t>
      </w:r>
      <w:r w:rsidRPr="00E5340D">
        <w:rPr>
          <w:rFonts w:ascii="Times New Roman" w:hAnsi="Times New Roman" w:cs="Times New Roman"/>
          <w:i/>
          <w:sz w:val="24"/>
          <w:szCs w:val="24"/>
        </w:rPr>
        <w:t>Government grant</w:t>
      </w:r>
      <w:r w:rsidR="00117D53">
        <w:rPr>
          <w:rFonts w:ascii="Times New Roman" w:hAnsi="Times New Roman" w:cs="Times New Roman"/>
          <w:i/>
          <w:sz w:val="24"/>
          <w:szCs w:val="24"/>
        </w:rPr>
        <w:t xml:space="preserve"> </w:t>
      </w:r>
      <w:r w:rsidR="00D71EE1">
        <w:rPr>
          <w:rFonts w:ascii="Times New Roman" w:hAnsi="Times New Roman" w:cs="Times New Roman"/>
          <w:sz w:val="24"/>
          <w:szCs w:val="24"/>
        </w:rPr>
        <w:t xml:space="preserve">paid </w:t>
      </w:r>
      <w:r w:rsidR="00117D53">
        <w:rPr>
          <w:rFonts w:ascii="Times New Roman" w:hAnsi="Times New Roman" w:cs="Times New Roman"/>
          <w:sz w:val="24"/>
          <w:szCs w:val="24"/>
        </w:rPr>
        <w:t>promptly</w:t>
      </w:r>
      <w:r>
        <w:rPr>
          <w:rFonts w:ascii="Times New Roman" w:hAnsi="Times New Roman" w:cs="Times New Roman"/>
          <w:sz w:val="24"/>
          <w:szCs w:val="24"/>
        </w:rPr>
        <w:t xml:space="preserve"> to cover the operational deficits of the Water </w:t>
      </w:r>
      <w:r w:rsidR="00E5340D">
        <w:rPr>
          <w:rFonts w:ascii="Times New Roman" w:hAnsi="Times New Roman" w:cs="Times New Roman"/>
          <w:sz w:val="24"/>
          <w:szCs w:val="24"/>
        </w:rPr>
        <w:t xml:space="preserve">Taxi </w:t>
      </w:r>
      <w:r w:rsidR="00501C31">
        <w:rPr>
          <w:rFonts w:ascii="Times New Roman" w:hAnsi="Times New Roman" w:cs="Times New Roman"/>
          <w:sz w:val="24"/>
          <w:szCs w:val="24"/>
        </w:rPr>
        <w:t xml:space="preserve">Service operational activities </w:t>
      </w:r>
      <w:r w:rsidR="009D4726">
        <w:rPr>
          <w:rFonts w:ascii="Times New Roman" w:hAnsi="Times New Roman" w:cs="Times New Roman"/>
          <w:sz w:val="24"/>
          <w:szCs w:val="24"/>
        </w:rPr>
        <w:t xml:space="preserve">and thus </w:t>
      </w:r>
      <w:r w:rsidR="00501C31">
        <w:rPr>
          <w:rFonts w:ascii="Times New Roman" w:hAnsi="Times New Roman" w:cs="Times New Roman"/>
          <w:sz w:val="24"/>
          <w:szCs w:val="24"/>
        </w:rPr>
        <w:t>reflect a zero operational</w:t>
      </w:r>
      <w:r>
        <w:rPr>
          <w:rFonts w:ascii="Times New Roman" w:hAnsi="Times New Roman" w:cs="Times New Roman"/>
          <w:sz w:val="24"/>
          <w:szCs w:val="24"/>
        </w:rPr>
        <w:t xml:space="preserve"> </w:t>
      </w:r>
      <w:r w:rsidR="009D4726">
        <w:rPr>
          <w:rFonts w:ascii="Times New Roman" w:hAnsi="Times New Roman" w:cs="Times New Roman"/>
          <w:sz w:val="24"/>
          <w:szCs w:val="24"/>
        </w:rPr>
        <w:t>result in NIDCO</w:t>
      </w:r>
      <w:r w:rsidR="0019515A">
        <w:rPr>
          <w:rFonts w:ascii="Times New Roman" w:hAnsi="Times New Roman" w:cs="Times New Roman"/>
          <w:sz w:val="24"/>
          <w:szCs w:val="24"/>
        </w:rPr>
        <w:t>’s</w:t>
      </w:r>
      <w:r w:rsidR="009D4726">
        <w:rPr>
          <w:rFonts w:ascii="Times New Roman" w:hAnsi="Times New Roman" w:cs="Times New Roman"/>
          <w:sz w:val="24"/>
          <w:szCs w:val="24"/>
        </w:rPr>
        <w:t xml:space="preserve"> income statement.</w:t>
      </w:r>
    </w:p>
    <w:p w:rsidR="00117D53" w:rsidRDefault="00290A93" w:rsidP="00290A93">
      <w:pPr>
        <w:jc w:val="both"/>
        <w:rPr>
          <w:rFonts w:ascii="Times New Roman" w:hAnsi="Times New Roman" w:cs="Times New Roman"/>
          <w:sz w:val="24"/>
          <w:szCs w:val="24"/>
        </w:rPr>
      </w:pPr>
      <w:r w:rsidRPr="00290A93">
        <w:rPr>
          <w:rFonts w:ascii="Times New Roman" w:hAnsi="Times New Roman" w:cs="Times New Roman"/>
          <w:i/>
          <w:sz w:val="24"/>
          <w:szCs w:val="24"/>
        </w:rPr>
        <w:t>Government Capital Grant</w:t>
      </w:r>
      <w:r>
        <w:rPr>
          <w:rFonts w:ascii="Times New Roman" w:hAnsi="Times New Roman" w:cs="Times New Roman"/>
          <w:sz w:val="24"/>
          <w:szCs w:val="24"/>
        </w:rPr>
        <w:t xml:space="preserve">. Capital Grant income </w:t>
      </w:r>
      <w:r w:rsidR="00117D53">
        <w:rPr>
          <w:rFonts w:ascii="Times New Roman" w:hAnsi="Times New Roman" w:cs="Times New Roman"/>
          <w:sz w:val="24"/>
          <w:szCs w:val="24"/>
        </w:rPr>
        <w:t>is in accordance</w:t>
      </w:r>
      <w:r w:rsidRPr="00290A93">
        <w:rPr>
          <w:rFonts w:ascii="Times New Roman" w:hAnsi="Times New Roman" w:cs="Times New Roman"/>
          <w:sz w:val="24"/>
          <w:szCs w:val="24"/>
        </w:rPr>
        <w:t xml:space="preserve"> with the requirements of International Accounting Standard</w:t>
      </w:r>
      <w:r w:rsidR="00244386">
        <w:rPr>
          <w:rFonts w:ascii="Times New Roman" w:hAnsi="Times New Roman" w:cs="Times New Roman"/>
          <w:sz w:val="24"/>
          <w:szCs w:val="24"/>
        </w:rPr>
        <w:t xml:space="preserve"> (IAS)</w:t>
      </w:r>
      <w:r w:rsidRPr="00290A93">
        <w:rPr>
          <w:rFonts w:ascii="Times New Roman" w:hAnsi="Times New Roman" w:cs="Times New Roman"/>
          <w:sz w:val="24"/>
          <w:szCs w:val="24"/>
        </w:rPr>
        <w:t xml:space="preserve"> 20, Accounting for Government Grants and Disclosure of Government Assistance.</w:t>
      </w:r>
      <w:r>
        <w:rPr>
          <w:rFonts w:ascii="Times New Roman" w:hAnsi="Times New Roman" w:cs="Times New Roman"/>
          <w:sz w:val="24"/>
          <w:szCs w:val="24"/>
        </w:rPr>
        <w:t xml:space="preserve"> </w:t>
      </w:r>
      <w:r w:rsidRPr="00290A93">
        <w:rPr>
          <w:rFonts w:ascii="Times New Roman" w:hAnsi="Times New Roman" w:cs="Times New Roman"/>
          <w:sz w:val="24"/>
          <w:szCs w:val="24"/>
        </w:rPr>
        <w:t xml:space="preserve">Under Sections 3 and 7, the funding provided by the Government of Trinidad and Tobago is considered as Government Grants for all projects.  </w:t>
      </w:r>
      <w:r w:rsidR="00244386">
        <w:rPr>
          <w:rFonts w:ascii="Times New Roman" w:hAnsi="Times New Roman" w:cs="Times New Roman"/>
          <w:sz w:val="24"/>
          <w:szCs w:val="24"/>
        </w:rPr>
        <w:t>This IAS-20</w:t>
      </w:r>
      <w:r w:rsidRPr="00290A93">
        <w:rPr>
          <w:rFonts w:ascii="Times New Roman" w:hAnsi="Times New Roman" w:cs="Times New Roman"/>
          <w:sz w:val="24"/>
          <w:szCs w:val="24"/>
        </w:rPr>
        <w:t xml:space="preserve"> guides that</w:t>
      </w:r>
      <w:r w:rsidR="00117D53">
        <w:rPr>
          <w:rFonts w:ascii="Times New Roman" w:hAnsi="Times New Roman" w:cs="Times New Roman"/>
          <w:sz w:val="24"/>
          <w:szCs w:val="24"/>
        </w:rPr>
        <w:t>:</w:t>
      </w:r>
    </w:p>
    <w:p w:rsidR="00117D53" w:rsidRDefault="00117D53" w:rsidP="00117D53">
      <w:pPr>
        <w:ind w:left="720"/>
        <w:jc w:val="both"/>
        <w:rPr>
          <w:rFonts w:ascii="Times New Roman" w:hAnsi="Times New Roman" w:cs="Times New Roman"/>
          <w:sz w:val="24"/>
          <w:szCs w:val="24"/>
        </w:rPr>
      </w:pPr>
      <w:r>
        <w:rPr>
          <w:rFonts w:ascii="Times New Roman" w:hAnsi="Times New Roman" w:cs="Times New Roman"/>
          <w:i/>
          <w:sz w:val="24"/>
          <w:szCs w:val="24"/>
        </w:rPr>
        <w:t>T</w:t>
      </w:r>
      <w:r w:rsidR="00290A93" w:rsidRPr="00290A93">
        <w:rPr>
          <w:rFonts w:ascii="Times New Roman" w:hAnsi="Times New Roman" w:cs="Times New Roman"/>
          <w:i/>
          <w:sz w:val="24"/>
          <w:szCs w:val="24"/>
        </w:rPr>
        <w:t>he grants should be recognized in the profit and loss on a systematic basis over the periods in which the entity recognizes as expenses the related costs for which the grants are intended to compensate, which in the case of grants related to assets requires setting up the grant as deferred income or deducting it from the carrying amount of the asset</w:t>
      </w:r>
      <w:r w:rsidR="00290A93" w:rsidRPr="00290A93">
        <w:rPr>
          <w:rFonts w:ascii="Times New Roman" w:hAnsi="Times New Roman" w:cs="Times New Roman"/>
          <w:sz w:val="24"/>
          <w:szCs w:val="24"/>
        </w:rPr>
        <w:t>.</w:t>
      </w:r>
      <w:r w:rsidR="00290A93">
        <w:rPr>
          <w:rFonts w:ascii="Times New Roman" w:hAnsi="Times New Roman" w:cs="Times New Roman"/>
          <w:sz w:val="24"/>
          <w:szCs w:val="24"/>
        </w:rPr>
        <w:t xml:space="preserve"> </w:t>
      </w:r>
    </w:p>
    <w:p w:rsidR="00290A93" w:rsidRDefault="00290A93" w:rsidP="00290A93">
      <w:pPr>
        <w:jc w:val="both"/>
        <w:rPr>
          <w:rFonts w:ascii="Times New Roman" w:hAnsi="Times New Roman" w:cs="Times New Roman"/>
          <w:sz w:val="24"/>
          <w:szCs w:val="24"/>
        </w:rPr>
      </w:pPr>
      <w:r w:rsidRPr="00290A93">
        <w:rPr>
          <w:rFonts w:ascii="Times New Roman" w:hAnsi="Times New Roman" w:cs="Times New Roman"/>
          <w:sz w:val="24"/>
          <w:szCs w:val="24"/>
        </w:rPr>
        <w:t>Funding for the capital aspect of the Water Taxi Service</w:t>
      </w:r>
      <w:r w:rsidR="00244386">
        <w:rPr>
          <w:rFonts w:ascii="Times New Roman" w:hAnsi="Times New Roman" w:cs="Times New Roman"/>
          <w:sz w:val="24"/>
          <w:szCs w:val="24"/>
        </w:rPr>
        <w:t xml:space="preserve"> (mainly the vessels, pontoons and buildings to perform the Water Taxi services) </w:t>
      </w:r>
      <w:r w:rsidRPr="00290A93">
        <w:rPr>
          <w:rFonts w:ascii="Times New Roman" w:hAnsi="Times New Roman" w:cs="Times New Roman"/>
          <w:sz w:val="24"/>
          <w:szCs w:val="24"/>
        </w:rPr>
        <w:t>is</w:t>
      </w:r>
      <w:r w:rsidR="00117D53">
        <w:rPr>
          <w:rFonts w:ascii="Times New Roman" w:hAnsi="Times New Roman" w:cs="Times New Roman"/>
          <w:sz w:val="24"/>
          <w:szCs w:val="24"/>
        </w:rPr>
        <w:t xml:space="preserve"> </w:t>
      </w:r>
      <w:r w:rsidR="00117D53" w:rsidRPr="00290A93">
        <w:rPr>
          <w:rFonts w:ascii="Times New Roman" w:hAnsi="Times New Roman" w:cs="Times New Roman"/>
          <w:sz w:val="24"/>
          <w:szCs w:val="24"/>
        </w:rPr>
        <w:t>fully</w:t>
      </w:r>
      <w:r w:rsidRPr="00290A93">
        <w:rPr>
          <w:rFonts w:ascii="Times New Roman" w:hAnsi="Times New Roman" w:cs="Times New Roman"/>
          <w:sz w:val="24"/>
          <w:szCs w:val="24"/>
        </w:rPr>
        <w:t xml:space="preserve"> provided by the G</w:t>
      </w:r>
      <w:r w:rsidR="00244386">
        <w:rPr>
          <w:rFonts w:ascii="Times New Roman" w:hAnsi="Times New Roman" w:cs="Times New Roman"/>
          <w:sz w:val="24"/>
          <w:szCs w:val="24"/>
        </w:rPr>
        <w:t>ORTT</w:t>
      </w:r>
      <w:r w:rsidRPr="00290A93">
        <w:rPr>
          <w:rFonts w:ascii="Times New Roman" w:hAnsi="Times New Roman" w:cs="Times New Roman"/>
          <w:sz w:val="24"/>
          <w:szCs w:val="24"/>
        </w:rPr>
        <w:t>, a</w:t>
      </w:r>
      <w:r w:rsidR="00244386">
        <w:rPr>
          <w:rFonts w:ascii="Times New Roman" w:hAnsi="Times New Roman" w:cs="Times New Roman"/>
          <w:sz w:val="24"/>
          <w:szCs w:val="24"/>
        </w:rPr>
        <w:t>nd as such that portion of the c</w:t>
      </w:r>
      <w:r w:rsidRPr="00290A93">
        <w:rPr>
          <w:rFonts w:ascii="Times New Roman" w:hAnsi="Times New Roman" w:cs="Times New Roman"/>
          <w:sz w:val="24"/>
          <w:szCs w:val="24"/>
        </w:rPr>
        <w:t>ost of the</w:t>
      </w:r>
      <w:r w:rsidR="00244386">
        <w:rPr>
          <w:rFonts w:ascii="Times New Roman" w:hAnsi="Times New Roman" w:cs="Times New Roman"/>
          <w:sz w:val="24"/>
          <w:szCs w:val="24"/>
        </w:rPr>
        <w:t>se fixed</w:t>
      </w:r>
      <w:r w:rsidRPr="00290A93">
        <w:rPr>
          <w:rFonts w:ascii="Times New Roman" w:hAnsi="Times New Roman" w:cs="Times New Roman"/>
          <w:sz w:val="24"/>
          <w:szCs w:val="24"/>
        </w:rPr>
        <w:t xml:space="preserve"> assets purchased plus the cost of the external funding associated with acquisition</w:t>
      </w:r>
      <w:r w:rsidR="0098382F">
        <w:rPr>
          <w:rFonts w:ascii="Times New Roman" w:hAnsi="Times New Roman" w:cs="Times New Roman"/>
          <w:sz w:val="24"/>
          <w:szCs w:val="24"/>
        </w:rPr>
        <w:t xml:space="preserve"> is </w:t>
      </w:r>
      <w:r w:rsidR="00244386">
        <w:rPr>
          <w:rFonts w:ascii="Times New Roman" w:hAnsi="Times New Roman" w:cs="Times New Roman"/>
          <w:sz w:val="24"/>
          <w:szCs w:val="24"/>
        </w:rPr>
        <w:t>off</w:t>
      </w:r>
      <w:r w:rsidR="0098382F">
        <w:rPr>
          <w:rFonts w:ascii="Times New Roman" w:hAnsi="Times New Roman" w:cs="Times New Roman"/>
          <w:sz w:val="24"/>
          <w:szCs w:val="24"/>
        </w:rPr>
        <w:t>set</w:t>
      </w:r>
      <w:r w:rsidR="00244386">
        <w:rPr>
          <w:rFonts w:ascii="Times New Roman" w:hAnsi="Times New Roman" w:cs="Times New Roman"/>
          <w:sz w:val="24"/>
          <w:szCs w:val="24"/>
        </w:rPr>
        <w:t xml:space="preserve"> during each</w:t>
      </w:r>
      <w:r w:rsidRPr="00290A93">
        <w:rPr>
          <w:rFonts w:ascii="Times New Roman" w:hAnsi="Times New Roman" w:cs="Times New Roman"/>
          <w:sz w:val="24"/>
          <w:szCs w:val="24"/>
        </w:rPr>
        <w:t xml:space="preserve"> year in recognition of the deferred income as provided by the G</w:t>
      </w:r>
      <w:r w:rsidR="00244386">
        <w:rPr>
          <w:rFonts w:ascii="Times New Roman" w:hAnsi="Times New Roman" w:cs="Times New Roman"/>
          <w:sz w:val="24"/>
          <w:szCs w:val="24"/>
        </w:rPr>
        <w:t>ORTT.</w:t>
      </w:r>
    </w:p>
    <w:p w:rsidR="00A45143" w:rsidRDefault="00A45143" w:rsidP="00A45143">
      <w:pPr>
        <w:jc w:val="both"/>
        <w:rPr>
          <w:rFonts w:ascii="Times New Roman" w:hAnsi="Times New Roman" w:cs="Times New Roman"/>
          <w:sz w:val="24"/>
          <w:szCs w:val="24"/>
        </w:rPr>
      </w:pPr>
      <w:r w:rsidRPr="00A45143">
        <w:rPr>
          <w:rFonts w:ascii="Times New Roman" w:hAnsi="Times New Roman" w:cs="Times New Roman"/>
          <w:i/>
          <w:sz w:val="24"/>
          <w:szCs w:val="24"/>
        </w:rPr>
        <w:t>Depreciation.</w:t>
      </w:r>
      <w:r>
        <w:rPr>
          <w:rFonts w:ascii="Times New Roman" w:hAnsi="Times New Roman" w:cs="Times New Roman"/>
          <w:i/>
          <w:sz w:val="24"/>
          <w:szCs w:val="24"/>
        </w:rPr>
        <w:t xml:space="preserve"> </w:t>
      </w:r>
      <w:r>
        <w:rPr>
          <w:rFonts w:ascii="Times New Roman" w:hAnsi="Times New Roman" w:cs="Times New Roman"/>
          <w:sz w:val="24"/>
          <w:szCs w:val="24"/>
        </w:rPr>
        <w:t>Includes the amortization of the Water Taxi Assets (Vessels, Pontoons, Buildings and Leasehold improvements).</w:t>
      </w:r>
    </w:p>
    <w:p w:rsidR="00244386" w:rsidRPr="00244386" w:rsidRDefault="002934D2" w:rsidP="00A45143">
      <w:pPr>
        <w:jc w:val="both"/>
        <w:rPr>
          <w:rFonts w:ascii="Times New Roman" w:hAnsi="Times New Roman" w:cs="Times New Roman"/>
          <w:sz w:val="24"/>
          <w:szCs w:val="24"/>
        </w:rPr>
      </w:pPr>
      <w:r w:rsidRPr="002934D2">
        <w:rPr>
          <w:rFonts w:ascii="Times New Roman" w:hAnsi="Times New Roman" w:cs="Times New Roman"/>
          <w:i/>
          <w:sz w:val="24"/>
          <w:szCs w:val="24"/>
        </w:rPr>
        <w:t>Impairment of Property, Plant and Equipment</w:t>
      </w:r>
      <w:r>
        <w:rPr>
          <w:rFonts w:ascii="Times New Roman" w:hAnsi="Times New Roman" w:cs="Times New Roman"/>
          <w:sz w:val="24"/>
          <w:szCs w:val="24"/>
        </w:rPr>
        <w:t>. The impairment l</w:t>
      </w:r>
      <w:r w:rsidR="00244386" w:rsidRPr="00244386">
        <w:rPr>
          <w:rFonts w:ascii="Times New Roman" w:hAnsi="Times New Roman" w:cs="Times New Roman"/>
          <w:sz w:val="24"/>
          <w:szCs w:val="24"/>
        </w:rPr>
        <w:t>oss</w:t>
      </w:r>
      <w:r>
        <w:rPr>
          <w:rFonts w:ascii="Times New Roman" w:hAnsi="Times New Roman" w:cs="Times New Roman"/>
          <w:sz w:val="24"/>
          <w:szCs w:val="24"/>
        </w:rPr>
        <w:t xml:space="preserve"> in 2011</w:t>
      </w:r>
      <w:r w:rsidR="00244386" w:rsidRPr="00244386">
        <w:rPr>
          <w:rFonts w:ascii="Times New Roman" w:hAnsi="Times New Roman" w:cs="Times New Roman"/>
          <w:sz w:val="24"/>
          <w:szCs w:val="24"/>
        </w:rPr>
        <w:t xml:space="preserve"> has arisen as a result of the decision of the Board of Directors </w:t>
      </w:r>
      <w:r>
        <w:rPr>
          <w:rFonts w:ascii="Times New Roman" w:hAnsi="Times New Roman" w:cs="Times New Roman"/>
          <w:sz w:val="24"/>
          <w:szCs w:val="24"/>
        </w:rPr>
        <w:t xml:space="preserve">of NIDCO </w:t>
      </w:r>
      <w:r w:rsidR="00244386" w:rsidRPr="00244386">
        <w:rPr>
          <w:rFonts w:ascii="Times New Roman" w:hAnsi="Times New Roman" w:cs="Times New Roman"/>
          <w:sz w:val="24"/>
          <w:szCs w:val="24"/>
        </w:rPr>
        <w:t>to dispose of the four vessels attached to the Water Taxi Service</w:t>
      </w:r>
      <w:r>
        <w:rPr>
          <w:rFonts w:ascii="Times New Roman" w:hAnsi="Times New Roman" w:cs="Times New Roman"/>
          <w:sz w:val="24"/>
          <w:szCs w:val="24"/>
        </w:rPr>
        <w:t>. Since these vessels are</w:t>
      </w:r>
      <w:r w:rsidR="00244386" w:rsidRPr="00244386">
        <w:rPr>
          <w:rFonts w:ascii="Times New Roman" w:hAnsi="Times New Roman" w:cs="Times New Roman"/>
          <w:sz w:val="24"/>
          <w:szCs w:val="24"/>
        </w:rPr>
        <w:t xml:space="preserve"> no longer in use</w:t>
      </w:r>
      <w:r>
        <w:rPr>
          <w:rFonts w:ascii="Times New Roman" w:hAnsi="Times New Roman" w:cs="Times New Roman"/>
          <w:sz w:val="24"/>
          <w:szCs w:val="24"/>
        </w:rPr>
        <w:t>,</w:t>
      </w:r>
      <w:r w:rsidR="00244386" w:rsidRPr="00244386">
        <w:rPr>
          <w:rFonts w:ascii="Times New Roman" w:hAnsi="Times New Roman" w:cs="Times New Roman"/>
          <w:sz w:val="24"/>
          <w:szCs w:val="24"/>
        </w:rPr>
        <w:t xml:space="preserve"> the carrying value was reduced to the fair value as supported by</w:t>
      </w:r>
      <w:r w:rsidR="00A770EF">
        <w:rPr>
          <w:rFonts w:ascii="Times New Roman" w:hAnsi="Times New Roman" w:cs="Times New Roman"/>
          <w:sz w:val="24"/>
          <w:szCs w:val="24"/>
        </w:rPr>
        <w:t xml:space="preserve"> the offers made for disposal. </w:t>
      </w:r>
      <w:r w:rsidR="00244386" w:rsidRPr="00244386">
        <w:rPr>
          <w:rFonts w:ascii="Times New Roman" w:hAnsi="Times New Roman" w:cs="Times New Roman"/>
          <w:sz w:val="24"/>
          <w:szCs w:val="24"/>
        </w:rPr>
        <w:t>This adjus</w:t>
      </w:r>
      <w:r w:rsidR="00DD4A73">
        <w:rPr>
          <w:rFonts w:ascii="Times New Roman" w:hAnsi="Times New Roman" w:cs="Times New Roman"/>
          <w:sz w:val="24"/>
          <w:szCs w:val="24"/>
        </w:rPr>
        <w:t>tment is in accordance with IAS-</w:t>
      </w:r>
      <w:r w:rsidR="00244386" w:rsidRPr="00244386">
        <w:rPr>
          <w:rFonts w:ascii="Times New Roman" w:hAnsi="Times New Roman" w:cs="Times New Roman"/>
          <w:sz w:val="24"/>
          <w:szCs w:val="24"/>
        </w:rPr>
        <w:t>36 Impairment of Assets.</w:t>
      </w:r>
    </w:p>
    <w:p w:rsidR="00244386" w:rsidRPr="00244386" w:rsidRDefault="00244386" w:rsidP="00A45143">
      <w:pPr>
        <w:rPr>
          <w:rFonts w:ascii="Times New Roman" w:hAnsi="Times New Roman" w:cs="Times New Roman"/>
          <w:sz w:val="24"/>
          <w:szCs w:val="24"/>
        </w:rPr>
      </w:pPr>
      <w:r w:rsidRPr="00244386">
        <w:rPr>
          <w:rFonts w:ascii="Times New Roman" w:hAnsi="Times New Roman" w:cs="Times New Roman"/>
          <w:sz w:val="24"/>
          <w:szCs w:val="24"/>
        </w:rPr>
        <w:tab/>
        <w:t xml:space="preserve"> Net book value</w:t>
      </w:r>
      <w:r w:rsidR="002934D2">
        <w:rPr>
          <w:rFonts w:ascii="Times New Roman" w:hAnsi="Times New Roman" w:cs="Times New Roman"/>
          <w:sz w:val="24"/>
          <w:szCs w:val="24"/>
        </w:rPr>
        <w:t xml:space="preserve"> of the old vessels before write-down</w:t>
      </w:r>
      <w:r w:rsidR="002934D2">
        <w:rPr>
          <w:rFonts w:ascii="Times New Roman" w:hAnsi="Times New Roman" w:cs="Times New Roman"/>
          <w:sz w:val="24"/>
          <w:szCs w:val="24"/>
        </w:rPr>
        <w:tab/>
      </w:r>
      <w:r w:rsidR="002934D2">
        <w:rPr>
          <w:rFonts w:ascii="Times New Roman" w:hAnsi="Times New Roman" w:cs="Times New Roman"/>
          <w:sz w:val="24"/>
          <w:szCs w:val="24"/>
        </w:rPr>
        <w:tab/>
        <w:t>14,998,322</w:t>
      </w:r>
      <w:r w:rsidR="00903325">
        <w:rPr>
          <w:rFonts w:ascii="Times New Roman" w:hAnsi="Times New Roman" w:cs="Times New Roman"/>
          <w:sz w:val="24"/>
          <w:szCs w:val="24"/>
        </w:rPr>
        <w:t xml:space="preserve"> (US$</w:t>
      </w:r>
      <w:r w:rsidR="000D217B">
        <w:rPr>
          <w:rFonts w:ascii="Times New Roman" w:hAnsi="Times New Roman" w:cs="Times New Roman"/>
          <w:sz w:val="24"/>
          <w:szCs w:val="24"/>
        </w:rPr>
        <w:t>)</w:t>
      </w:r>
    </w:p>
    <w:p w:rsidR="00244386" w:rsidRPr="00244386" w:rsidRDefault="002C2A31" w:rsidP="00244386">
      <w:pPr>
        <w:pStyle w:val="ListParagraph"/>
        <w:rPr>
          <w:rFonts w:ascii="Times New Roman" w:hAnsi="Times New Roman" w:cs="Times New Roman"/>
          <w:sz w:val="24"/>
          <w:szCs w:val="24"/>
        </w:rPr>
      </w:pPr>
      <w:r>
        <w:rPr>
          <w:rFonts w:ascii="Times New Roman" w:hAnsi="Times New Roman" w:cs="Times New Roman"/>
          <w:sz w:val="24"/>
          <w:szCs w:val="24"/>
        </w:rPr>
        <w:t xml:space="preserve"> </w:t>
      </w:r>
      <w:r w:rsidR="00244386" w:rsidRPr="00244386">
        <w:rPr>
          <w:rFonts w:ascii="Times New Roman" w:hAnsi="Times New Roman" w:cs="Times New Roman"/>
          <w:sz w:val="24"/>
          <w:szCs w:val="24"/>
        </w:rPr>
        <w:t>Fair Value</w:t>
      </w:r>
      <w:r w:rsidR="002934D2">
        <w:rPr>
          <w:rFonts w:ascii="Times New Roman" w:hAnsi="Times New Roman" w:cs="Times New Roman"/>
          <w:sz w:val="24"/>
          <w:szCs w:val="24"/>
        </w:rPr>
        <w:t xml:space="preserve"> of the old vessels</w:t>
      </w:r>
      <w:r w:rsidR="002934D2">
        <w:rPr>
          <w:rFonts w:ascii="Times New Roman" w:hAnsi="Times New Roman" w:cs="Times New Roman"/>
          <w:sz w:val="24"/>
          <w:szCs w:val="24"/>
        </w:rPr>
        <w:tab/>
      </w:r>
      <w:r w:rsidR="002934D2">
        <w:rPr>
          <w:rFonts w:ascii="Times New Roman" w:hAnsi="Times New Roman" w:cs="Times New Roman"/>
          <w:sz w:val="24"/>
          <w:szCs w:val="24"/>
        </w:rPr>
        <w:tab/>
      </w:r>
      <w:r w:rsidR="002934D2">
        <w:rPr>
          <w:rFonts w:ascii="Times New Roman" w:hAnsi="Times New Roman" w:cs="Times New Roman"/>
          <w:sz w:val="24"/>
          <w:szCs w:val="24"/>
        </w:rPr>
        <w:tab/>
      </w:r>
      <w:r w:rsidR="002934D2">
        <w:rPr>
          <w:rFonts w:ascii="Times New Roman" w:hAnsi="Times New Roman" w:cs="Times New Roman"/>
          <w:sz w:val="24"/>
          <w:szCs w:val="24"/>
        </w:rPr>
        <w:tab/>
      </w:r>
      <w:r w:rsidR="002934D2">
        <w:rPr>
          <w:rFonts w:ascii="Times New Roman" w:hAnsi="Times New Roman" w:cs="Times New Roman"/>
          <w:sz w:val="24"/>
          <w:szCs w:val="24"/>
        </w:rPr>
        <w:tab/>
        <w:t xml:space="preserve">     </w:t>
      </w:r>
      <w:r w:rsidR="00A45143">
        <w:rPr>
          <w:rFonts w:ascii="Times New Roman" w:hAnsi="Times New Roman" w:cs="Times New Roman"/>
          <w:sz w:val="24"/>
          <w:szCs w:val="24"/>
        </w:rPr>
        <w:t xml:space="preserve">            </w:t>
      </w:r>
      <w:r w:rsidR="002934D2">
        <w:rPr>
          <w:rFonts w:ascii="Times New Roman" w:hAnsi="Times New Roman" w:cs="Times New Roman"/>
          <w:sz w:val="24"/>
          <w:szCs w:val="24"/>
        </w:rPr>
        <w:t>945,633</w:t>
      </w:r>
      <w:r w:rsidR="00903325">
        <w:rPr>
          <w:rFonts w:ascii="Times New Roman" w:hAnsi="Times New Roman" w:cs="Times New Roman"/>
          <w:sz w:val="24"/>
          <w:szCs w:val="24"/>
        </w:rPr>
        <w:t xml:space="preserve"> (US$</w:t>
      </w:r>
      <w:r w:rsidR="000D217B">
        <w:rPr>
          <w:rFonts w:ascii="Times New Roman" w:hAnsi="Times New Roman" w:cs="Times New Roman"/>
          <w:sz w:val="24"/>
          <w:szCs w:val="24"/>
        </w:rPr>
        <w:t>)</w:t>
      </w:r>
    </w:p>
    <w:p w:rsidR="00244386" w:rsidRPr="00244386" w:rsidRDefault="00244386" w:rsidP="00244386">
      <w:pPr>
        <w:pStyle w:val="ListParagraph"/>
        <w:rPr>
          <w:rFonts w:ascii="Times New Roman" w:hAnsi="Times New Roman" w:cs="Times New Roman"/>
          <w:sz w:val="24"/>
          <w:szCs w:val="24"/>
        </w:rPr>
      </w:pPr>
      <w:r w:rsidRPr="00244386">
        <w:rPr>
          <w:rFonts w:ascii="Times New Roman" w:hAnsi="Times New Roman" w:cs="Times New Roman"/>
          <w:sz w:val="24"/>
          <w:szCs w:val="24"/>
        </w:rPr>
        <w:tab/>
      </w:r>
      <w:r w:rsidRPr="00244386">
        <w:rPr>
          <w:rFonts w:ascii="Times New Roman" w:hAnsi="Times New Roman" w:cs="Times New Roman"/>
          <w:sz w:val="24"/>
          <w:szCs w:val="24"/>
        </w:rPr>
        <w:tab/>
      </w:r>
      <w:r w:rsidRPr="00244386">
        <w:rPr>
          <w:rFonts w:ascii="Times New Roman" w:hAnsi="Times New Roman" w:cs="Times New Roman"/>
          <w:sz w:val="24"/>
          <w:szCs w:val="24"/>
        </w:rPr>
        <w:tab/>
      </w:r>
      <w:r w:rsidRPr="00244386">
        <w:rPr>
          <w:rFonts w:ascii="Times New Roman" w:hAnsi="Times New Roman" w:cs="Times New Roman"/>
          <w:sz w:val="24"/>
          <w:szCs w:val="24"/>
        </w:rPr>
        <w:tab/>
      </w:r>
      <w:r w:rsidRPr="00244386">
        <w:rPr>
          <w:rFonts w:ascii="Times New Roman" w:hAnsi="Times New Roman" w:cs="Times New Roman"/>
          <w:sz w:val="24"/>
          <w:szCs w:val="24"/>
        </w:rPr>
        <w:tab/>
      </w:r>
      <w:r w:rsidRPr="00244386">
        <w:rPr>
          <w:rFonts w:ascii="Times New Roman" w:hAnsi="Times New Roman" w:cs="Times New Roman"/>
          <w:sz w:val="24"/>
          <w:szCs w:val="24"/>
        </w:rPr>
        <w:tab/>
      </w:r>
      <w:r w:rsidR="002934D2">
        <w:rPr>
          <w:rFonts w:ascii="Times New Roman" w:hAnsi="Times New Roman" w:cs="Times New Roman"/>
          <w:sz w:val="24"/>
          <w:szCs w:val="24"/>
        </w:rPr>
        <w:t xml:space="preserve">                      </w:t>
      </w:r>
      <w:r w:rsidR="00A45143">
        <w:rPr>
          <w:rFonts w:ascii="Times New Roman" w:hAnsi="Times New Roman" w:cs="Times New Roman"/>
          <w:sz w:val="24"/>
          <w:szCs w:val="24"/>
        </w:rPr>
        <w:t xml:space="preserve">               </w:t>
      </w:r>
      <w:r w:rsidR="002934D2">
        <w:rPr>
          <w:rFonts w:ascii="Times New Roman" w:hAnsi="Times New Roman" w:cs="Times New Roman"/>
          <w:sz w:val="24"/>
          <w:szCs w:val="24"/>
        </w:rPr>
        <w:t xml:space="preserve">  </w:t>
      </w:r>
      <w:r w:rsidRPr="00244386">
        <w:rPr>
          <w:rFonts w:ascii="Times New Roman" w:hAnsi="Times New Roman" w:cs="Times New Roman"/>
          <w:sz w:val="24"/>
          <w:szCs w:val="24"/>
        </w:rPr>
        <w:t>----------------</w:t>
      </w:r>
    </w:p>
    <w:p w:rsidR="00244386" w:rsidRPr="00244386" w:rsidRDefault="002C2A31" w:rsidP="00244386">
      <w:pPr>
        <w:pStyle w:val="ListParagraph"/>
        <w:rPr>
          <w:rFonts w:ascii="Times New Roman" w:hAnsi="Times New Roman" w:cs="Times New Roman"/>
          <w:sz w:val="24"/>
          <w:szCs w:val="24"/>
        </w:rPr>
      </w:pPr>
      <w:r>
        <w:rPr>
          <w:rFonts w:ascii="Times New Roman" w:hAnsi="Times New Roman" w:cs="Times New Roman"/>
          <w:sz w:val="24"/>
          <w:szCs w:val="24"/>
        </w:rPr>
        <w:t xml:space="preserve"> </w:t>
      </w:r>
      <w:r w:rsidR="00244386" w:rsidRPr="00244386">
        <w:rPr>
          <w:rFonts w:ascii="Times New Roman" w:hAnsi="Times New Roman" w:cs="Times New Roman"/>
          <w:sz w:val="24"/>
          <w:szCs w:val="24"/>
        </w:rPr>
        <w:t>Impairment loss</w:t>
      </w:r>
      <w:r w:rsidR="00244386" w:rsidRPr="00244386">
        <w:rPr>
          <w:rFonts w:ascii="Times New Roman" w:hAnsi="Times New Roman" w:cs="Times New Roman"/>
          <w:sz w:val="24"/>
          <w:szCs w:val="24"/>
        </w:rPr>
        <w:tab/>
      </w:r>
      <w:r w:rsidR="00244386" w:rsidRPr="00244386">
        <w:rPr>
          <w:rFonts w:ascii="Times New Roman" w:hAnsi="Times New Roman" w:cs="Times New Roman"/>
          <w:sz w:val="24"/>
          <w:szCs w:val="24"/>
        </w:rPr>
        <w:tab/>
      </w:r>
      <w:r w:rsidR="00244386" w:rsidRPr="00244386">
        <w:rPr>
          <w:rFonts w:ascii="Times New Roman" w:hAnsi="Times New Roman" w:cs="Times New Roman"/>
          <w:sz w:val="24"/>
          <w:szCs w:val="24"/>
        </w:rPr>
        <w:tab/>
      </w:r>
      <w:r w:rsidR="00244386" w:rsidRPr="00244386">
        <w:rPr>
          <w:rFonts w:ascii="Times New Roman" w:hAnsi="Times New Roman" w:cs="Times New Roman"/>
          <w:sz w:val="24"/>
          <w:szCs w:val="24"/>
        </w:rPr>
        <w:tab/>
      </w:r>
      <w:r w:rsidR="002934D2">
        <w:rPr>
          <w:rFonts w:ascii="Times New Roman" w:hAnsi="Times New Roman" w:cs="Times New Roman"/>
          <w:sz w:val="24"/>
          <w:szCs w:val="24"/>
        </w:rPr>
        <w:t xml:space="preserve">                        </w:t>
      </w:r>
      <w:r w:rsidR="00A45143">
        <w:rPr>
          <w:rFonts w:ascii="Times New Roman" w:hAnsi="Times New Roman" w:cs="Times New Roman"/>
          <w:sz w:val="24"/>
          <w:szCs w:val="24"/>
        </w:rPr>
        <w:t xml:space="preserve">           </w:t>
      </w:r>
      <w:r w:rsidR="002934D2">
        <w:rPr>
          <w:rFonts w:ascii="Times New Roman" w:hAnsi="Times New Roman" w:cs="Times New Roman"/>
          <w:sz w:val="24"/>
          <w:szCs w:val="24"/>
        </w:rPr>
        <w:t xml:space="preserve"> 14,052,689</w:t>
      </w:r>
      <w:r w:rsidR="00903325">
        <w:rPr>
          <w:rFonts w:ascii="Times New Roman" w:hAnsi="Times New Roman" w:cs="Times New Roman"/>
          <w:sz w:val="24"/>
          <w:szCs w:val="24"/>
        </w:rPr>
        <w:t xml:space="preserve"> (US$</w:t>
      </w:r>
      <w:r w:rsidR="000D217B">
        <w:rPr>
          <w:rFonts w:ascii="Times New Roman" w:hAnsi="Times New Roman" w:cs="Times New Roman"/>
          <w:sz w:val="24"/>
          <w:szCs w:val="24"/>
        </w:rPr>
        <w:t>)</w:t>
      </w:r>
    </w:p>
    <w:p w:rsidR="00244386" w:rsidRDefault="00A45143" w:rsidP="00290A93">
      <w:pPr>
        <w:jc w:val="both"/>
        <w:rPr>
          <w:rFonts w:ascii="Times New Roman" w:hAnsi="Times New Roman" w:cs="Times New Roman"/>
          <w:sz w:val="24"/>
          <w:szCs w:val="24"/>
        </w:rPr>
      </w:pPr>
      <w:r w:rsidRPr="00A45143">
        <w:rPr>
          <w:rFonts w:ascii="Times New Roman" w:hAnsi="Times New Roman" w:cs="Times New Roman"/>
          <w:i/>
          <w:sz w:val="24"/>
          <w:szCs w:val="24"/>
        </w:rPr>
        <w:t>Loan interest.</w:t>
      </w:r>
      <w:r w:rsidR="002C0BC5">
        <w:rPr>
          <w:rFonts w:ascii="Times New Roman" w:hAnsi="Times New Roman" w:cs="Times New Roman"/>
          <w:i/>
          <w:sz w:val="24"/>
          <w:szCs w:val="24"/>
        </w:rPr>
        <w:t xml:space="preserve"> </w:t>
      </w:r>
      <w:r w:rsidR="002C0BC5">
        <w:rPr>
          <w:rFonts w:ascii="Times New Roman" w:hAnsi="Times New Roman" w:cs="Times New Roman"/>
          <w:sz w:val="24"/>
          <w:szCs w:val="24"/>
        </w:rPr>
        <w:t>R</w:t>
      </w:r>
      <w:r w:rsidR="002C0BC5" w:rsidRPr="002C0BC5">
        <w:rPr>
          <w:rFonts w:ascii="Times New Roman" w:hAnsi="Times New Roman" w:cs="Times New Roman"/>
          <w:sz w:val="24"/>
          <w:szCs w:val="24"/>
        </w:rPr>
        <w:t>epresents the interest</w:t>
      </w:r>
      <w:r w:rsidRPr="00A45143">
        <w:rPr>
          <w:rFonts w:ascii="Times New Roman" w:hAnsi="Times New Roman" w:cs="Times New Roman"/>
          <w:i/>
          <w:sz w:val="24"/>
          <w:szCs w:val="24"/>
        </w:rPr>
        <w:t xml:space="preserve"> </w:t>
      </w:r>
      <w:r w:rsidR="002C0BC5">
        <w:rPr>
          <w:rFonts w:ascii="Times New Roman" w:hAnsi="Times New Roman" w:cs="Times New Roman"/>
          <w:sz w:val="24"/>
          <w:szCs w:val="24"/>
        </w:rPr>
        <w:t>charges of the existing external debt loans with commercial banks related to the finance of the purchas</w:t>
      </w:r>
      <w:r w:rsidR="00FF0FC4">
        <w:rPr>
          <w:rFonts w:ascii="Times New Roman" w:hAnsi="Times New Roman" w:cs="Times New Roman"/>
          <w:sz w:val="24"/>
          <w:szCs w:val="24"/>
        </w:rPr>
        <w:t>e of the vessels for the Water T</w:t>
      </w:r>
      <w:r w:rsidR="002C0BC5">
        <w:rPr>
          <w:rFonts w:ascii="Times New Roman" w:hAnsi="Times New Roman" w:cs="Times New Roman"/>
          <w:sz w:val="24"/>
          <w:szCs w:val="24"/>
        </w:rPr>
        <w:t>axi Service</w:t>
      </w:r>
      <w:r w:rsidR="002350F6">
        <w:rPr>
          <w:rFonts w:ascii="Times New Roman" w:hAnsi="Times New Roman" w:cs="Times New Roman"/>
          <w:sz w:val="24"/>
          <w:szCs w:val="24"/>
        </w:rPr>
        <w:t xml:space="preserve"> and of other activities</w:t>
      </w:r>
      <w:r w:rsidR="002C0BC5">
        <w:rPr>
          <w:rFonts w:ascii="Times New Roman" w:hAnsi="Times New Roman" w:cs="Times New Roman"/>
          <w:sz w:val="24"/>
          <w:szCs w:val="24"/>
        </w:rPr>
        <w:t>.</w:t>
      </w:r>
    </w:p>
    <w:p w:rsidR="002C0BC5" w:rsidRDefault="007656A4" w:rsidP="00262C05">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The </w:t>
      </w:r>
      <w:r w:rsidRPr="007656A4">
        <w:rPr>
          <w:rFonts w:ascii="Times New Roman" w:hAnsi="Times New Roman" w:cs="Times New Roman"/>
          <w:i/>
          <w:sz w:val="24"/>
          <w:szCs w:val="24"/>
        </w:rPr>
        <w:t>net result of combined operations before taxation</w:t>
      </w:r>
      <w:r>
        <w:rPr>
          <w:rFonts w:ascii="Times New Roman" w:hAnsi="Times New Roman" w:cs="Times New Roman"/>
          <w:sz w:val="24"/>
          <w:szCs w:val="24"/>
        </w:rPr>
        <w:t xml:space="preserve"> is calculated by the addition of the net result of NIDCO</w:t>
      </w:r>
      <w:r w:rsidR="0080609C">
        <w:rPr>
          <w:rFonts w:ascii="Times New Roman" w:hAnsi="Times New Roman" w:cs="Times New Roman"/>
          <w:sz w:val="24"/>
          <w:szCs w:val="24"/>
        </w:rPr>
        <w:t xml:space="preserve"> operational activities</w:t>
      </w:r>
      <w:r>
        <w:rPr>
          <w:rFonts w:ascii="Times New Roman" w:hAnsi="Times New Roman" w:cs="Times New Roman"/>
          <w:sz w:val="24"/>
          <w:szCs w:val="24"/>
        </w:rPr>
        <w:t xml:space="preserve"> and the net result of the Water Taxi Services. Consequently, the company has reached an average profit of </w:t>
      </w:r>
      <w:r w:rsidR="00A770EF">
        <w:rPr>
          <w:rFonts w:ascii="Times New Roman" w:hAnsi="Times New Roman" w:cs="Times New Roman"/>
          <w:sz w:val="24"/>
          <w:szCs w:val="24"/>
        </w:rPr>
        <w:t>US$</w:t>
      </w:r>
      <w:r>
        <w:rPr>
          <w:rFonts w:ascii="Times New Roman" w:hAnsi="Times New Roman" w:cs="Times New Roman"/>
          <w:sz w:val="24"/>
          <w:szCs w:val="24"/>
        </w:rPr>
        <w:t>1,100</w:t>
      </w:r>
      <w:r w:rsidR="00A21B82">
        <w:rPr>
          <w:rFonts w:ascii="Times New Roman" w:hAnsi="Times New Roman" w:cs="Times New Roman"/>
          <w:sz w:val="24"/>
          <w:szCs w:val="24"/>
        </w:rPr>
        <w:t>,000</w:t>
      </w:r>
      <w:r w:rsidR="00903325">
        <w:rPr>
          <w:rFonts w:ascii="Times New Roman" w:hAnsi="Times New Roman" w:cs="Times New Roman"/>
          <w:sz w:val="24"/>
          <w:szCs w:val="24"/>
        </w:rPr>
        <w:t xml:space="preserve"> </w:t>
      </w:r>
      <w:r w:rsidR="005B2D0D">
        <w:rPr>
          <w:rFonts w:ascii="Times New Roman" w:hAnsi="Times New Roman" w:cs="Times New Roman"/>
          <w:sz w:val="24"/>
          <w:szCs w:val="24"/>
        </w:rPr>
        <w:t>globally</w:t>
      </w:r>
      <w:r>
        <w:rPr>
          <w:rFonts w:ascii="Times New Roman" w:hAnsi="Times New Roman" w:cs="Times New Roman"/>
          <w:sz w:val="24"/>
          <w:szCs w:val="24"/>
        </w:rPr>
        <w:t xml:space="preserve"> in the last 3 years</w:t>
      </w:r>
      <w:r w:rsidR="00252E9E">
        <w:rPr>
          <w:rFonts w:ascii="Times New Roman" w:hAnsi="Times New Roman" w:cs="Times New Roman"/>
          <w:sz w:val="24"/>
          <w:szCs w:val="24"/>
        </w:rPr>
        <w:t xml:space="preserve"> closed</w:t>
      </w:r>
      <w:r>
        <w:rPr>
          <w:rFonts w:ascii="Times New Roman" w:hAnsi="Times New Roman" w:cs="Times New Roman"/>
          <w:sz w:val="24"/>
          <w:szCs w:val="24"/>
        </w:rPr>
        <w:t>.</w:t>
      </w:r>
    </w:p>
    <w:p w:rsidR="00F31015" w:rsidRDefault="005266AB" w:rsidP="00F31015">
      <w:pPr>
        <w:spacing w:line="480" w:lineRule="auto"/>
        <w:jc w:val="both"/>
        <w:rPr>
          <w:rFonts w:ascii="Times New Roman" w:hAnsi="Times New Roman" w:cs="Times New Roman"/>
          <w:b/>
          <w:sz w:val="24"/>
          <w:szCs w:val="24"/>
        </w:rPr>
      </w:pPr>
      <w:r>
        <w:rPr>
          <w:rFonts w:ascii="Times New Roman" w:hAnsi="Times New Roman" w:cs="Times New Roman"/>
          <w:b/>
          <w:sz w:val="24"/>
          <w:szCs w:val="24"/>
        </w:rPr>
        <w:t xml:space="preserve">  1.3.2 </w:t>
      </w:r>
      <w:r w:rsidR="00F31015" w:rsidRPr="00F31015">
        <w:rPr>
          <w:rFonts w:ascii="Times New Roman" w:hAnsi="Times New Roman" w:cs="Times New Roman"/>
          <w:b/>
          <w:sz w:val="24"/>
          <w:szCs w:val="24"/>
        </w:rPr>
        <w:t>NIDCO Cash-Flow</w:t>
      </w:r>
      <w:r w:rsidR="004A346B">
        <w:rPr>
          <w:rFonts w:ascii="Times New Roman" w:hAnsi="Times New Roman" w:cs="Times New Roman"/>
          <w:b/>
          <w:sz w:val="24"/>
          <w:szCs w:val="24"/>
        </w:rPr>
        <w:t>s</w:t>
      </w:r>
      <w:r w:rsidR="00F31015" w:rsidRPr="00F31015">
        <w:rPr>
          <w:rFonts w:ascii="Times New Roman" w:hAnsi="Times New Roman" w:cs="Times New Roman"/>
          <w:b/>
          <w:sz w:val="24"/>
          <w:szCs w:val="24"/>
        </w:rPr>
        <w:t xml:space="preserve"> Statement 2010-2012</w:t>
      </w:r>
    </w:p>
    <w:p w:rsidR="00F31015" w:rsidRPr="0050337F" w:rsidRDefault="00F31015" w:rsidP="00F31015">
      <w:pPr>
        <w:pStyle w:val="ListParagraph"/>
        <w:spacing w:line="240" w:lineRule="auto"/>
        <w:ind w:left="0"/>
        <w:jc w:val="both"/>
        <w:rPr>
          <w:rFonts w:ascii="Times New Roman" w:hAnsi="Times New Roman" w:cs="Times New Roman"/>
          <w:sz w:val="24"/>
          <w:szCs w:val="24"/>
        </w:rPr>
      </w:pPr>
      <w:r>
        <w:rPr>
          <w:rFonts w:ascii="Times New Roman" w:hAnsi="Times New Roman" w:cs="Times New Roman"/>
          <w:sz w:val="24"/>
          <w:szCs w:val="24"/>
        </w:rPr>
        <w:t>The following T</w:t>
      </w:r>
      <w:r w:rsidRPr="0050337F">
        <w:rPr>
          <w:rFonts w:ascii="Times New Roman" w:hAnsi="Times New Roman" w:cs="Times New Roman"/>
          <w:sz w:val="24"/>
          <w:szCs w:val="24"/>
        </w:rPr>
        <w:t>able</w:t>
      </w:r>
      <w:r>
        <w:rPr>
          <w:rFonts w:ascii="Times New Roman" w:hAnsi="Times New Roman" w:cs="Times New Roman"/>
          <w:sz w:val="24"/>
          <w:szCs w:val="24"/>
        </w:rPr>
        <w:t xml:space="preserve"> 2 represents the Historical Cash-Flow</w:t>
      </w:r>
      <w:r w:rsidR="004313E6">
        <w:rPr>
          <w:rFonts w:ascii="Times New Roman" w:hAnsi="Times New Roman" w:cs="Times New Roman"/>
          <w:sz w:val="24"/>
          <w:szCs w:val="24"/>
        </w:rPr>
        <w:t>s</w:t>
      </w:r>
      <w:r>
        <w:rPr>
          <w:rFonts w:ascii="Times New Roman" w:hAnsi="Times New Roman" w:cs="Times New Roman"/>
          <w:sz w:val="24"/>
          <w:szCs w:val="24"/>
        </w:rPr>
        <w:t xml:space="preserve"> </w:t>
      </w:r>
      <w:r w:rsidRPr="0050337F">
        <w:rPr>
          <w:rFonts w:ascii="Times New Roman" w:hAnsi="Times New Roman" w:cs="Times New Roman"/>
          <w:sz w:val="24"/>
          <w:szCs w:val="24"/>
        </w:rPr>
        <w:t xml:space="preserve">Statement of </w:t>
      </w:r>
      <w:r>
        <w:rPr>
          <w:rFonts w:ascii="Times New Roman" w:hAnsi="Times New Roman" w:cs="Times New Roman"/>
          <w:sz w:val="24"/>
          <w:szCs w:val="24"/>
        </w:rPr>
        <w:t>NIDCO for years 2010-2012</w:t>
      </w:r>
      <w:r w:rsidRPr="0050337F">
        <w:rPr>
          <w:rFonts w:ascii="Times New Roman" w:hAnsi="Times New Roman" w:cs="Times New Roman"/>
          <w:sz w:val="24"/>
          <w:szCs w:val="24"/>
        </w:rPr>
        <w:t xml:space="preserve">:  </w:t>
      </w:r>
    </w:p>
    <w:p w:rsidR="00F31015" w:rsidRDefault="00F31015" w:rsidP="00F31015">
      <w:pPr>
        <w:pStyle w:val="ListParagraph"/>
        <w:tabs>
          <w:tab w:val="left" w:pos="3168"/>
        </w:tabs>
        <w:spacing w:line="240" w:lineRule="auto"/>
        <w:ind w:left="0"/>
        <w:jc w:val="center"/>
        <w:rPr>
          <w:rFonts w:ascii="Times New Roman" w:hAnsi="Times New Roman" w:cs="Times New Roman"/>
          <w:b/>
          <w:sz w:val="20"/>
          <w:szCs w:val="20"/>
          <w:u w:val="single"/>
        </w:rPr>
      </w:pPr>
    </w:p>
    <w:p w:rsidR="00F31015" w:rsidRPr="000379DC" w:rsidRDefault="00F31015" w:rsidP="00F31015">
      <w:pPr>
        <w:pStyle w:val="ListParagraph"/>
        <w:tabs>
          <w:tab w:val="left" w:pos="3168"/>
        </w:tabs>
        <w:spacing w:line="240" w:lineRule="auto"/>
        <w:ind w:left="0"/>
        <w:jc w:val="center"/>
        <w:rPr>
          <w:rFonts w:ascii="Times New Roman" w:hAnsi="Times New Roman" w:cs="Times New Roman"/>
          <w:b/>
          <w:sz w:val="20"/>
          <w:szCs w:val="20"/>
          <w:u w:val="single"/>
        </w:rPr>
      </w:pPr>
      <w:r>
        <w:rPr>
          <w:rFonts w:ascii="Times New Roman" w:hAnsi="Times New Roman" w:cs="Times New Roman"/>
          <w:b/>
          <w:sz w:val="20"/>
          <w:szCs w:val="20"/>
          <w:u w:val="single"/>
        </w:rPr>
        <w:t>Table 2</w:t>
      </w:r>
      <w:r w:rsidRPr="000379DC">
        <w:rPr>
          <w:rFonts w:ascii="Times New Roman" w:hAnsi="Times New Roman" w:cs="Times New Roman"/>
          <w:b/>
          <w:sz w:val="20"/>
          <w:szCs w:val="20"/>
          <w:u w:val="single"/>
        </w:rPr>
        <w:t xml:space="preserve">.  NIDCO </w:t>
      </w:r>
      <w:r>
        <w:rPr>
          <w:rFonts w:ascii="Times New Roman" w:hAnsi="Times New Roman" w:cs="Times New Roman"/>
          <w:b/>
          <w:sz w:val="20"/>
          <w:szCs w:val="20"/>
          <w:u w:val="single"/>
        </w:rPr>
        <w:t>Cash-Flow</w:t>
      </w:r>
      <w:r w:rsidR="004A346B">
        <w:rPr>
          <w:rFonts w:ascii="Times New Roman" w:hAnsi="Times New Roman" w:cs="Times New Roman"/>
          <w:b/>
          <w:sz w:val="20"/>
          <w:szCs w:val="20"/>
          <w:u w:val="single"/>
        </w:rPr>
        <w:t>s</w:t>
      </w:r>
      <w:r w:rsidRPr="000379DC">
        <w:rPr>
          <w:rFonts w:ascii="Times New Roman" w:hAnsi="Times New Roman" w:cs="Times New Roman"/>
          <w:b/>
          <w:sz w:val="20"/>
          <w:szCs w:val="20"/>
          <w:u w:val="single"/>
        </w:rPr>
        <w:t xml:space="preserve"> Statement 2010 -2012</w:t>
      </w:r>
    </w:p>
    <w:p w:rsidR="00F31015" w:rsidRPr="00F31015" w:rsidRDefault="00677C1E" w:rsidP="00F31015">
      <w:pPr>
        <w:spacing w:line="480" w:lineRule="auto"/>
        <w:jc w:val="both"/>
        <w:rPr>
          <w:rFonts w:ascii="Times New Roman" w:hAnsi="Times New Roman" w:cs="Times New Roman"/>
          <w:b/>
          <w:sz w:val="24"/>
          <w:szCs w:val="24"/>
        </w:rPr>
      </w:pPr>
      <w:r w:rsidRPr="00677C1E">
        <w:rPr>
          <w:noProof/>
        </w:rPr>
        <w:drawing>
          <wp:inline distT="0" distB="0" distL="0" distR="0" wp14:anchorId="20EAF8F6" wp14:editId="715DA997">
            <wp:extent cx="5943600" cy="4715062"/>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4715062"/>
                    </a:xfrm>
                    <a:prstGeom prst="rect">
                      <a:avLst/>
                    </a:prstGeom>
                    <a:noFill/>
                    <a:ln>
                      <a:noFill/>
                    </a:ln>
                  </pic:spPr>
                </pic:pic>
              </a:graphicData>
            </a:graphic>
          </wp:inline>
        </w:drawing>
      </w:r>
    </w:p>
    <w:p w:rsidR="003A30C3" w:rsidRDefault="004313E6" w:rsidP="004313E6">
      <w:pPr>
        <w:spacing w:line="240" w:lineRule="auto"/>
        <w:jc w:val="both"/>
        <w:rPr>
          <w:rFonts w:ascii="Times New Roman" w:hAnsi="Times New Roman" w:cs="Times New Roman"/>
          <w:sz w:val="24"/>
          <w:szCs w:val="24"/>
        </w:rPr>
      </w:pPr>
      <w:r w:rsidRPr="004313E6">
        <w:rPr>
          <w:rFonts w:ascii="Times New Roman" w:hAnsi="Times New Roman" w:cs="Times New Roman"/>
          <w:sz w:val="24"/>
          <w:szCs w:val="24"/>
        </w:rPr>
        <w:t xml:space="preserve">As shown in the </w:t>
      </w:r>
      <w:r w:rsidR="00C6363E">
        <w:rPr>
          <w:rFonts w:ascii="Times New Roman" w:hAnsi="Times New Roman" w:cs="Times New Roman"/>
          <w:sz w:val="24"/>
          <w:szCs w:val="24"/>
        </w:rPr>
        <w:t>previous</w:t>
      </w:r>
      <w:r w:rsidRPr="004313E6">
        <w:rPr>
          <w:rFonts w:ascii="Times New Roman" w:hAnsi="Times New Roman" w:cs="Times New Roman"/>
          <w:sz w:val="24"/>
          <w:szCs w:val="24"/>
        </w:rPr>
        <w:t xml:space="preserve"> Cash-Flow</w:t>
      </w:r>
      <w:r w:rsidR="00BE6DFA">
        <w:rPr>
          <w:rFonts w:ascii="Times New Roman" w:hAnsi="Times New Roman" w:cs="Times New Roman"/>
          <w:sz w:val="24"/>
          <w:szCs w:val="24"/>
        </w:rPr>
        <w:t xml:space="preserve"> Statement</w:t>
      </w:r>
      <w:r w:rsidRPr="004313E6">
        <w:rPr>
          <w:rFonts w:ascii="Times New Roman" w:hAnsi="Times New Roman" w:cs="Times New Roman"/>
          <w:sz w:val="24"/>
          <w:szCs w:val="24"/>
        </w:rPr>
        <w:t>, internal cash generation (“</w:t>
      </w:r>
      <w:r w:rsidR="00C6363E">
        <w:rPr>
          <w:rFonts w:ascii="Times New Roman" w:hAnsi="Times New Roman" w:cs="Times New Roman"/>
          <w:sz w:val="24"/>
          <w:szCs w:val="24"/>
        </w:rPr>
        <w:t>Net Cash from operations</w:t>
      </w:r>
      <w:r w:rsidRPr="004313E6">
        <w:rPr>
          <w:rFonts w:ascii="Times New Roman" w:hAnsi="Times New Roman" w:cs="Times New Roman"/>
          <w:sz w:val="24"/>
          <w:szCs w:val="24"/>
        </w:rPr>
        <w:t xml:space="preserve">”) has reached an average </w:t>
      </w:r>
      <w:r w:rsidR="00C6363E">
        <w:rPr>
          <w:rFonts w:ascii="Times New Roman" w:hAnsi="Times New Roman" w:cs="Times New Roman"/>
          <w:sz w:val="24"/>
          <w:szCs w:val="24"/>
        </w:rPr>
        <w:t xml:space="preserve">negative </w:t>
      </w:r>
      <w:r w:rsidRPr="004313E6">
        <w:rPr>
          <w:rFonts w:ascii="Times New Roman" w:hAnsi="Times New Roman" w:cs="Times New Roman"/>
          <w:sz w:val="24"/>
          <w:szCs w:val="24"/>
        </w:rPr>
        <w:t xml:space="preserve">value of </w:t>
      </w:r>
      <w:r w:rsidR="00A770EF">
        <w:rPr>
          <w:rFonts w:ascii="Times New Roman" w:hAnsi="Times New Roman" w:cs="Times New Roman"/>
          <w:sz w:val="24"/>
          <w:szCs w:val="24"/>
        </w:rPr>
        <w:t>US$</w:t>
      </w:r>
      <w:r w:rsidR="00C6363E">
        <w:rPr>
          <w:rFonts w:ascii="Times New Roman" w:hAnsi="Times New Roman" w:cs="Times New Roman"/>
          <w:sz w:val="24"/>
          <w:szCs w:val="24"/>
        </w:rPr>
        <w:t>28</w:t>
      </w:r>
      <w:r w:rsidRPr="004313E6">
        <w:rPr>
          <w:rFonts w:ascii="Times New Roman" w:hAnsi="Times New Roman" w:cs="Times New Roman"/>
          <w:sz w:val="24"/>
          <w:szCs w:val="24"/>
        </w:rPr>
        <w:t>.2 million</w:t>
      </w:r>
      <w:r w:rsidR="00442208">
        <w:rPr>
          <w:rFonts w:ascii="Times New Roman" w:hAnsi="Times New Roman" w:cs="Times New Roman"/>
          <w:sz w:val="24"/>
          <w:szCs w:val="24"/>
        </w:rPr>
        <w:t xml:space="preserve"> during</w:t>
      </w:r>
      <w:r w:rsidR="00C6363E">
        <w:rPr>
          <w:rFonts w:ascii="Times New Roman" w:hAnsi="Times New Roman" w:cs="Times New Roman"/>
          <w:sz w:val="24"/>
          <w:szCs w:val="24"/>
        </w:rPr>
        <w:t xml:space="preserve"> the 3 years of the analysis based mainly in the yearly movements</w:t>
      </w:r>
      <w:r w:rsidR="00411223">
        <w:rPr>
          <w:rFonts w:ascii="Times New Roman" w:hAnsi="Times New Roman" w:cs="Times New Roman"/>
          <w:sz w:val="24"/>
          <w:szCs w:val="24"/>
        </w:rPr>
        <w:t xml:space="preserve"> of the line item “the decrease/increase in due from Government of Trinidad and Tobago” which represents </w:t>
      </w:r>
      <w:r w:rsidR="00207FA6">
        <w:rPr>
          <w:rFonts w:ascii="Times New Roman" w:hAnsi="Times New Roman" w:cs="Times New Roman"/>
          <w:sz w:val="24"/>
          <w:szCs w:val="24"/>
        </w:rPr>
        <w:t>outstanding request of funds from the GORTT for payment of costs and expenses related to projects assigned to the company and management fees</w:t>
      </w:r>
      <w:r w:rsidRPr="004313E6">
        <w:rPr>
          <w:rFonts w:ascii="Times New Roman" w:hAnsi="Times New Roman" w:cs="Times New Roman"/>
          <w:sz w:val="24"/>
          <w:szCs w:val="24"/>
        </w:rPr>
        <w:t xml:space="preserve">. This operational cash-flow is financing a </w:t>
      </w:r>
      <w:r w:rsidR="00AC5049">
        <w:rPr>
          <w:rFonts w:ascii="Times New Roman" w:hAnsi="Times New Roman" w:cs="Times New Roman"/>
          <w:sz w:val="24"/>
          <w:szCs w:val="24"/>
        </w:rPr>
        <w:t>percentage of 31</w:t>
      </w:r>
      <w:r w:rsidRPr="004313E6">
        <w:rPr>
          <w:rFonts w:ascii="Times New Roman" w:hAnsi="Times New Roman" w:cs="Times New Roman"/>
          <w:sz w:val="24"/>
          <w:szCs w:val="24"/>
        </w:rPr>
        <w:t xml:space="preserve">% </w:t>
      </w:r>
      <w:r w:rsidRPr="004313E6">
        <w:rPr>
          <w:rFonts w:ascii="Times New Roman" w:hAnsi="Times New Roman" w:cs="Times New Roman"/>
          <w:sz w:val="24"/>
          <w:szCs w:val="24"/>
        </w:rPr>
        <w:lastRenderedPageBreak/>
        <w:t>of the investing activitie</w:t>
      </w:r>
      <w:r w:rsidR="00AC5049">
        <w:rPr>
          <w:rFonts w:ascii="Times New Roman" w:hAnsi="Times New Roman" w:cs="Times New Roman"/>
          <w:sz w:val="24"/>
          <w:szCs w:val="24"/>
        </w:rPr>
        <w:t>s during the year 2011. The</w:t>
      </w:r>
      <w:r w:rsidR="00A774A5">
        <w:rPr>
          <w:rFonts w:ascii="Times New Roman" w:hAnsi="Times New Roman" w:cs="Times New Roman"/>
          <w:sz w:val="24"/>
          <w:szCs w:val="24"/>
        </w:rPr>
        <w:t xml:space="preserve"> investing activities of the company </w:t>
      </w:r>
      <w:r w:rsidR="00AC5049">
        <w:rPr>
          <w:rFonts w:ascii="Times New Roman" w:hAnsi="Times New Roman" w:cs="Times New Roman"/>
          <w:sz w:val="24"/>
          <w:szCs w:val="24"/>
        </w:rPr>
        <w:t>has totaled</w:t>
      </w:r>
      <w:r w:rsidR="00A774A5">
        <w:rPr>
          <w:rFonts w:ascii="Times New Roman" w:hAnsi="Times New Roman" w:cs="Times New Roman"/>
          <w:sz w:val="24"/>
          <w:szCs w:val="24"/>
        </w:rPr>
        <w:t xml:space="preserve"> a lump sum of</w:t>
      </w:r>
      <w:r w:rsidR="00AC5049">
        <w:rPr>
          <w:rFonts w:ascii="Times New Roman" w:hAnsi="Times New Roman" w:cs="Times New Roman"/>
          <w:sz w:val="24"/>
          <w:szCs w:val="24"/>
        </w:rPr>
        <w:t xml:space="preserve"> </w:t>
      </w:r>
      <w:r w:rsidR="00A770EF">
        <w:rPr>
          <w:rFonts w:ascii="Times New Roman" w:hAnsi="Times New Roman" w:cs="Times New Roman"/>
          <w:sz w:val="24"/>
          <w:szCs w:val="24"/>
        </w:rPr>
        <w:t>US$</w:t>
      </w:r>
      <w:r w:rsidR="00AC5049">
        <w:rPr>
          <w:rFonts w:ascii="Times New Roman" w:hAnsi="Times New Roman" w:cs="Times New Roman"/>
          <w:sz w:val="24"/>
          <w:szCs w:val="24"/>
        </w:rPr>
        <w:t>369.5</w:t>
      </w:r>
      <w:r w:rsidRPr="004313E6">
        <w:rPr>
          <w:rFonts w:ascii="Times New Roman" w:hAnsi="Times New Roman" w:cs="Times New Roman"/>
          <w:sz w:val="24"/>
          <w:szCs w:val="24"/>
        </w:rPr>
        <w:t xml:space="preserve"> million over the last 3 years, and </w:t>
      </w:r>
      <w:r w:rsidR="003A30C3">
        <w:rPr>
          <w:rFonts w:ascii="Times New Roman" w:hAnsi="Times New Roman" w:cs="Times New Roman"/>
          <w:sz w:val="24"/>
          <w:szCs w:val="24"/>
        </w:rPr>
        <w:t>includes</w:t>
      </w:r>
      <w:r w:rsidR="00A774A5">
        <w:rPr>
          <w:rFonts w:ascii="Times New Roman" w:hAnsi="Times New Roman" w:cs="Times New Roman"/>
          <w:sz w:val="24"/>
          <w:szCs w:val="24"/>
        </w:rPr>
        <w:t xml:space="preserve"> both the </w:t>
      </w:r>
      <w:r w:rsidR="001132C1">
        <w:rPr>
          <w:rFonts w:ascii="Times New Roman" w:hAnsi="Times New Roman" w:cs="Times New Roman"/>
          <w:sz w:val="24"/>
          <w:szCs w:val="24"/>
        </w:rPr>
        <w:t>investment program on fixed assets</w:t>
      </w:r>
      <w:r w:rsidR="00A774A5">
        <w:rPr>
          <w:rFonts w:ascii="Times New Roman" w:hAnsi="Times New Roman" w:cs="Times New Roman"/>
          <w:sz w:val="24"/>
          <w:szCs w:val="24"/>
        </w:rPr>
        <w:t xml:space="preserve"> and</w:t>
      </w:r>
      <w:r w:rsidR="004B6A17">
        <w:rPr>
          <w:rFonts w:ascii="Times New Roman" w:hAnsi="Times New Roman" w:cs="Times New Roman"/>
          <w:sz w:val="24"/>
          <w:szCs w:val="24"/>
        </w:rPr>
        <w:t xml:space="preserve"> the movements</w:t>
      </w:r>
      <w:r w:rsidRPr="004313E6">
        <w:rPr>
          <w:rFonts w:ascii="Times New Roman" w:hAnsi="Times New Roman" w:cs="Times New Roman"/>
          <w:sz w:val="24"/>
          <w:szCs w:val="24"/>
        </w:rPr>
        <w:t xml:space="preserve"> </w:t>
      </w:r>
      <w:r w:rsidR="004B6A17">
        <w:rPr>
          <w:rFonts w:ascii="Times New Roman" w:hAnsi="Times New Roman" w:cs="Times New Roman"/>
          <w:sz w:val="24"/>
          <w:szCs w:val="24"/>
        </w:rPr>
        <w:t>on the</w:t>
      </w:r>
      <w:r w:rsidRPr="004313E6">
        <w:rPr>
          <w:rFonts w:ascii="Times New Roman" w:hAnsi="Times New Roman" w:cs="Times New Roman"/>
          <w:sz w:val="24"/>
          <w:szCs w:val="24"/>
        </w:rPr>
        <w:t xml:space="preserve"> </w:t>
      </w:r>
      <w:r w:rsidR="004B6A17">
        <w:rPr>
          <w:rFonts w:ascii="Times New Roman" w:hAnsi="Times New Roman" w:cs="Times New Roman"/>
          <w:sz w:val="24"/>
          <w:szCs w:val="24"/>
        </w:rPr>
        <w:t>expenditure</w:t>
      </w:r>
      <w:r w:rsidR="00A774A5">
        <w:rPr>
          <w:rFonts w:ascii="Times New Roman" w:hAnsi="Times New Roman" w:cs="Times New Roman"/>
          <w:sz w:val="24"/>
          <w:szCs w:val="24"/>
        </w:rPr>
        <w:t xml:space="preserve">s </w:t>
      </w:r>
      <w:r w:rsidR="004B6A17">
        <w:rPr>
          <w:rFonts w:ascii="Times New Roman" w:hAnsi="Times New Roman" w:cs="Times New Roman"/>
          <w:sz w:val="24"/>
          <w:szCs w:val="24"/>
        </w:rPr>
        <w:t>of the i</w:t>
      </w:r>
      <w:r w:rsidR="003A30C3">
        <w:rPr>
          <w:rFonts w:ascii="Times New Roman" w:hAnsi="Times New Roman" w:cs="Times New Roman"/>
          <w:sz w:val="24"/>
          <w:szCs w:val="24"/>
        </w:rPr>
        <w:t>nfrastructure projects</w:t>
      </w:r>
      <w:r w:rsidR="004B6A17">
        <w:rPr>
          <w:rFonts w:ascii="Times New Roman" w:hAnsi="Times New Roman" w:cs="Times New Roman"/>
          <w:sz w:val="24"/>
          <w:szCs w:val="24"/>
        </w:rPr>
        <w:t xml:space="preserve"> developed by the company (br</w:t>
      </w:r>
      <w:r w:rsidR="00903325">
        <w:rPr>
          <w:rFonts w:ascii="Times New Roman" w:hAnsi="Times New Roman" w:cs="Times New Roman"/>
          <w:sz w:val="24"/>
          <w:szCs w:val="24"/>
        </w:rPr>
        <w:t>idges, highways, drainage works</w:t>
      </w:r>
      <w:r w:rsidR="004B6A17">
        <w:rPr>
          <w:rFonts w:ascii="Times New Roman" w:hAnsi="Times New Roman" w:cs="Times New Roman"/>
          <w:sz w:val="24"/>
          <w:szCs w:val="24"/>
        </w:rPr>
        <w:t>) related to the value of the works certified to date.</w:t>
      </w:r>
      <w:r w:rsidRPr="004313E6">
        <w:rPr>
          <w:rFonts w:ascii="Times New Roman" w:hAnsi="Times New Roman" w:cs="Times New Roman"/>
          <w:sz w:val="24"/>
          <w:szCs w:val="24"/>
        </w:rPr>
        <w:t xml:space="preserve"> </w:t>
      </w:r>
    </w:p>
    <w:p w:rsidR="004313E6" w:rsidRDefault="004313E6" w:rsidP="004313E6">
      <w:pPr>
        <w:spacing w:line="240" w:lineRule="auto"/>
        <w:jc w:val="both"/>
        <w:rPr>
          <w:rFonts w:ascii="Times New Roman" w:hAnsi="Times New Roman" w:cs="Times New Roman"/>
          <w:sz w:val="24"/>
          <w:szCs w:val="24"/>
        </w:rPr>
      </w:pPr>
      <w:r w:rsidRPr="004313E6">
        <w:rPr>
          <w:rFonts w:ascii="Times New Roman" w:hAnsi="Times New Roman" w:cs="Times New Roman"/>
          <w:sz w:val="24"/>
          <w:szCs w:val="24"/>
        </w:rPr>
        <w:t>In</w:t>
      </w:r>
      <w:r w:rsidR="00971F7F">
        <w:rPr>
          <w:rFonts w:ascii="Times New Roman" w:hAnsi="Times New Roman" w:cs="Times New Roman"/>
          <w:sz w:val="24"/>
          <w:szCs w:val="24"/>
        </w:rPr>
        <w:t xml:space="preserve"> order to finance its investing activities, NIDCO</w:t>
      </w:r>
      <w:r w:rsidR="006F39DD">
        <w:rPr>
          <w:rFonts w:ascii="Times New Roman" w:hAnsi="Times New Roman" w:cs="Times New Roman"/>
          <w:sz w:val="24"/>
          <w:szCs w:val="24"/>
        </w:rPr>
        <w:t>, as a project management special purpose company of the GORT</w:t>
      </w:r>
      <w:r w:rsidR="00370FA7">
        <w:rPr>
          <w:rFonts w:ascii="Times New Roman" w:hAnsi="Times New Roman" w:cs="Times New Roman"/>
          <w:sz w:val="24"/>
          <w:szCs w:val="24"/>
        </w:rPr>
        <w:t>T</w:t>
      </w:r>
      <w:r w:rsidR="00BE6DFA">
        <w:rPr>
          <w:rFonts w:ascii="Times New Roman" w:hAnsi="Times New Roman" w:cs="Times New Roman"/>
          <w:sz w:val="24"/>
          <w:szCs w:val="24"/>
        </w:rPr>
        <w:t xml:space="preserve">, </w:t>
      </w:r>
      <w:r w:rsidR="00971F7F">
        <w:rPr>
          <w:rFonts w:ascii="Times New Roman" w:hAnsi="Times New Roman" w:cs="Times New Roman"/>
          <w:sz w:val="24"/>
          <w:szCs w:val="24"/>
        </w:rPr>
        <w:t xml:space="preserve">relied on </w:t>
      </w:r>
      <w:r w:rsidR="001E3DEA">
        <w:rPr>
          <w:rFonts w:ascii="Times New Roman" w:hAnsi="Times New Roman" w:cs="Times New Roman"/>
          <w:sz w:val="24"/>
          <w:szCs w:val="24"/>
        </w:rPr>
        <w:t>the GOR</w:t>
      </w:r>
      <w:r w:rsidR="003F040B">
        <w:rPr>
          <w:rFonts w:ascii="Times New Roman" w:hAnsi="Times New Roman" w:cs="Times New Roman"/>
          <w:sz w:val="24"/>
          <w:szCs w:val="24"/>
        </w:rPr>
        <w:t>T</w:t>
      </w:r>
      <w:r w:rsidR="001E3DEA">
        <w:rPr>
          <w:rFonts w:ascii="Times New Roman" w:hAnsi="Times New Roman" w:cs="Times New Roman"/>
          <w:sz w:val="24"/>
          <w:szCs w:val="24"/>
        </w:rPr>
        <w:t>T capital grant</w:t>
      </w:r>
      <w:r w:rsidRPr="004313E6">
        <w:rPr>
          <w:rFonts w:ascii="Times New Roman" w:hAnsi="Times New Roman" w:cs="Times New Roman"/>
          <w:sz w:val="24"/>
          <w:szCs w:val="24"/>
        </w:rPr>
        <w:t xml:space="preserve"> </w:t>
      </w:r>
      <w:r w:rsidR="001E3DEA">
        <w:rPr>
          <w:rFonts w:ascii="Times New Roman" w:hAnsi="Times New Roman" w:cs="Times New Roman"/>
          <w:sz w:val="24"/>
          <w:szCs w:val="24"/>
        </w:rPr>
        <w:t>contributions for</w:t>
      </w:r>
      <w:r w:rsidR="006F39DD">
        <w:rPr>
          <w:rFonts w:ascii="Times New Roman" w:hAnsi="Times New Roman" w:cs="Times New Roman"/>
          <w:sz w:val="24"/>
          <w:szCs w:val="24"/>
        </w:rPr>
        <w:t xml:space="preserve"> its</w:t>
      </w:r>
      <w:r w:rsidR="001E3DEA">
        <w:rPr>
          <w:rFonts w:ascii="Times New Roman" w:hAnsi="Times New Roman" w:cs="Times New Roman"/>
          <w:sz w:val="24"/>
          <w:szCs w:val="24"/>
        </w:rPr>
        <w:t xml:space="preserve"> </w:t>
      </w:r>
      <w:r w:rsidR="00924C7F">
        <w:rPr>
          <w:rFonts w:ascii="Times New Roman" w:hAnsi="Times New Roman" w:cs="Times New Roman"/>
          <w:sz w:val="24"/>
          <w:szCs w:val="24"/>
        </w:rPr>
        <w:t>financing</w:t>
      </w:r>
      <w:r w:rsidRPr="004313E6">
        <w:rPr>
          <w:rFonts w:ascii="Times New Roman" w:hAnsi="Times New Roman" w:cs="Times New Roman"/>
          <w:sz w:val="24"/>
          <w:szCs w:val="24"/>
        </w:rPr>
        <w:t xml:space="preserve"> ac</w:t>
      </w:r>
      <w:r w:rsidR="002B222C">
        <w:rPr>
          <w:rFonts w:ascii="Times New Roman" w:hAnsi="Times New Roman" w:cs="Times New Roman"/>
          <w:sz w:val="24"/>
          <w:szCs w:val="24"/>
        </w:rPr>
        <w:t>tivities; these capital grant contributions</w:t>
      </w:r>
      <w:r w:rsidR="003F040B">
        <w:rPr>
          <w:rFonts w:ascii="Times New Roman" w:hAnsi="Times New Roman" w:cs="Times New Roman"/>
          <w:sz w:val="24"/>
          <w:szCs w:val="24"/>
        </w:rPr>
        <w:t xml:space="preserve"> have averaged </w:t>
      </w:r>
      <w:r w:rsidR="00A770EF">
        <w:rPr>
          <w:rFonts w:ascii="Times New Roman" w:hAnsi="Times New Roman" w:cs="Times New Roman"/>
          <w:sz w:val="24"/>
          <w:szCs w:val="24"/>
        </w:rPr>
        <w:t>US$</w:t>
      </w:r>
      <w:r w:rsidR="003F040B">
        <w:rPr>
          <w:rFonts w:ascii="Times New Roman" w:hAnsi="Times New Roman" w:cs="Times New Roman"/>
          <w:sz w:val="24"/>
          <w:szCs w:val="24"/>
        </w:rPr>
        <w:t>160</w:t>
      </w:r>
      <w:r w:rsidRPr="004313E6">
        <w:rPr>
          <w:rFonts w:ascii="Times New Roman" w:hAnsi="Times New Roman" w:cs="Times New Roman"/>
          <w:sz w:val="24"/>
          <w:szCs w:val="24"/>
        </w:rPr>
        <w:t xml:space="preserve"> </w:t>
      </w:r>
      <w:r w:rsidR="003F040B">
        <w:rPr>
          <w:rFonts w:ascii="Times New Roman" w:hAnsi="Times New Roman" w:cs="Times New Roman"/>
          <w:sz w:val="24"/>
          <w:szCs w:val="24"/>
        </w:rPr>
        <w:t xml:space="preserve">million over the last </w:t>
      </w:r>
      <w:r w:rsidR="00903325">
        <w:rPr>
          <w:rFonts w:ascii="Times New Roman" w:hAnsi="Times New Roman" w:cs="Times New Roman"/>
          <w:sz w:val="24"/>
          <w:szCs w:val="24"/>
        </w:rPr>
        <w:br/>
      </w:r>
      <w:r w:rsidR="003F040B">
        <w:rPr>
          <w:rFonts w:ascii="Times New Roman" w:hAnsi="Times New Roman" w:cs="Times New Roman"/>
          <w:sz w:val="24"/>
          <w:szCs w:val="24"/>
        </w:rPr>
        <w:t xml:space="preserve">3 years. </w:t>
      </w:r>
      <w:r w:rsidRPr="004313E6">
        <w:rPr>
          <w:rFonts w:ascii="Times New Roman" w:hAnsi="Times New Roman" w:cs="Times New Roman"/>
          <w:sz w:val="24"/>
          <w:szCs w:val="24"/>
        </w:rPr>
        <w:t>External debt financing facilities, with a GORTT guarantee, have also been provided to the company, mostly from local commercial banks, to finance capital expenditure activities</w:t>
      </w:r>
      <w:r w:rsidR="00971F7F">
        <w:rPr>
          <w:rFonts w:ascii="Times New Roman" w:hAnsi="Times New Roman" w:cs="Times New Roman"/>
          <w:sz w:val="24"/>
          <w:szCs w:val="24"/>
        </w:rPr>
        <w:t xml:space="preserve"> related to the to the purchase of the vessels for the Water Taxi Service</w:t>
      </w:r>
      <w:r w:rsidRPr="004313E6">
        <w:rPr>
          <w:rFonts w:ascii="Times New Roman" w:hAnsi="Times New Roman" w:cs="Times New Roman"/>
          <w:sz w:val="24"/>
          <w:szCs w:val="24"/>
        </w:rPr>
        <w:t>. The repayment obligations of these external debts are also guaranteed by the GORTT.</w:t>
      </w:r>
    </w:p>
    <w:p w:rsidR="004313E6" w:rsidRPr="004313E6" w:rsidRDefault="005266AB" w:rsidP="004313E6">
      <w:pPr>
        <w:rPr>
          <w:rFonts w:ascii="Times New Roman" w:hAnsi="Times New Roman" w:cs="Times New Roman"/>
          <w:b/>
          <w:sz w:val="24"/>
          <w:szCs w:val="24"/>
        </w:rPr>
      </w:pPr>
      <w:r>
        <w:rPr>
          <w:rFonts w:ascii="Times New Roman" w:hAnsi="Times New Roman" w:cs="Times New Roman"/>
          <w:b/>
          <w:sz w:val="24"/>
          <w:szCs w:val="24"/>
        </w:rPr>
        <w:t xml:space="preserve"> 1.3.3 </w:t>
      </w:r>
      <w:r w:rsidR="004313E6" w:rsidRPr="004313E6">
        <w:rPr>
          <w:rFonts w:ascii="Times New Roman" w:hAnsi="Times New Roman" w:cs="Times New Roman"/>
          <w:b/>
          <w:sz w:val="24"/>
          <w:szCs w:val="24"/>
        </w:rPr>
        <w:t xml:space="preserve">NIDCO </w:t>
      </w:r>
      <w:r w:rsidR="004313E6">
        <w:rPr>
          <w:rFonts w:ascii="Times New Roman" w:hAnsi="Times New Roman" w:cs="Times New Roman"/>
          <w:b/>
          <w:sz w:val="24"/>
          <w:szCs w:val="24"/>
        </w:rPr>
        <w:t>Balance Sheet</w:t>
      </w:r>
      <w:r w:rsidR="004313E6" w:rsidRPr="004313E6">
        <w:rPr>
          <w:rFonts w:ascii="Times New Roman" w:hAnsi="Times New Roman" w:cs="Times New Roman"/>
          <w:b/>
          <w:sz w:val="24"/>
          <w:szCs w:val="24"/>
        </w:rPr>
        <w:t xml:space="preserve"> 2010-2012</w:t>
      </w:r>
    </w:p>
    <w:p w:rsidR="004313E6" w:rsidRDefault="004313E6" w:rsidP="004313E6">
      <w:pPr>
        <w:rPr>
          <w:rFonts w:ascii="Times New Roman" w:hAnsi="Times New Roman" w:cs="Times New Roman"/>
          <w:sz w:val="24"/>
          <w:szCs w:val="24"/>
        </w:rPr>
      </w:pPr>
      <w:r>
        <w:rPr>
          <w:rFonts w:ascii="Times New Roman" w:hAnsi="Times New Roman" w:cs="Times New Roman"/>
          <w:sz w:val="24"/>
          <w:szCs w:val="24"/>
        </w:rPr>
        <w:t>The following Table 3</w:t>
      </w:r>
      <w:r w:rsidRPr="004313E6">
        <w:rPr>
          <w:rFonts w:ascii="Times New Roman" w:hAnsi="Times New Roman" w:cs="Times New Roman"/>
          <w:sz w:val="24"/>
          <w:szCs w:val="24"/>
        </w:rPr>
        <w:t xml:space="preserve"> represents the </w:t>
      </w:r>
      <w:r>
        <w:rPr>
          <w:rFonts w:ascii="Times New Roman" w:hAnsi="Times New Roman" w:cs="Times New Roman"/>
          <w:sz w:val="24"/>
          <w:szCs w:val="24"/>
        </w:rPr>
        <w:t>Balance Sheet</w:t>
      </w:r>
      <w:r w:rsidRPr="004313E6">
        <w:rPr>
          <w:rFonts w:ascii="Times New Roman" w:hAnsi="Times New Roman" w:cs="Times New Roman"/>
          <w:sz w:val="24"/>
          <w:szCs w:val="24"/>
        </w:rPr>
        <w:t xml:space="preserve"> of NIDCO for years 2010-2012:  </w:t>
      </w:r>
    </w:p>
    <w:p w:rsidR="00ED0B4D" w:rsidRDefault="00ED0B4D" w:rsidP="004313E6">
      <w:pPr>
        <w:rPr>
          <w:rFonts w:ascii="Times New Roman" w:hAnsi="Times New Roman" w:cs="Times New Roman"/>
          <w:sz w:val="24"/>
          <w:szCs w:val="24"/>
        </w:rPr>
      </w:pPr>
    </w:p>
    <w:p w:rsidR="00ED0B4D" w:rsidRDefault="00ED0B4D" w:rsidP="004313E6">
      <w:pPr>
        <w:rPr>
          <w:rFonts w:ascii="Times New Roman" w:hAnsi="Times New Roman" w:cs="Times New Roman"/>
          <w:sz w:val="24"/>
          <w:szCs w:val="24"/>
        </w:rPr>
      </w:pPr>
    </w:p>
    <w:p w:rsidR="00ED0B4D" w:rsidRDefault="00ED0B4D" w:rsidP="004313E6">
      <w:pPr>
        <w:rPr>
          <w:rFonts w:ascii="Times New Roman" w:hAnsi="Times New Roman" w:cs="Times New Roman"/>
          <w:sz w:val="24"/>
          <w:szCs w:val="24"/>
        </w:rPr>
      </w:pPr>
    </w:p>
    <w:p w:rsidR="00ED0B4D" w:rsidRDefault="00ED0B4D" w:rsidP="004313E6">
      <w:pPr>
        <w:rPr>
          <w:rFonts w:ascii="Times New Roman" w:hAnsi="Times New Roman" w:cs="Times New Roman"/>
          <w:sz w:val="24"/>
          <w:szCs w:val="24"/>
        </w:rPr>
      </w:pPr>
    </w:p>
    <w:p w:rsidR="00ED0B4D" w:rsidRDefault="00ED0B4D" w:rsidP="004313E6">
      <w:pPr>
        <w:rPr>
          <w:rFonts w:ascii="Times New Roman" w:hAnsi="Times New Roman" w:cs="Times New Roman"/>
          <w:sz w:val="24"/>
          <w:szCs w:val="24"/>
        </w:rPr>
      </w:pPr>
    </w:p>
    <w:p w:rsidR="00ED0B4D" w:rsidRDefault="00ED0B4D" w:rsidP="004313E6">
      <w:pPr>
        <w:rPr>
          <w:rFonts w:ascii="Times New Roman" w:hAnsi="Times New Roman" w:cs="Times New Roman"/>
          <w:sz w:val="24"/>
          <w:szCs w:val="24"/>
        </w:rPr>
      </w:pPr>
    </w:p>
    <w:p w:rsidR="00ED0B4D" w:rsidRDefault="00ED0B4D" w:rsidP="004313E6">
      <w:pPr>
        <w:rPr>
          <w:rFonts w:ascii="Times New Roman" w:hAnsi="Times New Roman" w:cs="Times New Roman"/>
          <w:sz w:val="24"/>
          <w:szCs w:val="24"/>
        </w:rPr>
      </w:pPr>
    </w:p>
    <w:p w:rsidR="00ED0B4D" w:rsidRDefault="00ED0B4D" w:rsidP="004313E6">
      <w:pPr>
        <w:rPr>
          <w:rFonts w:ascii="Times New Roman" w:hAnsi="Times New Roman" w:cs="Times New Roman"/>
          <w:sz w:val="24"/>
          <w:szCs w:val="24"/>
        </w:rPr>
      </w:pPr>
    </w:p>
    <w:p w:rsidR="00ED0B4D" w:rsidRDefault="00ED0B4D" w:rsidP="004313E6">
      <w:pPr>
        <w:rPr>
          <w:rFonts w:ascii="Times New Roman" w:hAnsi="Times New Roman" w:cs="Times New Roman"/>
          <w:sz w:val="24"/>
          <w:szCs w:val="24"/>
        </w:rPr>
      </w:pPr>
    </w:p>
    <w:p w:rsidR="00ED0B4D" w:rsidRDefault="00ED0B4D" w:rsidP="004313E6">
      <w:pPr>
        <w:rPr>
          <w:rFonts w:ascii="Times New Roman" w:hAnsi="Times New Roman" w:cs="Times New Roman"/>
          <w:sz w:val="24"/>
          <w:szCs w:val="24"/>
        </w:rPr>
      </w:pPr>
    </w:p>
    <w:p w:rsidR="00ED0B4D" w:rsidRDefault="00ED0B4D" w:rsidP="004313E6">
      <w:pPr>
        <w:rPr>
          <w:rFonts w:ascii="Times New Roman" w:hAnsi="Times New Roman" w:cs="Times New Roman"/>
          <w:sz w:val="24"/>
          <w:szCs w:val="24"/>
        </w:rPr>
      </w:pPr>
    </w:p>
    <w:p w:rsidR="00ED0B4D" w:rsidRDefault="00ED0B4D" w:rsidP="004313E6">
      <w:pPr>
        <w:rPr>
          <w:rFonts w:ascii="Times New Roman" w:hAnsi="Times New Roman" w:cs="Times New Roman"/>
          <w:sz w:val="24"/>
          <w:szCs w:val="24"/>
        </w:rPr>
      </w:pPr>
    </w:p>
    <w:p w:rsidR="00ED0B4D" w:rsidRDefault="00ED0B4D" w:rsidP="004313E6">
      <w:pPr>
        <w:rPr>
          <w:rFonts w:ascii="Times New Roman" w:hAnsi="Times New Roman" w:cs="Times New Roman"/>
          <w:sz w:val="24"/>
          <w:szCs w:val="24"/>
        </w:rPr>
      </w:pPr>
    </w:p>
    <w:p w:rsidR="00ED0B4D" w:rsidRDefault="00ED0B4D" w:rsidP="004313E6">
      <w:pPr>
        <w:rPr>
          <w:rFonts w:ascii="Times New Roman" w:hAnsi="Times New Roman" w:cs="Times New Roman"/>
          <w:sz w:val="24"/>
          <w:szCs w:val="24"/>
        </w:rPr>
      </w:pPr>
    </w:p>
    <w:p w:rsidR="00ED0B4D" w:rsidRDefault="00ED0B4D" w:rsidP="004313E6">
      <w:pPr>
        <w:rPr>
          <w:rFonts w:ascii="Times New Roman" w:hAnsi="Times New Roman" w:cs="Times New Roman"/>
          <w:sz w:val="24"/>
          <w:szCs w:val="24"/>
        </w:rPr>
      </w:pPr>
    </w:p>
    <w:p w:rsidR="00ED0B4D" w:rsidRDefault="00ED0B4D" w:rsidP="004313E6">
      <w:pPr>
        <w:rPr>
          <w:rFonts w:ascii="Times New Roman" w:hAnsi="Times New Roman" w:cs="Times New Roman"/>
          <w:sz w:val="24"/>
          <w:szCs w:val="24"/>
        </w:rPr>
      </w:pPr>
    </w:p>
    <w:p w:rsidR="004313E6" w:rsidRPr="00B83498" w:rsidRDefault="004313E6" w:rsidP="004313E6">
      <w:pPr>
        <w:jc w:val="center"/>
        <w:rPr>
          <w:rFonts w:ascii="Times New Roman" w:hAnsi="Times New Roman" w:cs="Times New Roman"/>
          <w:b/>
          <w:sz w:val="20"/>
          <w:szCs w:val="24"/>
          <w:u w:val="single"/>
        </w:rPr>
      </w:pPr>
      <w:r w:rsidRPr="00B83498">
        <w:rPr>
          <w:rFonts w:ascii="Times New Roman" w:hAnsi="Times New Roman" w:cs="Times New Roman"/>
          <w:b/>
          <w:sz w:val="20"/>
          <w:szCs w:val="24"/>
          <w:u w:val="single"/>
        </w:rPr>
        <w:lastRenderedPageBreak/>
        <w:t>Table 3.  NIDCO Balance Sheet 2010 -2012</w:t>
      </w:r>
    </w:p>
    <w:p w:rsidR="00411223" w:rsidRDefault="00B83498" w:rsidP="00B83498">
      <w:pPr>
        <w:jc w:val="center"/>
        <w:rPr>
          <w:rFonts w:ascii="Times New Roman" w:hAnsi="Times New Roman" w:cs="Times New Roman"/>
          <w:sz w:val="24"/>
          <w:szCs w:val="24"/>
        </w:rPr>
      </w:pPr>
      <w:r w:rsidRPr="00B83498">
        <w:rPr>
          <w:noProof/>
        </w:rPr>
        <w:drawing>
          <wp:inline distT="0" distB="0" distL="0" distR="0" wp14:anchorId="313FF6D9" wp14:editId="7DEDB95F">
            <wp:extent cx="4706248" cy="549062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09764" cy="5494730"/>
                    </a:xfrm>
                    <a:prstGeom prst="rect">
                      <a:avLst/>
                    </a:prstGeom>
                    <a:noFill/>
                    <a:ln>
                      <a:noFill/>
                    </a:ln>
                  </pic:spPr>
                </pic:pic>
              </a:graphicData>
            </a:graphic>
          </wp:inline>
        </w:drawing>
      </w:r>
    </w:p>
    <w:p w:rsidR="00411223" w:rsidRDefault="00411223" w:rsidP="00411223">
      <w:pPr>
        <w:spacing w:line="240" w:lineRule="auto"/>
        <w:jc w:val="both"/>
        <w:rPr>
          <w:rFonts w:ascii="Times New Roman" w:hAnsi="Times New Roman" w:cs="Times New Roman"/>
          <w:sz w:val="24"/>
          <w:szCs w:val="24"/>
        </w:rPr>
      </w:pPr>
      <w:r w:rsidRPr="00FE1D11">
        <w:rPr>
          <w:rFonts w:ascii="Times New Roman" w:hAnsi="Times New Roman" w:cs="Times New Roman"/>
          <w:i/>
          <w:sz w:val="24"/>
          <w:szCs w:val="24"/>
        </w:rPr>
        <w:t>Assets.</w:t>
      </w:r>
      <w:r>
        <w:rPr>
          <w:rFonts w:ascii="Times New Roman" w:hAnsi="Times New Roman" w:cs="Times New Roman"/>
          <w:sz w:val="24"/>
          <w:szCs w:val="24"/>
        </w:rPr>
        <w:t xml:space="preserve"> The</w:t>
      </w:r>
      <w:r w:rsidR="00BE6DFA">
        <w:rPr>
          <w:rFonts w:ascii="Times New Roman" w:hAnsi="Times New Roman" w:cs="Times New Roman"/>
          <w:sz w:val="24"/>
          <w:szCs w:val="24"/>
        </w:rPr>
        <w:t xml:space="preserve"> September 2012 financial statements</w:t>
      </w:r>
      <w:r>
        <w:rPr>
          <w:rFonts w:ascii="Times New Roman" w:hAnsi="Times New Roman" w:cs="Times New Roman"/>
          <w:sz w:val="24"/>
          <w:szCs w:val="24"/>
        </w:rPr>
        <w:t xml:space="preserve"> show that the total assets of the</w:t>
      </w:r>
      <w:r w:rsidR="00B75D81">
        <w:rPr>
          <w:rFonts w:ascii="Times New Roman" w:hAnsi="Times New Roman" w:cs="Times New Roman"/>
          <w:sz w:val="24"/>
          <w:szCs w:val="24"/>
        </w:rPr>
        <w:t xml:space="preserve"> company are approximately 822</w:t>
      </w:r>
      <w:r>
        <w:rPr>
          <w:rFonts w:ascii="Times New Roman" w:hAnsi="Times New Roman" w:cs="Times New Roman"/>
          <w:sz w:val="24"/>
          <w:szCs w:val="24"/>
        </w:rPr>
        <w:t xml:space="preserve"> USD million. The non-current assets represent 8% of the total assets and consist of</w:t>
      </w:r>
      <w:r w:rsidR="00017DD9">
        <w:rPr>
          <w:rFonts w:ascii="Times New Roman" w:hAnsi="Times New Roman" w:cs="Times New Roman"/>
          <w:sz w:val="24"/>
          <w:szCs w:val="24"/>
        </w:rPr>
        <w:t xml:space="preserve">: i) </w:t>
      </w:r>
      <w:r w:rsidR="005D28D5">
        <w:rPr>
          <w:rFonts w:ascii="Times New Roman" w:hAnsi="Times New Roman" w:cs="Times New Roman"/>
          <w:sz w:val="24"/>
          <w:szCs w:val="24"/>
        </w:rPr>
        <w:t xml:space="preserve">tangible assets </w:t>
      </w:r>
      <w:r>
        <w:rPr>
          <w:rFonts w:ascii="Times New Roman" w:hAnsi="Times New Roman" w:cs="Times New Roman"/>
          <w:sz w:val="24"/>
          <w:szCs w:val="24"/>
        </w:rPr>
        <w:t xml:space="preserve">(fixed assets in relation to: </w:t>
      </w:r>
      <w:r w:rsidR="005D28D5">
        <w:rPr>
          <w:rFonts w:ascii="Times New Roman" w:hAnsi="Times New Roman" w:cs="Times New Roman"/>
          <w:sz w:val="24"/>
          <w:szCs w:val="24"/>
        </w:rPr>
        <w:t>Water Taxi assets, equipment, furniture&amp;fixtur</w:t>
      </w:r>
      <w:r w:rsidR="00903325">
        <w:rPr>
          <w:rFonts w:ascii="Times New Roman" w:hAnsi="Times New Roman" w:cs="Times New Roman"/>
          <w:sz w:val="24"/>
          <w:szCs w:val="24"/>
        </w:rPr>
        <w:t>es, and leasehold improvements);</w:t>
      </w:r>
      <w:r w:rsidR="005D28D5">
        <w:rPr>
          <w:rFonts w:ascii="Times New Roman" w:hAnsi="Times New Roman" w:cs="Times New Roman"/>
          <w:sz w:val="24"/>
          <w:szCs w:val="24"/>
        </w:rPr>
        <w:t xml:space="preserve"> </w:t>
      </w:r>
      <w:r>
        <w:rPr>
          <w:rFonts w:ascii="Times New Roman" w:hAnsi="Times New Roman" w:cs="Times New Roman"/>
          <w:sz w:val="24"/>
          <w:szCs w:val="24"/>
        </w:rPr>
        <w:t>ii)</w:t>
      </w:r>
      <w:r w:rsidR="00A770EF">
        <w:rPr>
          <w:rFonts w:ascii="Times New Roman" w:hAnsi="Times New Roman" w:cs="Times New Roman"/>
          <w:sz w:val="24"/>
          <w:szCs w:val="24"/>
        </w:rPr>
        <w:t xml:space="preserve"> i</w:t>
      </w:r>
      <w:r w:rsidR="005D28D5">
        <w:rPr>
          <w:rFonts w:ascii="Times New Roman" w:hAnsi="Times New Roman" w:cs="Times New Roman"/>
          <w:sz w:val="24"/>
          <w:szCs w:val="24"/>
        </w:rPr>
        <w:t>ntangible assets (</w:t>
      </w:r>
      <w:r w:rsidR="006E3D01">
        <w:rPr>
          <w:rFonts w:ascii="Times New Roman" w:hAnsi="Times New Roman" w:cs="Times New Roman"/>
          <w:sz w:val="24"/>
          <w:szCs w:val="24"/>
        </w:rPr>
        <w:t xml:space="preserve">mainly </w:t>
      </w:r>
      <w:r w:rsidR="005D28D5">
        <w:rPr>
          <w:rFonts w:ascii="Times New Roman" w:hAnsi="Times New Roman" w:cs="Times New Roman"/>
          <w:sz w:val="24"/>
          <w:szCs w:val="24"/>
        </w:rPr>
        <w:t>compu</w:t>
      </w:r>
      <w:r w:rsidR="006E3D01">
        <w:rPr>
          <w:rFonts w:ascii="Times New Roman" w:hAnsi="Times New Roman" w:cs="Times New Roman"/>
          <w:sz w:val="24"/>
          <w:szCs w:val="24"/>
        </w:rPr>
        <w:t>t</w:t>
      </w:r>
      <w:r w:rsidR="005D28D5">
        <w:rPr>
          <w:rFonts w:ascii="Times New Roman" w:hAnsi="Times New Roman" w:cs="Times New Roman"/>
          <w:sz w:val="24"/>
          <w:szCs w:val="24"/>
        </w:rPr>
        <w:t>er software</w:t>
      </w:r>
      <w:r w:rsidR="006E3D01">
        <w:rPr>
          <w:rFonts w:ascii="Times New Roman" w:hAnsi="Times New Roman" w:cs="Times New Roman"/>
          <w:sz w:val="24"/>
          <w:szCs w:val="24"/>
        </w:rPr>
        <w:t xml:space="preserve"> of both the company and</w:t>
      </w:r>
      <w:r w:rsidR="00903325">
        <w:rPr>
          <w:rFonts w:ascii="Times New Roman" w:hAnsi="Times New Roman" w:cs="Times New Roman"/>
          <w:sz w:val="24"/>
          <w:szCs w:val="24"/>
        </w:rPr>
        <w:t xml:space="preserve"> the water taxi service assets);</w:t>
      </w:r>
      <w:r w:rsidR="006E3D01">
        <w:rPr>
          <w:rFonts w:ascii="Times New Roman" w:hAnsi="Times New Roman" w:cs="Times New Roman"/>
          <w:sz w:val="24"/>
          <w:szCs w:val="24"/>
        </w:rPr>
        <w:t xml:space="preserve"> </w:t>
      </w:r>
      <w:r>
        <w:rPr>
          <w:rFonts w:ascii="Times New Roman" w:hAnsi="Times New Roman" w:cs="Times New Roman"/>
          <w:sz w:val="24"/>
          <w:szCs w:val="24"/>
        </w:rPr>
        <w:t xml:space="preserve">and iii) </w:t>
      </w:r>
      <w:r w:rsidR="00A770EF">
        <w:rPr>
          <w:rFonts w:ascii="Times New Roman" w:hAnsi="Times New Roman" w:cs="Times New Roman"/>
          <w:sz w:val="24"/>
          <w:szCs w:val="24"/>
        </w:rPr>
        <w:t>s</w:t>
      </w:r>
      <w:r w:rsidR="005D28D5">
        <w:rPr>
          <w:rFonts w:ascii="Times New Roman" w:hAnsi="Times New Roman" w:cs="Times New Roman"/>
          <w:sz w:val="24"/>
          <w:szCs w:val="24"/>
        </w:rPr>
        <w:t>ecurity deposit of the buildings.</w:t>
      </w:r>
      <w:r w:rsidR="00826065">
        <w:rPr>
          <w:rFonts w:ascii="Times New Roman" w:hAnsi="Times New Roman" w:cs="Times New Roman"/>
          <w:sz w:val="24"/>
          <w:szCs w:val="24"/>
        </w:rPr>
        <w:t xml:space="preserve"> On the other hand, c</w:t>
      </w:r>
      <w:r>
        <w:rPr>
          <w:rFonts w:ascii="Times New Roman" w:hAnsi="Times New Roman" w:cs="Times New Roman"/>
          <w:sz w:val="24"/>
          <w:szCs w:val="24"/>
        </w:rPr>
        <w:t xml:space="preserve">urrent assets can cover </w:t>
      </w:r>
      <w:r w:rsidR="00567B9F">
        <w:rPr>
          <w:rFonts w:ascii="Times New Roman" w:hAnsi="Times New Roman" w:cs="Times New Roman"/>
          <w:sz w:val="24"/>
          <w:szCs w:val="24"/>
        </w:rPr>
        <w:t>approximately</w:t>
      </w:r>
      <w:r w:rsidR="00826065">
        <w:rPr>
          <w:rFonts w:ascii="Times New Roman" w:hAnsi="Times New Roman" w:cs="Times New Roman"/>
          <w:sz w:val="24"/>
          <w:szCs w:val="24"/>
        </w:rPr>
        <w:t xml:space="preserve"> 5</w:t>
      </w:r>
      <w:r>
        <w:rPr>
          <w:rFonts w:ascii="Times New Roman" w:hAnsi="Times New Roman" w:cs="Times New Roman"/>
          <w:sz w:val="24"/>
          <w:szCs w:val="24"/>
        </w:rPr>
        <w:t xml:space="preserve"> time</w:t>
      </w:r>
      <w:r w:rsidR="00826065">
        <w:rPr>
          <w:rFonts w:ascii="Times New Roman" w:hAnsi="Times New Roman" w:cs="Times New Roman"/>
          <w:sz w:val="24"/>
          <w:szCs w:val="24"/>
        </w:rPr>
        <w:t>s</w:t>
      </w:r>
      <w:r>
        <w:rPr>
          <w:rFonts w:ascii="Times New Roman" w:hAnsi="Times New Roman" w:cs="Times New Roman"/>
          <w:sz w:val="24"/>
          <w:szCs w:val="24"/>
        </w:rPr>
        <w:t xml:space="preserve"> the current liabilities; this indicates </w:t>
      </w:r>
      <w:r w:rsidR="00567B9F">
        <w:rPr>
          <w:rFonts w:ascii="Times New Roman" w:hAnsi="Times New Roman" w:cs="Times New Roman"/>
          <w:sz w:val="24"/>
          <w:szCs w:val="24"/>
        </w:rPr>
        <w:t>that</w:t>
      </w:r>
      <w:r>
        <w:rPr>
          <w:rFonts w:ascii="Times New Roman" w:hAnsi="Times New Roman" w:cs="Times New Roman"/>
          <w:sz w:val="24"/>
          <w:szCs w:val="24"/>
        </w:rPr>
        <w:t xml:space="preserve"> the company </w:t>
      </w:r>
      <w:r w:rsidR="00567B9F">
        <w:rPr>
          <w:rFonts w:ascii="Times New Roman" w:hAnsi="Times New Roman" w:cs="Times New Roman"/>
          <w:sz w:val="24"/>
          <w:szCs w:val="24"/>
        </w:rPr>
        <w:t>can easily cover its</w:t>
      </w:r>
      <w:r>
        <w:rPr>
          <w:rFonts w:ascii="Times New Roman" w:hAnsi="Times New Roman" w:cs="Times New Roman"/>
          <w:sz w:val="24"/>
          <w:szCs w:val="24"/>
        </w:rPr>
        <w:t xml:space="preserve"> short term obligations with current assets.</w:t>
      </w:r>
      <w:r w:rsidR="00826065">
        <w:rPr>
          <w:rFonts w:ascii="Times New Roman" w:hAnsi="Times New Roman" w:cs="Times New Roman"/>
          <w:sz w:val="24"/>
          <w:szCs w:val="24"/>
        </w:rPr>
        <w:t xml:space="preserve"> The current assets are compri</w:t>
      </w:r>
      <w:r w:rsidR="00567B9F">
        <w:rPr>
          <w:rFonts w:ascii="Times New Roman" w:hAnsi="Times New Roman" w:cs="Times New Roman"/>
          <w:sz w:val="24"/>
          <w:szCs w:val="24"/>
        </w:rPr>
        <w:t>sed mainly of</w:t>
      </w:r>
      <w:r w:rsidR="00826065">
        <w:rPr>
          <w:rFonts w:ascii="Times New Roman" w:hAnsi="Times New Roman" w:cs="Times New Roman"/>
          <w:sz w:val="24"/>
          <w:szCs w:val="24"/>
        </w:rPr>
        <w:t xml:space="preserve"> the cash and cash equivalent of the company (cash in hand and balances with banks)</w:t>
      </w:r>
      <w:r w:rsidR="00567B9F">
        <w:rPr>
          <w:rFonts w:ascii="Times New Roman" w:hAnsi="Times New Roman" w:cs="Times New Roman"/>
          <w:sz w:val="24"/>
          <w:szCs w:val="24"/>
        </w:rPr>
        <w:t>, as well as the due from the GORT</w:t>
      </w:r>
      <w:r w:rsidR="00826065">
        <w:rPr>
          <w:rFonts w:ascii="Times New Roman" w:hAnsi="Times New Roman" w:cs="Times New Roman"/>
          <w:sz w:val="24"/>
          <w:szCs w:val="24"/>
        </w:rPr>
        <w:t>T related to the outstanding request of funds from the GORTT for payment of costs and expenses related to projects assigned to the company and management fees</w:t>
      </w:r>
      <w:r w:rsidR="00826065" w:rsidRPr="004313E6">
        <w:rPr>
          <w:rFonts w:ascii="Times New Roman" w:hAnsi="Times New Roman" w:cs="Times New Roman"/>
          <w:sz w:val="24"/>
          <w:szCs w:val="24"/>
        </w:rPr>
        <w:t>.</w:t>
      </w:r>
      <w:r w:rsidR="00017DD9">
        <w:rPr>
          <w:rFonts w:ascii="Times New Roman" w:hAnsi="Times New Roman" w:cs="Times New Roman"/>
          <w:sz w:val="24"/>
          <w:szCs w:val="24"/>
        </w:rPr>
        <w:t xml:space="preserve"> The rest of </w:t>
      </w:r>
      <w:r w:rsidR="00C22929">
        <w:rPr>
          <w:rFonts w:ascii="Times New Roman" w:hAnsi="Times New Roman" w:cs="Times New Roman"/>
          <w:sz w:val="24"/>
          <w:szCs w:val="24"/>
        </w:rPr>
        <w:t>the total assets is comprised of</w:t>
      </w:r>
      <w:r w:rsidR="00017DD9">
        <w:rPr>
          <w:rFonts w:ascii="Times New Roman" w:hAnsi="Times New Roman" w:cs="Times New Roman"/>
          <w:sz w:val="24"/>
          <w:szCs w:val="24"/>
        </w:rPr>
        <w:t xml:space="preserve"> the project expenses</w:t>
      </w:r>
      <w:r w:rsidR="00B52AC8">
        <w:rPr>
          <w:rFonts w:ascii="Times New Roman" w:hAnsi="Times New Roman" w:cs="Times New Roman"/>
          <w:sz w:val="24"/>
          <w:szCs w:val="24"/>
        </w:rPr>
        <w:t xml:space="preserve"> (</w:t>
      </w:r>
      <w:r w:rsidR="00017DD9">
        <w:rPr>
          <w:rFonts w:ascii="Times New Roman" w:hAnsi="Times New Roman" w:cs="Times New Roman"/>
          <w:sz w:val="24"/>
          <w:szCs w:val="24"/>
        </w:rPr>
        <w:t xml:space="preserve">the </w:t>
      </w:r>
      <w:r w:rsidR="00B52AC8">
        <w:rPr>
          <w:rFonts w:ascii="Times New Roman" w:hAnsi="Times New Roman" w:cs="Times New Roman"/>
          <w:sz w:val="24"/>
          <w:szCs w:val="24"/>
        </w:rPr>
        <w:t xml:space="preserve">total </w:t>
      </w:r>
      <w:r w:rsidR="00017DD9">
        <w:rPr>
          <w:rFonts w:ascii="Times New Roman" w:hAnsi="Times New Roman" w:cs="Times New Roman"/>
          <w:sz w:val="24"/>
          <w:szCs w:val="24"/>
        </w:rPr>
        <w:t>value of the</w:t>
      </w:r>
      <w:r w:rsidR="00B52AC8">
        <w:rPr>
          <w:rFonts w:ascii="Times New Roman" w:hAnsi="Times New Roman" w:cs="Times New Roman"/>
          <w:sz w:val="24"/>
          <w:szCs w:val="24"/>
        </w:rPr>
        <w:t xml:space="preserve"> </w:t>
      </w:r>
      <w:r w:rsidR="00C10A08">
        <w:rPr>
          <w:rFonts w:ascii="Times New Roman" w:hAnsi="Times New Roman" w:cs="Times New Roman"/>
          <w:sz w:val="24"/>
          <w:szCs w:val="24"/>
        </w:rPr>
        <w:t xml:space="preserve">project </w:t>
      </w:r>
      <w:r w:rsidR="00B52AC8">
        <w:rPr>
          <w:rFonts w:ascii="Times New Roman" w:hAnsi="Times New Roman" w:cs="Times New Roman"/>
          <w:sz w:val="24"/>
          <w:szCs w:val="24"/>
        </w:rPr>
        <w:t>infrastructure</w:t>
      </w:r>
      <w:r w:rsidR="00017DD9">
        <w:rPr>
          <w:rFonts w:ascii="Times New Roman" w:hAnsi="Times New Roman" w:cs="Times New Roman"/>
          <w:sz w:val="24"/>
          <w:szCs w:val="24"/>
        </w:rPr>
        <w:t xml:space="preserve"> work</w:t>
      </w:r>
      <w:r w:rsidR="00C10A08">
        <w:rPr>
          <w:rFonts w:ascii="Times New Roman" w:hAnsi="Times New Roman" w:cs="Times New Roman"/>
          <w:sz w:val="24"/>
          <w:szCs w:val="24"/>
        </w:rPr>
        <w:t xml:space="preserve"> in </w:t>
      </w:r>
      <w:r w:rsidR="00C10A08">
        <w:rPr>
          <w:rFonts w:ascii="Times New Roman" w:hAnsi="Times New Roman" w:cs="Times New Roman"/>
          <w:sz w:val="24"/>
          <w:szCs w:val="24"/>
        </w:rPr>
        <w:lastRenderedPageBreak/>
        <w:t>progress which has been</w:t>
      </w:r>
      <w:r w:rsidR="00017DD9">
        <w:rPr>
          <w:rFonts w:ascii="Times New Roman" w:hAnsi="Times New Roman" w:cs="Times New Roman"/>
          <w:sz w:val="24"/>
          <w:szCs w:val="24"/>
        </w:rPr>
        <w:t xml:space="preserve"> certified to date), </w:t>
      </w:r>
      <w:r w:rsidR="00B52AC8">
        <w:rPr>
          <w:rFonts w:ascii="Times New Roman" w:hAnsi="Times New Roman" w:cs="Times New Roman"/>
          <w:sz w:val="24"/>
          <w:szCs w:val="24"/>
        </w:rPr>
        <w:t xml:space="preserve">the </w:t>
      </w:r>
      <w:r w:rsidR="00017DD9">
        <w:rPr>
          <w:rFonts w:ascii="Times New Roman" w:hAnsi="Times New Roman" w:cs="Times New Roman"/>
          <w:sz w:val="24"/>
          <w:szCs w:val="24"/>
        </w:rPr>
        <w:t>investments (</w:t>
      </w:r>
      <w:r w:rsidR="00B52AC8">
        <w:rPr>
          <w:rFonts w:ascii="Times New Roman" w:hAnsi="Times New Roman" w:cs="Times New Roman"/>
          <w:sz w:val="24"/>
          <w:szCs w:val="24"/>
        </w:rPr>
        <w:t>collateral posting of NIDCO’s aggregate exposure under hedging agreement with an international bank group), and the deferred tax.</w:t>
      </w:r>
    </w:p>
    <w:p w:rsidR="00411223" w:rsidRDefault="00411223" w:rsidP="00411223">
      <w:pPr>
        <w:spacing w:line="240" w:lineRule="auto"/>
        <w:jc w:val="both"/>
        <w:rPr>
          <w:rFonts w:ascii="Times New Roman" w:hAnsi="Times New Roman" w:cs="Times New Roman"/>
          <w:sz w:val="24"/>
          <w:szCs w:val="24"/>
        </w:rPr>
      </w:pPr>
      <w:r w:rsidRPr="00FE1D11">
        <w:rPr>
          <w:rFonts w:ascii="Times New Roman" w:hAnsi="Times New Roman" w:cs="Times New Roman"/>
          <w:i/>
          <w:sz w:val="24"/>
          <w:szCs w:val="24"/>
        </w:rPr>
        <w:t>Equity and Liabilities.</w:t>
      </w:r>
      <w:r>
        <w:rPr>
          <w:rFonts w:ascii="Times New Roman" w:hAnsi="Times New Roman" w:cs="Times New Roman"/>
          <w:i/>
          <w:sz w:val="24"/>
          <w:szCs w:val="24"/>
        </w:rPr>
        <w:t xml:space="preserve"> </w:t>
      </w:r>
      <w:r w:rsidR="00C22929">
        <w:rPr>
          <w:rFonts w:ascii="Times New Roman" w:hAnsi="Times New Roman" w:cs="Times New Roman"/>
          <w:sz w:val="24"/>
          <w:szCs w:val="24"/>
        </w:rPr>
        <w:t>Because</w:t>
      </w:r>
      <w:r>
        <w:rPr>
          <w:rFonts w:ascii="Times New Roman" w:hAnsi="Times New Roman" w:cs="Times New Roman"/>
          <w:sz w:val="24"/>
          <w:szCs w:val="24"/>
        </w:rPr>
        <w:t xml:space="preserve"> </w:t>
      </w:r>
      <w:r w:rsidR="00366341">
        <w:rPr>
          <w:rFonts w:ascii="Times New Roman" w:hAnsi="Times New Roman" w:cs="Times New Roman"/>
          <w:sz w:val="24"/>
          <w:szCs w:val="24"/>
        </w:rPr>
        <w:t>NIDCO</w:t>
      </w:r>
      <w:r w:rsidR="0081212E">
        <w:rPr>
          <w:rFonts w:ascii="Times New Roman" w:hAnsi="Times New Roman" w:cs="Times New Roman"/>
          <w:sz w:val="24"/>
          <w:szCs w:val="24"/>
        </w:rPr>
        <w:t xml:space="preserve">’s </w:t>
      </w:r>
      <w:r w:rsidR="00C22929">
        <w:rPr>
          <w:rFonts w:ascii="Times New Roman" w:hAnsi="Times New Roman" w:cs="Times New Roman"/>
          <w:sz w:val="24"/>
          <w:szCs w:val="24"/>
        </w:rPr>
        <w:t>unique classification</w:t>
      </w:r>
      <w:r w:rsidR="0081212E">
        <w:rPr>
          <w:rFonts w:ascii="Times New Roman" w:hAnsi="Times New Roman" w:cs="Times New Roman"/>
          <w:sz w:val="24"/>
          <w:szCs w:val="24"/>
        </w:rPr>
        <w:t xml:space="preserve"> as a proje</w:t>
      </w:r>
      <w:r w:rsidR="00864CA4">
        <w:rPr>
          <w:rFonts w:ascii="Times New Roman" w:hAnsi="Times New Roman" w:cs="Times New Roman"/>
          <w:sz w:val="24"/>
          <w:szCs w:val="24"/>
        </w:rPr>
        <w:t>ct management company of the GO</w:t>
      </w:r>
      <w:r w:rsidR="0081212E">
        <w:rPr>
          <w:rFonts w:ascii="Times New Roman" w:hAnsi="Times New Roman" w:cs="Times New Roman"/>
          <w:sz w:val="24"/>
          <w:szCs w:val="24"/>
        </w:rPr>
        <w:t>R</w:t>
      </w:r>
      <w:r w:rsidR="00864CA4">
        <w:rPr>
          <w:rFonts w:ascii="Times New Roman" w:hAnsi="Times New Roman" w:cs="Times New Roman"/>
          <w:sz w:val="24"/>
          <w:szCs w:val="24"/>
        </w:rPr>
        <w:t>T</w:t>
      </w:r>
      <w:r w:rsidR="0081212E">
        <w:rPr>
          <w:rFonts w:ascii="Times New Roman" w:hAnsi="Times New Roman" w:cs="Times New Roman"/>
          <w:sz w:val="24"/>
          <w:szCs w:val="24"/>
        </w:rPr>
        <w:t xml:space="preserve">T for </w:t>
      </w:r>
      <w:r w:rsidR="008D2DC6">
        <w:rPr>
          <w:rFonts w:ascii="Times New Roman" w:hAnsi="Times New Roman" w:cs="Times New Roman"/>
          <w:sz w:val="24"/>
          <w:szCs w:val="24"/>
        </w:rPr>
        <w:t xml:space="preserve">development </w:t>
      </w:r>
      <w:r w:rsidR="00BE6DFA">
        <w:rPr>
          <w:rFonts w:ascii="Times New Roman" w:hAnsi="Times New Roman" w:cs="Times New Roman"/>
          <w:sz w:val="24"/>
          <w:szCs w:val="24"/>
        </w:rPr>
        <w:t xml:space="preserve">of </w:t>
      </w:r>
      <w:r w:rsidR="008D2DC6">
        <w:rPr>
          <w:rFonts w:ascii="Times New Roman" w:hAnsi="Times New Roman" w:cs="Times New Roman"/>
          <w:sz w:val="24"/>
          <w:szCs w:val="24"/>
        </w:rPr>
        <w:t>the</w:t>
      </w:r>
      <w:r w:rsidR="00C22929">
        <w:rPr>
          <w:rFonts w:ascii="Times New Roman" w:hAnsi="Times New Roman" w:cs="Times New Roman"/>
          <w:sz w:val="24"/>
          <w:szCs w:val="24"/>
        </w:rPr>
        <w:t xml:space="preserve"> country</w:t>
      </w:r>
      <w:r w:rsidR="00F24BD6">
        <w:rPr>
          <w:rFonts w:ascii="Times New Roman" w:hAnsi="Times New Roman" w:cs="Times New Roman"/>
          <w:sz w:val="24"/>
          <w:szCs w:val="24"/>
        </w:rPr>
        <w:t>’s</w:t>
      </w:r>
      <w:r w:rsidR="00C22929">
        <w:rPr>
          <w:rFonts w:ascii="Times New Roman" w:hAnsi="Times New Roman" w:cs="Times New Roman"/>
          <w:sz w:val="24"/>
          <w:szCs w:val="24"/>
        </w:rPr>
        <w:t xml:space="preserve"> large </w:t>
      </w:r>
      <w:r w:rsidR="0081212E">
        <w:rPr>
          <w:rFonts w:ascii="Times New Roman" w:hAnsi="Times New Roman" w:cs="Times New Roman"/>
          <w:sz w:val="24"/>
          <w:szCs w:val="24"/>
        </w:rPr>
        <w:t xml:space="preserve">infrastructure </w:t>
      </w:r>
      <w:r w:rsidR="008D2DC6">
        <w:rPr>
          <w:rFonts w:ascii="Times New Roman" w:hAnsi="Times New Roman" w:cs="Times New Roman"/>
          <w:sz w:val="24"/>
          <w:szCs w:val="24"/>
        </w:rPr>
        <w:t>projects</w:t>
      </w:r>
      <w:r w:rsidR="0081212E">
        <w:rPr>
          <w:rFonts w:ascii="Times New Roman" w:hAnsi="Times New Roman" w:cs="Times New Roman"/>
          <w:sz w:val="24"/>
          <w:szCs w:val="24"/>
        </w:rPr>
        <w:t xml:space="preserve">, the capital </w:t>
      </w:r>
      <w:r w:rsidR="008D2DC6">
        <w:rPr>
          <w:rFonts w:ascii="Times New Roman" w:hAnsi="Times New Roman" w:cs="Times New Roman"/>
          <w:sz w:val="24"/>
          <w:szCs w:val="24"/>
        </w:rPr>
        <w:t>contribution</w:t>
      </w:r>
      <w:r w:rsidR="0081212E">
        <w:rPr>
          <w:rFonts w:ascii="Times New Roman" w:hAnsi="Times New Roman" w:cs="Times New Roman"/>
          <w:sz w:val="24"/>
          <w:szCs w:val="24"/>
        </w:rPr>
        <w:t xml:space="preserve"> from the GORTT represent</w:t>
      </w:r>
      <w:r w:rsidR="008D2DC6">
        <w:rPr>
          <w:rFonts w:ascii="Times New Roman" w:hAnsi="Times New Roman" w:cs="Times New Roman"/>
          <w:sz w:val="24"/>
          <w:szCs w:val="24"/>
        </w:rPr>
        <w:t>s</w:t>
      </w:r>
      <w:r w:rsidR="002350F6">
        <w:rPr>
          <w:rFonts w:ascii="Times New Roman" w:hAnsi="Times New Roman" w:cs="Times New Roman"/>
          <w:sz w:val="24"/>
          <w:szCs w:val="24"/>
        </w:rPr>
        <w:t xml:space="preserve"> </w:t>
      </w:r>
      <w:r w:rsidR="0081212E">
        <w:rPr>
          <w:rFonts w:ascii="Times New Roman" w:hAnsi="Times New Roman" w:cs="Times New Roman"/>
          <w:sz w:val="24"/>
          <w:szCs w:val="24"/>
        </w:rPr>
        <w:t>78% of the total equity and liabilities</w:t>
      </w:r>
      <w:r>
        <w:rPr>
          <w:rFonts w:ascii="Times New Roman" w:hAnsi="Times New Roman" w:cs="Times New Roman"/>
          <w:sz w:val="24"/>
          <w:szCs w:val="24"/>
        </w:rPr>
        <w:t>,</w:t>
      </w:r>
      <w:r w:rsidR="0081212E">
        <w:rPr>
          <w:rFonts w:ascii="Times New Roman" w:hAnsi="Times New Roman" w:cs="Times New Roman"/>
          <w:sz w:val="24"/>
          <w:szCs w:val="24"/>
        </w:rPr>
        <w:t xml:space="preserve"> and</w:t>
      </w:r>
      <w:r>
        <w:rPr>
          <w:rFonts w:ascii="Times New Roman" w:hAnsi="Times New Roman" w:cs="Times New Roman"/>
          <w:sz w:val="24"/>
          <w:szCs w:val="24"/>
        </w:rPr>
        <w:t xml:space="preserve"> </w:t>
      </w:r>
      <w:r w:rsidR="00F24BD6">
        <w:rPr>
          <w:rFonts w:ascii="Times New Roman" w:hAnsi="Times New Roman" w:cs="Times New Roman"/>
          <w:sz w:val="24"/>
          <w:szCs w:val="24"/>
        </w:rPr>
        <w:t xml:space="preserve">this is </w:t>
      </w:r>
      <w:r>
        <w:rPr>
          <w:rFonts w:ascii="Times New Roman" w:hAnsi="Times New Roman" w:cs="Times New Roman"/>
          <w:sz w:val="24"/>
          <w:szCs w:val="24"/>
        </w:rPr>
        <w:t xml:space="preserve">included in </w:t>
      </w:r>
      <w:r w:rsidR="00EC1A4C">
        <w:rPr>
          <w:rFonts w:ascii="Times New Roman" w:hAnsi="Times New Roman" w:cs="Times New Roman"/>
          <w:sz w:val="24"/>
          <w:szCs w:val="24"/>
        </w:rPr>
        <w:t xml:space="preserve">the </w:t>
      </w:r>
      <w:r>
        <w:rPr>
          <w:rFonts w:ascii="Times New Roman" w:hAnsi="Times New Roman" w:cs="Times New Roman"/>
          <w:sz w:val="24"/>
          <w:szCs w:val="24"/>
        </w:rPr>
        <w:t>non-current liabilities</w:t>
      </w:r>
      <w:r w:rsidR="0081212E">
        <w:rPr>
          <w:rFonts w:ascii="Times New Roman" w:hAnsi="Times New Roman" w:cs="Times New Roman"/>
          <w:sz w:val="24"/>
          <w:szCs w:val="24"/>
        </w:rPr>
        <w:t xml:space="preserve"> line item</w:t>
      </w:r>
      <w:r>
        <w:rPr>
          <w:rFonts w:ascii="Times New Roman" w:hAnsi="Times New Roman" w:cs="Times New Roman"/>
          <w:sz w:val="24"/>
          <w:szCs w:val="24"/>
        </w:rPr>
        <w:t xml:space="preserve"> as capital</w:t>
      </w:r>
      <w:r w:rsidR="0081212E">
        <w:rPr>
          <w:rFonts w:ascii="Times New Roman" w:hAnsi="Times New Roman" w:cs="Times New Roman"/>
          <w:sz w:val="24"/>
          <w:szCs w:val="24"/>
        </w:rPr>
        <w:t xml:space="preserve"> deferred</w:t>
      </w:r>
      <w:r>
        <w:rPr>
          <w:rFonts w:ascii="Times New Roman" w:hAnsi="Times New Roman" w:cs="Times New Roman"/>
          <w:sz w:val="24"/>
          <w:szCs w:val="24"/>
        </w:rPr>
        <w:t xml:space="preserve"> </w:t>
      </w:r>
      <w:r w:rsidR="0081212E">
        <w:rPr>
          <w:rFonts w:ascii="Times New Roman" w:hAnsi="Times New Roman" w:cs="Times New Roman"/>
          <w:sz w:val="24"/>
          <w:szCs w:val="24"/>
        </w:rPr>
        <w:t>grants</w:t>
      </w:r>
      <w:r>
        <w:rPr>
          <w:rFonts w:ascii="Times New Roman" w:hAnsi="Times New Roman" w:cs="Times New Roman"/>
          <w:sz w:val="24"/>
          <w:szCs w:val="24"/>
        </w:rPr>
        <w:t xml:space="preserve">. </w:t>
      </w:r>
      <w:r w:rsidR="0081212E">
        <w:rPr>
          <w:rFonts w:ascii="Times New Roman" w:hAnsi="Times New Roman" w:cs="Times New Roman"/>
          <w:sz w:val="24"/>
          <w:szCs w:val="24"/>
        </w:rPr>
        <w:t xml:space="preserve">On the other hand, </w:t>
      </w:r>
      <w:r w:rsidR="008D2DC6">
        <w:rPr>
          <w:rFonts w:ascii="Times New Roman" w:hAnsi="Times New Roman" w:cs="Times New Roman"/>
          <w:sz w:val="24"/>
          <w:szCs w:val="24"/>
        </w:rPr>
        <w:t>the</w:t>
      </w:r>
      <w:r w:rsidR="002350F6">
        <w:rPr>
          <w:rFonts w:ascii="Times New Roman" w:hAnsi="Times New Roman" w:cs="Times New Roman"/>
          <w:sz w:val="24"/>
          <w:szCs w:val="24"/>
        </w:rPr>
        <w:t xml:space="preserve"> external borrowings (including short term and long term portion</w:t>
      </w:r>
      <w:r w:rsidR="00B15E43">
        <w:rPr>
          <w:rFonts w:ascii="Times New Roman" w:hAnsi="Times New Roman" w:cs="Times New Roman"/>
          <w:sz w:val="24"/>
          <w:szCs w:val="24"/>
        </w:rPr>
        <w:t>s</w:t>
      </w:r>
      <w:r w:rsidR="002350F6">
        <w:rPr>
          <w:rFonts w:ascii="Times New Roman" w:hAnsi="Times New Roman" w:cs="Times New Roman"/>
          <w:sz w:val="24"/>
          <w:szCs w:val="24"/>
        </w:rPr>
        <w:t xml:space="preserve">) represent 19% of the total equity and liabilities of the company; </w:t>
      </w:r>
      <w:r w:rsidR="009C2B0D">
        <w:rPr>
          <w:rFonts w:ascii="Times New Roman" w:hAnsi="Times New Roman" w:cs="Times New Roman"/>
          <w:sz w:val="24"/>
          <w:szCs w:val="24"/>
        </w:rPr>
        <w:t>the external borrowings includes</w:t>
      </w:r>
      <w:r w:rsidR="002350F6">
        <w:rPr>
          <w:rFonts w:ascii="Times New Roman" w:hAnsi="Times New Roman" w:cs="Times New Roman"/>
          <w:sz w:val="24"/>
          <w:szCs w:val="24"/>
        </w:rPr>
        <w:t xml:space="preserve"> loans obtained from both local and international financial institut</w:t>
      </w:r>
      <w:r w:rsidR="009C2B0D">
        <w:rPr>
          <w:rFonts w:ascii="Times New Roman" w:hAnsi="Times New Roman" w:cs="Times New Roman"/>
          <w:sz w:val="24"/>
          <w:szCs w:val="24"/>
        </w:rPr>
        <w:t>ions</w:t>
      </w:r>
      <w:r w:rsidR="002350F6">
        <w:rPr>
          <w:rFonts w:ascii="Times New Roman" w:hAnsi="Times New Roman" w:cs="Times New Roman"/>
          <w:sz w:val="24"/>
          <w:szCs w:val="24"/>
        </w:rPr>
        <w:t xml:space="preserve"> </w:t>
      </w:r>
      <w:r w:rsidR="009C2B0D">
        <w:rPr>
          <w:rFonts w:ascii="Times New Roman" w:hAnsi="Times New Roman" w:cs="Times New Roman"/>
          <w:sz w:val="24"/>
          <w:szCs w:val="24"/>
        </w:rPr>
        <w:t>that</w:t>
      </w:r>
      <w:r w:rsidR="002350F6">
        <w:rPr>
          <w:rFonts w:ascii="Times New Roman" w:hAnsi="Times New Roman" w:cs="Times New Roman"/>
          <w:sz w:val="24"/>
          <w:szCs w:val="24"/>
        </w:rPr>
        <w:t xml:space="preserve"> were </w:t>
      </w:r>
      <w:r w:rsidR="00EC1A4C">
        <w:rPr>
          <w:rFonts w:ascii="Times New Roman" w:hAnsi="Times New Roman" w:cs="Times New Roman"/>
          <w:sz w:val="24"/>
          <w:szCs w:val="24"/>
        </w:rPr>
        <w:t>used</w:t>
      </w:r>
      <w:r w:rsidR="008D2DC6">
        <w:rPr>
          <w:rFonts w:ascii="Times New Roman" w:hAnsi="Times New Roman" w:cs="Times New Roman"/>
          <w:sz w:val="24"/>
          <w:szCs w:val="24"/>
        </w:rPr>
        <w:t xml:space="preserve"> </w:t>
      </w:r>
      <w:r w:rsidR="009C2B0D">
        <w:rPr>
          <w:rFonts w:ascii="Times New Roman" w:hAnsi="Times New Roman" w:cs="Times New Roman"/>
          <w:sz w:val="24"/>
          <w:szCs w:val="24"/>
        </w:rPr>
        <w:t>to fund various Government projects</w:t>
      </w:r>
      <w:r w:rsidR="00B15E43">
        <w:rPr>
          <w:rFonts w:ascii="Times New Roman" w:hAnsi="Times New Roman" w:cs="Times New Roman"/>
          <w:sz w:val="24"/>
          <w:szCs w:val="24"/>
        </w:rPr>
        <w:t xml:space="preserve"> (vessels for the Water Taxi Service,</w:t>
      </w:r>
      <w:r w:rsidR="003A7E65">
        <w:rPr>
          <w:rFonts w:ascii="Times New Roman" w:hAnsi="Times New Roman" w:cs="Times New Roman"/>
          <w:sz w:val="24"/>
          <w:szCs w:val="24"/>
        </w:rPr>
        <w:t xml:space="preserve"> Rail R</w:t>
      </w:r>
      <w:r w:rsidR="00B15E43">
        <w:rPr>
          <w:rFonts w:ascii="Times New Roman" w:hAnsi="Times New Roman" w:cs="Times New Roman"/>
          <w:sz w:val="24"/>
          <w:szCs w:val="24"/>
        </w:rPr>
        <w:t>oad project, planning and management of the National Network of Highways project, among others)</w:t>
      </w:r>
      <w:r w:rsidR="009C2B0D">
        <w:rPr>
          <w:rFonts w:ascii="Times New Roman" w:hAnsi="Times New Roman" w:cs="Times New Roman"/>
          <w:sz w:val="24"/>
          <w:szCs w:val="24"/>
        </w:rPr>
        <w:t>. The loans are fully backed by the GORTT.</w:t>
      </w:r>
    </w:p>
    <w:p w:rsidR="005266AB" w:rsidRDefault="005266AB" w:rsidP="005266AB">
      <w:pPr>
        <w:pStyle w:val="ListParagraph"/>
        <w:spacing w:line="240" w:lineRule="auto"/>
        <w:ind w:left="360"/>
        <w:jc w:val="both"/>
        <w:rPr>
          <w:rFonts w:ascii="Times New Roman" w:hAnsi="Times New Roman" w:cs="Times New Roman"/>
          <w:b/>
          <w:sz w:val="24"/>
          <w:szCs w:val="24"/>
        </w:rPr>
      </w:pPr>
    </w:p>
    <w:p w:rsidR="00163826" w:rsidRDefault="00163826" w:rsidP="00ED0B4D">
      <w:pPr>
        <w:pStyle w:val="ListParagraph"/>
        <w:numPr>
          <w:ilvl w:val="1"/>
          <w:numId w:val="23"/>
        </w:numPr>
        <w:spacing w:line="240" w:lineRule="auto"/>
        <w:ind w:left="810" w:hanging="810"/>
        <w:jc w:val="both"/>
        <w:rPr>
          <w:rFonts w:ascii="Times New Roman" w:hAnsi="Times New Roman" w:cs="Times New Roman"/>
          <w:b/>
          <w:sz w:val="24"/>
          <w:szCs w:val="24"/>
        </w:rPr>
      </w:pPr>
      <w:r w:rsidRPr="005266AB">
        <w:rPr>
          <w:rFonts w:ascii="Times New Roman" w:hAnsi="Times New Roman" w:cs="Times New Roman"/>
          <w:b/>
          <w:sz w:val="24"/>
          <w:szCs w:val="24"/>
        </w:rPr>
        <w:t>NIDCO Income Statement Projections</w:t>
      </w:r>
    </w:p>
    <w:p w:rsidR="005B7610" w:rsidRDefault="005B7610" w:rsidP="005B7610">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NIDCO income statement projections were </w:t>
      </w:r>
      <w:r w:rsidR="005F67A2">
        <w:rPr>
          <w:rFonts w:ascii="Times New Roman" w:hAnsi="Times New Roman" w:cs="Times New Roman"/>
          <w:sz w:val="24"/>
          <w:szCs w:val="24"/>
        </w:rPr>
        <w:t xml:space="preserve">calculated primarily using </w:t>
      </w:r>
      <w:r>
        <w:rPr>
          <w:rFonts w:ascii="Times New Roman" w:hAnsi="Times New Roman" w:cs="Times New Roman"/>
          <w:sz w:val="24"/>
          <w:szCs w:val="24"/>
        </w:rPr>
        <w:t xml:space="preserve">the </w:t>
      </w:r>
      <w:r w:rsidR="005F67A2">
        <w:rPr>
          <w:rFonts w:ascii="Times New Roman" w:hAnsi="Times New Roman" w:cs="Times New Roman"/>
          <w:sz w:val="24"/>
          <w:szCs w:val="24"/>
        </w:rPr>
        <w:t>expected</w:t>
      </w:r>
      <w:r>
        <w:rPr>
          <w:rFonts w:ascii="Times New Roman" w:hAnsi="Times New Roman" w:cs="Times New Roman"/>
          <w:sz w:val="24"/>
          <w:szCs w:val="24"/>
        </w:rPr>
        <w:t xml:space="preserve"> infrastructure projects that the company </w:t>
      </w:r>
      <w:r w:rsidR="007F7912">
        <w:rPr>
          <w:rFonts w:ascii="Times New Roman" w:hAnsi="Times New Roman" w:cs="Times New Roman"/>
          <w:sz w:val="24"/>
          <w:szCs w:val="24"/>
        </w:rPr>
        <w:t>will perform in</w:t>
      </w:r>
      <w:r>
        <w:rPr>
          <w:rFonts w:ascii="Times New Roman" w:hAnsi="Times New Roman" w:cs="Times New Roman"/>
          <w:sz w:val="24"/>
          <w:szCs w:val="24"/>
        </w:rPr>
        <w:t xml:space="preserve"> the next</w:t>
      </w:r>
      <w:r w:rsidR="007F7912">
        <w:rPr>
          <w:rFonts w:ascii="Times New Roman" w:hAnsi="Times New Roman" w:cs="Times New Roman"/>
          <w:sz w:val="24"/>
          <w:szCs w:val="24"/>
        </w:rPr>
        <w:t xml:space="preserve"> several</w:t>
      </w:r>
      <w:r>
        <w:rPr>
          <w:rFonts w:ascii="Times New Roman" w:hAnsi="Times New Roman" w:cs="Times New Roman"/>
          <w:sz w:val="24"/>
          <w:szCs w:val="24"/>
        </w:rPr>
        <w:t xml:space="preserve"> years</w:t>
      </w:r>
      <w:r w:rsidR="000560D5">
        <w:rPr>
          <w:rFonts w:ascii="Times New Roman" w:hAnsi="Times New Roman" w:cs="Times New Roman"/>
          <w:sz w:val="24"/>
          <w:szCs w:val="24"/>
        </w:rPr>
        <w:t>,</w:t>
      </w:r>
      <w:r w:rsidR="007F7912">
        <w:rPr>
          <w:rFonts w:ascii="Times New Roman" w:hAnsi="Times New Roman" w:cs="Times New Roman"/>
          <w:sz w:val="24"/>
          <w:szCs w:val="24"/>
        </w:rPr>
        <w:t xml:space="preserve"> and based on </w:t>
      </w:r>
      <w:r w:rsidR="00C531AE">
        <w:rPr>
          <w:rFonts w:ascii="Times New Roman" w:hAnsi="Times New Roman" w:cs="Times New Roman"/>
          <w:sz w:val="24"/>
          <w:szCs w:val="24"/>
        </w:rPr>
        <w:t>an estimate</w:t>
      </w:r>
      <w:r w:rsidR="007F7912">
        <w:rPr>
          <w:rFonts w:ascii="Times New Roman" w:hAnsi="Times New Roman" w:cs="Times New Roman"/>
          <w:sz w:val="24"/>
          <w:szCs w:val="24"/>
        </w:rPr>
        <w:t xml:space="preserve"> of the management fe</w:t>
      </w:r>
      <w:r w:rsidR="00BB7528">
        <w:rPr>
          <w:rFonts w:ascii="Times New Roman" w:hAnsi="Times New Roman" w:cs="Times New Roman"/>
          <w:sz w:val="24"/>
          <w:szCs w:val="24"/>
        </w:rPr>
        <w:t xml:space="preserve">es that the company will charge </w:t>
      </w:r>
      <w:r w:rsidR="007F7912">
        <w:rPr>
          <w:rFonts w:ascii="Times New Roman" w:hAnsi="Times New Roman" w:cs="Times New Roman"/>
          <w:sz w:val="24"/>
          <w:szCs w:val="24"/>
        </w:rPr>
        <w:t xml:space="preserve">the GORTT in </w:t>
      </w:r>
      <w:r w:rsidR="007F7912" w:rsidRPr="004731A3">
        <w:rPr>
          <w:rFonts w:ascii="Times New Roman" w:hAnsi="Times New Roman" w:cs="Times New Roman"/>
          <w:sz w:val="24"/>
          <w:szCs w:val="24"/>
        </w:rPr>
        <w:t>compensation for</w:t>
      </w:r>
      <w:r w:rsidR="000560D5">
        <w:rPr>
          <w:rFonts w:ascii="Times New Roman" w:hAnsi="Times New Roman" w:cs="Times New Roman"/>
          <w:sz w:val="24"/>
          <w:szCs w:val="24"/>
        </w:rPr>
        <w:t xml:space="preserve"> the</w:t>
      </w:r>
      <w:r w:rsidR="007F7912" w:rsidRPr="004731A3">
        <w:rPr>
          <w:rFonts w:ascii="Times New Roman" w:hAnsi="Times New Roman" w:cs="Times New Roman"/>
          <w:sz w:val="24"/>
          <w:szCs w:val="24"/>
        </w:rPr>
        <w:t xml:space="preserve"> services</w:t>
      </w:r>
      <w:r w:rsidR="00431506">
        <w:rPr>
          <w:rFonts w:ascii="Times New Roman" w:hAnsi="Times New Roman" w:cs="Times New Roman"/>
          <w:sz w:val="24"/>
          <w:szCs w:val="24"/>
        </w:rPr>
        <w:t xml:space="preserve"> provided</w:t>
      </w:r>
      <w:r w:rsidR="007F7912" w:rsidRPr="004731A3">
        <w:rPr>
          <w:rFonts w:ascii="Times New Roman" w:hAnsi="Times New Roman" w:cs="Times New Roman"/>
          <w:sz w:val="24"/>
          <w:szCs w:val="24"/>
        </w:rPr>
        <w:t xml:space="preserve"> </w:t>
      </w:r>
      <w:r w:rsidR="007F7912">
        <w:rPr>
          <w:rFonts w:ascii="Times New Roman" w:hAnsi="Times New Roman" w:cs="Times New Roman"/>
          <w:sz w:val="24"/>
          <w:szCs w:val="24"/>
        </w:rPr>
        <w:t>o</w:t>
      </w:r>
      <w:r w:rsidR="000560D5">
        <w:rPr>
          <w:rFonts w:ascii="Times New Roman" w:hAnsi="Times New Roman" w:cs="Times New Roman"/>
          <w:sz w:val="24"/>
          <w:szCs w:val="24"/>
        </w:rPr>
        <w:t>n</w:t>
      </w:r>
      <w:r w:rsidR="007F7912">
        <w:rPr>
          <w:rFonts w:ascii="Times New Roman" w:hAnsi="Times New Roman" w:cs="Times New Roman"/>
          <w:sz w:val="24"/>
          <w:szCs w:val="24"/>
        </w:rPr>
        <w:t xml:space="preserve"> </w:t>
      </w:r>
      <w:r w:rsidR="000560D5">
        <w:rPr>
          <w:rFonts w:ascii="Times New Roman" w:hAnsi="Times New Roman" w:cs="Times New Roman"/>
          <w:sz w:val="24"/>
          <w:szCs w:val="24"/>
        </w:rPr>
        <w:t>each</w:t>
      </w:r>
      <w:r w:rsidR="007F7912">
        <w:rPr>
          <w:rFonts w:ascii="Times New Roman" w:hAnsi="Times New Roman" w:cs="Times New Roman"/>
          <w:sz w:val="24"/>
          <w:szCs w:val="24"/>
        </w:rPr>
        <w:t xml:space="preserve"> project. </w:t>
      </w:r>
      <w:r w:rsidR="00BB7528">
        <w:rPr>
          <w:rFonts w:ascii="Times New Roman" w:hAnsi="Times New Roman" w:cs="Times New Roman"/>
          <w:sz w:val="24"/>
          <w:szCs w:val="24"/>
        </w:rPr>
        <w:t xml:space="preserve">In this regard, </w:t>
      </w:r>
      <w:r w:rsidR="007F7912">
        <w:rPr>
          <w:rFonts w:ascii="Times New Roman" w:hAnsi="Times New Roman" w:cs="Times New Roman"/>
          <w:sz w:val="24"/>
          <w:szCs w:val="24"/>
        </w:rPr>
        <w:t>Table 4</w:t>
      </w:r>
      <w:r w:rsidR="00BB7528">
        <w:rPr>
          <w:rFonts w:ascii="Times New Roman" w:hAnsi="Times New Roman" w:cs="Times New Roman"/>
          <w:sz w:val="24"/>
          <w:szCs w:val="24"/>
        </w:rPr>
        <w:t xml:space="preserve"> below</w:t>
      </w:r>
      <w:r w:rsidR="007F7912">
        <w:rPr>
          <w:rFonts w:ascii="Times New Roman" w:hAnsi="Times New Roman" w:cs="Times New Roman"/>
          <w:sz w:val="24"/>
          <w:szCs w:val="24"/>
        </w:rPr>
        <w:t xml:space="preserve"> represents the estimated number of projects and the </w:t>
      </w:r>
      <w:r w:rsidR="004758D6">
        <w:rPr>
          <w:rFonts w:ascii="Times New Roman" w:hAnsi="Times New Roman" w:cs="Times New Roman"/>
          <w:sz w:val="24"/>
          <w:szCs w:val="24"/>
        </w:rPr>
        <w:t xml:space="preserve">total </w:t>
      </w:r>
      <w:r w:rsidR="00BB7528">
        <w:rPr>
          <w:rFonts w:ascii="Times New Roman" w:hAnsi="Times New Roman" w:cs="Times New Roman"/>
          <w:sz w:val="24"/>
          <w:szCs w:val="24"/>
        </w:rPr>
        <w:t>cost</w:t>
      </w:r>
      <w:r w:rsidR="007F7912">
        <w:rPr>
          <w:rFonts w:ascii="Times New Roman" w:hAnsi="Times New Roman" w:cs="Times New Roman"/>
          <w:sz w:val="24"/>
          <w:szCs w:val="24"/>
        </w:rPr>
        <w:t xml:space="preserve"> of each project for the period 2013-2017:</w:t>
      </w:r>
    </w:p>
    <w:p w:rsidR="007F7912" w:rsidRPr="007F7912" w:rsidRDefault="00FC7022" w:rsidP="007F7912">
      <w:pPr>
        <w:jc w:val="center"/>
        <w:rPr>
          <w:rFonts w:ascii="Times New Roman" w:hAnsi="Times New Roman" w:cs="Times New Roman"/>
          <w:b/>
          <w:sz w:val="20"/>
          <w:szCs w:val="24"/>
          <w:u w:val="single"/>
        </w:rPr>
      </w:pPr>
      <w:r>
        <w:rPr>
          <w:rFonts w:ascii="Times New Roman" w:hAnsi="Times New Roman" w:cs="Times New Roman"/>
          <w:b/>
          <w:sz w:val="20"/>
          <w:szCs w:val="24"/>
          <w:u w:val="single"/>
        </w:rPr>
        <w:t>Table 4. NIDCO expected</w:t>
      </w:r>
      <w:r w:rsidR="007F7912">
        <w:rPr>
          <w:rFonts w:ascii="Times New Roman" w:hAnsi="Times New Roman" w:cs="Times New Roman"/>
          <w:b/>
          <w:sz w:val="20"/>
          <w:szCs w:val="24"/>
          <w:u w:val="single"/>
        </w:rPr>
        <w:t xml:space="preserve"> P</w:t>
      </w:r>
      <w:r w:rsidR="007F7912" w:rsidRPr="007F7912">
        <w:rPr>
          <w:rFonts w:ascii="Times New Roman" w:hAnsi="Times New Roman" w:cs="Times New Roman"/>
          <w:b/>
          <w:sz w:val="20"/>
          <w:szCs w:val="24"/>
          <w:u w:val="single"/>
        </w:rPr>
        <w:t>rojects</w:t>
      </w:r>
      <w:r w:rsidR="007F7912">
        <w:rPr>
          <w:rFonts w:ascii="Times New Roman" w:hAnsi="Times New Roman" w:cs="Times New Roman"/>
          <w:b/>
          <w:sz w:val="20"/>
          <w:szCs w:val="24"/>
          <w:u w:val="single"/>
        </w:rPr>
        <w:t xml:space="preserve"> for the period 2013-2017</w:t>
      </w:r>
    </w:p>
    <w:p w:rsidR="005B7610" w:rsidRDefault="00FC7022" w:rsidP="007F7912">
      <w:pPr>
        <w:spacing w:line="240" w:lineRule="auto"/>
        <w:jc w:val="center"/>
        <w:rPr>
          <w:noProof/>
        </w:rPr>
      </w:pPr>
      <w:r w:rsidRPr="00FC7022">
        <w:rPr>
          <w:noProof/>
        </w:rPr>
        <w:drawing>
          <wp:inline distT="0" distB="0" distL="0" distR="0" wp14:anchorId="5ECBAF01" wp14:editId="4705A76F">
            <wp:extent cx="2832630" cy="1764086"/>
            <wp:effectExtent l="0" t="0" r="6350" b="762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36117" cy="1766258"/>
                    </a:xfrm>
                    <a:prstGeom prst="rect">
                      <a:avLst/>
                    </a:prstGeom>
                    <a:noFill/>
                    <a:ln>
                      <a:noFill/>
                    </a:ln>
                  </pic:spPr>
                </pic:pic>
              </a:graphicData>
            </a:graphic>
          </wp:inline>
        </w:drawing>
      </w:r>
    </w:p>
    <w:p w:rsidR="00A770EF" w:rsidRDefault="00A770EF" w:rsidP="007F7912">
      <w:pPr>
        <w:spacing w:line="240" w:lineRule="auto"/>
        <w:jc w:val="center"/>
        <w:rPr>
          <w:noProof/>
        </w:rPr>
      </w:pPr>
    </w:p>
    <w:p w:rsidR="00A770EF" w:rsidRDefault="00A770EF" w:rsidP="007F7912">
      <w:pPr>
        <w:spacing w:line="240" w:lineRule="auto"/>
        <w:jc w:val="center"/>
        <w:rPr>
          <w:noProof/>
        </w:rPr>
      </w:pPr>
    </w:p>
    <w:p w:rsidR="005B7610" w:rsidRDefault="007F7912" w:rsidP="005B7610">
      <w:pPr>
        <w:spacing w:line="240" w:lineRule="auto"/>
        <w:jc w:val="both"/>
        <w:rPr>
          <w:rFonts w:ascii="Times New Roman" w:hAnsi="Times New Roman" w:cs="Times New Roman"/>
          <w:sz w:val="24"/>
          <w:szCs w:val="24"/>
        </w:rPr>
      </w:pPr>
      <w:r>
        <w:rPr>
          <w:rFonts w:ascii="Times New Roman" w:hAnsi="Times New Roman" w:cs="Times New Roman"/>
          <w:sz w:val="24"/>
          <w:szCs w:val="24"/>
        </w:rPr>
        <w:t>Table 5</w:t>
      </w:r>
      <w:r w:rsidR="00470D9F">
        <w:rPr>
          <w:rFonts w:ascii="Times New Roman" w:hAnsi="Times New Roman" w:cs="Times New Roman"/>
          <w:sz w:val="24"/>
          <w:szCs w:val="24"/>
        </w:rPr>
        <w:t xml:space="preserve"> below, </w:t>
      </w:r>
      <w:r w:rsidR="005B7610" w:rsidRPr="005B7610">
        <w:rPr>
          <w:rFonts w:ascii="Times New Roman" w:hAnsi="Times New Roman" w:cs="Times New Roman"/>
          <w:sz w:val="24"/>
          <w:szCs w:val="24"/>
        </w:rPr>
        <w:t>represent</w:t>
      </w:r>
      <w:r w:rsidR="005B7610">
        <w:rPr>
          <w:rFonts w:ascii="Times New Roman" w:hAnsi="Times New Roman" w:cs="Times New Roman"/>
          <w:sz w:val="24"/>
          <w:szCs w:val="24"/>
        </w:rPr>
        <w:t>s</w:t>
      </w:r>
      <w:r w:rsidR="005B7610" w:rsidRPr="005B7610">
        <w:rPr>
          <w:rFonts w:ascii="Times New Roman" w:hAnsi="Times New Roman" w:cs="Times New Roman"/>
          <w:sz w:val="24"/>
          <w:szCs w:val="24"/>
        </w:rPr>
        <w:t xml:space="preserve"> the estimated financial projections of the Statement of Revenue and E</w:t>
      </w:r>
      <w:r w:rsidR="005B7610">
        <w:rPr>
          <w:rFonts w:ascii="Times New Roman" w:hAnsi="Times New Roman" w:cs="Times New Roman"/>
          <w:sz w:val="24"/>
          <w:szCs w:val="24"/>
        </w:rPr>
        <w:t>xpenditure of</w:t>
      </w:r>
      <w:r w:rsidR="005B7610" w:rsidRPr="005B7610">
        <w:rPr>
          <w:rFonts w:ascii="Times New Roman" w:hAnsi="Times New Roman" w:cs="Times New Roman"/>
          <w:sz w:val="24"/>
          <w:szCs w:val="24"/>
        </w:rPr>
        <w:t xml:space="preserve"> </w:t>
      </w:r>
      <w:r w:rsidR="005B7610">
        <w:rPr>
          <w:rFonts w:ascii="Times New Roman" w:hAnsi="Times New Roman" w:cs="Times New Roman"/>
          <w:sz w:val="24"/>
          <w:szCs w:val="24"/>
        </w:rPr>
        <w:t>NIDCO for the next 5</w:t>
      </w:r>
      <w:r w:rsidR="005B7610" w:rsidRPr="005B7610">
        <w:rPr>
          <w:rFonts w:ascii="Times New Roman" w:hAnsi="Times New Roman" w:cs="Times New Roman"/>
          <w:sz w:val="24"/>
          <w:szCs w:val="24"/>
        </w:rPr>
        <w:t xml:space="preserve"> years:</w:t>
      </w:r>
    </w:p>
    <w:p w:rsidR="00ED0B4D" w:rsidRDefault="00ED0B4D" w:rsidP="005B7610">
      <w:pPr>
        <w:spacing w:line="240" w:lineRule="auto"/>
        <w:jc w:val="both"/>
        <w:rPr>
          <w:rFonts w:ascii="Times New Roman" w:hAnsi="Times New Roman" w:cs="Times New Roman"/>
          <w:sz w:val="24"/>
          <w:szCs w:val="24"/>
        </w:rPr>
      </w:pPr>
    </w:p>
    <w:p w:rsidR="00ED0B4D" w:rsidRDefault="00ED0B4D" w:rsidP="005B7610">
      <w:pPr>
        <w:spacing w:line="240" w:lineRule="auto"/>
        <w:jc w:val="both"/>
        <w:rPr>
          <w:rFonts w:ascii="Times New Roman" w:hAnsi="Times New Roman" w:cs="Times New Roman"/>
          <w:sz w:val="24"/>
          <w:szCs w:val="24"/>
        </w:rPr>
      </w:pPr>
    </w:p>
    <w:p w:rsidR="00ED0B4D" w:rsidRDefault="00ED0B4D" w:rsidP="005B7610">
      <w:pPr>
        <w:spacing w:line="240" w:lineRule="auto"/>
        <w:jc w:val="both"/>
        <w:rPr>
          <w:rFonts w:ascii="Times New Roman" w:hAnsi="Times New Roman" w:cs="Times New Roman"/>
          <w:sz w:val="24"/>
          <w:szCs w:val="24"/>
        </w:rPr>
      </w:pPr>
    </w:p>
    <w:p w:rsidR="00ED0B4D" w:rsidRDefault="00ED0B4D" w:rsidP="005B7610">
      <w:pPr>
        <w:spacing w:line="240" w:lineRule="auto"/>
        <w:jc w:val="both"/>
        <w:rPr>
          <w:rFonts w:ascii="Times New Roman" w:hAnsi="Times New Roman" w:cs="Times New Roman"/>
          <w:sz w:val="24"/>
          <w:szCs w:val="24"/>
        </w:rPr>
      </w:pPr>
    </w:p>
    <w:p w:rsidR="001A0B26" w:rsidRPr="00B83498" w:rsidRDefault="007F7912" w:rsidP="001A0B26">
      <w:pPr>
        <w:jc w:val="center"/>
        <w:rPr>
          <w:rFonts w:ascii="Times New Roman" w:hAnsi="Times New Roman" w:cs="Times New Roman"/>
          <w:b/>
          <w:sz w:val="20"/>
          <w:szCs w:val="24"/>
          <w:u w:val="single"/>
        </w:rPr>
      </w:pPr>
      <w:r>
        <w:rPr>
          <w:rFonts w:ascii="Times New Roman" w:hAnsi="Times New Roman" w:cs="Times New Roman"/>
          <w:b/>
          <w:sz w:val="20"/>
          <w:szCs w:val="24"/>
          <w:u w:val="single"/>
        </w:rPr>
        <w:t>Table 5</w:t>
      </w:r>
      <w:r w:rsidR="001A0B26" w:rsidRPr="00B83498">
        <w:rPr>
          <w:rFonts w:ascii="Times New Roman" w:hAnsi="Times New Roman" w:cs="Times New Roman"/>
          <w:b/>
          <w:sz w:val="20"/>
          <w:szCs w:val="24"/>
          <w:u w:val="single"/>
        </w:rPr>
        <w:t xml:space="preserve">.  NIDCO </w:t>
      </w:r>
      <w:r w:rsidR="001A0B26">
        <w:rPr>
          <w:rFonts w:ascii="Times New Roman" w:hAnsi="Times New Roman" w:cs="Times New Roman"/>
          <w:b/>
          <w:sz w:val="20"/>
          <w:szCs w:val="24"/>
          <w:u w:val="single"/>
        </w:rPr>
        <w:t>Income Statements Projections</w:t>
      </w:r>
      <w:r w:rsidR="005B7610">
        <w:rPr>
          <w:rFonts w:ascii="Times New Roman" w:hAnsi="Times New Roman" w:cs="Times New Roman"/>
          <w:b/>
          <w:sz w:val="20"/>
          <w:szCs w:val="24"/>
          <w:u w:val="single"/>
        </w:rPr>
        <w:t xml:space="preserve"> 2013 -2017</w:t>
      </w:r>
    </w:p>
    <w:p w:rsidR="001A0B26" w:rsidRDefault="001A0B26" w:rsidP="00411223">
      <w:pPr>
        <w:tabs>
          <w:tab w:val="left" w:pos="520"/>
        </w:tabs>
        <w:rPr>
          <w:rFonts w:ascii="Times New Roman" w:hAnsi="Times New Roman" w:cs="Times New Roman"/>
          <w:sz w:val="24"/>
          <w:szCs w:val="24"/>
        </w:rPr>
      </w:pPr>
      <w:r w:rsidRPr="001A0B26">
        <w:rPr>
          <w:noProof/>
        </w:rPr>
        <w:drawing>
          <wp:inline distT="0" distB="0" distL="0" distR="0" wp14:anchorId="1D290204" wp14:editId="493F1F0E">
            <wp:extent cx="5943600" cy="4417287"/>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4417287"/>
                    </a:xfrm>
                    <a:prstGeom prst="rect">
                      <a:avLst/>
                    </a:prstGeom>
                    <a:noFill/>
                    <a:ln>
                      <a:noFill/>
                    </a:ln>
                  </pic:spPr>
                </pic:pic>
              </a:graphicData>
            </a:graphic>
          </wp:inline>
        </w:drawing>
      </w:r>
    </w:p>
    <w:p w:rsidR="004758D6" w:rsidRPr="003A4572" w:rsidRDefault="00EA4618" w:rsidP="004758D6">
      <w:pPr>
        <w:spacing w:line="240" w:lineRule="auto"/>
        <w:jc w:val="both"/>
        <w:rPr>
          <w:rFonts w:ascii="Times New Roman" w:hAnsi="Times New Roman" w:cs="Times New Roman"/>
          <w:sz w:val="24"/>
          <w:szCs w:val="24"/>
        </w:rPr>
      </w:pPr>
      <w:r>
        <w:rPr>
          <w:rFonts w:ascii="Times New Roman" w:hAnsi="Times New Roman" w:cs="Times New Roman"/>
          <w:sz w:val="24"/>
          <w:szCs w:val="24"/>
        </w:rPr>
        <w:t>A</w:t>
      </w:r>
      <w:r w:rsidR="004758D6">
        <w:rPr>
          <w:rFonts w:ascii="Times New Roman" w:hAnsi="Times New Roman" w:cs="Times New Roman"/>
          <w:sz w:val="24"/>
          <w:szCs w:val="24"/>
        </w:rPr>
        <w:t>s shown in the table</w:t>
      </w:r>
      <w:r w:rsidR="001F01B4">
        <w:rPr>
          <w:rFonts w:ascii="Times New Roman" w:hAnsi="Times New Roman" w:cs="Times New Roman"/>
          <w:sz w:val="24"/>
          <w:szCs w:val="24"/>
        </w:rPr>
        <w:t xml:space="preserve"> above</w:t>
      </w:r>
      <w:r w:rsidR="004758D6">
        <w:rPr>
          <w:rFonts w:ascii="Times New Roman" w:hAnsi="Times New Roman" w:cs="Times New Roman"/>
          <w:sz w:val="24"/>
          <w:szCs w:val="24"/>
        </w:rPr>
        <w:t xml:space="preserve">, it is worth mention that NIDCO’s operating margin will continue to be positive in the next </w:t>
      </w:r>
      <w:r w:rsidR="0062271F">
        <w:rPr>
          <w:rFonts w:ascii="Times New Roman" w:hAnsi="Times New Roman" w:cs="Times New Roman"/>
          <w:sz w:val="24"/>
          <w:szCs w:val="24"/>
        </w:rPr>
        <w:t>several years</w:t>
      </w:r>
      <w:r w:rsidR="004758D6">
        <w:rPr>
          <w:rFonts w:ascii="Times New Roman" w:hAnsi="Times New Roman" w:cs="Times New Roman"/>
          <w:sz w:val="24"/>
          <w:szCs w:val="24"/>
        </w:rPr>
        <w:t>, reaching an average</w:t>
      </w:r>
      <w:r w:rsidR="0062271F">
        <w:rPr>
          <w:rFonts w:ascii="Times New Roman" w:hAnsi="Times New Roman" w:cs="Times New Roman"/>
          <w:sz w:val="24"/>
          <w:szCs w:val="24"/>
        </w:rPr>
        <w:t xml:space="preserve"> operating margin of 24</w:t>
      </w:r>
      <w:r w:rsidR="004758D6">
        <w:rPr>
          <w:rFonts w:ascii="Times New Roman" w:hAnsi="Times New Roman" w:cs="Times New Roman"/>
          <w:sz w:val="24"/>
          <w:szCs w:val="24"/>
        </w:rPr>
        <w:t>% of NIDCO’s operating revenues</w:t>
      </w:r>
      <w:r w:rsidR="0062271F">
        <w:rPr>
          <w:rFonts w:ascii="Times New Roman" w:hAnsi="Times New Roman" w:cs="Times New Roman"/>
          <w:sz w:val="24"/>
          <w:szCs w:val="24"/>
        </w:rPr>
        <w:t xml:space="preserve"> for the next 5 years</w:t>
      </w:r>
      <w:r w:rsidR="001F01B4">
        <w:rPr>
          <w:rFonts w:ascii="Times New Roman" w:hAnsi="Times New Roman" w:cs="Times New Roman"/>
          <w:sz w:val="24"/>
          <w:szCs w:val="24"/>
        </w:rPr>
        <w:t>.</w:t>
      </w:r>
      <w:r w:rsidR="004758D6">
        <w:rPr>
          <w:rFonts w:ascii="Times New Roman" w:hAnsi="Times New Roman" w:cs="Times New Roman"/>
          <w:sz w:val="24"/>
          <w:szCs w:val="24"/>
        </w:rPr>
        <w:t xml:space="preserve"> </w:t>
      </w:r>
      <w:r w:rsidR="001F01B4">
        <w:rPr>
          <w:rFonts w:ascii="Times New Roman" w:hAnsi="Times New Roman" w:cs="Times New Roman"/>
          <w:sz w:val="24"/>
          <w:szCs w:val="24"/>
        </w:rPr>
        <w:t>This</w:t>
      </w:r>
      <w:r w:rsidR="004758D6">
        <w:rPr>
          <w:rFonts w:ascii="Times New Roman" w:hAnsi="Times New Roman" w:cs="Times New Roman"/>
          <w:sz w:val="24"/>
          <w:szCs w:val="24"/>
        </w:rPr>
        <w:t xml:space="preserve"> represents an average Cost Coverage Ratio</w:t>
      </w:r>
      <w:r w:rsidR="0062271F">
        <w:rPr>
          <w:rFonts w:ascii="Times New Roman" w:hAnsi="Times New Roman" w:cs="Times New Roman"/>
          <w:sz w:val="24"/>
          <w:szCs w:val="24"/>
        </w:rPr>
        <w:t xml:space="preserve"> of 134</w:t>
      </w:r>
      <w:r w:rsidR="004758D6">
        <w:rPr>
          <w:rFonts w:ascii="Times New Roman" w:hAnsi="Times New Roman" w:cs="Times New Roman"/>
          <w:sz w:val="24"/>
          <w:szCs w:val="24"/>
        </w:rPr>
        <w:t>% in the years of the projection.</w:t>
      </w:r>
    </w:p>
    <w:p w:rsidR="001A0B26" w:rsidRDefault="001A0B26" w:rsidP="00411223">
      <w:pPr>
        <w:tabs>
          <w:tab w:val="left" w:pos="520"/>
        </w:tabs>
        <w:rPr>
          <w:rFonts w:ascii="Times New Roman" w:hAnsi="Times New Roman" w:cs="Times New Roman"/>
          <w:sz w:val="24"/>
          <w:szCs w:val="24"/>
        </w:rPr>
      </w:pPr>
    </w:p>
    <w:p w:rsidR="001A0B26" w:rsidRDefault="001A0B26" w:rsidP="00411223">
      <w:pPr>
        <w:tabs>
          <w:tab w:val="left" w:pos="520"/>
        </w:tabs>
        <w:rPr>
          <w:rFonts w:ascii="Times New Roman" w:hAnsi="Times New Roman" w:cs="Times New Roman"/>
          <w:sz w:val="24"/>
          <w:szCs w:val="24"/>
        </w:rPr>
      </w:pPr>
    </w:p>
    <w:p w:rsidR="001A0B26" w:rsidRDefault="001A0B26" w:rsidP="00411223">
      <w:pPr>
        <w:tabs>
          <w:tab w:val="left" w:pos="520"/>
        </w:tabs>
        <w:rPr>
          <w:rFonts w:ascii="Times New Roman" w:hAnsi="Times New Roman" w:cs="Times New Roman"/>
          <w:sz w:val="24"/>
          <w:szCs w:val="24"/>
        </w:rPr>
      </w:pPr>
    </w:p>
    <w:p w:rsidR="00ED0B4D" w:rsidRDefault="00ED0B4D">
      <w:pPr>
        <w:rPr>
          <w:rFonts w:ascii="Times New Roman" w:hAnsi="Times New Roman" w:cs="Times New Roman"/>
          <w:sz w:val="24"/>
          <w:szCs w:val="24"/>
        </w:rPr>
      </w:pPr>
      <w:r>
        <w:rPr>
          <w:rFonts w:ascii="Times New Roman" w:hAnsi="Times New Roman" w:cs="Times New Roman"/>
          <w:sz w:val="24"/>
          <w:szCs w:val="24"/>
        </w:rPr>
        <w:br w:type="page"/>
      </w:r>
    </w:p>
    <w:p w:rsidR="0019692D" w:rsidRPr="0019692D" w:rsidRDefault="0019692D" w:rsidP="0019692D">
      <w:pPr>
        <w:pStyle w:val="ListParagraph"/>
        <w:numPr>
          <w:ilvl w:val="0"/>
          <w:numId w:val="24"/>
        </w:numPr>
        <w:spacing w:line="240" w:lineRule="auto"/>
        <w:jc w:val="both"/>
        <w:rPr>
          <w:rFonts w:ascii="Times New Roman" w:hAnsi="Times New Roman" w:cs="Times New Roman"/>
          <w:b/>
          <w:sz w:val="24"/>
          <w:szCs w:val="24"/>
          <w:u w:val="single"/>
        </w:rPr>
      </w:pPr>
      <w:r w:rsidRPr="0019692D">
        <w:rPr>
          <w:rFonts w:ascii="Times New Roman" w:hAnsi="Times New Roman" w:cs="Times New Roman"/>
          <w:b/>
          <w:sz w:val="24"/>
          <w:szCs w:val="24"/>
          <w:u w:val="single"/>
        </w:rPr>
        <w:lastRenderedPageBreak/>
        <w:t>Ministry Of Environment and Water Resources (MoEWR)</w:t>
      </w:r>
    </w:p>
    <w:p w:rsidR="005362F7" w:rsidRPr="008D303F" w:rsidRDefault="005362F7" w:rsidP="004E4166">
      <w:pPr>
        <w:tabs>
          <w:tab w:val="left" w:pos="520"/>
        </w:tabs>
        <w:spacing w:line="240" w:lineRule="auto"/>
        <w:jc w:val="center"/>
        <w:rPr>
          <w:rFonts w:ascii="Times New Roman" w:hAnsi="Times New Roman" w:cs="Times New Roman"/>
          <w:b/>
          <w:sz w:val="24"/>
          <w:szCs w:val="24"/>
        </w:rPr>
      </w:pPr>
      <w:r w:rsidRPr="008D303F">
        <w:rPr>
          <w:rFonts w:ascii="Times New Roman" w:hAnsi="Times New Roman" w:cs="Times New Roman"/>
          <w:b/>
          <w:sz w:val="24"/>
          <w:szCs w:val="24"/>
        </w:rPr>
        <w:t xml:space="preserve">BUDGET </w:t>
      </w:r>
      <w:r w:rsidR="00F06213">
        <w:rPr>
          <w:rFonts w:ascii="Times New Roman" w:hAnsi="Times New Roman" w:cs="Times New Roman"/>
          <w:b/>
          <w:sz w:val="24"/>
          <w:szCs w:val="24"/>
        </w:rPr>
        <w:t>ANALYSIS</w:t>
      </w:r>
    </w:p>
    <w:p w:rsidR="005362F7" w:rsidRPr="008D303F" w:rsidRDefault="005362F7" w:rsidP="00317932">
      <w:pPr>
        <w:tabs>
          <w:tab w:val="left" w:pos="520"/>
        </w:tabs>
        <w:spacing w:line="240" w:lineRule="auto"/>
        <w:jc w:val="both"/>
        <w:rPr>
          <w:rFonts w:ascii="Times New Roman" w:hAnsi="Times New Roman" w:cs="Times New Roman"/>
          <w:sz w:val="24"/>
          <w:szCs w:val="24"/>
        </w:rPr>
      </w:pPr>
      <w:r w:rsidRPr="008D303F">
        <w:rPr>
          <w:rFonts w:ascii="Times New Roman" w:hAnsi="Times New Roman" w:cs="Times New Roman"/>
          <w:sz w:val="24"/>
          <w:szCs w:val="24"/>
        </w:rPr>
        <w:t xml:space="preserve">Based on the recent establishment of the </w:t>
      </w:r>
      <w:r w:rsidR="008D303F">
        <w:rPr>
          <w:rFonts w:ascii="Times New Roman" w:hAnsi="Times New Roman" w:cs="Times New Roman"/>
          <w:sz w:val="24"/>
          <w:szCs w:val="24"/>
        </w:rPr>
        <w:t>Ministry of</w:t>
      </w:r>
      <w:r w:rsidR="00AA3EA1">
        <w:rPr>
          <w:rFonts w:ascii="Times New Roman" w:hAnsi="Times New Roman" w:cs="Times New Roman"/>
          <w:sz w:val="24"/>
          <w:szCs w:val="24"/>
        </w:rPr>
        <w:t xml:space="preserve"> the </w:t>
      </w:r>
      <w:r w:rsidR="008D303F">
        <w:rPr>
          <w:rFonts w:ascii="Times New Roman" w:hAnsi="Times New Roman" w:cs="Times New Roman"/>
          <w:sz w:val="24"/>
          <w:szCs w:val="24"/>
        </w:rPr>
        <w:t>Environment and Water Resources (</w:t>
      </w:r>
      <w:r w:rsidRPr="008D303F">
        <w:rPr>
          <w:rFonts w:ascii="Times New Roman" w:hAnsi="Times New Roman" w:cs="Times New Roman"/>
          <w:sz w:val="24"/>
          <w:szCs w:val="24"/>
        </w:rPr>
        <w:t>MoEWR</w:t>
      </w:r>
      <w:r w:rsidR="008D303F">
        <w:rPr>
          <w:rFonts w:ascii="Times New Roman" w:hAnsi="Times New Roman" w:cs="Times New Roman"/>
          <w:sz w:val="24"/>
          <w:szCs w:val="24"/>
        </w:rPr>
        <w:t>)</w:t>
      </w:r>
      <w:r w:rsidRPr="008D303F">
        <w:rPr>
          <w:rFonts w:ascii="Times New Roman" w:hAnsi="Times New Roman" w:cs="Times New Roman"/>
          <w:sz w:val="24"/>
          <w:szCs w:val="24"/>
        </w:rPr>
        <w:t xml:space="preserve"> (i.e. in July 2012), the first financial year of the new Ministry corresponds to 2013 covering the period October 1, 2012 to September 30, 2013</w:t>
      </w:r>
      <w:r w:rsidR="00B0212F">
        <w:rPr>
          <w:rFonts w:ascii="Times New Roman" w:hAnsi="Times New Roman" w:cs="Times New Roman"/>
          <w:sz w:val="24"/>
          <w:szCs w:val="24"/>
        </w:rPr>
        <w:t xml:space="preserve"> (See Institutional Analysis)</w:t>
      </w:r>
      <w:r w:rsidR="00A770EF">
        <w:rPr>
          <w:rFonts w:ascii="Times New Roman" w:hAnsi="Times New Roman" w:cs="Times New Roman"/>
          <w:sz w:val="24"/>
          <w:szCs w:val="24"/>
        </w:rPr>
        <w:t>.</w:t>
      </w:r>
      <w:r w:rsidRPr="008D303F">
        <w:rPr>
          <w:rFonts w:ascii="Times New Roman" w:hAnsi="Times New Roman" w:cs="Times New Roman"/>
          <w:sz w:val="24"/>
          <w:szCs w:val="24"/>
        </w:rPr>
        <w:t xml:space="preserve"> In this respect, the present analysis is based on “Estimates of Expenditure 2013” prepared and consolidated by the</w:t>
      </w:r>
      <w:r w:rsidR="00AA3EA1">
        <w:rPr>
          <w:rFonts w:ascii="Times New Roman" w:hAnsi="Times New Roman" w:cs="Times New Roman"/>
          <w:sz w:val="24"/>
          <w:szCs w:val="24"/>
        </w:rPr>
        <w:t xml:space="preserve"> Ministry of Finance and the Economy (</w:t>
      </w:r>
      <w:r w:rsidRPr="008D303F">
        <w:rPr>
          <w:rFonts w:ascii="Times New Roman" w:hAnsi="Times New Roman" w:cs="Times New Roman"/>
          <w:sz w:val="24"/>
          <w:szCs w:val="24"/>
        </w:rPr>
        <w:t>MoFE</w:t>
      </w:r>
      <w:r w:rsidR="00AA3EA1">
        <w:rPr>
          <w:rFonts w:ascii="Times New Roman" w:hAnsi="Times New Roman" w:cs="Times New Roman"/>
          <w:sz w:val="24"/>
          <w:szCs w:val="24"/>
        </w:rPr>
        <w:t>)</w:t>
      </w:r>
      <w:r w:rsidR="008D303F">
        <w:rPr>
          <w:rFonts w:ascii="Times New Roman" w:hAnsi="Times New Roman" w:cs="Times New Roman"/>
          <w:sz w:val="24"/>
          <w:szCs w:val="24"/>
        </w:rPr>
        <w:t xml:space="preserve"> of the GORTT</w:t>
      </w:r>
      <w:r w:rsidRPr="008D303F">
        <w:rPr>
          <w:rFonts w:ascii="Times New Roman" w:hAnsi="Times New Roman" w:cs="Times New Roman"/>
          <w:sz w:val="24"/>
          <w:szCs w:val="24"/>
        </w:rPr>
        <w:t>.</w:t>
      </w:r>
    </w:p>
    <w:p w:rsidR="005362F7" w:rsidRPr="008D303F" w:rsidRDefault="008D303F" w:rsidP="00317932">
      <w:pPr>
        <w:tabs>
          <w:tab w:val="left" w:pos="520"/>
        </w:tabs>
        <w:spacing w:line="240" w:lineRule="auto"/>
        <w:jc w:val="both"/>
        <w:rPr>
          <w:rFonts w:ascii="Times New Roman" w:hAnsi="Times New Roman" w:cs="Times New Roman"/>
          <w:b/>
          <w:sz w:val="24"/>
          <w:szCs w:val="24"/>
        </w:rPr>
      </w:pPr>
      <w:r w:rsidRPr="008D303F">
        <w:rPr>
          <w:rFonts w:ascii="Times New Roman" w:hAnsi="Times New Roman" w:cs="Times New Roman"/>
          <w:b/>
          <w:sz w:val="24"/>
          <w:szCs w:val="24"/>
        </w:rPr>
        <w:t xml:space="preserve">2.1 </w:t>
      </w:r>
      <w:r w:rsidR="00ED0B4D">
        <w:rPr>
          <w:rFonts w:ascii="Times New Roman" w:hAnsi="Times New Roman" w:cs="Times New Roman"/>
          <w:b/>
          <w:sz w:val="24"/>
          <w:szCs w:val="24"/>
        </w:rPr>
        <w:tab/>
      </w:r>
      <w:r w:rsidR="005362F7" w:rsidRPr="008D303F">
        <w:rPr>
          <w:rFonts w:ascii="Times New Roman" w:hAnsi="Times New Roman" w:cs="Times New Roman"/>
          <w:b/>
          <w:sz w:val="24"/>
          <w:szCs w:val="24"/>
        </w:rPr>
        <w:t>Recurrent Expenditures</w:t>
      </w:r>
    </w:p>
    <w:p w:rsidR="00317932" w:rsidRDefault="005362F7" w:rsidP="00317932">
      <w:pPr>
        <w:tabs>
          <w:tab w:val="left" w:pos="520"/>
        </w:tabs>
        <w:spacing w:line="240" w:lineRule="auto"/>
        <w:jc w:val="both"/>
        <w:rPr>
          <w:rFonts w:ascii="Times New Roman" w:hAnsi="Times New Roman" w:cs="Times New Roman"/>
          <w:sz w:val="24"/>
          <w:szCs w:val="24"/>
        </w:rPr>
      </w:pPr>
      <w:r w:rsidRPr="008D303F">
        <w:rPr>
          <w:rFonts w:ascii="Times New Roman" w:hAnsi="Times New Roman" w:cs="Times New Roman"/>
          <w:sz w:val="24"/>
          <w:szCs w:val="24"/>
        </w:rPr>
        <w:t>The total budget o</w:t>
      </w:r>
      <w:r w:rsidR="00317932">
        <w:rPr>
          <w:rFonts w:ascii="Times New Roman" w:hAnsi="Times New Roman" w:cs="Times New Roman"/>
          <w:sz w:val="24"/>
          <w:szCs w:val="24"/>
        </w:rPr>
        <w:t>f</w:t>
      </w:r>
      <w:r w:rsidR="00A770EF">
        <w:rPr>
          <w:rFonts w:ascii="Times New Roman" w:hAnsi="Times New Roman" w:cs="Times New Roman"/>
          <w:sz w:val="24"/>
          <w:szCs w:val="24"/>
        </w:rPr>
        <w:t xml:space="preserve"> the MoEWR for 2013 totaled US$</w:t>
      </w:r>
      <w:r w:rsidRPr="008D303F">
        <w:rPr>
          <w:rFonts w:ascii="Times New Roman" w:hAnsi="Times New Roman" w:cs="Times New Roman"/>
          <w:sz w:val="24"/>
          <w:szCs w:val="24"/>
        </w:rPr>
        <w:t xml:space="preserve">432.6 million </w:t>
      </w:r>
      <w:r w:rsidR="00317932" w:rsidRPr="008D303F">
        <w:rPr>
          <w:rFonts w:ascii="Times New Roman" w:hAnsi="Times New Roman" w:cs="Times New Roman"/>
          <w:sz w:val="24"/>
          <w:szCs w:val="24"/>
        </w:rPr>
        <w:t>which</w:t>
      </w:r>
      <w:r w:rsidRPr="008D303F">
        <w:rPr>
          <w:rFonts w:ascii="Times New Roman" w:hAnsi="Times New Roman" w:cs="Times New Roman"/>
          <w:sz w:val="24"/>
          <w:szCs w:val="24"/>
        </w:rPr>
        <w:t xml:space="preserve"> ba</w:t>
      </w:r>
      <w:r w:rsidR="00317932">
        <w:rPr>
          <w:rFonts w:ascii="Times New Roman" w:hAnsi="Times New Roman" w:cs="Times New Roman"/>
          <w:sz w:val="24"/>
          <w:szCs w:val="24"/>
        </w:rPr>
        <w:t>sed on the content of Table 6</w:t>
      </w:r>
      <w:r w:rsidRPr="008D303F">
        <w:rPr>
          <w:rFonts w:ascii="Times New Roman" w:hAnsi="Times New Roman" w:cs="Times New Roman"/>
          <w:sz w:val="24"/>
          <w:szCs w:val="24"/>
        </w:rPr>
        <w:t xml:space="preserve"> below</w:t>
      </w:r>
      <w:r w:rsidR="00317932">
        <w:rPr>
          <w:rFonts w:ascii="Times New Roman" w:hAnsi="Times New Roman" w:cs="Times New Roman"/>
          <w:sz w:val="24"/>
          <w:szCs w:val="24"/>
        </w:rPr>
        <w:t>,</w:t>
      </w:r>
      <w:r w:rsidRPr="008D303F">
        <w:rPr>
          <w:rFonts w:ascii="Times New Roman" w:hAnsi="Times New Roman" w:cs="Times New Roman"/>
          <w:sz w:val="24"/>
          <w:szCs w:val="24"/>
        </w:rPr>
        <w:t xml:space="preserve"> presents the following characteristics: </w:t>
      </w:r>
    </w:p>
    <w:p w:rsidR="00317932" w:rsidRDefault="00317932" w:rsidP="00317932">
      <w:pPr>
        <w:tabs>
          <w:tab w:val="left" w:pos="520"/>
        </w:tabs>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(a) I</w:t>
      </w:r>
      <w:r w:rsidR="005362F7" w:rsidRPr="008D303F">
        <w:rPr>
          <w:rFonts w:ascii="Times New Roman" w:hAnsi="Times New Roman" w:cs="Times New Roman"/>
          <w:sz w:val="24"/>
          <w:szCs w:val="24"/>
        </w:rPr>
        <w:t xml:space="preserve">t was prepared by cost or expenditure “object” based on the chart of accounts of the MoFE for the </w:t>
      </w:r>
      <w:r w:rsidR="00B0212F">
        <w:rPr>
          <w:rFonts w:ascii="Times New Roman" w:hAnsi="Times New Roman" w:cs="Times New Roman"/>
          <w:sz w:val="24"/>
          <w:szCs w:val="24"/>
        </w:rPr>
        <w:t>Central Administration of the GO</w:t>
      </w:r>
      <w:r w:rsidR="005362F7" w:rsidRPr="008D303F">
        <w:rPr>
          <w:rFonts w:ascii="Times New Roman" w:hAnsi="Times New Roman" w:cs="Times New Roman"/>
          <w:sz w:val="24"/>
          <w:szCs w:val="24"/>
        </w:rPr>
        <w:t>RTT;</w:t>
      </w:r>
    </w:p>
    <w:p w:rsidR="00317932" w:rsidRDefault="00317932" w:rsidP="00317932">
      <w:pPr>
        <w:tabs>
          <w:tab w:val="left" w:pos="520"/>
        </w:tabs>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(b) I</w:t>
      </w:r>
      <w:r w:rsidR="005362F7" w:rsidRPr="008D303F">
        <w:rPr>
          <w:rFonts w:ascii="Times New Roman" w:hAnsi="Times New Roman" w:cs="Times New Roman"/>
          <w:sz w:val="24"/>
          <w:szCs w:val="24"/>
        </w:rPr>
        <w:t>t consolidates the general administrative costs of the MoEWR and those of its divisions as well as the transfers to its adjacent programs, units and statutory bodies;</w:t>
      </w:r>
    </w:p>
    <w:p w:rsidR="00317932" w:rsidRDefault="005362F7" w:rsidP="00317932">
      <w:pPr>
        <w:tabs>
          <w:tab w:val="left" w:pos="520"/>
        </w:tabs>
        <w:spacing w:line="240" w:lineRule="auto"/>
        <w:jc w:val="both"/>
        <w:rPr>
          <w:rFonts w:ascii="Times New Roman" w:hAnsi="Times New Roman" w:cs="Times New Roman"/>
          <w:sz w:val="24"/>
          <w:szCs w:val="24"/>
        </w:rPr>
      </w:pPr>
      <w:r w:rsidRPr="008D303F">
        <w:rPr>
          <w:rFonts w:ascii="Times New Roman" w:hAnsi="Times New Roman" w:cs="Times New Roman"/>
          <w:sz w:val="24"/>
          <w:szCs w:val="24"/>
        </w:rPr>
        <w:t xml:space="preserve"> (c) </w:t>
      </w:r>
      <w:r w:rsidR="00317932">
        <w:rPr>
          <w:rFonts w:ascii="Times New Roman" w:hAnsi="Times New Roman" w:cs="Times New Roman"/>
          <w:sz w:val="24"/>
          <w:szCs w:val="24"/>
        </w:rPr>
        <w:t xml:space="preserve">It </w:t>
      </w:r>
      <w:r w:rsidRPr="008D303F">
        <w:rPr>
          <w:rFonts w:ascii="Times New Roman" w:hAnsi="Times New Roman" w:cs="Times New Roman"/>
          <w:sz w:val="24"/>
          <w:szCs w:val="24"/>
        </w:rPr>
        <w:t>incorporates the expenditure items transferred from the</w:t>
      </w:r>
      <w:r w:rsidR="00B0212F">
        <w:rPr>
          <w:rFonts w:ascii="Times New Roman" w:hAnsi="Times New Roman" w:cs="Times New Roman"/>
          <w:sz w:val="24"/>
          <w:szCs w:val="24"/>
        </w:rPr>
        <w:t xml:space="preserve"> Ministr</w:t>
      </w:r>
      <w:r w:rsidR="00317932">
        <w:rPr>
          <w:rFonts w:ascii="Times New Roman" w:hAnsi="Times New Roman" w:cs="Times New Roman"/>
          <w:sz w:val="24"/>
          <w:szCs w:val="24"/>
        </w:rPr>
        <w:t>y of Housing, Land and Marine Affairs (</w:t>
      </w:r>
      <w:r w:rsidRPr="008D303F">
        <w:rPr>
          <w:rFonts w:ascii="Times New Roman" w:hAnsi="Times New Roman" w:cs="Times New Roman"/>
          <w:sz w:val="24"/>
          <w:szCs w:val="24"/>
        </w:rPr>
        <w:t>MoHLMA</w:t>
      </w:r>
      <w:r w:rsidR="00317932">
        <w:rPr>
          <w:rFonts w:ascii="Times New Roman" w:hAnsi="Times New Roman" w:cs="Times New Roman"/>
          <w:sz w:val="24"/>
          <w:szCs w:val="24"/>
        </w:rPr>
        <w:t>)</w:t>
      </w:r>
      <w:r w:rsidRPr="008D303F">
        <w:rPr>
          <w:rFonts w:ascii="Times New Roman" w:hAnsi="Times New Roman" w:cs="Times New Roman"/>
          <w:sz w:val="24"/>
          <w:szCs w:val="24"/>
        </w:rPr>
        <w:t xml:space="preserve">, </w:t>
      </w:r>
      <w:r w:rsidR="00317932">
        <w:rPr>
          <w:rFonts w:ascii="Times New Roman" w:hAnsi="Times New Roman" w:cs="Times New Roman"/>
          <w:sz w:val="24"/>
          <w:szCs w:val="24"/>
        </w:rPr>
        <w:t>Ministry of works and Infrastructure (</w:t>
      </w:r>
      <w:r w:rsidRPr="008D303F">
        <w:rPr>
          <w:rFonts w:ascii="Times New Roman" w:hAnsi="Times New Roman" w:cs="Times New Roman"/>
          <w:sz w:val="24"/>
          <w:szCs w:val="24"/>
        </w:rPr>
        <w:t>MoWI</w:t>
      </w:r>
      <w:r w:rsidR="00317932">
        <w:rPr>
          <w:rFonts w:ascii="Times New Roman" w:hAnsi="Times New Roman" w:cs="Times New Roman"/>
          <w:sz w:val="24"/>
          <w:szCs w:val="24"/>
        </w:rPr>
        <w:t>)</w:t>
      </w:r>
      <w:r w:rsidRPr="008D303F">
        <w:rPr>
          <w:rFonts w:ascii="Times New Roman" w:hAnsi="Times New Roman" w:cs="Times New Roman"/>
          <w:sz w:val="24"/>
          <w:szCs w:val="24"/>
        </w:rPr>
        <w:t>, and Ministry of Public Utilities (MoPU), among others;</w:t>
      </w:r>
    </w:p>
    <w:p w:rsidR="005362F7" w:rsidRDefault="00317932" w:rsidP="00317932">
      <w:pPr>
        <w:tabs>
          <w:tab w:val="left" w:pos="520"/>
        </w:tabs>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362F7" w:rsidRPr="008D303F">
        <w:rPr>
          <w:rFonts w:ascii="Times New Roman" w:hAnsi="Times New Roman" w:cs="Times New Roman"/>
          <w:sz w:val="24"/>
          <w:szCs w:val="24"/>
        </w:rPr>
        <w:t xml:space="preserve">(d) </w:t>
      </w:r>
      <w:r>
        <w:rPr>
          <w:rFonts w:ascii="Times New Roman" w:hAnsi="Times New Roman" w:cs="Times New Roman"/>
          <w:sz w:val="24"/>
          <w:szCs w:val="24"/>
        </w:rPr>
        <w:t xml:space="preserve">It </w:t>
      </w:r>
      <w:r w:rsidR="005362F7" w:rsidRPr="008D303F">
        <w:rPr>
          <w:rFonts w:ascii="Times New Roman" w:hAnsi="Times New Roman" w:cs="Times New Roman"/>
          <w:sz w:val="24"/>
          <w:szCs w:val="24"/>
        </w:rPr>
        <w:t>includes provisions for vacant posts to be filled with incumbents during the present financial year.</w:t>
      </w:r>
    </w:p>
    <w:p w:rsidR="00317932" w:rsidRPr="008D303F" w:rsidRDefault="00317932" w:rsidP="00A627F3">
      <w:pPr>
        <w:tabs>
          <w:tab w:val="left" w:pos="520"/>
        </w:tabs>
        <w:spacing w:line="240" w:lineRule="auto"/>
        <w:jc w:val="center"/>
        <w:rPr>
          <w:rFonts w:ascii="Times New Roman" w:hAnsi="Times New Roman" w:cs="Times New Roman"/>
          <w:sz w:val="24"/>
          <w:szCs w:val="24"/>
        </w:rPr>
      </w:pPr>
      <w:r w:rsidRPr="00317932">
        <w:rPr>
          <w:rFonts w:ascii="Times New Roman" w:hAnsi="Times New Roman" w:cs="Times New Roman"/>
          <w:b/>
          <w:sz w:val="24"/>
          <w:szCs w:val="24"/>
          <w:u w:val="single"/>
        </w:rPr>
        <w:t>Table</w:t>
      </w:r>
      <w:r w:rsidR="00392CFC">
        <w:rPr>
          <w:rFonts w:ascii="Times New Roman" w:hAnsi="Times New Roman" w:cs="Times New Roman"/>
          <w:b/>
          <w:sz w:val="24"/>
          <w:szCs w:val="24"/>
          <w:u w:val="single"/>
        </w:rPr>
        <w:t xml:space="preserve"> 6</w:t>
      </w:r>
      <w:r w:rsidRPr="00317932">
        <w:rPr>
          <w:rFonts w:ascii="Times New Roman" w:hAnsi="Times New Roman" w:cs="Times New Roman"/>
          <w:b/>
          <w:sz w:val="24"/>
          <w:szCs w:val="24"/>
          <w:u w:val="single"/>
        </w:rPr>
        <w:t>. MoEWR Estimates of Expenditure 2013: Recurrent Cost</w:t>
      </w:r>
      <w:r>
        <w:rPr>
          <w:rFonts w:ascii="Times New Roman" w:hAnsi="Times New Roman" w:cs="Times New Roman"/>
          <w:sz w:val="24"/>
          <w:szCs w:val="24"/>
        </w:rPr>
        <w:t xml:space="preserve">                                                        </w:t>
      </w:r>
      <w:r w:rsidRPr="00317932">
        <w:rPr>
          <w:rFonts w:ascii="Times New Roman" w:hAnsi="Times New Roman" w:cs="Times New Roman"/>
          <w:sz w:val="24"/>
          <w:szCs w:val="24"/>
        </w:rPr>
        <w:t>(in thousands of US</w:t>
      </w:r>
      <w:r>
        <w:rPr>
          <w:rFonts w:ascii="Times New Roman" w:hAnsi="Times New Roman" w:cs="Times New Roman"/>
          <w:sz w:val="24"/>
          <w:szCs w:val="24"/>
        </w:rPr>
        <w:t>D</w:t>
      </w:r>
      <w:r w:rsidRPr="00317932">
        <w:rPr>
          <w:rFonts w:ascii="Times New Roman" w:hAnsi="Times New Roman" w:cs="Times New Roman"/>
          <w:sz w:val="24"/>
          <w:szCs w:val="24"/>
        </w:rPr>
        <w:t>)</w:t>
      </w:r>
    </w:p>
    <w:p w:rsidR="005362F7" w:rsidRDefault="00623FC1" w:rsidP="008D303F">
      <w:pPr>
        <w:tabs>
          <w:tab w:val="left" w:pos="520"/>
        </w:tabs>
        <w:spacing w:line="240" w:lineRule="auto"/>
        <w:jc w:val="both"/>
        <w:rPr>
          <w:rFonts w:ascii="Times New Roman" w:hAnsi="Times New Roman" w:cs="Times New Roman"/>
          <w:sz w:val="24"/>
          <w:szCs w:val="24"/>
        </w:rPr>
      </w:pPr>
      <w:r>
        <w:rPr>
          <w:rFonts w:ascii="Times New Roman" w:hAnsi="Times New Roman" w:cs="Times New Roman"/>
          <w:noProof/>
          <w:sz w:val="16"/>
          <w:szCs w:val="24"/>
        </w:rPr>
        <mc:AlternateContent>
          <mc:Choice Requires="wps">
            <w:drawing>
              <wp:anchor distT="0" distB="0" distL="114300" distR="114300" simplePos="0" relativeHeight="251665408" behindDoc="0" locked="0" layoutInCell="1" allowOverlap="1" wp14:anchorId="30D902DD" wp14:editId="104F9342">
                <wp:simplePos x="0" y="0"/>
                <wp:positionH relativeFrom="column">
                  <wp:posOffset>82550</wp:posOffset>
                </wp:positionH>
                <wp:positionV relativeFrom="paragraph">
                  <wp:posOffset>2345690</wp:posOffset>
                </wp:positionV>
                <wp:extent cx="1701800" cy="196850"/>
                <wp:effectExtent l="0" t="0" r="12700" b="12700"/>
                <wp:wrapNone/>
                <wp:docPr id="15" name="Rectangle 15"/>
                <wp:cNvGraphicFramePr/>
                <a:graphic xmlns:a="http://schemas.openxmlformats.org/drawingml/2006/main">
                  <a:graphicData uri="http://schemas.microsoft.com/office/word/2010/wordprocessingShape">
                    <wps:wsp>
                      <wps:cNvSpPr/>
                      <wps:spPr>
                        <a:xfrm>
                          <a:off x="0" y="0"/>
                          <a:ext cx="1701800" cy="1968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23FC1" w:rsidRPr="00623FC1" w:rsidRDefault="00623FC1" w:rsidP="00623FC1">
                            <w:pPr>
                              <w:jc w:val="center"/>
                              <w:rPr>
                                <w:rFonts w:ascii="Times New Roman" w:hAnsi="Times New Roman" w:cs="Times New Roman"/>
                                <w:color w:val="000000" w:themeColor="text1"/>
                                <w:sz w:val="14"/>
                              </w:rPr>
                            </w:pPr>
                            <w:r w:rsidRPr="00623FC1">
                              <w:rPr>
                                <w:rFonts w:ascii="Times New Roman" w:hAnsi="Times New Roman" w:cs="Times New Roman"/>
                                <w:color w:val="000000" w:themeColor="text1"/>
                                <w:sz w:val="12"/>
                              </w:rPr>
                              <w:t>Source: MoEWR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5" o:spid="_x0000_s1026" style="position:absolute;left:0;text-align:left;margin-left:6.5pt;margin-top:184.7pt;width:134pt;height:1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" fillcolor="white [3212]" strokecolor="white [3212]" strokeweight="2pt">
                <v:textbox>
                  <w:txbxContent>
                    <w:p w:rsidR="00623FC1" w:rsidRPr="00623FC1" w:rsidRDefault="00623FC1" w:rsidP="00623FC1">
                      <w:pPr>
                        <w:jc w:val="center"/>
                        <w:rPr>
                          <w:rFonts w:ascii="Times New Roman" w:hAnsi="Times New Roman" w:cs="Times New Roman"/>
                          <w:color w:val="000000" w:themeColor="text1"/>
                          <w:sz w:val="14"/>
                        </w:rPr>
                      </w:pPr>
                      <w:r w:rsidRPr="00623FC1">
                        <w:rPr>
                          <w:rFonts w:ascii="Times New Roman" w:hAnsi="Times New Roman" w:cs="Times New Roman"/>
                          <w:color w:val="000000" w:themeColor="text1"/>
                          <w:sz w:val="12"/>
                        </w:rPr>
                        <w:t>Source: MoEWR</w:t>
                      </w:r>
                    </w:p>
                  </w:txbxContent>
                </v:textbox>
              </v:rect>
            </w:pict>
          </mc:Fallback>
        </mc:AlternateContent>
      </w:r>
      <w:r w:rsidR="00317932" w:rsidRPr="00317932">
        <w:rPr>
          <w:noProof/>
        </w:rPr>
        <w:drawing>
          <wp:inline distT="0" distB="0" distL="0" distR="0" wp14:anchorId="4CA1FCE2" wp14:editId="7D6F45E3">
            <wp:extent cx="5943600" cy="2447629"/>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943600" cy="2447629"/>
                    </a:xfrm>
                    <a:prstGeom prst="rect">
                      <a:avLst/>
                    </a:prstGeom>
                    <a:noFill/>
                    <a:ln>
                      <a:noFill/>
                    </a:ln>
                  </pic:spPr>
                </pic:pic>
              </a:graphicData>
            </a:graphic>
          </wp:inline>
        </w:drawing>
      </w:r>
    </w:p>
    <w:p w:rsidR="005362F7" w:rsidRDefault="005362F7" w:rsidP="008D303F">
      <w:pPr>
        <w:tabs>
          <w:tab w:val="left" w:pos="520"/>
        </w:tabs>
        <w:spacing w:line="240" w:lineRule="auto"/>
        <w:jc w:val="both"/>
        <w:rPr>
          <w:rFonts w:ascii="Times New Roman" w:hAnsi="Times New Roman" w:cs="Times New Roman"/>
          <w:sz w:val="24"/>
          <w:szCs w:val="24"/>
        </w:rPr>
      </w:pPr>
    </w:p>
    <w:p w:rsidR="0095525A" w:rsidRPr="008D303F" w:rsidRDefault="0095525A" w:rsidP="008D303F">
      <w:pPr>
        <w:tabs>
          <w:tab w:val="left" w:pos="520"/>
        </w:tabs>
        <w:spacing w:line="240" w:lineRule="auto"/>
        <w:jc w:val="both"/>
        <w:rPr>
          <w:rFonts w:ascii="Times New Roman" w:hAnsi="Times New Roman" w:cs="Times New Roman"/>
          <w:sz w:val="24"/>
          <w:szCs w:val="24"/>
        </w:rPr>
      </w:pPr>
    </w:p>
    <w:p w:rsidR="005362F7" w:rsidRPr="008D303F" w:rsidRDefault="005362F7" w:rsidP="008D303F">
      <w:pPr>
        <w:tabs>
          <w:tab w:val="left" w:pos="520"/>
        </w:tabs>
        <w:spacing w:line="240" w:lineRule="auto"/>
        <w:jc w:val="both"/>
        <w:rPr>
          <w:rFonts w:ascii="Times New Roman" w:hAnsi="Times New Roman" w:cs="Times New Roman"/>
          <w:sz w:val="24"/>
          <w:szCs w:val="24"/>
        </w:rPr>
      </w:pPr>
      <w:r w:rsidRPr="008D303F">
        <w:rPr>
          <w:rFonts w:ascii="Times New Roman" w:hAnsi="Times New Roman" w:cs="Times New Roman"/>
          <w:sz w:val="24"/>
          <w:szCs w:val="24"/>
        </w:rPr>
        <w:lastRenderedPageBreak/>
        <w:t xml:space="preserve">The most important line of expenditure of the Ministry represents the current transfers to the Ministry’s </w:t>
      </w:r>
      <w:r w:rsidR="00B71F3C">
        <w:rPr>
          <w:rFonts w:ascii="Times New Roman" w:hAnsi="Times New Roman" w:cs="Times New Roman"/>
          <w:sz w:val="24"/>
          <w:szCs w:val="24"/>
        </w:rPr>
        <w:t xml:space="preserve">statutory bodies which total USD </w:t>
      </w:r>
      <w:r w:rsidRPr="008D303F">
        <w:rPr>
          <w:rFonts w:ascii="Times New Roman" w:hAnsi="Times New Roman" w:cs="Times New Roman"/>
          <w:sz w:val="24"/>
          <w:szCs w:val="24"/>
        </w:rPr>
        <w:t>317.8 million in 2013 equivalent</w:t>
      </w:r>
      <w:r w:rsidR="00A770EF">
        <w:rPr>
          <w:rFonts w:ascii="Times New Roman" w:hAnsi="Times New Roman" w:cs="Times New Roman"/>
          <w:sz w:val="24"/>
          <w:szCs w:val="24"/>
        </w:rPr>
        <w:t xml:space="preserve"> to 73.5% of the total budget. </w:t>
      </w:r>
      <w:r w:rsidRPr="008D303F">
        <w:rPr>
          <w:rFonts w:ascii="Times New Roman" w:hAnsi="Times New Roman" w:cs="Times New Roman"/>
          <w:sz w:val="24"/>
          <w:szCs w:val="24"/>
        </w:rPr>
        <w:t xml:space="preserve">If other recurrent transfers and subsidies </w:t>
      </w:r>
      <w:r w:rsidR="00903325">
        <w:rPr>
          <w:rFonts w:ascii="Times New Roman" w:hAnsi="Times New Roman" w:cs="Times New Roman"/>
          <w:sz w:val="24"/>
          <w:szCs w:val="24"/>
        </w:rPr>
        <w:t xml:space="preserve">are added to such line </w:t>
      </w:r>
      <w:r w:rsidR="00903325">
        <w:rPr>
          <w:rFonts w:ascii="Times New Roman" w:hAnsi="Times New Roman" w:cs="Times New Roman"/>
          <w:sz w:val="24"/>
          <w:szCs w:val="24"/>
        </w:rPr>
        <w:br/>
        <w:t>(i.e. US$</w:t>
      </w:r>
      <w:r w:rsidRPr="008D303F">
        <w:rPr>
          <w:rFonts w:ascii="Times New Roman" w:hAnsi="Times New Roman" w:cs="Times New Roman"/>
          <w:sz w:val="24"/>
          <w:szCs w:val="24"/>
        </w:rPr>
        <w:t>9.3 million or 2.2% of the total budget), it c</w:t>
      </w:r>
      <w:r w:rsidR="00903325">
        <w:rPr>
          <w:rFonts w:ascii="Times New Roman" w:hAnsi="Times New Roman" w:cs="Times New Roman"/>
          <w:sz w:val="24"/>
          <w:szCs w:val="24"/>
        </w:rPr>
        <w:t xml:space="preserve">an be stated that a total of </w:t>
      </w:r>
      <w:r w:rsidR="00903325">
        <w:rPr>
          <w:rFonts w:ascii="Times New Roman" w:hAnsi="Times New Roman" w:cs="Times New Roman"/>
          <w:sz w:val="24"/>
          <w:szCs w:val="24"/>
        </w:rPr>
        <w:br/>
        <w:t>US$</w:t>
      </w:r>
      <w:r w:rsidRPr="008D303F">
        <w:rPr>
          <w:rFonts w:ascii="Times New Roman" w:hAnsi="Times New Roman" w:cs="Times New Roman"/>
          <w:sz w:val="24"/>
          <w:szCs w:val="24"/>
        </w:rPr>
        <w:t>327.1 million (75.6%) correspond to automatic transfers to other public bodies and, thereby, not under the direct administration of the MoEWR.</w:t>
      </w:r>
    </w:p>
    <w:p w:rsidR="005362F7" w:rsidRPr="008D303F" w:rsidRDefault="005362F7" w:rsidP="008D303F">
      <w:pPr>
        <w:tabs>
          <w:tab w:val="left" w:pos="520"/>
        </w:tabs>
        <w:spacing w:line="240" w:lineRule="auto"/>
        <w:jc w:val="both"/>
        <w:rPr>
          <w:rFonts w:ascii="Times New Roman" w:hAnsi="Times New Roman" w:cs="Times New Roman"/>
          <w:sz w:val="24"/>
          <w:szCs w:val="24"/>
        </w:rPr>
      </w:pPr>
      <w:r w:rsidRPr="008D303F">
        <w:rPr>
          <w:rFonts w:ascii="Times New Roman" w:hAnsi="Times New Roman" w:cs="Times New Roman"/>
          <w:sz w:val="24"/>
          <w:szCs w:val="24"/>
        </w:rPr>
        <w:t>With respect to go</w:t>
      </w:r>
      <w:r w:rsidR="00B71F3C">
        <w:rPr>
          <w:rFonts w:ascii="Times New Roman" w:hAnsi="Times New Roman" w:cs="Times New Roman"/>
          <w:sz w:val="24"/>
          <w:szCs w:val="24"/>
        </w:rPr>
        <w:t>o</w:t>
      </w:r>
      <w:r w:rsidR="00A770EF">
        <w:rPr>
          <w:rFonts w:ascii="Times New Roman" w:hAnsi="Times New Roman" w:cs="Times New Roman"/>
          <w:sz w:val="24"/>
          <w:szCs w:val="24"/>
        </w:rPr>
        <w:t>ds and services which total US$</w:t>
      </w:r>
      <w:r w:rsidRPr="008D303F">
        <w:rPr>
          <w:rFonts w:ascii="Times New Roman" w:hAnsi="Times New Roman" w:cs="Times New Roman"/>
          <w:sz w:val="24"/>
          <w:szCs w:val="24"/>
        </w:rPr>
        <w:t>77.4 million, equivalent to 17.9% of the total budg</w:t>
      </w:r>
      <w:r w:rsidR="00B71F3C">
        <w:rPr>
          <w:rFonts w:ascii="Times New Roman" w:hAnsi="Times New Roman" w:cs="Times New Roman"/>
          <w:sz w:val="24"/>
          <w:szCs w:val="24"/>
        </w:rPr>
        <w:t>e</w:t>
      </w:r>
      <w:r w:rsidR="00A770EF">
        <w:rPr>
          <w:rFonts w:ascii="Times New Roman" w:hAnsi="Times New Roman" w:cs="Times New Roman"/>
          <w:sz w:val="24"/>
          <w:szCs w:val="24"/>
        </w:rPr>
        <w:t>t of the Ministry for 2013, US$</w:t>
      </w:r>
      <w:r w:rsidRPr="008D303F">
        <w:rPr>
          <w:rFonts w:ascii="Times New Roman" w:hAnsi="Times New Roman" w:cs="Times New Roman"/>
          <w:sz w:val="24"/>
          <w:szCs w:val="24"/>
        </w:rPr>
        <w:t>43.5 million correspond to general administration costs.  Notwithstanding, of such amount, U</w:t>
      </w:r>
      <w:r w:rsidR="00A770EF">
        <w:rPr>
          <w:rFonts w:ascii="Times New Roman" w:hAnsi="Times New Roman" w:cs="Times New Roman"/>
          <w:sz w:val="24"/>
          <w:szCs w:val="24"/>
        </w:rPr>
        <w:t>S$</w:t>
      </w:r>
      <w:r w:rsidRPr="008D303F">
        <w:rPr>
          <w:rFonts w:ascii="Times New Roman" w:hAnsi="Times New Roman" w:cs="Times New Roman"/>
          <w:sz w:val="24"/>
          <w:szCs w:val="24"/>
        </w:rPr>
        <w:t>41.8 million represent direct refunds to WASA</w:t>
      </w:r>
      <w:r w:rsidR="00B71F3C">
        <w:rPr>
          <w:rStyle w:val="FootnoteReference"/>
          <w:rFonts w:ascii="Times New Roman" w:hAnsi="Times New Roman" w:cs="Times New Roman"/>
          <w:sz w:val="24"/>
          <w:szCs w:val="24"/>
        </w:rPr>
        <w:footnoteReference w:id="6"/>
      </w:r>
      <w:r w:rsidRPr="008D303F">
        <w:rPr>
          <w:rFonts w:ascii="Times New Roman" w:hAnsi="Times New Roman" w:cs="Times New Roman"/>
          <w:sz w:val="24"/>
          <w:szCs w:val="24"/>
        </w:rPr>
        <w:t xml:space="preserve"> under a “Water Improvement Rate” agr</w:t>
      </w:r>
      <w:r w:rsidR="00903325">
        <w:rPr>
          <w:rFonts w:ascii="Times New Roman" w:hAnsi="Times New Roman" w:cs="Times New Roman"/>
          <w:sz w:val="24"/>
          <w:szCs w:val="24"/>
        </w:rPr>
        <w:t xml:space="preserve">eement subsidized by the MoFE. </w:t>
      </w:r>
      <w:r w:rsidRPr="008D303F">
        <w:rPr>
          <w:rFonts w:ascii="Times New Roman" w:hAnsi="Times New Roman" w:cs="Times New Roman"/>
          <w:sz w:val="24"/>
          <w:szCs w:val="24"/>
        </w:rPr>
        <w:t xml:space="preserve">The Drainage Division, the Forestry Division and the Meteorological Services </w:t>
      </w:r>
      <w:r w:rsidR="00903325">
        <w:rPr>
          <w:rFonts w:ascii="Times New Roman" w:hAnsi="Times New Roman" w:cs="Times New Roman"/>
          <w:sz w:val="24"/>
          <w:szCs w:val="24"/>
        </w:rPr>
        <w:t>Division jointly account for US$</w:t>
      </w:r>
      <w:r w:rsidRPr="008D303F">
        <w:rPr>
          <w:rFonts w:ascii="Times New Roman" w:hAnsi="Times New Roman" w:cs="Times New Roman"/>
          <w:sz w:val="24"/>
          <w:szCs w:val="24"/>
        </w:rPr>
        <w:t>32.4 million in goods and services which are in a large proportion allocated to the contract employment and other contracted external services.</w:t>
      </w:r>
    </w:p>
    <w:p w:rsidR="005362F7" w:rsidRPr="008D303F" w:rsidRDefault="005362F7" w:rsidP="008D303F">
      <w:pPr>
        <w:tabs>
          <w:tab w:val="left" w:pos="520"/>
        </w:tabs>
        <w:spacing w:line="240" w:lineRule="auto"/>
        <w:jc w:val="both"/>
        <w:rPr>
          <w:rFonts w:ascii="Times New Roman" w:hAnsi="Times New Roman" w:cs="Times New Roman"/>
          <w:sz w:val="24"/>
          <w:szCs w:val="24"/>
        </w:rPr>
      </w:pPr>
      <w:r w:rsidRPr="008D303F">
        <w:rPr>
          <w:rFonts w:ascii="Times New Roman" w:hAnsi="Times New Roman" w:cs="Times New Roman"/>
          <w:sz w:val="24"/>
          <w:szCs w:val="24"/>
        </w:rPr>
        <w:t>With respect to personnel costs, the estimated leve</w:t>
      </w:r>
      <w:r w:rsidR="00B71F3C">
        <w:rPr>
          <w:rFonts w:ascii="Times New Roman" w:hAnsi="Times New Roman" w:cs="Times New Roman"/>
          <w:sz w:val="24"/>
          <w:szCs w:val="24"/>
        </w:rPr>
        <w:t>l of expendi</w:t>
      </w:r>
      <w:r w:rsidR="00903325">
        <w:rPr>
          <w:rFonts w:ascii="Times New Roman" w:hAnsi="Times New Roman" w:cs="Times New Roman"/>
          <w:sz w:val="24"/>
          <w:szCs w:val="24"/>
        </w:rPr>
        <w:t xml:space="preserve">ture for 2013 is </w:t>
      </w:r>
      <w:r w:rsidR="00903325">
        <w:rPr>
          <w:rFonts w:ascii="Times New Roman" w:hAnsi="Times New Roman" w:cs="Times New Roman"/>
          <w:sz w:val="24"/>
          <w:szCs w:val="24"/>
        </w:rPr>
        <w:br/>
        <w:t>US$</w:t>
      </w:r>
      <w:r w:rsidRPr="008D303F">
        <w:rPr>
          <w:rFonts w:ascii="Times New Roman" w:hAnsi="Times New Roman" w:cs="Times New Roman"/>
          <w:sz w:val="24"/>
          <w:szCs w:val="24"/>
        </w:rPr>
        <w:t>27.4 million (6.3%) which mainly comprise payroll, cost of living allowance and other benefits of daily rated workers as wel</w:t>
      </w:r>
      <w:r w:rsidR="00903325">
        <w:rPr>
          <w:rFonts w:ascii="Times New Roman" w:hAnsi="Times New Roman" w:cs="Times New Roman"/>
          <w:sz w:val="24"/>
          <w:szCs w:val="24"/>
        </w:rPr>
        <w:t xml:space="preserve">l as public service employees. </w:t>
      </w:r>
      <w:r w:rsidRPr="008D303F">
        <w:rPr>
          <w:rFonts w:ascii="Times New Roman" w:hAnsi="Times New Roman" w:cs="Times New Roman"/>
          <w:sz w:val="24"/>
          <w:szCs w:val="24"/>
        </w:rPr>
        <w:t>These costs are expected to increase as vacancies are gradually filled with personnel transferred to the Ministry.</w:t>
      </w:r>
    </w:p>
    <w:p w:rsidR="005362F7" w:rsidRPr="008D303F" w:rsidRDefault="00392CFC" w:rsidP="008D303F">
      <w:pPr>
        <w:tabs>
          <w:tab w:val="left" w:pos="520"/>
        </w:tabs>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Table 7 below, </w:t>
      </w:r>
      <w:r w:rsidR="005362F7" w:rsidRPr="008D303F">
        <w:rPr>
          <w:rFonts w:ascii="Times New Roman" w:hAnsi="Times New Roman" w:cs="Times New Roman"/>
          <w:sz w:val="24"/>
          <w:szCs w:val="24"/>
        </w:rPr>
        <w:t>shows the breakdown of t</w:t>
      </w:r>
      <w:r w:rsidR="00903325">
        <w:rPr>
          <w:rFonts w:ascii="Times New Roman" w:hAnsi="Times New Roman" w:cs="Times New Roman"/>
          <w:sz w:val="24"/>
          <w:szCs w:val="24"/>
        </w:rPr>
        <w:t xml:space="preserve">he current transfers for 2013. </w:t>
      </w:r>
      <w:r w:rsidR="005362F7" w:rsidRPr="008D303F">
        <w:rPr>
          <w:rFonts w:ascii="Times New Roman" w:hAnsi="Times New Roman" w:cs="Times New Roman"/>
          <w:sz w:val="24"/>
          <w:szCs w:val="24"/>
        </w:rPr>
        <w:t>The single largest recurrent transfer corresponds to WASA as a stat</w:t>
      </w:r>
      <w:r w:rsidR="00903325">
        <w:rPr>
          <w:rFonts w:ascii="Times New Roman" w:hAnsi="Times New Roman" w:cs="Times New Roman"/>
          <w:sz w:val="24"/>
          <w:szCs w:val="24"/>
        </w:rPr>
        <w:t xml:space="preserve">utory body of the MoEWR with </w:t>
      </w:r>
      <w:r w:rsidR="00903325">
        <w:rPr>
          <w:rFonts w:ascii="Times New Roman" w:hAnsi="Times New Roman" w:cs="Times New Roman"/>
          <w:sz w:val="24"/>
          <w:szCs w:val="24"/>
        </w:rPr>
        <w:br/>
        <w:t>US$</w:t>
      </w:r>
      <w:r w:rsidR="005362F7" w:rsidRPr="008D303F">
        <w:rPr>
          <w:rFonts w:ascii="Times New Roman" w:hAnsi="Times New Roman" w:cs="Times New Roman"/>
          <w:sz w:val="24"/>
          <w:szCs w:val="24"/>
        </w:rPr>
        <w:t xml:space="preserve">313.2 million </w:t>
      </w:r>
      <w:r w:rsidR="00903325">
        <w:rPr>
          <w:rFonts w:ascii="Times New Roman" w:hAnsi="Times New Roman" w:cs="Times New Roman"/>
          <w:sz w:val="24"/>
          <w:szCs w:val="24"/>
        </w:rPr>
        <w:t>equivalent</w:t>
      </w:r>
      <w:r w:rsidR="005362F7" w:rsidRPr="008D303F">
        <w:rPr>
          <w:rFonts w:ascii="Times New Roman" w:hAnsi="Times New Roman" w:cs="Times New Roman"/>
          <w:sz w:val="24"/>
          <w:szCs w:val="24"/>
        </w:rPr>
        <w:t xml:space="preserve"> to 95.8% of the combined subsidies </w:t>
      </w:r>
      <w:r w:rsidR="00A770EF">
        <w:rPr>
          <w:rFonts w:ascii="Times New Roman" w:hAnsi="Times New Roman" w:cs="Times New Roman"/>
          <w:sz w:val="24"/>
          <w:szCs w:val="24"/>
        </w:rPr>
        <w:t xml:space="preserve">and transfers of the Ministry. </w:t>
      </w:r>
      <w:r w:rsidR="005362F7" w:rsidRPr="008D303F">
        <w:rPr>
          <w:rFonts w:ascii="Times New Roman" w:hAnsi="Times New Roman" w:cs="Times New Roman"/>
          <w:sz w:val="24"/>
          <w:szCs w:val="24"/>
        </w:rPr>
        <w:t>It is important to note that this level of transfer comprises, on one side</w:t>
      </w:r>
      <w:r>
        <w:rPr>
          <w:rFonts w:ascii="Times New Roman" w:hAnsi="Times New Roman" w:cs="Times New Roman"/>
          <w:sz w:val="24"/>
          <w:szCs w:val="24"/>
        </w:rPr>
        <w:t>, the direct subsidies of the GO</w:t>
      </w:r>
      <w:r w:rsidR="005362F7" w:rsidRPr="008D303F">
        <w:rPr>
          <w:rFonts w:ascii="Times New Roman" w:hAnsi="Times New Roman" w:cs="Times New Roman"/>
          <w:sz w:val="24"/>
          <w:szCs w:val="24"/>
        </w:rPr>
        <w:t>RTT to the water and sewerage sector and, indirectly, the actual water and sewerage revenues collected by WASA but deposited in the Consolidated Fund of the MoFE.  The rest of the budgetary transfers to the Ministry’s programs, units and statutory agencies directly tied to its organizational structures (i.e. EMA, Basel Regional Center, National Reforestation and Watershed Rehabilitation</w:t>
      </w:r>
      <w:r>
        <w:rPr>
          <w:rFonts w:ascii="Times New Roman" w:hAnsi="Times New Roman" w:cs="Times New Roman"/>
          <w:sz w:val="24"/>
          <w:szCs w:val="24"/>
        </w:rPr>
        <w:t xml:space="preserve"> Program, and the IMA) reach USD</w:t>
      </w:r>
      <w:r w:rsidR="00A770EF">
        <w:rPr>
          <w:rFonts w:ascii="Times New Roman" w:hAnsi="Times New Roman" w:cs="Times New Roman"/>
          <w:sz w:val="24"/>
          <w:szCs w:val="24"/>
        </w:rPr>
        <w:t>$</w:t>
      </w:r>
      <w:r w:rsidR="005362F7" w:rsidRPr="008D303F">
        <w:rPr>
          <w:rFonts w:ascii="Times New Roman" w:hAnsi="Times New Roman" w:cs="Times New Roman"/>
          <w:sz w:val="24"/>
          <w:szCs w:val="24"/>
        </w:rPr>
        <w:t>4.6 million or 3.7% of the total budgeted transfers of the Ministry for 2013.</w:t>
      </w:r>
    </w:p>
    <w:p w:rsidR="005362F7" w:rsidRDefault="005362F7" w:rsidP="008D303F">
      <w:pPr>
        <w:tabs>
          <w:tab w:val="left" w:pos="520"/>
        </w:tabs>
        <w:spacing w:line="240" w:lineRule="auto"/>
        <w:jc w:val="both"/>
        <w:rPr>
          <w:rFonts w:ascii="Times New Roman" w:hAnsi="Times New Roman" w:cs="Times New Roman"/>
          <w:sz w:val="24"/>
          <w:szCs w:val="24"/>
        </w:rPr>
      </w:pPr>
    </w:p>
    <w:p w:rsidR="00392CFC" w:rsidRDefault="00392CFC" w:rsidP="008D303F">
      <w:pPr>
        <w:tabs>
          <w:tab w:val="left" w:pos="520"/>
        </w:tabs>
        <w:spacing w:line="240" w:lineRule="auto"/>
        <w:jc w:val="both"/>
        <w:rPr>
          <w:rFonts w:ascii="Times New Roman" w:hAnsi="Times New Roman" w:cs="Times New Roman"/>
          <w:sz w:val="24"/>
          <w:szCs w:val="24"/>
        </w:rPr>
      </w:pPr>
    </w:p>
    <w:p w:rsidR="00392CFC" w:rsidRDefault="00392CFC" w:rsidP="008D303F">
      <w:pPr>
        <w:tabs>
          <w:tab w:val="left" w:pos="520"/>
        </w:tabs>
        <w:spacing w:line="240" w:lineRule="auto"/>
        <w:jc w:val="both"/>
        <w:rPr>
          <w:rFonts w:ascii="Times New Roman" w:hAnsi="Times New Roman" w:cs="Times New Roman"/>
          <w:sz w:val="24"/>
          <w:szCs w:val="24"/>
        </w:rPr>
      </w:pPr>
    </w:p>
    <w:p w:rsidR="00392CFC" w:rsidRDefault="00392CFC" w:rsidP="008D303F">
      <w:pPr>
        <w:tabs>
          <w:tab w:val="left" w:pos="520"/>
        </w:tabs>
        <w:spacing w:line="240" w:lineRule="auto"/>
        <w:jc w:val="both"/>
        <w:rPr>
          <w:rFonts w:ascii="Times New Roman" w:hAnsi="Times New Roman" w:cs="Times New Roman"/>
          <w:sz w:val="24"/>
          <w:szCs w:val="24"/>
        </w:rPr>
      </w:pPr>
    </w:p>
    <w:p w:rsidR="00392CFC" w:rsidRDefault="00392CFC" w:rsidP="008D303F">
      <w:pPr>
        <w:tabs>
          <w:tab w:val="left" w:pos="520"/>
        </w:tabs>
        <w:spacing w:line="240" w:lineRule="auto"/>
        <w:jc w:val="both"/>
        <w:rPr>
          <w:rFonts w:ascii="Times New Roman" w:hAnsi="Times New Roman" w:cs="Times New Roman"/>
          <w:sz w:val="24"/>
          <w:szCs w:val="24"/>
        </w:rPr>
      </w:pPr>
    </w:p>
    <w:p w:rsidR="00392CFC" w:rsidRDefault="00392CFC" w:rsidP="008D303F">
      <w:pPr>
        <w:tabs>
          <w:tab w:val="left" w:pos="520"/>
        </w:tabs>
        <w:spacing w:line="240" w:lineRule="auto"/>
        <w:jc w:val="both"/>
        <w:rPr>
          <w:rFonts w:ascii="Times New Roman" w:hAnsi="Times New Roman" w:cs="Times New Roman"/>
          <w:sz w:val="24"/>
          <w:szCs w:val="24"/>
        </w:rPr>
      </w:pPr>
    </w:p>
    <w:p w:rsidR="00392CFC" w:rsidRPr="008D303F" w:rsidRDefault="00392CFC" w:rsidP="008D303F">
      <w:pPr>
        <w:tabs>
          <w:tab w:val="left" w:pos="520"/>
        </w:tabs>
        <w:spacing w:line="240" w:lineRule="auto"/>
        <w:jc w:val="both"/>
        <w:rPr>
          <w:rFonts w:ascii="Times New Roman" w:hAnsi="Times New Roman" w:cs="Times New Roman"/>
          <w:sz w:val="24"/>
          <w:szCs w:val="24"/>
        </w:rPr>
      </w:pPr>
    </w:p>
    <w:p w:rsidR="00392CFC" w:rsidRPr="008D303F" w:rsidRDefault="00392CFC" w:rsidP="00A627F3">
      <w:pPr>
        <w:tabs>
          <w:tab w:val="left" w:pos="520"/>
        </w:tabs>
        <w:spacing w:line="240" w:lineRule="auto"/>
        <w:jc w:val="center"/>
        <w:rPr>
          <w:rFonts w:ascii="Times New Roman" w:hAnsi="Times New Roman" w:cs="Times New Roman"/>
          <w:sz w:val="24"/>
          <w:szCs w:val="24"/>
        </w:rPr>
      </w:pPr>
      <w:r w:rsidRPr="00317932">
        <w:rPr>
          <w:rFonts w:ascii="Times New Roman" w:hAnsi="Times New Roman" w:cs="Times New Roman"/>
          <w:b/>
          <w:sz w:val="24"/>
          <w:szCs w:val="24"/>
          <w:u w:val="single"/>
        </w:rPr>
        <w:lastRenderedPageBreak/>
        <w:t>Table</w:t>
      </w:r>
      <w:r>
        <w:rPr>
          <w:rFonts w:ascii="Times New Roman" w:hAnsi="Times New Roman" w:cs="Times New Roman"/>
          <w:b/>
          <w:sz w:val="24"/>
          <w:szCs w:val="24"/>
          <w:u w:val="single"/>
        </w:rPr>
        <w:t xml:space="preserve"> 7</w:t>
      </w:r>
      <w:r w:rsidRPr="00317932">
        <w:rPr>
          <w:rFonts w:ascii="Times New Roman" w:hAnsi="Times New Roman" w:cs="Times New Roman"/>
          <w:b/>
          <w:sz w:val="24"/>
          <w:szCs w:val="24"/>
          <w:u w:val="single"/>
        </w:rPr>
        <w:t xml:space="preserve">. MoEWR Estimates of Expenditure 2013: </w:t>
      </w:r>
      <w:r>
        <w:rPr>
          <w:rFonts w:ascii="Times New Roman" w:hAnsi="Times New Roman" w:cs="Times New Roman"/>
          <w:b/>
          <w:sz w:val="24"/>
          <w:szCs w:val="24"/>
          <w:u w:val="single"/>
        </w:rPr>
        <w:t>Current Transfers</w:t>
      </w:r>
      <w:r>
        <w:rPr>
          <w:rFonts w:ascii="Times New Roman" w:hAnsi="Times New Roman" w:cs="Times New Roman"/>
          <w:sz w:val="24"/>
          <w:szCs w:val="24"/>
        </w:rPr>
        <w:t xml:space="preserve">                                                        </w:t>
      </w:r>
      <w:r w:rsidRPr="00317932">
        <w:rPr>
          <w:rFonts w:ascii="Times New Roman" w:hAnsi="Times New Roman" w:cs="Times New Roman"/>
          <w:sz w:val="24"/>
          <w:szCs w:val="24"/>
        </w:rPr>
        <w:t>(in thousands of US</w:t>
      </w:r>
      <w:r w:rsidR="00192792">
        <w:rPr>
          <w:rFonts w:ascii="Times New Roman" w:hAnsi="Times New Roman" w:cs="Times New Roman"/>
          <w:sz w:val="24"/>
          <w:szCs w:val="24"/>
        </w:rPr>
        <w:t>$</w:t>
      </w:r>
      <w:r w:rsidRPr="00317932">
        <w:rPr>
          <w:rFonts w:ascii="Times New Roman" w:hAnsi="Times New Roman" w:cs="Times New Roman"/>
          <w:sz w:val="24"/>
          <w:szCs w:val="24"/>
        </w:rPr>
        <w:t>)</w:t>
      </w:r>
    </w:p>
    <w:p w:rsidR="005362F7" w:rsidRPr="008D303F" w:rsidRDefault="00623FC1" w:rsidP="008D303F">
      <w:pPr>
        <w:tabs>
          <w:tab w:val="left" w:pos="520"/>
        </w:tabs>
        <w:spacing w:line="240" w:lineRule="auto"/>
        <w:jc w:val="both"/>
        <w:rPr>
          <w:rFonts w:ascii="Times New Roman" w:hAnsi="Times New Roman" w:cs="Times New Roman"/>
          <w:sz w:val="24"/>
          <w:szCs w:val="24"/>
        </w:rPr>
      </w:pPr>
      <w:r>
        <w:rPr>
          <w:rFonts w:ascii="Times New Roman" w:hAnsi="Times New Roman" w:cs="Times New Roman"/>
          <w:noProof/>
          <w:sz w:val="16"/>
          <w:szCs w:val="24"/>
        </w:rPr>
        <mc:AlternateContent>
          <mc:Choice Requires="wps">
            <w:drawing>
              <wp:anchor distT="0" distB="0" distL="114300" distR="114300" simplePos="0" relativeHeight="251663360" behindDoc="0" locked="0" layoutInCell="1" allowOverlap="1" wp14:anchorId="5076EFA0" wp14:editId="7DD3BD4A">
                <wp:simplePos x="0" y="0"/>
                <wp:positionH relativeFrom="column">
                  <wp:posOffset>711200</wp:posOffset>
                </wp:positionH>
                <wp:positionV relativeFrom="paragraph">
                  <wp:posOffset>2475230</wp:posOffset>
                </wp:positionV>
                <wp:extent cx="1701800" cy="196850"/>
                <wp:effectExtent l="0" t="0" r="12700" b="12700"/>
                <wp:wrapNone/>
                <wp:docPr id="14" name="Rectangle 14"/>
                <wp:cNvGraphicFramePr/>
                <a:graphic xmlns:a="http://schemas.openxmlformats.org/drawingml/2006/main">
                  <a:graphicData uri="http://schemas.microsoft.com/office/word/2010/wordprocessingShape">
                    <wps:wsp>
                      <wps:cNvSpPr/>
                      <wps:spPr>
                        <a:xfrm>
                          <a:off x="0" y="0"/>
                          <a:ext cx="1701800" cy="1968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23FC1" w:rsidRPr="00623FC1" w:rsidRDefault="00623FC1" w:rsidP="00623FC1">
                            <w:pPr>
                              <w:jc w:val="center"/>
                              <w:rPr>
                                <w:rFonts w:ascii="Times New Roman" w:hAnsi="Times New Roman" w:cs="Times New Roman"/>
                                <w:color w:val="000000" w:themeColor="text1"/>
                                <w:sz w:val="14"/>
                              </w:rPr>
                            </w:pPr>
                            <w:r w:rsidRPr="00623FC1">
                              <w:rPr>
                                <w:rFonts w:ascii="Times New Roman" w:hAnsi="Times New Roman" w:cs="Times New Roman"/>
                                <w:color w:val="000000" w:themeColor="text1"/>
                                <w:sz w:val="12"/>
                              </w:rPr>
                              <w:t>Source: MoEWR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4" o:spid="_x0000_s1027" style="position:absolute;left:0;text-align:left;margin-left:56pt;margin-top:194.9pt;width:134pt;height:1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" fillcolor="white [3212]" strokecolor="white [3212]" strokeweight="2pt">
                <v:textbox>
                  <w:txbxContent>
                    <w:p w:rsidR="00623FC1" w:rsidRPr="00623FC1" w:rsidRDefault="00623FC1" w:rsidP="00623FC1">
                      <w:pPr>
                        <w:jc w:val="center"/>
                        <w:rPr>
                          <w:rFonts w:ascii="Times New Roman" w:hAnsi="Times New Roman" w:cs="Times New Roman"/>
                          <w:color w:val="000000" w:themeColor="text1"/>
                          <w:sz w:val="14"/>
                        </w:rPr>
                      </w:pPr>
                      <w:r w:rsidRPr="00623FC1">
                        <w:rPr>
                          <w:rFonts w:ascii="Times New Roman" w:hAnsi="Times New Roman" w:cs="Times New Roman"/>
                          <w:color w:val="000000" w:themeColor="text1"/>
                          <w:sz w:val="12"/>
                        </w:rPr>
                        <w:t>Source: MoEWR</w:t>
                      </w:r>
                    </w:p>
                  </w:txbxContent>
                </v:textbox>
              </v:rect>
            </w:pict>
          </mc:Fallback>
        </mc:AlternateContent>
      </w:r>
      <w:r w:rsidR="005628E2" w:rsidRPr="005628E2">
        <w:rPr>
          <w:noProof/>
        </w:rPr>
        <w:drawing>
          <wp:inline distT="0" distB="0" distL="0" distR="0" wp14:anchorId="2754FF4E" wp14:editId="02D32DEE">
            <wp:extent cx="5943600" cy="257361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43600" cy="2573610"/>
                    </a:xfrm>
                    <a:prstGeom prst="rect">
                      <a:avLst/>
                    </a:prstGeom>
                    <a:noFill/>
                    <a:ln>
                      <a:noFill/>
                    </a:ln>
                  </pic:spPr>
                </pic:pic>
              </a:graphicData>
            </a:graphic>
          </wp:inline>
        </w:drawing>
      </w:r>
    </w:p>
    <w:p w:rsidR="005362F7" w:rsidRPr="008D303F" w:rsidRDefault="00335C11" w:rsidP="008D303F">
      <w:pPr>
        <w:tabs>
          <w:tab w:val="left" w:pos="520"/>
        </w:tabs>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2.2 </w:t>
      </w:r>
      <w:r w:rsidR="005362F7" w:rsidRPr="00335C11">
        <w:rPr>
          <w:rFonts w:ascii="Times New Roman" w:hAnsi="Times New Roman" w:cs="Times New Roman"/>
          <w:b/>
          <w:sz w:val="24"/>
          <w:szCs w:val="24"/>
        </w:rPr>
        <w:t>Infrastructure and Capital Development Expenditures</w:t>
      </w:r>
    </w:p>
    <w:p w:rsidR="005362F7" w:rsidRPr="008D303F" w:rsidRDefault="005362F7" w:rsidP="008D303F">
      <w:pPr>
        <w:tabs>
          <w:tab w:val="left" w:pos="520"/>
        </w:tabs>
        <w:spacing w:line="240" w:lineRule="auto"/>
        <w:jc w:val="both"/>
        <w:rPr>
          <w:rFonts w:ascii="Times New Roman" w:hAnsi="Times New Roman" w:cs="Times New Roman"/>
          <w:sz w:val="24"/>
          <w:szCs w:val="24"/>
        </w:rPr>
      </w:pPr>
      <w:r w:rsidRPr="008D303F">
        <w:rPr>
          <w:rFonts w:ascii="Times New Roman" w:hAnsi="Times New Roman" w:cs="Times New Roman"/>
          <w:sz w:val="24"/>
          <w:szCs w:val="24"/>
        </w:rPr>
        <w:t>Based on the Exchequer and Audit Act of 1959, two main sources of infrastructure and capital development funds have been established by the MoFE; namely, the Development Program Fund Account from the Consolidated Fund and the In</w:t>
      </w:r>
      <w:r w:rsidR="00192792">
        <w:rPr>
          <w:rFonts w:ascii="Times New Roman" w:hAnsi="Times New Roman" w:cs="Times New Roman"/>
          <w:sz w:val="24"/>
          <w:szCs w:val="24"/>
        </w:rPr>
        <w:t xml:space="preserve">frastructure Development Fund. </w:t>
      </w:r>
      <w:r w:rsidRPr="008D303F">
        <w:rPr>
          <w:rFonts w:ascii="Times New Roman" w:hAnsi="Times New Roman" w:cs="Times New Roman"/>
          <w:sz w:val="24"/>
          <w:szCs w:val="24"/>
        </w:rPr>
        <w:t>Both sources classify the infrastructure development and capital project funding initiatives according to pre-investment, economic infrastructure, social infrastructure and multi-sectoral and other services based on the Chart of Accounts of the MoFE.</w:t>
      </w:r>
    </w:p>
    <w:p w:rsidR="005362F7" w:rsidRPr="008D303F" w:rsidRDefault="005362F7" w:rsidP="008D303F">
      <w:pPr>
        <w:tabs>
          <w:tab w:val="left" w:pos="520"/>
        </w:tabs>
        <w:spacing w:line="240" w:lineRule="auto"/>
        <w:jc w:val="both"/>
        <w:rPr>
          <w:rFonts w:ascii="Times New Roman" w:hAnsi="Times New Roman" w:cs="Times New Roman"/>
          <w:sz w:val="24"/>
          <w:szCs w:val="24"/>
        </w:rPr>
      </w:pPr>
      <w:r w:rsidRPr="008D303F">
        <w:rPr>
          <w:rFonts w:ascii="Times New Roman" w:hAnsi="Times New Roman" w:cs="Times New Roman"/>
          <w:sz w:val="24"/>
          <w:szCs w:val="24"/>
        </w:rPr>
        <w:t>1.</w:t>
      </w:r>
      <w:r w:rsidRPr="008D303F">
        <w:rPr>
          <w:rFonts w:ascii="Times New Roman" w:hAnsi="Times New Roman" w:cs="Times New Roman"/>
          <w:sz w:val="24"/>
          <w:szCs w:val="24"/>
        </w:rPr>
        <w:tab/>
      </w:r>
      <w:r w:rsidRPr="00F04A9F">
        <w:rPr>
          <w:rFonts w:ascii="Times New Roman" w:hAnsi="Times New Roman" w:cs="Times New Roman"/>
          <w:sz w:val="24"/>
          <w:szCs w:val="24"/>
          <w:u w:val="single"/>
        </w:rPr>
        <w:t>Development Program Fund Account</w:t>
      </w:r>
    </w:p>
    <w:p w:rsidR="005362F7" w:rsidRPr="008D303F" w:rsidRDefault="005362F7" w:rsidP="008D303F">
      <w:pPr>
        <w:tabs>
          <w:tab w:val="left" w:pos="520"/>
        </w:tabs>
        <w:spacing w:line="240" w:lineRule="auto"/>
        <w:jc w:val="both"/>
        <w:rPr>
          <w:rFonts w:ascii="Times New Roman" w:hAnsi="Times New Roman" w:cs="Times New Roman"/>
          <w:sz w:val="24"/>
          <w:szCs w:val="24"/>
        </w:rPr>
      </w:pPr>
      <w:r w:rsidRPr="008D303F">
        <w:rPr>
          <w:rFonts w:ascii="Times New Roman" w:hAnsi="Times New Roman" w:cs="Times New Roman"/>
          <w:sz w:val="24"/>
          <w:szCs w:val="24"/>
        </w:rPr>
        <w:t>As can be seen in Table</w:t>
      </w:r>
      <w:r w:rsidR="00F04A9F">
        <w:rPr>
          <w:rFonts w:ascii="Times New Roman" w:hAnsi="Times New Roman" w:cs="Times New Roman"/>
          <w:sz w:val="24"/>
          <w:szCs w:val="24"/>
        </w:rPr>
        <w:t xml:space="preserve"> 8</w:t>
      </w:r>
      <w:r w:rsidR="00A627F3">
        <w:rPr>
          <w:rFonts w:ascii="Times New Roman" w:hAnsi="Times New Roman" w:cs="Times New Roman"/>
          <w:sz w:val="24"/>
          <w:szCs w:val="24"/>
        </w:rPr>
        <w:t xml:space="preserve"> below</w:t>
      </w:r>
      <w:r w:rsidRPr="008D303F">
        <w:rPr>
          <w:rFonts w:ascii="Times New Roman" w:hAnsi="Times New Roman" w:cs="Times New Roman"/>
          <w:sz w:val="24"/>
          <w:szCs w:val="24"/>
        </w:rPr>
        <w:t>, the total estimated capital development costs of the MoEWR and its adjacent programs, units and st</w:t>
      </w:r>
      <w:r w:rsidR="00BD4322">
        <w:rPr>
          <w:rFonts w:ascii="Times New Roman" w:hAnsi="Times New Roman" w:cs="Times New Roman"/>
          <w:sz w:val="24"/>
          <w:szCs w:val="24"/>
        </w:rPr>
        <w:t>a</w:t>
      </w:r>
      <w:r w:rsidR="00A770EF">
        <w:rPr>
          <w:rFonts w:ascii="Times New Roman" w:hAnsi="Times New Roman" w:cs="Times New Roman"/>
          <w:sz w:val="24"/>
          <w:szCs w:val="24"/>
        </w:rPr>
        <w:t xml:space="preserve">tutory agencies for 2013 is US$21.3 million. </w:t>
      </w:r>
      <w:r w:rsidRPr="008D303F">
        <w:rPr>
          <w:rFonts w:ascii="Times New Roman" w:hAnsi="Times New Roman" w:cs="Times New Roman"/>
          <w:sz w:val="24"/>
          <w:szCs w:val="24"/>
        </w:rPr>
        <w:t>Urban drainage infrastructure improvement capital investments directly associated to the D</w:t>
      </w:r>
      <w:r w:rsidR="00BD4322">
        <w:rPr>
          <w:rFonts w:ascii="Times New Roman" w:hAnsi="Times New Roman" w:cs="Times New Roman"/>
          <w:sz w:val="24"/>
          <w:szCs w:val="24"/>
        </w:rPr>
        <w:t>r</w:t>
      </w:r>
      <w:r w:rsidR="00A770EF">
        <w:rPr>
          <w:rFonts w:ascii="Times New Roman" w:hAnsi="Times New Roman" w:cs="Times New Roman"/>
          <w:sz w:val="24"/>
          <w:szCs w:val="24"/>
        </w:rPr>
        <w:t>ainage Division account for US$</w:t>
      </w:r>
      <w:r w:rsidRPr="008D303F">
        <w:rPr>
          <w:rFonts w:ascii="Times New Roman" w:hAnsi="Times New Roman" w:cs="Times New Roman"/>
          <w:sz w:val="24"/>
          <w:szCs w:val="24"/>
        </w:rPr>
        <w:t xml:space="preserve">5.1 million (23.9%), and include infrastructure rehabilitation investments and flood mitigation associated to the present Program as well as river </w:t>
      </w:r>
      <w:r w:rsidR="00903325" w:rsidRPr="008D303F">
        <w:rPr>
          <w:rFonts w:ascii="Times New Roman" w:hAnsi="Times New Roman" w:cs="Times New Roman"/>
          <w:sz w:val="24"/>
          <w:szCs w:val="24"/>
        </w:rPr>
        <w:t>clean-up</w:t>
      </w:r>
      <w:r w:rsidR="00A770EF">
        <w:rPr>
          <w:rFonts w:ascii="Times New Roman" w:hAnsi="Times New Roman" w:cs="Times New Roman"/>
          <w:sz w:val="24"/>
          <w:szCs w:val="24"/>
        </w:rPr>
        <w:t xml:space="preserve"> programs. </w:t>
      </w:r>
      <w:r w:rsidRPr="008D303F">
        <w:rPr>
          <w:rFonts w:ascii="Times New Roman" w:hAnsi="Times New Roman" w:cs="Times New Roman"/>
          <w:sz w:val="24"/>
          <w:szCs w:val="24"/>
        </w:rPr>
        <w:t>Water and Sewerage development costs (transmission and distribution, sanitary services, potable water and sewera</w:t>
      </w:r>
      <w:r w:rsidR="00BD4322">
        <w:rPr>
          <w:rFonts w:ascii="Times New Roman" w:hAnsi="Times New Roman" w:cs="Times New Roman"/>
          <w:sz w:val="24"/>
          <w:szCs w:val="24"/>
        </w:rPr>
        <w:t>g</w:t>
      </w:r>
      <w:r w:rsidR="00A770EF">
        <w:rPr>
          <w:rFonts w:ascii="Times New Roman" w:hAnsi="Times New Roman" w:cs="Times New Roman"/>
          <w:sz w:val="24"/>
          <w:szCs w:val="24"/>
        </w:rPr>
        <w:t>e) attributed to WASA reach US$</w:t>
      </w:r>
      <w:r w:rsidRPr="008D303F">
        <w:rPr>
          <w:rFonts w:ascii="Times New Roman" w:hAnsi="Times New Roman" w:cs="Times New Roman"/>
          <w:sz w:val="24"/>
          <w:szCs w:val="24"/>
        </w:rPr>
        <w:t>7.8 million (36.8%) and are allocated to the design, construction and refurbishment of water works, reser</w:t>
      </w:r>
      <w:r w:rsidR="00A770EF">
        <w:rPr>
          <w:rFonts w:ascii="Times New Roman" w:hAnsi="Times New Roman" w:cs="Times New Roman"/>
          <w:sz w:val="24"/>
          <w:szCs w:val="24"/>
        </w:rPr>
        <w:t xml:space="preserve">voirs and mains, among others. </w:t>
      </w:r>
      <w:r w:rsidRPr="008D303F">
        <w:rPr>
          <w:rFonts w:ascii="Times New Roman" w:hAnsi="Times New Roman" w:cs="Times New Roman"/>
          <w:sz w:val="24"/>
          <w:szCs w:val="24"/>
        </w:rPr>
        <w:t>Direct investments of the</w:t>
      </w:r>
      <w:r w:rsidR="00192792">
        <w:rPr>
          <w:rFonts w:ascii="Times New Roman" w:hAnsi="Times New Roman" w:cs="Times New Roman"/>
          <w:sz w:val="24"/>
          <w:szCs w:val="24"/>
        </w:rPr>
        <w:t xml:space="preserve"> Forestry Division represent US$</w:t>
      </w:r>
      <w:r w:rsidRPr="008D303F">
        <w:rPr>
          <w:rFonts w:ascii="Times New Roman" w:hAnsi="Times New Roman" w:cs="Times New Roman"/>
          <w:sz w:val="24"/>
          <w:szCs w:val="24"/>
        </w:rPr>
        <w:t>3.0 million (14.0%) and include various activities of reforestation, forestry regeneration, access roads, community outreach and other.</w:t>
      </w:r>
    </w:p>
    <w:p w:rsidR="005362F7" w:rsidRDefault="005362F7" w:rsidP="008D303F">
      <w:pPr>
        <w:tabs>
          <w:tab w:val="left" w:pos="520"/>
        </w:tabs>
        <w:spacing w:line="240" w:lineRule="auto"/>
        <w:jc w:val="both"/>
        <w:rPr>
          <w:rFonts w:ascii="Times New Roman" w:hAnsi="Times New Roman" w:cs="Times New Roman"/>
          <w:sz w:val="24"/>
          <w:szCs w:val="24"/>
        </w:rPr>
      </w:pPr>
    </w:p>
    <w:p w:rsidR="00A627F3" w:rsidRDefault="00A627F3" w:rsidP="008D303F">
      <w:pPr>
        <w:tabs>
          <w:tab w:val="left" w:pos="520"/>
        </w:tabs>
        <w:spacing w:line="240" w:lineRule="auto"/>
        <w:jc w:val="both"/>
        <w:rPr>
          <w:rFonts w:ascii="Times New Roman" w:hAnsi="Times New Roman" w:cs="Times New Roman"/>
          <w:sz w:val="24"/>
          <w:szCs w:val="24"/>
        </w:rPr>
      </w:pPr>
    </w:p>
    <w:p w:rsidR="00A627F3" w:rsidRDefault="00A627F3" w:rsidP="008D303F">
      <w:pPr>
        <w:tabs>
          <w:tab w:val="left" w:pos="520"/>
        </w:tabs>
        <w:spacing w:line="240" w:lineRule="auto"/>
        <w:jc w:val="both"/>
        <w:rPr>
          <w:rFonts w:ascii="Times New Roman" w:hAnsi="Times New Roman" w:cs="Times New Roman"/>
          <w:sz w:val="24"/>
          <w:szCs w:val="24"/>
        </w:rPr>
      </w:pPr>
    </w:p>
    <w:p w:rsidR="00A627F3" w:rsidRDefault="00A627F3" w:rsidP="008D303F">
      <w:pPr>
        <w:tabs>
          <w:tab w:val="left" w:pos="520"/>
        </w:tabs>
        <w:spacing w:line="240" w:lineRule="auto"/>
        <w:jc w:val="both"/>
        <w:rPr>
          <w:rFonts w:ascii="Times New Roman" w:hAnsi="Times New Roman" w:cs="Times New Roman"/>
          <w:sz w:val="24"/>
          <w:szCs w:val="24"/>
        </w:rPr>
      </w:pPr>
    </w:p>
    <w:p w:rsidR="00A627F3" w:rsidRPr="008D303F" w:rsidRDefault="00A627F3" w:rsidP="00A627F3">
      <w:pPr>
        <w:tabs>
          <w:tab w:val="left" w:pos="520"/>
        </w:tabs>
        <w:spacing w:line="240" w:lineRule="auto"/>
        <w:jc w:val="center"/>
        <w:rPr>
          <w:rFonts w:ascii="Times New Roman" w:hAnsi="Times New Roman" w:cs="Times New Roman"/>
          <w:sz w:val="24"/>
          <w:szCs w:val="24"/>
        </w:rPr>
      </w:pPr>
      <w:r w:rsidRPr="00317932">
        <w:rPr>
          <w:rFonts w:ascii="Times New Roman" w:hAnsi="Times New Roman" w:cs="Times New Roman"/>
          <w:b/>
          <w:sz w:val="24"/>
          <w:szCs w:val="24"/>
          <w:u w:val="single"/>
        </w:rPr>
        <w:lastRenderedPageBreak/>
        <w:t>Table</w:t>
      </w:r>
      <w:r>
        <w:rPr>
          <w:rFonts w:ascii="Times New Roman" w:hAnsi="Times New Roman" w:cs="Times New Roman"/>
          <w:b/>
          <w:sz w:val="24"/>
          <w:szCs w:val="24"/>
          <w:u w:val="single"/>
        </w:rPr>
        <w:t xml:space="preserve"> 8</w:t>
      </w:r>
      <w:r w:rsidRPr="00317932">
        <w:rPr>
          <w:rFonts w:ascii="Times New Roman" w:hAnsi="Times New Roman" w:cs="Times New Roman"/>
          <w:b/>
          <w:sz w:val="24"/>
          <w:szCs w:val="24"/>
          <w:u w:val="single"/>
        </w:rPr>
        <w:t xml:space="preserve">. MoEWR Estimates of Expenditure 2013: </w:t>
      </w:r>
      <w:r>
        <w:rPr>
          <w:rFonts w:ascii="Times New Roman" w:hAnsi="Times New Roman" w:cs="Times New Roman"/>
          <w:b/>
          <w:sz w:val="24"/>
          <w:szCs w:val="24"/>
          <w:u w:val="single"/>
        </w:rPr>
        <w:t>Development Fund Account</w:t>
      </w:r>
      <w:r>
        <w:rPr>
          <w:rFonts w:ascii="Times New Roman" w:hAnsi="Times New Roman" w:cs="Times New Roman"/>
          <w:sz w:val="24"/>
          <w:szCs w:val="24"/>
        </w:rPr>
        <w:t xml:space="preserve">                                                        </w:t>
      </w:r>
      <w:r w:rsidRPr="00317932">
        <w:rPr>
          <w:rFonts w:ascii="Times New Roman" w:hAnsi="Times New Roman" w:cs="Times New Roman"/>
          <w:sz w:val="24"/>
          <w:szCs w:val="24"/>
        </w:rPr>
        <w:t>(in thousands of US</w:t>
      </w:r>
      <w:r w:rsidR="00192792">
        <w:rPr>
          <w:rFonts w:ascii="Times New Roman" w:hAnsi="Times New Roman" w:cs="Times New Roman"/>
          <w:sz w:val="24"/>
          <w:szCs w:val="24"/>
        </w:rPr>
        <w:t>$</w:t>
      </w:r>
      <w:r w:rsidRPr="00317932">
        <w:rPr>
          <w:rFonts w:ascii="Times New Roman" w:hAnsi="Times New Roman" w:cs="Times New Roman"/>
          <w:sz w:val="24"/>
          <w:szCs w:val="24"/>
        </w:rPr>
        <w:t>)</w:t>
      </w:r>
    </w:p>
    <w:p w:rsidR="00A627F3" w:rsidRDefault="00623FC1" w:rsidP="008D303F">
      <w:pPr>
        <w:tabs>
          <w:tab w:val="left" w:pos="520"/>
        </w:tabs>
        <w:spacing w:line="240" w:lineRule="auto"/>
        <w:jc w:val="both"/>
        <w:rPr>
          <w:rFonts w:ascii="Times New Roman" w:hAnsi="Times New Roman" w:cs="Times New Roman"/>
          <w:sz w:val="24"/>
          <w:szCs w:val="24"/>
        </w:rPr>
      </w:pPr>
      <w:r>
        <w:rPr>
          <w:rFonts w:ascii="Times New Roman" w:hAnsi="Times New Roman" w:cs="Times New Roman"/>
          <w:noProof/>
          <w:sz w:val="16"/>
          <w:szCs w:val="24"/>
        </w:rPr>
        <mc:AlternateContent>
          <mc:Choice Requires="wps">
            <w:drawing>
              <wp:anchor distT="0" distB="0" distL="114300" distR="114300" simplePos="0" relativeHeight="251661312" behindDoc="0" locked="0" layoutInCell="1" allowOverlap="1" wp14:anchorId="7168159E" wp14:editId="41123BCB">
                <wp:simplePos x="0" y="0"/>
                <wp:positionH relativeFrom="column">
                  <wp:posOffset>0</wp:posOffset>
                </wp:positionH>
                <wp:positionV relativeFrom="paragraph">
                  <wp:posOffset>3300730</wp:posOffset>
                </wp:positionV>
                <wp:extent cx="1701800" cy="196850"/>
                <wp:effectExtent l="0" t="0" r="12700" b="12700"/>
                <wp:wrapNone/>
                <wp:docPr id="13" name="Rectangle 13"/>
                <wp:cNvGraphicFramePr/>
                <a:graphic xmlns:a="http://schemas.openxmlformats.org/drawingml/2006/main">
                  <a:graphicData uri="http://schemas.microsoft.com/office/word/2010/wordprocessingShape">
                    <wps:wsp>
                      <wps:cNvSpPr/>
                      <wps:spPr>
                        <a:xfrm>
                          <a:off x="0" y="0"/>
                          <a:ext cx="1701800" cy="1968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23FC1" w:rsidRPr="00623FC1" w:rsidRDefault="00623FC1" w:rsidP="00623FC1">
                            <w:pPr>
                              <w:jc w:val="center"/>
                              <w:rPr>
                                <w:rFonts w:ascii="Times New Roman" w:hAnsi="Times New Roman" w:cs="Times New Roman"/>
                                <w:color w:val="000000" w:themeColor="text1"/>
                                <w:sz w:val="14"/>
                              </w:rPr>
                            </w:pPr>
                            <w:r w:rsidRPr="00623FC1">
                              <w:rPr>
                                <w:rFonts w:ascii="Times New Roman" w:hAnsi="Times New Roman" w:cs="Times New Roman"/>
                                <w:color w:val="000000" w:themeColor="text1"/>
                                <w:sz w:val="12"/>
                              </w:rPr>
                              <w:t>Source: MoEWR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3" o:spid="_x0000_s1028" style="position:absolute;left:0;text-align:left;margin-left:0;margin-top:259.9pt;width:134pt;height:1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" fillcolor="white [3212]" strokecolor="white [3212]" strokeweight="2pt">
                <v:textbox>
                  <w:txbxContent>
                    <w:p w:rsidR="00623FC1" w:rsidRPr="00623FC1" w:rsidRDefault="00623FC1" w:rsidP="00623FC1">
                      <w:pPr>
                        <w:jc w:val="center"/>
                        <w:rPr>
                          <w:rFonts w:ascii="Times New Roman" w:hAnsi="Times New Roman" w:cs="Times New Roman"/>
                          <w:color w:val="000000" w:themeColor="text1"/>
                          <w:sz w:val="14"/>
                        </w:rPr>
                      </w:pPr>
                      <w:r w:rsidRPr="00623FC1">
                        <w:rPr>
                          <w:rFonts w:ascii="Times New Roman" w:hAnsi="Times New Roman" w:cs="Times New Roman"/>
                          <w:color w:val="000000" w:themeColor="text1"/>
                          <w:sz w:val="12"/>
                        </w:rPr>
                        <w:t>Source: MoEWR</w:t>
                      </w:r>
                    </w:p>
                  </w:txbxContent>
                </v:textbox>
              </v:rect>
            </w:pict>
          </mc:Fallback>
        </mc:AlternateContent>
      </w:r>
      <w:r w:rsidR="00A627F3" w:rsidRPr="00A627F3">
        <w:rPr>
          <w:noProof/>
        </w:rPr>
        <w:drawing>
          <wp:inline distT="0" distB="0" distL="0" distR="0" wp14:anchorId="0268B451" wp14:editId="05DA2AB9">
            <wp:extent cx="5943600" cy="3392486"/>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43600" cy="3392486"/>
                    </a:xfrm>
                    <a:prstGeom prst="rect">
                      <a:avLst/>
                    </a:prstGeom>
                    <a:noFill/>
                    <a:ln>
                      <a:noFill/>
                    </a:ln>
                  </pic:spPr>
                </pic:pic>
              </a:graphicData>
            </a:graphic>
          </wp:inline>
        </w:drawing>
      </w:r>
    </w:p>
    <w:p w:rsidR="005362F7" w:rsidRPr="00A627F3" w:rsidRDefault="005362F7" w:rsidP="008D303F">
      <w:pPr>
        <w:tabs>
          <w:tab w:val="left" w:pos="520"/>
        </w:tabs>
        <w:spacing w:line="240" w:lineRule="auto"/>
        <w:jc w:val="both"/>
        <w:rPr>
          <w:rFonts w:ascii="Times New Roman" w:hAnsi="Times New Roman" w:cs="Times New Roman"/>
          <w:sz w:val="24"/>
          <w:szCs w:val="24"/>
          <w:u w:val="single"/>
        </w:rPr>
      </w:pPr>
      <w:r w:rsidRPr="00A627F3">
        <w:rPr>
          <w:rFonts w:ascii="Times New Roman" w:hAnsi="Times New Roman" w:cs="Times New Roman"/>
          <w:sz w:val="24"/>
          <w:szCs w:val="24"/>
        </w:rPr>
        <w:t>2.</w:t>
      </w:r>
      <w:r w:rsidRPr="00A627F3">
        <w:rPr>
          <w:rFonts w:ascii="Times New Roman" w:hAnsi="Times New Roman" w:cs="Times New Roman"/>
          <w:sz w:val="24"/>
          <w:szCs w:val="24"/>
        </w:rPr>
        <w:tab/>
      </w:r>
      <w:r w:rsidRPr="00A627F3">
        <w:rPr>
          <w:rFonts w:ascii="Times New Roman" w:hAnsi="Times New Roman" w:cs="Times New Roman"/>
          <w:sz w:val="24"/>
          <w:szCs w:val="24"/>
          <w:u w:val="single"/>
        </w:rPr>
        <w:t>Infrastructure Development Fund</w:t>
      </w:r>
    </w:p>
    <w:p w:rsidR="005362F7" w:rsidRDefault="00A627F3" w:rsidP="008D303F">
      <w:pPr>
        <w:tabs>
          <w:tab w:val="left" w:pos="520"/>
        </w:tabs>
        <w:spacing w:line="240" w:lineRule="auto"/>
        <w:jc w:val="both"/>
        <w:rPr>
          <w:rFonts w:ascii="Times New Roman" w:hAnsi="Times New Roman" w:cs="Times New Roman"/>
          <w:sz w:val="24"/>
          <w:szCs w:val="24"/>
        </w:rPr>
      </w:pPr>
      <w:r>
        <w:rPr>
          <w:rFonts w:ascii="Times New Roman" w:hAnsi="Times New Roman" w:cs="Times New Roman"/>
          <w:sz w:val="24"/>
          <w:szCs w:val="24"/>
        </w:rPr>
        <w:t>As can be seen in Table 9 below</w:t>
      </w:r>
      <w:r w:rsidR="005362F7" w:rsidRPr="008D303F">
        <w:rPr>
          <w:rFonts w:ascii="Times New Roman" w:hAnsi="Times New Roman" w:cs="Times New Roman"/>
          <w:sz w:val="24"/>
          <w:szCs w:val="24"/>
        </w:rPr>
        <w:t>, the allocation of budgetary resources to the MoEWR from the Infrastructure Develop</w:t>
      </w:r>
      <w:r>
        <w:rPr>
          <w:rFonts w:ascii="Times New Roman" w:hAnsi="Times New Roman" w:cs="Times New Roman"/>
          <w:sz w:val="24"/>
          <w:szCs w:val="24"/>
        </w:rPr>
        <w:t>m</w:t>
      </w:r>
      <w:r w:rsidR="00A770EF">
        <w:rPr>
          <w:rFonts w:ascii="Times New Roman" w:hAnsi="Times New Roman" w:cs="Times New Roman"/>
          <w:sz w:val="24"/>
          <w:szCs w:val="24"/>
        </w:rPr>
        <w:t>ent Fund of the MoFE totals US$</w:t>
      </w:r>
      <w:r w:rsidR="005362F7" w:rsidRPr="008D303F">
        <w:rPr>
          <w:rFonts w:ascii="Times New Roman" w:hAnsi="Times New Roman" w:cs="Times New Roman"/>
          <w:sz w:val="24"/>
          <w:szCs w:val="24"/>
        </w:rPr>
        <w:t>38.8 mill</w:t>
      </w:r>
      <w:r w:rsidR="00192792">
        <w:rPr>
          <w:rFonts w:ascii="Times New Roman" w:hAnsi="Times New Roman" w:cs="Times New Roman"/>
          <w:sz w:val="24"/>
          <w:szCs w:val="24"/>
        </w:rPr>
        <w:t>ion and corresponds to: (a) US$</w:t>
      </w:r>
      <w:r w:rsidR="005362F7" w:rsidRPr="008D303F">
        <w:rPr>
          <w:rFonts w:ascii="Times New Roman" w:hAnsi="Times New Roman" w:cs="Times New Roman"/>
          <w:sz w:val="24"/>
          <w:szCs w:val="24"/>
        </w:rPr>
        <w:t>16.0 million (41.2%) to the Drainage Division for the execution of pre-investment actions including the development of a “Comprehensive Drainage Development Study”, as well as economic infrastructure development including the implementation of flood mitigation works, the upgrading of drainage channels and other; and (b) U</w:t>
      </w:r>
      <w:r w:rsidR="00192792">
        <w:rPr>
          <w:rFonts w:ascii="Times New Roman" w:hAnsi="Times New Roman" w:cs="Times New Roman"/>
          <w:sz w:val="24"/>
          <w:szCs w:val="24"/>
        </w:rPr>
        <w:t>S$</w:t>
      </w:r>
      <w:r w:rsidR="005362F7" w:rsidRPr="008D303F">
        <w:rPr>
          <w:rFonts w:ascii="Times New Roman" w:hAnsi="Times New Roman" w:cs="Times New Roman"/>
          <w:sz w:val="24"/>
          <w:szCs w:val="24"/>
        </w:rPr>
        <w:t>22.8 million (58.8%) to WASA for economic infrastructure investments in water sources and other projects including installation and refurbishment of mains, rehabilitation of wastewater treatment plants, network expansion and other.</w:t>
      </w:r>
    </w:p>
    <w:p w:rsidR="00C04282" w:rsidRDefault="00C04282" w:rsidP="008D303F">
      <w:pPr>
        <w:tabs>
          <w:tab w:val="left" w:pos="520"/>
        </w:tabs>
        <w:spacing w:line="240" w:lineRule="auto"/>
        <w:jc w:val="both"/>
        <w:rPr>
          <w:rFonts w:ascii="Times New Roman" w:hAnsi="Times New Roman" w:cs="Times New Roman"/>
          <w:sz w:val="24"/>
          <w:szCs w:val="24"/>
        </w:rPr>
      </w:pPr>
    </w:p>
    <w:p w:rsidR="00C04282" w:rsidRDefault="00C04282" w:rsidP="008D303F">
      <w:pPr>
        <w:tabs>
          <w:tab w:val="left" w:pos="520"/>
        </w:tabs>
        <w:spacing w:line="240" w:lineRule="auto"/>
        <w:jc w:val="both"/>
        <w:rPr>
          <w:rFonts w:ascii="Times New Roman" w:hAnsi="Times New Roman" w:cs="Times New Roman"/>
          <w:sz w:val="24"/>
          <w:szCs w:val="24"/>
        </w:rPr>
      </w:pPr>
    </w:p>
    <w:p w:rsidR="00C04282" w:rsidRDefault="00C04282" w:rsidP="008D303F">
      <w:pPr>
        <w:tabs>
          <w:tab w:val="left" w:pos="520"/>
        </w:tabs>
        <w:spacing w:line="240" w:lineRule="auto"/>
        <w:jc w:val="both"/>
        <w:rPr>
          <w:rFonts w:ascii="Times New Roman" w:hAnsi="Times New Roman" w:cs="Times New Roman"/>
          <w:sz w:val="24"/>
          <w:szCs w:val="24"/>
        </w:rPr>
      </w:pPr>
    </w:p>
    <w:p w:rsidR="00C04282" w:rsidRDefault="00C04282" w:rsidP="008D303F">
      <w:pPr>
        <w:tabs>
          <w:tab w:val="left" w:pos="520"/>
        </w:tabs>
        <w:spacing w:line="240" w:lineRule="auto"/>
        <w:jc w:val="both"/>
        <w:rPr>
          <w:rFonts w:ascii="Times New Roman" w:hAnsi="Times New Roman" w:cs="Times New Roman"/>
          <w:sz w:val="24"/>
          <w:szCs w:val="24"/>
        </w:rPr>
      </w:pPr>
    </w:p>
    <w:p w:rsidR="00C04282" w:rsidRDefault="00C04282" w:rsidP="008D303F">
      <w:pPr>
        <w:tabs>
          <w:tab w:val="left" w:pos="520"/>
        </w:tabs>
        <w:spacing w:line="240" w:lineRule="auto"/>
        <w:jc w:val="both"/>
        <w:rPr>
          <w:rFonts w:ascii="Times New Roman" w:hAnsi="Times New Roman" w:cs="Times New Roman"/>
          <w:sz w:val="24"/>
          <w:szCs w:val="24"/>
        </w:rPr>
      </w:pPr>
    </w:p>
    <w:p w:rsidR="00C04282" w:rsidRDefault="00C04282" w:rsidP="008D303F">
      <w:pPr>
        <w:tabs>
          <w:tab w:val="left" w:pos="520"/>
        </w:tabs>
        <w:spacing w:line="240" w:lineRule="auto"/>
        <w:jc w:val="both"/>
        <w:rPr>
          <w:rFonts w:ascii="Times New Roman" w:hAnsi="Times New Roman" w:cs="Times New Roman"/>
          <w:sz w:val="24"/>
          <w:szCs w:val="24"/>
        </w:rPr>
      </w:pPr>
    </w:p>
    <w:p w:rsidR="00C04282" w:rsidRPr="008D303F" w:rsidRDefault="00C04282" w:rsidP="008D303F">
      <w:pPr>
        <w:tabs>
          <w:tab w:val="left" w:pos="520"/>
        </w:tabs>
        <w:spacing w:line="240" w:lineRule="auto"/>
        <w:jc w:val="both"/>
        <w:rPr>
          <w:rFonts w:ascii="Times New Roman" w:hAnsi="Times New Roman" w:cs="Times New Roman"/>
          <w:sz w:val="24"/>
          <w:szCs w:val="24"/>
        </w:rPr>
      </w:pPr>
    </w:p>
    <w:p w:rsidR="00A627F3" w:rsidRPr="008D303F" w:rsidRDefault="00A627F3" w:rsidP="00A627F3">
      <w:pPr>
        <w:tabs>
          <w:tab w:val="left" w:pos="520"/>
        </w:tabs>
        <w:spacing w:line="240" w:lineRule="auto"/>
        <w:jc w:val="center"/>
        <w:rPr>
          <w:rFonts w:ascii="Times New Roman" w:hAnsi="Times New Roman" w:cs="Times New Roman"/>
          <w:sz w:val="24"/>
          <w:szCs w:val="24"/>
        </w:rPr>
      </w:pPr>
      <w:r w:rsidRPr="00317932">
        <w:rPr>
          <w:rFonts w:ascii="Times New Roman" w:hAnsi="Times New Roman" w:cs="Times New Roman"/>
          <w:b/>
          <w:sz w:val="24"/>
          <w:szCs w:val="24"/>
          <w:u w:val="single"/>
        </w:rPr>
        <w:lastRenderedPageBreak/>
        <w:t>Table</w:t>
      </w:r>
      <w:r>
        <w:rPr>
          <w:rFonts w:ascii="Times New Roman" w:hAnsi="Times New Roman" w:cs="Times New Roman"/>
          <w:b/>
          <w:sz w:val="24"/>
          <w:szCs w:val="24"/>
          <w:u w:val="single"/>
        </w:rPr>
        <w:t xml:space="preserve"> 9</w:t>
      </w:r>
      <w:r w:rsidRPr="00317932">
        <w:rPr>
          <w:rFonts w:ascii="Times New Roman" w:hAnsi="Times New Roman" w:cs="Times New Roman"/>
          <w:b/>
          <w:sz w:val="24"/>
          <w:szCs w:val="24"/>
          <w:u w:val="single"/>
        </w:rPr>
        <w:t xml:space="preserve">. MoEWR Estimates of Expenditure 2013: </w:t>
      </w:r>
      <w:r>
        <w:rPr>
          <w:rFonts w:ascii="Times New Roman" w:hAnsi="Times New Roman" w:cs="Times New Roman"/>
          <w:b/>
          <w:sz w:val="24"/>
          <w:szCs w:val="24"/>
          <w:u w:val="single"/>
        </w:rPr>
        <w:t>Infrastructure Development Fund</w:t>
      </w:r>
      <w:r>
        <w:rPr>
          <w:rFonts w:ascii="Times New Roman" w:hAnsi="Times New Roman" w:cs="Times New Roman"/>
          <w:sz w:val="24"/>
          <w:szCs w:val="24"/>
        </w:rPr>
        <w:t xml:space="preserve">                                                        </w:t>
      </w:r>
      <w:r w:rsidRPr="00317932">
        <w:rPr>
          <w:rFonts w:ascii="Times New Roman" w:hAnsi="Times New Roman" w:cs="Times New Roman"/>
          <w:sz w:val="24"/>
          <w:szCs w:val="24"/>
        </w:rPr>
        <w:t>(in thousands of US</w:t>
      </w:r>
      <w:r w:rsidR="00192792">
        <w:rPr>
          <w:rFonts w:ascii="Times New Roman" w:hAnsi="Times New Roman" w:cs="Times New Roman"/>
          <w:sz w:val="24"/>
          <w:szCs w:val="24"/>
        </w:rPr>
        <w:t>$</w:t>
      </w:r>
      <w:r w:rsidRPr="00317932">
        <w:rPr>
          <w:rFonts w:ascii="Times New Roman" w:hAnsi="Times New Roman" w:cs="Times New Roman"/>
          <w:sz w:val="24"/>
          <w:szCs w:val="24"/>
        </w:rPr>
        <w:t>)</w:t>
      </w:r>
    </w:p>
    <w:p w:rsidR="005362F7" w:rsidRDefault="00623FC1" w:rsidP="00A627F3">
      <w:pPr>
        <w:tabs>
          <w:tab w:val="left" w:pos="520"/>
        </w:tabs>
        <w:spacing w:line="240" w:lineRule="auto"/>
        <w:jc w:val="center"/>
        <w:rPr>
          <w:rFonts w:ascii="Times New Roman" w:hAnsi="Times New Roman" w:cs="Times New Roman"/>
          <w:sz w:val="24"/>
          <w:szCs w:val="24"/>
        </w:rPr>
      </w:pPr>
      <w:r>
        <w:rPr>
          <w:rFonts w:ascii="Times New Roman" w:hAnsi="Times New Roman" w:cs="Times New Roman"/>
          <w:noProof/>
          <w:sz w:val="16"/>
          <w:szCs w:val="24"/>
        </w:rPr>
        <mc:AlternateContent>
          <mc:Choice Requires="wps">
            <w:drawing>
              <wp:anchor distT="0" distB="0" distL="114300" distR="114300" simplePos="0" relativeHeight="251659264" behindDoc="0" locked="0" layoutInCell="1" allowOverlap="1" wp14:anchorId="3BC8EF99" wp14:editId="269CA0F1">
                <wp:simplePos x="0" y="0"/>
                <wp:positionH relativeFrom="column">
                  <wp:posOffset>342900</wp:posOffset>
                </wp:positionH>
                <wp:positionV relativeFrom="paragraph">
                  <wp:posOffset>1874520</wp:posOffset>
                </wp:positionV>
                <wp:extent cx="1701800" cy="196850"/>
                <wp:effectExtent l="0" t="0" r="12700" b="12700"/>
                <wp:wrapNone/>
                <wp:docPr id="12" name="Rectangle 12"/>
                <wp:cNvGraphicFramePr/>
                <a:graphic xmlns:a="http://schemas.openxmlformats.org/drawingml/2006/main">
                  <a:graphicData uri="http://schemas.microsoft.com/office/word/2010/wordprocessingShape">
                    <wps:wsp>
                      <wps:cNvSpPr/>
                      <wps:spPr>
                        <a:xfrm>
                          <a:off x="0" y="0"/>
                          <a:ext cx="1701800" cy="1968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23FC1" w:rsidRPr="00623FC1" w:rsidRDefault="00623FC1" w:rsidP="00623FC1">
                            <w:pPr>
                              <w:jc w:val="center"/>
                              <w:rPr>
                                <w:rFonts w:ascii="Times New Roman" w:hAnsi="Times New Roman" w:cs="Times New Roman"/>
                                <w:color w:val="000000" w:themeColor="text1"/>
                                <w:sz w:val="14"/>
                              </w:rPr>
                            </w:pPr>
                            <w:r w:rsidRPr="00623FC1">
                              <w:rPr>
                                <w:rFonts w:ascii="Times New Roman" w:hAnsi="Times New Roman" w:cs="Times New Roman"/>
                                <w:color w:val="000000" w:themeColor="text1"/>
                                <w:sz w:val="12"/>
                              </w:rPr>
                              <w:t>Source: MoEWR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 o:spid="_x0000_s1029" style="position:absolute;left:0;text-align:left;margin-left:27pt;margin-top:147.6pt;width:134pt;height:1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" fillcolor="white [3212]" strokecolor="white [3212]" strokeweight="2pt">
                <v:textbox>
                  <w:txbxContent>
                    <w:p w:rsidR="00623FC1" w:rsidRPr="00623FC1" w:rsidRDefault="00623FC1" w:rsidP="00623FC1">
                      <w:pPr>
                        <w:jc w:val="center"/>
                        <w:rPr>
                          <w:rFonts w:ascii="Times New Roman" w:hAnsi="Times New Roman" w:cs="Times New Roman"/>
                          <w:color w:val="000000" w:themeColor="text1"/>
                          <w:sz w:val="14"/>
                        </w:rPr>
                      </w:pPr>
                      <w:r w:rsidRPr="00623FC1">
                        <w:rPr>
                          <w:rFonts w:ascii="Times New Roman" w:hAnsi="Times New Roman" w:cs="Times New Roman"/>
                          <w:color w:val="000000" w:themeColor="text1"/>
                          <w:sz w:val="12"/>
                        </w:rPr>
                        <w:t>Source: MoEWR</w:t>
                      </w:r>
                    </w:p>
                  </w:txbxContent>
                </v:textbox>
              </v:rect>
            </w:pict>
          </mc:Fallback>
        </mc:AlternateContent>
      </w:r>
      <w:r w:rsidR="00A627F3">
        <w:rPr>
          <w:rFonts w:ascii="Times New Roman" w:hAnsi="Times New Roman" w:cs="Times New Roman"/>
          <w:sz w:val="24"/>
          <w:szCs w:val="24"/>
        </w:rPr>
        <w:t xml:space="preserve">   </w:t>
      </w:r>
      <w:r w:rsidR="00C04282" w:rsidRPr="00A627F3">
        <w:rPr>
          <w:noProof/>
        </w:rPr>
        <w:drawing>
          <wp:inline distT="0" distB="0" distL="0" distR="0" wp14:anchorId="37793133" wp14:editId="3F61429A">
            <wp:extent cx="4301540" cy="20002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r="31301"/>
                    <a:stretch/>
                  </pic:blipFill>
                  <pic:spPr bwMode="auto">
                    <a:xfrm>
                      <a:off x="0" y="0"/>
                      <a:ext cx="4301680" cy="2000315"/>
                    </a:xfrm>
                    <a:prstGeom prst="rect">
                      <a:avLst/>
                    </a:prstGeom>
                    <a:noFill/>
                    <a:ln>
                      <a:noFill/>
                    </a:ln>
                    <a:extLst>
                      <a:ext uri="{53640926-AAD7-44D8-BBD7-CCE9431645EC}">
                        <a14:shadowObscured xmlns:a14="http://schemas.microsoft.com/office/drawing/2010/main"/>
                      </a:ext>
                    </a:extLst>
                  </pic:spPr>
                </pic:pic>
              </a:graphicData>
            </a:graphic>
          </wp:inline>
        </w:drawing>
      </w:r>
    </w:p>
    <w:p w:rsidR="005362F7" w:rsidRPr="00A627F3" w:rsidRDefault="00A627F3" w:rsidP="008D303F">
      <w:pPr>
        <w:tabs>
          <w:tab w:val="left" w:pos="520"/>
        </w:tabs>
        <w:spacing w:line="240" w:lineRule="auto"/>
        <w:jc w:val="both"/>
        <w:rPr>
          <w:rFonts w:ascii="Times New Roman" w:hAnsi="Times New Roman" w:cs="Times New Roman"/>
          <w:b/>
          <w:sz w:val="24"/>
          <w:szCs w:val="24"/>
        </w:rPr>
      </w:pPr>
      <w:r w:rsidRPr="00A627F3">
        <w:rPr>
          <w:rFonts w:ascii="Times New Roman" w:hAnsi="Times New Roman" w:cs="Times New Roman"/>
          <w:b/>
          <w:sz w:val="24"/>
          <w:szCs w:val="24"/>
        </w:rPr>
        <w:t xml:space="preserve">2.3 </w:t>
      </w:r>
      <w:r w:rsidR="005362F7" w:rsidRPr="00A627F3">
        <w:rPr>
          <w:rFonts w:ascii="Times New Roman" w:hAnsi="Times New Roman" w:cs="Times New Roman"/>
          <w:b/>
          <w:sz w:val="24"/>
          <w:szCs w:val="24"/>
        </w:rPr>
        <w:t>Sources of Funds</w:t>
      </w:r>
    </w:p>
    <w:p w:rsidR="005362F7" w:rsidRPr="008D303F" w:rsidRDefault="00A627F3" w:rsidP="008D303F">
      <w:pPr>
        <w:tabs>
          <w:tab w:val="left" w:pos="520"/>
        </w:tabs>
        <w:spacing w:line="240" w:lineRule="auto"/>
        <w:jc w:val="both"/>
        <w:rPr>
          <w:rFonts w:ascii="Times New Roman" w:hAnsi="Times New Roman" w:cs="Times New Roman"/>
          <w:sz w:val="24"/>
          <w:szCs w:val="24"/>
        </w:rPr>
      </w:pPr>
      <w:r>
        <w:rPr>
          <w:rFonts w:ascii="Times New Roman" w:hAnsi="Times New Roman" w:cs="Times New Roman"/>
          <w:sz w:val="24"/>
          <w:szCs w:val="24"/>
        </w:rPr>
        <w:t>A</w:t>
      </w:r>
      <w:r w:rsidR="005362F7" w:rsidRPr="008D303F">
        <w:rPr>
          <w:rFonts w:ascii="Times New Roman" w:hAnsi="Times New Roman" w:cs="Times New Roman"/>
          <w:sz w:val="24"/>
          <w:szCs w:val="24"/>
        </w:rPr>
        <w:t>ll Recurr</w:t>
      </w:r>
      <w:r w:rsidR="00192792">
        <w:rPr>
          <w:rFonts w:ascii="Times New Roman" w:hAnsi="Times New Roman" w:cs="Times New Roman"/>
          <w:sz w:val="24"/>
          <w:szCs w:val="24"/>
        </w:rPr>
        <w:t>ent Expenditures (US$</w:t>
      </w:r>
      <w:r w:rsidR="005362F7" w:rsidRPr="008D303F">
        <w:rPr>
          <w:rFonts w:ascii="Times New Roman" w:hAnsi="Times New Roman" w:cs="Times New Roman"/>
          <w:sz w:val="24"/>
          <w:szCs w:val="24"/>
        </w:rPr>
        <w:t xml:space="preserve">432.6 million) as well as the Development </w:t>
      </w:r>
      <w:r>
        <w:rPr>
          <w:rFonts w:ascii="Times New Roman" w:hAnsi="Times New Roman" w:cs="Times New Roman"/>
          <w:sz w:val="24"/>
          <w:szCs w:val="24"/>
        </w:rPr>
        <w:t>P</w:t>
      </w:r>
      <w:r w:rsidR="00192792">
        <w:rPr>
          <w:rFonts w:ascii="Times New Roman" w:hAnsi="Times New Roman" w:cs="Times New Roman"/>
          <w:sz w:val="24"/>
          <w:szCs w:val="24"/>
        </w:rPr>
        <w:t>rogram capital investments (US$</w:t>
      </w:r>
      <w:r w:rsidR="005362F7" w:rsidRPr="008D303F">
        <w:rPr>
          <w:rFonts w:ascii="Times New Roman" w:hAnsi="Times New Roman" w:cs="Times New Roman"/>
          <w:sz w:val="24"/>
          <w:szCs w:val="24"/>
        </w:rPr>
        <w:t xml:space="preserve">21.2 million) for financial year 2013 are financed from the resources of the </w:t>
      </w:r>
      <w:r w:rsidR="00A770EF">
        <w:rPr>
          <w:rFonts w:ascii="Times New Roman" w:hAnsi="Times New Roman" w:cs="Times New Roman"/>
          <w:sz w:val="24"/>
          <w:szCs w:val="24"/>
        </w:rPr>
        <w:t xml:space="preserve">Consolidated Fund of the MoFE. </w:t>
      </w:r>
      <w:r w:rsidR="005362F7" w:rsidRPr="008D303F">
        <w:rPr>
          <w:rFonts w:ascii="Times New Roman" w:hAnsi="Times New Roman" w:cs="Times New Roman"/>
          <w:sz w:val="24"/>
          <w:szCs w:val="24"/>
        </w:rPr>
        <w:t>With respect to the capital investments from the Infr</w:t>
      </w:r>
      <w:r>
        <w:rPr>
          <w:rFonts w:ascii="Times New Roman" w:hAnsi="Times New Roman" w:cs="Times New Roman"/>
          <w:sz w:val="24"/>
          <w:szCs w:val="24"/>
        </w:rPr>
        <w:t>a</w:t>
      </w:r>
      <w:r w:rsidR="00A770EF">
        <w:rPr>
          <w:rFonts w:ascii="Times New Roman" w:hAnsi="Times New Roman" w:cs="Times New Roman"/>
          <w:sz w:val="24"/>
          <w:szCs w:val="24"/>
        </w:rPr>
        <w:t>structure Development Fund (US$</w:t>
      </w:r>
      <w:r w:rsidR="005362F7" w:rsidRPr="008D303F">
        <w:rPr>
          <w:rFonts w:ascii="Times New Roman" w:hAnsi="Times New Roman" w:cs="Times New Roman"/>
          <w:sz w:val="24"/>
          <w:szCs w:val="24"/>
        </w:rPr>
        <w:t>3</w:t>
      </w:r>
      <w:r>
        <w:rPr>
          <w:rFonts w:ascii="Times New Roman" w:hAnsi="Times New Roman" w:cs="Times New Roman"/>
          <w:sz w:val="24"/>
          <w:szCs w:val="24"/>
        </w:rPr>
        <w:t>8</w:t>
      </w:r>
      <w:r w:rsidR="00192792">
        <w:rPr>
          <w:rFonts w:ascii="Times New Roman" w:hAnsi="Times New Roman" w:cs="Times New Roman"/>
          <w:sz w:val="24"/>
          <w:szCs w:val="24"/>
        </w:rPr>
        <w:t>.8 million), this comprises US$</w:t>
      </w:r>
      <w:r w:rsidR="005362F7" w:rsidRPr="008D303F">
        <w:rPr>
          <w:rFonts w:ascii="Times New Roman" w:hAnsi="Times New Roman" w:cs="Times New Roman"/>
          <w:sz w:val="24"/>
          <w:szCs w:val="24"/>
        </w:rPr>
        <w:t xml:space="preserve">35.7million in </w:t>
      </w:r>
      <w:r w:rsidR="00192792">
        <w:rPr>
          <w:rFonts w:ascii="Times New Roman" w:hAnsi="Times New Roman" w:cs="Times New Roman"/>
          <w:sz w:val="24"/>
          <w:szCs w:val="24"/>
        </w:rPr>
        <w:t xml:space="preserve">external/multilateral funding. </w:t>
      </w:r>
      <w:r w:rsidR="005362F7" w:rsidRPr="008D303F">
        <w:rPr>
          <w:rFonts w:ascii="Times New Roman" w:hAnsi="Times New Roman" w:cs="Times New Roman"/>
          <w:sz w:val="24"/>
          <w:szCs w:val="24"/>
        </w:rPr>
        <w:t xml:space="preserve">All </w:t>
      </w:r>
      <w:r>
        <w:rPr>
          <w:rFonts w:ascii="Times New Roman" w:hAnsi="Times New Roman" w:cs="Times New Roman"/>
          <w:sz w:val="24"/>
          <w:szCs w:val="24"/>
        </w:rPr>
        <w:t xml:space="preserve">these </w:t>
      </w:r>
      <w:r w:rsidR="005362F7" w:rsidRPr="008D303F">
        <w:rPr>
          <w:rFonts w:ascii="Times New Roman" w:hAnsi="Times New Roman" w:cs="Times New Roman"/>
          <w:sz w:val="24"/>
          <w:szCs w:val="24"/>
        </w:rPr>
        <w:t>resources are transferred</w:t>
      </w:r>
      <w:r>
        <w:rPr>
          <w:rFonts w:ascii="Times New Roman" w:hAnsi="Times New Roman" w:cs="Times New Roman"/>
          <w:sz w:val="24"/>
          <w:szCs w:val="24"/>
        </w:rPr>
        <w:t xml:space="preserve"> annually</w:t>
      </w:r>
      <w:r w:rsidR="005362F7" w:rsidRPr="008D303F">
        <w:rPr>
          <w:rFonts w:ascii="Times New Roman" w:hAnsi="Times New Roman" w:cs="Times New Roman"/>
          <w:sz w:val="24"/>
          <w:szCs w:val="24"/>
        </w:rPr>
        <w:t xml:space="preserve"> by the MoFE</w:t>
      </w:r>
      <w:r>
        <w:rPr>
          <w:rFonts w:ascii="Times New Roman" w:hAnsi="Times New Roman" w:cs="Times New Roman"/>
          <w:sz w:val="24"/>
          <w:szCs w:val="24"/>
        </w:rPr>
        <w:t xml:space="preserve"> to the MoEWR</w:t>
      </w:r>
      <w:r w:rsidR="005362F7" w:rsidRPr="008D303F">
        <w:rPr>
          <w:rFonts w:ascii="Times New Roman" w:hAnsi="Times New Roman" w:cs="Times New Roman"/>
          <w:sz w:val="24"/>
          <w:szCs w:val="24"/>
        </w:rPr>
        <w:t>.</w:t>
      </w:r>
    </w:p>
    <w:p w:rsidR="00C04282" w:rsidRDefault="00C04282">
      <w:pPr>
        <w:rPr>
          <w:rFonts w:ascii="Times New Roman" w:hAnsi="Times New Roman" w:cs="Times New Roman"/>
          <w:sz w:val="24"/>
          <w:szCs w:val="24"/>
        </w:rPr>
      </w:pPr>
      <w:r>
        <w:rPr>
          <w:rFonts w:ascii="Times New Roman" w:hAnsi="Times New Roman" w:cs="Times New Roman"/>
          <w:sz w:val="24"/>
          <w:szCs w:val="24"/>
        </w:rPr>
        <w:br w:type="page"/>
      </w:r>
    </w:p>
    <w:p w:rsidR="005362F7" w:rsidRPr="008D303F" w:rsidRDefault="005362F7" w:rsidP="008D303F">
      <w:pPr>
        <w:tabs>
          <w:tab w:val="left" w:pos="520"/>
        </w:tabs>
        <w:spacing w:line="240" w:lineRule="auto"/>
        <w:jc w:val="both"/>
        <w:rPr>
          <w:rFonts w:ascii="Times New Roman" w:hAnsi="Times New Roman" w:cs="Times New Roman"/>
          <w:sz w:val="24"/>
          <w:szCs w:val="24"/>
        </w:rPr>
      </w:pPr>
    </w:p>
    <w:p w:rsidR="0019692D" w:rsidRDefault="0019692D" w:rsidP="0019692D">
      <w:pPr>
        <w:pStyle w:val="ListParagraph"/>
        <w:numPr>
          <w:ilvl w:val="0"/>
          <w:numId w:val="24"/>
        </w:numPr>
        <w:spacing w:line="240" w:lineRule="auto"/>
        <w:jc w:val="both"/>
        <w:rPr>
          <w:rFonts w:ascii="Times New Roman" w:hAnsi="Times New Roman" w:cs="Times New Roman"/>
          <w:b/>
          <w:sz w:val="24"/>
          <w:szCs w:val="24"/>
          <w:u w:val="single"/>
        </w:rPr>
      </w:pPr>
      <w:r w:rsidRPr="0019692D">
        <w:rPr>
          <w:rFonts w:ascii="Times New Roman" w:hAnsi="Times New Roman" w:cs="Times New Roman"/>
          <w:b/>
          <w:sz w:val="24"/>
          <w:szCs w:val="24"/>
          <w:u w:val="single"/>
        </w:rPr>
        <w:t>Port Of Spain (POS) City Corporation</w:t>
      </w:r>
    </w:p>
    <w:p w:rsidR="00582732" w:rsidRPr="00582732" w:rsidRDefault="00582732" w:rsidP="00582732">
      <w:pPr>
        <w:tabs>
          <w:tab w:val="left" w:pos="520"/>
        </w:tabs>
        <w:spacing w:line="240" w:lineRule="auto"/>
        <w:jc w:val="both"/>
        <w:rPr>
          <w:rFonts w:ascii="Times New Roman" w:hAnsi="Times New Roman" w:cs="Times New Roman"/>
          <w:sz w:val="24"/>
          <w:szCs w:val="24"/>
        </w:rPr>
      </w:pPr>
      <w:r w:rsidRPr="00582732">
        <w:rPr>
          <w:rFonts w:ascii="Times New Roman" w:hAnsi="Times New Roman" w:cs="Times New Roman"/>
          <w:sz w:val="24"/>
          <w:szCs w:val="24"/>
        </w:rPr>
        <w:t>The main source of income of the</w:t>
      </w:r>
      <w:r w:rsidR="007B7858">
        <w:rPr>
          <w:rFonts w:ascii="Times New Roman" w:hAnsi="Times New Roman" w:cs="Times New Roman"/>
          <w:sz w:val="24"/>
          <w:szCs w:val="24"/>
        </w:rPr>
        <w:t xml:space="preserve"> Port Of Spain City Corporation</w:t>
      </w:r>
      <w:r w:rsidRPr="00582732">
        <w:rPr>
          <w:rFonts w:ascii="Times New Roman" w:hAnsi="Times New Roman" w:cs="Times New Roman"/>
          <w:sz w:val="24"/>
          <w:szCs w:val="24"/>
        </w:rPr>
        <w:t xml:space="preserve"> </w:t>
      </w:r>
      <w:r w:rsidR="007B7858">
        <w:rPr>
          <w:rFonts w:ascii="Times New Roman" w:hAnsi="Times New Roman" w:cs="Times New Roman"/>
          <w:sz w:val="24"/>
          <w:szCs w:val="24"/>
        </w:rPr>
        <w:t>(</w:t>
      </w:r>
      <w:r w:rsidRPr="00582732">
        <w:rPr>
          <w:rFonts w:ascii="Times New Roman" w:hAnsi="Times New Roman" w:cs="Times New Roman"/>
          <w:sz w:val="24"/>
          <w:szCs w:val="24"/>
        </w:rPr>
        <w:t>POSC</w:t>
      </w:r>
      <w:r w:rsidR="007B7858">
        <w:rPr>
          <w:rFonts w:ascii="Times New Roman" w:hAnsi="Times New Roman" w:cs="Times New Roman"/>
          <w:sz w:val="24"/>
          <w:szCs w:val="24"/>
        </w:rPr>
        <w:t>)</w:t>
      </w:r>
      <w:r w:rsidRPr="00582732">
        <w:rPr>
          <w:rFonts w:ascii="Times New Roman" w:hAnsi="Times New Roman" w:cs="Times New Roman"/>
          <w:sz w:val="24"/>
          <w:szCs w:val="24"/>
        </w:rPr>
        <w:t xml:space="preserve"> is the “Revenue Acco</w:t>
      </w:r>
      <w:r w:rsidR="007B7858">
        <w:rPr>
          <w:rFonts w:ascii="Times New Roman" w:hAnsi="Times New Roman" w:cs="Times New Roman"/>
          <w:sz w:val="24"/>
          <w:szCs w:val="24"/>
        </w:rPr>
        <w:t xml:space="preserve">unt” with an income level of USD </w:t>
      </w:r>
      <w:r w:rsidRPr="00582732">
        <w:rPr>
          <w:rFonts w:ascii="Times New Roman" w:hAnsi="Times New Roman" w:cs="Times New Roman"/>
          <w:sz w:val="24"/>
          <w:szCs w:val="24"/>
        </w:rPr>
        <w:t>30.6 million during</w:t>
      </w:r>
      <w:r w:rsidR="00623FC1">
        <w:rPr>
          <w:rFonts w:ascii="Times New Roman" w:hAnsi="Times New Roman" w:cs="Times New Roman"/>
          <w:sz w:val="24"/>
          <w:szCs w:val="24"/>
        </w:rPr>
        <w:t xml:space="preserve"> fiscal year 2012 (see Table 10</w:t>
      </w:r>
      <w:r w:rsidR="00FC7ED6">
        <w:rPr>
          <w:rFonts w:ascii="Times New Roman" w:hAnsi="Times New Roman" w:cs="Times New Roman"/>
          <w:sz w:val="24"/>
          <w:szCs w:val="24"/>
        </w:rPr>
        <w:t xml:space="preserve"> below</w:t>
      </w:r>
      <w:r w:rsidR="00623FC1">
        <w:rPr>
          <w:rFonts w:ascii="Times New Roman" w:hAnsi="Times New Roman" w:cs="Times New Roman"/>
          <w:sz w:val="24"/>
          <w:szCs w:val="24"/>
        </w:rPr>
        <w:t xml:space="preserve">). </w:t>
      </w:r>
      <w:r w:rsidRPr="00582732">
        <w:rPr>
          <w:rFonts w:ascii="Times New Roman" w:hAnsi="Times New Roman" w:cs="Times New Roman"/>
          <w:sz w:val="24"/>
          <w:szCs w:val="24"/>
        </w:rPr>
        <w:t>It mainly comprises the municipal/property rates/taxes and government subventions channeled by the Ministry of Finance</w:t>
      </w:r>
      <w:r w:rsidR="00150E09">
        <w:rPr>
          <w:rFonts w:ascii="Times New Roman" w:hAnsi="Times New Roman" w:cs="Times New Roman"/>
          <w:sz w:val="24"/>
          <w:szCs w:val="24"/>
        </w:rPr>
        <w:t xml:space="preserve"> and the Economy (MoFE) of the GORTT with </w:t>
      </w:r>
      <w:r w:rsidR="00A770EF">
        <w:rPr>
          <w:rFonts w:ascii="Times New Roman" w:hAnsi="Times New Roman" w:cs="Times New Roman"/>
          <w:sz w:val="24"/>
          <w:szCs w:val="24"/>
        </w:rPr>
        <w:br/>
        <w:t>US$</w:t>
      </w:r>
      <w:r w:rsidRPr="00582732">
        <w:rPr>
          <w:rFonts w:ascii="Times New Roman" w:hAnsi="Times New Roman" w:cs="Times New Roman"/>
          <w:sz w:val="24"/>
          <w:szCs w:val="24"/>
        </w:rPr>
        <w:t>29.6 million (97.0%). Other strictly municipal revenues directly collected by the Corporation for cemeteries, markets, and rents and other represent only 3.0% of the total revenues of the Corporation.</w:t>
      </w:r>
    </w:p>
    <w:p w:rsidR="00582732" w:rsidRDefault="00582732" w:rsidP="00582732">
      <w:pPr>
        <w:tabs>
          <w:tab w:val="left" w:pos="520"/>
        </w:tabs>
        <w:spacing w:line="240" w:lineRule="auto"/>
        <w:jc w:val="both"/>
        <w:rPr>
          <w:rFonts w:ascii="Times New Roman" w:hAnsi="Times New Roman" w:cs="Times New Roman"/>
          <w:sz w:val="24"/>
          <w:szCs w:val="24"/>
        </w:rPr>
      </w:pPr>
      <w:r w:rsidRPr="00582732">
        <w:rPr>
          <w:rFonts w:ascii="Times New Roman" w:hAnsi="Times New Roman" w:cs="Times New Roman"/>
          <w:sz w:val="24"/>
          <w:szCs w:val="24"/>
        </w:rPr>
        <w:t xml:space="preserve">Such level of revenue allows the Corporation to sustain a level of expenditures of </w:t>
      </w:r>
      <w:r w:rsidR="00192792">
        <w:rPr>
          <w:rFonts w:ascii="Times New Roman" w:hAnsi="Times New Roman" w:cs="Times New Roman"/>
          <w:sz w:val="24"/>
          <w:szCs w:val="24"/>
        </w:rPr>
        <w:br/>
      </w:r>
      <w:r w:rsidRPr="00582732">
        <w:rPr>
          <w:rFonts w:ascii="Times New Roman" w:hAnsi="Times New Roman" w:cs="Times New Roman"/>
          <w:sz w:val="24"/>
          <w:szCs w:val="24"/>
        </w:rPr>
        <w:t>US</w:t>
      </w:r>
      <w:r w:rsidR="00192792">
        <w:rPr>
          <w:rFonts w:ascii="Times New Roman" w:hAnsi="Times New Roman" w:cs="Times New Roman"/>
          <w:sz w:val="24"/>
          <w:szCs w:val="24"/>
        </w:rPr>
        <w:t>$</w:t>
      </w:r>
      <w:r w:rsidRPr="00582732">
        <w:rPr>
          <w:rFonts w:ascii="Times New Roman" w:hAnsi="Times New Roman" w:cs="Times New Roman"/>
          <w:sz w:val="24"/>
          <w:szCs w:val="24"/>
        </w:rPr>
        <w:t>29.6 million, which main</w:t>
      </w:r>
      <w:r w:rsidR="00150E09">
        <w:rPr>
          <w:rFonts w:ascii="Times New Roman" w:hAnsi="Times New Roman" w:cs="Times New Roman"/>
          <w:sz w:val="24"/>
          <w:szCs w:val="24"/>
        </w:rPr>
        <w:t>l</w:t>
      </w:r>
      <w:r w:rsidR="00192792">
        <w:rPr>
          <w:rFonts w:ascii="Times New Roman" w:hAnsi="Times New Roman" w:cs="Times New Roman"/>
          <w:sz w:val="24"/>
          <w:szCs w:val="24"/>
        </w:rPr>
        <w:t>y comprises recurrent costs US$</w:t>
      </w:r>
      <w:r w:rsidRPr="00582732">
        <w:rPr>
          <w:rFonts w:ascii="Times New Roman" w:hAnsi="Times New Roman" w:cs="Times New Roman"/>
          <w:sz w:val="24"/>
          <w:szCs w:val="24"/>
        </w:rPr>
        <w:t>28</w:t>
      </w:r>
      <w:r w:rsidR="00150E09">
        <w:rPr>
          <w:rFonts w:ascii="Times New Roman" w:hAnsi="Times New Roman" w:cs="Times New Roman"/>
          <w:sz w:val="24"/>
          <w:szCs w:val="24"/>
        </w:rPr>
        <w:t>.7 millio</w:t>
      </w:r>
      <w:r w:rsidR="00192792">
        <w:rPr>
          <w:rFonts w:ascii="Times New Roman" w:hAnsi="Times New Roman" w:cs="Times New Roman"/>
          <w:sz w:val="24"/>
          <w:szCs w:val="24"/>
        </w:rPr>
        <w:t>n (96.9%). and only US$</w:t>
      </w:r>
      <w:r w:rsidRPr="00582732">
        <w:rPr>
          <w:rFonts w:ascii="Times New Roman" w:hAnsi="Times New Roman" w:cs="Times New Roman"/>
          <w:sz w:val="24"/>
          <w:szCs w:val="24"/>
        </w:rPr>
        <w:t xml:space="preserve">0.9 million </w:t>
      </w:r>
      <w:r w:rsidR="00192792">
        <w:rPr>
          <w:rFonts w:ascii="Times New Roman" w:hAnsi="Times New Roman" w:cs="Times New Roman"/>
          <w:sz w:val="24"/>
          <w:szCs w:val="24"/>
        </w:rPr>
        <w:t xml:space="preserve">(3.1%) in equipment purchases. </w:t>
      </w:r>
      <w:r w:rsidRPr="00582732">
        <w:rPr>
          <w:rFonts w:ascii="Times New Roman" w:hAnsi="Times New Roman" w:cs="Times New Roman"/>
          <w:sz w:val="24"/>
          <w:szCs w:val="24"/>
        </w:rPr>
        <w:t>Furthermo</w:t>
      </w:r>
      <w:r w:rsidR="00192792">
        <w:rPr>
          <w:rFonts w:ascii="Times New Roman" w:hAnsi="Times New Roman" w:cs="Times New Roman"/>
          <w:sz w:val="24"/>
          <w:szCs w:val="24"/>
        </w:rPr>
        <w:t>re, US$</w:t>
      </w:r>
      <w:r w:rsidRPr="00582732">
        <w:rPr>
          <w:rFonts w:ascii="Times New Roman" w:hAnsi="Times New Roman" w:cs="Times New Roman"/>
          <w:sz w:val="24"/>
          <w:szCs w:val="24"/>
        </w:rPr>
        <w:t>19.1 million (64.7%) are allocated to payroll.</w:t>
      </w:r>
    </w:p>
    <w:p w:rsidR="00C04282" w:rsidRDefault="00C04282" w:rsidP="00582732">
      <w:pPr>
        <w:tabs>
          <w:tab w:val="left" w:pos="520"/>
        </w:tabs>
        <w:spacing w:line="240" w:lineRule="auto"/>
        <w:jc w:val="both"/>
        <w:rPr>
          <w:rFonts w:ascii="Times New Roman" w:hAnsi="Times New Roman" w:cs="Times New Roman"/>
          <w:sz w:val="24"/>
          <w:szCs w:val="24"/>
        </w:rPr>
      </w:pPr>
    </w:p>
    <w:p w:rsidR="00C04282" w:rsidRDefault="00C04282" w:rsidP="00582732">
      <w:pPr>
        <w:tabs>
          <w:tab w:val="left" w:pos="520"/>
        </w:tabs>
        <w:spacing w:line="240" w:lineRule="auto"/>
        <w:jc w:val="both"/>
        <w:rPr>
          <w:rFonts w:ascii="Times New Roman" w:hAnsi="Times New Roman" w:cs="Times New Roman"/>
          <w:sz w:val="24"/>
          <w:szCs w:val="24"/>
        </w:rPr>
      </w:pPr>
    </w:p>
    <w:p w:rsidR="00C04282" w:rsidRDefault="00C04282" w:rsidP="00582732">
      <w:pPr>
        <w:tabs>
          <w:tab w:val="left" w:pos="520"/>
        </w:tabs>
        <w:spacing w:line="240" w:lineRule="auto"/>
        <w:jc w:val="both"/>
        <w:rPr>
          <w:rFonts w:ascii="Times New Roman" w:hAnsi="Times New Roman" w:cs="Times New Roman"/>
          <w:sz w:val="24"/>
          <w:szCs w:val="24"/>
        </w:rPr>
      </w:pPr>
    </w:p>
    <w:p w:rsidR="00C04282" w:rsidRDefault="00C04282" w:rsidP="00582732">
      <w:pPr>
        <w:tabs>
          <w:tab w:val="left" w:pos="520"/>
        </w:tabs>
        <w:spacing w:line="240" w:lineRule="auto"/>
        <w:jc w:val="both"/>
        <w:rPr>
          <w:rFonts w:ascii="Times New Roman" w:hAnsi="Times New Roman" w:cs="Times New Roman"/>
          <w:sz w:val="24"/>
          <w:szCs w:val="24"/>
        </w:rPr>
      </w:pPr>
    </w:p>
    <w:p w:rsidR="00C04282" w:rsidRDefault="00C04282" w:rsidP="00582732">
      <w:pPr>
        <w:tabs>
          <w:tab w:val="left" w:pos="520"/>
        </w:tabs>
        <w:spacing w:line="240" w:lineRule="auto"/>
        <w:jc w:val="both"/>
        <w:rPr>
          <w:rFonts w:ascii="Times New Roman" w:hAnsi="Times New Roman" w:cs="Times New Roman"/>
          <w:sz w:val="24"/>
          <w:szCs w:val="24"/>
        </w:rPr>
      </w:pPr>
    </w:p>
    <w:p w:rsidR="00C04282" w:rsidRDefault="00C04282" w:rsidP="00582732">
      <w:pPr>
        <w:tabs>
          <w:tab w:val="left" w:pos="520"/>
        </w:tabs>
        <w:spacing w:line="240" w:lineRule="auto"/>
        <w:jc w:val="both"/>
        <w:rPr>
          <w:rFonts w:ascii="Times New Roman" w:hAnsi="Times New Roman" w:cs="Times New Roman"/>
          <w:sz w:val="24"/>
          <w:szCs w:val="24"/>
        </w:rPr>
      </w:pPr>
    </w:p>
    <w:p w:rsidR="00C04282" w:rsidRDefault="00C04282" w:rsidP="00582732">
      <w:pPr>
        <w:tabs>
          <w:tab w:val="left" w:pos="520"/>
        </w:tabs>
        <w:spacing w:line="240" w:lineRule="auto"/>
        <w:jc w:val="both"/>
        <w:rPr>
          <w:rFonts w:ascii="Times New Roman" w:hAnsi="Times New Roman" w:cs="Times New Roman"/>
          <w:sz w:val="24"/>
          <w:szCs w:val="24"/>
        </w:rPr>
      </w:pPr>
    </w:p>
    <w:p w:rsidR="00C04282" w:rsidRDefault="00C04282" w:rsidP="00582732">
      <w:pPr>
        <w:tabs>
          <w:tab w:val="left" w:pos="520"/>
        </w:tabs>
        <w:spacing w:line="240" w:lineRule="auto"/>
        <w:jc w:val="both"/>
        <w:rPr>
          <w:rFonts w:ascii="Times New Roman" w:hAnsi="Times New Roman" w:cs="Times New Roman"/>
          <w:sz w:val="24"/>
          <w:szCs w:val="24"/>
        </w:rPr>
      </w:pPr>
    </w:p>
    <w:p w:rsidR="00C04282" w:rsidRDefault="00C04282" w:rsidP="00582732">
      <w:pPr>
        <w:tabs>
          <w:tab w:val="left" w:pos="520"/>
        </w:tabs>
        <w:spacing w:line="240" w:lineRule="auto"/>
        <w:jc w:val="both"/>
        <w:rPr>
          <w:rFonts w:ascii="Times New Roman" w:hAnsi="Times New Roman" w:cs="Times New Roman"/>
          <w:sz w:val="24"/>
          <w:szCs w:val="24"/>
        </w:rPr>
      </w:pPr>
    </w:p>
    <w:p w:rsidR="00C04282" w:rsidRDefault="00C04282" w:rsidP="00582732">
      <w:pPr>
        <w:tabs>
          <w:tab w:val="left" w:pos="520"/>
        </w:tabs>
        <w:spacing w:line="240" w:lineRule="auto"/>
        <w:jc w:val="both"/>
        <w:rPr>
          <w:rFonts w:ascii="Times New Roman" w:hAnsi="Times New Roman" w:cs="Times New Roman"/>
          <w:sz w:val="24"/>
          <w:szCs w:val="24"/>
        </w:rPr>
      </w:pPr>
    </w:p>
    <w:p w:rsidR="00C04282" w:rsidRDefault="00C04282" w:rsidP="00582732">
      <w:pPr>
        <w:tabs>
          <w:tab w:val="left" w:pos="520"/>
        </w:tabs>
        <w:spacing w:line="240" w:lineRule="auto"/>
        <w:jc w:val="both"/>
        <w:rPr>
          <w:rFonts w:ascii="Times New Roman" w:hAnsi="Times New Roman" w:cs="Times New Roman"/>
          <w:sz w:val="24"/>
          <w:szCs w:val="24"/>
        </w:rPr>
      </w:pPr>
    </w:p>
    <w:p w:rsidR="00C04282" w:rsidRDefault="00C04282" w:rsidP="00582732">
      <w:pPr>
        <w:tabs>
          <w:tab w:val="left" w:pos="520"/>
        </w:tabs>
        <w:spacing w:line="240" w:lineRule="auto"/>
        <w:jc w:val="both"/>
        <w:rPr>
          <w:rFonts w:ascii="Times New Roman" w:hAnsi="Times New Roman" w:cs="Times New Roman"/>
          <w:sz w:val="24"/>
          <w:szCs w:val="24"/>
        </w:rPr>
      </w:pPr>
    </w:p>
    <w:p w:rsidR="00C04282" w:rsidRDefault="00C04282" w:rsidP="00582732">
      <w:pPr>
        <w:tabs>
          <w:tab w:val="left" w:pos="520"/>
        </w:tabs>
        <w:spacing w:line="240" w:lineRule="auto"/>
        <w:jc w:val="both"/>
        <w:rPr>
          <w:rFonts w:ascii="Times New Roman" w:hAnsi="Times New Roman" w:cs="Times New Roman"/>
          <w:sz w:val="24"/>
          <w:szCs w:val="24"/>
        </w:rPr>
      </w:pPr>
    </w:p>
    <w:p w:rsidR="00C04282" w:rsidRDefault="00C04282" w:rsidP="00582732">
      <w:pPr>
        <w:tabs>
          <w:tab w:val="left" w:pos="520"/>
        </w:tabs>
        <w:spacing w:line="240" w:lineRule="auto"/>
        <w:jc w:val="both"/>
        <w:rPr>
          <w:rFonts w:ascii="Times New Roman" w:hAnsi="Times New Roman" w:cs="Times New Roman"/>
          <w:sz w:val="24"/>
          <w:szCs w:val="24"/>
        </w:rPr>
      </w:pPr>
    </w:p>
    <w:p w:rsidR="00C04282" w:rsidRDefault="00C04282" w:rsidP="00582732">
      <w:pPr>
        <w:tabs>
          <w:tab w:val="left" w:pos="520"/>
        </w:tabs>
        <w:spacing w:line="240" w:lineRule="auto"/>
        <w:jc w:val="both"/>
        <w:rPr>
          <w:rFonts w:ascii="Times New Roman" w:hAnsi="Times New Roman" w:cs="Times New Roman"/>
          <w:sz w:val="24"/>
          <w:szCs w:val="24"/>
        </w:rPr>
      </w:pPr>
    </w:p>
    <w:p w:rsidR="00C04282" w:rsidRDefault="00C04282" w:rsidP="00582732">
      <w:pPr>
        <w:tabs>
          <w:tab w:val="left" w:pos="520"/>
        </w:tabs>
        <w:spacing w:line="240" w:lineRule="auto"/>
        <w:jc w:val="both"/>
        <w:rPr>
          <w:rFonts w:ascii="Times New Roman" w:hAnsi="Times New Roman" w:cs="Times New Roman"/>
          <w:sz w:val="24"/>
          <w:szCs w:val="24"/>
        </w:rPr>
      </w:pPr>
    </w:p>
    <w:p w:rsidR="00C04282" w:rsidRDefault="00C04282" w:rsidP="00582732">
      <w:pPr>
        <w:tabs>
          <w:tab w:val="left" w:pos="520"/>
        </w:tabs>
        <w:spacing w:line="240" w:lineRule="auto"/>
        <w:jc w:val="both"/>
        <w:rPr>
          <w:rFonts w:ascii="Times New Roman" w:hAnsi="Times New Roman" w:cs="Times New Roman"/>
          <w:sz w:val="24"/>
          <w:szCs w:val="24"/>
        </w:rPr>
      </w:pPr>
    </w:p>
    <w:p w:rsidR="00C04282" w:rsidRDefault="00C04282" w:rsidP="00582732">
      <w:pPr>
        <w:tabs>
          <w:tab w:val="left" w:pos="520"/>
        </w:tabs>
        <w:spacing w:line="240" w:lineRule="auto"/>
        <w:jc w:val="both"/>
        <w:rPr>
          <w:rFonts w:ascii="Times New Roman" w:hAnsi="Times New Roman" w:cs="Times New Roman"/>
          <w:sz w:val="24"/>
          <w:szCs w:val="24"/>
        </w:rPr>
      </w:pPr>
    </w:p>
    <w:p w:rsidR="00FC7ED6" w:rsidRPr="008D303F" w:rsidRDefault="00FC7ED6" w:rsidP="00FC7ED6">
      <w:pPr>
        <w:tabs>
          <w:tab w:val="left" w:pos="520"/>
        </w:tabs>
        <w:spacing w:line="240" w:lineRule="auto"/>
        <w:jc w:val="center"/>
        <w:rPr>
          <w:rFonts w:ascii="Times New Roman" w:hAnsi="Times New Roman" w:cs="Times New Roman"/>
          <w:sz w:val="24"/>
          <w:szCs w:val="24"/>
        </w:rPr>
      </w:pPr>
      <w:r w:rsidRPr="00317932">
        <w:rPr>
          <w:rFonts w:ascii="Times New Roman" w:hAnsi="Times New Roman" w:cs="Times New Roman"/>
          <w:b/>
          <w:sz w:val="24"/>
          <w:szCs w:val="24"/>
          <w:u w:val="single"/>
        </w:rPr>
        <w:lastRenderedPageBreak/>
        <w:t>Table</w:t>
      </w:r>
      <w:r>
        <w:rPr>
          <w:rFonts w:ascii="Times New Roman" w:hAnsi="Times New Roman" w:cs="Times New Roman"/>
          <w:b/>
          <w:sz w:val="24"/>
          <w:szCs w:val="24"/>
          <w:u w:val="single"/>
        </w:rPr>
        <w:t xml:space="preserve"> 10</w:t>
      </w:r>
      <w:r w:rsidRPr="00317932">
        <w:rPr>
          <w:rFonts w:ascii="Times New Roman" w:hAnsi="Times New Roman" w:cs="Times New Roman"/>
          <w:b/>
          <w:sz w:val="24"/>
          <w:szCs w:val="24"/>
          <w:u w:val="single"/>
        </w:rPr>
        <w:t xml:space="preserve">. </w:t>
      </w:r>
      <w:r>
        <w:rPr>
          <w:rFonts w:ascii="Times New Roman" w:hAnsi="Times New Roman" w:cs="Times New Roman"/>
          <w:b/>
          <w:sz w:val="24"/>
          <w:szCs w:val="24"/>
          <w:u w:val="single"/>
        </w:rPr>
        <w:t>POSC: Income and Expenditure Accounts for Fiscal Year 2012</w:t>
      </w:r>
      <w:r>
        <w:rPr>
          <w:rFonts w:ascii="Times New Roman" w:hAnsi="Times New Roman" w:cs="Times New Roman"/>
          <w:sz w:val="24"/>
          <w:szCs w:val="24"/>
        </w:rPr>
        <w:t xml:space="preserve">                                                        </w:t>
      </w:r>
      <w:r w:rsidRPr="00317932">
        <w:rPr>
          <w:rFonts w:ascii="Times New Roman" w:hAnsi="Times New Roman" w:cs="Times New Roman"/>
          <w:sz w:val="24"/>
          <w:szCs w:val="24"/>
        </w:rPr>
        <w:t>(in US</w:t>
      </w:r>
      <w:r w:rsidR="00192792">
        <w:rPr>
          <w:rFonts w:ascii="Times New Roman" w:hAnsi="Times New Roman" w:cs="Times New Roman"/>
          <w:sz w:val="24"/>
          <w:szCs w:val="24"/>
        </w:rPr>
        <w:t>$</w:t>
      </w:r>
      <w:r w:rsidRPr="00317932">
        <w:rPr>
          <w:rFonts w:ascii="Times New Roman" w:hAnsi="Times New Roman" w:cs="Times New Roman"/>
          <w:sz w:val="24"/>
          <w:szCs w:val="24"/>
        </w:rPr>
        <w:t>)</w:t>
      </w:r>
    </w:p>
    <w:p w:rsidR="00FC7ED6" w:rsidRDefault="00D8104A" w:rsidP="004B0AD5">
      <w:pPr>
        <w:tabs>
          <w:tab w:val="left" w:pos="520"/>
        </w:tabs>
        <w:spacing w:line="240" w:lineRule="auto"/>
        <w:jc w:val="center"/>
      </w:pPr>
      <w:r>
        <w:rPr>
          <w:rFonts w:ascii="Times New Roman" w:hAnsi="Times New Roman" w:cs="Times New Roman"/>
          <w:noProof/>
          <w:sz w:val="16"/>
          <w:szCs w:val="24"/>
        </w:rPr>
        <mc:AlternateContent>
          <mc:Choice Requires="wps">
            <w:drawing>
              <wp:anchor distT="0" distB="0" distL="114300" distR="114300" simplePos="0" relativeHeight="251667456" behindDoc="0" locked="0" layoutInCell="1" allowOverlap="1" wp14:anchorId="440D46CF" wp14:editId="4C625222">
                <wp:simplePos x="0" y="0"/>
                <wp:positionH relativeFrom="column">
                  <wp:posOffset>196850</wp:posOffset>
                </wp:positionH>
                <wp:positionV relativeFrom="paragraph">
                  <wp:posOffset>4702810</wp:posOffset>
                </wp:positionV>
                <wp:extent cx="1701800" cy="196850"/>
                <wp:effectExtent l="0" t="0" r="12700" b="12700"/>
                <wp:wrapNone/>
                <wp:docPr id="19" name="Rectangle 19"/>
                <wp:cNvGraphicFramePr/>
                <a:graphic xmlns:a="http://schemas.openxmlformats.org/drawingml/2006/main">
                  <a:graphicData uri="http://schemas.microsoft.com/office/word/2010/wordprocessingShape">
                    <wps:wsp>
                      <wps:cNvSpPr/>
                      <wps:spPr>
                        <a:xfrm>
                          <a:off x="0" y="0"/>
                          <a:ext cx="1701800" cy="1968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B0AD5" w:rsidRPr="00623FC1" w:rsidRDefault="004B0AD5" w:rsidP="004B0AD5">
                            <w:pPr>
                              <w:jc w:val="center"/>
                              <w:rPr>
                                <w:rFonts w:ascii="Times New Roman" w:hAnsi="Times New Roman" w:cs="Times New Roman"/>
                                <w:color w:val="000000" w:themeColor="text1"/>
                                <w:sz w:val="14"/>
                              </w:rPr>
                            </w:pPr>
                            <w:r w:rsidRPr="00623FC1">
                              <w:rPr>
                                <w:rFonts w:ascii="Times New Roman" w:hAnsi="Times New Roman" w:cs="Times New Roman"/>
                                <w:color w:val="000000" w:themeColor="text1"/>
                                <w:sz w:val="12"/>
                              </w:rPr>
                              <w:t xml:space="preserve">Source: </w:t>
                            </w:r>
                            <w:r>
                              <w:rPr>
                                <w:rFonts w:ascii="Times New Roman" w:hAnsi="Times New Roman" w:cs="Times New Roman"/>
                                <w:color w:val="000000" w:themeColor="text1"/>
                                <w:sz w:val="12"/>
                              </w:rPr>
                              <w:t>POSC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9" o:spid="_x0000_s1030" style="position:absolute;left:0;text-align:left;margin-left:15.5pt;margin-top:370.3pt;width:134pt;height:1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" fillcolor="white [3212]" strokecolor="white [3212]" strokeweight="2pt">
                <v:textbox>
                  <w:txbxContent>
                    <w:p w:rsidR="004B0AD5" w:rsidRPr="00623FC1" w:rsidRDefault="004B0AD5" w:rsidP="004B0AD5">
                      <w:pPr>
                        <w:jc w:val="center"/>
                        <w:rPr>
                          <w:rFonts w:ascii="Times New Roman" w:hAnsi="Times New Roman" w:cs="Times New Roman"/>
                          <w:color w:val="000000" w:themeColor="text1"/>
                          <w:sz w:val="14"/>
                        </w:rPr>
                      </w:pPr>
                      <w:r w:rsidRPr="00623FC1">
                        <w:rPr>
                          <w:rFonts w:ascii="Times New Roman" w:hAnsi="Times New Roman" w:cs="Times New Roman"/>
                          <w:color w:val="000000" w:themeColor="text1"/>
                          <w:sz w:val="12"/>
                        </w:rPr>
                        <w:t xml:space="preserve">Source: </w:t>
                      </w:r>
                      <w:r>
                        <w:rPr>
                          <w:rFonts w:ascii="Times New Roman" w:hAnsi="Times New Roman" w:cs="Times New Roman"/>
                          <w:color w:val="000000" w:themeColor="text1"/>
                          <w:sz w:val="12"/>
                        </w:rPr>
                        <w:t>POSC</w:t>
                      </w:r>
                    </w:p>
                  </w:txbxContent>
                </v:textbox>
              </v:rect>
            </w:pict>
          </mc:Fallback>
        </mc:AlternateContent>
      </w:r>
      <w:r w:rsidRPr="00D8104A">
        <w:rPr>
          <w:noProof/>
        </w:rPr>
        <w:drawing>
          <wp:inline distT="0" distB="0" distL="0" distR="0" wp14:anchorId="4E366FF5" wp14:editId="1971F694">
            <wp:extent cx="4811246" cy="4801234"/>
            <wp:effectExtent l="0" t="0" r="889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811514" cy="4801501"/>
                    </a:xfrm>
                    <a:prstGeom prst="rect">
                      <a:avLst/>
                    </a:prstGeom>
                    <a:noFill/>
                    <a:ln>
                      <a:noFill/>
                    </a:ln>
                  </pic:spPr>
                </pic:pic>
              </a:graphicData>
            </a:graphic>
          </wp:inline>
        </w:drawing>
      </w:r>
    </w:p>
    <w:p w:rsidR="00582732" w:rsidRPr="00582732" w:rsidRDefault="00150E09" w:rsidP="00582732">
      <w:pPr>
        <w:tabs>
          <w:tab w:val="left" w:pos="520"/>
        </w:tabs>
        <w:spacing w:line="240" w:lineRule="auto"/>
        <w:jc w:val="both"/>
        <w:rPr>
          <w:rFonts w:ascii="Times New Roman" w:hAnsi="Times New Roman" w:cs="Times New Roman"/>
          <w:sz w:val="24"/>
          <w:szCs w:val="24"/>
        </w:rPr>
      </w:pPr>
      <w:r>
        <w:rPr>
          <w:rFonts w:ascii="Times New Roman" w:hAnsi="Times New Roman" w:cs="Times New Roman"/>
          <w:sz w:val="24"/>
          <w:szCs w:val="24"/>
        </w:rPr>
        <w:t>T</w:t>
      </w:r>
      <w:r w:rsidR="00582732" w:rsidRPr="00582732">
        <w:rPr>
          <w:rFonts w:ascii="Times New Roman" w:hAnsi="Times New Roman" w:cs="Times New Roman"/>
          <w:sz w:val="24"/>
          <w:szCs w:val="24"/>
        </w:rPr>
        <w:t>he “Net Revenue” account comprises income/revenues and expenditures that are carried over from the previous year and, even though of a lower magnitude, allows the Corporation to manage its accounts receivable and accounts payable within the fiscal year, while allowing for adjustments.</w:t>
      </w:r>
    </w:p>
    <w:p w:rsidR="00582732" w:rsidRPr="00582732" w:rsidRDefault="00150E09" w:rsidP="00582732">
      <w:pPr>
        <w:tabs>
          <w:tab w:val="left" w:pos="520"/>
        </w:tabs>
        <w:spacing w:line="240" w:lineRule="auto"/>
        <w:jc w:val="both"/>
        <w:rPr>
          <w:rFonts w:ascii="Times New Roman" w:hAnsi="Times New Roman" w:cs="Times New Roman"/>
          <w:sz w:val="24"/>
          <w:szCs w:val="24"/>
        </w:rPr>
      </w:pPr>
      <w:r>
        <w:rPr>
          <w:rFonts w:ascii="Times New Roman" w:hAnsi="Times New Roman" w:cs="Times New Roman"/>
          <w:sz w:val="24"/>
          <w:szCs w:val="24"/>
        </w:rPr>
        <w:t>F</w:t>
      </w:r>
      <w:r w:rsidR="00582732" w:rsidRPr="00582732">
        <w:rPr>
          <w:rFonts w:ascii="Times New Roman" w:hAnsi="Times New Roman" w:cs="Times New Roman"/>
          <w:sz w:val="24"/>
          <w:szCs w:val="24"/>
        </w:rPr>
        <w:t>inally, other minor sources of revenue and expenditure represent the various trust funds under the administration of the Corporation as well as the income generated from its financial investments.</w:t>
      </w:r>
    </w:p>
    <w:p w:rsidR="00582732" w:rsidRDefault="00582732" w:rsidP="00582732">
      <w:pPr>
        <w:tabs>
          <w:tab w:val="left" w:pos="520"/>
        </w:tabs>
        <w:spacing w:line="240" w:lineRule="auto"/>
        <w:jc w:val="both"/>
        <w:rPr>
          <w:rFonts w:ascii="Times New Roman" w:hAnsi="Times New Roman" w:cs="Times New Roman"/>
          <w:sz w:val="24"/>
          <w:szCs w:val="24"/>
        </w:rPr>
      </w:pPr>
      <w:r w:rsidRPr="00582732">
        <w:rPr>
          <w:rFonts w:ascii="Times New Roman" w:hAnsi="Times New Roman" w:cs="Times New Roman"/>
          <w:sz w:val="24"/>
          <w:szCs w:val="24"/>
        </w:rPr>
        <w:t xml:space="preserve">With respect to infrastructure investments funded with budgetary allocations from the MoFE as part of the “Development </w:t>
      </w:r>
      <w:r w:rsidR="00A770EF">
        <w:rPr>
          <w:rFonts w:ascii="Times New Roman" w:hAnsi="Times New Roman" w:cs="Times New Roman"/>
          <w:sz w:val="24"/>
          <w:szCs w:val="24"/>
        </w:rPr>
        <w:t>Program”, these reached only US$</w:t>
      </w:r>
      <w:r w:rsidRPr="00582732">
        <w:rPr>
          <w:rFonts w:ascii="Times New Roman" w:hAnsi="Times New Roman" w:cs="Times New Roman"/>
          <w:sz w:val="24"/>
          <w:szCs w:val="24"/>
        </w:rPr>
        <w:t xml:space="preserve">0.9 million in 2012 in spite of the actual transfers from the Central </w:t>
      </w:r>
      <w:r w:rsidR="00A770EF">
        <w:rPr>
          <w:rFonts w:ascii="Times New Roman" w:hAnsi="Times New Roman" w:cs="Times New Roman"/>
          <w:sz w:val="24"/>
          <w:szCs w:val="24"/>
        </w:rPr>
        <w:t>Government (GORTT) of US$</w:t>
      </w:r>
      <w:r w:rsidRPr="00582732">
        <w:rPr>
          <w:rFonts w:ascii="Times New Roman" w:hAnsi="Times New Roman" w:cs="Times New Roman"/>
          <w:sz w:val="24"/>
          <w:szCs w:val="24"/>
        </w:rPr>
        <w:t xml:space="preserve">3.1 million (see Table </w:t>
      </w:r>
      <w:r w:rsidR="00150E09">
        <w:rPr>
          <w:rFonts w:ascii="Times New Roman" w:hAnsi="Times New Roman" w:cs="Times New Roman"/>
          <w:sz w:val="24"/>
          <w:szCs w:val="24"/>
        </w:rPr>
        <w:t>11</w:t>
      </w:r>
      <w:r w:rsidR="0026337B">
        <w:rPr>
          <w:rFonts w:ascii="Times New Roman" w:hAnsi="Times New Roman" w:cs="Times New Roman"/>
          <w:sz w:val="24"/>
          <w:szCs w:val="24"/>
        </w:rPr>
        <w:t xml:space="preserve"> below</w:t>
      </w:r>
      <w:r w:rsidR="00192792">
        <w:rPr>
          <w:rFonts w:ascii="Times New Roman" w:hAnsi="Times New Roman" w:cs="Times New Roman"/>
          <w:sz w:val="24"/>
          <w:szCs w:val="24"/>
        </w:rPr>
        <w:t xml:space="preserve">). </w:t>
      </w:r>
      <w:r w:rsidRPr="00582732">
        <w:rPr>
          <w:rFonts w:ascii="Times New Roman" w:hAnsi="Times New Roman" w:cs="Times New Roman"/>
          <w:sz w:val="24"/>
          <w:szCs w:val="24"/>
        </w:rPr>
        <w:t>This undoubtedly denotes a low or limited execution capacity of the Corporation with only 30.1% of capital expenditures attained with respect to the budget and actual allocation of resources.</w:t>
      </w:r>
    </w:p>
    <w:p w:rsidR="0026337B" w:rsidRPr="00582732" w:rsidRDefault="0026337B" w:rsidP="00582732">
      <w:pPr>
        <w:tabs>
          <w:tab w:val="left" w:pos="520"/>
        </w:tabs>
        <w:spacing w:line="240" w:lineRule="auto"/>
        <w:jc w:val="both"/>
        <w:rPr>
          <w:rFonts w:ascii="Times New Roman" w:hAnsi="Times New Roman" w:cs="Times New Roman"/>
          <w:sz w:val="24"/>
          <w:szCs w:val="24"/>
        </w:rPr>
      </w:pPr>
    </w:p>
    <w:p w:rsidR="0026337B" w:rsidRPr="008D303F" w:rsidRDefault="0026337B" w:rsidP="0026337B">
      <w:pPr>
        <w:tabs>
          <w:tab w:val="left" w:pos="520"/>
        </w:tabs>
        <w:spacing w:line="240" w:lineRule="auto"/>
        <w:jc w:val="center"/>
        <w:rPr>
          <w:rFonts w:ascii="Times New Roman" w:hAnsi="Times New Roman" w:cs="Times New Roman"/>
          <w:sz w:val="24"/>
          <w:szCs w:val="24"/>
        </w:rPr>
      </w:pPr>
      <w:r w:rsidRPr="00317932">
        <w:rPr>
          <w:rFonts w:ascii="Times New Roman" w:hAnsi="Times New Roman" w:cs="Times New Roman"/>
          <w:b/>
          <w:sz w:val="24"/>
          <w:szCs w:val="24"/>
          <w:u w:val="single"/>
        </w:rPr>
        <w:t>Table</w:t>
      </w:r>
      <w:r>
        <w:rPr>
          <w:rFonts w:ascii="Times New Roman" w:hAnsi="Times New Roman" w:cs="Times New Roman"/>
          <w:b/>
          <w:sz w:val="24"/>
          <w:szCs w:val="24"/>
          <w:u w:val="single"/>
        </w:rPr>
        <w:t xml:space="preserve"> 11</w:t>
      </w:r>
      <w:r w:rsidRPr="00317932">
        <w:rPr>
          <w:rFonts w:ascii="Times New Roman" w:hAnsi="Times New Roman" w:cs="Times New Roman"/>
          <w:b/>
          <w:sz w:val="24"/>
          <w:szCs w:val="24"/>
          <w:u w:val="single"/>
        </w:rPr>
        <w:t xml:space="preserve">. </w:t>
      </w:r>
      <w:r>
        <w:rPr>
          <w:rFonts w:ascii="Times New Roman" w:hAnsi="Times New Roman" w:cs="Times New Roman"/>
          <w:b/>
          <w:sz w:val="24"/>
          <w:szCs w:val="24"/>
          <w:u w:val="single"/>
        </w:rPr>
        <w:t xml:space="preserve">POSC: </w:t>
      </w:r>
      <w:r w:rsidR="00421D39">
        <w:rPr>
          <w:rFonts w:ascii="Times New Roman" w:hAnsi="Times New Roman" w:cs="Times New Roman"/>
          <w:b/>
          <w:sz w:val="24"/>
          <w:szCs w:val="24"/>
          <w:u w:val="single"/>
        </w:rPr>
        <w:t>Development Program Expenditures</w:t>
      </w:r>
      <w:r>
        <w:rPr>
          <w:rFonts w:ascii="Times New Roman" w:hAnsi="Times New Roman" w:cs="Times New Roman"/>
          <w:b/>
          <w:sz w:val="24"/>
          <w:szCs w:val="24"/>
          <w:u w:val="single"/>
        </w:rPr>
        <w:t xml:space="preserve"> for Fiscal Year 2012</w:t>
      </w:r>
      <w:r>
        <w:rPr>
          <w:rFonts w:ascii="Times New Roman" w:hAnsi="Times New Roman" w:cs="Times New Roman"/>
          <w:sz w:val="24"/>
          <w:szCs w:val="24"/>
        </w:rPr>
        <w:t xml:space="preserve">                                                        </w:t>
      </w:r>
      <w:r w:rsidRPr="00317932">
        <w:rPr>
          <w:rFonts w:ascii="Times New Roman" w:hAnsi="Times New Roman" w:cs="Times New Roman"/>
          <w:sz w:val="24"/>
          <w:szCs w:val="24"/>
        </w:rPr>
        <w:t>(in US</w:t>
      </w:r>
      <w:r w:rsidR="00192792">
        <w:rPr>
          <w:rFonts w:ascii="Times New Roman" w:hAnsi="Times New Roman" w:cs="Times New Roman"/>
          <w:sz w:val="24"/>
          <w:szCs w:val="24"/>
        </w:rPr>
        <w:t>$</w:t>
      </w:r>
      <w:r w:rsidRPr="00317932">
        <w:rPr>
          <w:rFonts w:ascii="Times New Roman" w:hAnsi="Times New Roman" w:cs="Times New Roman"/>
          <w:sz w:val="24"/>
          <w:szCs w:val="24"/>
        </w:rPr>
        <w:t>)</w:t>
      </w:r>
    </w:p>
    <w:p w:rsidR="00582732" w:rsidRPr="00582732" w:rsidRDefault="006C4646" w:rsidP="00582732">
      <w:pPr>
        <w:tabs>
          <w:tab w:val="left" w:pos="520"/>
        </w:tabs>
        <w:spacing w:line="240" w:lineRule="auto"/>
        <w:jc w:val="both"/>
        <w:rPr>
          <w:rFonts w:ascii="Times New Roman" w:hAnsi="Times New Roman" w:cs="Times New Roman"/>
          <w:sz w:val="24"/>
          <w:szCs w:val="24"/>
        </w:rPr>
      </w:pPr>
      <w:r>
        <w:rPr>
          <w:rFonts w:ascii="Times New Roman" w:hAnsi="Times New Roman" w:cs="Times New Roman"/>
          <w:noProof/>
          <w:sz w:val="16"/>
          <w:szCs w:val="24"/>
        </w:rPr>
        <mc:AlternateContent>
          <mc:Choice Requires="wps">
            <w:drawing>
              <wp:anchor distT="0" distB="0" distL="114300" distR="114300" simplePos="0" relativeHeight="251669504" behindDoc="0" locked="0" layoutInCell="1" allowOverlap="1" wp14:anchorId="0FC6745E" wp14:editId="4B6B04A0">
                <wp:simplePos x="0" y="0"/>
                <wp:positionH relativeFrom="column">
                  <wp:posOffset>95250</wp:posOffset>
                </wp:positionH>
                <wp:positionV relativeFrom="paragraph">
                  <wp:posOffset>2559050</wp:posOffset>
                </wp:positionV>
                <wp:extent cx="1701800" cy="196850"/>
                <wp:effectExtent l="0" t="0" r="12700" b="12700"/>
                <wp:wrapNone/>
                <wp:docPr id="21" name="Rectangle 21"/>
                <wp:cNvGraphicFramePr/>
                <a:graphic xmlns:a="http://schemas.openxmlformats.org/drawingml/2006/main">
                  <a:graphicData uri="http://schemas.microsoft.com/office/word/2010/wordprocessingShape">
                    <wps:wsp>
                      <wps:cNvSpPr/>
                      <wps:spPr>
                        <a:xfrm>
                          <a:off x="0" y="0"/>
                          <a:ext cx="1701800" cy="1968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C4646" w:rsidRPr="00623FC1" w:rsidRDefault="006C4646" w:rsidP="006C4646">
                            <w:pPr>
                              <w:jc w:val="center"/>
                              <w:rPr>
                                <w:rFonts w:ascii="Times New Roman" w:hAnsi="Times New Roman" w:cs="Times New Roman"/>
                                <w:color w:val="000000" w:themeColor="text1"/>
                                <w:sz w:val="14"/>
                              </w:rPr>
                            </w:pPr>
                            <w:r w:rsidRPr="00623FC1">
                              <w:rPr>
                                <w:rFonts w:ascii="Times New Roman" w:hAnsi="Times New Roman" w:cs="Times New Roman"/>
                                <w:color w:val="000000" w:themeColor="text1"/>
                                <w:sz w:val="12"/>
                              </w:rPr>
                              <w:t xml:space="preserve">Source: </w:t>
                            </w:r>
                            <w:r>
                              <w:rPr>
                                <w:rFonts w:ascii="Times New Roman" w:hAnsi="Times New Roman" w:cs="Times New Roman"/>
                                <w:color w:val="000000" w:themeColor="text1"/>
                                <w:sz w:val="12"/>
                              </w:rPr>
                              <w:t>POSC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1" o:spid="_x0000_s1031" style="position:absolute;left:0;text-align:left;margin-left:7.5pt;margin-top:201.5pt;width:134pt;height:1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" fillcolor="white [3212]" strokecolor="white [3212]" strokeweight="2pt">
                <v:textbox>
                  <w:txbxContent>
                    <w:p w:rsidR="006C4646" w:rsidRPr="00623FC1" w:rsidRDefault="006C4646" w:rsidP="006C4646">
                      <w:pPr>
                        <w:jc w:val="center"/>
                        <w:rPr>
                          <w:rFonts w:ascii="Times New Roman" w:hAnsi="Times New Roman" w:cs="Times New Roman"/>
                          <w:color w:val="000000" w:themeColor="text1"/>
                          <w:sz w:val="14"/>
                        </w:rPr>
                      </w:pPr>
                      <w:r w:rsidRPr="00623FC1">
                        <w:rPr>
                          <w:rFonts w:ascii="Times New Roman" w:hAnsi="Times New Roman" w:cs="Times New Roman"/>
                          <w:color w:val="000000" w:themeColor="text1"/>
                          <w:sz w:val="12"/>
                        </w:rPr>
                        <w:t xml:space="preserve">Source: </w:t>
                      </w:r>
                      <w:r>
                        <w:rPr>
                          <w:rFonts w:ascii="Times New Roman" w:hAnsi="Times New Roman" w:cs="Times New Roman"/>
                          <w:color w:val="000000" w:themeColor="text1"/>
                          <w:sz w:val="12"/>
                        </w:rPr>
                        <w:t>POSC</w:t>
                      </w:r>
                    </w:p>
                  </w:txbxContent>
                </v:textbox>
              </v:rect>
            </w:pict>
          </mc:Fallback>
        </mc:AlternateContent>
      </w:r>
      <w:r w:rsidR="00421D39" w:rsidRPr="00421D39">
        <w:rPr>
          <w:noProof/>
        </w:rPr>
        <w:drawing>
          <wp:inline distT="0" distB="0" distL="0" distR="0" wp14:anchorId="0DA3980F" wp14:editId="580D3424">
            <wp:extent cx="5943600" cy="2702761"/>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943600" cy="2702761"/>
                    </a:xfrm>
                    <a:prstGeom prst="rect">
                      <a:avLst/>
                    </a:prstGeom>
                    <a:noFill/>
                    <a:ln>
                      <a:noFill/>
                    </a:ln>
                  </pic:spPr>
                </pic:pic>
              </a:graphicData>
            </a:graphic>
          </wp:inline>
        </w:drawing>
      </w:r>
    </w:p>
    <w:sectPr w:rsidR="00582732" w:rsidRPr="00582732" w:rsidSect="00ED0B4D">
      <w:headerReference w:type="default" r:id="rId21"/>
      <w:footerReference w:type="default" r:id="rId22"/>
      <w:headerReference w:type="first" r:id="rId23"/>
      <w:pgSz w:w="12240" w:h="15840"/>
      <w:pgMar w:top="1440" w:right="1584" w:bottom="1440" w:left="1584" w:header="720" w:footer="720" w:gutter="0"/>
      <w:pgNumType w:fmt="numberInDash"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1F56" w:rsidRDefault="005A1F56" w:rsidP="005A1F56">
      <w:pPr>
        <w:spacing w:after="0" w:line="240" w:lineRule="auto"/>
      </w:pPr>
      <w:r>
        <w:separator/>
      </w:r>
    </w:p>
  </w:endnote>
  <w:endnote w:type="continuationSeparator" w:id="0">
    <w:p w:rsidR="005A1F56" w:rsidRDefault="005A1F56" w:rsidP="005A1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2C6C" w:rsidRPr="00142C6C" w:rsidRDefault="00142C6C">
    <w:pPr>
      <w:pStyle w:val="Footer"/>
      <w:jc w:val="center"/>
      <w:rPr>
        <w:rFonts w:ascii="Times New Roman" w:hAnsi="Times New Roman" w:cs="Times New Roman"/>
        <w:sz w:val="24"/>
        <w:szCs w:val="24"/>
      </w:rPr>
    </w:pPr>
  </w:p>
  <w:p w:rsidR="00142C6C" w:rsidRDefault="00142C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1F56" w:rsidRDefault="005A1F56" w:rsidP="005A1F56">
      <w:pPr>
        <w:spacing w:after="0" w:line="240" w:lineRule="auto"/>
      </w:pPr>
      <w:r>
        <w:separator/>
      </w:r>
    </w:p>
  </w:footnote>
  <w:footnote w:type="continuationSeparator" w:id="0">
    <w:p w:rsidR="005A1F56" w:rsidRDefault="005A1F56" w:rsidP="005A1F56">
      <w:pPr>
        <w:spacing w:after="0" w:line="240" w:lineRule="auto"/>
      </w:pPr>
      <w:r>
        <w:continuationSeparator/>
      </w:r>
    </w:p>
  </w:footnote>
  <w:footnote w:id="1">
    <w:p w:rsidR="001B5F6A" w:rsidRDefault="001B5F6A" w:rsidP="00903325">
      <w:pPr>
        <w:pStyle w:val="FootnoteText"/>
        <w:jc w:val="both"/>
        <w:rPr>
          <w:rFonts w:ascii="Times New Roman" w:hAnsi="Times New Roman" w:cs="Times New Roman"/>
          <w:i/>
          <w:sz w:val="18"/>
          <w:szCs w:val="18"/>
        </w:rPr>
      </w:pPr>
      <w:r>
        <w:rPr>
          <w:rStyle w:val="FootnoteReference"/>
        </w:rPr>
        <w:footnoteRef/>
      </w:r>
      <w:r>
        <w:t xml:space="preserve"> </w:t>
      </w:r>
      <w:r w:rsidRPr="001B5F6A">
        <w:rPr>
          <w:rFonts w:ascii="Times New Roman" w:hAnsi="Times New Roman" w:cs="Times New Roman"/>
          <w:sz w:val="18"/>
          <w:szCs w:val="18"/>
        </w:rPr>
        <w:t xml:space="preserve">NIDCO’s Vision: </w:t>
      </w:r>
      <w:r>
        <w:rPr>
          <w:rFonts w:ascii="Times New Roman" w:hAnsi="Times New Roman" w:cs="Times New Roman"/>
          <w:i/>
          <w:sz w:val="18"/>
          <w:szCs w:val="18"/>
        </w:rPr>
        <w:t>“</w:t>
      </w:r>
      <w:r w:rsidRPr="001B5F6A">
        <w:rPr>
          <w:rFonts w:ascii="Times New Roman" w:hAnsi="Times New Roman" w:cs="Times New Roman"/>
          <w:i/>
          <w:sz w:val="18"/>
          <w:szCs w:val="18"/>
        </w:rPr>
        <w:t xml:space="preserve">To create a premier project management organization with competencies responsive to the delivery of strategic infrastructure projects, always mindful of our stakeholder’s best interest and the impact of our work on the </w:t>
      </w:r>
      <w:r>
        <w:rPr>
          <w:rFonts w:ascii="Times New Roman" w:hAnsi="Times New Roman" w:cs="Times New Roman"/>
          <w:i/>
          <w:sz w:val="18"/>
          <w:szCs w:val="18"/>
        </w:rPr>
        <w:t>environment.</w:t>
      </w:r>
      <w:r w:rsidRPr="001B5F6A">
        <w:rPr>
          <w:rFonts w:ascii="Times New Roman" w:hAnsi="Times New Roman" w:cs="Times New Roman"/>
          <w:i/>
          <w:sz w:val="18"/>
          <w:szCs w:val="18"/>
        </w:rPr>
        <w:t>”</w:t>
      </w:r>
    </w:p>
    <w:p w:rsidR="001B5F6A" w:rsidRPr="001B5F6A" w:rsidRDefault="001B5F6A" w:rsidP="00903325">
      <w:pPr>
        <w:pStyle w:val="FootnoteText"/>
        <w:jc w:val="both"/>
        <w:rPr>
          <w:rFonts w:ascii="Times New Roman" w:hAnsi="Times New Roman" w:cs="Times New Roman"/>
          <w:i/>
          <w:sz w:val="18"/>
          <w:szCs w:val="18"/>
        </w:rPr>
      </w:pPr>
    </w:p>
  </w:footnote>
  <w:footnote w:id="2">
    <w:p w:rsidR="006A3969" w:rsidRPr="00FF20E0" w:rsidRDefault="006A3969" w:rsidP="00903325">
      <w:pPr>
        <w:pStyle w:val="FootnoteText"/>
        <w:jc w:val="both"/>
        <w:rPr>
          <w:rFonts w:ascii="Times New Roman" w:hAnsi="Times New Roman" w:cs="Times New Roman"/>
          <w:i/>
          <w:sz w:val="18"/>
          <w:szCs w:val="18"/>
        </w:rPr>
      </w:pPr>
      <w:r>
        <w:rPr>
          <w:rStyle w:val="FootnoteReference"/>
        </w:rPr>
        <w:footnoteRef/>
      </w:r>
      <w:r>
        <w:t xml:space="preserve"> </w:t>
      </w:r>
      <w:r w:rsidRPr="00FF20E0">
        <w:rPr>
          <w:rFonts w:ascii="Times New Roman" w:hAnsi="Times New Roman" w:cs="Times New Roman"/>
          <w:sz w:val="18"/>
          <w:szCs w:val="18"/>
        </w:rPr>
        <w:t>NIDCO</w:t>
      </w:r>
      <w:r w:rsidR="00376B5C">
        <w:rPr>
          <w:rFonts w:ascii="Times New Roman" w:hAnsi="Times New Roman" w:cs="Times New Roman"/>
          <w:sz w:val="18"/>
          <w:szCs w:val="18"/>
        </w:rPr>
        <w:t>’s</w:t>
      </w:r>
      <w:r w:rsidRPr="00FF20E0">
        <w:rPr>
          <w:rFonts w:ascii="Times New Roman" w:hAnsi="Times New Roman" w:cs="Times New Roman"/>
          <w:sz w:val="18"/>
          <w:szCs w:val="18"/>
        </w:rPr>
        <w:t xml:space="preserve"> Mission: </w:t>
      </w:r>
      <w:r w:rsidRPr="00FF20E0">
        <w:rPr>
          <w:rFonts w:ascii="Times New Roman" w:hAnsi="Times New Roman" w:cs="Times New Roman"/>
          <w:i/>
          <w:sz w:val="18"/>
          <w:szCs w:val="18"/>
        </w:rPr>
        <w:t xml:space="preserve">“ </w:t>
      </w:r>
      <w:r w:rsidR="00445BBE" w:rsidRPr="00FF20E0">
        <w:rPr>
          <w:rFonts w:ascii="Times New Roman" w:hAnsi="Times New Roman" w:cs="Times New Roman"/>
          <w:i/>
          <w:sz w:val="18"/>
          <w:szCs w:val="18"/>
        </w:rPr>
        <w:t>To fulfill our role as the leading project executing agency, through a philosophy of managing our business with the highest ethical standards providing optimal quality and value, while acting in a response manner with our employees, our stakeholders and environmental policies.”</w:t>
      </w:r>
    </w:p>
  </w:footnote>
  <w:footnote w:id="3">
    <w:p w:rsidR="003118AA" w:rsidRDefault="003118AA">
      <w:pPr>
        <w:pStyle w:val="FootnoteText"/>
      </w:pPr>
      <w:r>
        <w:rPr>
          <w:rStyle w:val="FootnoteReference"/>
        </w:rPr>
        <w:footnoteRef/>
      </w:r>
      <w:r>
        <w:t xml:space="preserve"> </w:t>
      </w:r>
      <w:r w:rsidRPr="003118AA">
        <w:rPr>
          <w:rFonts w:ascii="Times New Roman" w:hAnsi="Times New Roman" w:cs="Times New Roman"/>
        </w:rPr>
        <w:t>Financial year ends at 30 September</w:t>
      </w:r>
      <w:r w:rsidR="00903325">
        <w:rPr>
          <w:rFonts w:ascii="Times New Roman" w:hAnsi="Times New Roman" w:cs="Times New Roman"/>
        </w:rPr>
        <w:t>.</w:t>
      </w:r>
    </w:p>
  </w:footnote>
  <w:footnote w:id="4">
    <w:p w:rsidR="00913652" w:rsidRDefault="00913652">
      <w:pPr>
        <w:pStyle w:val="FootnoteText"/>
      </w:pPr>
      <w:r>
        <w:rPr>
          <w:rStyle w:val="FootnoteReference"/>
        </w:rPr>
        <w:footnoteRef/>
      </w:r>
      <w:r>
        <w:t xml:space="preserve"> </w:t>
      </w:r>
      <w:r w:rsidRPr="00913652">
        <w:rPr>
          <w:rFonts w:ascii="Times New Roman" w:hAnsi="Times New Roman" w:cs="Times New Roman"/>
        </w:rPr>
        <w:t>TT$: Trinidad and Tobago Dollar</w:t>
      </w:r>
      <w:r w:rsidR="00903325">
        <w:rPr>
          <w:rFonts w:ascii="Times New Roman" w:hAnsi="Times New Roman" w:cs="Times New Roman"/>
        </w:rPr>
        <w:t>.</w:t>
      </w:r>
    </w:p>
  </w:footnote>
  <w:footnote w:id="5">
    <w:p w:rsidR="008D1F5D" w:rsidRDefault="008D1F5D">
      <w:pPr>
        <w:pStyle w:val="FootnoteText"/>
      </w:pPr>
      <w:r>
        <w:rPr>
          <w:rStyle w:val="FootnoteReference"/>
        </w:rPr>
        <w:footnoteRef/>
      </w:r>
      <w:r>
        <w:t xml:space="preserve"> </w:t>
      </w:r>
      <w:r w:rsidRPr="008D1F5D">
        <w:rPr>
          <w:rFonts w:ascii="Times New Roman" w:hAnsi="Times New Roman" w:cs="Times New Roman"/>
        </w:rPr>
        <w:t>Cost Coverage Ratio = Operational Revenues / Operational Expenses</w:t>
      </w:r>
      <w:r w:rsidR="00A770EF">
        <w:rPr>
          <w:rFonts w:ascii="Times New Roman" w:hAnsi="Times New Roman" w:cs="Times New Roman"/>
        </w:rPr>
        <w:t>.</w:t>
      </w:r>
    </w:p>
  </w:footnote>
  <w:footnote w:id="6">
    <w:p w:rsidR="00B71F3C" w:rsidRDefault="00B71F3C" w:rsidP="00192792">
      <w:pPr>
        <w:pStyle w:val="FootnoteText"/>
        <w:jc w:val="both"/>
      </w:pPr>
      <w:r>
        <w:rPr>
          <w:rStyle w:val="FootnoteReference"/>
        </w:rPr>
        <w:footnoteRef/>
      </w:r>
      <w:r>
        <w:t xml:space="preserve"> </w:t>
      </w:r>
      <w:r w:rsidRPr="00B71F3C">
        <w:rPr>
          <w:rFonts w:ascii="Times New Roman" w:hAnsi="Times New Roman" w:cs="Times New Roman"/>
        </w:rPr>
        <w:t>WASA: Water and Sewerage Authority (WASA) was established by an Act of Parliament in 1965 to manage the water and sewerage sector of Trinidad and Tobago. An essential component of this mandate is the delivery of a safe, reliable and efficient water supply to satisfy the demand of all sectors of the economy.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0B4D" w:rsidRPr="00ED0B4D" w:rsidRDefault="00ED0B4D" w:rsidP="00ED0B4D">
    <w:pPr>
      <w:pStyle w:val="Header"/>
      <w:ind w:left="7200"/>
      <w:rPr>
        <w:rFonts w:ascii="Times New Roman" w:hAnsi="Times New Roman" w:cs="Times New Roman"/>
      </w:rPr>
    </w:pPr>
    <w:r w:rsidRPr="00ED0B4D">
      <w:rPr>
        <w:rFonts w:ascii="Times New Roman" w:hAnsi="Times New Roman" w:cs="Times New Roman"/>
      </w:rPr>
      <w:t>TT-L1036</w:t>
    </w:r>
  </w:p>
  <w:p w:rsidR="00ED0B4D" w:rsidRPr="00ED0B4D" w:rsidRDefault="00ED0B4D" w:rsidP="00ED0B4D">
    <w:pPr>
      <w:pStyle w:val="Header"/>
      <w:ind w:left="7200"/>
      <w:rPr>
        <w:rFonts w:ascii="Times New Roman" w:hAnsi="Times New Roman" w:cs="Times New Roman"/>
      </w:rPr>
    </w:pPr>
    <w:sdt>
      <w:sdtPr>
        <w:rPr>
          <w:rFonts w:ascii="Times New Roman" w:hAnsi="Times New Roman" w:cs="Times New Roman"/>
        </w:rPr>
        <w:id w:val="62926754"/>
        <w:docPartObj>
          <w:docPartGallery w:val="Page Numbers (Top of Page)"/>
          <w:docPartUnique/>
        </w:docPartObj>
      </w:sdtPr>
      <w:sdtContent>
        <w:r w:rsidRPr="00ED0B4D">
          <w:rPr>
            <w:rFonts w:ascii="Times New Roman" w:hAnsi="Times New Roman" w:cs="Times New Roman"/>
          </w:rPr>
          <w:t xml:space="preserve">Page </w:t>
        </w:r>
        <w:r w:rsidRPr="00ED0B4D">
          <w:rPr>
            <w:rFonts w:ascii="Times New Roman" w:hAnsi="Times New Roman" w:cs="Times New Roman"/>
            <w:bCs/>
          </w:rPr>
          <w:fldChar w:fldCharType="begin"/>
        </w:r>
        <w:r w:rsidRPr="00ED0B4D">
          <w:rPr>
            <w:rFonts w:ascii="Times New Roman" w:hAnsi="Times New Roman" w:cs="Times New Roman"/>
            <w:bCs/>
          </w:rPr>
          <w:instrText xml:space="preserve"> PAGE </w:instrText>
        </w:r>
        <w:r w:rsidRPr="00ED0B4D">
          <w:rPr>
            <w:rFonts w:ascii="Times New Roman" w:hAnsi="Times New Roman" w:cs="Times New Roman"/>
            <w:bCs/>
          </w:rPr>
          <w:fldChar w:fldCharType="separate"/>
        </w:r>
        <w:r w:rsidR="00376B5C">
          <w:rPr>
            <w:rFonts w:ascii="Times New Roman" w:hAnsi="Times New Roman" w:cs="Times New Roman"/>
            <w:bCs/>
            <w:noProof/>
          </w:rPr>
          <w:t>- 2 -</w:t>
        </w:r>
        <w:r w:rsidRPr="00ED0B4D">
          <w:rPr>
            <w:rFonts w:ascii="Times New Roman" w:hAnsi="Times New Roman" w:cs="Times New Roman"/>
            <w:bCs/>
          </w:rPr>
          <w:fldChar w:fldCharType="end"/>
        </w:r>
        <w:r w:rsidRPr="00ED0B4D">
          <w:rPr>
            <w:rFonts w:ascii="Times New Roman" w:hAnsi="Times New Roman" w:cs="Times New Roman"/>
          </w:rPr>
          <w:t xml:space="preserve"> of </w:t>
        </w:r>
        <w:r w:rsidRPr="00ED0B4D">
          <w:rPr>
            <w:rFonts w:ascii="Times New Roman" w:hAnsi="Times New Roman" w:cs="Times New Roman"/>
            <w:bCs/>
          </w:rPr>
          <w:fldChar w:fldCharType="begin"/>
        </w:r>
        <w:r w:rsidRPr="00ED0B4D">
          <w:rPr>
            <w:rFonts w:ascii="Times New Roman" w:hAnsi="Times New Roman" w:cs="Times New Roman"/>
            <w:bCs/>
          </w:rPr>
          <w:instrText xml:space="preserve"> NUMPAGES  </w:instrText>
        </w:r>
        <w:r w:rsidRPr="00ED0B4D">
          <w:rPr>
            <w:rFonts w:ascii="Times New Roman" w:hAnsi="Times New Roman" w:cs="Times New Roman"/>
            <w:bCs/>
          </w:rPr>
          <w:fldChar w:fldCharType="separate"/>
        </w:r>
        <w:r w:rsidR="00376B5C">
          <w:rPr>
            <w:rFonts w:ascii="Times New Roman" w:hAnsi="Times New Roman" w:cs="Times New Roman"/>
            <w:bCs/>
            <w:noProof/>
          </w:rPr>
          <w:t>22</w:t>
        </w:r>
        <w:r w:rsidRPr="00ED0B4D">
          <w:rPr>
            <w:rFonts w:ascii="Times New Roman" w:hAnsi="Times New Roman" w:cs="Times New Roman"/>
            <w:bCs/>
          </w:rPr>
          <w:fldChar w:fldCharType="end"/>
        </w:r>
      </w:sdtContent>
    </w:sdt>
  </w:p>
  <w:p w:rsidR="005A1F56" w:rsidRPr="005266AB" w:rsidRDefault="005A1F56" w:rsidP="005A1F56">
    <w:pPr>
      <w:pStyle w:val="Header"/>
      <w:jc w:val="right"/>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0B4D" w:rsidRPr="00ED0B4D" w:rsidRDefault="00ED0B4D" w:rsidP="00ED0B4D">
    <w:pPr>
      <w:pStyle w:val="Header"/>
      <w:ind w:left="7200"/>
      <w:rPr>
        <w:rFonts w:ascii="Times New Roman" w:hAnsi="Times New Roman" w:cs="Times New Roman"/>
      </w:rPr>
    </w:pPr>
    <w:r w:rsidRPr="00ED0B4D">
      <w:rPr>
        <w:rFonts w:ascii="Times New Roman" w:hAnsi="Times New Roman" w:cs="Times New Roman"/>
      </w:rPr>
      <w:t>TT-L1036</w:t>
    </w:r>
  </w:p>
  <w:p w:rsidR="00ED0B4D" w:rsidRPr="00ED0B4D" w:rsidRDefault="00ED0B4D" w:rsidP="00ED0B4D">
    <w:pPr>
      <w:pStyle w:val="Header"/>
      <w:ind w:left="7200"/>
      <w:rPr>
        <w:rFonts w:ascii="Times New Roman" w:hAnsi="Times New Roman" w:cs="Times New Roman"/>
      </w:rPr>
    </w:pPr>
    <w:sdt>
      <w:sdtPr>
        <w:rPr>
          <w:rFonts w:ascii="Times New Roman" w:hAnsi="Times New Roman" w:cs="Times New Roman"/>
        </w:rPr>
        <w:id w:val="1168209085"/>
        <w:docPartObj>
          <w:docPartGallery w:val="Page Numbers (Top of Page)"/>
          <w:docPartUnique/>
        </w:docPartObj>
      </w:sdtPr>
      <w:sdtContent>
        <w:r w:rsidRPr="00ED0B4D">
          <w:rPr>
            <w:rFonts w:ascii="Times New Roman" w:hAnsi="Times New Roman" w:cs="Times New Roman"/>
          </w:rPr>
          <w:t xml:space="preserve">Page </w:t>
        </w:r>
        <w:r>
          <w:rPr>
            <w:rFonts w:ascii="Times New Roman" w:hAnsi="Times New Roman" w:cs="Times New Roman"/>
            <w:bCs/>
          </w:rPr>
          <w:t>1</w:t>
        </w:r>
        <w:r w:rsidRPr="00ED0B4D">
          <w:rPr>
            <w:rFonts w:ascii="Times New Roman" w:hAnsi="Times New Roman" w:cs="Times New Roman"/>
          </w:rPr>
          <w:t xml:space="preserve"> of </w:t>
        </w:r>
        <w:r w:rsidRPr="00ED0B4D">
          <w:rPr>
            <w:rFonts w:ascii="Times New Roman" w:hAnsi="Times New Roman" w:cs="Times New Roman"/>
            <w:bCs/>
          </w:rPr>
          <w:fldChar w:fldCharType="begin"/>
        </w:r>
        <w:r w:rsidRPr="00ED0B4D">
          <w:rPr>
            <w:rFonts w:ascii="Times New Roman" w:hAnsi="Times New Roman" w:cs="Times New Roman"/>
            <w:bCs/>
          </w:rPr>
          <w:instrText xml:space="preserve"> NUMPAGES  </w:instrText>
        </w:r>
        <w:r w:rsidRPr="00ED0B4D">
          <w:rPr>
            <w:rFonts w:ascii="Times New Roman" w:hAnsi="Times New Roman" w:cs="Times New Roman"/>
            <w:bCs/>
          </w:rPr>
          <w:fldChar w:fldCharType="separate"/>
        </w:r>
        <w:r w:rsidR="00376B5C">
          <w:rPr>
            <w:rFonts w:ascii="Times New Roman" w:hAnsi="Times New Roman" w:cs="Times New Roman"/>
            <w:bCs/>
            <w:noProof/>
          </w:rPr>
          <w:t>22</w:t>
        </w:r>
        <w:r w:rsidRPr="00ED0B4D">
          <w:rPr>
            <w:rFonts w:ascii="Times New Roman" w:hAnsi="Times New Roman" w:cs="Times New Roman"/>
            <w:bCs/>
          </w:rPr>
          <w:fldChar w:fldCharType="end"/>
        </w:r>
      </w:sdtContent>
    </w:sdt>
  </w:p>
  <w:p w:rsidR="00ED0B4D" w:rsidRDefault="00ED0B4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F2FBC"/>
    <w:multiLevelType w:val="multilevel"/>
    <w:tmpl w:val="14C8A09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44184A"/>
    <w:multiLevelType w:val="hybridMultilevel"/>
    <w:tmpl w:val="FB547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DB01FA"/>
    <w:multiLevelType w:val="multilevel"/>
    <w:tmpl w:val="3162007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1A8E6779"/>
    <w:multiLevelType w:val="hybridMultilevel"/>
    <w:tmpl w:val="C8EEFD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20D0006A"/>
    <w:multiLevelType w:val="multilevel"/>
    <w:tmpl w:val="05841662"/>
    <w:lvl w:ilvl="0">
      <w:start w:val="3"/>
      <w:numFmt w:val="decimal"/>
      <w:lvlText w:val="%1"/>
      <w:lvlJc w:val="left"/>
      <w:pPr>
        <w:ind w:left="360" w:hanging="360"/>
      </w:pPr>
      <w:rPr>
        <w:rFonts w:hint="default"/>
      </w:rPr>
    </w:lvl>
    <w:lvl w:ilvl="1">
      <w:start w:val="1"/>
      <w:numFmt w:val="decimal"/>
      <w:lvlText w:val="%1.%2"/>
      <w:lvlJc w:val="left"/>
      <w:pPr>
        <w:ind w:left="2160" w:hanging="36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080" w:hanging="108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040" w:hanging="1440"/>
      </w:pPr>
      <w:rPr>
        <w:rFonts w:hint="default"/>
      </w:rPr>
    </w:lvl>
    <w:lvl w:ilvl="8">
      <w:start w:val="1"/>
      <w:numFmt w:val="decimal"/>
      <w:lvlText w:val="%1.%2.%3.%4.%5.%6.%7.%8.%9"/>
      <w:lvlJc w:val="left"/>
      <w:pPr>
        <w:ind w:left="16200" w:hanging="1800"/>
      </w:pPr>
      <w:rPr>
        <w:rFonts w:hint="default"/>
      </w:rPr>
    </w:lvl>
  </w:abstractNum>
  <w:abstractNum w:abstractNumId="5">
    <w:nsid w:val="2FFF7E58"/>
    <w:multiLevelType w:val="hybridMultilevel"/>
    <w:tmpl w:val="83606684"/>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6">
    <w:nsid w:val="31500B98"/>
    <w:multiLevelType w:val="multilevel"/>
    <w:tmpl w:val="D7DA7CE2"/>
    <w:lvl w:ilvl="0">
      <w:start w:val="1"/>
      <w:numFmt w:val="upperRoman"/>
      <w:lvlText w:val="%1."/>
      <w:lvlJc w:val="left"/>
      <w:pPr>
        <w:ind w:left="1080" w:hanging="72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31E2755A"/>
    <w:multiLevelType w:val="hybridMultilevel"/>
    <w:tmpl w:val="C1D47B0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375E5ECA"/>
    <w:multiLevelType w:val="hybridMultilevel"/>
    <w:tmpl w:val="77240E5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38304B79"/>
    <w:multiLevelType w:val="multilevel"/>
    <w:tmpl w:val="3162007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nsid w:val="3D4A7CC5"/>
    <w:multiLevelType w:val="hybridMultilevel"/>
    <w:tmpl w:val="B538B932"/>
    <w:lvl w:ilvl="0" w:tplc="04090005">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1">
    <w:nsid w:val="3F2A66B1"/>
    <w:multiLevelType w:val="multilevel"/>
    <w:tmpl w:val="CDC24BE0"/>
    <w:lvl w:ilvl="0">
      <w:start w:val="2"/>
      <w:numFmt w:val="decimal"/>
      <w:lvlText w:val="%1"/>
      <w:lvlJc w:val="left"/>
      <w:pPr>
        <w:ind w:left="360" w:hanging="360"/>
      </w:pPr>
      <w:rPr>
        <w:rFonts w:hint="default"/>
      </w:rPr>
    </w:lvl>
    <w:lvl w:ilvl="1">
      <w:start w:val="1"/>
      <w:numFmt w:val="decimal"/>
      <w:lvlText w:val="%1.%2"/>
      <w:lvlJc w:val="left"/>
      <w:pPr>
        <w:ind w:left="2160" w:hanging="36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080" w:hanging="108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040" w:hanging="1440"/>
      </w:pPr>
      <w:rPr>
        <w:rFonts w:hint="default"/>
      </w:rPr>
    </w:lvl>
    <w:lvl w:ilvl="8">
      <w:start w:val="1"/>
      <w:numFmt w:val="decimal"/>
      <w:lvlText w:val="%1.%2.%3.%4.%5.%6.%7.%8.%9"/>
      <w:lvlJc w:val="left"/>
      <w:pPr>
        <w:ind w:left="16200" w:hanging="1800"/>
      </w:pPr>
      <w:rPr>
        <w:rFonts w:hint="default"/>
      </w:rPr>
    </w:lvl>
  </w:abstractNum>
  <w:abstractNum w:abstractNumId="12">
    <w:nsid w:val="3FA97C60"/>
    <w:multiLevelType w:val="hybridMultilevel"/>
    <w:tmpl w:val="935A61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44163864"/>
    <w:multiLevelType w:val="hybridMultilevel"/>
    <w:tmpl w:val="05BA0446"/>
    <w:lvl w:ilvl="0" w:tplc="A44C675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925655A"/>
    <w:multiLevelType w:val="multilevel"/>
    <w:tmpl w:val="3162007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nsid w:val="4D32440E"/>
    <w:multiLevelType w:val="hybridMultilevel"/>
    <w:tmpl w:val="897CC998"/>
    <w:lvl w:ilvl="0" w:tplc="459495A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EFC62EC"/>
    <w:multiLevelType w:val="hybridMultilevel"/>
    <w:tmpl w:val="371E0782"/>
    <w:lvl w:ilvl="0" w:tplc="0CBC0DB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57828F1"/>
    <w:multiLevelType w:val="hybridMultilevel"/>
    <w:tmpl w:val="B0288DC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577C7AC3"/>
    <w:multiLevelType w:val="hybridMultilevel"/>
    <w:tmpl w:val="9ECEACD2"/>
    <w:lvl w:ilvl="0" w:tplc="04090001">
      <w:start w:val="1"/>
      <w:numFmt w:val="bullet"/>
      <w:lvlText w:val=""/>
      <w:lvlJc w:val="left"/>
      <w:pPr>
        <w:ind w:left="902" w:hanging="360"/>
      </w:pPr>
      <w:rPr>
        <w:rFonts w:ascii="Symbol" w:hAnsi="Symbol" w:hint="default"/>
      </w:rPr>
    </w:lvl>
    <w:lvl w:ilvl="1" w:tplc="04090003" w:tentative="1">
      <w:start w:val="1"/>
      <w:numFmt w:val="bullet"/>
      <w:lvlText w:val="o"/>
      <w:lvlJc w:val="left"/>
      <w:pPr>
        <w:ind w:left="1622" w:hanging="360"/>
      </w:pPr>
      <w:rPr>
        <w:rFonts w:ascii="Courier New" w:hAnsi="Courier New" w:cs="Courier New" w:hint="default"/>
      </w:rPr>
    </w:lvl>
    <w:lvl w:ilvl="2" w:tplc="04090005" w:tentative="1">
      <w:start w:val="1"/>
      <w:numFmt w:val="bullet"/>
      <w:lvlText w:val=""/>
      <w:lvlJc w:val="left"/>
      <w:pPr>
        <w:ind w:left="2342" w:hanging="360"/>
      </w:pPr>
      <w:rPr>
        <w:rFonts w:ascii="Wingdings" w:hAnsi="Wingdings" w:hint="default"/>
      </w:rPr>
    </w:lvl>
    <w:lvl w:ilvl="3" w:tplc="04090001" w:tentative="1">
      <w:start w:val="1"/>
      <w:numFmt w:val="bullet"/>
      <w:lvlText w:val=""/>
      <w:lvlJc w:val="left"/>
      <w:pPr>
        <w:ind w:left="3062" w:hanging="360"/>
      </w:pPr>
      <w:rPr>
        <w:rFonts w:ascii="Symbol" w:hAnsi="Symbol" w:hint="default"/>
      </w:rPr>
    </w:lvl>
    <w:lvl w:ilvl="4" w:tplc="04090003" w:tentative="1">
      <w:start w:val="1"/>
      <w:numFmt w:val="bullet"/>
      <w:lvlText w:val="o"/>
      <w:lvlJc w:val="left"/>
      <w:pPr>
        <w:ind w:left="3782" w:hanging="360"/>
      </w:pPr>
      <w:rPr>
        <w:rFonts w:ascii="Courier New" w:hAnsi="Courier New" w:cs="Courier New" w:hint="default"/>
      </w:rPr>
    </w:lvl>
    <w:lvl w:ilvl="5" w:tplc="04090005" w:tentative="1">
      <w:start w:val="1"/>
      <w:numFmt w:val="bullet"/>
      <w:lvlText w:val=""/>
      <w:lvlJc w:val="left"/>
      <w:pPr>
        <w:ind w:left="4502" w:hanging="360"/>
      </w:pPr>
      <w:rPr>
        <w:rFonts w:ascii="Wingdings" w:hAnsi="Wingdings" w:hint="default"/>
      </w:rPr>
    </w:lvl>
    <w:lvl w:ilvl="6" w:tplc="04090001" w:tentative="1">
      <w:start w:val="1"/>
      <w:numFmt w:val="bullet"/>
      <w:lvlText w:val=""/>
      <w:lvlJc w:val="left"/>
      <w:pPr>
        <w:ind w:left="5222" w:hanging="360"/>
      </w:pPr>
      <w:rPr>
        <w:rFonts w:ascii="Symbol" w:hAnsi="Symbol" w:hint="default"/>
      </w:rPr>
    </w:lvl>
    <w:lvl w:ilvl="7" w:tplc="04090003" w:tentative="1">
      <w:start w:val="1"/>
      <w:numFmt w:val="bullet"/>
      <w:lvlText w:val="o"/>
      <w:lvlJc w:val="left"/>
      <w:pPr>
        <w:ind w:left="5942" w:hanging="360"/>
      </w:pPr>
      <w:rPr>
        <w:rFonts w:ascii="Courier New" w:hAnsi="Courier New" w:cs="Courier New" w:hint="default"/>
      </w:rPr>
    </w:lvl>
    <w:lvl w:ilvl="8" w:tplc="04090005" w:tentative="1">
      <w:start w:val="1"/>
      <w:numFmt w:val="bullet"/>
      <w:lvlText w:val=""/>
      <w:lvlJc w:val="left"/>
      <w:pPr>
        <w:ind w:left="6662" w:hanging="360"/>
      </w:pPr>
      <w:rPr>
        <w:rFonts w:ascii="Wingdings" w:hAnsi="Wingdings" w:hint="default"/>
      </w:rPr>
    </w:lvl>
  </w:abstractNum>
  <w:abstractNum w:abstractNumId="19">
    <w:nsid w:val="5E966A17"/>
    <w:multiLevelType w:val="multilevel"/>
    <w:tmpl w:val="9E6C40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48F07A5"/>
    <w:multiLevelType w:val="multilevel"/>
    <w:tmpl w:val="D7DA7CE2"/>
    <w:lvl w:ilvl="0">
      <w:start w:val="1"/>
      <w:numFmt w:val="upperRoman"/>
      <w:lvlText w:val="%1."/>
      <w:lvlJc w:val="left"/>
      <w:pPr>
        <w:ind w:left="1080" w:hanging="72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nsid w:val="732D534E"/>
    <w:multiLevelType w:val="hybridMultilevel"/>
    <w:tmpl w:val="CAA48070"/>
    <w:lvl w:ilvl="0" w:tplc="272E625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E250F8"/>
    <w:multiLevelType w:val="hybridMultilevel"/>
    <w:tmpl w:val="425049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5A03B8E"/>
    <w:multiLevelType w:val="multilevel"/>
    <w:tmpl w:val="FF32F064"/>
    <w:lvl w:ilvl="0">
      <w:start w:val="1"/>
      <w:numFmt w:val="decimal"/>
      <w:lvlText w:val="%1"/>
      <w:lvlJc w:val="left"/>
      <w:pPr>
        <w:ind w:left="480" w:hanging="480"/>
      </w:pPr>
      <w:rPr>
        <w:rFonts w:hint="default"/>
      </w:rPr>
    </w:lvl>
    <w:lvl w:ilvl="1">
      <w:start w:val="3"/>
      <w:numFmt w:val="decimal"/>
      <w:lvlText w:val="%1.%2"/>
      <w:lvlJc w:val="left"/>
      <w:pPr>
        <w:ind w:left="1200" w:hanging="480"/>
      </w:pPr>
      <w:rPr>
        <w:rFonts w:hint="default"/>
      </w:rPr>
    </w:lvl>
    <w:lvl w:ilvl="2">
      <w:start w:val="3"/>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nsid w:val="7624240B"/>
    <w:multiLevelType w:val="hybridMultilevel"/>
    <w:tmpl w:val="0C1CD13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4"/>
  </w:num>
  <w:num w:numId="2">
    <w:abstractNumId w:val="13"/>
  </w:num>
  <w:num w:numId="3">
    <w:abstractNumId w:val="9"/>
  </w:num>
  <w:num w:numId="4">
    <w:abstractNumId w:val="11"/>
  </w:num>
  <w:num w:numId="5">
    <w:abstractNumId w:val="22"/>
  </w:num>
  <w:num w:numId="6">
    <w:abstractNumId w:val="3"/>
  </w:num>
  <w:num w:numId="7">
    <w:abstractNumId w:val="12"/>
  </w:num>
  <w:num w:numId="8">
    <w:abstractNumId w:val="5"/>
  </w:num>
  <w:num w:numId="9">
    <w:abstractNumId w:val="18"/>
  </w:num>
  <w:num w:numId="10">
    <w:abstractNumId w:val="4"/>
  </w:num>
  <w:num w:numId="11">
    <w:abstractNumId w:val="7"/>
  </w:num>
  <w:num w:numId="12">
    <w:abstractNumId w:val="17"/>
  </w:num>
  <w:num w:numId="13">
    <w:abstractNumId w:val="24"/>
  </w:num>
  <w:num w:numId="14">
    <w:abstractNumId w:val="8"/>
  </w:num>
  <w:num w:numId="15">
    <w:abstractNumId w:val="10"/>
  </w:num>
  <w:num w:numId="16">
    <w:abstractNumId w:val="1"/>
  </w:num>
  <w:num w:numId="17">
    <w:abstractNumId w:val="0"/>
  </w:num>
  <w:num w:numId="18">
    <w:abstractNumId w:val="2"/>
  </w:num>
  <w:num w:numId="19">
    <w:abstractNumId w:val="21"/>
  </w:num>
  <w:num w:numId="20">
    <w:abstractNumId w:val="16"/>
  </w:num>
  <w:num w:numId="21">
    <w:abstractNumId w:val="6"/>
  </w:num>
  <w:num w:numId="22">
    <w:abstractNumId w:val="23"/>
  </w:num>
  <w:num w:numId="23">
    <w:abstractNumId w:val="19"/>
  </w:num>
  <w:num w:numId="24">
    <w:abstractNumId w:val="15"/>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DF2"/>
    <w:rsid w:val="000156B8"/>
    <w:rsid w:val="0001677C"/>
    <w:rsid w:val="00016A09"/>
    <w:rsid w:val="00017DD9"/>
    <w:rsid w:val="00021F52"/>
    <w:rsid w:val="000379DC"/>
    <w:rsid w:val="00050FC8"/>
    <w:rsid w:val="000560D5"/>
    <w:rsid w:val="00064CAE"/>
    <w:rsid w:val="00086C28"/>
    <w:rsid w:val="00093494"/>
    <w:rsid w:val="00095C2B"/>
    <w:rsid w:val="000B6176"/>
    <w:rsid w:val="000B7BFC"/>
    <w:rsid w:val="000C3DB6"/>
    <w:rsid w:val="000D217B"/>
    <w:rsid w:val="000D27B7"/>
    <w:rsid w:val="000E2C32"/>
    <w:rsid w:val="000F04A0"/>
    <w:rsid w:val="000F77A8"/>
    <w:rsid w:val="00102104"/>
    <w:rsid w:val="001132C1"/>
    <w:rsid w:val="00117D53"/>
    <w:rsid w:val="00121B4A"/>
    <w:rsid w:val="00142C6C"/>
    <w:rsid w:val="00150E09"/>
    <w:rsid w:val="00163826"/>
    <w:rsid w:val="00192792"/>
    <w:rsid w:val="0019515A"/>
    <w:rsid w:val="0019692D"/>
    <w:rsid w:val="001A0B26"/>
    <w:rsid w:val="001B5F6A"/>
    <w:rsid w:val="001C3C91"/>
    <w:rsid w:val="001E3195"/>
    <w:rsid w:val="001E3DEA"/>
    <w:rsid w:val="001F01B4"/>
    <w:rsid w:val="001F1C05"/>
    <w:rsid w:val="001F47C6"/>
    <w:rsid w:val="001F75A1"/>
    <w:rsid w:val="001F75F7"/>
    <w:rsid w:val="00205717"/>
    <w:rsid w:val="00207FA6"/>
    <w:rsid w:val="00231C2E"/>
    <w:rsid w:val="002350F6"/>
    <w:rsid w:val="0024286A"/>
    <w:rsid w:val="00244386"/>
    <w:rsid w:val="00251AEE"/>
    <w:rsid w:val="00252E9E"/>
    <w:rsid w:val="00262C05"/>
    <w:rsid w:val="00263113"/>
    <w:rsid w:val="0026337B"/>
    <w:rsid w:val="00287C60"/>
    <w:rsid w:val="00290A93"/>
    <w:rsid w:val="002934D2"/>
    <w:rsid w:val="002A20FE"/>
    <w:rsid w:val="002B222C"/>
    <w:rsid w:val="002B64C8"/>
    <w:rsid w:val="002C0BC5"/>
    <w:rsid w:val="002C2A31"/>
    <w:rsid w:val="002C70A8"/>
    <w:rsid w:val="002E29C7"/>
    <w:rsid w:val="002E52AB"/>
    <w:rsid w:val="002E5DAA"/>
    <w:rsid w:val="002E79BA"/>
    <w:rsid w:val="002F3433"/>
    <w:rsid w:val="003118AA"/>
    <w:rsid w:val="00314F8C"/>
    <w:rsid w:val="00317932"/>
    <w:rsid w:val="00326F60"/>
    <w:rsid w:val="00335C11"/>
    <w:rsid w:val="00336F08"/>
    <w:rsid w:val="003612AD"/>
    <w:rsid w:val="003623A0"/>
    <w:rsid w:val="00366341"/>
    <w:rsid w:val="00370FA7"/>
    <w:rsid w:val="00376B5C"/>
    <w:rsid w:val="00387220"/>
    <w:rsid w:val="00392CFC"/>
    <w:rsid w:val="003A2DC5"/>
    <w:rsid w:val="003A30C3"/>
    <w:rsid w:val="003A4572"/>
    <w:rsid w:val="003A7E65"/>
    <w:rsid w:val="003B2452"/>
    <w:rsid w:val="003C2088"/>
    <w:rsid w:val="003D0677"/>
    <w:rsid w:val="003E3949"/>
    <w:rsid w:val="003E5957"/>
    <w:rsid w:val="003F040B"/>
    <w:rsid w:val="003F6E96"/>
    <w:rsid w:val="00411223"/>
    <w:rsid w:val="004141D4"/>
    <w:rsid w:val="00421D39"/>
    <w:rsid w:val="004313E6"/>
    <w:rsid w:val="00431506"/>
    <w:rsid w:val="00442208"/>
    <w:rsid w:val="0044245F"/>
    <w:rsid w:val="00442C95"/>
    <w:rsid w:val="00444D1C"/>
    <w:rsid w:val="00445BBE"/>
    <w:rsid w:val="0045074D"/>
    <w:rsid w:val="004676B9"/>
    <w:rsid w:val="00470D9F"/>
    <w:rsid w:val="004731A3"/>
    <w:rsid w:val="004758D6"/>
    <w:rsid w:val="00482849"/>
    <w:rsid w:val="004846A4"/>
    <w:rsid w:val="00485371"/>
    <w:rsid w:val="004876F8"/>
    <w:rsid w:val="004A1AED"/>
    <w:rsid w:val="004A346B"/>
    <w:rsid w:val="004B0AD5"/>
    <w:rsid w:val="004B1E7E"/>
    <w:rsid w:val="004B6A17"/>
    <w:rsid w:val="004C7598"/>
    <w:rsid w:val="004C772E"/>
    <w:rsid w:val="004D4D9A"/>
    <w:rsid w:val="004D6211"/>
    <w:rsid w:val="004D71F2"/>
    <w:rsid w:val="004E4166"/>
    <w:rsid w:val="004E4E55"/>
    <w:rsid w:val="004E5DC1"/>
    <w:rsid w:val="004F0606"/>
    <w:rsid w:val="004F0719"/>
    <w:rsid w:val="00501C31"/>
    <w:rsid w:val="0050337F"/>
    <w:rsid w:val="0050474B"/>
    <w:rsid w:val="0050654B"/>
    <w:rsid w:val="00511E26"/>
    <w:rsid w:val="0051540B"/>
    <w:rsid w:val="005160A0"/>
    <w:rsid w:val="005174ED"/>
    <w:rsid w:val="0052043D"/>
    <w:rsid w:val="005237C7"/>
    <w:rsid w:val="005266AB"/>
    <w:rsid w:val="00533CF6"/>
    <w:rsid w:val="0053400E"/>
    <w:rsid w:val="005362F7"/>
    <w:rsid w:val="005429FB"/>
    <w:rsid w:val="00550385"/>
    <w:rsid w:val="00562161"/>
    <w:rsid w:val="005628E2"/>
    <w:rsid w:val="00567B9F"/>
    <w:rsid w:val="00574315"/>
    <w:rsid w:val="00574B74"/>
    <w:rsid w:val="00575E82"/>
    <w:rsid w:val="00582732"/>
    <w:rsid w:val="005A1F56"/>
    <w:rsid w:val="005A22DA"/>
    <w:rsid w:val="005A64F8"/>
    <w:rsid w:val="005B2D0D"/>
    <w:rsid w:val="005B7610"/>
    <w:rsid w:val="005D2029"/>
    <w:rsid w:val="005D28D5"/>
    <w:rsid w:val="005E391A"/>
    <w:rsid w:val="005E5F0E"/>
    <w:rsid w:val="005F67A2"/>
    <w:rsid w:val="00600BAD"/>
    <w:rsid w:val="006217B5"/>
    <w:rsid w:val="0062271F"/>
    <w:rsid w:val="00623B81"/>
    <w:rsid w:val="00623FC1"/>
    <w:rsid w:val="0063546D"/>
    <w:rsid w:val="00653542"/>
    <w:rsid w:val="006604B3"/>
    <w:rsid w:val="00670B51"/>
    <w:rsid w:val="00676EE3"/>
    <w:rsid w:val="00677C1E"/>
    <w:rsid w:val="00691A23"/>
    <w:rsid w:val="006A3334"/>
    <w:rsid w:val="006A3969"/>
    <w:rsid w:val="006B4D78"/>
    <w:rsid w:val="006C1F1D"/>
    <w:rsid w:val="006C4646"/>
    <w:rsid w:val="006C543E"/>
    <w:rsid w:val="006D0F48"/>
    <w:rsid w:val="006D64FE"/>
    <w:rsid w:val="006E2B02"/>
    <w:rsid w:val="006E3D01"/>
    <w:rsid w:val="006E431F"/>
    <w:rsid w:val="006E49D4"/>
    <w:rsid w:val="006F39DD"/>
    <w:rsid w:val="00707491"/>
    <w:rsid w:val="00712E63"/>
    <w:rsid w:val="00715379"/>
    <w:rsid w:val="0072401F"/>
    <w:rsid w:val="00726917"/>
    <w:rsid w:val="0074245A"/>
    <w:rsid w:val="007425CE"/>
    <w:rsid w:val="00745453"/>
    <w:rsid w:val="00753F1A"/>
    <w:rsid w:val="007608BD"/>
    <w:rsid w:val="007656A4"/>
    <w:rsid w:val="00773989"/>
    <w:rsid w:val="007828F4"/>
    <w:rsid w:val="00783FF2"/>
    <w:rsid w:val="007B2723"/>
    <w:rsid w:val="007B7858"/>
    <w:rsid w:val="007C37F3"/>
    <w:rsid w:val="007C5057"/>
    <w:rsid w:val="007D15BF"/>
    <w:rsid w:val="007F2CDC"/>
    <w:rsid w:val="007F71C5"/>
    <w:rsid w:val="007F7912"/>
    <w:rsid w:val="00803A94"/>
    <w:rsid w:val="00804EF0"/>
    <w:rsid w:val="0080609C"/>
    <w:rsid w:val="00806231"/>
    <w:rsid w:val="0081212E"/>
    <w:rsid w:val="0081774D"/>
    <w:rsid w:val="00823E98"/>
    <w:rsid w:val="00826065"/>
    <w:rsid w:val="0082769C"/>
    <w:rsid w:val="008375B1"/>
    <w:rsid w:val="00850847"/>
    <w:rsid w:val="008517E6"/>
    <w:rsid w:val="0085218A"/>
    <w:rsid w:val="00861A0C"/>
    <w:rsid w:val="00864CA4"/>
    <w:rsid w:val="0086597F"/>
    <w:rsid w:val="00873E17"/>
    <w:rsid w:val="008773D1"/>
    <w:rsid w:val="00883CAA"/>
    <w:rsid w:val="0088494B"/>
    <w:rsid w:val="008854E2"/>
    <w:rsid w:val="0088604F"/>
    <w:rsid w:val="008923F2"/>
    <w:rsid w:val="00892C37"/>
    <w:rsid w:val="0089712B"/>
    <w:rsid w:val="008A67A3"/>
    <w:rsid w:val="008B1185"/>
    <w:rsid w:val="008B473F"/>
    <w:rsid w:val="008B791F"/>
    <w:rsid w:val="008C5862"/>
    <w:rsid w:val="008D1F5D"/>
    <w:rsid w:val="008D2DC6"/>
    <w:rsid w:val="008D303F"/>
    <w:rsid w:val="008D4813"/>
    <w:rsid w:val="008D4F26"/>
    <w:rsid w:val="008E45EE"/>
    <w:rsid w:val="008E67BD"/>
    <w:rsid w:val="008F2F7B"/>
    <w:rsid w:val="00903325"/>
    <w:rsid w:val="009079A9"/>
    <w:rsid w:val="00913652"/>
    <w:rsid w:val="009168AD"/>
    <w:rsid w:val="0091707B"/>
    <w:rsid w:val="00924A08"/>
    <w:rsid w:val="00924C7F"/>
    <w:rsid w:val="00924CF0"/>
    <w:rsid w:val="00924F10"/>
    <w:rsid w:val="00927E73"/>
    <w:rsid w:val="00932EC7"/>
    <w:rsid w:val="0093798A"/>
    <w:rsid w:val="0095525A"/>
    <w:rsid w:val="009613B5"/>
    <w:rsid w:val="00963CA9"/>
    <w:rsid w:val="00971F7F"/>
    <w:rsid w:val="009775CE"/>
    <w:rsid w:val="0098382F"/>
    <w:rsid w:val="00984B31"/>
    <w:rsid w:val="0099397A"/>
    <w:rsid w:val="00993DF2"/>
    <w:rsid w:val="009A0B58"/>
    <w:rsid w:val="009A2989"/>
    <w:rsid w:val="009A74F7"/>
    <w:rsid w:val="009C1055"/>
    <w:rsid w:val="009C2B0D"/>
    <w:rsid w:val="009C3214"/>
    <w:rsid w:val="009C6A19"/>
    <w:rsid w:val="009D19EA"/>
    <w:rsid w:val="009D4726"/>
    <w:rsid w:val="00A01156"/>
    <w:rsid w:val="00A12F17"/>
    <w:rsid w:val="00A1794A"/>
    <w:rsid w:val="00A2084A"/>
    <w:rsid w:val="00A21B82"/>
    <w:rsid w:val="00A27A89"/>
    <w:rsid w:val="00A45143"/>
    <w:rsid w:val="00A55A8D"/>
    <w:rsid w:val="00A61583"/>
    <w:rsid w:val="00A627F3"/>
    <w:rsid w:val="00A770EF"/>
    <w:rsid w:val="00A774A5"/>
    <w:rsid w:val="00A813CC"/>
    <w:rsid w:val="00A82E1E"/>
    <w:rsid w:val="00AA0296"/>
    <w:rsid w:val="00AA3EA1"/>
    <w:rsid w:val="00AC5049"/>
    <w:rsid w:val="00AC53B2"/>
    <w:rsid w:val="00AD45FD"/>
    <w:rsid w:val="00AF1E51"/>
    <w:rsid w:val="00B0212F"/>
    <w:rsid w:val="00B06273"/>
    <w:rsid w:val="00B15E43"/>
    <w:rsid w:val="00B23C3E"/>
    <w:rsid w:val="00B3267A"/>
    <w:rsid w:val="00B3730E"/>
    <w:rsid w:val="00B432A6"/>
    <w:rsid w:val="00B52AC8"/>
    <w:rsid w:val="00B550AE"/>
    <w:rsid w:val="00B71F3C"/>
    <w:rsid w:val="00B75D81"/>
    <w:rsid w:val="00B83498"/>
    <w:rsid w:val="00BB7528"/>
    <w:rsid w:val="00BC0EAE"/>
    <w:rsid w:val="00BC231A"/>
    <w:rsid w:val="00BC3653"/>
    <w:rsid w:val="00BD2811"/>
    <w:rsid w:val="00BD35EE"/>
    <w:rsid w:val="00BD4322"/>
    <w:rsid w:val="00BE4CB8"/>
    <w:rsid w:val="00BE6743"/>
    <w:rsid w:val="00BE6DFA"/>
    <w:rsid w:val="00BF3E79"/>
    <w:rsid w:val="00BF7A1B"/>
    <w:rsid w:val="00C018A2"/>
    <w:rsid w:val="00C02CA5"/>
    <w:rsid w:val="00C04282"/>
    <w:rsid w:val="00C10A08"/>
    <w:rsid w:val="00C14C4D"/>
    <w:rsid w:val="00C22929"/>
    <w:rsid w:val="00C410FD"/>
    <w:rsid w:val="00C44613"/>
    <w:rsid w:val="00C5083D"/>
    <w:rsid w:val="00C531AE"/>
    <w:rsid w:val="00C54A14"/>
    <w:rsid w:val="00C62072"/>
    <w:rsid w:val="00C6363E"/>
    <w:rsid w:val="00C64CE5"/>
    <w:rsid w:val="00C71D9B"/>
    <w:rsid w:val="00C765D3"/>
    <w:rsid w:val="00C82DAF"/>
    <w:rsid w:val="00C87BBD"/>
    <w:rsid w:val="00CA5322"/>
    <w:rsid w:val="00CB13CB"/>
    <w:rsid w:val="00CB490A"/>
    <w:rsid w:val="00CC0B4C"/>
    <w:rsid w:val="00CC7D64"/>
    <w:rsid w:val="00CD2F1F"/>
    <w:rsid w:val="00CE7EC7"/>
    <w:rsid w:val="00D069B7"/>
    <w:rsid w:val="00D07DF7"/>
    <w:rsid w:val="00D3369E"/>
    <w:rsid w:val="00D36913"/>
    <w:rsid w:val="00D42AB2"/>
    <w:rsid w:val="00D46902"/>
    <w:rsid w:val="00D55B3B"/>
    <w:rsid w:val="00D60E28"/>
    <w:rsid w:val="00D71EE1"/>
    <w:rsid w:val="00D77D6A"/>
    <w:rsid w:val="00D8104A"/>
    <w:rsid w:val="00D91884"/>
    <w:rsid w:val="00D91C95"/>
    <w:rsid w:val="00D93847"/>
    <w:rsid w:val="00DA447A"/>
    <w:rsid w:val="00DB29C8"/>
    <w:rsid w:val="00DD4A73"/>
    <w:rsid w:val="00DE3459"/>
    <w:rsid w:val="00E202C2"/>
    <w:rsid w:val="00E21C83"/>
    <w:rsid w:val="00E3479F"/>
    <w:rsid w:val="00E5340D"/>
    <w:rsid w:val="00E6429C"/>
    <w:rsid w:val="00E73074"/>
    <w:rsid w:val="00EA2298"/>
    <w:rsid w:val="00EA4618"/>
    <w:rsid w:val="00EB0CC9"/>
    <w:rsid w:val="00EC1A4C"/>
    <w:rsid w:val="00ED0B4D"/>
    <w:rsid w:val="00ED6899"/>
    <w:rsid w:val="00F01E9A"/>
    <w:rsid w:val="00F03EDD"/>
    <w:rsid w:val="00F04A9F"/>
    <w:rsid w:val="00F06213"/>
    <w:rsid w:val="00F24BD6"/>
    <w:rsid w:val="00F31015"/>
    <w:rsid w:val="00F4562B"/>
    <w:rsid w:val="00F47EA8"/>
    <w:rsid w:val="00F522A9"/>
    <w:rsid w:val="00F65C6B"/>
    <w:rsid w:val="00F65F2B"/>
    <w:rsid w:val="00F94523"/>
    <w:rsid w:val="00FA15FE"/>
    <w:rsid w:val="00FA2852"/>
    <w:rsid w:val="00FC2FCC"/>
    <w:rsid w:val="00FC7022"/>
    <w:rsid w:val="00FC7ED6"/>
    <w:rsid w:val="00FD337F"/>
    <w:rsid w:val="00FD6D45"/>
    <w:rsid w:val="00FF0FC4"/>
    <w:rsid w:val="00FF20E0"/>
    <w:rsid w:val="00FF4B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15BF"/>
    <w:pPr>
      <w:ind w:left="720"/>
      <w:contextualSpacing/>
    </w:pPr>
  </w:style>
  <w:style w:type="paragraph" w:styleId="Header">
    <w:name w:val="header"/>
    <w:basedOn w:val="Normal"/>
    <w:link w:val="HeaderChar"/>
    <w:uiPriority w:val="99"/>
    <w:unhideWhenUsed/>
    <w:rsid w:val="005A1F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1F56"/>
  </w:style>
  <w:style w:type="paragraph" w:styleId="Footer">
    <w:name w:val="footer"/>
    <w:basedOn w:val="Normal"/>
    <w:link w:val="FooterChar"/>
    <w:uiPriority w:val="99"/>
    <w:unhideWhenUsed/>
    <w:rsid w:val="005A1F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1F56"/>
  </w:style>
  <w:style w:type="paragraph" w:styleId="BalloonText">
    <w:name w:val="Balloon Text"/>
    <w:basedOn w:val="Normal"/>
    <w:link w:val="BalloonTextChar"/>
    <w:uiPriority w:val="99"/>
    <w:semiHidden/>
    <w:unhideWhenUsed/>
    <w:rsid w:val="008B79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791F"/>
    <w:rPr>
      <w:rFonts w:ascii="Tahoma" w:hAnsi="Tahoma" w:cs="Tahoma"/>
      <w:sz w:val="16"/>
      <w:szCs w:val="16"/>
    </w:rPr>
  </w:style>
  <w:style w:type="paragraph" w:styleId="FootnoteText">
    <w:name w:val="footnote text"/>
    <w:basedOn w:val="Normal"/>
    <w:link w:val="FootnoteTextChar"/>
    <w:uiPriority w:val="99"/>
    <w:semiHidden/>
    <w:unhideWhenUsed/>
    <w:rsid w:val="003118A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118AA"/>
    <w:rPr>
      <w:sz w:val="20"/>
      <w:szCs w:val="20"/>
    </w:rPr>
  </w:style>
  <w:style w:type="character" w:styleId="FootnoteReference">
    <w:name w:val="footnote reference"/>
    <w:basedOn w:val="DefaultParagraphFont"/>
    <w:uiPriority w:val="99"/>
    <w:semiHidden/>
    <w:unhideWhenUsed/>
    <w:rsid w:val="003118A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15BF"/>
    <w:pPr>
      <w:ind w:left="720"/>
      <w:contextualSpacing/>
    </w:pPr>
  </w:style>
  <w:style w:type="paragraph" w:styleId="Header">
    <w:name w:val="header"/>
    <w:basedOn w:val="Normal"/>
    <w:link w:val="HeaderChar"/>
    <w:uiPriority w:val="99"/>
    <w:unhideWhenUsed/>
    <w:rsid w:val="005A1F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1F56"/>
  </w:style>
  <w:style w:type="paragraph" w:styleId="Footer">
    <w:name w:val="footer"/>
    <w:basedOn w:val="Normal"/>
    <w:link w:val="FooterChar"/>
    <w:uiPriority w:val="99"/>
    <w:unhideWhenUsed/>
    <w:rsid w:val="005A1F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1F56"/>
  </w:style>
  <w:style w:type="paragraph" w:styleId="BalloonText">
    <w:name w:val="Balloon Text"/>
    <w:basedOn w:val="Normal"/>
    <w:link w:val="BalloonTextChar"/>
    <w:uiPriority w:val="99"/>
    <w:semiHidden/>
    <w:unhideWhenUsed/>
    <w:rsid w:val="008B79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791F"/>
    <w:rPr>
      <w:rFonts w:ascii="Tahoma" w:hAnsi="Tahoma" w:cs="Tahoma"/>
      <w:sz w:val="16"/>
      <w:szCs w:val="16"/>
    </w:rPr>
  </w:style>
  <w:style w:type="paragraph" w:styleId="FootnoteText">
    <w:name w:val="footnote text"/>
    <w:basedOn w:val="Normal"/>
    <w:link w:val="FootnoteTextChar"/>
    <w:uiPriority w:val="99"/>
    <w:semiHidden/>
    <w:unhideWhenUsed/>
    <w:rsid w:val="003118A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118AA"/>
    <w:rPr>
      <w:sz w:val="20"/>
      <w:szCs w:val="20"/>
    </w:rPr>
  </w:style>
  <w:style w:type="character" w:styleId="FootnoteReference">
    <w:name w:val="footnote reference"/>
    <w:basedOn w:val="DefaultParagraphFont"/>
    <w:uiPriority w:val="99"/>
    <w:semiHidden/>
    <w:unhideWhenUsed/>
    <w:rsid w:val="003118A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header" Target="header2.xml"/><Relationship Id="rId28" Type="http://schemas.openxmlformats.org/officeDocument/2006/relationships/customXml" Target="../customXml/item4.xml"/><Relationship Id="rId10" Type="http://schemas.openxmlformats.org/officeDocument/2006/relationships/image" Target="media/image2.emf"/><Relationship Id="rId19" Type="http://schemas.openxmlformats.org/officeDocument/2006/relationships/image" Target="media/image11.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footer" Target="footer1.xml"/><Relationship Id="rId27" Type="http://schemas.openxmlformats.org/officeDocument/2006/relationships/customXml" Target="../customXml/item3.xml"/><Relationship Id="rId30"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EDF7B7F64EF7594F8E890B161218140F" ma:contentTypeVersion="0" ma:contentTypeDescription="A content type to manage public (operations) IDB documents" ma:contentTypeScope="" ma:versionID="2a4eb675477de3f8e9823e4589555a7f">
  <xsd:schema xmlns:xsd="http://www.w3.org/2001/XMLSchema" xmlns:xs="http://www.w3.org/2001/XMLSchema" xmlns:p="http://schemas.microsoft.com/office/2006/metadata/properties" xmlns:ns2="9c571b2f-e523-4ab2-ba2e-09e151a03ef4" targetNamespace="http://schemas.microsoft.com/office/2006/metadata/properties" ma:root="true" ma:fieldsID="937caba5ef611e13f9a97f1691dd9165"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0dcc9c2e-de7c-4e25-b077-150b0a612304}" ma:internalName="TaxCatchAll" ma:showField="CatchAllData" ma:web="56cfd1fd-a78f-46b0-bb34-6cbdf6c9e9d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0dcc9c2e-de7c-4e25-b077-150b0a612304}" ma:internalName="TaxCatchAllLabel" ma:readOnly="true" ma:showField="CatchAllDataLabel" ma:web="56cfd1fd-a78f-46b0-bb34-6cbdf6c9e9de">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38140444</IDBDocs_x0020_Number>
    <TaxCatchAll xmlns="9c571b2f-e523-4ab2-ba2e-09e151a03ef4">
      <Value>7</Value>
      <Value>6</Value>
    </TaxCatchAll>
    <Phase xmlns="9c571b2f-e523-4ab2-ba2e-09e151a03ef4" xsi:nil="true"/>
    <SISCOR_x0020_Number xmlns="9c571b2f-e523-4ab2-ba2e-09e151a03ef4" xsi:nil="true"/>
    <Division_x0020_or_x0020_Unit xmlns="9c571b2f-e523-4ab2-ba2e-09e151a03ef4">INE/WSA</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Garcia Merino, Lucio Javier</Document_x0020_Author>
    <e559ffcc31d34167856647188be35015 xmlns="9c571b2f-e523-4ab2-ba2e-09e151a03ef4">
      <Terms xmlns="http://schemas.microsoft.com/office/infopath/2007/PartnerControls"/>
    </e559ffcc31d34167856647188be35015>
    <Fiscal_x0020_Year_x0020_IDB xmlns="9c571b2f-e523-4ab2-ba2e-09e151a03ef4">2013</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TT-L1036</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English</Document_x0020_Language_x0020_IDB>
    <Identifier xmlns="9c571b2f-e523-4ab2-ba2e-09e151a03ef4"> TECFILE</Identifier>
    <Disclosure_x0020_Activity xmlns="9c571b2f-e523-4ab2-ba2e-09e151a03ef4">Loan Proposal</Disclosure_x0020_Activity>
    <Webtopic xmlns="9c571b2f-e523-4ab2-ba2e-09e151a03ef4">OS-ASU</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5.xml><?xml version="1.0" encoding="utf-8"?>
<?mso-contentType ?>
<spe:Receivers xmlns:spe="http://schemas.microsoft.com/sharepoint/events"/>
</file>

<file path=customXml/item6.xml><?xml version="1.0" encoding="utf-8"?>
<?mso-contentType ?>
<SharedContentType xmlns="Microsoft.SharePoint.Taxonomy.ContentTypeSync" SourceId="cf0be0ad-272c-4e7f-a157-3f0abda6cde5" ContentTypeId="0x01010046CF21643EE8D14686A648AA6DAD0892" PreviousValue="false"/>
</file>

<file path=customXml/itemProps1.xml><?xml version="1.0" encoding="utf-8"?>
<ds:datastoreItem xmlns:ds="http://schemas.openxmlformats.org/officeDocument/2006/customXml" ds:itemID="{62F4DD74-C9BD-4EA0-8347-ACB99E688C1D}"/>
</file>

<file path=customXml/itemProps2.xml><?xml version="1.0" encoding="utf-8"?>
<ds:datastoreItem xmlns:ds="http://schemas.openxmlformats.org/officeDocument/2006/customXml" ds:itemID="{F9386AFE-8332-4AA2-B735-A49364A43D45}"/>
</file>

<file path=customXml/itemProps3.xml><?xml version="1.0" encoding="utf-8"?>
<ds:datastoreItem xmlns:ds="http://schemas.openxmlformats.org/officeDocument/2006/customXml" ds:itemID="{CBA18BF6-E264-425F-9BFC-A8A0F389A8AE}"/>
</file>

<file path=customXml/itemProps4.xml><?xml version="1.0" encoding="utf-8"?>
<ds:datastoreItem xmlns:ds="http://schemas.openxmlformats.org/officeDocument/2006/customXml" ds:itemID="{2D71425D-58F5-4743-B408-119CFBD60AD2}"/>
</file>

<file path=customXml/itemProps5.xml><?xml version="1.0" encoding="utf-8"?>
<ds:datastoreItem xmlns:ds="http://schemas.openxmlformats.org/officeDocument/2006/customXml" ds:itemID="{95191F37-3C8B-4670-8FAD-FC5948DEA9E7}"/>
</file>

<file path=customXml/itemProps6.xml><?xml version="1.0" encoding="utf-8"?>
<ds:datastoreItem xmlns:ds="http://schemas.openxmlformats.org/officeDocument/2006/customXml" ds:itemID="{8F82ADF6-E880-4E7E-8646-1DFCBFDD8BFF}"/>
</file>

<file path=docProps/app.xml><?xml version="1.0" encoding="utf-8"?>
<Properties xmlns="http://schemas.openxmlformats.org/officeDocument/2006/extended-properties" xmlns:vt="http://schemas.openxmlformats.org/officeDocument/2006/docPropsVTypes">
  <Template>Normal.dotm</Template>
  <TotalTime>20</TotalTime>
  <Pages>22</Pages>
  <Words>4743</Words>
  <Characters>27038</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31718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Financial Analysis</dc:title>
  <dc:subject/>
  <dc:creator>Inter-American Development Bank</dc:creator>
  <cp:keywords/>
  <dc:description/>
  <cp:lastModifiedBy>Test</cp:lastModifiedBy>
  <cp:revision>4</cp:revision>
  <cp:lastPrinted>2013-09-24T19:02:00Z</cp:lastPrinted>
  <dcterms:created xsi:type="dcterms:W3CDTF">2013-10-03T16:02:00Z</dcterms:created>
  <dcterms:modified xsi:type="dcterms:W3CDTF">2013-10-03T16:21:00Z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0x01010046CF21643EE8D14686A648AA6DAD089200EDF7B7F64EF7594F8E890B161218140F</vt:lpwstr>
  </property>
  <property fmtid="{D5CDD505-2E9C-101B-9397-08002B2CF9AE}" pid="3" name="TaxKeyword">
    <vt:lpwstr/>
  </property>
  <property fmtid="{D5CDD505-2E9C-101B-9397-08002B2CF9AE}" pid="4" name="Function Operations IDB">
    <vt:lpwstr>7;#IDBDocs|cca77002-e150-4b2d-ab1f-1d7a7cdcae16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6;#Unclassified|a6dff32e-d477-44cd-a56b-85efe9e0a56c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6;#Unclassified|a6dff32e-d477-44cd-a56b-85efe9e0a56c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