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6E" w:rsidRDefault="008E696E" w:rsidP="008E696E">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33"/>
        <w:gridCol w:w="31"/>
        <w:gridCol w:w="13"/>
        <w:gridCol w:w="1822"/>
        <w:gridCol w:w="439"/>
        <w:gridCol w:w="583"/>
        <w:gridCol w:w="1480"/>
        <w:gridCol w:w="3769"/>
      </w:tblGrid>
      <w:tr w:rsidR="008E696E" w:rsidRPr="008E696E" w:rsidTr="008E696E">
        <w:tc>
          <w:tcPr>
            <w:tcW w:w="1468"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DETAILS</w:t>
            </w:r>
          </w:p>
        </w:tc>
        <w:tc>
          <w:tcPr>
            <w:tcW w:w="2923"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IDB Sector</w:t>
            </w:r>
          </w:p>
        </w:tc>
        <w:tc>
          <w:tcPr>
            <w:tcW w:w="5179"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WATER AND SANITATION-URBAN DRAINAGE</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Type of Operation</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Investment Loan</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Additional Operation Details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Investment Checklist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Infrastructure Water and Sanitation</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Team Leader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Cayetano, Evan Stephen (EVANC@iadb.org)</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Flood Alleviation and Drainage Program</w:t>
            </w:r>
            <w:r w:rsidR="00F57FBA">
              <w:rPr>
                <w:rFonts w:ascii="Times New Roman" w:eastAsia="Times New Roman" w:hAnsi="Times New Roman" w:cs="Times New Roman"/>
                <w:sz w:val="20"/>
                <w:szCs w:val="20"/>
              </w:rPr>
              <w:t xml:space="preserve"> for the City of Port of Spain</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Number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TT-L1036</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Safeguard Screening Assessor(s)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lang w:val="es-ES_tradnl"/>
              </w:rPr>
            </w:pPr>
            <w:r w:rsidRPr="008E696E">
              <w:rPr>
                <w:rFonts w:ascii="Times New Roman" w:eastAsia="Times New Roman" w:hAnsi="Times New Roman" w:cs="Times New Roman"/>
                <w:sz w:val="20"/>
                <w:szCs w:val="20"/>
                <w:lang w:val="es-ES_tradnl"/>
              </w:rPr>
              <w:t>Muñoz Castillo, Raúl (raulmu@IADB.ORG)</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lang w:val="es-ES_tradnl"/>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Assessment 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2013-09-27</w:t>
            </w:r>
          </w:p>
        </w:tc>
      </w:tr>
      <w:tr w:rsidR="008E696E" w:rsidRPr="008E696E" w:rsidTr="00D25483">
        <w:trPr>
          <w:trHeight w:val="213"/>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8E696E">
        <w:tc>
          <w:tcPr>
            <w:tcW w:w="1480"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SAFEGUARD POLICY FILTER RESULTS</w:t>
            </w:r>
          </w:p>
        </w:tc>
        <w:tc>
          <w:tcPr>
            <w:tcW w:w="18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Type of Operation</w:t>
            </w:r>
          </w:p>
        </w:tc>
        <w:tc>
          <w:tcPr>
            <w:tcW w:w="6226"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Loan Operation</w:t>
            </w:r>
          </w:p>
        </w:tc>
      </w:tr>
      <w:tr w:rsidR="008E696E" w:rsidRPr="008E696E" w:rsidTr="008E696E">
        <w:trPr>
          <w:trHeight w:val="1545"/>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1864"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Safeguard Policy Items</w:t>
            </w:r>
            <w:r w:rsidRPr="008E696E">
              <w:rPr>
                <w:rFonts w:ascii="Times New Roman" w:eastAsia="Times New Roman" w:hAnsi="Times New Roman" w:cs="Times New Roman"/>
                <w:b/>
                <w:bCs/>
                <w:sz w:val="20"/>
                <w:szCs w:val="20"/>
              </w:rPr>
              <w:br/>
              <w:t xml:space="preserve">Identified </w:t>
            </w:r>
            <w:r w:rsidRPr="008E696E">
              <w:rPr>
                <w:rFonts w:ascii="Times New Roman" w:eastAsia="Times New Roman" w:hAnsi="Times New Roman" w:cs="Times New Roman"/>
                <w:b/>
                <w:bCs/>
                <w:color w:val="FF0000"/>
                <w:sz w:val="20"/>
                <w:szCs w:val="20"/>
              </w:rPr>
              <w:t>(Yes)</w:t>
            </w: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Activities to be financed in the project area are located within a geographical area or sector exposed to natural hazards* (Type 1 Disaster Risk Scenario).</w:t>
            </w:r>
          </w:p>
        </w:tc>
        <w:tc>
          <w:tcPr>
            <w:tcW w:w="371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(B.01) Disaster Risk Management Policy– OP-704</w:t>
            </w:r>
          </w:p>
        </w:tc>
      </w:tr>
      <w:tr w:rsidR="008E696E" w:rsidRPr="008E696E" w:rsidTr="008E696E">
        <w:trPr>
          <w:trHeight w:val="870"/>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(B.01) Access to Information Policy– OP-102</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4" w:space="0" w:color="auto"/>
              <w:right w:val="single" w:sz="6" w:space="0" w:color="000000"/>
            </w:tcBorders>
            <w:tcMar>
              <w:top w:w="15" w:type="dxa"/>
              <w:left w:w="105" w:type="dxa"/>
              <w:bottom w:w="300" w:type="dxa"/>
              <w:right w:w="105" w:type="dxa"/>
            </w:tcMar>
            <w:vAlign w:val="center"/>
            <w:hideMark/>
          </w:tcPr>
          <w:p w:rsidR="008E696E" w:rsidRPr="008E696E" w:rsidRDefault="008E696E" w:rsidP="008E696E">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(B.02)</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4" w:space="0" w:color="auto"/>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operation (including associated facilities) is screened and classified according to their potential environmental impacts.</w:t>
            </w:r>
          </w:p>
        </w:tc>
        <w:tc>
          <w:tcPr>
            <w:tcW w:w="0" w:type="auto"/>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(B.03)</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xml:space="preserve">The operation is sensitive to slow onset changes in climatic variables, weather patterns and the consequences incl. sea level </w:t>
            </w:r>
            <w:r w:rsidRPr="008E696E">
              <w:rPr>
                <w:rFonts w:ascii="Times New Roman" w:eastAsia="Times New Roman" w:hAnsi="Times New Roman" w:cs="Times New Roman"/>
                <w:sz w:val="20"/>
                <w:szCs w:val="20"/>
              </w:rPr>
              <w:lastRenderedPageBreak/>
              <w:t>rise, glacier run off. (Type 1 Gradual Climate Change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lastRenderedPageBreak/>
              <w:t>(B.04)</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project is specifically designed to increase the capacity of human and natural systems to adapt to a changing climate.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(B.04)</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project includes activities to close current “adaptation deficits” or to increase the capacity of human and natural systems to adapt to a changing climate.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(B.04)</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(B.05)</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4" w:space="0" w:color="auto"/>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(B.06)</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4" w:space="0" w:color="auto"/>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Bank will monitor the executing agency/borrower’s compliance with all safeguard requirements stipulated in the loan agreement and project operating or credit regulations.</w:t>
            </w:r>
          </w:p>
        </w:tc>
        <w:tc>
          <w:tcPr>
            <w:tcW w:w="0" w:type="auto"/>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(B.07)</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(B.11)</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(B.17)</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1864"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Potential Safeguard Policy Items</w:t>
            </w:r>
            <w:r w:rsidRPr="008E696E">
              <w:rPr>
                <w:rFonts w:ascii="Times New Roman" w:eastAsia="Times New Roman" w:hAnsi="Times New Roman" w:cs="Times New Roman"/>
                <w:b/>
                <w:bCs/>
                <w:color w:val="FF0000"/>
                <w:sz w:val="20"/>
                <w:szCs w:val="20"/>
              </w:rPr>
              <w:t>(?)</w:t>
            </w: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Potential disruption to people’s livelihoods living in the project's area of influence (not limited to involuntary displacement, also see Resettlement Policy.)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(B.01) Resettlement Policy– OP-710</w:t>
            </w:r>
          </w:p>
        </w:tc>
      </w:tr>
      <w:tr w:rsidR="008E696E" w:rsidRPr="008E696E" w:rsidTr="008E696E">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51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Borrower/Executing Agency exhibits weak institutional capacity for managing environmental and social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color w:val="0000FF"/>
                <w:sz w:val="20"/>
                <w:szCs w:val="20"/>
              </w:rPr>
            </w:pPr>
            <w:r w:rsidRPr="008E696E">
              <w:rPr>
                <w:rFonts w:ascii="Times New Roman" w:eastAsia="Times New Roman" w:hAnsi="Times New Roman" w:cs="Times New Roman"/>
                <w:color w:val="0000FF"/>
                <w:sz w:val="20"/>
                <w:szCs w:val="20"/>
              </w:rPr>
              <w:t>(B.04)</w:t>
            </w:r>
          </w:p>
        </w:tc>
      </w:tr>
      <w:tr w:rsidR="008E696E" w:rsidRPr="008E696E" w:rsidTr="008E696E">
        <w:tc>
          <w:tcPr>
            <w:tcW w:w="0" w:type="auto"/>
            <w:gridSpan w:val="3"/>
            <w:vMerge/>
            <w:tcBorders>
              <w:top w:val="single" w:sz="6" w:space="0" w:color="000000"/>
              <w:left w:val="single" w:sz="6" w:space="0" w:color="000000"/>
              <w:bottom w:val="single" w:sz="4" w:space="0" w:color="auto"/>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1864"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Recommended Action:</w:t>
            </w:r>
          </w:p>
        </w:tc>
        <w:tc>
          <w:tcPr>
            <w:tcW w:w="6226" w:type="dxa"/>
            <w:gridSpan w:val="4"/>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Operation has triggered 1 or more Policy Directives; please refer to appropriate Directive(s). Complete Project Classification Tool. Submit Safeguard Policy Filter Report, PP (or equivalent) and Safeguard Screening Form to ESR.</w:t>
            </w:r>
            <w:r w:rsidRPr="008E696E">
              <w:rPr>
                <w:rFonts w:ascii="Times New Roman" w:eastAsia="Times New Roman" w:hAnsi="Times New Roman" w:cs="Times New Roman"/>
                <w:sz w:val="20"/>
                <w:szCs w:val="20"/>
              </w:rPr>
              <w:br/>
            </w:r>
            <w:r w:rsidRPr="008E696E">
              <w:rPr>
                <w:rFonts w:ascii="Times New Roman" w:eastAsia="Times New Roman" w:hAnsi="Times New Roman" w:cs="Times New Roman"/>
                <w:sz w:val="20"/>
                <w:szCs w:val="20"/>
              </w:rPr>
              <w:br/>
              <w:t>The project triggered the Disaster Risk Management policy (OP-704).</w:t>
            </w:r>
            <w:r w:rsidRPr="008E696E">
              <w:rPr>
                <w:rFonts w:ascii="Times New Roman" w:eastAsia="Times New Roman" w:hAnsi="Times New Roman" w:cs="Times New Roman"/>
                <w:sz w:val="20"/>
                <w:szCs w:val="20"/>
              </w:rPr>
              <w:br/>
            </w:r>
            <w:r w:rsidRPr="008E696E">
              <w:rPr>
                <w:rFonts w:ascii="Times New Roman" w:eastAsia="Times New Roman" w:hAnsi="Times New Roman" w:cs="Times New Roman"/>
                <w:sz w:val="20"/>
                <w:szCs w:val="20"/>
              </w:rPr>
              <w:br/>
              <w:t>A more limited and specific Disaster Risk Assessment (DRA) may be required (see Directive A-2 of the DRM Policy OP-704). Please contact a Natural Disaster Specialist in VPS/ESG or INE/RND for guidance.</w:t>
            </w:r>
            <w:r w:rsidRPr="008E696E">
              <w:rPr>
                <w:rFonts w:ascii="Times New Roman" w:eastAsia="Times New Roman" w:hAnsi="Times New Roman" w:cs="Times New Roman"/>
                <w:sz w:val="20"/>
                <w:szCs w:val="20"/>
              </w:rPr>
              <w:br/>
            </w:r>
            <w:r w:rsidRPr="008E696E">
              <w:rPr>
                <w:rFonts w:ascii="Times New Roman" w:eastAsia="Times New Roman" w:hAnsi="Times New Roman" w:cs="Times New Roman"/>
                <w:sz w:val="20"/>
                <w:szCs w:val="20"/>
              </w:rPr>
              <w:br/>
              <w:t>Also: if the project needs to be modified to increase resilience to climate change, consider the (i) possibility of classification as adaptation project and (ii) additional financing options. Please contact a INE/CCS adaptation specialist for guidance.</w:t>
            </w:r>
          </w:p>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The project triggered the Other Risks policy (B.04): climate risk.Please include sections on how climate risk will be dealt with in the ESS as well as client documents (EIA, EA, etc);Recommend addressing risks from gradual changes in climate for the project in cost/benefit and credit risk analyses as well as TORs for engineering studies.</w:t>
            </w:r>
          </w:p>
        </w:tc>
      </w:tr>
      <w:tr w:rsidR="008E696E" w:rsidRPr="008E696E" w:rsidTr="008E696E">
        <w:trPr>
          <w:trHeight w:val="362"/>
        </w:trPr>
        <w:tc>
          <w:tcPr>
            <w:tcW w:w="0" w:type="auto"/>
            <w:gridSpan w:val="3"/>
            <w:vMerge/>
            <w:tcBorders>
              <w:top w:val="single" w:sz="4" w:space="0" w:color="auto"/>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1864" w:type="dxa"/>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Additional Comments:</w:t>
            </w:r>
          </w:p>
        </w:tc>
        <w:tc>
          <w:tcPr>
            <w:tcW w:w="0" w:type="auto"/>
            <w:gridSpan w:val="4"/>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8E696E">
        <w:trPr>
          <w:trHeight w:val="30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ASSESSOR DETAILS</w:t>
            </w:r>
          </w:p>
        </w:tc>
        <w:tc>
          <w:tcPr>
            <w:tcW w:w="2351"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Name of person who completed screening:</w:t>
            </w:r>
          </w:p>
        </w:tc>
        <w:tc>
          <w:tcPr>
            <w:tcW w:w="5786"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lang w:val="es-ES_tradnl"/>
              </w:rPr>
            </w:pPr>
            <w:r w:rsidRPr="008E696E">
              <w:rPr>
                <w:rFonts w:ascii="Times New Roman" w:eastAsia="Times New Roman" w:hAnsi="Times New Roman" w:cs="Times New Roman"/>
                <w:sz w:val="20"/>
                <w:szCs w:val="20"/>
                <w:lang w:val="es-ES_tradnl"/>
              </w:rPr>
              <w:t>Muñoz Castillo, Raúl (raulmu@IADB.ORG)</w:t>
            </w:r>
          </w:p>
        </w:tc>
      </w:tr>
      <w:tr w:rsidR="008E696E" w:rsidRPr="008E696E" w:rsidTr="00D25483">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lang w:val="es-ES_tradnl"/>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D25483">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2013-09-27</w:t>
            </w:r>
          </w:p>
        </w:tc>
      </w:tr>
    </w:tbl>
    <w:p w:rsidR="008629B1" w:rsidRPr="008E696E" w:rsidRDefault="008629B1" w:rsidP="008E696E">
      <w:pPr>
        <w:spacing w:after="0" w:line="240" w:lineRule="auto"/>
        <w:rPr>
          <w:rFonts w:ascii="Times New Roman" w:eastAsia="Times New Roman" w:hAnsi="Times New Roman" w:cs="Times New Roman"/>
          <w:sz w:val="20"/>
          <w:szCs w:val="20"/>
        </w:rPr>
      </w:pPr>
    </w:p>
    <w:p w:rsidR="008629B1" w:rsidRPr="008E696E" w:rsidRDefault="008E696E" w:rsidP="008E696E">
      <w:pPr>
        <w:spacing w:after="0" w:line="240" w:lineRule="auto"/>
        <w:rPr>
          <w:rFonts w:ascii="Times New Roman" w:eastAsia="Times New Roman" w:hAnsi="Times New Roman" w:cs="Times New Roman"/>
          <w:sz w:val="24"/>
          <w:szCs w:val="24"/>
        </w:rPr>
      </w:pPr>
      <w:r w:rsidRPr="008E696E">
        <w:rPr>
          <w:rFonts w:ascii="Times New Roman" w:eastAsia="Times New Roman" w:hAnsi="Times New Roman" w:cs="Times New Roman"/>
          <w:b/>
          <w:bCs/>
          <w:sz w:val="24"/>
          <w:szCs w:val="24"/>
        </w:rPr>
        <w:lastRenderedPageBreak/>
        <w:t>SAFEGUARD SCREENING FORM</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656"/>
        <w:gridCol w:w="293"/>
        <w:gridCol w:w="1809"/>
        <w:gridCol w:w="907"/>
        <w:gridCol w:w="810"/>
        <w:gridCol w:w="4095"/>
      </w:tblGrid>
      <w:tr w:rsidR="008E696E" w:rsidRPr="008E696E" w:rsidTr="00D25483">
        <w:tc>
          <w:tcPr>
            <w:tcW w:w="1457"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DETAILS</w:t>
            </w:r>
          </w:p>
        </w:tc>
        <w:tc>
          <w:tcPr>
            <w:tcW w:w="333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IDB Sector</w:t>
            </w:r>
          </w:p>
        </w:tc>
        <w:tc>
          <w:tcPr>
            <w:tcW w:w="421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WATER AND SANITATION-URBAN DRAINAGE</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Type of Operation</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Investment Loan</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Additional Operation Details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Country</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TRINIDAD AND TOBAGO</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Status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Investment Checklist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Infrastructure Water and Sanitation</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Team Leader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Cayetano, Evan Stephen (EVANC@iadb.org)</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Title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Flood Alleviation and Drainage Program</w:t>
            </w:r>
            <w:r w:rsidR="00F57FBA">
              <w:rPr>
                <w:rFonts w:ascii="Times New Roman" w:eastAsia="Times New Roman" w:hAnsi="Times New Roman" w:cs="Times New Roman"/>
                <w:sz w:val="20"/>
                <w:szCs w:val="20"/>
              </w:rPr>
              <w:t xml:space="preserve"> for the City of Port of Spain</w:t>
            </w:r>
            <w:bookmarkStart w:id="0" w:name="_GoBack"/>
            <w:bookmarkEnd w:id="0"/>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Number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TT-L1036</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Safeguard Screening Assessor(s)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lang w:val="es-ES_tradnl"/>
              </w:rPr>
            </w:pPr>
            <w:r w:rsidRPr="008E696E">
              <w:rPr>
                <w:rFonts w:ascii="Times New Roman" w:eastAsia="Times New Roman" w:hAnsi="Times New Roman" w:cs="Times New Roman"/>
                <w:sz w:val="20"/>
                <w:szCs w:val="20"/>
                <w:lang w:val="es-ES_tradnl"/>
              </w:rPr>
              <w:t>Muñoz Castillo, Raúl (raulmu@IADB.ORG)</w:t>
            </w:r>
          </w:p>
        </w:tc>
      </w:tr>
      <w:tr w:rsidR="008E696E" w:rsidRPr="008E696E" w:rsidTr="00D2548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lang w:val="es-ES_tradnl"/>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Assessment Date</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2013-09-27</w:t>
            </w:r>
          </w:p>
        </w:tc>
      </w:tr>
      <w:tr w:rsidR="008E696E" w:rsidRPr="008E696E" w:rsidTr="00D2548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D25483">
        <w:trPr>
          <w:trHeight w:val="44"/>
        </w:trPr>
        <w:tc>
          <w:tcPr>
            <w:tcW w:w="1888"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CLASSIFICATION SUMMARY</w:t>
            </w:r>
          </w:p>
        </w:tc>
        <w:tc>
          <w:tcPr>
            <w:tcW w:w="20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Project Category:</w:t>
            </w:r>
            <w:r w:rsidRPr="008E696E">
              <w:rPr>
                <w:rFonts w:ascii="Times New Roman" w:eastAsia="Times New Roman" w:hAnsi="Times New Roman" w:cs="Times New Roman"/>
                <w:b/>
                <w:bCs/>
                <w:sz w:val="20"/>
                <w:szCs w:val="20"/>
              </w:rPr>
              <w:br/>
            </w:r>
            <w:r w:rsidRPr="008E696E">
              <w:rPr>
                <w:rFonts w:ascii="Times New Roman" w:eastAsia="Times New Roman" w:hAnsi="Times New Roman" w:cs="Times New Roman"/>
                <w:sz w:val="20"/>
                <w:szCs w:val="20"/>
              </w:rPr>
              <w:t>B</w:t>
            </w:r>
          </w:p>
        </w:tc>
        <w:tc>
          <w:tcPr>
            <w:tcW w:w="1510"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Override Rating:</w:t>
            </w:r>
          </w:p>
        </w:tc>
        <w:tc>
          <w:tcPr>
            <w:tcW w:w="360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Override Justification:</w:t>
            </w:r>
          </w:p>
        </w:tc>
      </w:tr>
      <w:tr w:rsidR="008E696E" w:rsidRPr="008E696E" w:rsidTr="00D25483">
        <w:trPr>
          <w:trHeight w:val="4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Comments:</w:t>
            </w:r>
          </w:p>
        </w:tc>
      </w:tr>
      <w:tr w:rsidR="008E696E" w:rsidRPr="008E696E" w:rsidTr="00D2548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Conditions/</w:t>
            </w:r>
            <w:r w:rsidRPr="008E696E">
              <w:rPr>
                <w:rFonts w:ascii="Times New Roman" w:eastAsia="Times New Roman" w:hAnsi="Times New Roman" w:cs="Times New Roman"/>
                <w:b/>
                <w:bCs/>
                <w:sz w:val="20"/>
                <w:szCs w:val="20"/>
              </w:rPr>
              <w:br/>
              <w:t>Recommendations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Category "B" operations require an environmental analysis (see Environment Policy Guideline: Directive B.5 for Environmental Analysis requirements).</w:t>
            </w:r>
          </w:p>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8E696E" w:rsidRPr="008E696E" w:rsidRDefault="008E696E" w:rsidP="008E696E">
      <w:pPr>
        <w:spacing w:after="0" w:line="240" w:lineRule="auto"/>
        <w:rPr>
          <w:rFonts w:ascii="Times New Roman" w:eastAsia="Times New Roman" w:hAnsi="Times New Roman" w:cs="Times New Roman"/>
          <w:sz w:val="20"/>
          <w:szCs w:val="20"/>
        </w:rPr>
      </w:pPr>
    </w:p>
    <w:tbl>
      <w:tblPr>
        <w:tblW w:w="955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15"/>
        <w:gridCol w:w="2970"/>
        <w:gridCol w:w="4770"/>
      </w:tblGrid>
      <w:tr w:rsidR="008E696E" w:rsidRPr="008E696E" w:rsidTr="008E696E">
        <w:tc>
          <w:tcPr>
            <w:tcW w:w="181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SUMMARY OF IMPACTS/RISKS AND POTENTIAL SOLUTIONS</w:t>
            </w:r>
          </w:p>
        </w:tc>
        <w:tc>
          <w:tcPr>
            <w:tcW w:w="29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Identified Impacts/Risks</w:t>
            </w:r>
          </w:p>
        </w:tc>
        <w:tc>
          <w:tcPr>
            <w:tcW w:w="47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Potential Solutions</w:t>
            </w:r>
          </w:p>
        </w:tc>
      </w:tr>
      <w:tr w:rsidR="008E696E" w:rsidRPr="008E696E" w:rsidTr="008E696E">
        <w:tc>
          <w:tcPr>
            <w:tcW w:w="1815" w:type="dxa"/>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9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xml:space="preserve">The project will or may require involuntary resettlement and/or economic displacement of a minor to moderate nature (e.g. in relation to pipeline rights of way) and does not affect indigenous peoples or other vulnerable land based groups. </w:t>
            </w:r>
          </w:p>
        </w:tc>
        <w:tc>
          <w:tcPr>
            <w:tcW w:w="47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b/>
                <w:bCs/>
                <w:sz w:val="20"/>
                <w:szCs w:val="20"/>
              </w:rPr>
              <w:t>Develop Resettlement Plan (RP):</w:t>
            </w:r>
            <w:r w:rsidRPr="008E696E">
              <w:rPr>
                <w:rFonts w:ascii="Times New Roman" w:eastAsia="Times New Roman" w:hAnsi="Times New Roman" w:cs="Times New Roman"/>
                <w:sz w:val="20"/>
                <w:szCs w:val="20"/>
              </w:rPr>
              <w:t>The borrower should be required to develop a simple RP that could be part of the ESMP and demonstrates the following attributes: (a) successful engagement with affected parties via a process of Community Participation; (b) mechanisms for delivery of compensation in a timely and efficient fashion; (c) budgeting and internal capacity (within borrower's organization) to monitor and manage resettlement activities as necessary over the course of the project; and (d) if needed, a grievance mechanism for resettled people. Depending on the financial product, the RP should be referenced in legal documentation (covenants, conditions of disbursement, project completion tests etc.), require regular (bi-annual or annual) reporting and independent review of implementation.</w:t>
            </w:r>
          </w:p>
        </w:tc>
      </w:tr>
      <w:tr w:rsidR="008E696E" w:rsidRPr="008E696E" w:rsidTr="008E696E">
        <w:tc>
          <w:tcPr>
            <w:tcW w:w="1815" w:type="dxa"/>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9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 xml:space="preserve">The negative impacts from production, procurement and disposal of hazardous materials </w:t>
            </w:r>
            <w:r w:rsidRPr="008E696E">
              <w:rPr>
                <w:rFonts w:ascii="Times New Roman" w:eastAsia="Times New Roman" w:hAnsi="Times New Roman" w:cs="Times New Roman"/>
                <w:sz w:val="20"/>
                <w:szCs w:val="20"/>
              </w:rPr>
              <w:lastRenderedPageBreak/>
              <w:t xml:space="preserve">(such as fuel and chlorine) are minor and will comply with relevant national legislation, IDB requirements on hazardous material and international standards and guidelines such as the IFC Water and Sanitation Guidelines (if applicable). </w:t>
            </w:r>
          </w:p>
        </w:tc>
        <w:tc>
          <w:tcPr>
            <w:tcW w:w="47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b/>
                <w:bCs/>
                <w:sz w:val="20"/>
                <w:szCs w:val="20"/>
              </w:rPr>
              <w:lastRenderedPageBreak/>
              <w:t>Monitor hazardous materials use:</w:t>
            </w:r>
            <w:r w:rsidRPr="008E696E">
              <w:rPr>
                <w:rFonts w:ascii="Times New Roman" w:eastAsia="Times New Roman" w:hAnsi="Times New Roman" w:cs="Times New Roman"/>
                <w:sz w:val="20"/>
                <w:szCs w:val="20"/>
              </w:rPr>
              <w:t xml:space="preserve"> The borrower should document risks relating to use of hazardous materials and prepare a hazardous material management </w:t>
            </w:r>
            <w:r w:rsidRPr="008E696E">
              <w:rPr>
                <w:rFonts w:ascii="Times New Roman" w:eastAsia="Times New Roman" w:hAnsi="Times New Roman" w:cs="Times New Roman"/>
                <w:sz w:val="20"/>
                <w:szCs w:val="20"/>
              </w:rPr>
              <w:lastRenderedPageBreak/>
              <w:t>plan that indicates how hazardous materials will be managed (and community risks mitigated). This plan could be part of the ESMP.</w:t>
            </w:r>
          </w:p>
        </w:tc>
      </w:tr>
      <w:tr w:rsidR="008E696E" w:rsidRPr="008E696E" w:rsidTr="008E696E">
        <w:tc>
          <w:tcPr>
            <w:tcW w:w="1815" w:type="dxa"/>
            <w:vMerge/>
            <w:tcBorders>
              <w:top w:val="single" w:sz="6" w:space="0" w:color="000000"/>
              <w:left w:val="single" w:sz="6" w:space="0" w:color="000000"/>
              <w:bottom w:val="single" w:sz="4" w:space="0" w:color="auto"/>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970"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Generation of solid waste is moderate in volume, does not include hazardous materials and follows standards recognized by multilateral development banks.</w:t>
            </w:r>
          </w:p>
        </w:tc>
        <w:tc>
          <w:tcPr>
            <w:tcW w:w="4770"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b/>
                <w:bCs/>
                <w:sz w:val="20"/>
                <w:szCs w:val="20"/>
              </w:rPr>
              <w:t>Solid Waste Management:</w:t>
            </w:r>
            <w:r w:rsidRPr="008E696E">
              <w:rPr>
                <w:rFonts w:ascii="Times New Roman" w:eastAsia="Times New Roman" w:hAnsi="Times New Roman" w:cs="Times New Roman"/>
                <w:sz w:val="20"/>
                <w:szCs w:val="20"/>
              </w:rPr>
              <w:t xml:space="preserve"> The borrower should monitor and report on waste reduction, management and disposal and may also need to develop a Waste Management Plan (which could be included in the ESMP). Effort should be placed on reducing and re-cycling solid wastes. Specifically (if applicable) in the case that national legislations have no provisions for the disposal and destruction of hazardous materials, the applicable procedures established within the Rotterdam</w:t>
            </w:r>
          </w:p>
          <w:p w:rsidR="008E696E" w:rsidRPr="008E696E" w:rsidRDefault="008E696E" w:rsidP="00D25483">
            <w:pPr>
              <w:spacing w:after="0" w:line="240" w:lineRule="auto"/>
              <w:rPr>
                <w:rFonts w:ascii="Times New Roman" w:eastAsia="Times New Roman" w:hAnsi="Times New Roman" w:cs="Times New Roman"/>
                <w:sz w:val="20"/>
                <w:szCs w:val="20"/>
              </w:rPr>
            </w:pPr>
          </w:p>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Convention, the Stockholm Convention, the Basel Convention, the WHO List on Banned Pesticides, and the Pollution Prevention and Abatement Handbook (PPAH), should be taken into consideration.</w:t>
            </w:r>
          </w:p>
        </w:tc>
      </w:tr>
      <w:tr w:rsidR="008E696E" w:rsidRPr="008E696E" w:rsidTr="008E696E">
        <w:tc>
          <w:tcPr>
            <w:tcW w:w="1815" w:type="dxa"/>
            <w:vMerge/>
            <w:tcBorders>
              <w:top w:val="single" w:sz="4" w:space="0" w:color="auto"/>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2970" w:type="dxa"/>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Likely to have minor to moderate emission or discharges that would negatively affect ambient environmental conditions.</w:t>
            </w:r>
          </w:p>
        </w:tc>
        <w:tc>
          <w:tcPr>
            <w:tcW w:w="4770" w:type="dxa"/>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b/>
                <w:bCs/>
                <w:sz w:val="20"/>
                <w:szCs w:val="20"/>
              </w:rPr>
              <w:t>Management of Ambient Environmental Conditions:</w:t>
            </w:r>
            <w:r w:rsidRPr="008E696E">
              <w:rPr>
                <w:rFonts w:ascii="Times New Roman" w:eastAsia="Times New Roman" w:hAnsi="Times New Roman" w:cs="Times New Roman"/>
                <w:sz w:val="20"/>
                <w:szCs w:val="20"/>
              </w:rPr>
              <w:t xml:space="preserve"> The borrower should be required to prepare an action plan (and include it in the ESMP) that indicates how risks and impacts to ambient environmental conditions can be managed and mitigated consistent with relevant national requirements and international standards and guidelines such as the IFC Water and Sanitation Guidelines (as appropriate). The borrower should (a) consider a number of factors, including the finite assimilative capacity of the environment, existing and future land use, existing ambient conditions, the project's proximity to 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experts. Depending on the financial product, this information should be referenced in appropriate legal documentation (covenants, conditions of disbursement, etc.).</w:t>
            </w:r>
          </w:p>
        </w:tc>
      </w:tr>
    </w:tbl>
    <w:p w:rsidR="008E696E" w:rsidRPr="008E696E" w:rsidRDefault="008E696E">
      <w:pPr>
        <w:rPr>
          <w:sz w:val="2"/>
          <w:szCs w:val="2"/>
        </w:rPr>
      </w:pPr>
    </w:p>
    <w:tbl>
      <w:tblPr>
        <w:tblW w:w="955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20"/>
        <w:gridCol w:w="3285"/>
        <w:gridCol w:w="4950"/>
      </w:tblGrid>
      <w:tr w:rsidR="008E696E" w:rsidRPr="008E696E" w:rsidTr="008E696E">
        <w:tc>
          <w:tcPr>
            <w:tcW w:w="132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DISASTER SUMMARY</w:t>
            </w:r>
          </w:p>
        </w:tc>
        <w:tc>
          <w:tcPr>
            <w:tcW w:w="328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Details</w:t>
            </w:r>
            <w:r w:rsidRPr="008E696E">
              <w:rPr>
                <w:rFonts w:ascii="Times New Roman" w:eastAsia="Times New Roman" w:hAnsi="Times New Roman" w:cs="Times New Roman"/>
                <w:b/>
                <w:bCs/>
                <w:sz w:val="20"/>
                <w:szCs w:val="20"/>
              </w:rPr>
              <w:br/>
            </w:r>
            <w:r w:rsidRPr="008E696E">
              <w:rPr>
                <w:rFonts w:ascii="Times New Roman" w:eastAsia="Times New Roman" w:hAnsi="Times New Roman" w:cs="Times New Roman"/>
                <w:b/>
                <w:bCs/>
                <w:sz w:val="20"/>
                <w:szCs w:val="20"/>
              </w:rPr>
              <w:br/>
            </w:r>
            <w:r w:rsidRPr="008E696E">
              <w:rPr>
                <w:rFonts w:ascii="Times New Roman" w:eastAsia="Times New Roman" w:hAnsi="Times New Roman" w:cs="Times New Roman"/>
                <w:sz w:val="20"/>
                <w:szCs w:val="20"/>
              </w:rPr>
              <w:t xml:space="preserve">The Project should include the necessary measures to reduce disaster risk to acceptable levels as determined by the Bank on the basis of generally accepted standards and practices. Alternative prevention and </w:t>
            </w:r>
            <w:r w:rsidRPr="008E696E">
              <w:rPr>
                <w:rFonts w:ascii="Times New Roman" w:eastAsia="Times New Roman" w:hAnsi="Times New Roman" w:cs="Times New Roman"/>
                <w:sz w:val="20"/>
                <w:szCs w:val="20"/>
              </w:rPr>
              <w:lastRenderedPageBreak/>
              <w:t>mitigation measures that decrease vulnerability must be analyzed and included in 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49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lastRenderedPageBreak/>
              <w:t>Actions</w:t>
            </w:r>
            <w:r w:rsidRPr="008E696E">
              <w:rPr>
                <w:rFonts w:ascii="Times New Roman" w:eastAsia="Times New Roman" w:hAnsi="Times New Roman" w:cs="Times New Roman"/>
                <w:b/>
                <w:bCs/>
                <w:sz w:val="20"/>
                <w:szCs w:val="20"/>
              </w:rPr>
              <w:br/>
            </w:r>
            <w:r w:rsidRPr="008E696E">
              <w:rPr>
                <w:rFonts w:ascii="Times New Roman" w:eastAsia="Times New Roman" w:hAnsi="Times New Roman" w:cs="Times New Roman"/>
                <w:b/>
                <w:bCs/>
                <w:sz w:val="20"/>
                <w:szCs w:val="20"/>
              </w:rPr>
              <w:br/>
            </w:r>
            <w:r w:rsidRPr="008E696E">
              <w:rPr>
                <w:rFonts w:ascii="Times New Roman" w:eastAsia="Times New Roman" w:hAnsi="Times New Roman" w:cs="Times New Roman"/>
                <w:sz w:val="20"/>
                <w:szCs w:val="20"/>
              </w:rPr>
              <w:t>A more limited and specific Disaster Risk Assessment (DRA) may be required (see Directive A-2 of the DRM Policy OP-704). Please contact a Natural Disaster Specialist in VPS/ESG or INE/RND for guidance.</w:t>
            </w:r>
            <w:r w:rsidRPr="008E696E">
              <w:rPr>
                <w:rFonts w:ascii="Times New Roman" w:eastAsia="Times New Roman" w:hAnsi="Times New Roman" w:cs="Times New Roman"/>
                <w:sz w:val="20"/>
                <w:szCs w:val="20"/>
              </w:rPr>
              <w:br/>
            </w:r>
            <w:r w:rsidRPr="008E696E">
              <w:rPr>
                <w:rFonts w:ascii="Times New Roman" w:eastAsia="Times New Roman" w:hAnsi="Times New Roman" w:cs="Times New Roman"/>
                <w:sz w:val="20"/>
                <w:szCs w:val="20"/>
              </w:rPr>
              <w:br/>
              <w:t xml:space="preserve">Also: if the project needs to be modified to increase </w:t>
            </w:r>
            <w:r w:rsidRPr="008E696E">
              <w:rPr>
                <w:rFonts w:ascii="Times New Roman" w:eastAsia="Times New Roman" w:hAnsi="Times New Roman" w:cs="Times New Roman"/>
                <w:sz w:val="20"/>
                <w:szCs w:val="20"/>
              </w:rPr>
              <w:lastRenderedPageBreak/>
              <w:t>resilience to climate change, consider the (i) possibility of classification as adaptation project and (ii) additional financing options. Please contact a INE/CCS adaptation specialist for guidance.</w:t>
            </w:r>
            <w:r w:rsidRPr="008E696E">
              <w:rPr>
                <w:rFonts w:ascii="Times New Roman" w:eastAsia="Times New Roman" w:hAnsi="Times New Roman" w:cs="Times New Roman"/>
                <w:sz w:val="20"/>
                <w:szCs w:val="20"/>
              </w:rPr>
              <w:br/>
            </w:r>
            <w:r w:rsidRPr="008E696E">
              <w:rPr>
                <w:rFonts w:ascii="Times New Roman" w:eastAsia="Times New Roman" w:hAnsi="Times New Roman" w:cs="Times New Roman"/>
                <w:sz w:val="20"/>
                <w:szCs w:val="20"/>
              </w:rPr>
              <w:br/>
              <w:t>The project triggered the Other Risks policy (B.04): climate risk.Please include sections on how climate risk will be dealt with in the ESS as well as client documents (EIA, EA, etc);Recommend addressing risks from gradual changes in climate for the project in cost/benefit and credit risk analyses as well as TORs for engineering studies.</w:t>
            </w:r>
          </w:p>
        </w:tc>
      </w:tr>
    </w:tbl>
    <w:p w:rsidR="008E696E" w:rsidRPr="008E696E" w:rsidRDefault="008E696E" w:rsidP="008E696E">
      <w:pPr>
        <w:spacing w:after="0" w:line="240" w:lineRule="auto"/>
        <w:rPr>
          <w:rFonts w:ascii="Times New Roman" w:eastAsia="Times New Roman" w:hAnsi="Times New Roman" w:cs="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34"/>
        <w:gridCol w:w="2533"/>
        <w:gridCol w:w="5603"/>
      </w:tblGrid>
      <w:tr w:rsidR="008E696E" w:rsidRPr="008E696E" w:rsidTr="00D25483">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jc w:val="center"/>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lang w:val="es-ES_tradnl"/>
              </w:rPr>
            </w:pPr>
            <w:r w:rsidRPr="008E696E">
              <w:rPr>
                <w:rFonts w:ascii="Times New Roman" w:eastAsia="Times New Roman" w:hAnsi="Times New Roman" w:cs="Times New Roman"/>
                <w:sz w:val="20"/>
                <w:szCs w:val="20"/>
                <w:lang w:val="es-ES_tradnl"/>
              </w:rPr>
              <w:t>Muñoz Castillo, Raúl (raulmu@IADB.ORG)</w:t>
            </w:r>
          </w:p>
        </w:tc>
      </w:tr>
      <w:tr w:rsidR="008E696E" w:rsidRPr="008E696E" w:rsidTr="00D25483">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lang w:val="es-ES_tradn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p>
        </w:tc>
      </w:tr>
      <w:tr w:rsidR="008E696E" w:rsidRPr="008E696E" w:rsidTr="00D25483">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E696E" w:rsidRPr="008E696E" w:rsidRDefault="008E696E" w:rsidP="00D25483">
            <w:pPr>
              <w:spacing w:after="0" w:line="240" w:lineRule="auto"/>
              <w:rPr>
                <w:rFonts w:ascii="Times New Roman" w:eastAsia="Times New Roman" w:hAnsi="Times New Roman" w:cs="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696E" w:rsidRPr="008E696E" w:rsidRDefault="008E696E" w:rsidP="00D25483">
            <w:pPr>
              <w:spacing w:after="0" w:line="240" w:lineRule="auto"/>
              <w:rPr>
                <w:rFonts w:ascii="Times New Roman" w:eastAsia="Times New Roman" w:hAnsi="Times New Roman" w:cs="Times New Roman"/>
                <w:b/>
                <w:bCs/>
                <w:sz w:val="20"/>
                <w:szCs w:val="20"/>
              </w:rPr>
            </w:pPr>
            <w:r w:rsidRPr="008E696E">
              <w:rPr>
                <w:rFonts w:ascii="Times New Roman" w:eastAsia="Times New Roman" w:hAnsi="Times New Roman" w:cs="Times New Roman"/>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E696E" w:rsidRPr="008E696E" w:rsidRDefault="008E696E" w:rsidP="00D25483">
            <w:pPr>
              <w:spacing w:after="0" w:line="240" w:lineRule="auto"/>
              <w:rPr>
                <w:rFonts w:ascii="Times New Roman" w:eastAsia="Times New Roman" w:hAnsi="Times New Roman" w:cs="Times New Roman"/>
                <w:sz w:val="20"/>
                <w:szCs w:val="20"/>
              </w:rPr>
            </w:pPr>
            <w:r w:rsidRPr="008E696E">
              <w:rPr>
                <w:rFonts w:ascii="Times New Roman" w:eastAsia="Times New Roman" w:hAnsi="Times New Roman" w:cs="Times New Roman"/>
                <w:sz w:val="20"/>
                <w:szCs w:val="20"/>
              </w:rPr>
              <w:t>2013-09-27</w:t>
            </w:r>
          </w:p>
        </w:tc>
      </w:tr>
    </w:tbl>
    <w:p w:rsidR="00BC1B8E" w:rsidRPr="008E696E" w:rsidRDefault="00BC1B8E" w:rsidP="008E696E">
      <w:pPr>
        <w:spacing w:after="0" w:line="240" w:lineRule="auto"/>
        <w:rPr>
          <w:rFonts w:ascii="Times New Roman" w:hAnsi="Times New Roman" w:cs="Times New Roman"/>
          <w:sz w:val="20"/>
          <w:szCs w:val="20"/>
        </w:rPr>
      </w:pPr>
    </w:p>
    <w:sectPr w:rsidR="00BC1B8E" w:rsidRPr="008E696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6B7" w:rsidRDefault="001606B7" w:rsidP="00391ED0">
      <w:pPr>
        <w:spacing w:after="0" w:line="240" w:lineRule="auto"/>
      </w:pPr>
      <w:r>
        <w:separator/>
      </w:r>
    </w:p>
  </w:endnote>
  <w:endnote w:type="continuationSeparator" w:id="0">
    <w:p w:rsidR="001606B7" w:rsidRDefault="001606B7" w:rsidP="0039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6B7" w:rsidRDefault="001606B7" w:rsidP="00391ED0">
      <w:pPr>
        <w:spacing w:after="0" w:line="240" w:lineRule="auto"/>
      </w:pPr>
      <w:r>
        <w:separator/>
      </w:r>
    </w:p>
  </w:footnote>
  <w:footnote w:type="continuationSeparator" w:id="0">
    <w:p w:rsidR="001606B7" w:rsidRDefault="001606B7" w:rsidP="00391E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ED0" w:rsidRPr="00144F97" w:rsidRDefault="00144F97" w:rsidP="00144F97">
    <w:pPr>
      <w:pStyle w:val="Header"/>
      <w:ind w:left="7560" w:hanging="180"/>
      <w:rPr>
        <w:rFonts w:ascii="Times New Roman" w:hAnsi="Times New Roman" w:cs="Times New Roman"/>
        <w:sz w:val="20"/>
        <w:szCs w:val="20"/>
      </w:rPr>
    </w:pPr>
    <w:r w:rsidRPr="00144F97">
      <w:rPr>
        <w:rFonts w:ascii="Times New Roman" w:hAnsi="Times New Roman" w:cs="Times New Roman"/>
        <w:sz w:val="20"/>
        <w:szCs w:val="20"/>
      </w:rPr>
      <w:t xml:space="preserve">Annex IV - </w:t>
    </w:r>
    <w:r w:rsidR="00391ED0" w:rsidRPr="00144F97">
      <w:rPr>
        <w:rFonts w:ascii="Times New Roman" w:hAnsi="Times New Roman" w:cs="Times New Roman"/>
        <w:sz w:val="20"/>
        <w:szCs w:val="20"/>
      </w:rPr>
      <w:t>TT-L1036</w:t>
    </w:r>
  </w:p>
  <w:p w:rsidR="00391ED0" w:rsidRPr="00144F97" w:rsidRDefault="00FB396D" w:rsidP="00391ED0">
    <w:pPr>
      <w:pStyle w:val="Header"/>
      <w:ind w:left="7920"/>
      <w:rPr>
        <w:rFonts w:ascii="Times New Roman" w:hAnsi="Times New Roman" w:cs="Times New Roman"/>
        <w:sz w:val="20"/>
        <w:szCs w:val="20"/>
      </w:rPr>
    </w:pPr>
    <w:sdt>
      <w:sdtPr>
        <w:rPr>
          <w:rFonts w:ascii="Times New Roman" w:hAnsi="Times New Roman" w:cs="Times New Roman"/>
          <w:sz w:val="20"/>
          <w:szCs w:val="20"/>
        </w:rPr>
        <w:id w:val="1168209085"/>
        <w:docPartObj>
          <w:docPartGallery w:val="Page Numbers (Top of Page)"/>
          <w:docPartUnique/>
        </w:docPartObj>
      </w:sdtPr>
      <w:sdtEndPr/>
      <w:sdtContent>
        <w:r w:rsidR="00144F97" w:rsidRPr="00144F97">
          <w:rPr>
            <w:rFonts w:ascii="Times New Roman" w:hAnsi="Times New Roman" w:cs="Times New Roman"/>
            <w:sz w:val="20"/>
            <w:szCs w:val="20"/>
          </w:rPr>
          <w:t xml:space="preserve">        </w:t>
        </w:r>
        <w:r w:rsidR="00391ED0" w:rsidRPr="00144F97">
          <w:rPr>
            <w:rFonts w:ascii="Times New Roman" w:hAnsi="Times New Roman" w:cs="Times New Roman"/>
            <w:sz w:val="20"/>
            <w:szCs w:val="20"/>
          </w:rPr>
          <w:t xml:space="preserve">Page </w:t>
        </w:r>
        <w:r w:rsidR="00391ED0" w:rsidRPr="00144F97">
          <w:rPr>
            <w:rFonts w:ascii="Times New Roman" w:hAnsi="Times New Roman" w:cs="Times New Roman"/>
            <w:bCs/>
            <w:sz w:val="20"/>
            <w:szCs w:val="20"/>
          </w:rPr>
          <w:fldChar w:fldCharType="begin"/>
        </w:r>
        <w:r w:rsidR="00391ED0" w:rsidRPr="00144F97">
          <w:rPr>
            <w:rFonts w:ascii="Times New Roman" w:hAnsi="Times New Roman" w:cs="Times New Roman"/>
            <w:bCs/>
            <w:sz w:val="20"/>
            <w:szCs w:val="20"/>
          </w:rPr>
          <w:instrText xml:space="preserve"> PAGE </w:instrText>
        </w:r>
        <w:r w:rsidR="00391ED0" w:rsidRPr="00144F97">
          <w:rPr>
            <w:rFonts w:ascii="Times New Roman" w:hAnsi="Times New Roman" w:cs="Times New Roman"/>
            <w:bCs/>
            <w:sz w:val="20"/>
            <w:szCs w:val="20"/>
          </w:rPr>
          <w:fldChar w:fldCharType="separate"/>
        </w:r>
        <w:r>
          <w:rPr>
            <w:rFonts w:ascii="Times New Roman" w:hAnsi="Times New Roman" w:cs="Times New Roman"/>
            <w:bCs/>
            <w:noProof/>
            <w:sz w:val="20"/>
            <w:szCs w:val="20"/>
          </w:rPr>
          <w:t>6</w:t>
        </w:r>
        <w:r w:rsidR="00391ED0" w:rsidRPr="00144F97">
          <w:rPr>
            <w:rFonts w:ascii="Times New Roman" w:hAnsi="Times New Roman" w:cs="Times New Roman"/>
            <w:bCs/>
            <w:sz w:val="20"/>
            <w:szCs w:val="20"/>
          </w:rPr>
          <w:fldChar w:fldCharType="end"/>
        </w:r>
        <w:r w:rsidR="00391ED0" w:rsidRPr="00144F97">
          <w:rPr>
            <w:rFonts w:ascii="Times New Roman" w:hAnsi="Times New Roman" w:cs="Times New Roman"/>
            <w:sz w:val="20"/>
            <w:szCs w:val="20"/>
          </w:rPr>
          <w:t xml:space="preserve"> of </w:t>
        </w:r>
        <w:r w:rsidR="00391ED0" w:rsidRPr="00144F97">
          <w:rPr>
            <w:rFonts w:ascii="Times New Roman" w:hAnsi="Times New Roman" w:cs="Times New Roman"/>
            <w:bCs/>
            <w:sz w:val="20"/>
            <w:szCs w:val="20"/>
          </w:rPr>
          <w:fldChar w:fldCharType="begin"/>
        </w:r>
        <w:r w:rsidR="00391ED0" w:rsidRPr="00144F97">
          <w:rPr>
            <w:rFonts w:ascii="Times New Roman" w:hAnsi="Times New Roman" w:cs="Times New Roman"/>
            <w:bCs/>
            <w:sz w:val="20"/>
            <w:szCs w:val="20"/>
          </w:rPr>
          <w:instrText xml:space="preserve"> NUMPAGES  </w:instrText>
        </w:r>
        <w:r w:rsidR="00391ED0" w:rsidRPr="00144F97">
          <w:rPr>
            <w:rFonts w:ascii="Times New Roman" w:hAnsi="Times New Roman" w:cs="Times New Roman"/>
            <w:bCs/>
            <w:sz w:val="20"/>
            <w:szCs w:val="20"/>
          </w:rPr>
          <w:fldChar w:fldCharType="separate"/>
        </w:r>
        <w:r>
          <w:rPr>
            <w:rFonts w:ascii="Times New Roman" w:hAnsi="Times New Roman" w:cs="Times New Roman"/>
            <w:bCs/>
            <w:noProof/>
            <w:sz w:val="20"/>
            <w:szCs w:val="20"/>
          </w:rPr>
          <w:t>6</w:t>
        </w:r>
        <w:r w:rsidR="00391ED0" w:rsidRPr="00144F97">
          <w:rPr>
            <w:rFonts w:ascii="Times New Roman" w:hAnsi="Times New Roman" w:cs="Times New Roman"/>
            <w:bCs/>
            <w:sz w:val="20"/>
            <w:szCs w:val="20"/>
          </w:rPr>
          <w:fldChar w:fldCharType="end"/>
        </w:r>
      </w:sdtContent>
    </w:sdt>
  </w:p>
  <w:p w:rsidR="00391ED0" w:rsidRDefault="00391E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9B1"/>
    <w:rsid w:val="000F6463"/>
    <w:rsid w:val="00122B8D"/>
    <w:rsid w:val="00144F97"/>
    <w:rsid w:val="001606B7"/>
    <w:rsid w:val="00274B7B"/>
    <w:rsid w:val="00391ED0"/>
    <w:rsid w:val="004C2A7E"/>
    <w:rsid w:val="005A4F21"/>
    <w:rsid w:val="006E0CEC"/>
    <w:rsid w:val="008629B1"/>
    <w:rsid w:val="008E696E"/>
    <w:rsid w:val="00BC1B8E"/>
    <w:rsid w:val="00F57FBA"/>
    <w:rsid w:val="00FB396D"/>
    <w:rsid w:val="00FE1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E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ED0"/>
  </w:style>
  <w:style w:type="paragraph" w:styleId="Footer">
    <w:name w:val="footer"/>
    <w:basedOn w:val="Normal"/>
    <w:link w:val="FooterChar"/>
    <w:uiPriority w:val="99"/>
    <w:unhideWhenUsed/>
    <w:rsid w:val="00391E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E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E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ED0"/>
  </w:style>
  <w:style w:type="paragraph" w:styleId="Footer">
    <w:name w:val="footer"/>
    <w:basedOn w:val="Normal"/>
    <w:link w:val="FooterChar"/>
    <w:uiPriority w:val="99"/>
    <w:unhideWhenUsed/>
    <w:rsid w:val="00391E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2421">
      <w:bodyDiv w:val="1"/>
      <w:marLeft w:val="0"/>
      <w:marRight w:val="0"/>
      <w:marTop w:val="0"/>
      <w:marBottom w:val="0"/>
      <w:divBdr>
        <w:top w:val="none" w:sz="0" w:space="0" w:color="auto"/>
        <w:left w:val="none" w:sz="0" w:space="0" w:color="auto"/>
        <w:bottom w:val="none" w:sz="0" w:space="0" w:color="auto"/>
        <w:right w:val="none" w:sz="0" w:space="0" w:color="auto"/>
      </w:divBdr>
      <w:divsChild>
        <w:div w:id="599067275">
          <w:marLeft w:val="0"/>
          <w:marRight w:val="0"/>
          <w:marTop w:val="0"/>
          <w:marBottom w:val="0"/>
          <w:divBdr>
            <w:top w:val="none" w:sz="0" w:space="0" w:color="auto"/>
            <w:left w:val="none" w:sz="0" w:space="0" w:color="auto"/>
            <w:bottom w:val="none" w:sz="0" w:space="0" w:color="auto"/>
            <w:right w:val="none" w:sz="0" w:space="0" w:color="auto"/>
          </w:divBdr>
        </w:div>
        <w:div w:id="2085105215">
          <w:marLeft w:val="0"/>
          <w:marRight w:val="0"/>
          <w:marTop w:val="0"/>
          <w:marBottom w:val="0"/>
          <w:divBdr>
            <w:top w:val="none" w:sz="0" w:space="0" w:color="auto"/>
            <w:left w:val="none" w:sz="0" w:space="0" w:color="auto"/>
            <w:bottom w:val="none" w:sz="0" w:space="0" w:color="auto"/>
            <w:right w:val="none" w:sz="0" w:space="0" w:color="auto"/>
          </w:divBdr>
        </w:div>
      </w:divsChild>
    </w:div>
    <w:div w:id="1867060906">
      <w:bodyDiv w:val="1"/>
      <w:marLeft w:val="0"/>
      <w:marRight w:val="0"/>
      <w:marTop w:val="0"/>
      <w:marBottom w:val="0"/>
      <w:divBdr>
        <w:top w:val="none" w:sz="0" w:space="0" w:color="auto"/>
        <w:left w:val="none" w:sz="0" w:space="0" w:color="auto"/>
        <w:bottom w:val="none" w:sz="0" w:space="0" w:color="auto"/>
        <w:right w:val="none" w:sz="0" w:space="0" w:color="auto"/>
      </w:divBdr>
      <w:divsChild>
        <w:div w:id="1013074284">
          <w:marLeft w:val="0"/>
          <w:marRight w:val="0"/>
          <w:marTop w:val="0"/>
          <w:marBottom w:val="0"/>
          <w:divBdr>
            <w:top w:val="none" w:sz="0" w:space="0" w:color="auto"/>
            <w:left w:val="none" w:sz="0" w:space="0" w:color="auto"/>
            <w:bottom w:val="none" w:sz="0" w:space="0" w:color="auto"/>
            <w:right w:val="none" w:sz="0" w:space="0" w:color="auto"/>
          </w:divBdr>
        </w:div>
        <w:div w:id="1544515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DF7B7F64EF7594F8E890B161218140F" ma:contentTypeVersion="0" ma:contentTypeDescription="A content type to manage public (operations) IDB documents" ma:contentTypeScope="" ma:versionID="2a4eb675477de3f8e9823e4589555a7f">
  <xsd:schema xmlns:xsd="http://www.w3.org/2001/XMLSchema" xmlns:xs="http://www.w3.org/2001/XMLSchema" xmlns:p="http://schemas.microsoft.com/office/2006/metadata/properties" xmlns:ns2="9c571b2f-e523-4ab2-ba2e-09e151a03ef4" targetNamespace="http://schemas.microsoft.com/office/2006/metadata/properties" ma:root="true" ma:fieldsID="937caba5ef611e13f9a97f1691dd91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dcc9c2e-de7c-4e25-b077-150b0a612304}" ma:internalName="TaxCatchAll" ma:showField="CatchAllData"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dcc9c2e-de7c-4e25-b077-150b0a612304}" ma:internalName="TaxCatchAllLabel" ma:readOnly="true" ma:showField="CatchAllDataLabel"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38150354</IDBDocs_x0020_Number>
    <Document_x0020_Author xmlns="9c571b2f-e523-4ab2-ba2e-09e151a03ef4">Cayetano, Evan Stephen</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TT-L1036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OS-ASU</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A67F526-0E76-4C01-B7A3-05999FF645F4}"/>
</file>

<file path=customXml/itemProps2.xml><?xml version="1.0" encoding="utf-8"?>
<ds:datastoreItem xmlns:ds="http://schemas.openxmlformats.org/officeDocument/2006/customXml" ds:itemID="{C711768F-BF1A-4F65-A5BD-AA7BE3431853}"/>
</file>

<file path=customXml/itemProps3.xml><?xml version="1.0" encoding="utf-8"?>
<ds:datastoreItem xmlns:ds="http://schemas.openxmlformats.org/officeDocument/2006/customXml" ds:itemID="{D8073179-AC05-4F1A-8508-C17D6148D229}"/>
</file>

<file path=customXml/itemProps4.xml><?xml version="1.0" encoding="utf-8"?>
<ds:datastoreItem xmlns:ds="http://schemas.openxmlformats.org/officeDocument/2006/customXml" ds:itemID="{F81B9AA5-1C21-4780-B52F-408F2C484DF6}"/>
</file>

<file path=customXml/itemProps5.xml><?xml version="1.0" encoding="utf-8"?>
<ds:datastoreItem xmlns:ds="http://schemas.openxmlformats.org/officeDocument/2006/customXml" ds:itemID="{632681DB-A528-41DB-A8FD-46A52310DF5C}"/>
</file>

<file path=docProps/app.xml><?xml version="1.0" encoding="utf-8"?>
<Properties xmlns="http://schemas.openxmlformats.org/officeDocument/2006/extended-properties" xmlns:vt="http://schemas.openxmlformats.org/officeDocument/2006/docPropsVTypes">
  <Template>Normal.dotm</Template>
  <TotalTime>51</TotalTime>
  <Pages>6</Pages>
  <Words>1714</Words>
  <Characters>9772</Characters>
  <Application>Microsoft Office Word</Application>
  <DocSecurity>0</DocSecurity>
  <Lines>81</Lines>
  <Paragraphs>22</Paragraphs>
  <ScaleCrop>false</ScaleCrop>
  <Company>Inter-American Development Bank</Company>
  <LinksUpToDate>false</LinksUpToDate>
  <CharactersWithSpaces>11464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Screening Forms</dc:title>
  <dc:creator>Test</dc:creator>
  <cp:lastModifiedBy>ic</cp:lastModifiedBy>
  <cp:revision>8</cp:revision>
  <cp:lastPrinted>2013-11-22T21:38:00Z</cp:lastPrinted>
  <dcterms:created xsi:type="dcterms:W3CDTF">2013-10-07T20:30:00Z</dcterms:created>
  <dcterms:modified xsi:type="dcterms:W3CDTF">2013-11-22T22:21:00Z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0x01010046CF21643EE8D14686A648AA6DAD089200EDF7B7F64EF7594F8E890B161218140F</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