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7F2CD9" w:rsidRDefault="001B5186" w:rsidP="007F2CD9">
      <w:pPr>
        <w:pStyle w:val="ColorfulList-Accent11"/>
        <w:spacing w:after="0" w:line="360" w:lineRule="auto"/>
        <w:ind w:left="0"/>
        <w:jc w:val="center"/>
        <w:rPr>
          <w:rFonts w:ascii="Times New Roman" w:hAnsi="Times New Roman"/>
          <w:b/>
          <w:sz w:val="24"/>
          <w:szCs w:val="24"/>
        </w:rPr>
      </w:pPr>
      <w:bookmarkStart w:id="0" w:name="_GoBack"/>
      <w:bookmarkEnd w:id="0"/>
    </w:p>
    <w:p w:rsidR="001B5186" w:rsidRPr="007F2CD9" w:rsidRDefault="00934CDA" w:rsidP="007F2CD9">
      <w:pPr>
        <w:tabs>
          <w:tab w:val="left" w:pos="1440"/>
          <w:tab w:val="left" w:pos="3060"/>
        </w:tabs>
        <w:spacing w:after="0" w:line="360" w:lineRule="auto"/>
        <w:jc w:val="center"/>
        <w:rPr>
          <w:rFonts w:ascii="Times New Roman" w:hAnsi="Times New Roman"/>
          <w:b/>
          <w:smallCaps/>
          <w:sz w:val="24"/>
          <w:szCs w:val="24"/>
        </w:rPr>
      </w:pPr>
      <w:r w:rsidRPr="007F2CD9">
        <w:rPr>
          <w:rFonts w:ascii="Times New Roman" w:hAnsi="Times New Roman"/>
          <w:b/>
          <w:smallCaps/>
          <w:sz w:val="24"/>
          <w:szCs w:val="24"/>
        </w:rPr>
        <w:t>Trinidad and Tobago</w:t>
      </w:r>
    </w:p>
    <w:p w:rsidR="001B5186" w:rsidRPr="007F2CD9" w:rsidRDefault="001B5186" w:rsidP="007F2CD9">
      <w:pPr>
        <w:tabs>
          <w:tab w:val="left" w:pos="1440"/>
          <w:tab w:val="left" w:pos="3060"/>
        </w:tabs>
        <w:spacing w:after="0" w:line="360" w:lineRule="auto"/>
        <w:jc w:val="center"/>
        <w:rPr>
          <w:rFonts w:ascii="Times New Roman" w:hAnsi="Times New Roman"/>
          <w:b/>
          <w:smallCaps/>
          <w:sz w:val="24"/>
          <w:szCs w:val="24"/>
        </w:rPr>
      </w:pPr>
    </w:p>
    <w:p w:rsidR="001B5186" w:rsidRPr="007F2CD9" w:rsidRDefault="001B5186" w:rsidP="007F2CD9">
      <w:pPr>
        <w:tabs>
          <w:tab w:val="left" w:pos="1440"/>
          <w:tab w:val="left" w:pos="3060"/>
        </w:tabs>
        <w:spacing w:after="0" w:line="360" w:lineRule="auto"/>
        <w:jc w:val="center"/>
        <w:rPr>
          <w:rFonts w:ascii="Times New Roman" w:hAnsi="Times New Roman"/>
          <w:b/>
          <w:smallCaps/>
          <w:sz w:val="24"/>
          <w:szCs w:val="24"/>
        </w:rPr>
      </w:pPr>
    </w:p>
    <w:p w:rsidR="001B5186" w:rsidRPr="00CE4B39" w:rsidRDefault="00841216" w:rsidP="007F2CD9">
      <w:pPr>
        <w:tabs>
          <w:tab w:val="left" w:pos="1440"/>
          <w:tab w:val="left" w:pos="3060"/>
        </w:tabs>
        <w:spacing w:after="0" w:line="360" w:lineRule="auto"/>
        <w:jc w:val="center"/>
        <w:rPr>
          <w:rFonts w:ascii="Times New Roman Bold" w:hAnsi="Times New Roman Bold"/>
          <w:b/>
          <w:smallCaps/>
          <w:sz w:val="24"/>
          <w:szCs w:val="24"/>
        </w:rPr>
      </w:pPr>
      <w:r w:rsidRPr="00CE4B39">
        <w:rPr>
          <w:rFonts w:ascii="Times New Roman Bold" w:hAnsi="Times New Roman Bold"/>
          <w:b/>
          <w:smallCaps/>
          <w:sz w:val="24"/>
          <w:szCs w:val="24"/>
        </w:rPr>
        <w:t xml:space="preserve">FLOOD ALLEVIATION AND DRAINAGE </w:t>
      </w:r>
      <w:r w:rsidR="00C17731" w:rsidRPr="00CE4B39">
        <w:rPr>
          <w:rFonts w:ascii="Times New Roman Bold" w:hAnsi="Times New Roman Bold"/>
          <w:b/>
          <w:smallCaps/>
          <w:sz w:val="24"/>
          <w:szCs w:val="24"/>
        </w:rPr>
        <w:t>PROGRAM</w:t>
      </w:r>
      <w:r w:rsidR="00C17731" w:rsidRPr="00CE4B39" w:rsidDel="00C17731">
        <w:rPr>
          <w:rFonts w:ascii="Times New Roman Bold" w:hAnsi="Times New Roman Bold"/>
          <w:b/>
          <w:smallCaps/>
          <w:sz w:val="24"/>
          <w:szCs w:val="24"/>
        </w:rPr>
        <w:t xml:space="preserve"> </w:t>
      </w:r>
      <w:r w:rsidR="001B5186" w:rsidRPr="00CE4B39">
        <w:rPr>
          <w:rFonts w:ascii="Times New Roman Bold" w:hAnsi="Times New Roman Bold"/>
          <w:b/>
          <w:smallCaps/>
          <w:sz w:val="24"/>
          <w:szCs w:val="24"/>
        </w:rPr>
        <w:t>(</w:t>
      </w:r>
      <w:r w:rsidR="00934CDA" w:rsidRPr="00CE4B39">
        <w:rPr>
          <w:rFonts w:ascii="Times New Roman Bold" w:hAnsi="Times New Roman Bold"/>
          <w:b/>
          <w:smallCaps/>
          <w:sz w:val="24"/>
          <w:szCs w:val="24"/>
        </w:rPr>
        <w:t>TT-</w:t>
      </w:r>
      <w:r w:rsidR="00C17731" w:rsidRPr="00CE4B39">
        <w:rPr>
          <w:rFonts w:ascii="Times New Roman Bold" w:hAnsi="Times New Roman Bold"/>
          <w:b/>
          <w:smallCaps/>
          <w:sz w:val="24"/>
          <w:szCs w:val="24"/>
        </w:rPr>
        <w:t>L10</w:t>
      </w:r>
      <w:r w:rsidR="003C7E11" w:rsidRPr="00CE4B39">
        <w:rPr>
          <w:rFonts w:ascii="Times New Roman Bold" w:hAnsi="Times New Roman Bold"/>
          <w:b/>
          <w:smallCaps/>
          <w:sz w:val="24"/>
          <w:szCs w:val="24"/>
        </w:rPr>
        <w:t>3</w:t>
      </w:r>
      <w:r w:rsidR="00C17731" w:rsidRPr="00CE4B39">
        <w:rPr>
          <w:rFonts w:ascii="Times New Roman Bold" w:hAnsi="Times New Roman Bold"/>
          <w:b/>
          <w:smallCaps/>
          <w:sz w:val="24"/>
          <w:szCs w:val="24"/>
        </w:rPr>
        <w:t>6</w:t>
      </w:r>
      <w:r w:rsidR="001B5186" w:rsidRPr="00CE4B39">
        <w:rPr>
          <w:rFonts w:ascii="Times New Roman Bold" w:hAnsi="Times New Roman Bold"/>
          <w:b/>
          <w:smallCaps/>
          <w:sz w:val="24"/>
          <w:szCs w:val="24"/>
        </w:rPr>
        <w:t>)</w:t>
      </w:r>
    </w:p>
    <w:p w:rsidR="001B5186" w:rsidRDefault="001B5186" w:rsidP="007F2CD9">
      <w:pPr>
        <w:pStyle w:val="Newpage"/>
        <w:spacing w:line="360" w:lineRule="auto"/>
        <w:rPr>
          <w:rFonts w:ascii="Times New Roman Bold" w:hAnsi="Times New Roman Bold" w:cs="Times New Roman"/>
          <w:b w:val="0"/>
          <w:caps/>
          <w:smallCaps w:val="0"/>
          <w:szCs w:val="24"/>
        </w:rPr>
      </w:pPr>
    </w:p>
    <w:p w:rsidR="00CE4B39" w:rsidRDefault="00CE4B39" w:rsidP="007F2CD9">
      <w:pPr>
        <w:pStyle w:val="Newpage"/>
        <w:spacing w:line="360" w:lineRule="auto"/>
        <w:rPr>
          <w:rFonts w:ascii="Times New Roman Bold" w:hAnsi="Times New Roman Bold" w:cs="Times New Roman"/>
          <w:b w:val="0"/>
          <w:caps/>
          <w:smallCaps w:val="0"/>
          <w:szCs w:val="24"/>
        </w:rPr>
      </w:pPr>
    </w:p>
    <w:p w:rsidR="00CE4B39" w:rsidRDefault="00CE4B39" w:rsidP="007F2CD9">
      <w:pPr>
        <w:pStyle w:val="Newpage"/>
        <w:spacing w:line="360" w:lineRule="auto"/>
        <w:rPr>
          <w:rFonts w:ascii="Times New Roman Bold" w:hAnsi="Times New Roman Bold" w:cs="Times New Roman"/>
          <w:b w:val="0"/>
          <w:caps/>
          <w:smallCaps w:val="0"/>
          <w:szCs w:val="24"/>
        </w:rPr>
      </w:pPr>
    </w:p>
    <w:p w:rsidR="00CE4B39" w:rsidRDefault="00CE4B39" w:rsidP="007F2CD9">
      <w:pPr>
        <w:pStyle w:val="Newpage"/>
        <w:spacing w:line="360" w:lineRule="auto"/>
        <w:rPr>
          <w:rFonts w:ascii="Times New Roman Bold" w:hAnsi="Times New Roman Bold" w:cs="Times New Roman"/>
          <w:b w:val="0"/>
          <w:caps/>
          <w:smallCaps w:val="0"/>
          <w:szCs w:val="24"/>
        </w:rPr>
      </w:pPr>
    </w:p>
    <w:p w:rsidR="00CE4B39" w:rsidRDefault="00CE4B39" w:rsidP="007F2CD9">
      <w:pPr>
        <w:pStyle w:val="Newpage"/>
        <w:spacing w:line="360" w:lineRule="auto"/>
        <w:rPr>
          <w:rFonts w:ascii="Times New Roman Bold" w:hAnsi="Times New Roman Bold" w:cs="Times New Roman"/>
          <w:b w:val="0"/>
          <w:caps/>
          <w:smallCaps w:val="0"/>
          <w:szCs w:val="24"/>
        </w:rPr>
      </w:pPr>
    </w:p>
    <w:p w:rsidR="00CE4B39" w:rsidRDefault="00CE4B39" w:rsidP="007F2CD9">
      <w:pPr>
        <w:pStyle w:val="Newpage"/>
        <w:spacing w:line="360" w:lineRule="auto"/>
        <w:rPr>
          <w:rFonts w:ascii="Times New Roman Bold" w:hAnsi="Times New Roman Bold" w:cs="Times New Roman"/>
          <w:b w:val="0"/>
          <w:caps/>
          <w:smallCaps w:val="0"/>
          <w:szCs w:val="24"/>
        </w:rPr>
      </w:pPr>
    </w:p>
    <w:p w:rsidR="00CE4B39" w:rsidRDefault="00CE4B39" w:rsidP="007F2CD9">
      <w:pPr>
        <w:pStyle w:val="Newpage"/>
        <w:spacing w:line="360" w:lineRule="auto"/>
        <w:rPr>
          <w:rFonts w:ascii="Times New Roman Bold" w:hAnsi="Times New Roman Bold" w:cs="Times New Roman"/>
          <w:b w:val="0"/>
          <w:caps/>
          <w:smallCaps w:val="0"/>
          <w:szCs w:val="24"/>
        </w:rPr>
      </w:pPr>
    </w:p>
    <w:p w:rsidR="00CE4B39" w:rsidRDefault="00CE4B39" w:rsidP="007F2CD9">
      <w:pPr>
        <w:pStyle w:val="Newpage"/>
        <w:spacing w:line="360" w:lineRule="auto"/>
        <w:rPr>
          <w:rFonts w:ascii="Times New Roman Bold" w:hAnsi="Times New Roman Bold" w:cs="Times New Roman"/>
          <w:b w:val="0"/>
          <w:caps/>
          <w:smallCaps w:val="0"/>
          <w:szCs w:val="24"/>
        </w:rPr>
      </w:pPr>
    </w:p>
    <w:p w:rsidR="00CE4B39" w:rsidRDefault="00CE4B39" w:rsidP="007F2CD9">
      <w:pPr>
        <w:pStyle w:val="Newpage"/>
        <w:spacing w:line="360" w:lineRule="auto"/>
        <w:rPr>
          <w:rFonts w:ascii="Times New Roman Bold" w:hAnsi="Times New Roman Bold" w:cs="Times New Roman"/>
          <w:b w:val="0"/>
          <w:caps/>
          <w:smallCaps w:val="0"/>
          <w:szCs w:val="24"/>
        </w:rPr>
      </w:pPr>
    </w:p>
    <w:p w:rsidR="00CE4B39" w:rsidRPr="00CE4B39" w:rsidRDefault="00CE4B39" w:rsidP="007F2CD9">
      <w:pPr>
        <w:pStyle w:val="Newpage"/>
        <w:spacing w:line="360" w:lineRule="auto"/>
        <w:rPr>
          <w:rFonts w:ascii="Times New Roman Bold" w:hAnsi="Times New Roman Bold" w:cs="Times New Roman"/>
          <w:b w:val="0"/>
          <w:caps/>
          <w:smallCaps w:val="0"/>
          <w:szCs w:val="24"/>
        </w:rPr>
      </w:pPr>
    </w:p>
    <w:p w:rsidR="001B5186" w:rsidRPr="007F2CD9" w:rsidRDefault="001B5186" w:rsidP="007F2CD9">
      <w:pPr>
        <w:tabs>
          <w:tab w:val="left" w:pos="1440"/>
          <w:tab w:val="left" w:pos="3060"/>
        </w:tabs>
        <w:spacing w:after="0" w:line="360" w:lineRule="auto"/>
        <w:jc w:val="center"/>
        <w:rPr>
          <w:rFonts w:ascii="Times New Roman" w:hAnsi="Times New Roman"/>
          <w:smallCaps/>
          <w:sz w:val="24"/>
          <w:szCs w:val="24"/>
        </w:rPr>
      </w:pPr>
    </w:p>
    <w:p w:rsidR="001B5186" w:rsidRPr="00CE4B39" w:rsidRDefault="001B5186" w:rsidP="007F2CD9">
      <w:pPr>
        <w:tabs>
          <w:tab w:val="left" w:pos="1440"/>
          <w:tab w:val="left" w:pos="3060"/>
        </w:tabs>
        <w:spacing w:after="0" w:line="360" w:lineRule="auto"/>
        <w:jc w:val="center"/>
        <w:outlineLvl w:val="0"/>
        <w:rPr>
          <w:rFonts w:ascii="Times New Roman Bold" w:hAnsi="Times New Roman Bold"/>
          <w:b/>
          <w:caps/>
          <w:sz w:val="24"/>
          <w:szCs w:val="24"/>
        </w:rPr>
      </w:pPr>
      <w:r w:rsidRPr="00CE4B39">
        <w:rPr>
          <w:rFonts w:ascii="Times New Roman Bold" w:hAnsi="Times New Roman Bold"/>
          <w:b/>
          <w:caps/>
          <w:sz w:val="24"/>
          <w:szCs w:val="24"/>
        </w:rPr>
        <w:t>monitoring and evaluation plan</w:t>
      </w:r>
    </w:p>
    <w:p w:rsidR="001B5186" w:rsidRPr="007F2CD9" w:rsidRDefault="001B5186" w:rsidP="007F2CD9">
      <w:pPr>
        <w:tabs>
          <w:tab w:val="left" w:pos="1440"/>
          <w:tab w:val="left" w:pos="3060"/>
        </w:tabs>
        <w:spacing w:after="0" w:line="360" w:lineRule="auto"/>
        <w:jc w:val="center"/>
        <w:outlineLvl w:val="0"/>
        <w:rPr>
          <w:rFonts w:ascii="Times New Roman" w:hAnsi="Times New Roman"/>
          <w:b/>
          <w:smallCaps/>
          <w:sz w:val="24"/>
          <w:szCs w:val="24"/>
        </w:rPr>
      </w:pPr>
    </w:p>
    <w:p w:rsidR="00C00E50" w:rsidRPr="007F2CD9" w:rsidRDefault="00C00E50" w:rsidP="007F2CD9">
      <w:pPr>
        <w:pStyle w:val="ColorfulList-Accent11"/>
        <w:spacing w:after="0" w:line="360" w:lineRule="auto"/>
        <w:ind w:left="0"/>
        <w:jc w:val="center"/>
        <w:rPr>
          <w:rFonts w:ascii="Times New Roman" w:hAnsi="Times New Roman"/>
          <w:b/>
          <w:sz w:val="24"/>
          <w:szCs w:val="24"/>
        </w:rPr>
      </w:pPr>
    </w:p>
    <w:p w:rsidR="00C00E50" w:rsidRPr="007F2CD9" w:rsidRDefault="00C00E50" w:rsidP="007F2CD9">
      <w:pPr>
        <w:pStyle w:val="ColorfulList-Accent11"/>
        <w:spacing w:after="0" w:line="360" w:lineRule="auto"/>
        <w:ind w:left="0"/>
        <w:jc w:val="center"/>
        <w:rPr>
          <w:rFonts w:ascii="Times New Roman" w:hAnsi="Times New Roman"/>
          <w:b/>
          <w:sz w:val="24"/>
          <w:szCs w:val="24"/>
        </w:rPr>
      </w:pPr>
    </w:p>
    <w:p w:rsidR="00C00E50" w:rsidRPr="007F2CD9" w:rsidRDefault="00C00E50" w:rsidP="007F2CD9">
      <w:pPr>
        <w:pStyle w:val="ColorfulList-Accent11"/>
        <w:spacing w:after="0" w:line="360" w:lineRule="auto"/>
        <w:ind w:left="0"/>
        <w:jc w:val="center"/>
        <w:rPr>
          <w:rFonts w:ascii="Times New Roman" w:hAnsi="Times New Roman"/>
          <w:b/>
          <w:sz w:val="24"/>
          <w:szCs w:val="24"/>
        </w:rPr>
      </w:pPr>
    </w:p>
    <w:p w:rsidR="00C00E50" w:rsidRPr="007F2CD9" w:rsidRDefault="00C00E50" w:rsidP="007F2CD9">
      <w:pPr>
        <w:pStyle w:val="ColorfulList-Accent11"/>
        <w:spacing w:after="0" w:line="360" w:lineRule="auto"/>
        <w:ind w:left="0"/>
        <w:jc w:val="center"/>
        <w:rPr>
          <w:rFonts w:ascii="Times New Roman" w:hAnsi="Times New Roman"/>
          <w:b/>
          <w:sz w:val="24"/>
          <w:szCs w:val="24"/>
        </w:rPr>
      </w:pPr>
    </w:p>
    <w:p w:rsidR="001B5186" w:rsidRPr="007F2CD9" w:rsidRDefault="001B5186" w:rsidP="007F2CD9">
      <w:pPr>
        <w:pStyle w:val="ColorfulList-Accent11"/>
        <w:spacing w:after="0" w:line="360" w:lineRule="auto"/>
        <w:ind w:left="0"/>
        <w:jc w:val="center"/>
        <w:rPr>
          <w:rFonts w:ascii="Times New Roman" w:hAnsi="Times New Roman"/>
          <w:b/>
          <w:sz w:val="24"/>
          <w:szCs w:val="24"/>
        </w:rPr>
      </w:pPr>
    </w:p>
    <w:p w:rsidR="001B5186" w:rsidRPr="007F2CD9" w:rsidRDefault="001B5186" w:rsidP="007F2CD9">
      <w:pPr>
        <w:pStyle w:val="ColorfulList-Accent11"/>
        <w:spacing w:after="0" w:line="360" w:lineRule="auto"/>
        <w:ind w:left="0"/>
        <w:jc w:val="center"/>
        <w:rPr>
          <w:rFonts w:ascii="Times New Roman" w:hAnsi="Times New Roman"/>
          <w:b/>
          <w:sz w:val="24"/>
          <w:szCs w:val="24"/>
        </w:rPr>
      </w:pPr>
    </w:p>
    <w:p w:rsidR="001B5186" w:rsidRPr="007F2CD9" w:rsidRDefault="001B5186" w:rsidP="007F2CD9">
      <w:pPr>
        <w:pStyle w:val="ColorfulList-Accent11"/>
        <w:spacing w:after="0" w:line="360" w:lineRule="auto"/>
        <w:ind w:left="0"/>
        <w:jc w:val="center"/>
        <w:rPr>
          <w:rFonts w:ascii="Times New Roman" w:hAnsi="Times New Roman"/>
          <w:b/>
          <w:sz w:val="24"/>
          <w:szCs w:val="24"/>
        </w:rPr>
      </w:pPr>
    </w:p>
    <w:p w:rsidR="001B5186" w:rsidRPr="007F2CD9" w:rsidRDefault="001B5186" w:rsidP="001B5186">
      <w:pPr>
        <w:tabs>
          <w:tab w:val="left" w:pos="1440"/>
          <w:tab w:val="left" w:pos="3060"/>
        </w:tabs>
        <w:spacing w:after="0" w:line="360" w:lineRule="auto"/>
        <w:jc w:val="center"/>
        <w:rPr>
          <w:rFonts w:ascii="Times New Roman" w:hAnsi="Times New Roman"/>
          <w:sz w:val="24"/>
          <w:szCs w:val="24"/>
        </w:rPr>
      </w:pPr>
    </w:p>
    <w:p w:rsidR="001B5186" w:rsidRPr="007F2CD9" w:rsidRDefault="001B5186" w:rsidP="00C00E50">
      <w:pPr>
        <w:pStyle w:val="BodyText"/>
        <w:pBdr>
          <w:top w:val="single" w:sz="4" w:space="1" w:color="auto"/>
          <w:left w:val="single" w:sz="4" w:space="4" w:color="auto"/>
          <w:bottom w:val="single" w:sz="4" w:space="1" w:color="auto"/>
          <w:right w:val="single" w:sz="4" w:space="4" w:color="auto"/>
        </w:pBdr>
        <w:tabs>
          <w:tab w:val="left" w:pos="-3240"/>
          <w:tab w:val="left" w:pos="0"/>
          <w:tab w:val="left" w:pos="1440"/>
        </w:tabs>
        <w:jc w:val="both"/>
        <w:rPr>
          <w:b/>
          <w:szCs w:val="24"/>
        </w:rPr>
      </w:pPr>
      <w:r w:rsidRPr="007F2CD9">
        <w:rPr>
          <w:szCs w:val="24"/>
        </w:rPr>
        <w:t>This document was prepared by:</w:t>
      </w:r>
      <w:r w:rsidR="00C00E50" w:rsidRPr="007F2CD9">
        <w:rPr>
          <w:szCs w:val="24"/>
        </w:rPr>
        <w:t xml:space="preserve"> </w:t>
      </w:r>
      <w:r w:rsidR="00C17731">
        <w:rPr>
          <w:szCs w:val="24"/>
        </w:rPr>
        <w:t>Evan Cayetano</w:t>
      </w:r>
      <w:r w:rsidR="00322A93" w:rsidRPr="007F2CD9">
        <w:rPr>
          <w:szCs w:val="24"/>
        </w:rPr>
        <w:t xml:space="preserve"> (WSA/C</w:t>
      </w:r>
      <w:r w:rsidR="00C17731">
        <w:rPr>
          <w:szCs w:val="24"/>
        </w:rPr>
        <w:t>TT</w:t>
      </w:r>
      <w:r w:rsidR="00322A93" w:rsidRPr="007F2CD9">
        <w:rPr>
          <w:szCs w:val="24"/>
        </w:rPr>
        <w:t>),</w:t>
      </w:r>
      <w:r w:rsidR="003C7E11">
        <w:rPr>
          <w:szCs w:val="24"/>
        </w:rPr>
        <w:t xml:space="preserve"> Team Leader; Rodrigo Riquelme and </w:t>
      </w:r>
      <w:r w:rsidR="00841216">
        <w:rPr>
          <w:szCs w:val="24"/>
        </w:rPr>
        <w:t>Maria Julia Bocco</w:t>
      </w:r>
      <w:r w:rsidR="00322A93" w:rsidRPr="007F2CD9">
        <w:rPr>
          <w:szCs w:val="24"/>
        </w:rPr>
        <w:t xml:space="preserve"> (INE/WSA)</w:t>
      </w:r>
      <w:r w:rsidR="00B944DB">
        <w:rPr>
          <w:szCs w:val="24"/>
        </w:rPr>
        <w:t>;</w:t>
      </w:r>
      <w:r w:rsidR="003C7E11">
        <w:rPr>
          <w:szCs w:val="24"/>
        </w:rPr>
        <w:t xml:space="preserve"> and</w:t>
      </w:r>
      <w:r w:rsidR="00B944DB">
        <w:rPr>
          <w:szCs w:val="24"/>
        </w:rPr>
        <w:t xml:space="preserve"> Gregory Dunbar, (FMP/CTT).</w:t>
      </w:r>
    </w:p>
    <w:p w:rsidR="001B5186" w:rsidRPr="007F2CD9" w:rsidRDefault="001B5186" w:rsidP="001B5186">
      <w:pPr>
        <w:pStyle w:val="ColorfulList-Accent11"/>
        <w:spacing w:after="0" w:line="360" w:lineRule="auto"/>
        <w:ind w:left="1080"/>
        <w:jc w:val="center"/>
        <w:rPr>
          <w:rFonts w:ascii="Times New Roman" w:hAnsi="Times New Roman"/>
          <w:b/>
          <w:smallCaps/>
          <w:sz w:val="24"/>
          <w:szCs w:val="24"/>
        </w:rPr>
      </w:pPr>
      <w:r w:rsidRPr="007F2CD9">
        <w:rPr>
          <w:rFonts w:ascii="Times New Roman" w:hAnsi="Times New Roman"/>
          <w:b/>
          <w:sz w:val="24"/>
          <w:szCs w:val="24"/>
        </w:rPr>
        <w:br w:type="page"/>
      </w:r>
      <w:r w:rsidRPr="007F2CD9">
        <w:rPr>
          <w:rFonts w:ascii="Times New Roman" w:hAnsi="Times New Roman"/>
          <w:b/>
          <w:smallCaps/>
          <w:sz w:val="24"/>
          <w:szCs w:val="24"/>
        </w:rPr>
        <w:lastRenderedPageBreak/>
        <w:t>Content</w:t>
      </w:r>
    </w:p>
    <w:p w:rsidR="001B5186" w:rsidRPr="007F2CD9" w:rsidRDefault="001B5186" w:rsidP="001B5186">
      <w:pPr>
        <w:pStyle w:val="ColorfulList-Accent11"/>
        <w:spacing w:after="0" w:line="360" w:lineRule="auto"/>
        <w:ind w:left="1080"/>
        <w:jc w:val="center"/>
        <w:rPr>
          <w:rFonts w:ascii="Times New Roman" w:hAnsi="Times New Roman"/>
          <w:sz w:val="24"/>
          <w:szCs w:val="24"/>
        </w:rPr>
      </w:pPr>
    </w:p>
    <w:p w:rsidR="001B5186" w:rsidRPr="007F2CD9" w:rsidRDefault="001B5186" w:rsidP="001B5186">
      <w:pPr>
        <w:pStyle w:val="ColorfulList-Accent11"/>
        <w:spacing w:after="0" w:line="360" w:lineRule="auto"/>
        <w:ind w:left="1080"/>
        <w:jc w:val="center"/>
        <w:rPr>
          <w:rFonts w:ascii="Times New Roman" w:hAnsi="Times New Roman"/>
          <w:sz w:val="24"/>
          <w:szCs w:val="24"/>
        </w:rPr>
      </w:pPr>
    </w:p>
    <w:p w:rsidR="001B5186" w:rsidRPr="007F2CD9" w:rsidRDefault="001B5186" w:rsidP="001B5186">
      <w:pPr>
        <w:pStyle w:val="ColorfulList-Accent11"/>
        <w:spacing w:after="0" w:line="360" w:lineRule="auto"/>
        <w:ind w:left="0"/>
        <w:jc w:val="both"/>
        <w:rPr>
          <w:rFonts w:ascii="Times New Roman" w:hAnsi="Times New Roman"/>
          <w:sz w:val="24"/>
          <w:szCs w:val="24"/>
        </w:rPr>
      </w:pPr>
      <w:r w:rsidRPr="007F2CD9">
        <w:rPr>
          <w:rFonts w:ascii="Times New Roman" w:hAnsi="Times New Roman"/>
          <w:sz w:val="24"/>
          <w:szCs w:val="24"/>
        </w:rPr>
        <w:t>Monitoring and Evaluation Plan Summary</w:t>
      </w:r>
    </w:p>
    <w:p w:rsidR="001B5186" w:rsidRPr="007F2CD9" w:rsidRDefault="001B5186" w:rsidP="001B5186">
      <w:pPr>
        <w:pStyle w:val="ColorfulList-Accent11"/>
        <w:numPr>
          <w:ilvl w:val="0"/>
          <w:numId w:val="1"/>
        </w:numPr>
        <w:spacing w:after="0" w:line="360" w:lineRule="auto"/>
        <w:jc w:val="both"/>
        <w:rPr>
          <w:rFonts w:ascii="Times New Roman" w:hAnsi="Times New Roman"/>
          <w:sz w:val="24"/>
          <w:szCs w:val="24"/>
        </w:rPr>
      </w:pPr>
      <w:r w:rsidRPr="007F2CD9">
        <w:rPr>
          <w:rFonts w:ascii="Times New Roman" w:hAnsi="Times New Roman"/>
          <w:sz w:val="24"/>
          <w:szCs w:val="24"/>
        </w:rPr>
        <w:t xml:space="preserve">Introduction </w:t>
      </w:r>
    </w:p>
    <w:p w:rsidR="001B5186" w:rsidRPr="007F2CD9" w:rsidRDefault="001B5186" w:rsidP="001B5186">
      <w:pPr>
        <w:pStyle w:val="ColorfulList-Accent11"/>
        <w:numPr>
          <w:ilvl w:val="0"/>
          <w:numId w:val="1"/>
        </w:numPr>
        <w:spacing w:after="0" w:line="360" w:lineRule="auto"/>
        <w:jc w:val="both"/>
        <w:rPr>
          <w:rFonts w:ascii="Times New Roman" w:hAnsi="Times New Roman"/>
          <w:sz w:val="24"/>
          <w:szCs w:val="24"/>
        </w:rPr>
      </w:pPr>
      <w:r w:rsidRPr="007F2CD9">
        <w:rPr>
          <w:rFonts w:ascii="Times New Roman" w:hAnsi="Times New Roman"/>
          <w:sz w:val="24"/>
          <w:szCs w:val="24"/>
        </w:rPr>
        <w:t>Monitoring</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Indicators</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Data Collection and Instruments</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Reporting Monitoring Results</w:t>
      </w:r>
    </w:p>
    <w:p w:rsidR="009E0F3A" w:rsidRPr="007F2CD9" w:rsidRDefault="009E0F3A" w:rsidP="009E0F3A">
      <w:pPr>
        <w:numPr>
          <w:ilvl w:val="1"/>
          <w:numId w:val="1"/>
        </w:numPr>
        <w:spacing w:after="0" w:line="360" w:lineRule="auto"/>
        <w:contextualSpacing/>
        <w:jc w:val="both"/>
        <w:rPr>
          <w:rFonts w:ascii="Times New Roman" w:hAnsi="Times New Roman"/>
          <w:sz w:val="24"/>
          <w:szCs w:val="24"/>
        </w:rPr>
      </w:pPr>
      <w:r w:rsidRPr="007F2CD9">
        <w:rPr>
          <w:rFonts w:ascii="Times New Roman" w:hAnsi="Times New Roman"/>
          <w:sz w:val="24"/>
          <w:szCs w:val="24"/>
        </w:rPr>
        <w:t xml:space="preserve">Financial Auditing </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Monitoring Coordination, Work Plan and Budget</w:t>
      </w:r>
    </w:p>
    <w:p w:rsidR="001B5186" w:rsidRPr="007F2CD9" w:rsidRDefault="001B5186" w:rsidP="001B5186">
      <w:pPr>
        <w:pStyle w:val="ColorfulList-Accent11"/>
        <w:numPr>
          <w:ilvl w:val="0"/>
          <w:numId w:val="1"/>
        </w:numPr>
        <w:spacing w:after="0" w:line="360" w:lineRule="auto"/>
        <w:jc w:val="both"/>
        <w:rPr>
          <w:rFonts w:ascii="Times New Roman" w:hAnsi="Times New Roman"/>
          <w:sz w:val="24"/>
          <w:szCs w:val="24"/>
        </w:rPr>
      </w:pPr>
      <w:r w:rsidRPr="007F2CD9">
        <w:rPr>
          <w:rFonts w:ascii="Times New Roman" w:hAnsi="Times New Roman"/>
          <w:sz w:val="24"/>
          <w:szCs w:val="24"/>
        </w:rPr>
        <w:t>Evaluation</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 xml:space="preserve">Main </w:t>
      </w:r>
      <w:r w:rsidR="00CB18D7" w:rsidRPr="007F2CD9">
        <w:rPr>
          <w:rFonts w:ascii="Times New Roman" w:hAnsi="Times New Roman"/>
          <w:sz w:val="24"/>
          <w:szCs w:val="24"/>
        </w:rPr>
        <w:t>Evaluation Question</w:t>
      </w:r>
      <w:r w:rsidRPr="007F2CD9">
        <w:rPr>
          <w:rFonts w:ascii="Times New Roman" w:hAnsi="Times New Roman"/>
          <w:sz w:val="24"/>
          <w:szCs w:val="24"/>
        </w:rPr>
        <w:t>(s)</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 xml:space="preserve">Existing </w:t>
      </w:r>
      <w:r w:rsidR="00CB18D7" w:rsidRPr="007F2CD9">
        <w:rPr>
          <w:rFonts w:ascii="Times New Roman" w:hAnsi="Times New Roman"/>
          <w:sz w:val="24"/>
          <w:szCs w:val="24"/>
        </w:rPr>
        <w:t xml:space="preserve">Knowledge </w:t>
      </w:r>
      <w:r w:rsidRPr="007F2CD9">
        <w:rPr>
          <w:rFonts w:ascii="Times New Roman" w:hAnsi="Times New Roman"/>
          <w:sz w:val="24"/>
          <w:szCs w:val="24"/>
        </w:rPr>
        <w:t>(previous evaluations, ex ante economic analysis)</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Key Outcome Indicators</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Evaluation Methodology</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Technical Aspects of Selected Methodology</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Complementary Evaluations</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Reporting Evaluation Results</w:t>
      </w:r>
    </w:p>
    <w:p w:rsidR="001B5186" w:rsidRPr="007F2CD9" w:rsidRDefault="001B5186" w:rsidP="001B5186">
      <w:pPr>
        <w:pStyle w:val="ColorfulList-Accent11"/>
        <w:numPr>
          <w:ilvl w:val="1"/>
          <w:numId w:val="1"/>
        </w:numPr>
        <w:spacing w:after="0" w:line="360" w:lineRule="auto"/>
        <w:jc w:val="both"/>
        <w:rPr>
          <w:rFonts w:ascii="Times New Roman" w:hAnsi="Times New Roman"/>
          <w:sz w:val="24"/>
          <w:szCs w:val="24"/>
        </w:rPr>
      </w:pPr>
      <w:r w:rsidRPr="007F2CD9">
        <w:rPr>
          <w:rFonts w:ascii="Times New Roman" w:hAnsi="Times New Roman"/>
          <w:sz w:val="24"/>
          <w:szCs w:val="24"/>
        </w:rPr>
        <w:t>Evaluation Coordination, Work Plan and Budget</w:t>
      </w:r>
    </w:p>
    <w:p w:rsidR="001B5186" w:rsidRPr="007F2CD9" w:rsidRDefault="001B5186" w:rsidP="001B5186">
      <w:pPr>
        <w:pStyle w:val="ColorfulList-Accent11"/>
        <w:spacing w:after="0" w:line="360" w:lineRule="auto"/>
        <w:ind w:left="1440"/>
        <w:jc w:val="both"/>
        <w:rPr>
          <w:rFonts w:ascii="Times New Roman" w:hAnsi="Times New Roman"/>
          <w:sz w:val="24"/>
          <w:szCs w:val="24"/>
        </w:rPr>
      </w:pPr>
    </w:p>
    <w:p w:rsidR="00730AB4" w:rsidRPr="007F2CD9" w:rsidRDefault="00730AB4" w:rsidP="00730AB4">
      <w:pPr>
        <w:spacing w:after="0" w:line="240" w:lineRule="auto"/>
        <w:ind w:left="360"/>
        <w:jc w:val="both"/>
        <w:rPr>
          <w:rFonts w:ascii="Times New Roman" w:hAnsi="Times New Roman"/>
          <w:sz w:val="24"/>
          <w:szCs w:val="24"/>
        </w:rPr>
      </w:pPr>
      <w:r w:rsidRPr="007F2CD9">
        <w:rPr>
          <w:rFonts w:ascii="Times New Roman" w:hAnsi="Times New Roman"/>
          <w:sz w:val="24"/>
          <w:szCs w:val="24"/>
        </w:rPr>
        <w:t>Appendix 1: Appendix 1: Project Monitoring Report (PMR)</w:t>
      </w:r>
    </w:p>
    <w:p w:rsidR="008F182C" w:rsidRPr="007F2CD9" w:rsidRDefault="008F182C" w:rsidP="001B5186">
      <w:pPr>
        <w:pStyle w:val="ColorfulList-Accent11"/>
        <w:spacing w:after="0" w:line="360" w:lineRule="auto"/>
        <w:ind w:left="360"/>
        <w:jc w:val="both"/>
        <w:rPr>
          <w:rFonts w:ascii="Times New Roman" w:hAnsi="Times New Roman"/>
          <w:sz w:val="24"/>
          <w:szCs w:val="24"/>
        </w:rPr>
      </w:pPr>
    </w:p>
    <w:p w:rsidR="00094EC3" w:rsidRPr="00364D6A" w:rsidRDefault="00094EC3" w:rsidP="001B5186">
      <w:pPr>
        <w:pStyle w:val="ColorfulList-Accent11"/>
        <w:spacing w:after="0" w:line="360" w:lineRule="auto"/>
        <w:ind w:left="360"/>
        <w:jc w:val="both"/>
        <w:rPr>
          <w:rFonts w:ascii="Times New Roman" w:hAnsi="Times New Roman"/>
        </w:rPr>
      </w:pPr>
    </w:p>
    <w:p w:rsidR="00094EC3" w:rsidRPr="00364D6A" w:rsidRDefault="00094EC3" w:rsidP="001B5186">
      <w:pPr>
        <w:pStyle w:val="ColorfulList-Accent11"/>
        <w:spacing w:after="0" w:line="360" w:lineRule="auto"/>
        <w:ind w:left="360"/>
        <w:jc w:val="both"/>
        <w:rPr>
          <w:rFonts w:ascii="Times New Roman" w:hAnsi="Times New Roman"/>
        </w:rPr>
      </w:pPr>
    </w:p>
    <w:p w:rsidR="001B5186" w:rsidRPr="00364D6A" w:rsidRDefault="001B5186" w:rsidP="001B5186">
      <w:pPr>
        <w:pStyle w:val="ColorfulList-Accent11"/>
        <w:spacing w:after="0" w:line="360" w:lineRule="auto"/>
        <w:ind w:left="1080"/>
        <w:jc w:val="center"/>
        <w:rPr>
          <w:rFonts w:ascii="Times New Roman" w:hAnsi="Times New Roman"/>
        </w:rPr>
      </w:pPr>
    </w:p>
    <w:p w:rsidR="001B5186" w:rsidRPr="00364D6A" w:rsidRDefault="001B5186" w:rsidP="001B5186">
      <w:pPr>
        <w:pStyle w:val="ColorfulList-Accent11"/>
        <w:spacing w:after="0" w:line="360" w:lineRule="auto"/>
        <w:ind w:left="1080"/>
        <w:jc w:val="center"/>
        <w:rPr>
          <w:rFonts w:ascii="Times New Roman" w:hAnsi="Times New Roman"/>
        </w:rPr>
      </w:pPr>
    </w:p>
    <w:p w:rsidR="001B5186" w:rsidRPr="00364D6A" w:rsidRDefault="001B5186" w:rsidP="001B5186">
      <w:pPr>
        <w:pStyle w:val="ColorfulList-Accent11"/>
        <w:spacing w:after="0" w:line="360" w:lineRule="auto"/>
        <w:ind w:left="1080"/>
        <w:jc w:val="center"/>
        <w:rPr>
          <w:rFonts w:ascii="Times New Roman" w:hAnsi="Times New Roman"/>
        </w:rPr>
      </w:pPr>
    </w:p>
    <w:p w:rsidR="001B5186" w:rsidRDefault="001B5186" w:rsidP="001B5186">
      <w:pPr>
        <w:pStyle w:val="ColorfulList-Accent11"/>
        <w:spacing w:after="0" w:line="360" w:lineRule="auto"/>
        <w:ind w:left="0"/>
        <w:jc w:val="center"/>
        <w:rPr>
          <w:rFonts w:ascii="Times New Roman" w:eastAsia="Arial Unicode MS" w:hAnsi="Times New Roman"/>
          <w:bCs/>
          <w:smallCaps/>
          <w:sz w:val="24"/>
          <w:szCs w:val="24"/>
        </w:rPr>
      </w:pPr>
    </w:p>
    <w:p w:rsidR="008761E1" w:rsidRDefault="008761E1" w:rsidP="001B5186">
      <w:pPr>
        <w:pStyle w:val="ColorfulList-Accent11"/>
        <w:spacing w:after="0" w:line="360" w:lineRule="auto"/>
        <w:ind w:left="0"/>
        <w:jc w:val="center"/>
        <w:rPr>
          <w:rFonts w:ascii="Times New Roman" w:eastAsia="Arial Unicode MS" w:hAnsi="Times New Roman"/>
          <w:bCs/>
          <w:smallCaps/>
          <w:sz w:val="24"/>
          <w:szCs w:val="24"/>
        </w:rPr>
      </w:pPr>
    </w:p>
    <w:p w:rsidR="008761E1" w:rsidRDefault="008761E1" w:rsidP="001B5186">
      <w:pPr>
        <w:pStyle w:val="ColorfulList-Accent11"/>
        <w:spacing w:after="0" w:line="360" w:lineRule="auto"/>
        <w:ind w:left="0"/>
        <w:jc w:val="center"/>
        <w:rPr>
          <w:rFonts w:ascii="Times New Roman" w:eastAsia="Arial Unicode MS" w:hAnsi="Times New Roman"/>
          <w:bCs/>
          <w:smallCaps/>
          <w:sz w:val="24"/>
          <w:szCs w:val="24"/>
        </w:rPr>
      </w:pPr>
    </w:p>
    <w:p w:rsidR="008761E1" w:rsidRPr="007F2CD9" w:rsidRDefault="008761E1" w:rsidP="001B5186">
      <w:pPr>
        <w:pStyle w:val="ColorfulList-Accent11"/>
        <w:spacing w:after="0" w:line="360" w:lineRule="auto"/>
        <w:ind w:left="0"/>
        <w:jc w:val="center"/>
        <w:rPr>
          <w:rFonts w:ascii="Times New Roman" w:eastAsia="Arial Unicode MS" w:hAnsi="Times New Roman"/>
          <w:bCs/>
          <w:smallCaps/>
          <w:sz w:val="24"/>
          <w:szCs w:val="24"/>
        </w:rPr>
      </w:pPr>
    </w:p>
    <w:p w:rsidR="001B5186" w:rsidRDefault="001B5186" w:rsidP="001B5186">
      <w:pPr>
        <w:pStyle w:val="ColorfulList-Accent11"/>
        <w:spacing w:after="0" w:line="360" w:lineRule="auto"/>
        <w:ind w:left="0"/>
        <w:jc w:val="center"/>
        <w:rPr>
          <w:rFonts w:ascii="Times New Roman" w:eastAsia="Arial Unicode MS" w:hAnsi="Times New Roman"/>
          <w:b/>
          <w:bCs/>
          <w:smallCaps/>
          <w:sz w:val="24"/>
          <w:szCs w:val="24"/>
        </w:rPr>
      </w:pPr>
      <w:r w:rsidRPr="007F2CD9">
        <w:rPr>
          <w:rFonts w:ascii="Times New Roman" w:eastAsia="Arial Unicode MS" w:hAnsi="Times New Roman"/>
          <w:b/>
          <w:bCs/>
          <w:smallCaps/>
          <w:sz w:val="24"/>
          <w:szCs w:val="24"/>
        </w:rPr>
        <w:lastRenderedPageBreak/>
        <w:t>Abbreviations</w:t>
      </w:r>
    </w:p>
    <w:p w:rsidR="007F2CD9" w:rsidRPr="007F2CD9" w:rsidRDefault="007F2CD9" w:rsidP="001B5186">
      <w:pPr>
        <w:pStyle w:val="ColorfulList-Accent11"/>
        <w:spacing w:after="0" w:line="360" w:lineRule="auto"/>
        <w:ind w:left="0"/>
        <w:jc w:val="center"/>
        <w:rPr>
          <w:rFonts w:ascii="Times New Roman" w:hAnsi="Times New Roman"/>
          <w:b/>
          <w:sz w:val="24"/>
          <w:szCs w:val="24"/>
        </w:rPr>
      </w:pPr>
    </w:p>
    <w:tbl>
      <w:tblPr>
        <w:tblW w:w="9595" w:type="dxa"/>
        <w:jc w:val="center"/>
        <w:tblInd w:w="-640" w:type="dxa"/>
        <w:tblLayout w:type="fixed"/>
        <w:tblCellMar>
          <w:left w:w="0" w:type="dxa"/>
          <w:right w:w="0" w:type="dxa"/>
        </w:tblCellMar>
        <w:tblLook w:val="0000" w:firstRow="0" w:lastRow="0" w:firstColumn="0" w:lastColumn="0" w:noHBand="0" w:noVBand="0"/>
      </w:tblPr>
      <w:tblGrid>
        <w:gridCol w:w="1216"/>
        <w:gridCol w:w="8379"/>
      </w:tblGrid>
      <w:tr w:rsidR="00FF2F72" w:rsidRPr="007F2CD9" w:rsidTr="009B4DE9">
        <w:trPr>
          <w:cantSplit/>
          <w:trHeight w:val="280"/>
          <w:jc w:val="center"/>
        </w:trPr>
        <w:tc>
          <w:tcPr>
            <w:tcW w:w="1216" w:type="dxa"/>
            <w:noWrap/>
            <w:vAlign w:val="center"/>
          </w:tcPr>
          <w:p w:rsidR="00FF2F72" w:rsidRPr="007F2CD9" w:rsidRDefault="00FF2F72" w:rsidP="003C7E11">
            <w:pPr>
              <w:pStyle w:val="FootnoteText"/>
              <w:widowControl w:val="0"/>
              <w:tabs>
                <w:tab w:val="left" w:pos="-3240"/>
              </w:tabs>
              <w:spacing w:after="0"/>
              <w:ind w:left="630" w:right="-45" w:hanging="630"/>
              <w:rPr>
                <w:sz w:val="24"/>
              </w:rPr>
            </w:pPr>
            <w:r w:rsidRPr="007F2CD9">
              <w:rPr>
                <w:sz w:val="24"/>
              </w:rPr>
              <w:t>AOP</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Annual Operation Plan</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outlineLvl w:val="6"/>
              <w:rPr>
                <w:b/>
                <w:sz w:val="24"/>
              </w:rPr>
            </w:pPr>
            <w:r w:rsidRPr="007F2CD9">
              <w:rPr>
                <w:sz w:val="24"/>
              </w:rPr>
              <w:t>CS</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 xml:space="preserve">Country Strategy </w:t>
            </w:r>
          </w:p>
        </w:tc>
      </w:tr>
      <w:tr w:rsidR="00841216" w:rsidRPr="007F2CD9" w:rsidTr="009B4DE9">
        <w:trPr>
          <w:cantSplit/>
          <w:trHeight w:val="322"/>
          <w:jc w:val="center"/>
        </w:trPr>
        <w:tc>
          <w:tcPr>
            <w:tcW w:w="1216" w:type="dxa"/>
            <w:noWrap/>
            <w:vAlign w:val="center"/>
          </w:tcPr>
          <w:p w:rsidR="00841216" w:rsidRPr="007F2CD9" w:rsidRDefault="00841216" w:rsidP="003C7E11">
            <w:pPr>
              <w:pStyle w:val="FootnoteText"/>
              <w:widowControl w:val="0"/>
              <w:tabs>
                <w:tab w:val="left" w:pos="-3240"/>
              </w:tabs>
              <w:spacing w:after="0"/>
              <w:ind w:left="630" w:hanging="630"/>
              <w:outlineLvl w:val="6"/>
              <w:rPr>
                <w:sz w:val="24"/>
              </w:rPr>
            </w:pPr>
            <w:r>
              <w:rPr>
                <w:sz w:val="24"/>
              </w:rPr>
              <w:t>DD</w:t>
            </w:r>
          </w:p>
        </w:tc>
        <w:tc>
          <w:tcPr>
            <w:tcW w:w="8379" w:type="dxa"/>
            <w:vAlign w:val="center"/>
          </w:tcPr>
          <w:p w:rsidR="00841216" w:rsidRPr="007F2CD9" w:rsidRDefault="00841216" w:rsidP="003C7E11">
            <w:pPr>
              <w:pStyle w:val="FootnoteText"/>
              <w:widowControl w:val="0"/>
              <w:tabs>
                <w:tab w:val="left" w:pos="-3240"/>
              </w:tabs>
              <w:spacing w:after="0"/>
              <w:ind w:left="630" w:hanging="630"/>
              <w:rPr>
                <w:sz w:val="24"/>
              </w:rPr>
            </w:pPr>
            <w:r>
              <w:rPr>
                <w:sz w:val="24"/>
              </w:rPr>
              <w:t>Drainage Division</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EA</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Executing Agency</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EMA</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Environmental Management Authority</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ESA</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Environmental and Social Analysis</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ESMP</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Environmental and Social Management Plan</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ESMR</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Environmental and Social Management Report</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GCI</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General Capital Increase</w:t>
            </w:r>
          </w:p>
        </w:tc>
      </w:tr>
      <w:tr w:rsidR="00FF2F72" w:rsidRPr="007F2CD9" w:rsidTr="009B4DE9">
        <w:trPr>
          <w:cantSplit/>
          <w:trHeight w:val="322"/>
          <w:jc w:val="center"/>
        </w:trPr>
        <w:tc>
          <w:tcPr>
            <w:tcW w:w="1216" w:type="dxa"/>
            <w:shd w:val="clear" w:color="auto" w:fill="auto"/>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GORTT</w:t>
            </w:r>
          </w:p>
        </w:tc>
        <w:tc>
          <w:tcPr>
            <w:tcW w:w="8379" w:type="dxa"/>
            <w:shd w:val="clear" w:color="auto" w:fill="auto"/>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Government of the Republic of Trinidad and Tobago</w:t>
            </w:r>
          </w:p>
        </w:tc>
      </w:tr>
      <w:tr w:rsidR="00FF2F72" w:rsidRPr="007F2CD9" w:rsidTr="009B4DE9">
        <w:trPr>
          <w:cantSplit/>
          <w:trHeight w:val="322"/>
          <w:jc w:val="center"/>
        </w:trPr>
        <w:tc>
          <w:tcPr>
            <w:tcW w:w="1216" w:type="dxa"/>
            <w:shd w:val="clear" w:color="auto" w:fill="auto"/>
            <w:noWrap/>
            <w:vAlign w:val="center"/>
          </w:tcPr>
          <w:p w:rsidR="00FF2F72" w:rsidRPr="007F2CD9" w:rsidRDefault="00FF2F72" w:rsidP="003C7E11">
            <w:pPr>
              <w:pStyle w:val="FootnoteText"/>
              <w:widowControl w:val="0"/>
              <w:tabs>
                <w:tab w:val="left" w:pos="-3240"/>
              </w:tabs>
              <w:spacing w:after="0"/>
              <w:ind w:left="630" w:hanging="630"/>
              <w:rPr>
                <w:bCs/>
                <w:color w:val="000000"/>
                <w:sz w:val="24"/>
              </w:rPr>
            </w:pPr>
            <w:r w:rsidRPr="007F2CD9">
              <w:rPr>
                <w:bCs/>
                <w:color w:val="000000"/>
                <w:sz w:val="24"/>
              </w:rPr>
              <w:t>IDB</w:t>
            </w:r>
          </w:p>
        </w:tc>
        <w:tc>
          <w:tcPr>
            <w:tcW w:w="8379" w:type="dxa"/>
            <w:shd w:val="clear" w:color="auto" w:fill="auto"/>
            <w:vAlign w:val="center"/>
          </w:tcPr>
          <w:p w:rsidR="00FF2F72" w:rsidRPr="007F2CD9" w:rsidRDefault="00FF2F72" w:rsidP="003C7E11">
            <w:pPr>
              <w:pStyle w:val="FootnoteText"/>
              <w:widowControl w:val="0"/>
              <w:tabs>
                <w:tab w:val="left" w:pos="-3240"/>
              </w:tabs>
              <w:spacing w:after="0"/>
              <w:ind w:left="630" w:hanging="630"/>
              <w:rPr>
                <w:bCs/>
                <w:color w:val="000000"/>
                <w:sz w:val="24"/>
              </w:rPr>
            </w:pPr>
            <w:r w:rsidRPr="007F2CD9">
              <w:rPr>
                <w:bCs/>
                <w:color w:val="000000"/>
                <w:sz w:val="24"/>
              </w:rPr>
              <w:t xml:space="preserve">Inter-American Development Bank </w:t>
            </w:r>
          </w:p>
        </w:tc>
      </w:tr>
      <w:tr w:rsidR="00FF2F72" w:rsidRPr="007F2CD9" w:rsidTr="009B4DE9">
        <w:trPr>
          <w:cantSplit/>
          <w:trHeight w:val="322"/>
          <w:jc w:val="center"/>
        </w:trPr>
        <w:tc>
          <w:tcPr>
            <w:tcW w:w="1216" w:type="dxa"/>
            <w:shd w:val="clear" w:color="auto" w:fill="auto"/>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bCs/>
                <w:color w:val="000000"/>
                <w:sz w:val="24"/>
              </w:rPr>
              <w:t>ICAS</w:t>
            </w:r>
          </w:p>
        </w:tc>
        <w:tc>
          <w:tcPr>
            <w:tcW w:w="8379" w:type="dxa"/>
            <w:shd w:val="clear" w:color="auto" w:fill="auto"/>
            <w:vAlign w:val="center"/>
          </w:tcPr>
          <w:p w:rsidR="00FF2F72" w:rsidRPr="007F2CD9" w:rsidRDefault="00FF2F72" w:rsidP="003C7E11">
            <w:pPr>
              <w:pStyle w:val="FootnoteText"/>
              <w:widowControl w:val="0"/>
              <w:tabs>
                <w:tab w:val="left" w:pos="-3240"/>
              </w:tabs>
              <w:spacing w:after="0"/>
              <w:ind w:left="630" w:hanging="630"/>
              <w:rPr>
                <w:sz w:val="24"/>
              </w:rPr>
            </w:pPr>
            <w:r w:rsidRPr="007F2CD9">
              <w:rPr>
                <w:bCs/>
                <w:color w:val="000000"/>
                <w:sz w:val="24"/>
              </w:rPr>
              <w:t xml:space="preserve">Institutional Capacity Assessment System </w:t>
            </w:r>
          </w:p>
        </w:tc>
      </w:tr>
      <w:tr w:rsidR="00841216" w:rsidRPr="007F2CD9" w:rsidTr="009B4DE9">
        <w:trPr>
          <w:cantSplit/>
          <w:trHeight w:val="322"/>
          <w:jc w:val="center"/>
        </w:trPr>
        <w:tc>
          <w:tcPr>
            <w:tcW w:w="1216" w:type="dxa"/>
            <w:shd w:val="clear" w:color="auto" w:fill="auto"/>
            <w:noWrap/>
            <w:vAlign w:val="center"/>
          </w:tcPr>
          <w:p w:rsidR="00841216" w:rsidRPr="007F2CD9" w:rsidRDefault="00841216" w:rsidP="003C7E11">
            <w:pPr>
              <w:pStyle w:val="FootnoteText"/>
              <w:widowControl w:val="0"/>
              <w:tabs>
                <w:tab w:val="left" w:pos="-3240"/>
              </w:tabs>
              <w:spacing w:after="0"/>
              <w:ind w:left="630" w:hanging="630"/>
              <w:rPr>
                <w:sz w:val="24"/>
              </w:rPr>
            </w:pPr>
            <w:r>
              <w:rPr>
                <w:sz w:val="24"/>
              </w:rPr>
              <w:t>MEWR</w:t>
            </w:r>
          </w:p>
        </w:tc>
        <w:tc>
          <w:tcPr>
            <w:tcW w:w="8379" w:type="dxa"/>
            <w:shd w:val="clear" w:color="auto" w:fill="auto"/>
            <w:vAlign w:val="center"/>
          </w:tcPr>
          <w:p w:rsidR="00841216" w:rsidRPr="007F2CD9" w:rsidRDefault="00841216" w:rsidP="003C7E11">
            <w:pPr>
              <w:pStyle w:val="FootnoteText"/>
              <w:widowControl w:val="0"/>
              <w:tabs>
                <w:tab w:val="left" w:pos="-3240"/>
              </w:tabs>
              <w:spacing w:after="0"/>
              <w:ind w:left="630" w:hanging="630"/>
              <w:rPr>
                <w:sz w:val="24"/>
              </w:rPr>
            </w:pPr>
            <w:r>
              <w:rPr>
                <w:sz w:val="24"/>
              </w:rPr>
              <w:t>Ministry of Environment and Water Resources</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OC</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Ordinary Capital</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OM</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Operations manual</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O&amp;M</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 xml:space="preserve">Operation and Maintenance </w:t>
            </w:r>
          </w:p>
        </w:tc>
      </w:tr>
      <w:tr w:rsidR="00841216" w:rsidRPr="007F2CD9" w:rsidTr="009B4DE9">
        <w:trPr>
          <w:cantSplit/>
          <w:trHeight w:val="322"/>
          <w:jc w:val="center"/>
        </w:trPr>
        <w:tc>
          <w:tcPr>
            <w:tcW w:w="1216" w:type="dxa"/>
            <w:noWrap/>
            <w:vAlign w:val="center"/>
          </w:tcPr>
          <w:p w:rsidR="00841216" w:rsidRPr="007F2CD9" w:rsidRDefault="00841216" w:rsidP="003C7E11">
            <w:pPr>
              <w:pStyle w:val="FootnoteText"/>
              <w:widowControl w:val="0"/>
              <w:tabs>
                <w:tab w:val="left" w:pos="-3240"/>
              </w:tabs>
              <w:spacing w:after="0"/>
              <w:ind w:left="630" w:hanging="630"/>
              <w:rPr>
                <w:sz w:val="24"/>
              </w:rPr>
            </w:pPr>
            <w:r>
              <w:rPr>
                <w:sz w:val="24"/>
              </w:rPr>
              <w:t>PEU</w:t>
            </w:r>
          </w:p>
        </w:tc>
        <w:tc>
          <w:tcPr>
            <w:tcW w:w="8379" w:type="dxa"/>
            <w:vAlign w:val="center"/>
          </w:tcPr>
          <w:p w:rsidR="00841216" w:rsidRPr="007F2CD9" w:rsidRDefault="00841216" w:rsidP="003C7E11">
            <w:pPr>
              <w:pStyle w:val="FootnoteText"/>
              <w:widowControl w:val="0"/>
              <w:tabs>
                <w:tab w:val="left" w:pos="-3240"/>
              </w:tabs>
              <w:spacing w:after="0"/>
              <w:ind w:left="630" w:hanging="630"/>
              <w:rPr>
                <w:color w:val="000000"/>
                <w:sz w:val="24"/>
              </w:rPr>
            </w:pPr>
            <w:r>
              <w:rPr>
                <w:color w:val="000000"/>
                <w:sz w:val="24"/>
              </w:rPr>
              <w:t>Project Execution Unit</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PMR</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color w:val="000000"/>
                <w:sz w:val="24"/>
              </w:rPr>
              <w:t>Progress Monitoring Report</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POD</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 xml:space="preserve">Proposal for Operation Development </w:t>
            </w:r>
          </w:p>
        </w:tc>
      </w:tr>
      <w:tr w:rsidR="00841216" w:rsidRPr="007F2CD9" w:rsidTr="009B4DE9">
        <w:trPr>
          <w:cantSplit/>
          <w:trHeight w:val="322"/>
          <w:jc w:val="center"/>
        </w:trPr>
        <w:tc>
          <w:tcPr>
            <w:tcW w:w="1216" w:type="dxa"/>
            <w:noWrap/>
            <w:vAlign w:val="center"/>
          </w:tcPr>
          <w:p w:rsidR="00841216" w:rsidRPr="007F2CD9" w:rsidRDefault="00841216" w:rsidP="003C7E11">
            <w:pPr>
              <w:pStyle w:val="FootnoteText"/>
              <w:widowControl w:val="0"/>
              <w:tabs>
                <w:tab w:val="left" w:pos="-3240"/>
              </w:tabs>
              <w:spacing w:after="0"/>
              <w:ind w:left="630" w:hanging="630"/>
              <w:rPr>
                <w:sz w:val="24"/>
              </w:rPr>
            </w:pPr>
            <w:r>
              <w:rPr>
                <w:sz w:val="24"/>
              </w:rPr>
              <w:t>POSC</w:t>
            </w:r>
          </w:p>
        </w:tc>
        <w:tc>
          <w:tcPr>
            <w:tcW w:w="8379" w:type="dxa"/>
            <w:vAlign w:val="center"/>
          </w:tcPr>
          <w:p w:rsidR="00841216" w:rsidRPr="007F2CD9" w:rsidRDefault="00841216" w:rsidP="003C7E11">
            <w:pPr>
              <w:pStyle w:val="FootnoteText"/>
              <w:widowControl w:val="0"/>
              <w:tabs>
                <w:tab w:val="left" w:pos="-3240"/>
              </w:tabs>
              <w:spacing w:after="0"/>
              <w:ind w:left="0" w:firstLine="0"/>
              <w:rPr>
                <w:sz w:val="24"/>
              </w:rPr>
            </w:pPr>
            <w:r w:rsidRPr="00841216">
              <w:rPr>
                <w:sz w:val="24"/>
              </w:rPr>
              <w:t>Port of Spain City Corporation</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SSF</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Safeguard and Screening Form for Screening and Classification of Projects</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TC</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Technical Cooperation</w:t>
            </w:r>
          </w:p>
        </w:tc>
      </w:tr>
      <w:tr w:rsidR="00FF2F72" w:rsidRPr="007F2CD9" w:rsidTr="009B4DE9">
        <w:trPr>
          <w:cantSplit/>
          <w:trHeight w:val="322"/>
          <w:jc w:val="center"/>
        </w:trPr>
        <w:tc>
          <w:tcPr>
            <w:tcW w:w="1216" w:type="dxa"/>
            <w:noWrap/>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T&amp;T</w:t>
            </w:r>
          </w:p>
        </w:tc>
        <w:tc>
          <w:tcPr>
            <w:tcW w:w="8379" w:type="dxa"/>
            <w:vAlign w:val="center"/>
          </w:tcPr>
          <w:p w:rsidR="00FF2F72" w:rsidRPr="007F2CD9" w:rsidRDefault="00FF2F72" w:rsidP="003C7E11">
            <w:pPr>
              <w:pStyle w:val="FootnoteText"/>
              <w:widowControl w:val="0"/>
              <w:tabs>
                <w:tab w:val="left" w:pos="-3240"/>
              </w:tabs>
              <w:spacing w:after="0"/>
              <w:ind w:left="630" w:hanging="630"/>
              <w:rPr>
                <w:sz w:val="24"/>
              </w:rPr>
            </w:pPr>
            <w:r w:rsidRPr="007F2CD9">
              <w:rPr>
                <w:sz w:val="24"/>
              </w:rPr>
              <w:t>Trinidad and Tobago</w:t>
            </w:r>
          </w:p>
        </w:tc>
      </w:tr>
    </w:tbl>
    <w:p w:rsidR="007F2CD9" w:rsidRDefault="007F2CD9" w:rsidP="003C7E11">
      <w:pPr>
        <w:pStyle w:val="ColorfulList-Accent11"/>
        <w:spacing w:after="0" w:line="360" w:lineRule="auto"/>
        <w:ind w:left="0"/>
        <w:jc w:val="both"/>
        <w:rPr>
          <w:rFonts w:ascii="Times New Roman" w:hAnsi="Times New Roman"/>
          <w:b/>
          <w:sz w:val="24"/>
          <w:szCs w:val="24"/>
        </w:rPr>
      </w:pPr>
    </w:p>
    <w:p w:rsidR="00D10876" w:rsidRDefault="00D10876" w:rsidP="003C7E11">
      <w:pPr>
        <w:pStyle w:val="ColorfulList-Accent11"/>
        <w:spacing w:after="0" w:line="360" w:lineRule="auto"/>
        <w:ind w:left="0"/>
        <w:jc w:val="both"/>
        <w:rPr>
          <w:rFonts w:ascii="Times New Roman" w:hAnsi="Times New Roman"/>
          <w:b/>
          <w:sz w:val="24"/>
          <w:szCs w:val="24"/>
        </w:rPr>
      </w:pPr>
    </w:p>
    <w:p w:rsidR="003C7E11" w:rsidRDefault="003C7E11">
      <w:pPr>
        <w:spacing w:after="0" w:line="240" w:lineRule="auto"/>
        <w:rPr>
          <w:rFonts w:ascii="Times New Roman" w:hAnsi="Times New Roman"/>
          <w:b/>
          <w:sz w:val="24"/>
          <w:szCs w:val="24"/>
        </w:rPr>
      </w:pPr>
      <w:r>
        <w:rPr>
          <w:rFonts w:ascii="Times New Roman" w:hAnsi="Times New Roman"/>
          <w:b/>
          <w:sz w:val="24"/>
          <w:szCs w:val="24"/>
        </w:rPr>
        <w:br w:type="page"/>
      </w:r>
    </w:p>
    <w:p w:rsidR="007F2CD9" w:rsidRDefault="007F2CD9" w:rsidP="009B4DE9">
      <w:pPr>
        <w:pStyle w:val="ColorfulList-Accent11"/>
        <w:numPr>
          <w:ilvl w:val="0"/>
          <w:numId w:val="2"/>
        </w:numPr>
        <w:spacing w:after="0" w:line="360" w:lineRule="auto"/>
        <w:ind w:left="720" w:hanging="1080"/>
        <w:jc w:val="both"/>
        <w:rPr>
          <w:rFonts w:ascii="Times New Roman" w:hAnsi="Times New Roman"/>
          <w:b/>
          <w:sz w:val="24"/>
          <w:szCs w:val="24"/>
        </w:rPr>
        <w:sectPr w:rsidR="007F2CD9">
          <w:headerReference w:type="default" r:id="rId9"/>
          <w:pgSz w:w="12240" w:h="15840"/>
          <w:pgMar w:top="1440" w:right="1627" w:bottom="1440" w:left="1440" w:header="720" w:footer="720" w:gutter="0"/>
          <w:cols w:space="720"/>
          <w:docGrid w:linePitch="360"/>
        </w:sectPr>
      </w:pPr>
    </w:p>
    <w:p w:rsidR="00B44A3B" w:rsidRPr="007F2CD9" w:rsidRDefault="001B5186" w:rsidP="006A0357">
      <w:pPr>
        <w:pStyle w:val="Chapter"/>
        <w:spacing w:before="160" w:after="160"/>
      </w:pPr>
      <w:r w:rsidRPr="007F2CD9">
        <w:lastRenderedPageBreak/>
        <w:t>Introduction</w:t>
      </w:r>
      <w:r w:rsidR="00B44A3B" w:rsidRPr="007F2CD9">
        <w:t xml:space="preserve"> </w:t>
      </w:r>
    </w:p>
    <w:p w:rsidR="00B44A3B" w:rsidRPr="007F2CD9" w:rsidRDefault="00C17731" w:rsidP="00325E71">
      <w:pPr>
        <w:pStyle w:val="Paragraph"/>
      </w:pPr>
      <w:r w:rsidRPr="00C17731">
        <w:t xml:space="preserve">The general objective of the operation is to </w:t>
      </w:r>
      <w:r w:rsidR="00325E71" w:rsidRPr="00325E71">
        <w:t xml:space="preserve">minimize impacts from the lack of, or insufficient, urban drainage infrastructure in critical areas of the city of POS. Specifically, the program will support the improvement of catchment management through the implementation of drainage infrastructure, improvement of mobility of the population within the central area of POS through a linear park, and institutional strengthening. </w:t>
      </w:r>
      <w:r w:rsidR="009C7650" w:rsidRPr="007F2CD9">
        <w:t xml:space="preserve">As indicated in the Proposal for Operation Development (POD), </w:t>
      </w:r>
      <w:r w:rsidR="00325E71" w:rsidRPr="00325E71">
        <w:t>MEWR will be the Executing Agency for the Program with broad oversight responsibility for all matters related to the Program, and with direct responsibility for the administration of resources</w:t>
      </w:r>
      <w:r w:rsidR="00325E71">
        <w:t xml:space="preserve"> and the procurement processes.</w:t>
      </w:r>
      <w:r w:rsidR="00B44A3B" w:rsidRPr="007F2CD9">
        <w:t xml:space="preserve"> Program monitoring will be based on the Results Framework, the Progress Monitoring Report (PMR), the Procurement Plan, and the AOP. </w:t>
      </w:r>
      <w:r w:rsidR="00325E71">
        <w:t xml:space="preserve">MEWR </w:t>
      </w:r>
      <w:r w:rsidR="00B44A3B" w:rsidRPr="007F2CD9">
        <w:t xml:space="preserve">will submit two semi-annual progress reports throughout program execution, within 60 days following the end of each semester, </w:t>
      </w:r>
      <w:r w:rsidR="009408CB" w:rsidRPr="007F2CD9">
        <w:t>a</w:t>
      </w:r>
      <w:r w:rsidR="00D10876">
        <w:t>s described below.</w:t>
      </w:r>
    </w:p>
    <w:p w:rsidR="006A0357" w:rsidRPr="006A0357" w:rsidRDefault="00B44A3B" w:rsidP="006A0357">
      <w:pPr>
        <w:pStyle w:val="Paragraph"/>
        <w:spacing w:before="80" w:after="80"/>
      </w:pPr>
      <w:r w:rsidRPr="007F2CD9">
        <w:t xml:space="preserve">Program performance will be assessed according to the indicators of the Results Matrix. </w:t>
      </w:r>
      <w:r w:rsidR="005C41FA" w:rsidRPr="007F2CD9">
        <w:t xml:space="preserve">The Executing Agency will present the Bank for its non-objection: (i) a midterm evaluation at the end of 30 months from the date of the signature of the loan contract or after </w:t>
      </w:r>
      <w:r w:rsidR="00862C87">
        <w:t xml:space="preserve"> 6</w:t>
      </w:r>
      <w:r w:rsidR="00862C87" w:rsidRPr="007F2CD9">
        <w:t>0</w:t>
      </w:r>
      <w:r w:rsidR="005C41FA" w:rsidRPr="007F2CD9">
        <w:t>% commitment of the resources, whichever comes first, and (ii) a final evaluation of the program, after 90% of loan</w:t>
      </w:r>
      <w:r w:rsidR="00A32C20">
        <w:t xml:space="preserve"> resources have been committed.</w:t>
      </w:r>
      <w:r w:rsidR="00A32C20" w:rsidRPr="007F2CD9">
        <w:t xml:space="preserve"> </w:t>
      </w:r>
      <w:r w:rsidR="00A32C20" w:rsidRPr="00002B23">
        <w:t xml:space="preserve">The </w:t>
      </w:r>
      <w:r w:rsidR="00151755">
        <w:t xml:space="preserve">final </w:t>
      </w:r>
      <w:r w:rsidR="00A32C20" w:rsidRPr="00002B23">
        <w:t>evaluation will include an ex-post economic evaluation</w:t>
      </w:r>
      <w:r w:rsidR="00E44AAC" w:rsidRPr="00002B23">
        <w:t xml:space="preserve"> of the program </w:t>
      </w:r>
      <w:r w:rsidR="00A32C20" w:rsidRPr="00002B23">
        <w:t>as well as reporting on environment</w:t>
      </w:r>
      <w:r w:rsidR="00E22346">
        <w:t>al</w:t>
      </w:r>
      <w:r w:rsidR="00A32C20" w:rsidRPr="00002B23">
        <w:t xml:space="preserve"> and social issues and on safeguards compliance.</w:t>
      </w:r>
      <w:r w:rsidR="00A32C20">
        <w:t xml:space="preserve"> </w:t>
      </w:r>
      <w:r w:rsidR="004C7E2C" w:rsidRPr="007F2CD9">
        <w:t xml:space="preserve">All the evaluations will be carried out by external independent consultants. </w:t>
      </w:r>
    </w:p>
    <w:p w:rsidR="006A0357" w:rsidRDefault="006A0357" w:rsidP="006A0357">
      <w:pPr>
        <w:pStyle w:val="ColorfulList-Accent11"/>
        <w:numPr>
          <w:ilvl w:val="0"/>
          <w:numId w:val="2"/>
        </w:numPr>
        <w:spacing w:before="80" w:after="80" w:line="240" w:lineRule="auto"/>
        <w:ind w:left="720"/>
        <w:contextualSpacing w:val="0"/>
        <w:jc w:val="both"/>
        <w:rPr>
          <w:rFonts w:ascii="Times New Roman" w:hAnsi="Times New Roman"/>
          <w:b/>
          <w:sz w:val="24"/>
          <w:szCs w:val="24"/>
        </w:rPr>
        <w:sectPr w:rsidR="006A0357" w:rsidSect="006A0357">
          <w:type w:val="continuous"/>
          <w:pgSz w:w="12240" w:h="15840"/>
          <w:pgMar w:top="1440" w:right="1728" w:bottom="1440" w:left="1728" w:header="720" w:footer="720" w:gutter="0"/>
          <w:cols w:space="720"/>
          <w:docGrid w:linePitch="360"/>
        </w:sectPr>
      </w:pPr>
    </w:p>
    <w:p w:rsidR="001B5186" w:rsidRPr="007F2CD9" w:rsidRDefault="001B5186" w:rsidP="006A0357">
      <w:pPr>
        <w:pStyle w:val="Chapter"/>
        <w:spacing w:before="160" w:after="160"/>
      </w:pPr>
      <w:r w:rsidRPr="007F2CD9">
        <w:lastRenderedPageBreak/>
        <w:t>Monitoring</w:t>
      </w:r>
    </w:p>
    <w:p w:rsidR="001B5186" w:rsidRPr="007F2CD9" w:rsidRDefault="004A4AE5" w:rsidP="006A0357">
      <w:pPr>
        <w:pStyle w:val="FirstHeading"/>
        <w:spacing w:before="80" w:after="80"/>
      </w:pPr>
      <w:r>
        <w:fldChar w:fldCharType="begin"/>
      </w:r>
      <w:r w:rsidR="006A0357">
        <w:instrText xml:space="preserve"> SEQ "</w:instrText>
      </w:r>
      <w:fldSimple w:instr=" SECTION  \* MERGEFORMAT ">
        <w:r w:rsidR="008040B5">
          <w:instrText>3</w:instrText>
        </w:r>
      </w:fldSimple>
      <w:r w:rsidR="006A0357">
        <w:instrText xml:space="preserve">#"\* ALPHABETIC \* MERGEFORMAT </w:instrText>
      </w:r>
      <w:r>
        <w:fldChar w:fldCharType="separate"/>
      </w:r>
      <w:r w:rsidR="008040B5">
        <w:rPr>
          <w:noProof/>
        </w:rPr>
        <w:t>A</w:t>
      </w:r>
      <w:r>
        <w:fldChar w:fldCharType="end"/>
      </w:r>
      <w:r w:rsidR="006A0357">
        <w:t>.</w:t>
      </w:r>
      <w:r w:rsidR="006A0357">
        <w:tab/>
      </w:r>
      <w:r w:rsidR="001B5186" w:rsidRPr="007F2CD9">
        <w:t>Indicators</w:t>
      </w:r>
    </w:p>
    <w:p w:rsidR="002E5E11" w:rsidRDefault="00D74C64" w:rsidP="006A0357">
      <w:pPr>
        <w:pStyle w:val="Paragraph"/>
        <w:spacing w:before="80" w:after="80"/>
      </w:pPr>
      <w:r w:rsidRPr="007F2CD9">
        <w:t>Table 1 below presents the indicators that will be monitored on a semi-annual basis. Details on the progress of each indicator will be provided in the Semi</w:t>
      </w:r>
      <w:r w:rsidR="00E22346">
        <w:t>-a</w:t>
      </w:r>
      <w:r w:rsidR="00E22346" w:rsidRPr="007F2CD9">
        <w:t xml:space="preserve">nnual </w:t>
      </w:r>
      <w:r w:rsidRPr="007F2CD9">
        <w:t xml:space="preserve">Progress Reports. The data will feed the </w:t>
      </w:r>
      <w:r w:rsidR="009368A8" w:rsidRPr="007F2CD9">
        <w:t>Progress Monitoring Report (</w:t>
      </w:r>
      <w:r w:rsidRPr="007F2CD9">
        <w:t>PMR</w:t>
      </w:r>
      <w:r w:rsidR="009368A8" w:rsidRPr="007F2CD9">
        <w:t>)</w:t>
      </w:r>
      <w:r w:rsidRPr="007F2CD9">
        <w:t xml:space="preserve"> system, which will be also updated every six months.</w:t>
      </w:r>
      <w:r w:rsidR="0015351B" w:rsidRPr="007F2CD9">
        <w:t xml:space="preserve"> </w:t>
      </w:r>
      <w:r w:rsidR="009368A8" w:rsidRPr="007F2CD9">
        <w:t xml:space="preserve">The </w:t>
      </w:r>
      <w:r w:rsidR="002E5E11" w:rsidRPr="007F2CD9">
        <w:t>PMR</w:t>
      </w:r>
      <w:r w:rsidR="009368A8" w:rsidRPr="007F2CD9">
        <w:t xml:space="preserve"> </w:t>
      </w:r>
      <w:r w:rsidR="002E5E11" w:rsidRPr="007F2CD9">
        <w:t xml:space="preserve">will incorporate the results framework, </w:t>
      </w:r>
      <w:r w:rsidR="009368A8" w:rsidRPr="007F2CD9">
        <w:t xml:space="preserve">as well as </w:t>
      </w:r>
      <w:r w:rsidR="002E5E11" w:rsidRPr="007F2CD9">
        <w:t xml:space="preserve">the risk mitigation matrices and the DEM in order to enable project teams to monitor the outputs and outcomes of the project, and their delivery in terms of both cost and time. The PMR </w:t>
      </w:r>
      <w:r w:rsidR="009368A8" w:rsidRPr="007F2CD9">
        <w:t>will be</w:t>
      </w:r>
      <w:r w:rsidR="002E5E11" w:rsidRPr="007F2CD9">
        <w:t xml:space="preserve"> updated twice a year in September and in March</w:t>
      </w:r>
      <w:r w:rsidR="009368A8" w:rsidRPr="007F2CD9">
        <w:t xml:space="preserve"> to facilitate </w:t>
      </w:r>
      <w:r w:rsidR="002E5E11" w:rsidRPr="007F2CD9">
        <w:t xml:space="preserve">reporting on the links between project outputs and outcomes, outcomes and priorities in country strategies. </w:t>
      </w:r>
    </w:p>
    <w:p w:rsidR="003A3F7C" w:rsidRPr="007F2CD9" w:rsidRDefault="003A3F7C" w:rsidP="003A3F7C">
      <w:pPr>
        <w:pStyle w:val="Paragraph"/>
        <w:numPr>
          <w:ilvl w:val="0"/>
          <w:numId w:val="0"/>
        </w:numPr>
        <w:spacing w:before="80" w:after="80"/>
        <w:ind w:left="720"/>
      </w:pPr>
    </w:p>
    <w:p w:rsidR="001B5186" w:rsidRPr="006A0357" w:rsidRDefault="001B5186" w:rsidP="006A0357">
      <w:pPr>
        <w:spacing w:after="0" w:line="240" w:lineRule="auto"/>
        <w:ind w:left="1080" w:hanging="1166"/>
        <w:jc w:val="center"/>
        <w:rPr>
          <w:rFonts w:ascii="Times New Roman" w:hAnsi="Times New Roman"/>
          <w:b/>
          <w:sz w:val="20"/>
          <w:szCs w:val="20"/>
        </w:rPr>
      </w:pPr>
      <w:r w:rsidRPr="006A0357">
        <w:rPr>
          <w:rFonts w:ascii="Times New Roman" w:hAnsi="Times New Roman"/>
          <w:b/>
          <w:sz w:val="20"/>
          <w:szCs w:val="20"/>
        </w:rPr>
        <w:t>Table 1</w:t>
      </w:r>
      <w:r w:rsidR="006A0357" w:rsidRPr="006A0357">
        <w:rPr>
          <w:rFonts w:ascii="Times New Roman" w:hAnsi="Times New Roman"/>
          <w:b/>
          <w:sz w:val="20"/>
          <w:szCs w:val="20"/>
        </w:rPr>
        <w:t xml:space="preserve"> </w:t>
      </w:r>
      <w:r w:rsidRPr="006A0357">
        <w:rPr>
          <w:rFonts w:ascii="Times New Roman" w:hAnsi="Times New Roman"/>
          <w:b/>
          <w:sz w:val="20"/>
          <w:szCs w:val="20"/>
        </w:rPr>
        <w:t>Monitoring Indicators</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8"/>
        <w:gridCol w:w="1710"/>
        <w:gridCol w:w="3960"/>
      </w:tblGrid>
      <w:tr w:rsidR="009932E4" w:rsidRPr="006A0357" w:rsidTr="006A0357">
        <w:trPr>
          <w:trHeight w:val="289"/>
        </w:trPr>
        <w:tc>
          <w:tcPr>
            <w:tcW w:w="3618" w:type="dxa"/>
          </w:tcPr>
          <w:p w:rsidR="009932E4" w:rsidRPr="006A0357" w:rsidRDefault="009932E4" w:rsidP="00103AA3">
            <w:pPr>
              <w:spacing w:after="0" w:line="240" w:lineRule="auto"/>
              <w:jc w:val="center"/>
              <w:rPr>
                <w:rFonts w:ascii="Times New Roman" w:hAnsi="Times New Roman"/>
                <w:sz w:val="18"/>
                <w:szCs w:val="18"/>
              </w:rPr>
            </w:pPr>
            <w:r w:rsidRPr="006A0357">
              <w:rPr>
                <w:rFonts w:ascii="Times New Roman" w:hAnsi="Times New Roman"/>
                <w:sz w:val="18"/>
                <w:szCs w:val="18"/>
              </w:rPr>
              <w:t>Output Indicator</w:t>
            </w:r>
          </w:p>
        </w:tc>
        <w:tc>
          <w:tcPr>
            <w:tcW w:w="1710" w:type="dxa"/>
          </w:tcPr>
          <w:p w:rsidR="009932E4" w:rsidRPr="006A0357" w:rsidRDefault="009932E4" w:rsidP="00103AA3">
            <w:pPr>
              <w:spacing w:after="0" w:line="240" w:lineRule="auto"/>
              <w:jc w:val="center"/>
              <w:rPr>
                <w:rFonts w:ascii="Times New Roman" w:hAnsi="Times New Roman"/>
                <w:sz w:val="18"/>
                <w:szCs w:val="18"/>
              </w:rPr>
            </w:pPr>
            <w:r w:rsidRPr="006A0357">
              <w:rPr>
                <w:rFonts w:ascii="Times New Roman" w:hAnsi="Times New Roman"/>
                <w:sz w:val="18"/>
                <w:szCs w:val="18"/>
              </w:rPr>
              <w:t>Frequency of Measurement</w:t>
            </w:r>
          </w:p>
        </w:tc>
        <w:tc>
          <w:tcPr>
            <w:tcW w:w="3960" w:type="dxa"/>
          </w:tcPr>
          <w:p w:rsidR="009932E4" w:rsidRPr="006A0357" w:rsidRDefault="009932E4" w:rsidP="00103AA3">
            <w:pPr>
              <w:spacing w:after="0" w:line="240" w:lineRule="auto"/>
              <w:jc w:val="center"/>
              <w:rPr>
                <w:rFonts w:ascii="Times New Roman" w:hAnsi="Times New Roman"/>
                <w:sz w:val="18"/>
                <w:szCs w:val="18"/>
              </w:rPr>
            </w:pPr>
            <w:r w:rsidRPr="006A0357">
              <w:rPr>
                <w:rFonts w:ascii="Times New Roman" w:hAnsi="Times New Roman"/>
                <w:sz w:val="18"/>
                <w:szCs w:val="18"/>
              </w:rPr>
              <w:t>Source of Verification</w:t>
            </w:r>
          </w:p>
        </w:tc>
      </w:tr>
      <w:tr w:rsidR="00DD4025" w:rsidRPr="006A0357" w:rsidTr="006A0357">
        <w:trPr>
          <w:trHeight w:val="366"/>
        </w:trPr>
        <w:tc>
          <w:tcPr>
            <w:tcW w:w="3618" w:type="dxa"/>
            <w:vAlign w:val="center"/>
          </w:tcPr>
          <w:p w:rsidR="00DD4025" w:rsidRPr="00EE2857" w:rsidRDefault="003A3F7C" w:rsidP="0075366D">
            <w:pPr>
              <w:spacing w:after="0" w:line="240" w:lineRule="auto"/>
              <w:rPr>
                <w:rFonts w:ascii="Times New Roman" w:eastAsia="Arial Unicode MS" w:hAnsi="Times New Roman"/>
                <w:iCs/>
                <w:sz w:val="18"/>
                <w:szCs w:val="18"/>
              </w:rPr>
            </w:pPr>
            <w:r w:rsidRPr="00EE2857">
              <w:rPr>
                <w:rFonts w:ascii="Times New Roman" w:eastAsia="Arial Unicode MS" w:hAnsi="Times New Roman"/>
                <w:iCs/>
                <w:sz w:val="20"/>
              </w:rPr>
              <w:t>(P 1) Detailed designs prepared for South Quay (design)</w:t>
            </w:r>
          </w:p>
        </w:tc>
        <w:tc>
          <w:tcPr>
            <w:tcW w:w="1710" w:type="dxa"/>
          </w:tcPr>
          <w:p w:rsidR="00DD4025" w:rsidRPr="006A0357" w:rsidRDefault="00DD4025" w:rsidP="00103AA3">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DD4025" w:rsidRPr="006A0357" w:rsidRDefault="003A3F7C" w:rsidP="00072B9F">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Design approvals by Drainage Division (DD)</w:t>
            </w:r>
          </w:p>
        </w:tc>
      </w:tr>
      <w:tr w:rsidR="00DD4025" w:rsidRPr="006A0357" w:rsidTr="006A0357">
        <w:trPr>
          <w:trHeight w:val="77"/>
        </w:trPr>
        <w:tc>
          <w:tcPr>
            <w:tcW w:w="3618" w:type="dxa"/>
            <w:vAlign w:val="center"/>
          </w:tcPr>
          <w:p w:rsidR="00DD4025" w:rsidRPr="00EE2857" w:rsidRDefault="003A3F7C" w:rsidP="00663742">
            <w:pPr>
              <w:spacing w:after="0" w:line="240" w:lineRule="auto"/>
              <w:rPr>
                <w:rFonts w:ascii="Times New Roman" w:eastAsia="Arial Unicode MS" w:hAnsi="Times New Roman"/>
                <w:iCs/>
                <w:sz w:val="18"/>
                <w:szCs w:val="18"/>
              </w:rPr>
            </w:pPr>
            <w:r w:rsidRPr="00EE2857">
              <w:rPr>
                <w:rFonts w:ascii="Times New Roman" w:eastAsia="Arial Unicode MS" w:hAnsi="Times New Roman"/>
                <w:iCs/>
                <w:sz w:val="20"/>
              </w:rPr>
              <w:t>(P 1 to 8) Tender documents and cost estimates prepared (tender docs)</w:t>
            </w:r>
          </w:p>
        </w:tc>
        <w:tc>
          <w:tcPr>
            <w:tcW w:w="1710" w:type="dxa"/>
          </w:tcPr>
          <w:p w:rsidR="00DD4025" w:rsidRPr="006A0357" w:rsidRDefault="00DD4025"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DD4025" w:rsidRPr="006A0357" w:rsidRDefault="003A3F7C" w:rsidP="00663742">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Issuance of call for tender by the MEWR/ PEU</w:t>
            </w:r>
          </w:p>
        </w:tc>
      </w:tr>
      <w:tr w:rsidR="00DD4025" w:rsidRPr="006A0357" w:rsidTr="006A0357">
        <w:trPr>
          <w:trHeight w:val="289"/>
        </w:trPr>
        <w:tc>
          <w:tcPr>
            <w:tcW w:w="3618" w:type="dxa"/>
            <w:vAlign w:val="center"/>
          </w:tcPr>
          <w:p w:rsidR="00DD4025" w:rsidRPr="00EE2857" w:rsidRDefault="003A3F7C" w:rsidP="00663742">
            <w:pPr>
              <w:spacing w:after="0" w:line="240" w:lineRule="auto"/>
              <w:rPr>
                <w:rFonts w:ascii="Times New Roman" w:eastAsia="Arial Unicode MS" w:hAnsi="Times New Roman"/>
                <w:iCs/>
                <w:sz w:val="18"/>
                <w:szCs w:val="18"/>
              </w:rPr>
            </w:pPr>
            <w:r w:rsidRPr="00EE2857">
              <w:rPr>
                <w:rFonts w:ascii="Times New Roman" w:eastAsia="Arial Unicode MS" w:hAnsi="Times New Roman"/>
                <w:iCs/>
                <w:sz w:val="20"/>
              </w:rPr>
              <w:t>(P 1)</w:t>
            </w:r>
            <w:r w:rsidR="00E22346">
              <w:rPr>
                <w:rFonts w:ascii="Times New Roman" w:eastAsia="Arial Unicode MS" w:hAnsi="Times New Roman"/>
                <w:iCs/>
                <w:sz w:val="20"/>
              </w:rPr>
              <w:t xml:space="preserve"> </w:t>
            </w:r>
            <w:r w:rsidRPr="00EE2857">
              <w:rPr>
                <w:rFonts w:ascii="Times New Roman" w:eastAsia="Arial Unicode MS" w:hAnsi="Times New Roman"/>
                <w:iCs/>
                <w:sz w:val="20"/>
              </w:rPr>
              <w:t>Storm drainage network for South Quay rehabilitated (km)</w:t>
            </w:r>
          </w:p>
        </w:tc>
        <w:tc>
          <w:tcPr>
            <w:tcW w:w="1710" w:type="dxa"/>
          </w:tcPr>
          <w:p w:rsidR="00DD4025" w:rsidRPr="006A0357" w:rsidRDefault="00DD4025"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DD4025" w:rsidRPr="006A0357" w:rsidRDefault="003A3F7C" w:rsidP="00663742">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p>
        </w:tc>
      </w:tr>
      <w:tr w:rsidR="00DD4025" w:rsidRPr="006A0357" w:rsidTr="006A0357">
        <w:trPr>
          <w:trHeight w:val="375"/>
        </w:trPr>
        <w:tc>
          <w:tcPr>
            <w:tcW w:w="3618" w:type="dxa"/>
            <w:vAlign w:val="center"/>
          </w:tcPr>
          <w:p w:rsidR="00DD4025" w:rsidRPr="00EE2857" w:rsidRDefault="003A3F7C" w:rsidP="00663742">
            <w:pPr>
              <w:spacing w:after="0" w:line="240" w:lineRule="auto"/>
              <w:rPr>
                <w:rFonts w:ascii="Times New Roman" w:eastAsia="Arial Unicode MS" w:hAnsi="Times New Roman"/>
                <w:iCs/>
                <w:sz w:val="18"/>
                <w:szCs w:val="18"/>
              </w:rPr>
            </w:pPr>
            <w:r w:rsidRPr="00EE2857">
              <w:rPr>
                <w:rFonts w:ascii="Times New Roman" w:eastAsia="Arial Unicode MS" w:hAnsi="Times New Roman"/>
                <w:iCs/>
                <w:sz w:val="20"/>
              </w:rPr>
              <w:lastRenderedPageBreak/>
              <w:t>(P 2) Storm drainage network for SW QP Savannah rehabilitated (km)</w:t>
            </w:r>
          </w:p>
        </w:tc>
        <w:tc>
          <w:tcPr>
            <w:tcW w:w="1710" w:type="dxa"/>
          </w:tcPr>
          <w:p w:rsidR="00DD4025" w:rsidRPr="006A0357" w:rsidRDefault="00DD4025"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DD4025" w:rsidRPr="006A0357" w:rsidRDefault="003A3F7C" w:rsidP="00663742">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r w:rsidR="00DD4025" w:rsidRPr="006A0357">
              <w:rPr>
                <w:rFonts w:ascii="Times New Roman" w:eastAsia="Arial Unicode MS" w:hAnsi="Times New Roman"/>
                <w:iCs/>
                <w:sz w:val="18"/>
                <w:szCs w:val="18"/>
              </w:rPr>
              <w:t>.</w:t>
            </w:r>
          </w:p>
        </w:tc>
      </w:tr>
      <w:tr w:rsidR="00DD4025" w:rsidRPr="006A0357" w:rsidTr="006A0357">
        <w:trPr>
          <w:trHeight w:val="375"/>
        </w:trPr>
        <w:tc>
          <w:tcPr>
            <w:tcW w:w="3618" w:type="dxa"/>
            <w:vAlign w:val="center"/>
          </w:tcPr>
          <w:p w:rsidR="00DD4025" w:rsidRPr="00EE2857" w:rsidRDefault="003A3F7C" w:rsidP="00663742">
            <w:pPr>
              <w:spacing w:after="0" w:line="240" w:lineRule="auto"/>
              <w:rPr>
                <w:rFonts w:ascii="Times New Roman" w:eastAsia="Arial Unicode MS" w:hAnsi="Times New Roman"/>
                <w:iCs/>
                <w:sz w:val="18"/>
                <w:szCs w:val="18"/>
              </w:rPr>
            </w:pPr>
            <w:r w:rsidRPr="00EE2857">
              <w:rPr>
                <w:rFonts w:ascii="Times New Roman" w:eastAsia="Arial Unicode MS" w:hAnsi="Times New Roman"/>
                <w:iCs/>
                <w:sz w:val="20"/>
              </w:rPr>
              <w:t>(P 2) New water and sediment detention reservoir (reservoir)</w:t>
            </w:r>
          </w:p>
        </w:tc>
        <w:tc>
          <w:tcPr>
            <w:tcW w:w="1710" w:type="dxa"/>
          </w:tcPr>
          <w:p w:rsidR="00DD4025" w:rsidRPr="006A0357" w:rsidRDefault="00DD4025"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tcPr>
          <w:p w:rsidR="00DD4025" w:rsidRPr="006A0357" w:rsidRDefault="003A3F7C" w:rsidP="00072B9F">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r w:rsidRPr="006A0357">
              <w:rPr>
                <w:rFonts w:ascii="Times New Roman" w:eastAsia="Arial Unicode MS" w:hAnsi="Times New Roman"/>
                <w:iCs/>
                <w:sz w:val="18"/>
                <w:szCs w:val="18"/>
              </w:rPr>
              <w:t>.</w:t>
            </w:r>
            <w:r w:rsidR="00072B9F" w:rsidRPr="006A0357">
              <w:rPr>
                <w:rFonts w:ascii="Times New Roman" w:eastAsia="Arial Unicode MS" w:hAnsi="Times New Roman"/>
                <w:iCs/>
                <w:sz w:val="18"/>
                <w:szCs w:val="18"/>
              </w:rPr>
              <w:t xml:space="preserve"> </w:t>
            </w:r>
          </w:p>
        </w:tc>
      </w:tr>
      <w:tr w:rsidR="00DD4025" w:rsidRPr="006A0357" w:rsidTr="006A0357">
        <w:trPr>
          <w:trHeight w:val="375"/>
        </w:trPr>
        <w:tc>
          <w:tcPr>
            <w:tcW w:w="3618" w:type="dxa"/>
            <w:vAlign w:val="center"/>
          </w:tcPr>
          <w:p w:rsidR="00DD4025" w:rsidRPr="00EE2857" w:rsidRDefault="003A3F7C" w:rsidP="00D95E73">
            <w:pPr>
              <w:spacing w:after="0" w:line="240" w:lineRule="auto"/>
              <w:rPr>
                <w:rFonts w:ascii="Times New Roman" w:eastAsia="Arial Unicode MS" w:hAnsi="Times New Roman"/>
                <w:iCs/>
                <w:sz w:val="18"/>
                <w:szCs w:val="18"/>
              </w:rPr>
            </w:pPr>
            <w:r w:rsidRPr="00EE2857">
              <w:rPr>
                <w:rFonts w:ascii="Times New Roman" w:eastAsia="Arial Unicode MS" w:hAnsi="Times New Roman"/>
                <w:iCs/>
                <w:sz w:val="20"/>
              </w:rPr>
              <w:t>(P 3) Storm drainage network for Woodbrook West rehabilitated (km)</w:t>
            </w:r>
          </w:p>
        </w:tc>
        <w:tc>
          <w:tcPr>
            <w:tcW w:w="1710" w:type="dxa"/>
          </w:tcPr>
          <w:p w:rsidR="00DD4025" w:rsidRPr="006A0357" w:rsidRDefault="00DD4025"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DD4025" w:rsidRPr="006A0357" w:rsidRDefault="003A3F7C" w:rsidP="00072B9F">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r w:rsidRPr="006A0357">
              <w:rPr>
                <w:rFonts w:ascii="Times New Roman" w:eastAsia="Arial Unicode MS" w:hAnsi="Times New Roman"/>
                <w:iCs/>
                <w:sz w:val="18"/>
                <w:szCs w:val="18"/>
              </w:rPr>
              <w:t>.</w:t>
            </w:r>
          </w:p>
        </w:tc>
      </w:tr>
      <w:tr w:rsidR="00DD4025" w:rsidRPr="006A0357" w:rsidTr="006A0357">
        <w:trPr>
          <w:trHeight w:val="375"/>
        </w:trPr>
        <w:tc>
          <w:tcPr>
            <w:tcW w:w="3618" w:type="dxa"/>
            <w:vAlign w:val="center"/>
          </w:tcPr>
          <w:p w:rsidR="00DD4025" w:rsidRPr="00EE2857" w:rsidRDefault="003A3F7C" w:rsidP="00D95E73">
            <w:pPr>
              <w:spacing w:after="0" w:line="240" w:lineRule="auto"/>
              <w:rPr>
                <w:rFonts w:ascii="Times New Roman" w:eastAsia="Arial Unicode MS" w:hAnsi="Times New Roman"/>
                <w:iCs/>
                <w:sz w:val="18"/>
                <w:szCs w:val="18"/>
              </w:rPr>
            </w:pPr>
            <w:r w:rsidRPr="00EE2857">
              <w:rPr>
                <w:rFonts w:ascii="Times New Roman" w:eastAsia="Arial Unicode MS" w:hAnsi="Times New Roman"/>
                <w:iCs/>
                <w:sz w:val="20"/>
              </w:rPr>
              <w:t>(P 3) New water and sediment detention reservoir (reservoir)</w:t>
            </w:r>
          </w:p>
        </w:tc>
        <w:tc>
          <w:tcPr>
            <w:tcW w:w="1710" w:type="dxa"/>
          </w:tcPr>
          <w:p w:rsidR="00DD4025" w:rsidRPr="006A0357" w:rsidRDefault="00DD4025"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DD4025" w:rsidRPr="006A0357" w:rsidRDefault="003A3F7C" w:rsidP="00072B9F">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r w:rsidRPr="006A0357">
              <w:rPr>
                <w:rFonts w:ascii="Times New Roman" w:eastAsia="Arial Unicode MS" w:hAnsi="Times New Roman"/>
                <w:iCs/>
                <w:sz w:val="18"/>
                <w:szCs w:val="18"/>
              </w:rPr>
              <w:t>.</w:t>
            </w:r>
          </w:p>
        </w:tc>
      </w:tr>
      <w:tr w:rsidR="00DD4025" w:rsidRPr="006A0357" w:rsidTr="006A0357">
        <w:trPr>
          <w:trHeight w:val="375"/>
        </w:trPr>
        <w:tc>
          <w:tcPr>
            <w:tcW w:w="3618" w:type="dxa"/>
            <w:vAlign w:val="center"/>
          </w:tcPr>
          <w:p w:rsidR="00DD4025" w:rsidRPr="00EE2857" w:rsidRDefault="003A3F7C" w:rsidP="00947A99">
            <w:pPr>
              <w:spacing w:after="0" w:line="240" w:lineRule="auto"/>
              <w:rPr>
                <w:rFonts w:ascii="Times New Roman" w:eastAsia="Arial Unicode MS" w:hAnsi="Times New Roman"/>
                <w:iCs/>
                <w:sz w:val="18"/>
                <w:szCs w:val="18"/>
              </w:rPr>
            </w:pPr>
            <w:r w:rsidRPr="00EE2857">
              <w:rPr>
                <w:rFonts w:ascii="Times New Roman" w:eastAsia="Arial Unicode MS" w:hAnsi="Times New Roman"/>
                <w:iCs/>
                <w:sz w:val="20"/>
              </w:rPr>
              <w:t>(P 4) Storm drainage network for Abattoir Rd. rehabilitated (km)</w:t>
            </w:r>
          </w:p>
        </w:tc>
        <w:tc>
          <w:tcPr>
            <w:tcW w:w="1710" w:type="dxa"/>
          </w:tcPr>
          <w:p w:rsidR="00DD4025" w:rsidRPr="006A0357" w:rsidRDefault="00DD4025"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DD4025" w:rsidRPr="006A0357" w:rsidRDefault="003A3F7C" w:rsidP="00072B9F">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r w:rsidRPr="006A0357">
              <w:rPr>
                <w:rFonts w:ascii="Times New Roman" w:eastAsia="Arial Unicode MS" w:hAnsi="Times New Roman"/>
                <w:iCs/>
                <w:sz w:val="18"/>
                <w:szCs w:val="18"/>
              </w:rPr>
              <w:t>.</w:t>
            </w:r>
          </w:p>
        </w:tc>
      </w:tr>
      <w:tr w:rsidR="00072B9F" w:rsidRPr="006A0357" w:rsidTr="006A0357">
        <w:trPr>
          <w:trHeight w:val="375"/>
        </w:trPr>
        <w:tc>
          <w:tcPr>
            <w:tcW w:w="3618" w:type="dxa"/>
            <w:vAlign w:val="center"/>
          </w:tcPr>
          <w:p w:rsidR="00072B9F" w:rsidRPr="00EE2857" w:rsidRDefault="003A3F7C" w:rsidP="00841216">
            <w:pPr>
              <w:rPr>
                <w:rFonts w:ascii="Times New Roman" w:eastAsia="Arial Unicode MS" w:hAnsi="Times New Roman"/>
                <w:iCs/>
                <w:sz w:val="20"/>
              </w:rPr>
            </w:pPr>
            <w:r w:rsidRPr="00EE2857">
              <w:rPr>
                <w:rFonts w:ascii="Times New Roman" w:eastAsia="Arial Unicode MS" w:hAnsi="Times New Roman"/>
                <w:sz w:val="20"/>
              </w:rPr>
              <w:t>(P4) Set of equipment acquired (equipment)</w:t>
            </w:r>
          </w:p>
        </w:tc>
        <w:tc>
          <w:tcPr>
            <w:tcW w:w="1710" w:type="dxa"/>
          </w:tcPr>
          <w:p w:rsidR="00072B9F" w:rsidRPr="006A0357" w:rsidRDefault="00072B9F"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072B9F" w:rsidRPr="006A0357" w:rsidRDefault="003A3F7C" w:rsidP="00663742">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p>
        </w:tc>
      </w:tr>
      <w:tr w:rsidR="00072B9F" w:rsidRPr="006A0357" w:rsidTr="006A0357">
        <w:trPr>
          <w:trHeight w:val="375"/>
        </w:trPr>
        <w:tc>
          <w:tcPr>
            <w:tcW w:w="3618" w:type="dxa"/>
            <w:vAlign w:val="center"/>
          </w:tcPr>
          <w:p w:rsidR="00072B9F" w:rsidRPr="00EE2857" w:rsidRDefault="003A3F7C" w:rsidP="00841216">
            <w:pPr>
              <w:rPr>
                <w:rFonts w:ascii="Times New Roman" w:eastAsia="Arial Unicode MS" w:hAnsi="Times New Roman"/>
                <w:iCs/>
                <w:sz w:val="20"/>
              </w:rPr>
            </w:pPr>
            <w:r w:rsidRPr="00EE2857">
              <w:rPr>
                <w:rFonts w:ascii="Times New Roman" w:eastAsia="Arial Unicode MS" w:hAnsi="Times New Roman"/>
                <w:sz w:val="20"/>
              </w:rPr>
              <w:t>(P 5) Storm drainage network for St. Vincent St. rehabilitated (km)</w:t>
            </w:r>
          </w:p>
        </w:tc>
        <w:tc>
          <w:tcPr>
            <w:tcW w:w="1710" w:type="dxa"/>
          </w:tcPr>
          <w:p w:rsidR="00072B9F" w:rsidRPr="006A0357" w:rsidRDefault="00072B9F"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072B9F" w:rsidRPr="006A0357" w:rsidRDefault="003A3F7C" w:rsidP="00663742">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p>
        </w:tc>
      </w:tr>
      <w:tr w:rsidR="00072B9F" w:rsidRPr="006A0357" w:rsidTr="006A0357">
        <w:trPr>
          <w:trHeight w:val="375"/>
        </w:trPr>
        <w:tc>
          <w:tcPr>
            <w:tcW w:w="3618" w:type="dxa"/>
            <w:vAlign w:val="center"/>
          </w:tcPr>
          <w:p w:rsidR="00072B9F" w:rsidRPr="00EE2857" w:rsidRDefault="003A3F7C" w:rsidP="00841216">
            <w:pPr>
              <w:rPr>
                <w:rFonts w:ascii="Times New Roman" w:eastAsia="Arial Unicode MS" w:hAnsi="Times New Roman"/>
                <w:sz w:val="20"/>
              </w:rPr>
            </w:pPr>
            <w:r w:rsidRPr="00EE2857">
              <w:rPr>
                <w:rFonts w:ascii="Times New Roman" w:eastAsia="Arial Unicode MS" w:hAnsi="Times New Roman"/>
                <w:sz w:val="20"/>
              </w:rPr>
              <w:t>(P 6) Storm drainage network for Adam Smith rehabilitated (km)</w:t>
            </w:r>
          </w:p>
        </w:tc>
        <w:tc>
          <w:tcPr>
            <w:tcW w:w="1710" w:type="dxa"/>
          </w:tcPr>
          <w:p w:rsidR="00072B9F" w:rsidRPr="006A0357" w:rsidRDefault="00072B9F"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072B9F" w:rsidRPr="006A0357" w:rsidRDefault="003A3F7C" w:rsidP="00663742">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p>
        </w:tc>
      </w:tr>
      <w:tr w:rsidR="003A3F7C" w:rsidRPr="006A0357" w:rsidTr="006A0357">
        <w:trPr>
          <w:trHeight w:val="375"/>
        </w:trPr>
        <w:tc>
          <w:tcPr>
            <w:tcW w:w="3618" w:type="dxa"/>
            <w:vAlign w:val="center"/>
          </w:tcPr>
          <w:p w:rsidR="003A3F7C" w:rsidRPr="00EE2857" w:rsidRDefault="003A3F7C" w:rsidP="00841216">
            <w:pPr>
              <w:rPr>
                <w:rFonts w:ascii="Times New Roman" w:eastAsia="Arial Unicode MS" w:hAnsi="Times New Roman"/>
                <w:sz w:val="20"/>
              </w:rPr>
            </w:pPr>
            <w:r w:rsidRPr="00EE2857">
              <w:rPr>
                <w:rFonts w:ascii="Times New Roman" w:eastAsia="Arial Unicode MS" w:hAnsi="Times New Roman"/>
                <w:sz w:val="20"/>
              </w:rPr>
              <w:t>(P 6) New water and sediment detention reservoir (reservoir)</w:t>
            </w:r>
          </w:p>
        </w:tc>
        <w:tc>
          <w:tcPr>
            <w:tcW w:w="1710" w:type="dxa"/>
          </w:tcPr>
          <w:p w:rsidR="003A3F7C" w:rsidRPr="006A0357" w:rsidRDefault="003A3F7C"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3A3F7C" w:rsidRPr="006A0357" w:rsidRDefault="003A3F7C" w:rsidP="00151755">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p>
        </w:tc>
      </w:tr>
      <w:tr w:rsidR="00072B9F" w:rsidRPr="006A0357" w:rsidTr="006A0357">
        <w:trPr>
          <w:trHeight w:val="375"/>
        </w:trPr>
        <w:tc>
          <w:tcPr>
            <w:tcW w:w="3618" w:type="dxa"/>
            <w:vAlign w:val="center"/>
          </w:tcPr>
          <w:p w:rsidR="00072B9F" w:rsidRPr="00EE2857" w:rsidRDefault="003A3F7C" w:rsidP="00841216">
            <w:pPr>
              <w:rPr>
                <w:rFonts w:ascii="Times New Roman" w:eastAsia="Arial Unicode MS" w:hAnsi="Times New Roman"/>
                <w:sz w:val="20"/>
              </w:rPr>
            </w:pPr>
            <w:r w:rsidRPr="00EE2857">
              <w:rPr>
                <w:rFonts w:ascii="Times New Roman" w:eastAsia="Arial Unicode MS" w:hAnsi="Times New Roman"/>
                <w:sz w:val="20"/>
              </w:rPr>
              <w:t>(P 7) Storm drainage network for Sackville rehabilitated (km)</w:t>
            </w:r>
          </w:p>
        </w:tc>
        <w:tc>
          <w:tcPr>
            <w:tcW w:w="1710" w:type="dxa"/>
          </w:tcPr>
          <w:p w:rsidR="00072B9F" w:rsidRPr="006A0357" w:rsidRDefault="00072B9F" w:rsidP="009932E4">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072B9F" w:rsidRPr="006A0357" w:rsidRDefault="003A3F7C" w:rsidP="00663742">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p>
        </w:tc>
      </w:tr>
      <w:tr w:rsidR="003A3F7C" w:rsidRPr="006A0357" w:rsidTr="006A0357">
        <w:trPr>
          <w:trHeight w:val="375"/>
        </w:trPr>
        <w:tc>
          <w:tcPr>
            <w:tcW w:w="3618" w:type="dxa"/>
            <w:vAlign w:val="center"/>
          </w:tcPr>
          <w:p w:rsidR="003A3F7C" w:rsidRPr="00EE2857" w:rsidRDefault="003A3F7C" w:rsidP="00841216">
            <w:pPr>
              <w:rPr>
                <w:rFonts w:ascii="Times New Roman" w:eastAsia="Arial Unicode MS" w:hAnsi="Times New Roman"/>
                <w:sz w:val="20"/>
              </w:rPr>
            </w:pPr>
            <w:r w:rsidRPr="00EE2857">
              <w:rPr>
                <w:rFonts w:ascii="Times New Roman" w:eastAsia="Arial Unicode MS" w:hAnsi="Times New Roman"/>
                <w:sz w:val="20"/>
              </w:rPr>
              <w:t>( P 8) Increasing cross section of St. Ann’s River at Eastern Main Road (bridge)</w:t>
            </w:r>
          </w:p>
        </w:tc>
        <w:tc>
          <w:tcPr>
            <w:tcW w:w="1710" w:type="dxa"/>
          </w:tcPr>
          <w:p w:rsidR="003A3F7C" w:rsidRPr="006A0357" w:rsidRDefault="003A3F7C" w:rsidP="00151755">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w:t>
            </w:r>
          </w:p>
        </w:tc>
        <w:tc>
          <w:tcPr>
            <w:tcW w:w="3960" w:type="dxa"/>
            <w:vAlign w:val="center"/>
          </w:tcPr>
          <w:p w:rsidR="003A3F7C" w:rsidRPr="003A3F7C" w:rsidRDefault="003A3F7C" w:rsidP="00663742">
            <w:pPr>
              <w:spacing w:after="0" w:line="240" w:lineRule="auto"/>
              <w:rPr>
                <w:rFonts w:ascii="Times New Roman" w:eastAsia="Arial Unicode MS" w:hAnsi="Times New Roman"/>
                <w:iCs/>
                <w:sz w:val="18"/>
                <w:szCs w:val="18"/>
              </w:rPr>
            </w:pPr>
            <w:r w:rsidRPr="003A3F7C">
              <w:rPr>
                <w:rFonts w:ascii="Times New Roman" w:eastAsia="Arial Unicode MS" w:hAnsi="Times New Roman"/>
                <w:iCs/>
                <w:sz w:val="18"/>
                <w:szCs w:val="18"/>
              </w:rPr>
              <w:t>Verification: completion certificate signed by construction supervisor and MEWR/ PEU. Semi-annual reports to IDB.</w:t>
            </w:r>
          </w:p>
        </w:tc>
      </w:tr>
    </w:tbl>
    <w:p w:rsidR="00EE2857" w:rsidRDefault="00EE2857" w:rsidP="006A0357">
      <w:pPr>
        <w:pStyle w:val="FirstHeading"/>
        <w:spacing w:before="80" w:after="80"/>
      </w:pPr>
    </w:p>
    <w:p w:rsidR="001B5186" w:rsidRPr="007F2CD9" w:rsidRDefault="004A4AE5" w:rsidP="006A0357">
      <w:pPr>
        <w:pStyle w:val="FirstHeading"/>
        <w:spacing w:before="80" w:after="80"/>
      </w:pPr>
      <w:r>
        <w:fldChar w:fldCharType="begin"/>
      </w:r>
      <w:r w:rsidR="006A0357">
        <w:instrText xml:space="preserve"> SEQ "</w:instrText>
      </w:r>
      <w:fldSimple w:instr=" SECTION  \* MERGEFORMAT ">
        <w:r w:rsidR="008040B5">
          <w:instrText>3</w:instrText>
        </w:r>
      </w:fldSimple>
      <w:r w:rsidR="006A0357">
        <w:instrText xml:space="preserve">#"\* ALPHABETIC \* MERGEFORMAT </w:instrText>
      </w:r>
      <w:r>
        <w:fldChar w:fldCharType="separate"/>
      </w:r>
      <w:r w:rsidR="008040B5">
        <w:rPr>
          <w:noProof/>
        </w:rPr>
        <w:t>B</w:t>
      </w:r>
      <w:r>
        <w:fldChar w:fldCharType="end"/>
      </w:r>
      <w:r w:rsidR="006A0357">
        <w:t>.</w:t>
      </w:r>
      <w:r w:rsidR="006A0357">
        <w:tab/>
      </w:r>
      <w:r w:rsidR="001B5186" w:rsidRPr="007F2CD9">
        <w:t>Data Collection and Instruments</w:t>
      </w:r>
    </w:p>
    <w:p w:rsidR="00D76848" w:rsidRPr="007F2CD9" w:rsidRDefault="00DB1638" w:rsidP="006A0357">
      <w:pPr>
        <w:pStyle w:val="Paragraph"/>
        <w:spacing w:before="80" w:after="80"/>
      </w:pPr>
      <w:r w:rsidRPr="007F2CD9">
        <w:t xml:space="preserve">All the indicators for the proposed interventions are </w:t>
      </w:r>
      <w:r w:rsidR="00C67BAD" w:rsidRPr="007F2CD9">
        <w:t xml:space="preserve">and will be </w:t>
      </w:r>
      <w:r w:rsidRPr="007F2CD9">
        <w:t xml:space="preserve">based on information collected directly by </w:t>
      </w:r>
      <w:r w:rsidR="00EE2857">
        <w:t>MEWR/PEU</w:t>
      </w:r>
      <w:r w:rsidRPr="007F2CD9">
        <w:t xml:space="preserve"> and recorded within the internal </w:t>
      </w:r>
      <w:r w:rsidR="00EE2857">
        <w:t>administrative record system of the MEWR. Given the incipient nature of the MEWR, the Program will finance the establishment of an adequate data recording and control system.</w:t>
      </w:r>
    </w:p>
    <w:p w:rsidR="00E06B81" w:rsidRPr="007F2CD9" w:rsidRDefault="00EE2857" w:rsidP="006A0357">
      <w:pPr>
        <w:pStyle w:val="Paragraph"/>
        <w:spacing w:before="80" w:after="80"/>
      </w:pPr>
      <w:r>
        <w:t>MEWR/PEU</w:t>
      </w:r>
      <w:r w:rsidR="00E06B81" w:rsidRPr="007F2CD9">
        <w:t xml:space="preserve"> will also be responsible for the process of </w:t>
      </w:r>
      <w:r w:rsidR="00E85884" w:rsidRPr="007F2CD9">
        <w:t>systematization</w:t>
      </w:r>
      <w:r w:rsidR="00E06B81" w:rsidRPr="007F2CD9">
        <w:t xml:space="preserve"> of the information obtained from the semi-annual reviews (semi-annual progress report), the mid-term evaluation and the final evaluation, with the overarching objective to support: (i) the preparation of the Project Completion Report (</w:t>
      </w:r>
      <w:r w:rsidR="008B736B" w:rsidRPr="007F2CD9">
        <w:t xml:space="preserve">which will be presented as Expanded Performance Monitoring Report, or XPMR </w:t>
      </w:r>
      <w:r w:rsidR="00E06B81" w:rsidRPr="007F2CD9">
        <w:t>), and (ii) the preparation of any documents requested by the Office of Evaluation and Oversight (OVE), in line with the IDB policy GN-2254-5.</w:t>
      </w:r>
    </w:p>
    <w:p w:rsidR="008960D9" w:rsidRPr="007F2CD9" w:rsidRDefault="008960D9" w:rsidP="006A0357">
      <w:pPr>
        <w:pStyle w:val="Paragraph"/>
        <w:spacing w:before="80" w:after="80"/>
      </w:pPr>
      <w:r w:rsidRPr="007F2CD9">
        <w:rPr>
          <w:rFonts w:cs="Maiandra GD"/>
        </w:rPr>
        <w:t>All the output</w:t>
      </w:r>
      <w:r w:rsidR="008B736B" w:rsidRPr="007F2CD9">
        <w:rPr>
          <w:rFonts w:cs="Maiandra GD"/>
        </w:rPr>
        <w:t>s</w:t>
      </w:r>
      <w:r w:rsidRPr="007F2CD9">
        <w:rPr>
          <w:rFonts w:cs="Maiandra GD"/>
        </w:rPr>
        <w:t xml:space="preserve"> </w:t>
      </w:r>
      <w:r w:rsidR="008B736B" w:rsidRPr="007F2CD9">
        <w:rPr>
          <w:rFonts w:cs="Maiandra GD"/>
        </w:rPr>
        <w:t xml:space="preserve">and outcomes </w:t>
      </w:r>
      <w:r w:rsidRPr="007F2CD9">
        <w:rPr>
          <w:rFonts w:cs="Maiandra GD"/>
        </w:rPr>
        <w:t xml:space="preserve">indicators will be measured directly. </w:t>
      </w:r>
      <w:r w:rsidRPr="007F2CD9">
        <w:t xml:space="preserve">At times, </w:t>
      </w:r>
      <w:r w:rsidR="00EE2857">
        <w:t>the PEU</w:t>
      </w:r>
      <w:r w:rsidRPr="007F2CD9">
        <w:t xml:space="preserve"> </w:t>
      </w:r>
      <w:r w:rsidR="00E85884" w:rsidRPr="007F2CD9">
        <w:t>personnel</w:t>
      </w:r>
      <w:r w:rsidRPr="007F2CD9">
        <w:t xml:space="preserve"> will receive external support to </w:t>
      </w:r>
      <w:r w:rsidR="001150D5" w:rsidRPr="007F2CD9">
        <w:t>carry out</w:t>
      </w:r>
      <w:r w:rsidRPr="007F2CD9">
        <w:t xml:space="preserve"> the</w:t>
      </w:r>
      <w:r w:rsidR="001150D5" w:rsidRPr="007F2CD9">
        <w:t xml:space="preserve"> measurements </w:t>
      </w:r>
      <w:r w:rsidRPr="007F2CD9">
        <w:t xml:space="preserve">(e.g., in </w:t>
      </w:r>
      <w:r w:rsidRPr="007F2CD9">
        <w:lastRenderedPageBreak/>
        <w:t xml:space="preserve">the collection of the </w:t>
      </w:r>
      <w:r w:rsidR="00E85884" w:rsidRPr="007F2CD9">
        <w:t>environmental</w:t>
      </w:r>
      <w:r w:rsidRPr="007F2CD9">
        <w:t xml:space="preserve"> data, as described below). </w:t>
      </w:r>
      <w:r w:rsidRPr="007F2CD9">
        <w:rPr>
          <w:rFonts w:cs="Maiandra GD"/>
        </w:rPr>
        <w:t>Measures and estimates will be compared with the expected outputs and outcomes presented in the Results Matrix.</w:t>
      </w:r>
      <w:r w:rsidR="0071792E" w:rsidRPr="007F2CD9">
        <w:t xml:space="preserve"> </w:t>
      </w:r>
      <w:r w:rsidR="00EE2857">
        <w:t>MEWR/ PEU</w:t>
      </w:r>
      <w:r w:rsidR="0071792E" w:rsidRPr="007F2CD9">
        <w:t xml:space="preserve"> will submit two semi-annual progress reports throughout program execution, within 60 days following the end of each semester, as described below.</w:t>
      </w:r>
    </w:p>
    <w:p w:rsidR="0071792E" w:rsidRPr="007F2CD9" w:rsidRDefault="00BE2ECA" w:rsidP="006A0357">
      <w:pPr>
        <w:pStyle w:val="Paragraph"/>
        <w:spacing w:before="80" w:after="80"/>
      </w:pPr>
      <w:r w:rsidRPr="007F2CD9">
        <w:t>It was agreed to use the Results Matrix and the activities defined in the Performance Monitoring Report (PMR) as the principal elements for monitoring the operation. This means that p</w:t>
      </w:r>
      <w:r w:rsidR="00C1736B" w:rsidRPr="007F2CD9">
        <w:t xml:space="preserve">rogram monitoring will be based on the Results </w:t>
      </w:r>
      <w:r w:rsidRPr="007F2CD9">
        <w:t>Matrix</w:t>
      </w:r>
      <w:r w:rsidR="00C1736B" w:rsidRPr="007F2CD9">
        <w:t xml:space="preserve"> (that details also the means of verification), the PMR, and the Annual Operation Plan (AOP). </w:t>
      </w:r>
    </w:p>
    <w:p w:rsidR="00C1736B" w:rsidRPr="007F2CD9" w:rsidRDefault="006D23B4" w:rsidP="006D23B4">
      <w:pPr>
        <w:pStyle w:val="Paragraph"/>
      </w:pPr>
      <w:r>
        <w:t>Given the limited capacity</w:t>
      </w:r>
      <w:r w:rsidR="0071792E" w:rsidRPr="007F2CD9">
        <w:t xml:space="preserve"> of </w:t>
      </w:r>
      <w:r>
        <w:t>PEU</w:t>
      </w:r>
      <w:r w:rsidRPr="006D23B4">
        <w:t xml:space="preserve"> to undertake </w:t>
      </w:r>
      <w:r w:rsidRPr="007F2CD9">
        <w:t xml:space="preserve">the monitoring </w:t>
      </w:r>
      <w:r>
        <w:t xml:space="preserve">of </w:t>
      </w:r>
      <w:r w:rsidRPr="006D23B4">
        <w:t>wo</w:t>
      </w:r>
      <w:r>
        <w:t>rk items identified in the ESMP, with the assistance of the</w:t>
      </w:r>
      <w:r w:rsidRPr="006D23B4">
        <w:t xml:space="preserve"> DD</w:t>
      </w:r>
      <w:r>
        <w:t>, the</w:t>
      </w:r>
      <w:r w:rsidRPr="006D23B4">
        <w:t xml:space="preserve"> resources of the Environmental Unit </w:t>
      </w:r>
      <w:r>
        <w:t>from</w:t>
      </w:r>
      <w:r w:rsidRPr="006D23B4">
        <w:t xml:space="preserve"> the Ministry of Works and Infrastructure (MWI)</w:t>
      </w:r>
      <w:r>
        <w:t xml:space="preserve">, </w:t>
      </w:r>
      <w:r w:rsidRPr="006D23B4">
        <w:t>a unit that would have been utilized prior to DD’s detachment from the MWI</w:t>
      </w:r>
      <w:r>
        <w:t>,</w:t>
      </w:r>
      <w:r w:rsidRPr="006D23B4">
        <w:t xml:space="preserve"> will </w:t>
      </w:r>
      <w:r>
        <w:t>be utilized</w:t>
      </w:r>
      <w:r w:rsidRPr="006D23B4">
        <w:t>.  Alternative</w:t>
      </w:r>
      <w:r>
        <w:t>ly, executing these work items w</w:t>
      </w:r>
      <w:r w:rsidRPr="006D23B4">
        <w:t>ould be the responsibility of an Environmental Specialist resident in the DD</w:t>
      </w:r>
      <w:r>
        <w:t xml:space="preserve"> in the MEWR</w:t>
      </w:r>
      <w:r w:rsidRPr="006D23B4">
        <w:t>.</w:t>
      </w:r>
    </w:p>
    <w:p w:rsidR="001B5186" w:rsidRPr="007F2CD9" w:rsidRDefault="004A4AE5" w:rsidP="006A0357">
      <w:pPr>
        <w:pStyle w:val="FirstHeading"/>
        <w:spacing w:before="80" w:after="80"/>
      </w:pPr>
      <w:r>
        <w:fldChar w:fldCharType="begin"/>
      </w:r>
      <w:r w:rsidR="006A0357">
        <w:instrText xml:space="preserve"> SEQ "</w:instrText>
      </w:r>
      <w:fldSimple w:instr=" SECTION  \* MERGEFORMAT ">
        <w:r w:rsidR="008040B5">
          <w:instrText>3</w:instrText>
        </w:r>
      </w:fldSimple>
      <w:r w:rsidR="006A0357">
        <w:instrText xml:space="preserve">#"\* ALPHABETIC \* MERGEFORMAT </w:instrText>
      </w:r>
      <w:r>
        <w:fldChar w:fldCharType="separate"/>
      </w:r>
      <w:r w:rsidR="008040B5">
        <w:rPr>
          <w:noProof/>
        </w:rPr>
        <w:t>C</w:t>
      </w:r>
      <w:r>
        <w:fldChar w:fldCharType="end"/>
      </w:r>
      <w:r w:rsidR="006A0357">
        <w:t>.</w:t>
      </w:r>
      <w:r w:rsidR="006A0357">
        <w:tab/>
      </w:r>
      <w:r w:rsidR="001B5186" w:rsidRPr="007F2CD9">
        <w:t>Reporting</w:t>
      </w:r>
      <w:r w:rsidR="00083963" w:rsidRPr="007F2CD9">
        <w:t xml:space="preserve"> monitoring results</w:t>
      </w:r>
    </w:p>
    <w:p w:rsidR="009408CB" w:rsidRPr="007F2CD9" w:rsidRDefault="00034A88" w:rsidP="006A0357">
      <w:pPr>
        <w:pStyle w:val="Paragraph"/>
        <w:spacing w:before="80" w:after="80"/>
        <w:rPr>
          <w:color w:val="000000"/>
        </w:rPr>
      </w:pPr>
      <w:r w:rsidRPr="007F2CD9">
        <w:t xml:space="preserve">Besides the Annual Operating Plans (AOP) and the Annual Procurement Plans (see Summary Implementation Arrangements in the POD), </w:t>
      </w:r>
      <w:r w:rsidR="006D23B4">
        <w:t>the MEWR/ PEU</w:t>
      </w:r>
      <w:r w:rsidRPr="007F2CD9">
        <w:t xml:space="preserve"> will submit two semi-annual progress reports throughout the life of the project execution, within </w:t>
      </w:r>
      <w:r w:rsidR="009408CB" w:rsidRPr="007F2CD9">
        <w:t>6</w:t>
      </w:r>
      <w:r w:rsidRPr="007F2CD9">
        <w:t>0 days after the end of the calendar year or half year. These reports will contain</w:t>
      </w:r>
      <w:r w:rsidR="00D67782">
        <w:t>,</w:t>
      </w:r>
      <w:r w:rsidRPr="007F2CD9">
        <w:t xml:space="preserve"> at </w:t>
      </w:r>
      <w:r w:rsidR="00D67782">
        <w:t>a minimum,</w:t>
      </w:r>
      <w:r w:rsidR="00D67782" w:rsidRPr="007F2CD9">
        <w:t xml:space="preserve"> </w:t>
      </w:r>
      <w:r w:rsidRPr="007F2CD9">
        <w:t xml:space="preserve">the following elements: </w:t>
      </w:r>
      <w:r w:rsidR="009408CB" w:rsidRPr="007F2CD9">
        <w:rPr>
          <w:color w:val="000000"/>
        </w:rPr>
        <w:t>(i) descriptions of the executed activities per component; (ii) accounts of the contractors’, consultants’ and the supervision firm’s performances; (iii) description of the procurement processes carried out during the reported period and any update to the procurement plan; (iv) updated schedule of physical progress and disbursements; (v) level of compliance with the performance indicators, according to the PMR system; (vi) review of critical determinants of the socioeconomic feasibility of the project, particularly actual investments costs; (vii) progress with respect to the implementation and execution of environmental audits, including timeline, results and implemented measures to comply with the Environmental and Social Management Report (ESMR); (viii) description of the elements that are affecting program implementation, and identification and proposal of corrective measures; (ix) identification of new risks / events that may potentially affect the future implementation of the program, and update of the Matrices produced within the Project Risk Management process; (x) execution plan to be completed in the following two six month periods; (xi) maintenance plan for the following two six month periods; (xii) a summarized project financial statement, and (xiii) the estimated cash flow for the next two six month periods.</w:t>
      </w:r>
    </w:p>
    <w:p w:rsidR="00034A88" w:rsidRPr="007F2CD9" w:rsidRDefault="00034A88" w:rsidP="006A0357">
      <w:pPr>
        <w:pStyle w:val="Paragraph"/>
        <w:spacing w:before="80" w:after="80"/>
      </w:pPr>
      <w:r w:rsidRPr="007F2CD9">
        <w:t>As mentioned above, the semi-annual progress reports will be structured to facilitate easy updates of the PMR system (based on the Result Matrix). A standard template has been developed in this sense indicating indicators and milestones for the programs outputs, outcomes and impacts.</w:t>
      </w:r>
    </w:p>
    <w:p w:rsidR="00034A88" w:rsidRPr="007F2CD9" w:rsidRDefault="00F35C57" w:rsidP="006A0357">
      <w:pPr>
        <w:pStyle w:val="Paragraph"/>
        <w:spacing w:before="80" w:after="80"/>
      </w:pPr>
      <w:r>
        <w:lastRenderedPageBreak/>
        <w:t>Financial accounting and technical i</w:t>
      </w:r>
      <w:r w:rsidR="00034A88" w:rsidRPr="007F2CD9">
        <w:t xml:space="preserve">nspection visits will be conducted by the IDB </w:t>
      </w:r>
      <w:r>
        <w:t>based on the initial risk assessment and changes thereto during execution</w:t>
      </w:r>
      <w:r w:rsidR="00034A88" w:rsidRPr="007F2CD9">
        <w:t xml:space="preserve">, to monitor relevant technical, operational, and financial aspects of the Project. Inspection visits reports will be prepared </w:t>
      </w:r>
      <w:r>
        <w:t>at least twice per year</w:t>
      </w:r>
      <w:r w:rsidR="00034A88" w:rsidRPr="007F2CD9">
        <w:t xml:space="preserve">. Administration missions will be conducted by the IDB whenever the need arises. </w:t>
      </w:r>
    </w:p>
    <w:p w:rsidR="00034A88" w:rsidRPr="007F2CD9" w:rsidRDefault="00034A88" w:rsidP="006A0357">
      <w:pPr>
        <w:pStyle w:val="Paragraph"/>
        <w:spacing w:before="80" w:after="80"/>
      </w:pPr>
      <w:r w:rsidRPr="007F2CD9">
        <w:t xml:space="preserve">The chronogram at the end of this document presents the information over the dates proposed for the publications of the results. </w:t>
      </w:r>
    </w:p>
    <w:p w:rsidR="00C32444" w:rsidRPr="007F2CD9" w:rsidRDefault="004A4AE5" w:rsidP="006A0357">
      <w:pPr>
        <w:pStyle w:val="FirstHeading"/>
        <w:spacing w:before="80" w:after="80"/>
      </w:pPr>
      <w:r>
        <w:fldChar w:fldCharType="begin"/>
      </w:r>
      <w:r w:rsidR="006A0357">
        <w:instrText xml:space="preserve"> SEQ "</w:instrText>
      </w:r>
      <w:fldSimple w:instr=" SECTION  \* MERGEFORMAT ">
        <w:r w:rsidR="008040B5">
          <w:instrText>3</w:instrText>
        </w:r>
      </w:fldSimple>
      <w:r w:rsidR="006A0357">
        <w:instrText xml:space="preserve">#"\* ALPHABETIC \* MERGEFORMAT </w:instrText>
      </w:r>
      <w:r>
        <w:fldChar w:fldCharType="separate"/>
      </w:r>
      <w:r w:rsidR="008040B5">
        <w:rPr>
          <w:noProof/>
        </w:rPr>
        <w:t>D</w:t>
      </w:r>
      <w:r>
        <w:fldChar w:fldCharType="end"/>
      </w:r>
      <w:r w:rsidR="006A0357">
        <w:t>.</w:t>
      </w:r>
      <w:r w:rsidR="006A0357">
        <w:tab/>
      </w:r>
      <w:r w:rsidR="008960D9" w:rsidRPr="007F2CD9">
        <w:t xml:space="preserve">Financial </w:t>
      </w:r>
      <w:r w:rsidR="00C32444" w:rsidRPr="007F2CD9">
        <w:t xml:space="preserve">Auditing </w:t>
      </w:r>
    </w:p>
    <w:p w:rsidR="00C32444" w:rsidRPr="007F2CD9" w:rsidRDefault="00C32444" w:rsidP="006A0357">
      <w:pPr>
        <w:pStyle w:val="Paragraph"/>
        <w:spacing w:before="80" w:after="80"/>
      </w:pPr>
      <w:r w:rsidRPr="007F2CD9">
        <w:t xml:space="preserve">From a financial </w:t>
      </w:r>
      <w:r w:rsidR="00F35C57">
        <w:t xml:space="preserve">management </w:t>
      </w:r>
      <w:r w:rsidRPr="007F2CD9">
        <w:t xml:space="preserve">perspective: </w:t>
      </w:r>
    </w:p>
    <w:p w:rsidR="00C32444" w:rsidRPr="007F2CD9" w:rsidRDefault="00C32444" w:rsidP="006A0357">
      <w:pPr>
        <w:pStyle w:val="subpar"/>
        <w:spacing w:before="80" w:after="80"/>
        <w:ind w:left="720" w:hanging="720"/>
      </w:pPr>
      <w:r w:rsidRPr="007F2CD9">
        <w:t xml:space="preserve">an annual financial audit report of the program is to be submitted by </w:t>
      </w:r>
      <w:r w:rsidR="000D2907">
        <w:t>MEWR</w:t>
      </w:r>
      <w:r w:rsidR="0010356D" w:rsidRPr="007F2CD9">
        <w:t xml:space="preserve"> </w:t>
      </w:r>
      <w:r w:rsidRPr="007F2CD9">
        <w:t xml:space="preserve">within 120 days of the end of each calendar year (beginning with the year in which the program was made effective); </w:t>
      </w:r>
    </w:p>
    <w:p w:rsidR="00C32444" w:rsidRDefault="00C32444" w:rsidP="006A0357">
      <w:pPr>
        <w:pStyle w:val="subpar"/>
        <w:spacing w:before="80" w:after="80"/>
        <w:ind w:left="720" w:hanging="720"/>
      </w:pPr>
      <w:r w:rsidRPr="007F2CD9">
        <w:t xml:space="preserve">a final financial audit report of the program is to be submitted by </w:t>
      </w:r>
      <w:r w:rsidR="000D2907">
        <w:t>MEWR</w:t>
      </w:r>
      <w:r w:rsidRPr="007F2CD9">
        <w:t xml:space="preserve"> within 120 days after the date of the last disbursement. </w:t>
      </w:r>
    </w:p>
    <w:p w:rsidR="008F593C" w:rsidRPr="007F2CD9" w:rsidRDefault="008F593C" w:rsidP="006A0357">
      <w:pPr>
        <w:pStyle w:val="subpar"/>
        <w:spacing w:before="80" w:after="80"/>
        <w:ind w:left="720" w:hanging="720"/>
      </w:pPr>
      <w:r>
        <w:t>The Terms of Reference of the appointed external auditor will also include quarterly ex-post reviews of disbursements</w:t>
      </w:r>
      <w:r w:rsidR="00FE5645">
        <w:t xml:space="preserve"> processed, the report on which will be submitted within twenty (20) days of the end of each calendar quarter.</w:t>
      </w:r>
    </w:p>
    <w:p w:rsidR="008960D9" w:rsidRDefault="00C32444" w:rsidP="006A0357">
      <w:pPr>
        <w:pStyle w:val="Paragraph"/>
        <w:spacing w:before="80" w:after="80"/>
      </w:pPr>
      <w:r w:rsidRPr="007F2CD9">
        <w:t>The external audit</w:t>
      </w:r>
      <w:r w:rsidR="008960D9" w:rsidRPr="007F2CD9">
        <w:t>s</w:t>
      </w:r>
      <w:r w:rsidRPr="007F2CD9">
        <w:t xml:space="preserve"> will be performed by a firm of independent auditors acceptable to the Bank</w:t>
      </w:r>
      <w:r w:rsidR="008F593C">
        <w:t xml:space="preserve"> or by the Auditor General of Trinidad and Tobago, where appoint has been accepted</w:t>
      </w:r>
      <w:r w:rsidRPr="007F2CD9">
        <w:t xml:space="preserve">, and </w:t>
      </w:r>
      <w:r w:rsidR="008960D9" w:rsidRPr="007F2CD9">
        <w:t xml:space="preserve">using </w:t>
      </w:r>
      <w:r w:rsidRPr="007F2CD9">
        <w:t xml:space="preserve">terms of reference previously approved by the Bank. </w:t>
      </w:r>
      <w:r w:rsidR="008960D9" w:rsidRPr="007F2CD9">
        <w:t xml:space="preserve">The cost of the audits will be financed with program resources. </w:t>
      </w:r>
    </w:p>
    <w:p w:rsidR="001B5186" w:rsidRPr="007F2CD9" w:rsidRDefault="004A4AE5" w:rsidP="006A0357">
      <w:pPr>
        <w:pStyle w:val="FirstHeading"/>
        <w:spacing w:before="80" w:after="80"/>
      </w:pPr>
      <w:r>
        <w:fldChar w:fldCharType="begin"/>
      </w:r>
      <w:r w:rsidR="006A0357">
        <w:instrText xml:space="preserve"> SEQ "</w:instrText>
      </w:r>
      <w:fldSimple w:instr=" SECTION  \* MERGEFORMAT ">
        <w:r w:rsidR="008040B5">
          <w:instrText>3</w:instrText>
        </w:r>
      </w:fldSimple>
      <w:r w:rsidR="006A0357">
        <w:instrText xml:space="preserve">#"\* ALPHABETIC \* MERGEFORMAT </w:instrText>
      </w:r>
      <w:r>
        <w:fldChar w:fldCharType="separate"/>
      </w:r>
      <w:r w:rsidR="008040B5">
        <w:rPr>
          <w:noProof/>
        </w:rPr>
        <w:t>E</w:t>
      </w:r>
      <w:r>
        <w:fldChar w:fldCharType="end"/>
      </w:r>
      <w:r w:rsidR="006A0357">
        <w:t>.</w:t>
      </w:r>
      <w:r w:rsidR="006A0357">
        <w:tab/>
      </w:r>
      <w:r w:rsidR="001B5186" w:rsidRPr="007F2CD9">
        <w:t>Monitoring Coordination, Work Plan and Budget</w:t>
      </w:r>
    </w:p>
    <w:p w:rsidR="00934CDA" w:rsidRPr="007F2CD9" w:rsidRDefault="006D5704" w:rsidP="006A0357">
      <w:pPr>
        <w:pStyle w:val="Paragraph"/>
        <w:spacing w:before="80" w:after="80"/>
      </w:pPr>
      <w:r w:rsidRPr="007F2CD9">
        <w:t xml:space="preserve">As indicated above and in the Proposal for Operation Development (POD), </w:t>
      </w:r>
      <w:r w:rsidR="00B944DB">
        <w:t>MEWR/ PEU</w:t>
      </w:r>
      <w:r w:rsidRPr="007F2CD9">
        <w:t xml:space="preserve"> will be in charge of monitoring program performance and progress throughout execution. </w:t>
      </w:r>
      <w:r w:rsidR="00034A88" w:rsidRPr="007F2CD9">
        <w:t xml:space="preserve">Overall, </w:t>
      </w:r>
      <w:r w:rsidR="00B944DB">
        <w:t>the PEU</w:t>
      </w:r>
      <w:r w:rsidR="00034A88" w:rsidRPr="007F2CD9">
        <w:t xml:space="preserve"> will be responsible for developing the system for gathering and maintaining the data related to the different indicators included in the Results Matrix, as well as for collecting the retaining updated information on the performance indicators and implementation plans. </w:t>
      </w:r>
      <w:r w:rsidR="0049513C" w:rsidRPr="007F2CD9">
        <w:t xml:space="preserve">Acknowledging the need to ensure proper internal communication, appropriate staff will be designated by </w:t>
      </w:r>
      <w:r w:rsidR="00B944DB">
        <w:t>the PEU for</w:t>
      </w:r>
      <w:r w:rsidR="0049513C" w:rsidRPr="007F2CD9">
        <w:t xml:space="preserve"> the execution of the program</w:t>
      </w:r>
      <w:r w:rsidR="00CF3336">
        <w:t>. T</w:t>
      </w:r>
      <w:r w:rsidR="00CF3336" w:rsidRPr="00CF3336">
        <w:t>he P</w:t>
      </w:r>
      <w:r w:rsidR="00B944DB">
        <w:t>EU will include a</w:t>
      </w:r>
      <w:r w:rsidR="00CF3336" w:rsidRPr="00CF3336">
        <w:t xml:space="preserve"> Prog</w:t>
      </w:r>
      <w:r w:rsidR="00B944DB">
        <w:t>ram Manager</w:t>
      </w:r>
      <w:r w:rsidR="00CF3336" w:rsidRPr="00CF3336">
        <w:t xml:space="preserve">, two engineers, a financial officer, an accounting officer, a procurement officer and a specialist in planning and control that will be responsible for the monitoring of the Program. Accounting and financial monitoring and reporting will be undertaken by the </w:t>
      </w:r>
      <w:r w:rsidR="00F35C57">
        <w:t xml:space="preserve">MEWR, through the PEU. </w:t>
      </w:r>
      <w:r w:rsidR="00CF3336" w:rsidRPr="00CF3336">
        <w:t>The P</w:t>
      </w:r>
      <w:r w:rsidR="00B944DB">
        <w:t>EU</w:t>
      </w:r>
      <w:r w:rsidR="00CF3336" w:rsidRPr="00CF3336">
        <w:t xml:space="preserve"> w</w:t>
      </w:r>
      <w:r w:rsidR="00B944DB">
        <w:t xml:space="preserve">ill also include a </w:t>
      </w:r>
      <w:r w:rsidR="00CF3336" w:rsidRPr="00CF3336">
        <w:t xml:space="preserve">Legal </w:t>
      </w:r>
      <w:r w:rsidR="00B944DB">
        <w:t>Officer</w:t>
      </w:r>
      <w:r w:rsidR="00CF3336" w:rsidRPr="00CF3336">
        <w:t xml:space="preserve">. </w:t>
      </w:r>
      <w:r w:rsidR="0049513C" w:rsidRPr="007F2CD9">
        <w:t>This core group will also include a spe</w:t>
      </w:r>
      <w:r w:rsidR="00BB0F49">
        <w:t>cialist in planning and control</w:t>
      </w:r>
      <w:r w:rsidR="0049513C" w:rsidRPr="007F2CD9">
        <w:t xml:space="preserve"> who will be responsible to compile information from the other members of the working group and closely follow the monitoring of the program. The Program Manager</w:t>
      </w:r>
      <w:r w:rsidR="00CF3336">
        <w:t xml:space="preserve"> through </w:t>
      </w:r>
      <w:r w:rsidR="0049513C" w:rsidRPr="007F2CD9">
        <w:t xml:space="preserve">will be responsible for monitoring progress against agreed benchmarks, assessing the continued viability of the program and present monitoring reports to the IDB every six months. </w:t>
      </w:r>
      <w:r w:rsidR="00934CDA" w:rsidRPr="007F2CD9">
        <w:t xml:space="preserve">Capacity building activities to be financed through loan resources will include: training on environmental and social safeguards, water quality monitoring procedures, and data collection for program monitoring. </w:t>
      </w:r>
    </w:p>
    <w:p w:rsidR="001B5186" w:rsidRPr="007F2CD9" w:rsidRDefault="006D5704" w:rsidP="006A0357">
      <w:pPr>
        <w:pStyle w:val="Paragraph"/>
        <w:spacing w:before="80" w:after="80"/>
      </w:pPr>
      <w:r w:rsidRPr="007F2CD9">
        <w:lastRenderedPageBreak/>
        <w:t>Table 2 presents the program monitoring timeframe, budget allocated for each main activity and source of funding.</w:t>
      </w:r>
      <w:r w:rsidR="0045022C" w:rsidRPr="007F2CD9">
        <w:t xml:space="preserve"> The first </w:t>
      </w:r>
      <w:r w:rsidR="00E85884">
        <w:t>item</w:t>
      </w:r>
      <w:r w:rsidR="0045022C" w:rsidRPr="007F2CD9">
        <w:t xml:space="preserve">, </w:t>
      </w:r>
      <w:r w:rsidR="00E85884">
        <w:t>“</w:t>
      </w:r>
      <w:r w:rsidR="0045022C" w:rsidRPr="007F2CD9">
        <w:t xml:space="preserve">General data collection and monitoring </w:t>
      </w:r>
      <w:r w:rsidR="00E85884" w:rsidRPr="007F2CD9">
        <w:t>activities</w:t>
      </w:r>
      <w:r w:rsidR="00E85884">
        <w:t>”</w:t>
      </w:r>
      <w:r w:rsidR="00E85884" w:rsidRPr="007F2CD9">
        <w:t>, was</w:t>
      </w:r>
      <w:r w:rsidR="0045022C" w:rsidRPr="007F2CD9">
        <w:t xml:space="preserve"> assigned a budget of US$15,000, and will cover those general expenses that the executing agency will have to bear to monitor program execution that are not covered by other budget lines. </w:t>
      </w:r>
    </w:p>
    <w:p w:rsidR="001B5186" w:rsidRPr="00364D6A" w:rsidRDefault="001B5186" w:rsidP="001B5186">
      <w:pPr>
        <w:pStyle w:val="ColorfulList-Accent11"/>
        <w:spacing w:after="0" w:line="360" w:lineRule="auto"/>
        <w:rPr>
          <w:rFonts w:ascii="Times New Roman" w:hAnsi="Times New Roman"/>
          <w:color w:val="000000"/>
        </w:rPr>
      </w:pPr>
    </w:p>
    <w:p w:rsidR="001B5186" w:rsidRPr="00364D6A" w:rsidRDefault="001B5186" w:rsidP="001B5186">
      <w:pPr>
        <w:pStyle w:val="ColorfulList-Accent11"/>
        <w:spacing w:after="0" w:line="360" w:lineRule="auto"/>
        <w:ind w:left="0"/>
        <w:rPr>
          <w:rFonts w:ascii="Times New Roman" w:hAnsi="Times New Roman"/>
          <w:color w:val="000000"/>
        </w:rPr>
        <w:sectPr w:rsidR="001B5186" w:rsidRPr="00364D6A" w:rsidSect="006A0357">
          <w:type w:val="continuous"/>
          <w:pgSz w:w="12240" w:h="15840"/>
          <w:pgMar w:top="1440" w:right="1728" w:bottom="1440" w:left="1728" w:header="720" w:footer="720" w:gutter="0"/>
          <w:cols w:space="720"/>
          <w:docGrid w:linePitch="360"/>
        </w:sectPr>
      </w:pPr>
    </w:p>
    <w:p w:rsidR="001B5186" w:rsidRPr="006A0357" w:rsidRDefault="001B5186" w:rsidP="001B5186">
      <w:pPr>
        <w:spacing w:after="0" w:line="360" w:lineRule="auto"/>
        <w:jc w:val="center"/>
        <w:rPr>
          <w:rFonts w:ascii="Times New Roman" w:hAnsi="Times New Roman"/>
          <w:b/>
          <w:sz w:val="20"/>
          <w:szCs w:val="20"/>
        </w:rPr>
      </w:pPr>
      <w:r w:rsidRPr="006A0357">
        <w:rPr>
          <w:rFonts w:ascii="Times New Roman" w:hAnsi="Times New Roman"/>
          <w:b/>
          <w:sz w:val="20"/>
          <w:szCs w:val="20"/>
        </w:rPr>
        <w:lastRenderedPageBreak/>
        <w:t>Table 2</w:t>
      </w:r>
      <w:r w:rsidR="006A0357" w:rsidRPr="006A0357">
        <w:rPr>
          <w:rFonts w:ascii="Times New Roman" w:hAnsi="Times New Roman"/>
          <w:b/>
          <w:sz w:val="20"/>
          <w:szCs w:val="20"/>
        </w:rPr>
        <w:t xml:space="preserve"> </w:t>
      </w:r>
      <w:r w:rsidRPr="006A0357">
        <w:rPr>
          <w:rFonts w:ascii="Times New Roman" w:hAnsi="Times New Roman"/>
          <w:b/>
          <w:sz w:val="20"/>
          <w:szCs w:val="20"/>
        </w:rPr>
        <w:t>Monitoring Work Plan</w:t>
      </w:r>
    </w:p>
    <w:tbl>
      <w:tblPr>
        <w:tblW w:w="13325" w:type="dxa"/>
        <w:tblInd w:w="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9"/>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1710"/>
        <w:gridCol w:w="900"/>
        <w:gridCol w:w="1586"/>
      </w:tblGrid>
      <w:tr w:rsidR="0084260C" w:rsidRPr="00364D6A" w:rsidTr="0045022C">
        <w:tc>
          <w:tcPr>
            <w:tcW w:w="1929" w:type="dxa"/>
            <w:vMerge w:val="restart"/>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Key Monitoring Activities/Products per Activity</w:t>
            </w:r>
          </w:p>
        </w:tc>
        <w:tc>
          <w:tcPr>
            <w:tcW w:w="1440" w:type="dxa"/>
            <w:gridSpan w:val="4"/>
            <w:shd w:val="clear" w:color="auto" w:fill="auto"/>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Year 1</w:t>
            </w:r>
          </w:p>
        </w:tc>
        <w:tc>
          <w:tcPr>
            <w:tcW w:w="1440" w:type="dxa"/>
            <w:gridSpan w:val="4"/>
            <w:shd w:val="clear" w:color="auto" w:fill="auto"/>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Year 2</w:t>
            </w:r>
          </w:p>
        </w:tc>
        <w:tc>
          <w:tcPr>
            <w:tcW w:w="1440" w:type="dxa"/>
            <w:gridSpan w:val="4"/>
            <w:shd w:val="clear" w:color="auto" w:fill="auto"/>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Year 3</w:t>
            </w:r>
          </w:p>
        </w:tc>
        <w:tc>
          <w:tcPr>
            <w:tcW w:w="1440" w:type="dxa"/>
            <w:gridSpan w:val="4"/>
          </w:tcPr>
          <w:p w:rsidR="0084260C" w:rsidRPr="00364D6A" w:rsidRDefault="0084260C" w:rsidP="0084260C">
            <w:pPr>
              <w:spacing w:after="0" w:line="360" w:lineRule="auto"/>
              <w:jc w:val="center"/>
              <w:rPr>
                <w:rFonts w:ascii="Times New Roman" w:hAnsi="Times New Roman"/>
                <w:sz w:val="18"/>
                <w:szCs w:val="18"/>
              </w:rPr>
            </w:pPr>
            <w:r w:rsidRPr="00364D6A">
              <w:rPr>
                <w:rFonts w:ascii="Times New Roman" w:hAnsi="Times New Roman"/>
                <w:sz w:val="18"/>
                <w:szCs w:val="18"/>
              </w:rPr>
              <w:t>Year 4</w:t>
            </w:r>
          </w:p>
        </w:tc>
        <w:tc>
          <w:tcPr>
            <w:tcW w:w="1440" w:type="dxa"/>
            <w:gridSpan w:val="4"/>
          </w:tcPr>
          <w:p w:rsidR="0084260C" w:rsidRPr="00364D6A" w:rsidRDefault="0084260C" w:rsidP="0084260C">
            <w:pPr>
              <w:spacing w:after="0" w:line="360" w:lineRule="auto"/>
              <w:jc w:val="center"/>
              <w:rPr>
                <w:rFonts w:ascii="Times New Roman" w:hAnsi="Times New Roman"/>
                <w:sz w:val="18"/>
                <w:szCs w:val="18"/>
              </w:rPr>
            </w:pPr>
            <w:r w:rsidRPr="00364D6A">
              <w:rPr>
                <w:rFonts w:ascii="Times New Roman" w:hAnsi="Times New Roman"/>
                <w:sz w:val="18"/>
                <w:szCs w:val="18"/>
              </w:rPr>
              <w:t>Year 5</w:t>
            </w:r>
          </w:p>
        </w:tc>
        <w:tc>
          <w:tcPr>
            <w:tcW w:w="1710" w:type="dxa"/>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Responsible</w:t>
            </w:r>
          </w:p>
        </w:tc>
        <w:tc>
          <w:tcPr>
            <w:tcW w:w="900" w:type="dxa"/>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Costs (US$)</w:t>
            </w:r>
          </w:p>
        </w:tc>
        <w:tc>
          <w:tcPr>
            <w:tcW w:w="1586" w:type="dxa"/>
          </w:tcPr>
          <w:p w:rsidR="0084260C" w:rsidRPr="00364D6A" w:rsidRDefault="00643DFA" w:rsidP="001B5186">
            <w:pPr>
              <w:spacing w:after="0" w:line="360" w:lineRule="auto"/>
              <w:jc w:val="center"/>
              <w:rPr>
                <w:rFonts w:ascii="Times New Roman" w:hAnsi="Times New Roman"/>
                <w:sz w:val="18"/>
                <w:szCs w:val="18"/>
              </w:rPr>
            </w:pPr>
            <w:r w:rsidRPr="00364D6A">
              <w:rPr>
                <w:rFonts w:ascii="Times New Roman" w:hAnsi="Times New Roman"/>
                <w:sz w:val="18"/>
                <w:szCs w:val="18"/>
              </w:rPr>
              <w:t>Funding</w:t>
            </w:r>
          </w:p>
        </w:tc>
      </w:tr>
      <w:tr w:rsidR="0045022C" w:rsidRPr="00364D6A" w:rsidTr="0045022C">
        <w:tc>
          <w:tcPr>
            <w:tcW w:w="1929" w:type="dxa"/>
            <w:vMerge/>
          </w:tcPr>
          <w:p w:rsidR="0084260C" w:rsidRPr="00364D6A" w:rsidRDefault="0084260C" w:rsidP="001B5186">
            <w:pPr>
              <w:spacing w:after="0" w:line="360" w:lineRule="auto"/>
              <w:jc w:val="center"/>
              <w:rPr>
                <w:rFonts w:ascii="Times New Roman" w:hAnsi="Times New Roman"/>
                <w:sz w:val="18"/>
                <w:szCs w:val="18"/>
              </w:rPr>
            </w:pPr>
          </w:p>
        </w:tc>
        <w:tc>
          <w:tcPr>
            <w:tcW w:w="360" w:type="dxa"/>
            <w:shd w:val="clear" w:color="auto" w:fill="auto"/>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1</w:t>
            </w:r>
          </w:p>
        </w:tc>
        <w:tc>
          <w:tcPr>
            <w:tcW w:w="360" w:type="dxa"/>
            <w:shd w:val="clear" w:color="auto" w:fill="auto"/>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2</w:t>
            </w:r>
          </w:p>
        </w:tc>
        <w:tc>
          <w:tcPr>
            <w:tcW w:w="360" w:type="dxa"/>
            <w:shd w:val="clear" w:color="auto" w:fill="auto"/>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3</w:t>
            </w:r>
          </w:p>
        </w:tc>
        <w:tc>
          <w:tcPr>
            <w:tcW w:w="360" w:type="dxa"/>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4</w:t>
            </w:r>
          </w:p>
        </w:tc>
        <w:tc>
          <w:tcPr>
            <w:tcW w:w="360" w:type="dxa"/>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1</w:t>
            </w:r>
          </w:p>
        </w:tc>
        <w:tc>
          <w:tcPr>
            <w:tcW w:w="360" w:type="dxa"/>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2</w:t>
            </w:r>
          </w:p>
        </w:tc>
        <w:tc>
          <w:tcPr>
            <w:tcW w:w="360" w:type="dxa"/>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3</w:t>
            </w:r>
          </w:p>
        </w:tc>
        <w:tc>
          <w:tcPr>
            <w:tcW w:w="360" w:type="dxa"/>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4</w:t>
            </w:r>
          </w:p>
        </w:tc>
        <w:tc>
          <w:tcPr>
            <w:tcW w:w="360" w:type="dxa"/>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1</w:t>
            </w:r>
          </w:p>
        </w:tc>
        <w:tc>
          <w:tcPr>
            <w:tcW w:w="360" w:type="dxa"/>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2</w:t>
            </w:r>
          </w:p>
        </w:tc>
        <w:tc>
          <w:tcPr>
            <w:tcW w:w="360" w:type="dxa"/>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3</w:t>
            </w:r>
          </w:p>
        </w:tc>
        <w:tc>
          <w:tcPr>
            <w:tcW w:w="360" w:type="dxa"/>
            <w:shd w:val="clear" w:color="auto" w:fill="auto"/>
          </w:tcPr>
          <w:p w:rsidR="0084260C" w:rsidRPr="00364D6A" w:rsidRDefault="0084260C" w:rsidP="001E4D3C">
            <w:pPr>
              <w:spacing w:after="0" w:line="360" w:lineRule="auto"/>
              <w:jc w:val="center"/>
              <w:rPr>
                <w:rFonts w:ascii="Times New Roman" w:hAnsi="Times New Roman"/>
                <w:sz w:val="18"/>
                <w:szCs w:val="18"/>
              </w:rPr>
            </w:pPr>
            <w:r w:rsidRPr="00364D6A">
              <w:rPr>
                <w:rFonts w:ascii="Times New Roman" w:hAnsi="Times New Roman"/>
                <w:sz w:val="18"/>
                <w:szCs w:val="18"/>
              </w:rPr>
              <w:t>4</w:t>
            </w:r>
          </w:p>
        </w:tc>
        <w:tc>
          <w:tcPr>
            <w:tcW w:w="360" w:type="dxa"/>
            <w:shd w:val="clear" w:color="auto" w:fill="auto"/>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1</w:t>
            </w:r>
          </w:p>
        </w:tc>
        <w:tc>
          <w:tcPr>
            <w:tcW w:w="360" w:type="dxa"/>
            <w:shd w:val="clear" w:color="auto" w:fill="auto"/>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2</w:t>
            </w:r>
          </w:p>
        </w:tc>
        <w:tc>
          <w:tcPr>
            <w:tcW w:w="360" w:type="dxa"/>
            <w:shd w:val="clear" w:color="auto" w:fill="auto"/>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3</w:t>
            </w:r>
          </w:p>
        </w:tc>
        <w:tc>
          <w:tcPr>
            <w:tcW w:w="360" w:type="dxa"/>
            <w:shd w:val="clear" w:color="auto" w:fill="auto"/>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4</w:t>
            </w:r>
          </w:p>
        </w:tc>
        <w:tc>
          <w:tcPr>
            <w:tcW w:w="360" w:type="dxa"/>
            <w:shd w:val="clear" w:color="auto" w:fill="auto"/>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1</w:t>
            </w:r>
          </w:p>
        </w:tc>
        <w:tc>
          <w:tcPr>
            <w:tcW w:w="360" w:type="dxa"/>
            <w:shd w:val="clear" w:color="auto" w:fill="auto"/>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2</w:t>
            </w:r>
          </w:p>
        </w:tc>
        <w:tc>
          <w:tcPr>
            <w:tcW w:w="360" w:type="dxa"/>
            <w:shd w:val="clear" w:color="auto" w:fill="auto"/>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3</w:t>
            </w:r>
          </w:p>
        </w:tc>
        <w:tc>
          <w:tcPr>
            <w:tcW w:w="360" w:type="dxa"/>
            <w:shd w:val="clear" w:color="auto" w:fill="auto"/>
          </w:tcPr>
          <w:p w:rsidR="0084260C" w:rsidRPr="00364D6A" w:rsidRDefault="0084260C" w:rsidP="001B5186">
            <w:pPr>
              <w:spacing w:after="0" w:line="360" w:lineRule="auto"/>
              <w:jc w:val="center"/>
              <w:rPr>
                <w:rFonts w:ascii="Times New Roman" w:hAnsi="Times New Roman"/>
                <w:sz w:val="18"/>
                <w:szCs w:val="18"/>
              </w:rPr>
            </w:pPr>
            <w:r w:rsidRPr="00364D6A">
              <w:rPr>
                <w:rFonts w:ascii="Times New Roman" w:hAnsi="Times New Roman"/>
                <w:sz w:val="18"/>
                <w:szCs w:val="18"/>
              </w:rPr>
              <w:t>4</w:t>
            </w:r>
          </w:p>
        </w:tc>
        <w:tc>
          <w:tcPr>
            <w:tcW w:w="1710" w:type="dxa"/>
          </w:tcPr>
          <w:p w:rsidR="0084260C" w:rsidRPr="00364D6A" w:rsidRDefault="0084260C" w:rsidP="001B5186">
            <w:pPr>
              <w:spacing w:after="0" w:line="360" w:lineRule="auto"/>
              <w:jc w:val="center"/>
              <w:rPr>
                <w:rFonts w:ascii="Times New Roman" w:hAnsi="Times New Roman"/>
                <w:sz w:val="18"/>
                <w:szCs w:val="18"/>
              </w:rPr>
            </w:pPr>
          </w:p>
        </w:tc>
        <w:tc>
          <w:tcPr>
            <w:tcW w:w="900" w:type="dxa"/>
          </w:tcPr>
          <w:p w:rsidR="0084260C" w:rsidRPr="00364D6A" w:rsidRDefault="0084260C" w:rsidP="001B5186">
            <w:pPr>
              <w:spacing w:after="0" w:line="360" w:lineRule="auto"/>
              <w:jc w:val="center"/>
              <w:rPr>
                <w:rFonts w:ascii="Times New Roman" w:hAnsi="Times New Roman"/>
                <w:sz w:val="18"/>
                <w:szCs w:val="18"/>
              </w:rPr>
            </w:pPr>
          </w:p>
        </w:tc>
        <w:tc>
          <w:tcPr>
            <w:tcW w:w="1586" w:type="dxa"/>
          </w:tcPr>
          <w:p w:rsidR="0084260C" w:rsidRPr="00364D6A" w:rsidRDefault="0084260C" w:rsidP="001B5186">
            <w:pPr>
              <w:spacing w:after="0" w:line="360" w:lineRule="auto"/>
              <w:jc w:val="center"/>
              <w:rPr>
                <w:rFonts w:ascii="Times New Roman" w:hAnsi="Times New Roman"/>
                <w:sz w:val="18"/>
                <w:szCs w:val="18"/>
              </w:rPr>
            </w:pPr>
          </w:p>
        </w:tc>
      </w:tr>
      <w:tr w:rsidR="00441C20" w:rsidRPr="0045022C" w:rsidTr="0045022C">
        <w:tc>
          <w:tcPr>
            <w:tcW w:w="1929" w:type="dxa"/>
          </w:tcPr>
          <w:p w:rsidR="00441C20" w:rsidRDefault="00441C20" w:rsidP="009932E4">
            <w:pPr>
              <w:spacing w:after="0" w:line="240" w:lineRule="auto"/>
              <w:rPr>
                <w:rFonts w:ascii="Times New Roman" w:eastAsia="Arial Unicode MS" w:hAnsi="Times New Roman"/>
                <w:iCs/>
                <w:sz w:val="20"/>
                <w:szCs w:val="20"/>
              </w:rPr>
            </w:pPr>
            <w:r>
              <w:rPr>
                <w:rFonts w:ascii="Times New Roman" w:eastAsia="Arial Unicode MS" w:hAnsi="Times New Roman"/>
                <w:iCs/>
                <w:sz w:val="20"/>
                <w:szCs w:val="20"/>
              </w:rPr>
              <w:t>Preparation of Operations Manual</w:t>
            </w: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r>
              <w:rPr>
                <w:rFonts w:ascii="Times New Roman" w:eastAsia="Arial Unicode MS" w:hAnsi="Times New Roman"/>
                <w:iCs/>
                <w:sz w:val="20"/>
                <w:szCs w:val="20"/>
              </w:rPr>
              <w:t>X</w:t>
            </w: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p>
        </w:tc>
        <w:tc>
          <w:tcPr>
            <w:tcW w:w="360" w:type="dxa"/>
            <w:shd w:val="clear" w:color="auto" w:fill="auto"/>
          </w:tcPr>
          <w:p w:rsidR="00441C20" w:rsidRPr="00364D6A" w:rsidRDefault="00441C20" w:rsidP="009932E4">
            <w:pPr>
              <w:spacing w:after="0" w:line="240" w:lineRule="auto"/>
              <w:rPr>
                <w:rFonts w:ascii="Times New Roman" w:eastAsia="Arial Unicode MS" w:hAnsi="Times New Roman"/>
                <w:iCs/>
                <w:sz w:val="20"/>
                <w:szCs w:val="20"/>
              </w:rPr>
            </w:pPr>
          </w:p>
        </w:tc>
        <w:tc>
          <w:tcPr>
            <w:tcW w:w="1710" w:type="dxa"/>
          </w:tcPr>
          <w:p w:rsidR="00441C20" w:rsidRPr="00441C20" w:rsidRDefault="00441C20" w:rsidP="009932E4">
            <w:pPr>
              <w:spacing w:after="0" w:line="240" w:lineRule="auto"/>
              <w:rPr>
                <w:rFonts w:ascii="Times New Roman" w:eastAsia="Arial Unicode MS" w:hAnsi="Times New Roman"/>
                <w:iCs/>
                <w:sz w:val="20"/>
                <w:szCs w:val="20"/>
                <w:lang w:val="fr-FR"/>
              </w:rPr>
            </w:pPr>
            <w:r w:rsidRPr="00441C20">
              <w:rPr>
                <w:rFonts w:ascii="Times New Roman" w:hAnsi="Times New Roman"/>
                <w:sz w:val="20"/>
                <w:szCs w:val="20"/>
              </w:rPr>
              <w:t>MEWR/ PEU</w:t>
            </w:r>
          </w:p>
        </w:tc>
        <w:tc>
          <w:tcPr>
            <w:tcW w:w="900" w:type="dxa"/>
          </w:tcPr>
          <w:p w:rsidR="00441C20" w:rsidRPr="00441C20" w:rsidRDefault="00441C20" w:rsidP="009932E4">
            <w:pPr>
              <w:spacing w:after="0" w:line="240" w:lineRule="auto"/>
              <w:rPr>
                <w:rFonts w:ascii="Times New Roman" w:eastAsia="Arial Unicode MS" w:hAnsi="Times New Roman"/>
                <w:iCs/>
                <w:sz w:val="20"/>
                <w:szCs w:val="20"/>
                <w:lang w:val="fr-FR"/>
              </w:rPr>
            </w:pPr>
            <w:r w:rsidRPr="00441C20">
              <w:rPr>
                <w:rFonts w:ascii="Times New Roman" w:hAnsi="Times New Roman"/>
                <w:sz w:val="20"/>
                <w:szCs w:val="20"/>
              </w:rPr>
              <w:t>10,000</w:t>
            </w:r>
          </w:p>
        </w:tc>
        <w:tc>
          <w:tcPr>
            <w:tcW w:w="1586" w:type="dxa"/>
          </w:tcPr>
          <w:p w:rsidR="00441C20" w:rsidRPr="00364D6A" w:rsidRDefault="00441C20" w:rsidP="0045022C">
            <w:pPr>
              <w:spacing w:after="0" w:line="240" w:lineRule="auto"/>
              <w:rPr>
                <w:rFonts w:ascii="Times New Roman" w:eastAsia="Arial Unicode MS" w:hAnsi="Times New Roman"/>
                <w:iCs/>
                <w:sz w:val="20"/>
                <w:szCs w:val="20"/>
              </w:rPr>
            </w:pPr>
            <w:r>
              <w:rPr>
                <w:rFonts w:ascii="Times New Roman" w:eastAsia="Arial Unicode MS" w:hAnsi="Times New Roman"/>
                <w:iCs/>
                <w:sz w:val="20"/>
                <w:szCs w:val="20"/>
              </w:rPr>
              <w:t xml:space="preserve">Loan resources </w:t>
            </w:r>
            <w:r w:rsidRPr="00364D6A">
              <w:rPr>
                <w:rFonts w:ascii="Times New Roman" w:eastAsia="Arial Unicode MS" w:hAnsi="Times New Roman"/>
                <w:iCs/>
                <w:sz w:val="20"/>
                <w:szCs w:val="20"/>
              </w:rPr>
              <w:t xml:space="preserve">(included in item “Program </w:t>
            </w:r>
            <w:r>
              <w:rPr>
                <w:rFonts w:ascii="Times New Roman" w:eastAsia="Arial Unicode MS" w:hAnsi="Times New Roman"/>
                <w:iCs/>
                <w:sz w:val="20"/>
                <w:szCs w:val="20"/>
              </w:rPr>
              <w:t>Monitoring</w:t>
            </w:r>
            <w:r w:rsidRPr="00364D6A">
              <w:rPr>
                <w:rFonts w:ascii="Times New Roman" w:eastAsia="Arial Unicode MS" w:hAnsi="Times New Roman"/>
                <w:iCs/>
                <w:sz w:val="20"/>
                <w:szCs w:val="20"/>
              </w:rPr>
              <w:t>”)</w:t>
            </w:r>
          </w:p>
        </w:tc>
      </w:tr>
      <w:tr w:rsidR="0045022C" w:rsidRPr="0045022C" w:rsidTr="0045022C">
        <w:tc>
          <w:tcPr>
            <w:tcW w:w="1929" w:type="dxa"/>
          </w:tcPr>
          <w:p w:rsidR="0045022C" w:rsidRPr="00364D6A" w:rsidRDefault="0045022C" w:rsidP="009932E4">
            <w:pPr>
              <w:spacing w:after="0" w:line="240" w:lineRule="auto"/>
              <w:rPr>
                <w:rFonts w:ascii="Times New Roman" w:eastAsia="Arial Unicode MS" w:hAnsi="Times New Roman"/>
                <w:iCs/>
                <w:sz w:val="20"/>
                <w:szCs w:val="20"/>
              </w:rPr>
            </w:pPr>
            <w:r>
              <w:rPr>
                <w:rFonts w:ascii="Times New Roman" w:eastAsia="Arial Unicode MS" w:hAnsi="Times New Roman"/>
                <w:iCs/>
                <w:sz w:val="20"/>
                <w:szCs w:val="20"/>
              </w:rPr>
              <w:t xml:space="preserve">General data collection and monitoring activities </w:t>
            </w: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45022C" w:rsidRPr="00364D6A" w:rsidRDefault="0045022C" w:rsidP="009932E4">
            <w:pPr>
              <w:spacing w:after="0" w:line="240" w:lineRule="auto"/>
              <w:rPr>
                <w:rFonts w:ascii="Times New Roman" w:eastAsia="Arial Unicode MS" w:hAnsi="Times New Roman"/>
                <w:iCs/>
                <w:sz w:val="20"/>
                <w:szCs w:val="20"/>
              </w:rPr>
            </w:pPr>
          </w:p>
        </w:tc>
        <w:tc>
          <w:tcPr>
            <w:tcW w:w="360" w:type="dxa"/>
          </w:tcPr>
          <w:p w:rsidR="0045022C" w:rsidRPr="00364D6A" w:rsidRDefault="0045022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45022C" w:rsidRPr="00364D6A" w:rsidRDefault="0045022C" w:rsidP="009932E4">
            <w:pPr>
              <w:spacing w:after="0" w:line="240" w:lineRule="auto"/>
              <w:rPr>
                <w:rFonts w:ascii="Times New Roman" w:eastAsia="Arial Unicode MS" w:hAnsi="Times New Roman"/>
                <w:iCs/>
                <w:sz w:val="20"/>
                <w:szCs w:val="20"/>
              </w:rPr>
            </w:pPr>
          </w:p>
        </w:tc>
        <w:tc>
          <w:tcPr>
            <w:tcW w:w="360" w:type="dxa"/>
          </w:tcPr>
          <w:p w:rsidR="0045022C" w:rsidRPr="00364D6A" w:rsidRDefault="0045022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45022C" w:rsidRPr="00364D6A" w:rsidRDefault="0045022C" w:rsidP="009932E4">
            <w:pPr>
              <w:spacing w:after="0" w:line="240" w:lineRule="auto"/>
              <w:rPr>
                <w:rFonts w:ascii="Times New Roman" w:eastAsia="Arial Unicode MS" w:hAnsi="Times New Roman"/>
                <w:iCs/>
                <w:sz w:val="20"/>
                <w:szCs w:val="20"/>
              </w:rPr>
            </w:pPr>
          </w:p>
        </w:tc>
        <w:tc>
          <w:tcPr>
            <w:tcW w:w="360" w:type="dxa"/>
          </w:tcPr>
          <w:p w:rsidR="0045022C" w:rsidRPr="00364D6A" w:rsidRDefault="0045022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45022C" w:rsidRPr="00364D6A" w:rsidRDefault="0045022C" w:rsidP="009932E4">
            <w:pPr>
              <w:spacing w:after="0" w:line="240" w:lineRule="auto"/>
              <w:rPr>
                <w:rFonts w:ascii="Times New Roman" w:eastAsia="Arial Unicode MS" w:hAnsi="Times New Roman"/>
                <w:iCs/>
                <w:sz w:val="20"/>
                <w:szCs w:val="20"/>
              </w:rPr>
            </w:pPr>
          </w:p>
        </w:tc>
        <w:tc>
          <w:tcPr>
            <w:tcW w:w="360" w:type="dxa"/>
          </w:tcPr>
          <w:p w:rsidR="0045022C" w:rsidRPr="00364D6A" w:rsidRDefault="0045022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45022C" w:rsidRPr="00364D6A" w:rsidRDefault="0045022C" w:rsidP="009932E4">
            <w:pPr>
              <w:spacing w:after="0" w:line="240" w:lineRule="auto"/>
              <w:rPr>
                <w:rFonts w:ascii="Times New Roman" w:eastAsia="Arial Unicode MS" w:hAnsi="Times New Roman"/>
                <w:iCs/>
                <w:sz w:val="20"/>
                <w:szCs w:val="20"/>
              </w:rPr>
            </w:pPr>
          </w:p>
        </w:tc>
        <w:tc>
          <w:tcPr>
            <w:tcW w:w="1710" w:type="dxa"/>
          </w:tcPr>
          <w:p w:rsidR="0045022C" w:rsidRPr="0045022C" w:rsidRDefault="00B944DB" w:rsidP="009932E4">
            <w:pPr>
              <w:spacing w:after="0" w:line="240" w:lineRule="auto"/>
              <w:rPr>
                <w:rFonts w:ascii="Times New Roman" w:eastAsia="Arial Unicode MS" w:hAnsi="Times New Roman"/>
                <w:iCs/>
                <w:sz w:val="20"/>
                <w:szCs w:val="20"/>
                <w:lang w:val="fr-FR"/>
              </w:rPr>
            </w:pPr>
            <w:r>
              <w:rPr>
                <w:rFonts w:ascii="Times New Roman" w:eastAsia="Arial Unicode MS" w:hAnsi="Times New Roman"/>
                <w:iCs/>
                <w:sz w:val="20"/>
                <w:szCs w:val="20"/>
                <w:lang w:val="fr-FR"/>
              </w:rPr>
              <w:t>MEWR/ PEU</w:t>
            </w:r>
          </w:p>
        </w:tc>
        <w:tc>
          <w:tcPr>
            <w:tcW w:w="900" w:type="dxa"/>
          </w:tcPr>
          <w:p w:rsidR="0045022C" w:rsidRPr="0045022C" w:rsidRDefault="0045022C" w:rsidP="009932E4">
            <w:pPr>
              <w:spacing w:after="0" w:line="240" w:lineRule="auto"/>
              <w:rPr>
                <w:rFonts w:ascii="Times New Roman" w:eastAsia="Arial Unicode MS" w:hAnsi="Times New Roman"/>
                <w:iCs/>
                <w:sz w:val="20"/>
                <w:szCs w:val="20"/>
                <w:lang w:val="fr-FR"/>
              </w:rPr>
            </w:pPr>
            <w:r>
              <w:rPr>
                <w:rFonts w:ascii="Times New Roman" w:eastAsia="Arial Unicode MS" w:hAnsi="Times New Roman"/>
                <w:iCs/>
                <w:sz w:val="20"/>
                <w:szCs w:val="20"/>
                <w:lang w:val="fr-FR"/>
              </w:rPr>
              <w:t>15,000</w:t>
            </w:r>
          </w:p>
        </w:tc>
        <w:tc>
          <w:tcPr>
            <w:tcW w:w="1586" w:type="dxa"/>
          </w:tcPr>
          <w:p w:rsidR="0045022C" w:rsidRPr="0045022C" w:rsidRDefault="0045022C" w:rsidP="0045022C">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Loan resources (included in item “Program </w:t>
            </w:r>
            <w:r>
              <w:rPr>
                <w:rFonts w:ascii="Times New Roman" w:eastAsia="Arial Unicode MS" w:hAnsi="Times New Roman"/>
                <w:iCs/>
                <w:sz w:val="20"/>
                <w:szCs w:val="20"/>
              </w:rPr>
              <w:t>Monitoring</w:t>
            </w:r>
            <w:r w:rsidRPr="00364D6A">
              <w:rPr>
                <w:rFonts w:ascii="Times New Roman" w:eastAsia="Arial Unicode MS" w:hAnsi="Times New Roman"/>
                <w:iCs/>
                <w:sz w:val="20"/>
                <w:szCs w:val="20"/>
              </w:rPr>
              <w:t>”)</w:t>
            </w:r>
            <w:r>
              <w:rPr>
                <w:rFonts w:ascii="Times New Roman" w:eastAsia="Arial Unicode MS" w:hAnsi="Times New Roman"/>
                <w:iCs/>
                <w:sz w:val="20"/>
                <w:szCs w:val="20"/>
              </w:rPr>
              <w:t xml:space="preserve"> </w:t>
            </w:r>
          </w:p>
        </w:tc>
      </w:tr>
      <w:tr w:rsidR="0045022C" w:rsidRPr="00364D6A" w:rsidTr="0045022C">
        <w:tc>
          <w:tcPr>
            <w:tcW w:w="1929" w:type="dxa"/>
          </w:tcPr>
          <w:p w:rsidR="0084260C" w:rsidRPr="00364D6A" w:rsidRDefault="0084260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Semi-annual progress report </w:t>
            </w: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1710" w:type="dxa"/>
          </w:tcPr>
          <w:p w:rsidR="0084260C" w:rsidRPr="00122643" w:rsidRDefault="00B944DB" w:rsidP="009932E4">
            <w:pPr>
              <w:spacing w:after="0" w:line="240" w:lineRule="auto"/>
              <w:rPr>
                <w:rFonts w:ascii="Times New Roman" w:eastAsia="Arial Unicode MS" w:hAnsi="Times New Roman"/>
                <w:iCs/>
                <w:sz w:val="20"/>
                <w:szCs w:val="20"/>
                <w:lang w:val="fr-FR"/>
              </w:rPr>
            </w:pPr>
            <w:r>
              <w:rPr>
                <w:rFonts w:ascii="Times New Roman" w:eastAsia="Arial Unicode MS" w:hAnsi="Times New Roman"/>
                <w:iCs/>
                <w:sz w:val="20"/>
                <w:szCs w:val="20"/>
                <w:lang w:val="fr-FR"/>
              </w:rPr>
              <w:t>MEWR/ PEU</w:t>
            </w:r>
          </w:p>
        </w:tc>
        <w:tc>
          <w:tcPr>
            <w:tcW w:w="900" w:type="dxa"/>
          </w:tcPr>
          <w:p w:rsidR="0084260C" w:rsidRPr="00364D6A" w:rsidRDefault="009804C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20,000</w:t>
            </w:r>
          </w:p>
        </w:tc>
        <w:tc>
          <w:tcPr>
            <w:tcW w:w="1586" w:type="dxa"/>
          </w:tcPr>
          <w:p w:rsidR="0084260C" w:rsidRPr="00364D6A" w:rsidRDefault="000D3B08"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Loan resources (included in item “Program </w:t>
            </w:r>
            <w:r w:rsidR="009804C9" w:rsidRPr="00364D6A">
              <w:rPr>
                <w:rFonts w:ascii="Times New Roman" w:eastAsia="Arial Unicode MS" w:hAnsi="Times New Roman"/>
                <w:iCs/>
                <w:sz w:val="20"/>
                <w:szCs w:val="20"/>
              </w:rPr>
              <w:t>M</w:t>
            </w:r>
            <w:r w:rsidRPr="00364D6A">
              <w:rPr>
                <w:rFonts w:ascii="Times New Roman" w:eastAsia="Arial Unicode MS" w:hAnsi="Times New Roman"/>
                <w:iCs/>
                <w:sz w:val="20"/>
                <w:szCs w:val="20"/>
              </w:rPr>
              <w:t>anagement”)</w:t>
            </w:r>
          </w:p>
        </w:tc>
      </w:tr>
      <w:tr w:rsidR="0045022C" w:rsidRPr="00364D6A" w:rsidTr="0045022C">
        <w:tc>
          <w:tcPr>
            <w:tcW w:w="1929" w:type="dxa"/>
          </w:tcPr>
          <w:p w:rsidR="0084260C" w:rsidRPr="00364D6A" w:rsidRDefault="0084260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Inspection visits</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1710" w:type="dxa"/>
          </w:tcPr>
          <w:p w:rsidR="0084260C" w:rsidRPr="00364D6A" w:rsidRDefault="00643DFA"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IDB Program Team Leader </w:t>
            </w:r>
          </w:p>
        </w:tc>
        <w:tc>
          <w:tcPr>
            <w:tcW w:w="900" w:type="dxa"/>
          </w:tcPr>
          <w:p w:rsidR="0084260C" w:rsidRPr="00364D6A" w:rsidRDefault="009804C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10,000</w:t>
            </w:r>
          </w:p>
        </w:tc>
        <w:tc>
          <w:tcPr>
            <w:tcW w:w="1586" w:type="dxa"/>
          </w:tcPr>
          <w:p w:rsidR="0084260C" w:rsidRPr="00364D6A" w:rsidRDefault="000D3B08"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Yearly assigned transactional budget </w:t>
            </w:r>
            <w:r w:rsidR="0045022C">
              <w:rPr>
                <w:rFonts w:ascii="Times New Roman" w:eastAsia="Arial Unicode MS" w:hAnsi="Times New Roman"/>
                <w:iCs/>
                <w:sz w:val="20"/>
                <w:szCs w:val="20"/>
              </w:rPr>
              <w:t>(staff in country)</w:t>
            </w:r>
          </w:p>
        </w:tc>
      </w:tr>
      <w:tr w:rsidR="0045022C" w:rsidRPr="00364D6A" w:rsidTr="0045022C">
        <w:tc>
          <w:tcPr>
            <w:tcW w:w="1929" w:type="dxa"/>
          </w:tcPr>
          <w:p w:rsidR="0084260C" w:rsidRPr="00364D6A" w:rsidRDefault="0084260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Annual financial audit report</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C65DD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C65DD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C65DD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C65DD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1710" w:type="dxa"/>
          </w:tcPr>
          <w:p w:rsidR="0084260C" w:rsidRPr="00364D6A" w:rsidRDefault="00C65DD9" w:rsidP="00B944DB">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Firm of independent auditors acceptable to the Bank, contracted by </w:t>
            </w:r>
            <w:r w:rsidR="00B944DB">
              <w:rPr>
                <w:rFonts w:ascii="Times New Roman" w:eastAsia="Arial Unicode MS" w:hAnsi="Times New Roman"/>
                <w:iCs/>
                <w:sz w:val="20"/>
                <w:szCs w:val="20"/>
              </w:rPr>
              <w:t>MEWR</w:t>
            </w:r>
          </w:p>
        </w:tc>
        <w:tc>
          <w:tcPr>
            <w:tcW w:w="900" w:type="dxa"/>
          </w:tcPr>
          <w:p w:rsidR="0084260C" w:rsidRPr="00364D6A" w:rsidRDefault="009804C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120,000</w:t>
            </w:r>
          </w:p>
        </w:tc>
        <w:tc>
          <w:tcPr>
            <w:tcW w:w="1586" w:type="dxa"/>
          </w:tcPr>
          <w:p w:rsidR="0084260C" w:rsidRPr="00364D6A" w:rsidRDefault="000D3B08"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Loan resources (included in item “Program </w:t>
            </w:r>
            <w:r w:rsidR="009804C9" w:rsidRPr="00364D6A">
              <w:rPr>
                <w:rFonts w:ascii="Times New Roman" w:eastAsia="Arial Unicode MS" w:hAnsi="Times New Roman"/>
                <w:iCs/>
                <w:sz w:val="20"/>
                <w:szCs w:val="20"/>
              </w:rPr>
              <w:t>Auditing</w:t>
            </w:r>
            <w:r w:rsidRPr="00364D6A">
              <w:rPr>
                <w:rFonts w:ascii="Times New Roman" w:eastAsia="Arial Unicode MS" w:hAnsi="Times New Roman"/>
                <w:iCs/>
                <w:sz w:val="20"/>
                <w:szCs w:val="20"/>
              </w:rPr>
              <w:t>”)</w:t>
            </w:r>
          </w:p>
        </w:tc>
      </w:tr>
      <w:tr w:rsidR="0045022C" w:rsidRPr="00364D6A" w:rsidTr="0045022C">
        <w:tc>
          <w:tcPr>
            <w:tcW w:w="1929" w:type="dxa"/>
          </w:tcPr>
          <w:p w:rsidR="0084260C" w:rsidRPr="00364D6A" w:rsidRDefault="0084260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Final financial audit report </w:t>
            </w: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84260C" w:rsidP="009932E4">
            <w:pPr>
              <w:spacing w:after="0" w:line="240" w:lineRule="auto"/>
              <w:rPr>
                <w:rFonts w:ascii="Times New Roman" w:eastAsia="Arial Unicode MS" w:hAnsi="Times New Roman"/>
                <w:iCs/>
                <w:sz w:val="20"/>
                <w:szCs w:val="20"/>
              </w:rPr>
            </w:pPr>
          </w:p>
        </w:tc>
        <w:tc>
          <w:tcPr>
            <w:tcW w:w="360" w:type="dxa"/>
            <w:shd w:val="clear" w:color="auto" w:fill="auto"/>
          </w:tcPr>
          <w:p w:rsidR="0084260C" w:rsidRPr="00364D6A" w:rsidRDefault="009875EC"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1710" w:type="dxa"/>
          </w:tcPr>
          <w:p w:rsidR="0084260C" w:rsidRPr="00364D6A" w:rsidRDefault="009875EC" w:rsidP="00B944DB">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Firm of independent auditors acceptable to the Bank, contracted by </w:t>
            </w:r>
            <w:r w:rsidR="00B944DB">
              <w:rPr>
                <w:rFonts w:ascii="Times New Roman" w:eastAsia="Arial Unicode MS" w:hAnsi="Times New Roman"/>
                <w:iCs/>
                <w:sz w:val="20"/>
                <w:szCs w:val="20"/>
              </w:rPr>
              <w:t>MEWR</w:t>
            </w:r>
          </w:p>
        </w:tc>
        <w:tc>
          <w:tcPr>
            <w:tcW w:w="900" w:type="dxa"/>
          </w:tcPr>
          <w:p w:rsidR="0084260C" w:rsidRPr="00364D6A" w:rsidRDefault="009804C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30,000</w:t>
            </w:r>
          </w:p>
        </w:tc>
        <w:tc>
          <w:tcPr>
            <w:tcW w:w="1586" w:type="dxa"/>
          </w:tcPr>
          <w:p w:rsidR="0084260C" w:rsidRPr="00364D6A" w:rsidRDefault="000D3B08"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Loan resources (included in item “Program </w:t>
            </w:r>
            <w:r w:rsidR="009804C9" w:rsidRPr="00364D6A">
              <w:rPr>
                <w:rFonts w:ascii="Times New Roman" w:eastAsia="Arial Unicode MS" w:hAnsi="Times New Roman"/>
                <w:iCs/>
                <w:sz w:val="20"/>
                <w:szCs w:val="20"/>
              </w:rPr>
              <w:t>Auditing</w:t>
            </w:r>
            <w:r w:rsidRPr="00364D6A">
              <w:rPr>
                <w:rFonts w:ascii="Times New Roman" w:eastAsia="Arial Unicode MS" w:hAnsi="Times New Roman"/>
                <w:iCs/>
                <w:sz w:val="20"/>
                <w:szCs w:val="20"/>
              </w:rPr>
              <w:t>”)</w:t>
            </w:r>
          </w:p>
        </w:tc>
      </w:tr>
    </w:tbl>
    <w:p w:rsidR="007C6265" w:rsidRPr="000D2907" w:rsidRDefault="007C6265" w:rsidP="000D2907">
      <w:pPr>
        <w:spacing w:after="0" w:line="240" w:lineRule="auto"/>
        <w:rPr>
          <w:rFonts w:ascii="Times New Roman" w:hAnsi="Times New Roman"/>
        </w:rPr>
        <w:sectPr w:rsidR="007C6265" w:rsidRPr="000D2907" w:rsidSect="007C6265">
          <w:pgSz w:w="15840" w:h="12240" w:orient="landscape"/>
          <w:pgMar w:top="1440" w:right="1440" w:bottom="1627" w:left="1440" w:header="720" w:footer="720" w:gutter="0"/>
          <w:cols w:space="720"/>
          <w:docGrid w:linePitch="360"/>
        </w:sectPr>
      </w:pPr>
    </w:p>
    <w:p w:rsidR="006A0357" w:rsidRDefault="006A0357" w:rsidP="006A0357">
      <w:pPr>
        <w:pStyle w:val="ColorfulList-Accent11"/>
        <w:spacing w:after="0" w:line="360" w:lineRule="auto"/>
        <w:ind w:left="0"/>
        <w:jc w:val="both"/>
        <w:rPr>
          <w:rFonts w:ascii="Times New Roman" w:hAnsi="Times New Roman"/>
          <w:b/>
          <w:sz w:val="24"/>
          <w:szCs w:val="24"/>
        </w:rPr>
        <w:sectPr w:rsidR="006A0357" w:rsidSect="00196E58">
          <w:pgSz w:w="12240" w:h="15840"/>
          <w:pgMar w:top="1440" w:right="1627" w:bottom="1440" w:left="1440" w:header="720" w:footer="720" w:gutter="0"/>
          <w:cols w:space="720"/>
          <w:docGrid w:linePitch="360"/>
        </w:sectPr>
      </w:pPr>
    </w:p>
    <w:p w:rsidR="001B5186" w:rsidRPr="007F2CD9" w:rsidRDefault="001B5186" w:rsidP="006A0357">
      <w:pPr>
        <w:pStyle w:val="Chapter"/>
      </w:pPr>
      <w:r w:rsidRPr="007F2CD9">
        <w:lastRenderedPageBreak/>
        <w:t>Evaluation</w:t>
      </w:r>
    </w:p>
    <w:p w:rsidR="001B5186" w:rsidRPr="007F2CD9" w:rsidRDefault="004A4AE5" w:rsidP="006A0357">
      <w:pPr>
        <w:pStyle w:val="FirstHeading"/>
      </w:pPr>
      <w:r>
        <w:fldChar w:fldCharType="begin"/>
      </w:r>
      <w:r w:rsidR="006A0357">
        <w:instrText xml:space="preserve"> SEQ "</w:instrText>
      </w:r>
      <w:fldSimple w:instr=" SECTION  \* MERGEFORMAT ">
        <w:r w:rsidR="008040B5">
          <w:instrText>6</w:instrText>
        </w:r>
      </w:fldSimple>
      <w:r w:rsidR="006A0357">
        <w:instrText xml:space="preserve">#"\* ALPHABETIC \* MERGEFORMAT </w:instrText>
      </w:r>
      <w:r>
        <w:fldChar w:fldCharType="separate"/>
      </w:r>
      <w:r w:rsidR="008040B5">
        <w:rPr>
          <w:noProof/>
        </w:rPr>
        <w:t>A</w:t>
      </w:r>
      <w:r>
        <w:fldChar w:fldCharType="end"/>
      </w:r>
      <w:r w:rsidR="006A0357">
        <w:t>.</w:t>
      </w:r>
      <w:r w:rsidR="006A0357">
        <w:tab/>
      </w:r>
      <w:r w:rsidR="001B5186" w:rsidRPr="007F2CD9">
        <w:t xml:space="preserve">Main </w:t>
      </w:r>
      <w:r w:rsidR="00A358CC" w:rsidRPr="007F2CD9">
        <w:t>Evaluation Question</w:t>
      </w:r>
      <w:r w:rsidR="001B5186" w:rsidRPr="007F2CD9">
        <w:t>s</w:t>
      </w:r>
    </w:p>
    <w:p w:rsidR="00974AD0" w:rsidRPr="007F2CD9" w:rsidRDefault="001B01CB" w:rsidP="006A0357">
      <w:pPr>
        <w:pStyle w:val="Paragraph"/>
      </w:pPr>
      <w:r w:rsidRPr="007F2CD9">
        <w:t xml:space="preserve">The main goal of this program evaluation is to appreciate the extent </w:t>
      </w:r>
      <w:r w:rsidR="00B93BC9" w:rsidRPr="007F2CD9">
        <w:t xml:space="preserve">to which </w:t>
      </w:r>
      <w:r w:rsidRPr="007F2CD9">
        <w:t xml:space="preserve">the program objectives were achieved as a function of what had been established in the result matrix. </w:t>
      </w:r>
      <w:r w:rsidR="003D2DD2" w:rsidRPr="007F2CD9">
        <w:t xml:space="preserve">In order to do so, a comprehensive assessment of the progress level towards the objectives will be </w:t>
      </w:r>
      <w:r w:rsidR="002C60D7">
        <w:t xml:space="preserve">conducted. As indicated above </w:t>
      </w:r>
      <w:r w:rsidR="003D2DD2" w:rsidRPr="007F2CD9">
        <w:t>an ex-post socioeconomic evaluation will assess if the</w:t>
      </w:r>
      <w:r w:rsidR="00D95E73" w:rsidRPr="007F2CD9">
        <w:t xml:space="preserve"> costs and</w:t>
      </w:r>
      <w:r w:rsidR="003D2DD2" w:rsidRPr="007F2CD9">
        <w:t xml:space="preserve"> benefits identified in the ex-ante evaluation were materialized. </w:t>
      </w:r>
      <w:r w:rsidR="00974AD0" w:rsidRPr="007F2CD9">
        <w:t>The main evaluation question</w:t>
      </w:r>
      <w:r w:rsidR="0029007A" w:rsidRPr="007F2CD9">
        <w:t>s</w:t>
      </w:r>
      <w:r w:rsidR="00974AD0" w:rsidRPr="007F2CD9">
        <w:t xml:space="preserve"> </w:t>
      </w:r>
      <w:r w:rsidR="002C60D7">
        <w:t xml:space="preserve">for this operation </w:t>
      </w:r>
      <w:r w:rsidR="00974AD0" w:rsidRPr="007F2CD9">
        <w:t xml:space="preserve">will thus be: </w:t>
      </w:r>
    </w:p>
    <w:p w:rsidR="002317CE" w:rsidRPr="007F2CD9" w:rsidRDefault="002317CE" w:rsidP="006A0357">
      <w:pPr>
        <w:pStyle w:val="subpar"/>
      </w:pPr>
      <w:r w:rsidRPr="007F2CD9">
        <w:t xml:space="preserve">did the </w:t>
      </w:r>
      <w:r w:rsidR="002B25ED">
        <w:t>construction of the flood alleviation and drainage works reduce</w:t>
      </w:r>
      <w:r w:rsidRPr="007F2CD9">
        <w:t xml:space="preserve"> the </w:t>
      </w:r>
      <w:r w:rsidR="002B25ED">
        <w:t>incidence of flooding in PoS</w:t>
      </w:r>
      <w:r w:rsidRPr="007F2CD9">
        <w:t xml:space="preserve">? </w:t>
      </w:r>
    </w:p>
    <w:p w:rsidR="006C7A89" w:rsidRPr="007F2CD9" w:rsidRDefault="002C60D7" w:rsidP="006A0357">
      <w:pPr>
        <w:pStyle w:val="subpar"/>
      </w:pPr>
      <w:r>
        <w:t xml:space="preserve">were the institutional strengthening activities effective in achieving its objective? </w:t>
      </w:r>
    </w:p>
    <w:p w:rsidR="00E72105" w:rsidRPr="007F2CD9" w:rsidRDefault="00E72105" w:rsidP="006A0357">
      <w:pPr>
        <w:pStyle w:val="Paragraph"/>
      </w:pPr>
      <w:r w:rsidRPr="007F2CD9">
        <w:t xml:space="preserve">Answering these questions is crucial for </w:t>
      </w:r>
      <w:r w:rsidR="0029007A" w:rsidRPr="007F2CD9">
        <w:t>the following</w:t>
      </w:r>
      <w:r w:rsidRPr="007F2CD9">
        <w:t xml:space="preserve"> reasons:</w:t>
      </w:r>
    </w:p>
    <w:p w:rsidR="00DC4FB2" w:rsidRPr="007F2CD9" w:rsidRDefault="00E72105" w:rsidP="006A0357">
      <w:pPr>
        <w:pStyle w:val="subpar"/>
      </w:pPr>
      <w:r w:rsidRPr="007F2CD9">
        <w:t xml:space="preserve">to </w:t>
      </w:r>
      <w:r w:rsidR="00F36D1C">
        <w:t xml:space="preserve"> determine if the</w:t>
      </w:r>
      <w:r w:rsidRPr="007F2CD9">
        <w:t xml:space="preserve"> direction the GORTT </w:t>
      </w:r>
      <w:r w:rsidR="00F36D1C">
        <w:t xml:space="preserve">has </w:t>
      </w:r>
      <w:r w:rsidRPr="007F2CD9">
        <w:t>take</w:t>
      </w:r>
      <w:r w:rsidR="00F36D1C">
        <w:t>n</w:t>
      </w:r>
      <w:r w:rsidRPr="007F2CD9">
        <w:t xml:space="preserve"> to address the issue of </w:t>
      </w:r>
      <w:r w:rsidR="002B25ED">
        <w:t>flood alleviation</w:t>
      </w:r>
      <w:r w:rsidR="00F36D1C">
        <w:t xml:space="preserve"> is efficient and cost effective</w:t>
      </w:r>
      <w:r w:rsidR="006C7A89" w:rsidRPr="007F2CD9">
        <w:t>;</w:t>
      </w:r>
    </w:p>
    <w:p w:rsidR="00B93BC9" w:rsidRPr="007F2CD9" w:rsidRDefault="00BB0F49" w:rsidP="006A0357">
      <w:pPr>
        <w:pStyle w:val="subpar"/>
      </w:pPr>
      <w:r>
        <w:t xml:space="preserve"> to test the plan/ arrangement for </w:t>
      </w:r>
      <w:r w:rsidR="002B25ED">
        <w:t>commuters in PoS</w:t>
      </w:r>
      <w:r w:rsidR="006C7A89" w:rsidRPr="007F2CD9">
        <w:t xml:space="preserve">. </w:t>
      </w:r>
      <w:r w:rsidR="00B93BC9" w:rsidRPr="007F2CD9">
        <w:t xml:space="preserve"> </w:t>
      </w:r>
    </w:p>
    <w:p w:rsidR="001B01CB" w:rsidRPr="007F2CD9" w:rsidRDefault="003D2DD2" w:rsidP="006A0357">
      <w:pPr>
        <w:pStyle w:val="Paragraph"/>
      </w:pPr>
      <w:r w:rsidRPr="007F2CD9">
        <w:t xml:space="preserve">The lessons learned that will stem from this exercise will be used in the preparation of </w:t>
      </w:r>
      <w:r w:rsidR="00BB0F49">
        <w:t xml:space="preserve">subsequent phases and </w:t>
      </w:r>
      <w:r w:rsidRPr="007F2CD9">
        <w:t xml:space="preserve">future interventions. </w:t>
      </w:r>
    </w:p>
    <w:p w:rsidR="001B5186" w:rsidRPr="007F2CD9" w:rsidRDefault="004A4AE5" w:rsidP="006A0357">
      <w:pPr>
        <w:pStyle w:val="FirstHeading"/>
      </w:pPr>
      <w:r>
        <w:fldChar w:fldCharType="begin"/>
      </w:r>
      <w:r w:rsidR="006A0357">
        <w:instrText xml:space="preserve"> SEQ "</w:instrText>
      </w:r>
      <w:fldSimple w:instr=" SECTION  \* MERGEFORMAT ">
        <w:r w:rsidR="008040B5">
          <w:instrText>6</w:instrText>
        </w:r>
      </w:fldSimple>
      <w:r w:rsidR="006A0357">
        <w:instrText xml:space="preserve">#"\* ALPHABETIC \* MERGEFORMAT </w:instrText>
      </w:r>
      <w:r>
        <w:fldChar w:fldCharType="separate"/>
      </w:r>
      <w:r w:rsidR="008040B5">
        <w:rPr>
          <w:noProof/>
        </w:rPr>
        <w:t>B</w:t>
      </w:r>
      <w:r>
        <w:fldChar w:fldCharType="end"/>
      </w:r>
      <w:r w:rsidR="006A0357">
        <w:t>.</w:t>
      </w:r>
      <w:r w:rsidR="006A0357">
        <w:tab/>
      </w:r>
      <w:r w:rsidR="001B5186" w:rsidRPr="007F2CD9">
        <w:t xml:space="preserve">Existing </w:t>
      </w:r>
      <w:r w:rsidR="00A358CC" w:rsidRPr="007F2CD9">
        <w:t xml:space="preserve">Knowledge </w:t>
      </w:r>
      <w:r w:rsidR="001B5186" w:rsidRPr="007F2CD9">
        <w:t>(previous evaluations, ex ante economic analysis)</w:t>
      </w:r>
    </w:p>
    <w:p w:rsidR="005205CB" w:rsidRPr="007F2CD9" w:rsidRDefault="007D52A5" w:rsidP="001C2B75">
      <w:pPr>
        <w:pStyle w:val="Paragraph"/>
      </w:pPr>
      <w:r w:rsidRPr="007D52A5">
        <w:t>A</w:t>
      </w:r>
      <w:r>
        <w:t>n ex-ante</w:t>
      </w:r>
      <w:r w:rsidRPr="007D52A5">
        <w:t xml:space="preserve"> cost-benefit analysis for the flood alleviation component was performed (Component 1). The project is economically viable, showing an Economic Rate of Return of </w:t>
      </w:r>
      <w:r w:rsidR="00D10876" w:rsidRPr="00D10876">
        <w:t>26</w:t>
      </w:r>
      <w:r w:rsidRPr="00D10876">
        <w:t>%</w:t>
      </w:r>
      <w:r w:rsidRPr="007D52A5">
        <w:t xml:space="preserve"> and an Economic Net Present Value of US$</w:t>
      </w:r>
      <w:r w:rsidR="00D10876" w:rsidRPr="00D10876">
        <w:t>53.</w:t>
      </w:r>
      <w:r w:rsidR="00D10876">
        <w:t>9</w:t>
      </w:r>
      <w:r w:rsidRPr="007D52A5">
        <w:t xml:space="preserve"> million. </w:t>
      </w:r>
      <w:r w:rsidR="001C2B75" w:rsidRPr="001C2B75">
        <w:t xml:space="preserve">The benefits of the </w:t>
      </w:r>
      <w:r w:rsidR="001C2B75">
        <w:t>p</w:t>
      </w:r>
      <w:r w:rsidR="001C2B75" w:rsidRPr="001C2B75">
        <w:t>roject are related to two economic impacts that are independent of each other:</w:t>
      </w:r>
      <w:r w:rsidR="001C2B75">
        <w:t xml:space="preserve"> </w:t>
      </w:r>
      <w:r w:rsidR="001C2B75" w:rsidRPr="001C2B75">
        <w:t xml:space="preserve">(i) </w:t>
      </w:r>
      <w:r w:rsidR="001C2B75">
        <w:t>a</w:t>
      </w:r>
      <w:r w:rsidR="001C2B75" w:rsidRPr="001C2B75">
        <w:t xml:space="preserve"> reduction of the cost related with the traffic congestion and hazards;</w:t>
      </w:r>
      <w:r w:rsidR="001C2B75">
        <w:t xml:space="preserve"> and </w:t>
      </w:r>
      <w:r w:rsidR="001C2B75" w:rsidRPr="001C2B75">
        <w:t xml:space="preserve">(ii) </w:t>
      </w:r>
      <w:r w:rsidR="001C2B75">
        <w:t>t</w:t>
      </w:r>
      <w:r w:rsidR="001C2B75" w:rsidRPr="001C2B75">
        <w:t>he improvement of real estate values</w:t>
      </w:r>
      <w:r w:rsidR="001C2B75">
        <w:t xml:space="preserve">. The benefit related to traffic delay costs were estimated using data on </w:t>
      </w:r>
      <w:r w:rsidR="00DC52C3">
        <w:t xml:space="preserve">duration of </w:t>
      </w:r>
      <w:r w:rsidR="001C2B75">
        <w:t>traffic delays, number of people affected</w:t>
      </w:r>
      <w:r w:rsidR="00DC52C3">
        <w:t>,</w:t>
      </w:r>
      <w:r w:rsidR="001C2B75">
        <w:t xml:space="preserve"> and value of time. For the improvement of real estate values, a Hedonic Price (HP) model was used for structures </w:t>
      </w:r>
      <w:r w:rsidR="00DC52C3">
        <w:t>located o</w:t>
      </w:r>
      <w:r w:rsidR="001C2B75">
        <w:t>n the</w:t>
      </w:r>
      <w:r w:rsidR="00DC52C3">
        <w:t xml:space="preserve"> project</w:t>
      </w:r>
      <w:r w:rsidR="001C2B75">
        <w:t xml:space="preserve"> impact area. </w:t>
      </w:r>
      <w:r w:rsidRPr="007D52A5">
        <w:t xml:space="preserve">The analysis was complemented by appropriate sensitivity </w:t>
      </w:r>
      <w:r w:rsidR="00DC52C3" w:rsidRPr="00D10876">
        <w:t>and risk</w:t>
      </w:r>
      <w:r w:rsidR="00DC52C3">
        <w:t xml:space="preserve"> </w:t>
      </w:r>
      <w:r w:rsidRPr="007D52A5">
        <w:t>assessment</w:t>
      </w:r>
      <w:r w:rsidR="00DC52C3">
        <w:t>s</w:t>
      </w:r>
      <w:r w:rsidRPr="007D52A5">
        <w:t xml:space="preserve"> </w:t>
      </w:r>
      <w:r>
        <w:t>that confirmed the robustness of the project</w:t>
      </w:r>
      <w:r w:rsidRPr="007D52A5">
        <w:t>.</w:t>
      </w:r>
      <w:r>
        <w:t xml:space="preserve"> For details please see the Socioeconomic Annex. Th</w:t>
      </w:r>
      <w:r w:rsidRPr="007D52A5">
        <w:t xml:space="preserve">e </w:t>
      </w:r>
      <w:r>
        <w:t xml:space="preserve">linear park </w:t>
      </w:r>
      <w:r w:rsidRPr="007D52A5">
        <w:t xml:space="preserve">project will be evaluated from an economic perspective once the </w:t>
      </w:r>
      <w:r>
        <w:t>technical studies</w:t>
      </w:r>
      <w:r w:rsidRPr="007D52A5">
        <w:t xml:space="preserve"> are concluded.</w:t>
      </w:r>
    </w:p>
    <w:p w:rsidR="001B5186" w:rsidRPr="007F2CD9" w:rsidRDefault="004A4AE5" w:rsidP="006A0357">
      <w:pPr>
        <w:pStyle w:val="FirstHeading"/>
      </w:pPr>
      <w:r>
        <w:fldChar w:fldCharType="begin"/>
      </w:r>
      <w:r w:rsidR="006A0357">
        <w:instrText xml:space="preserve"> SEQ "</w:instrText>
      </w:r>
      <w:fldSimple w:instr=" SECTION  \* MERGEFORMAT ">
        <w:r w:rsidR="008040B5">
          <w:instrText>6</w:instrText>
        </w:r>
      </w:fldSimple>
      <w:r w:rsidR="006A0357">
        <w:instrText xml:space="preserve">#"\* ALPHABETIC \* MERGEFORMAT </w:instrText>
      </w:r>
      <w:r>
        <w:fldChar w:fldCharType="separate"/>
      </w:r>
      <w:r w:rsidR="008040B5">
        <w:rPr>
          <w:noProof/>
        </w:rPr>
        <w:t>C</w:t>
      </w:r>
      <w:r>
        <w:fldChar w:fldCharType="end"/>
      </w:r>
      <w:r w:rsidR="006A0357">
        <w:t>.</w:t>
      </w:r>
      <w:r w:rsidR="006A0357">
        <w:tab/>
      </w:r>
      <w:r w:rsidR="001B5186" w:rsidRPr="007F2CD9">
        <w:t>Key Outcome Indicators</w:t>
      </w:r>
    </w:p>
    <w:p w:rsidR="00834B29" w:rsidRDefault="00F927E1" w:rsidP="006A0357">
      <w:pPr>
        <w:pStyle w:val="Paragraph"/>
      </w:pPr>
      <w:r w:rsidRPr="007F2CD9">
        <w:t xml:space="preserve">The key outcome indicators of the program are presented in the second part of Table 3 below. </w:t>
      </w:r>
    </w:p>
    <w:p w:rsidR="00CE4B39" w:rsidRDefault="00CE4B39" w:rsidP="00CE4B39">
      <w:pPr>
        <w:pStyle w:val="Chapter"/>
        <w:numPr>
          <w:ilvl w:val="0"/>
          <w:numId w:val="0"/>
        </w:numPr>
        <w:ind w:left="288"/>
        <w:jc w:val="left"/>
      </w:pPr>
    </w:p>
    <w:p w:rsidR="00CE4B39" w:rsidRDefault="00CE4B39" w:rsidP="00CE4B39"/>
    <w:p w:rsidR="00CE4B39" w:rsidRPr="00CE4B39" w:rsidRDefault="00CE4B39" w:rsidP="00CE4B39"/>
    <w:p w:rsidR="001B5186" w:rsidRPr="006A0357" w:rsidRDefault="001B5186" w:rsidP="001B5186">
      <w:pPr>
        <w:pStyle w:val="ColorfulList-Accent11"/>
        <w:spacing w:after="0" w:line="360" w:lineRule="auto"/>
        <w:ind w:left="0"/>
        <w:jc w:val="center"/>
        <w:rPr>
          <w:rFonts w:ascii="Times New Roman" w:hAnsi="Times New Roman"/>
          <w:b/>
          <w:sz w:val="20"/>
          <w:szCs w:val="20"/>
        </w:rPr>
      </w:pPr>
      <w:r w:rsidRPr="006A0357">
        <w:rPr>
          <w:rFonts w:ascii="Times New Roman" w:hAnsi="Times New Roman"/>
          <w:b/>
          <w:sz w:val="20"/>
          <w:szCs w:val="20"/>
        </w:rPr>
        <w:lastRenderedPageBreak/>
        <w:t>Table 3</w:t>
      </w:r>
      <w:r w:rsidR="006A0357" w:rsidRPr="006A0357">
        <w:rPr>
          <w:rFonts w:ascii="Times New Roman" w:hAnsi="Times New Roman"/>
          <w:b/>
          <w:sz w:val="20"/>
          <w:szCs w:val="20"/>
        </w:rPr>
        <w:t xml:space="preserve"> </w:t>
      </w:r>
      <w:r w:rsidRPr="006A0357">
        <w:rPr>
          <w:rFonts w:ascii="Times New Roman" w:hAnsi="Times New Roman"/>
          <w:b/>
          <w:sz w:val="20"/>
          <w:szCs w:val="20"/>
        </w:rPr>
        <w:t>Key Impact/Results Indicators</w:t>
      </w:r>
      <w:r w:rsidR="00834B29" w:rsidRPr="006A0357">
        <w:rPr>
          <w:rFonts w:ascii="Times New Roman" w:hAnsi="Times New Roman"/>
          <w:b/>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2160"/>
        <w:gridCol w:w="1891"/>
        <w:gridCol w:w="2350"/>
      </w:tblGrid>
      <w:tr w:rsidR="001B5186" w:rsidRPr="007F2CD9" w:rsidTr="00F927E1">
        <w:tc>
          <w:tcPr>
            <w:tcW w:w="2988" w:type="dxa"/>
          </w:tcPr>
          <w:p w:rsidR="001B5186" w:rsidRPr="006A0357" w:rsidRDefault="00820861" w:rsidP="001B5186">
            <w:pPr>
              <w:spacing w:after="0" w:line="360" w:lineRule="auto"/>
              <w:jc w:val="center"/>
              <w:rPr>
                <w:rFonts w:ascii="Times New Roman" w:hAnsi="Times New Roman"/>
                <w:sz w:val="18"/>
                <w:szCs w:val="18"/>
              </w:rPr>
            </w:pPr>
            <w:r w:rsidRPr="006A0357">
              <w:rPr>
                <w:rFonts w:ascii="Times New Roman" w:hAnsi="Times New Roman"/>
                <w:sz w:val="18"/>
                <w:szCs w:val="18"/>
              </w:rPr>
              <w:t>Indicator</w:t>
            </w:r>
          </w:p>
        </w:tc>
        <w:tc>
          <w:tcPr>
            <w:tcW w:w="2160" w:type="dxa"/>
          </w:tcPr>
          <w:p w:rsidR="001B5186" w:rsidRPr="006A0357" w:rsidRDefault="00820861" w:rsidP="001B5186">
            <w:pPr>
              <w:spacing w:after="0" w:line="360" w:lineRule="auto"/>
              <w:jc w:val="center"/>
              <w:rPr>
                <w:rFonts w:ascii="Times New Roman" w:hAnsi="Times New Roman"/>
                <w:sz w:val="18"/>
                <w:szCs w:val="18"/>
              </w:rPr>
            </w:pPr>
            <w:r w:rsidRPr="006A0357">
              <w:rPr>
                <w:rFonts w:ascii="Times New Roman" w:hAnsi="Times New Roman"/>
                <w:sz w:val="18"/>
                <w:szCs w:val="18"/>
              </w:rPr>
              <w:t>Formula / Definition</w:t>
            </w:r>
          </w:p>
        </w:tc>
        <w:tc>
          <w:tcPr>
            <w:tcW w:w="1891" w:type="dxa"/>
          </w:tcPr>
          <w:p w:rsidR="001B5186" w:rsidRPr="006A0357" w:rsidRDefault="00820861" w:rsidP="001B5186">
            <w:pPr>
              <w:spacing w:after="0" w:line="360" w:lineRule="auto"/>
              <w:jc w:val="center"/>
              <w:rPr>
                <w:rFonts w:ascii="Times New Roman" w:hAnsi="Times New Roman"/>
                <w:sz w:val="18"/>
                <w:szCs w:val="18"/>
              </w:rPr>
            </w:pPr>
            <w:r w:rsidRPr="006A0357">
              <w:rPr>
                <w:rFonts w:ascii="Times New Roman" w:hAnsi="Times New Roman"/>
                <w:sz w:val="18"/>
                <w:szCs w:val="18"/>
              </w:rPr>
              <w:t>Frequency of Measurement</w:t>
            </w:r>
          </w:p>
        </w:tc>
        <w:tc>
          <w:tcPr>
            <w:tcW w:w="2350" w:type="dxa"/>
          </w:tcPr>
          <w:p w:rsidR="001B5186" w:rsidRPr="006A0357" w:rsidRDefault="00820861" w:rsidP="000E3634">
            <w:pPr>
              <w:spacing w:after="0" w:line="360" w:lineRule="auto"/>
              <w:jc w:val="center"/>
              <w:rPr>
                <w:rFonts w:ascii="Times New Roman" w:hAnsi="Times New Roman"/>
                <w:sz w:val="18"/>
                <w:szCs w:val="18"/>
              </w:rPr>
            </w:pPr>
            <w:r w:rsidRPr="006A0357">
              <w:rPr>
                <w:rFonts w:ascii="Times New Roman" w:hAnsi="Times New Roman"/>
                <w:sz w:val="18"/>
                <w:szCs w:val="18"/>
              </w:rPr>
              <w:t>Source</w:t>
            </w:r>
          </w:p>
        </w:tc>
      </w:tr>
      <w:tr w:rsidR="00F927E1" w:rsidRPr="007F2CD9" w:rsidTr="00F927E1">
        <w:tc>
          <w:tcPr>
            <w:tcW w:w="2988" w:type="dxa"/>
            <w:vAlign w:val="center"/>
          </w:tcPr>
          <w:p w:rsidR="00F927E1" w:rsidRPr="006A0357" w:rsidRDefault="009663A6" w:rsidP="00F927E1">
            <w:pPr>
              <w:spacing w:after="0" w:line="240" w:lineRule="auto"/>
              <w:rPr>
                <w:rFonts w:ascii="Times New Roman" w:eastAsia="Arial Unicode MS" w:hAnsi="Times New Roman"/>
                <w:iCs/>
                <w:sz w:val="18"/>
                <w:szCs w:val="18"/>
              </w:rPr>
            </w:pPr>
            <w:r w:rsidRPr="009663A6">
              <w:rPr>
                <w:rFonts w:ascii="Times New Roman" w:eastAsia="Arial Unicode MS" w:hAnsi="Times New Roman"/>
                <w:iCs/>
                <w:sz w:val="18"/>
                <w:szCs w:val="18"/>
              </w:rPr>
              <w:t>Area protected from flooding (ha)</w:t>
            </w:r>
          </w:p>
        </w:tc>
        <w:tc>
          <w:tcPr>
            <w:tcW w:w="2160" w:type="dxa"/>
          </w:tcPr>
          <w:p w:rsidR="00F927E1" w:rsidRPr="006A0357" w:rsidRDefault="00820861" w:rsidP="009663A6">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 xml:space="preserve">Sum of </w:t>
            </w:r>
            <w:r w:rsidR="009663A6">
              <w:rPr>
                <w:rFonts w:ascii="Times New Roman" w:eastAsia="Arial Unicode MS" w:hAnsi="Times New Roman"/>
                <w:iCs/>
                <w:sz w:val="18"/>
                <w:szCs w:val="18"/>
              </w:rPr>
              <w:t>areas</w:t>
            </w:r>
            <w:r w:rsidRPr="006A0357">
              <w:rPr>
                <w:rFonts w:ascii="Times New Roman" w:eastAsia="Arial Unicode MS" w:hAnsi="Times New Roman"/>
                <w:iCs/>
                <w:sz w:val="18"/>
                <w:szCs w:val="18"/>
              </w:rPr>
              <w:t xml:space="preserve"> benefitting from </w:t>
            </w:r>
            <w:r w:rsidR="009663A6">
              <w:rPr>
                <w:rFonts w:ascii="Times New Roman" w:eastAsia="Arial Unicode MS" w:hAnsi="Times New Roman"/>
                <w:iCs/>
                <w:sz w:val="18"/>
                <w:szCs w:val="18"/>
              </w:rPr>
              <w:t>flood alleviation works</w:t>
            </w:r>
            <w:r w:rsidRPr="006A0357">
              <w:rPr>
                <w:rFonts w:ascii="Times New Roman" w:eastAsia="Arial Unicode MS" w:hAnsi="Times New Roman"/>
                <w:iCs/>
                <w:sz w:val="18"/>
                <w:szCs w:val="18"/>
              </w:rPr>
              <w:t xml:space="preserve"> </w:t>
            </w:r>
          </w:p>
        </w:tc>
        <w:tc>
          <w:tcPr>
            <w:tcW w:w="1891" w:type="dxa"/>
          </w:tcPr>
          <w:p w:rsidR="00F927E1" w:rsidRPr="006A0357" w:rsidRDefault="00820861" w:rsidP="00F927E1">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Annual</w:t>
            </w:r>
          </w:p>
        </w:tc>
        <w:tc>
          <w:tcPr>
            <w:tcW w:w="2350" w:type="dxa"/>
          </w:tcPr>
          <w:p w:rsidR="00F927E1" w:rsidRPr="006A0357" w:rsidRDefault="00820861" w:rsidP="00F927E1">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 reports to IDB</w:t>
            </w:r>
          </w:p>
        </w:tc>
      </w:tr>
      <w:tr w:rsidR="00F927E1" w:rsidRPr="007F2CD9" w:rsidTr="00F927E1">
        <w:tc>
          <w:tcPr>
            <w:tcW w:w="2988" w:type="dxa"/>
            <w:vAlign w:val="center"/>
          </w:tcPr>
          <w:p w:rsidR="00F927E1" w:rsidRPr="006A0357" w:rsidRDefault="009663A6" w:rsidP="00F927E1">
            <w:pPr>
              <w:spacing w:after="0" w:line="240" w:lineRule="auto"/>
              <w:rPr>
                <w:rFonts w:ascii="Times New Roman" w:eastAsia="Arial Unicode MS" w:hAnsi="Times New Roman"/>
                <w:iCs/>
                <w:sz w:val="18"/>
                <w:szCs w:val="18"/>
              </w:rPr>
            </w:pPr>
            <w:r w:rsidRPr="009663A6">
              <w:rPr>
                <w:rFonts w:ascii="Times New Roman" w:eastAsia="Arial Unicode MS" w:hAnsi="Times New Roman"/>
                <w:iCs/>
                <w:sz w:val="18"/>
                <w:szCs w:val="18"/>
              </w:rPr>
              <w:t>Persons affected by floods (Person)</w:t>
            </w:r>
          </w:p>
        </w:tc>
        <w:tc>
          <w:tcPr>
            <w:tcW w:w="2160" w:type="dxa"/>
          </w:tcPr>
          <w:p w:rsidR="00F927E1" w:rsidRPr="006A0357" w:rsidRDefault="009663A6" w:rsidP="00F927E1">
            <w:pPr>
              <w:spacing w:after="0" w:line="240" w:lineRule="auto"/>
              <w:rPr>
                <w:rFonts w:ascii="Times New Roman" w:eastAsia="Arial Unicode MS" w:hAnsi="Times New Roman"/>
                <w:iCs/>
                <w:sz w:val="18"/>
                <w:szCs w:val="18"/>
              </w:rPr>
            </w:pPr>
            <w:r>
              <w:rPr>
                <w:rFonts w:ascii="Times New Roman" w:eastAsia="Arial Unicode MS" w:hAnsi="Times New Roman"/>
                <w:iCs/>
                <w:sz w:val="18"/>
                <w:szCs w:val="18"/>
              </w:rPr>
              <w:t>Sum of persons benefitting from less traffic interruptions due to flood events</w:t>
            </w:r>
          </w:p>
        </w:tc>
        <w:tc>
          <w:tcPr>
            <w:tcW w:w="1891" w:type="dxa"/>
          </w:tcPr>
          <w:p w:rsidR="00F927E1" w:rsidRPr="006A0357" w:rsidRDefault="00820861" w:rsidP="00F927E1">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Annual</w:t>
            </w:r>
          </w:p>
        </w:tc>
        <w:tc>
          <w:tcPr>
            <w:tcW w:w="2350" w:type="dxa"/>
          </w:tcPr>
          <w:p w:rsidR="00F927E1" w:rsidRPr="006A0357" w:rsidRDefault="00820861" w:rsidP="00F927E1">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 reports to IDB.</w:t>
            </w:r>
          </w:p>
        </w:tc>
      </w:tr>
      <w:tr w:rsidR="00F927E1" w:rsidRPr="007F2CD9" w:rsidTr="00F927E1">
        <w:tc>
          <w:tcPr>
            <w:tcW w:w="2988" w:type="dxa"/>
            <w:vAlign w:val="center"/>
          </w:tcPr>
          <w:p w:rsidR="00F927E1" w:rsidRPr="006A0357" w:rsidRDefault="009663A6" w:rsidP="00C839F0">
            <w:pPr>
              <w:spacing w:after="0" w:line="240" w:lineRule="auto"/>
              <w:rPr>
                <w:rFonts w:ascii="Times New Roman" w:eastAsia="Arial Unicode MS" w:hAnsi="Times New Roman"/>
                <w:iCs/>
                <w:sz w:val="18"/>
                <w:szCs w:val="18"/>
              </w:rPr>
            </w:pPr>
            <w:r w:rsidRPr="009663A6">
              <w:rPr>
                <w:rFonts w:ascii="Times New Roman" w:eastAsia="Arial Unicode MS" w:hAnsi="Times New Roman"/>
                <w:iCs/>
                <w:sz w:val="18"/>
                <w:szCs w:val="18"/>
              </w:rPr>
              <w:t>Percentage of physical assets functioning according to design specification (%)</w:t>
            </w:r>
          </w:p>
        </w:tc>
        <w:tc>
          <w:tcPr>
            <w:tcW w:w="2160" w:type="dxa"/>
          </w:tcPr>
          <w:p w:rsidR="00F927E1" w:rsidRPr="006A0357" w:rsidRDefault="009663A6" w:rsidP="00FF56FB">
            <w:pPr>
              <w:spacing w:after="0" w:line="240" w:lineRule="auto"/>
              <w:rPr>
                <w:rFonts w:ascii="Times New Roman" w:eastAsia="Arial Unicode MS" w:hAnsi="Times New Roman"/>
                <w:iCs/>
                <w:sz w:val="18"/>
                <w:szCs w:val="18"/>
              </w:rPr>
            </w:pPr>
            <w:r>
              <w:rPr>
                <w:rFonts w:ascii="Times New Roman" w:eastAsia="Arial Unicode MS" w:hAnsi="Times New Roman"/>
                <w:iCs/>
                <w:sz w:val="18"/>
                <w:szCs w:val="18"/>
              </w:rPr>
              <w:t>Fraction of assets contributing positively to flood alleviation</w:t>
            </w:r>
            <w:r w:rsidR="00820861" w:rsidRPr="006A0357">
              <w:rPr>
                <w:rFonts w:ascii="Times New Roman" w:eastAsia="Arial Unicode MS" w:hAnsi="Times New Roman"/>
                <w:iCs/>
                <w:sz w:val="18"/>
                <w:szCs w:val="18"/>
              </w:rPr>
              <w:t xml:space="preserve">  </w:t>
            </w:r>
          </w:p>
        </w:tc>
        <w:tc>
          <w:tcPr>
            <w:tcW w:w="1891" w:type="dxa"/>
          </w:tcPr>
          <w:p w:rsidR="00F927E1" w:rsidRPr="006A0357" w:rsidRDefault="00820861" w:rsidP="00F927E1">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Annual</w:t>
            </w:r>
          </w:p>
        </w:tc>
        <w:tc>
          <w:tcPr>
            <w:tcW w:w="2350" w:type="dxa"/>
          </w:tcPr>
          <w:p w:rsidR="00F927E1" w:rsidRPr="006A0357" w:rsidRDefault="00820861" w:rsidP="00F927E1">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 reports to IDB</w:t>
            </w:r>
          </w:p>
        </w:tc>
      </w:tr>
      <w:tr w:rsidR="00F927E1" w:rsidRPr="007F2CD9" w:rsidTr="00F927E1">
        <w:tc>
          <w:tcPr>
            <w:tcW w:w="2988" w:type="dxa"/>
          </w:tcPr>
          <w:p w:rsidR="00F927E1" w:rsidRPr="006A0357" w:rsidRDefault="009663A6" w:rsidP="00F927E1">
            <w:pPr>
              <w:spacing w:after="0" w:line="240" w:lineRule="auto"/>
              <w:rPr>
                <w:rFonts w:ascii="Times New Roman" w:eastAsia="Arial Unicode MS" w:hAnsi="Times New Roman"/>
                <w:iCs/>
                <w:sz w:val="18"/>
                <w:szCs w:val="18"/>
              </w:rPr>
            </w:pPr>
            <w:r w:rsidRPr="009663A6">
              <w:rPr>
                <w:rFonts w:ascii="Times New Roman" w:eastAsia="Arial Unicode MS" w:hAnsi="Times New Roman"/>
                <w:iCs/>
                <w:sz w:val="18"/>
                <w:szCs w:val="18"/>
              </w:rPr>
              <w:t>Economic damages caused by rainfall events ($)</w:t>
            </w:r>
          </w:p>
        </w:tc>
        <w:tc>
          <w:tcPr>
            <w:tcW w:w="2160" w:type="dxa"/>
          </w:tcPr>
          <w:p w:rsidR="00F927E1" w:rsidRPr="006A0357" w:rsidRDefault="00F927E1" w:rsidP="003A1E7E">
            <w:pPr>
              <w:spacing w:after="0" w:line="240" w:lineRule="auto"/>
              <w:rPr>
                <w:rFonts w:ascii="Times New Roman" w:eastAsia="Arial Unicode MS" w:hAnsi="Times New Roman"/>
                <w:iCs/>
                <w:sz w:val="18"/>
                <w:szCs w:val="18"/>
              </w:rPr>
            </w:pPr>
          </w:p>
        </w:tc>
        <w:tc>
          <w:tcPr>
            <w:tcW w:w="1891" w:type="dxa"/>
          </w:tcPr>
          <w:p w:rsidR="00F927E1" w:rsidRPr="006A0357" w:rsidRDefault="009663A6" w:rsidP="00F927E1">
            <w:pPr>
              <w:spacing w:after="0" w:line="240" w:lineRule="auto"/>
              <w:rPr>
                <w:rFonts w:ascii="Times New Roman" w:eastAsia="Arial Unicode MS" w:hAnsi="Times New Roman"/>
                <w:iCs/>
                <w:sz w:val="18"/>
                <w:szCs w:val="18"/>
              </w:rPr>
            </w:pPr>
            <w:r>
              <w:rPr>
                <w:rFonts w:ascii="Times New Roman" w:eastAsia="Arial Unicode MS" w:hAnsi="Times New Roman"/>
                <w:iCs/>
                <w:sz w:val="18"/>
                <w:szCs w:val="18"/>
              </w:rPr>
              <w:t>Annual</w:t>
            </w:r>
          </w:p>
        </w:tc>
        <w:tc>
          <w:tcPr>
            <w:tcW w:w="2350" w:type="dxa"/>
          </w:tcPr>
          <w:p w:rsidR="00F927E1" w:rsidRPr="006A0357" w:rsidRDefault="00820861" w:rsidP="00F927E1">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 report to IDB.</w:t>
            </w:r>
          </w:p>
        </w:tc>
      </w:tr>
      <w:tr w:rsidR="00F927E1" w:rsidRPr="007F2CD9" w:rsidTr="00F927E1">
        <w:tc>
          <w:tcPr>
            <w:tcW w:w="2988" w:type="dxa"/>
          </w:tcPr>
          <w:p w:rsidR="00F927E1" w:rsidRPr="006A0357" w:rsidRDefault="009663A6" w:rsidP="00F927E1">
            <w:pPr>
              <w:spacing w:after="0" w:line="240" w:lineRule="auto"/>
              <w:rPr>
                <w:rFonts w:ascii="Times New Roman" w:eastAsia="Arial Unicode MS" w:hAnsi="Times New Roman"/>
                <w:iCs/>
                <w:sz w:val="18"/>
                <w:szCs w:val="18"/>
              </w:rPr>
            </w:pPr>
            <w:r w:rsidRPr="009663A6">
              <w:rPr>
                <w:rFonts w:ascii="Times New Roman" w:eastAsia="Arial Unicode MS" w:hAnsi="Times New Roman"/>
                <w:iCs/>
                <w:sz w:val="18"/>
                <w:szCs w:val="18"/>
              </w:rPr>
              <w:t>Authority for drainage operational (authority)</w:t>
            </w:r>
          </w:p>
        </w:tc>
        <w:tc>
          <w:tcPr>
            <w:tcW w:w="2160" w:type="dxa"/>
          </w:tcPr>
          <w:p w:rsidR="00F927E1" w:rsidRPr="006A0357" w:rsidRDefault="009663A6" w:rsidP="00505CFF">
            <w:pPr>
              <w:spacing w:after="0" w:line="240" w:lineRule="auto"/>
              <w:rPr>
                <w:rFonts w:ascii="Times New Roman" w:eastAsia="Arial Unicode MS" w:hAnsi="Times New Roman"/>
                <w:iCs/>
                <w:sz w:val="18"/>
                <w:szCs w:val="18"/>
              </w:rPr>
            </w:pPr>
            <w:r>
              <w:rPr>
                <w:rFonts w:ascii="Times New Roman" w:eastAsia="Arial Unicode MS" w:hAnsi="Times New Roman"/>
                <w:iCs/>
                <w:sz w:val="18"/>
                <w:szCs w:val="18"/>
              </w:rPr>
              <w:t>Authority is in place and functioning</w:t>
            </w:r>
          </w:p>
        </w:tc>
        <w:tc>
          <w:tcPr>
            <w:tcW w:w="1891" w:type="dxa"/>
          </w:tcPr>
          <w:p w:rsidR="00F927E1" w:rsidRPr="006A0357" w:rsidRDefault="009663A6" w:rsidP="00F927E1">
            <w:pPr>
              <w:spacing w:after="0" w:line="240" w:lineRule="auto"/>
              <w:rPr>
                <w:rFonts w:ascii="Times New Roman" w:eastAsia="Arial Unicode MS" w:hAnsi="Times New Roman"/>
                <w:iCs/>
                <w:sz w:val="18"/>
                <w:szCs w:val="18"/>
              </w:rPr>
            </w:pPr>
            <w:r>
              <w:rPr>
                <w:rFonts w:ascii="Times New Roman" w:eastAsia="Arial Unicode MS" w:hAnsi="Times New Roman"/>
                <w:iCs/>
                <w:sz w:val="18"/>
                <w:szCs w:val="18"/>
              </w:rPr>
              <w:t>Annual</w:t>
            </w:r>
          </w:p>
        </w:tc>
        <w:tc>
          <w:tcPr>
            <w:tcW w:w="2350" w:type="dxa"/>
          </w:tcPr>
          <w:p w:rsidR="00F927E1" w:rsidRPr="006A0357" w:rsidRDefault="00820861" w:rsidP="00F927E1">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 report to IDB.</w:t>
            </w:r>
          </w:p>
        </w:tc>
      </w:tr>
      <w:tr w:rsidR="00947A99" w:rsidRPr="007F2CD9" w:rsidTr="00F927E1">
        <w:tc>
          <w:tcPr>
            <w:tcW w:w="2988" w:type="dxa"/>
          </w:tcPr>
          <w:p w:rsidR="00947A99" w:rsidRPr="006A0357" w:rsidRDefault="009663A6" w:rsidP="00F927E1">
            <w:pPr>
              <w:spacing w:after="0" w:line="240" w:lineRule="auto"/>
              <w:rPr>
                <w:rFonts w:ascii="Times New Roman" w:eastAsia="Arial Unicode MS" w:hAnsi="Times New Roman"/>
                <w:iCs/>
                <w:sz w:val="18"/>
                <w:szCs w:val="18"/>
              </w:rPr>
            </w:pPr>
            <w:r w:rsidRPr="009663A6">
              <w:rPr>
                <w:rFonts w:ascii="Times New Roman" w:eastAsia="Arial Unicode MS" w:hAnsi="Times New Roman"/>
                <w:iCs/>
                <w:sz w:val="18"/>
                <w:szCs w:val="18"/>
              </w:rPr>
              <w:t>Systems designed, implemented, operating and maintained according to social and environmental specifications (system)</w:t>
            </w:r>
          </w:p>
        </w:tc>
        <w:tc>
          <w:tcPr>
            <w:tcW w:w="2160" w:type="dxa"/>
          </w:tcPr>
          <w:p w:rsidR="00947A99" w:rsidRPr="006A0357" w:rsidRDefault="00947A99" w:rsidP="009663A6">
            <w:pPr>
              <w:spacing w:after="0" w:line="240" w:lineRule="auto"/>
              <w:rPr>
                <w:rFonts w:ascii="Times New Roman" w:eastAsia="Arial Unicode MS" w:hAnsi="Times New Roman"/>
                <w:iCs/>
                <w:sz w:val="18"/>
                <w:szCs w:val="18"/>
              </w:rPr>
            </w:pPr>
          </w:p>
        </w:tc>
        <w:tc>
          <w:tcPr>
            <w:tcW w:w="1891" w:type="dxa"/>
          </w:tcPr>
          <w:p w:rsidR="00947A99" w:rsidRPr="006A0357" w:rsidRDefault="00364D6A" w:rsidP="00364D6A">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 xml:space="preserve">Annual </w:t>
            </w:r>
          </w:p>
        </w:tc>
        <w:tc>
          <w:tcPr>
            <w:tcW w:w="2350" w:type="dxa"/>
          </w:tcPr>
          <w:p w:rsidR="00947A99" w:rsidRPr="006A0357" w:rsidRDefault="00524679" w:rsidP="00F927E1">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 report to IDB</w:t>
            </w:r>
          </w:p>
        </w:tc>
      </w:tr>
      <w:tr w:rsidR="00947A99" w:rsidRPr="007F2CD9" w:rsidTr="00F927E1">
        <w:tc>
          <w:tcPr>
            <w:tcW w:w="2988" w:type="dxa"/>
          </w:tcPr>
          <w:p w:rsidR="00947A99" w:rsidRPr="006A0357" w:rsidRDefault="00524679" w:rsidP="00F927E1">
            <w:pPr>
              <w:spacing w:after="0" w:line="240" w:lineRule="auto"/>
              <w:rPr>
                <w:rFonts w:ascii="Times New Roman" w:eastAsia="Arial Unicode MS" w:hAnsi="Times New Roman"/>
                <w:iCs/>
                <w:sz w:val="18"/>
                <w:szCs w:val="18"/>
              </w:rPr>
            </w:pPr>
            <w:r w:rsidRPr="00524679">
              <w:rPr>
                <w:rFonts w:ascii="Times New Roman" w:eastAsia="Arial Unicode MS" w:hAnsi="Times New Roman"/>
                <w:iCs/>
                <w:sz w:val="18"/>
                <w:szCs w:val="18"/>
              </w:rPr>
              <w:t>Systems operating and maintained according to design specifications (% system)</w:t>
            </w:r>
          </w:p>
        </w:tc>
        <w:tc>
          <w:tcPr>
            <w:tcW w:w="2160" w:type="dxa"/>
          </w:tcPr>
          <w:p w:rsidR="00947A99" w:rsidRPr="006A0357" w:rsidRDefault="00947A99" w:rsidP="00505CFF">
            <w:pPr>
              <w:spacing w:after="0" w:line="240" w:lineRule="auto"/>
              <w:rPr>
                <w:rFonts w:ascii="Times New Roman" w:eastAsia="Arial Unicode MS" w:hAnsi="Times New Roman"/>
                <w:iCs/>
                <w:sz w:val="18"/>
                <w:szCs w:val="18"/>
              </w:rPr>
            </w:pPr>
          </w:p>
        </w:tc>
        <w:tc>
          <w:tcPr>
            <w:tcW w:w="1891" w:type="dxa"/>
          </w:tcPr>
          <w:p w:rsidR="00947A99" w:rsidRPr="006A0357" w:rsidRDefault="00524679" w:rsidP="00364D6A">
            <w:pPr>
              <w:spacing w:after="0" w:line="240" w:lineRule="auto"/>
              <w:rPr>
                <w:rFonts w:ascii="Times New Roman" w:eastAsia="Arial Unicode MS" w:hAnsi="Times New Roman"/>
                <w:iCs/>
                <w:sz w:val="18"/>
                <w:szCs w:val="18"/>
              </w:rPr>
            </w:pPr>
            <w:r>
              <w:rPr>
                <w:rFonts w:ascii="Times New Roman" w:eastAsia="Arial Unicode MS" w:hAnsi="Times New Roman"/>
                <w:iCs/>
                <w:sz w:val="18"/>
                <w:szCs w:val="18"/>
              </w:rPr>
              <w:t>Annual</w:t>
            </w:r>
          </w:p>
        </w:tc>
        <w:tc>
          <w:tcPr>
            <w:tcW w:w="2350" w:type="dxa"/>
          </w:tcPr>
          <w:p w:rsidR="00947A99" w:rsidRPr="006A0357" w:rsidRDefault="00524679" w:rsidP="00F927E1">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 report to IDB</w:t>
            </w:r>
          </w:p>
        </w:tc>
      </w:tr>
      <w:tr w:rsidR="00524679" w:rsidRPr="007F2CD9" w:rsidTr="00F927E1">
        <w:tc>
          <w:tcPr>
            <w:tcW w:w="2988" w:type="dxa"/>
          </w:tcPr>
          <w:p w:rsidR="00524679" w:rsidRPr="00524679" w:rsidRDefault="00524679" w:rsidP="00F927E1">
            <w:pPr>
              <w:spacing w:after="0" w:line="240" w:lineRule="auto"/>
              <w:rPr>
                <w:rFonts w:ascii="Times New Roman" w:eastAsia="Arial Unicode MS" w:hAnsi="Times New Roman"/>
                <w:iCs/>
                <w:sz w:val="18"/>
                <w:szCs w:val="18"/>
              </w:rPr>
            </w:pPr>
            <w:r w:rsidRPr="00524679">
              <w:rPr>
                <w:rFonts w:ascii="Times New Roman" w:eastAsia="Arial Unicode MS" w:hAnsi="Times New Roman"/>
                <w:iCs/>
                <w:sz w:val="18"/>
                <w:szCs w:val="18"/>
              </w:rPr>
              <w:t>Population covered by the dissemination campaign (%)</w:t>
            </w:r>
          </w:p>
        </w:tc>
        <w:tc>
          <w:tcPr>
            <w:tcW w:w="2160" w:type="dxa"/>
          </w:tcPr>
          <w:p w:rsidR="00524679" w:rsidRPr="006A0357" w:rsidRDefault="00524679" w:rsidP="00505CFF">
            <w:pPr>
              <w:spacing w:after="0" w:line="240" w:lineRule="auto"/>
              <w:rPr>
                <w:rFonts w:ascii="Times New Roman" w:eastAsia="Arial Unicode MS" w:hAnsi="Times New Roman"/>
                <w:iCs/>
                <w:sz w:val="18"/>
                <w:szCs w:val="18"/>
              </w:rPr>
            </w:pPr>
          </w:p>
        </w:tc>
        <w:tc>
          <w:tcPr>
            <w:tcW w:w="1891" w:type="dxa"/>
          </w:tcPr>
          <w:p w:rsidR="00524679" w:rsidRDefault="00524679" w:rsidP="00364D6A">
            <w:pPr>
              <w:spacing w:after="0" w:line="240" w:lineRule="auto"/>
              <w:rPr>
                <w:rFonts w:ascii="Times New Roman" w:eastAsia="Arial Unicode MS" w:hAnsi="Times New Roman"/>
                <w:iCs/>
                <w:sz w:val="18"/>
                <w:szCs w:val="18"/>
              </w:rPr>
            </w:pPr>
            <w:r>
              <w:rPr>
                <w:rFonts w:ascii="Times New Roman" w:eastAsia="Arial Unicode MS" w:hAnsi="Times New Roman"/>
                <w:iCs/>
                <w:sz w:val="18"/>
                <w:szCs w:val="18"/>
              </w:rPr>
              <w:t>Annual</w:t>
            </w:r>
          </w:p>
        </w:tc>
        <w:tc>
          <w:tcPr>
            <w:tcW w:w="2350" w:type="dxa"/>
          </w:tcPr>
          <w:p w:rsidR="00524679" w:rsidRPr="006A0357" w:rsidRDefault="00524679" w:rsidP="00F927E1">
            <w:pPr>
              <w:spacing w:after="0" w:line="240" w:lineRule="auto"/>
              <w:rPr>
                <w:rFonts w:ascii="Times New Roman" w:eastAsia="Arial Unicode MS" w:hAnsi="Times New Roman"/>
                <w:iCs/>
                <w:sz w:val="18"/>
                <w:szCs w:val="18"/>
              </w:rPr>
            </w:pPr>
            <w:r w:rsidRPr="006A0357">
              <w:rPr>
                <w:rFonts w:ascii="Times New Roman" w:eastAsia="Arial Unicode MS" w:hAnsi="Times New Roman"/>
                <w:iCs/>
                <w:sz w:val="18"/>
                <w:szCs w:val="18"/>
              </w:rPr>
              <w:t>Semi-annual report to IDB</w:t>
            </w:r>
          </w:p>
        </w:tc>
      </w:tr>
    </w:tbl>
    <w:p w:rsidR="00117447" w:rsidRDefault="00117447" w:rsidP="00B24BB9">
      <w:pPr>
        <w:pStyle w:val="Paragraph"/>
        <w:numPr>
          <w:ilvl w:val="0"/>
          <w:numId w:val="0"/>
        </w:numPr>
        <w:ind w:left="720" w:hanging="720"/>
      </w:pPr>
    </w:p>
    <w:p w:rsidR="006C7A89" w:rsidRPr="007F2CD9" w:rsidRDefault="006C7A89" w:rsidP="00CE4B39">
      <w:pPr>
        <w:pStyle w:val="Paragraph"/>
        <w:numPr>
          <w:ilvl w:val="0"/>
          <w:numId w:val="0"/>
        </w:numPr>
        <w:ind w:left="720"/>
      </w:pPr>
    </w:p>
    <w:p w:rsidR="001B5186" w:rsidRPr="007F2CD9" w:rsidRDefault="004A4AE5" w:rsidP="006A0357">
      <w:pPr>
        <w:pStyle w:val="FirstHeading"/>
      </w:pPr>
      <w:r>
        <w:fldChar w:fldCharType="begin"/>
      </w:r>
      <w:r w:rsidR="006A0357">
        <w:instrText xml:space="preserve"> SEQ "</w:instrText>
      </w:r>
      <w:fldSimple w:instr=" SECTION  \* MERGEFORMAT ">
        <w:r w:rsidR="008040B5">
          <w:instrText>6</w:instrText>
        </w:r>
      </w:fldSimple>
      <w:r w:rsidR="006A0357">
        <w:instrText xml:space="preserve">#"\* ALPHABETIC \* MERGEFORMAT </w:instrText>
      </w:r>
      <w:r>
        <w:fldChar w:fldCharType="separate"/>
      </w:r>
      <w:r w:rsidR="008040B5">
        <w:rPr>
          <w:noProof/>
        </w:rPr>
        <w:t>D</w:t>
      </w:r>
      <w:r>
        <w:fldChar w:fldCharType="end"/>
      </w:r>
      <w:r w:rsidR="006A0357">
        <w:t>.</w:t>
      </w:r>
      <w:r w:rsidR="006A0357">
        <w:tab/>
      </w:r>
      <w:r w:rsidR="001B5186" w:rsidRPr="007F2CD9">
        <w:t>Evaluation Methodology</w:t>
      </w:r>
    </w:p>
    <w:p w:rsidR="000661DE" w:rsidRPr="007F2CD9" w:rsidRDefault="000C70D6" w:rsidP="00BB0F49">
      <w:pPr>
        <w:pStyle w:val="Paragraph"/>
      </w:pPr>
      <w:r w:rsidRPr="007F2CD9">
        <w:t xml:space="preserve">An ex-post economic evaluation will be carried out </w:t>
      </w:r>
      <w:r w:rsidR="003D2DD2" w:rsidRPr="007F2CD9">
        <w:t>to measure the changes occurred in key variables before and after the proposed intervention</w:t>
      </w:r>
      <w:r w:rsidR="00DC4FB2" w:rsidRPr="007F2CD9">
        <w:t>s</w:t>
      </w:r>
      <w:r w:rsidR="003D2DD2" w:rsidRPr="007F2CD9">
        <w:t xml:space="preserve"> have taken place. </w:t>
      </w:r>
    </w:p>
    <w:p w:rsidR="001B5186" w:rsidRPr="007F2CD9" w:rsidRDefault="004A4AE5" w:rsidP="006A0357">
      <w:pPr>
        <w:pStyle w:val="FirstHeading"/>
      </w:pPr>
      <w:r>
        <w:fldChar w:fldCharType="begin"/>
      </w:r>
      <w:r w:rsidR="006A0357">
        <w:instrText xml:space="preserve"> SEQ "</w:instrText>
      </w:r>
      <w:fldSimple w:instr=" SECTION  \* MERGEFORMAT ">
        <w:r w:rsidR="008040B5">
          <w:instrText>6</w:instrText>
        </w:r>
      </w:fldSimple>
      <w:r w:rsidR="006A0357">
        <w:instrText xml:space="preserve">#"\* ALPHABETIC \* MERGEFORMAT </w:instrText>
      </w:r>
      <w:r>
        <w:fldChar w:fldCharType="separate"/>
      </w:r>
      <w:r w:rsidR="008040B5">
        <w:rPr>
          <w:noProof/>
        </w:rPr>
        <w:t>E</w:t>
      </w:r>
      <w:r>
        <w:fldChar w:fldCharType="end"/>
      </w:r>
      <w:r w:rsidR="006A0357">
        <w:t>.</w:t>
      </w:r>
      <w:r w:rsidR="006A0357">
        <w:tab/>
      </w:r>
      <w:r w:rsidR="001B5186" w:rsidRPr="007F2CD9">
        <w:t>Technical Aspects of Selected Methodology</w:t>
      </w:r>
    </w:p>
    <w:p w:rsidR="001B5186" w:rsidRPr="006B44D4" w:rsidRDefault="001B5186" w:rsidP="001324B3">
      <w:pPr>
        <w:pStyle w:val="ColorfulList-Accent11"/>
        <w:spacing w:after="0" w:line="240" w:lineRule="auto"/>
        <w:ind w:left="0"/>
        <w:jc w:val="both"/>
        <w:rPr>
          <w:rFonts w:ascii="Times New Roman" w:hAnsi="Times New Roman"/>
          <w:b/>
          <w:sz w:val="24"/>
          <w:szCs w:val="24"/>
        </w:rPr>
      </w:pPr>
      <w:r w:rsidRPr="006B44D4">
        <w:rPr>
          <w:rFonts w:ascii="Times New Roman" w:hAnsi="Times New Roman"/>
          <w:b/>
          <w:sz w:val="24"/>
          <w:szCs w:val="24"/>
        </w:rPr>
        <w:t>Data Collection</w:t>
      </w:r>
    </w:p>
    <w:p w:rsidR="00BC509E" w:rsidRPr="007F2CD9" w:rsidRDefault="0077424A" w:rsidP="00BB0F49">
      <w:pPr>
        <w:pStyle w:val="Paragraph"/>
      </w:pPr>
      <w:r w:rsidRPr="007F2CD9">
        <w:t xml:space="preserve">The nature of </w:t>
      </w:r>
      <w:r w:rsidR="001C2B75">
        <w:t xml:space="preserve"> HP</w:t>
      </w:r>
      <w:r w:rsidR="001C2B75" w:rsidRPr="007F2CD9">
        <w:t xml:space="preserve"> </w:t>
      </w:r>
      <w:r w:rsidRPr="007F2CD9">
        <w:t>method invalidates the typical ex-post evaluation that replicates the ex-ante analysis</w:t>
      </w:r>
      <w:r w:rsidR="001C2B75">
        <w:t xml:space="preserve"> since the time it will take for properties values to increase as a result of the project implementation exceed the timeframe of the ex post evaluation</w:t>
      </w:r>
      <w:r w:rsidRPr="007F2CD9">
        <w:t xml:space="preserve">. </w:t>
      </w:r>
      <w:r w:rsidR="00F52539">
        <w:t xml:space="preserve">Regarding the traffic delay avoidance benefits, those will be re-estimated after the project is implemented using updated traffic data. </w:t>
      </w:r>
      <w:r w:rsidRPr="007F2CD9">
        <w:t>Therefore</w:t>
      </w:r>
      <w:r w:rsidR="00F52539">
        <w:t>,</w:t>
      </w:r>
      <w:r w:rsidRPr="007F2CD9">
        <w:t xml:space="preserve"> in this case </w:t>
      </w:r>
      <w:r w:rsidR="000C70D6" w:rsidRPr="007F2CD9">
        <w:t>the</w:t>
      </w:r>
      <w:r w:rsidRPr="007F2CD9">
        <w:t xml:space="preserve"> ex-post economic evaluation will include the comparison between the executed (ex-post) investments and operation and maintenance costs and the project benefits, the latter estimated using the original </w:t>
      </w:r>
      <w:r w:rsidR="001C2B75">
        <w:t>HP model</w:t>
      </w:r>
      <w:r w:rsidR="00F52539">
        <w:t xml:space="preserve"> and updated traffic cost statistics</w:t>
      </w:r>
      <w:r w:rsidRPr="007F2CD9">
        <w:t xml:space="preserve">. This evaluation will be carried out once 90% of the program resources have been committed. </w:t>
      </w:r>
    </w:p>
    <w:p w:rsidR="001B5186" w:rsidRPr="007F2CD9" w:rsidRDefault="004A4AE5" w:rsidP="006A0357">
      <w:pPr>
        <w:pStyle w:val="FirstHeading"/>
      </w:pPr>
      <w:r>
        <w:fldChar w:fldCharType="begin"/>
      </w:r>
      <w:r w:rsidR="006A0357">
        <w:instrText xml:space="preserve"> SEQ "</w:instrText>
      </w:r>
      <w:fldSimple w:instr=" SECTION  \* MERGEFORMAT ">
        <w:r w:rsidR="008040B5">
          <w:instrText>6</w:instrText>
        </w:r>
      </w:fldSimple>
      <w:r w:rsidR="006A0357">
        <w:instrText xml:space="preserve">#"\* ALPHABETIC \* MERGEFORMAT </w:instrText>
      </w:r>
      <w:r>
        <w:fldChar w:fldCharType="separate"/>
      </w:r>
      <w:r w:rsidR="008040B5">
        <w:rPr>
          <w:noProof/>
        </w:rPr>
        <w:t>F</w:t>
      </w:r>
      <w:r>
        <w:fldChar w:fldCharType="end"/>
      </w:r>
      <w:r w:rsidR="006A0357">
        <w:t>.</w:t>
      </w:r>
      <w:r w:rsidR="006A0357">
        <w:tab/>
      </w:r>
      <w:r w:rsidR="001B5186" w:rsidRPr="007F2CD9">
        <w:t>Complementary Evaluation</w:t>
      </w:r>
      <w:r w:rsidR="00A358CC" w:rsidRPr="007F2CD9">
        <w:t xml:space="preserve"> </w:t>
      </w:r>
    </w:p>
    <w:p w:rsidR="00524679" w:rsidRDefault="002760A2" w:rsidP="006A0357">
      <w:pPr>
        <w:pStyle w:val="Paragraph"/>
      </w:pPr>
      <w:r w:rsidRPr="007F2CD9">
        <w:t xml:space="preserve">The final and ex-post economic evaluation will be complemented by a mid-term </w:t>
      </w:r>
      <w:r w:rsidR="00FA227F" w:rsidRPr="007F2CD9">
        <w:t xml:space="preserve">and a final </w:t>
      </w:r>
      <w:r w:rsidR="001B5186" w:rsidRPr="007F2CD9">
        <w:t xml:space="preserve">qualitative </w:t>
      </w:r>
      <w:r w:rsidRPr="007F2CD9">
        <w:t xml:space="preserve">progress </w:t>
      </w:r>
      <w:r w:rsidR="00B664B6" w:rsidRPr="007F2CD9">
        <w:t>evaluation</w:t>
      </w:r>
      <w:r w:rsidR="001B5186" w:rsidRPr="007F2CD9">
        <w:t xml:space="preserve">. </w:t>
      </w:r>
      <w:r w:rsidR="000C70D6" w:rsidRPr="007F2CD9">
        <w:t xml:space="preserve">The purpose of these complementary evaluations is not only to capture the degree of attainment of program objectives in relation to plans </w:t>
      </w:r>
      <w:r w:rsidR="000C70D6" w:rsidRPr="007F2CD9">
        <w:lastRenderedPageBreak/>
        <w:t>and reasons for any variances, but also to appreciate the main bottleneck</w:t>
      </w:r>
      <w:r w:rsidR="00524679">
        <w:t>s encountered during execution.</w:t>
      </w:r>
    </w:p>
    <w:p w:rsidR="002760A2" w:rsidRPr="007F2CD9" w:rsidRDefault="002760A2" w:rsidP="006A0357">
      <w:pPr>
        <w:pStyle w:val="Paragraph"/>
      </w:pPr>
      <w:r w:rsidRPr="007F2CD9">
        <w:t>At the end of 30 months from the date</w:t>
      </w:r>
      <w:r w:rsidR="00886CD6">
        <w:t xml:space="preserve"> of the loan contract or after 5</w:t>
      </w:r>
      <w:r w:rsidRPr="007F2CD9">
        <w:t xml:space="preserve">0% commitment of the resources, whichever comes first, this mid-term </w:t>
      </w:r>
      <w:r w:rsidR="00B664B6" w:rsidRPr="007F2CD9">
        <w:t>evaluation</w:t>
      </w:r>
      <w:r w:rsidRPr="007F2CD9">
        <w:t xml:space="preserve"> will take place with the support of an external consultant who will focus on, among other things: </w:t>
      </w:r>
    </w:p>
    <w:p w:rsidR="004D2550" w:rsidRPr="007F2CD9" w:rsidRDefault="002760A2" w:rsidP="006B44D4">
      <w:pPr>
        <w:pStyle w:val="subpar"/>
        <w:spacing w:before="40" w:after="40"/>
      </w:pPr>
      <w:r w:rsidRPr="007F2CD9">
        <w:t xml:space="preserve">level of progress in attaining the program’s objectives stated in the Results Framework; </w:t>
      </w:r>
    </w:p>
    <w:p w:rsidR="004D2550" w:rsidRPr="007F2CD9" w:rsidRDefault="002760A2" w:rsidP="006B44D4">
      <w:pPr>
        <w:pStyle w:val="subpar"/>
        <w:spacing w:before="40" w:after="40"/>
      </w:pPr>
      <w:r w:rsidRPr="007F2CD9">
        <w:t>level of acceptance of procedures developed under the program, including environmental and social procedures</w:t>
      </w:r>
      <w:r w:rsidR="004B395B" w:rsidRPr="007F2CD9">
        <w:t xml:space="preserve"> and compliances (e.g. implementation of the ESMP, health and safety, number of accidents, resolved complains, etc.)</w:t>
      </w:r>
      <w:r w:rsidRPr="007F2CD9">
        <w:t xml:space="preserve">; </w:t>
      </w:r>
    </w:p>
    <w:p w:rsidR="004D2550" w:rsidRPr="007F2CD9" w:rsidRDefault="002760A2" w:rsidP="006B44D4">
      <w:pPr>
        <w:pStyle w:val="subpar"/>
        <w:spacing w:before="40" w:after="40"/>
      </w:pPr>
      <w:r w:rsidRPr="007F2CD9">
        <w:t>degree of effectiveness of the internal and the Bank’s monitoring and supervision system.</w:t>
      </w:r>
    </w:p>
    <w:p w:rsidR="002760A2" w:rsidRPr="007F2CD9" w:rsidRDefault="002760A2" w:rsidP="006A0357">
      <w:pPr>
        <w:pStyle w:val="Paragraph"/>
      </w:pPr>
      <w:r w:rsidRPr="007F2CD9">
        <w:t xml:space="preserve">The final evaluation, to be carried out also with the help of an external consultant, is to take place after 90% of loan resources have been committed. The evaluation will assess: </w:t>
      </w:r>
    </w:p>
    <w:p w:rsidR="004D2550" w:rsidRPr="007F2CD9" w:rsidRDefault="002760A2" w:rsidP="006B44D4">
      <w:pPr>
        <w:pStyle w:val="subpar"/>
        <w:spacing w:before="40" w:after="40"/>
      </w:pPr>
      <w:r w:rsidRPr="007F2CD9">
        <w:t>degree of attainment of program objectives in relation to plans and reasons for any variances</w:t>
      </w:r>
      <w:r w:rsidR="007A45EB" w:rsidRPr="007F2CD9">
        <w:t>;</w:t>
      </w:r>
      <w:r w:rsidRPr="007F2CD9">
        <w:t xml:space="preserve"> </w:t>
      </w:r>
    </w:p>
    <w:p w:rsidR="004D2550" w:rsidRPr="007F2CD9" w:rsidRDefault="002760A2" w:rsidP="006B44D4">
      <w:pPr>
        <w:pStyle w:val="subpar"/>
        <w:spacing w:before="40" w:after="40"/>
      </w:pPr>
      <w:r w:rsidRPr="007F2CD9">
        <w:t xml:space="preserve">the organization established for program execution; </w:t>
      </w:r>
    </w:p>
    <w:p w:rsidR="004D2550" w:rsidRPr="007F2CD9" w:rsidRDefault="002760A2" w:rsidP="006B44D4">
      <w:pPr>
        <w:pStyle w:val="subpar"/>
        <w:spacing w:before="40" w:after="40"/>
      </w:pPr>
      <w:r w:rsidRPr="007F2CD9">
        <w:t>implementation and acceptance of procedures and systems developed through the program, including environmental and social procedures</w:t>
      </w:r>
      <w:r w:rsidR="004B395B" w:rsidRPr="007F2CD9">
        <w:t xml:space="preserve"> and compliances (e.g. implementation of the ESMP, health and safety, number of accidents, resolved complains, etc.)</w:t>
      </w:r>
      <w:r w:rsidRPr="007F2CD9">
        <w:t xml:space="preserve">; </w:t>
      </w:r>
    </w:p>
    <w:p w:rsidR="004D2550" w:rsidRPr="007F2CD9" w:rsidRDefault="002760A2" w:rsidP="006B44D4">
      <w:pPr>
        <w:pStyle w:val="subpar"/>
        <w:spacing w:before="40" w:after="40"/>
      </w:pPr>
      <w:r w:rsidRPr="007F2CD9">
        <w:t xml:space="preserve">sustainability of the activities funded under the program, paying special attention to the </w:t>
      </w:r>
      <w:r w:rsidR="00524679">
        <w:t xml:space="preserve">MEWR </w:t>
      </w:r>
      <w:r w:rsidRPr="007F2CD9">
        <w:t xml:space="preserve">Operation and Maintenance capacity developed through the </w:t>
      </w:r>
      <w:r w:rsidR="00FA227F" w:rsidRPr="007F2CD9">
        <w:t>training programs and the sustainability of works financed</w:t>
      </w:r>
      <w:r w:rsidRPr="007F2CD9">
        <w:t xml:space="preserve">; </w:t>
      </w:r>
    </w:p>
    <w:p w:rsidR="004D2550" w:rsidRPr="007F2CD9" w:rsidRDefault="002760A2" w:rsidP="006B44D4">
      <w:pPr>
        <w:pStyle w:val="subpar"/>
        <w:spacing w:before="40" w:after="40"/>
      </w:pPr>
      <w:r w:rsidRPr="007F2CD9">
        <w:t xml:space="preserve">lessons learned that could be applied to future projects. </w:t>
      </w:r>
    </w:p>
    <w:p w:rsidR="00B14888" w:rsidRPr="007F2CD9" w:rsidRDefault="00B664B6" w:rsidP="006A0357">
      <w:pPr>
        <w:pStyle w:val="Paragraph"/>
      </w:pPr>
      <w:r w:rsidRPr="007F2CD9">
        <w:t>The ex-post economic evaluation described above will be performed as part of this final evaluation</w:t>
      </w:r>
      <w:r w:rsidR="00045CBF" w:rsidRPr="007F2CD9">
        <w:t xml:space="preserve">. </w:t>
      </w:r>
    </w:p>
    <w:p w:rsidR="001B5186" w:rsidRPr="007F2CD9" w:rsidRDefault="004A4AE5" w:rsidP="006A0357">
      <w:pPr>
        <w:pStyle w:val="FirstHeading"/>
      </w:pPr>
      <w:r>
        <w:fldChar w:fldCharType="begin"/>
      </w:r>
      <w:r w:rsidR="006A0357">
        <w:instrText xml:space="preserve"> SEQ "</w:instrText>
      </w:r>
      <w:fldSimple w:instr=" SECTION  \* MERGEFORMAT ">
        <w:r w:rsidR="008040B5">
          <w:instrText>6</w:instrText>
        </w:r>
      </w:fldSimple>
      <w:r w:rsidR="006A0357">
        <w:instrText xml:space="preserve">#"\* ALPHABETIC \* MERGEFORMAT </w:instrText>
      </w:r>
      <w:r>
        <w:fldChar w:fldCharType="separate"/>
      </w:r>
      <w:r w:rsidR="008040B5">
        <w:rPr>
          <w:noProof/>
        </w:rPr>
        <w:t>G</w:t>
      </w:r>
      <w:r>
        <w:fldChar w:fldCharType="end"/>
      </w:r>
      <w:r w:rsidR="006A0357">
        <w:t>.</w:t>
      </w:r>
      <w:r w:rsidR="006A0357">
        <w:tab/>
      </w:r>
      <w:r w:rsidR="001B5186" w:rsidRPr="007F2CD9">
        <w:t>Reporting Results</w:t>
      </w:r>
    </w:p>
    <w:p w:rsidR="00D45FAF" w:rsidRPr="007F2CD9" w:rsidRDefault="00FA227F" w:rsidP="006A0357">
      <w:pPr>
        <w:pStyle w:val="Paragraph"/>
      </w:pPr>
      <w:r w:rsidRPr="007F2CD9">
        <w:t xml:space="preserve">The information included in the final complementary evaluation and in the ex-post economic evaluation will be used as inputs to prepare </w:t>
      </w:r>
      <w:r w:rsidR="00B15C39" w:rsidRPr="007F2CD9">
        <w:t xml:space="preserve">the </w:t>
      </w:r>
      <w:r w:rsidR="00B15C39" w:rsidRPr="007F2CD9">
        <w:rPr>
          <w:bCs/>
        </w:rPr>
        <w:t xml:space="preserve">XPMR. </w:t>
      </w:r>
      <w:r w:rsidR="000C70D6" w:rsidRPr="007F2CD9">
        <w:rPr>
          <w:bCs/>
        </w:rPr>
        <w:t xml:space="preserve">The mechanisms and instruments to report </w:t>
      </w:r>
      <w:r w:rsidR="00E85884" w:rsidRPr="007F2CD9">
        <w:rPr>
          <w:bCs/>
        </w:rPr>
        <w:t>program</w:t>
      </w:r>
      <w:r w:rsidR="000C70D6" w:rsidRPr="007F2CD9">
        <w:rPr>
          <w:bCs/>
        </w:rPr>
        <w:t xml:space="preserve"> evaluation results are those listed above, and in particular the PMR system (with the s</w:t>
      </w:r>
      <w:r w:rsidR="00E85884">
        <w:rPr>
          <w:bCs/>
        </w:rPr>
        <w:t>e</w:t>
      </w:r>
      <w:r w:rsidR="000C70D6" w:rsidRPr="007F2CD9">
        <w:rPr>
          <w:bCs/>
        </w:rPr>
        <w:t xml:space="preserve">mi-annual updates), paying particular attention to the change in the risk analysis and the conditions recorded at program inception. </w:t>
      </w:r>
      <w:r w:rsidR="00B15C39" w:rsidRPr="007F2CD9">
        <w:t xml:space="preserve">The </w:t>
      </w:r>
      <w:r w:rsidR="00B15C39" w:rsidRPr="007F2CD9">
        <w:rPr>
          <w:bCs/>
        </w:rPr>
        <w:t xml:space="preserve">XPMR, which </w:t>
      </w:r>
      <w:r w:rsidR="00B15C39" w:rsidRPr="007F2CD9">
        <w:t xml:space="preserve">replaces the Project Completion Report (PCR), compares actual results achieved with the expected results presented at entry in the </w:t>
      </w:r>
      <w:r w:rsidR="00B15C39" w:rsidRPr="007F2CD9">
        <w:rPr>
          <w:bCs/>
        </w:rPr>
        <w:t>Development Effectiveness Matrix (</w:t>
      </w:r>
      <w:r w:rsidR="00B15C39" w:rsidRPr="007F2CD9">
        <w:t xml:space="preserve">DEM), which includes the recalculation of the DEM score. It will report on: (i) time and cost of outputs achieved from the last PMR; (ii) on results achieved and evaluation methods used; and (iii) Bank’s performance during the life of the project. </w:t>
      </w:r>
      <w:r w:rsidR="00D45FAF" w:rsidRPr="007F2CD9">
        <w:t>The exercise will be used to improve management for results, learning and greater accountability.</w:t>
      </w:r>
      <w:r w:rsidR="004D2550" w:rsidRPr="007F2CD9">
        <w:rPr>
          <w:rFonts w:ascii="Verdana" w:hAnsi="Verdana"/>
          <w:color w:val="333333"/>
        </w:rPr>
        <w:t xml:space="preserve"> </w:t>
      </w:r>
    </w:p>
    <w:p w:rsidR="00B14888" w:rsidRPr="007F2CD9" w:rsidRDefault="00DB7717" w:rsidP="006A0357">
      <w:pPr>
        <w:pStyle w:val="Paragraph"/>
        <w:rPr>
          <w:color w:val="000000"/>
        </w:rPr>
      </w:pPr>
      <w:r w:rsidRPr="007F2CD9">
        <w:lastRenderedPageBreak/>
        <w:t xml:space="preserve">All the evaluation reports are expected to be available within </w:t>
      </w:r>
      <w:r w:rsidR="00B14888" w:rsidRPr="007F2CD9">
        <w:t xml:space="preserve">6 </w:t>
      </w:r>
      <w:r w:rsidRPr="007F2CD9">
        <w:t>months after completion. The reports will benefit the Bank as well as the borrowe</w:t>
      </w:r>
      <w:r w:rsidR="00E85884">
        <w:t>r</w:t>
      </w:r>
      <w:r w:rsidRPr="007F2CD9">
        <w:t xml:space="preserve"> and the executing agency. </w:t>
      </w:r>
    </w:p>
    <w:p w:rsidR="001B5186" w:rsidRPr="007F2CD9" w:rsidRDefault="004A4AE5" w:rsidP="006A0357">
      <w:pPr>
        <w:pStyle w:val="FirstHeading"/>
      </w:pPr>
      <w:r>
        <w:fldChar w:fldCharType="begin"/>
      </w:r>
      <w:r w:rsidR="006A0357">
        <w:instrText xml:space="preserve"> SEQ "</w:instrText>
      </w:r>
      <w:fldSimple w:instr=" SECTION  \* MERGEFORMAT ">
        <w:r w:rsidR="008040B5">
          <w:instrText>6</w:instrText>
        </w:r>
      </w:fldSimple>
      <w:r w:rsidR="006A0357">
        <w:instrText xml:space="preserve">#"\* ALPHABETIC \* MERGEFORMAT </w:instrText>
      </w:r>
      <w:r>
        <w:fldChar w:fldCharType="separate"/>
      </w:r>
      <w:r w:rsidR="008040B5">
        <w:rPr>
          <w:noProof/>
        </w:rPr>
        <w:t>H</w:t>
      </w:r>
      <w:r>
        <w:fldChar w:fldCharType="end"/>
      </w:r>
      <w:r w:rsidR="006A0357">
        <w:t>.</w:t>
      </w:r>
      <w:r w:rsidR="006A0357">
        <w:tab/>
      </w:r>
      <w:r w:rsidR="001B5186" w:rsidRPr="007F2CD9">
        <w:t>Evaluation Coordination, Work Plan and Budget</w:t>
      </w:r>
    </w:p>
    <w:p w:rsidR="00B14888" w:rsidRPr="007F2CD9" w:rsidRDefault="002E5E11" w:rsidP="006A0357">
      <w:pPr>
        <w:pStyle w:val="Paragraph"/>
      </w:pPr>
      <w:r w:rsidRPr="007F2CD9">
        <w:t>All the evaluations (mid-term and final, which will include the ex</w:t>
      </w:r>
      <w:r w:rsidR="00E85884">
        <w:t>-</w:t>
      </w:r>
      <w:r w:rsidRPr="007F2CD9">
        <w:t xml:space="preserve">post economic evaluation) will be carried out by an external independent consultant. The contracting will be managed by </w:t>
      </w:r>
      <w:r w:rsidR="00524679">
        <w:t>the MEWR /PEU</w:t>
      </w:r>
      <w:r w:rsidRPr="007F2CD9">
        <w:t xml:space="preserve">, which will prepared the Terms of Reference and supervise the consultant with the support of the Bank, and will be financed through loan resources. </w:t>
      </w:r>
    </w:p>
    <w:p w:rsidR="002E5E11" w:rsidRPr="007F2CD9" w:rsidRDefault="002E5E11" w:rsidP="006A0357">
      <w:pPr>
        <w:pStyle w:val="Paragraph"/>
      </w:pPr>
      <w:r w:rsidRPr="007F2CD9">
        <w:t xml:space="preserve">The </w:t>
      </w:r>
      <w:r w:rsidR="000C70D6" w:rsidRPr="007F2CD9">
        <w:t xml:space="preserve">final evaluation plan will be revised by both </w:t>
      </w:r>
      <w:r w:rsidR="00524679">
        <w:t>MEWR</w:t>
      </w:r>
      <w:r w:rsidR="000C70D6" w:rsidRPr="007F2CD9">
        <w:t xml:space="preserve"> and the IDB team, in order to ensure the accuracy of the information and to ensure that the most relevant </w:t>
      </w:r>
      <w:r w:rsidR="00D32B75" w:rsidRPr="007F2CD9">
        <w:t xml:space="preserve">aspects of the </w:t>
      </w:r>
      <w:r w:rsidR="00E85884" w:rsidRPr="007F2CD9">
        <w:t>program</w:t>
      </w:r>
      <w:r w:rsidR="00D32B75" w:rsidRPr="007F2CD9">
        <w:t xml:space="preserve"> are </w:t>
      </w:r>
      <w:r w:rsidR="00E85884" w:rsidRPr="007F2CD9">
        <w:t>analyzed</w:t>
      </w:r>
      <w:r w:rsidR="00D32B75" w:rsidRPr="007F2CD9">
        <w:t xml:space="preserve">. </w:t>
      </w:r>
    </w:p>
    <w:p w:rsidR="00D32B75" w:rsidRPr="007F2CD9" w:rsidRDefault="00D32B75" w:rsidP="006A0357">
      <w:pPr>
        <w:pStyle w:val="Paragraph"/>
      </w:pPr>
      <w:r w:rsidRPr="007F2CD9">
        <w:t xml:space="preserve">The evaluation timeframe, budget allocated for each main activity and source of funding are </w:t>
      </w:r>
      <w:r w:rsidR="00E85884" w:rsidRPr="007F2CD9">
        <w:t>presented</w:t>
      </w:r>
      <w:r w:rsidRPr="007F2CD9">
        <w:t xml:space="preserve"> in Table 5 below. </w:t>
      </w:r>
    </w:p>
    <w:p w:rsidR="001B5186" w:rsidRPr="007F2CD9" w:rsidRDefault="001B5186" w:rsidP="002E5E11">
      <w:pPr>
        <w:spacing w:after="0" w:line="360" w:lineRule="auto"/>
        <w:jc w:val="both"/>
        <w:textAlignment w:val="top"/>
        <w:rPr>
          <w:rFonts w:ascii="Times New Roman" w:eastAsia="Times New Roman" w:hAnsi="Times New Roman"/>
          <w:color w:val="000000"/>
          <w:sz w:val="24"/>
          <w:szCs w:val="24"/>
        </w:rPr>
      </w:pPr>
    </w:p>
    <w:p w:rsidR="002E5E11" w:rsidRPr="007F2CD9" w:rsidRDefault="002E5E11" w:rsidP="002E5E11">
      <w:pPr>
        <w:spacing w:after="0" w:line="360" w:lineRule="auto"/>
        <w:jc w:val="both"/>
        <w:textAlignment w:val="top"/>
        <w:rPr>
          <w:rFonts w:ascii="Times New Roman" w:eastAsia="Times New Roman" w:hAnsi="Times New Roman"/>
          <w:color w:val="000000"/>
          <w:sz w:val="24"/>
          <w:szCs w:val="24"/>
        </w:rPr>
        <w:sectPr w:rsidR="002E5E11" w:rsidRPr="007F2CD9" w:rsidSect="006A0357">
          <w:type w:val="continuous"/>
          <w:pgSz w:w="12240" w:h="15840"/>
          <w:pgMar w:top="1440" w:right="1627" w:bottom="1440" w:left="1440" w:header="720" w:footer="720" w:gutter="0"/>
          <w:cols w:space="720"/>
          <w:docGrid w:linePitch="360"/>
        </w:sectPr>
      </w:pPr>
    </w:p>
    <w:p w:rsidR="001B5186" w:rsidRPr="006A0357" w:rsidRDefault="001B5186" w:rsidP="001B5186">
      <w:pPr>
        <w:spacing w:after="0" w:line="360" w:lineRule="auto"/>
        <w:jc w:val="center"/>
        <w:rPr>
          <w:rFonts w:ascii="Times New Roman" w:hAnsi="Times New Roman"/>
          <w:b/>
          <w:sz w:val="20"/>
          <w:szCs w:val="20"/>
        </w:rPr>
      </w:pPr>
      <w:r w:rsidRPr="006A0357">
        <w:rPr>
          <w:rFonts w:ascii="Times New Roman" w:hAnsi="Times New Roman"/>
          <w:b/>
          <w:sz w:val="20"/>
          <w:szCs w:val="20"/>
        </w:rPr>
        <w:lastRenderedPageBreak/>
        <w:t>Table 5</w:t>
      </w:r>
      <w:r w:rsidR="006A0357" w:rsidRPr="006A0357">
        <w:rPr>
          <w:rFonts w:ascii="Times New Roman" w:hAnsi="Times New Roman"/>
          <w:b/>
          <w:sz w:val="20"/>
          <w:szCs w:val="20"/>
        </w:rPr>
        <w:t xml:space="preserve"> </w:t>
      </w:r>
      <w:r w:rsidRPr="006A0357">
        <w:rPr>
          <w:rFonts w:ascii="Times New Roman" w:hAnsi="Times New Roman"/>
          <w:b/>
          <w:sz w:val="20"/>
          <w:szCs w:val="20"/>
        </w:rPr>
        <w:t>Evaluation Work Plan</w:t>
      </w:r>
    </w:p>
    <w:tbl>
      <w:tblPr>
        <w:tblW w:w="13325" w:type="dxa"/>
        <w:tblInd w:w="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9"/>
        <w:gridCol w:w="415"/>
        <w:gridCol w:w="357"/>
        <w:gridCol w:w="357"/>
        <w:gridCol w:w="357"/>
        <w:gridCol w:w="357"/>
        <w:gridCol w:w="357"/>
        <w:gridCol w:w="358"/>
        <w:gridCol w:w="358"/>
        <w:gridCol w:w="358"/>
        <w:gridCol w:w="358"/>
        <w:gridCol w:w="358"/>
        <w:gridCol w:w="358"/>
        <w:gridCol w:w="358"/>
        <w:gridCol w:w="358"/>
        <w:gridCol w:w="358"/>
        <w:gridCol w:w="358"/>
        <w:gridCol w:w="358"/>
        <w:gridCol w:w="358"/>
        <w:gridCol w:w="358"/>
        <w:gridCol w:w="358"/>
        <w:gridCol w:w="1248"/>
        <w:gridCol w:w="1080"/>
        <w:gridCol w:w="1316"/>
      </w:tblGrid>
      <w:tr w:rsidR="00DF0330" w:rsidRPr="00364D6A" w:rsidTr="004824DC">
        <w:trPr>
          <w:trHeight w:val="20"/>
        </w:trPr>
        <w:tc>
          <w:tcPr>
            <w:tcW w:w="2469" w:type="dxa"/>
            <w:vMerge w:val="restart"/>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Key Evaluation Activities/Products per Activity</w:t>
            </w:r>
          </w:p>
        </w:tc>
        <w:tc>
          <w:tcPr>
            <w:tcW w:w="1486" w:type="dxa"/>
            <w:gridSpan w:val="4"/>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Year 1</w:t>
            </w:r>
          </w:p>
        </w:tc>
        <w:tc>
          <w:tcPr>
            <w:tcW w:w="1430" w:type="dxa"/>
            <w:gridSpan w:val="4"/>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Year 2</w:t>
            </w:r>
          </w:p>
        </w:tc>
        <w:tc>
          <w:tcPr>
            <w:tcW w:w="1432" w:type="dxa"/>
            <w:gridSpan w:val="4"/>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Year 3</w:t>
            </w:r>
          </w:p>
        </w:tc>
        <w:tc>
          <w:tcPr>
            <w:tcW w:w="1432" w:type="dxa"/>
            <w:gridSpan w:val="4"/>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Year 4</w:t>
            </w:r>
          </w:p>
        </w:tc>
        <w:tc>
          <w:tcPr>
            <w:tcW w:w="1432" w:type="dxa"/>
            <w:gridSpan w:val="4"/>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Year 5</w:t>
            </w:r>
          </w:p>
        </w:tc>
        <w:tc>
          <w:tcPr>
            <w:tcW w:w="1248" w:type="dxa"/>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Responsible</w:t>
            </w:r>
          </w:p>
        </w:tc>
        <w:tc>
          <w:tcPr>
            <w:tcW w:w="1080" w:type="dxa"/>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Costs (US$)</w:t>
            </w:r>
          </w:p>
        </w:tc>
        <w:tc>
          <w:tcPr>
            <w:tcW w:w="1316" w:type="dxa"/>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Funding</w:t>
            </w:r>
          </w:p>
        </w:tc>
      </w:tr>
      <w:tr w:rsidR="00DF0330" w:rsidRPr="00364D6A" w:rsidTr="004824DC">
        <w:trPr>
          <w:trHeight w:val="20"/>
        </w:trPr>
        <w:tc>
          <w:tcPr>
            <w:tcW w:w="2469" w:type="dxa"/>
            <w:vMerge/>
          </w:tcPr>
          <w:p w:rsidR="00DF0330" w:rsidRPr="00364D6A" w:rsidRDefault="00DF0330" w:rsidP="009932E4">
            <w:pPr>
              <w:spacing w:after="0" w:line="240" w:lineRule="auto"/>
              <w:rPr>
                <w:rFonts w:ascii="Times New Roman" w:eastAsia="Arial Unicode MS" w:hAnsi="Times New Roman"/>
                <w:iCs/>
                <w:sz w:val="20"/>
                <w:szCs w:val="20"/>
              </w:rPr>
            </w:pPr>
          </w:p>
        </w:tc>
        <w:tc>
          <w:tcPr>
            <w:tcW w:w="415"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1</w:t>
            </w:r>
          </w:p>
        </w:tc>
        <w:tc>
          <w:tcPr>
            <w:tcW w:w="357"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2</w:t>
            </w:r>
          </w:p>
        </w:tc>
        <w:tc>
          <w:tcPr>
            <w:tcW w:w="357"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3</w:t>
            </w:r>
          </w:p>
        </w:tc>
        <w:tc>
          <w:tcPr>
            <w:tcW w:w="357" w:type="dxa"/>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4</w:t>
            </w:r>
          </w:p>
        </w:tc>
        <w:tc>
          <w:tcPr>
            <w:tcW w:w="357" w:type="dxa"/>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1</w:t>
            </w:r>
          </w:p>
        </w:tc>
        <w:tc>
          <w:tcPr>
            <w:tcW w:w="357" w:type="dxa"/>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2</w:t>
            </w:r>
          </w:p>
        </w:tc>
        <w:tc>
          <w:tcPr>
            <w:tcW w:w="358" w:type="dxa"/>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3</w:t>
            </w:r>
          </w:p>
        </w:tc>
        <w:tc>
          <w:tcPr>
            <w:tcW w:w="358" w:type="dxa"/>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4</w:t>
            </w:r>
          </w:p>
        </w:tc>
        <w:tc>
          <w:tcPr>
            <w:tcW w:w="358" w:type="dxa"/>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1</w:t>
            </w:r>
          </w:p>
        </w:tc>
        <w:tc>
          <w:tcPr>
            <w:tcW w:w="358" w:type="dxa"/>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2</w:t>
            </w:r>
          </w:p>
        </w:tc>
        <w:tc>
          <w:tcPr>
            <w:tcW w:w="358" w:type="dxa"/>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3</w:t>
            </w:r>
          </w:p>
        </w:tc>
        <w:tc>
          <w:tcPr>
            <w:tcW w:w="358"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4</w:t>
            </w:r>
          </w:p>
        </w:tc>
        <w:tc>
          <w:tcPr>
            <w:tcW w:w="358"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1</w:t>
            </w:r>
          </w:p>
        </w:tc>
        <w:tc>
          <w:tcPr>
            <w:tcW w:w="358"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2</w:t>
            </w:r>
          </w:p>
        </w:tc>
        <w:tc>
          <w:tcPr>
            <w:tcW w:w="358"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3</w:t>
            </w:r>
          </w:p>
        </w:tc>
        <w:tc>
          <w:tcPr>
            <w:tcW w:w="358"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4</w:t>
            </w:r>
          </w:p>
        </w:tc>
        <w:tc>
          <w:tcPr>
            <w:tcW w:w="358"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1</w:t>
            </w:r>
          </w:p>
        </w:tc>
        <w:tc>
          <w:tcPr>
            <w:tcW w:w="358"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2</w:t>
            </w:r>
          </w:p>
        </w:tc>
        <w:tc>
          <w:tcPr>
            <w:tcW w:w="358"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3</w:t>
            </w:r>
          </w:p>
        </w:tc>
        <w:tc>
          <w:tcPr>
            <w:tcW w:w="358" w:type="dxa"/>
            <w:shd w:val="clear" w:color="auto" w:fill="auto"/>
          </w:tcPr>
          <w:p w:rsidR="00DF0330" w:rsidRPr="00364D6A" w:rsidRDefault="00DF0330"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4</w:t>
            </w:r>
          </w:p>
        </w:tc>
        <w:tc>
          <w:tcPr>
            <w:tcW w:w="1248" w:type="dxa"/>
          </w:tcPr>
          <w:p w:rsidR="00DF0330" w:rsidRPr="00364D6A" w:rsidRDefault="00DF0330" w:rsidP="009932E4">
            <w:pPr>
              <w:spacing w:after="0" w:line="240" w:lineRule="auto"/>
              <w:rPr>
                <w:rFonts w:ascii="Times New Roman" w:eastAsia="Arial Unicode MS" w:hAnsi="Times New Roman"/>
                <w:iCs/>
                <w:sz w:val="20"/>
                <w:szCs w:val="20"/>
              </w:rPr>
            </w:pPr>
          </w:p>
        </w:tc>
        <w:tc>
          <w:tcPr>
            <w:tcW w:w="1080" w:type="dxa"/>
          </w:tcPr>
          <w:p w:rsidR="00DF0330" w:rsidRPr="00364D6A" w:rsidRDefault="00DF0330" w:rsidP="009932E4">
            <w:pPr>
              <w:spacing w:after="0" w:line="240" w:lineRule="auto"/>
              <w:rPr>
                <w:rFonts w:ascii="Times New Roman" w:eastAsia="Arial Unicode MS" w:hAnsi="Times New Roman"/>
                <w:iCs/>
                <w:sz w:val="20"/>
                <w:szCs w:val="20"/>
              </w:rPr>
            </w:pPr>
          </w:p>
        </w:tc>
        <w:tc>
          <w:tcPr>
            <w:tcW w:w="1316" w:type="dxa"/>
          </w:tcPr>
          <w:p w:rsidR="00DF0330" w:rsidRPr="00364D6A" w:rsidRDefault="00DF0330" w:rsidP="009932E4">
            <w:pPr>
              <w:spacing w:after="0" w:line="240" w:lineRule="auto"/>
              <w:rPr>
                <w:rFonts w:ascii="Times New Roman" w:eastAsia="Arial Unicode MS" w:hAnsi="Times New Roman"/>
                <w:iCs/>
                <w:sz w:val="20"/>
                <w:szCs w:val="20"/>
              </w:rPr>
            </w:pPr>
          </w:p>
        </w:tc>
      </w:tr>
      <w:tr w:rsidR="000731AD" w:rsidRPr="00364D6A" w:rsidTr="007F2CD9">
        <w:trPr>
          <w:trHeight w:val="20"/>
        </w:trPr>
        <w:tc>
          <w:tcPr>
            <w:tcW w:w="13325" w:type="dxa"/>
            <w:gridSpan w:val="24"/>
          </w:tcPr>
          <w:p w:rsidR="000731AD" w:rsidRPr="00364D6A" w:rsidRDefault="000731AD" w:rsidP="009932E4">
            <w:pPr>
              <w:spacing w:after="0" w:line="240" w:lineRule="auto"/>
              <w:rPr>
                <w:rFonts w:ascii="Times New Roman" w:eastAsia="Arial Unicode MS" w:hAnsi="Times New Roman"/>
                <w:iCs/>
                <w:sz w:val="20"/>
                <w:szCs w:val="20"/>
              </w:rPr>
            </w:pPr>
            <w:r>
              <w:rPr>
                <w:rFonts w:ascii="Times New Roman" w:eastAsia="Arial Unicode MS" w:hAnsi="Times New Roman"/>
                <w:i/>
                <w:iCs/>
                <w:sz w:val="20"/>
                <w:szCs w:val="20"/>
              </w:rPr>
              <w:t>Mid-Term</w:t>
            </w:r>
            <w:r w:rsidRPr="00364D6A">
              <w:rPr>
                <w:rFonts w:ascii="Times New Roman" w:eastAsia="Arial Unicode MS" w:hAnsi="Times New Roman"/>
                <w:i/>
                <w:iCs/>
                <w:sz w:val="20"/>
                <w:szCs w:val="20"/>
              </w:rPr>
              <w:t xml:space="preserve"> Evaluation</w:t>
            </w:r>
          </w:p>
        </w:tc>
      </w:tr>
      <w:tr w:rsidR="009804C9" w:rsidRPr="00364D6A" w:rsidTr="004824DC">
        <w:trPr>
          <w:trHeight w:val="20"/>
        </w:trPr>
        <w:tc>
          <w:tcPr>
            <w:tcW w:w="2469" w:type="dxa"/>
          </w:tcPr>
          <w:p w:rsidR="009804C9" w:rsidRPr="00364D6A" w:rsidRDefault="009804C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Consultant contracted for mid-term </w:t>
            </w:r>
            <w:r w:rsidR="000731AD">
              <w:rPr>
                <w:rFonts w:ascii="Times New Roman" w:eastAsia="Arial Unicode MS" w:hAnsi="Times New Roman"/>
                <w:iCs/>
                <w:sz w:val="20"/>
                <w:szCs w:val="20"/>
              </w:rPr>
              <w:t xml:space="preserve">(complementary) </w:t>
            </w:r>
            <w:r w:rsidRPr="00364D6A">
              <w:rPr>
                <w:rFonts w:ascii="Times New Roman" w:eastAsia="Arial Unicode MS" w:hAnsi="Times New Roman"/>
                <w:iCs/>
                <w:sz w:val="20"/>
                <w:szCs w:val="20"/>
              </w:rPr>
              <w:t xml:space="preserve">evaluation </w:t>
            </w:r>
          </w:p>
        </w:tc>
        <w:tc>
          <w:tcPr>
            <w:tcW w:w="415"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7"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7"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7"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7"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7"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tcPr>
          <w:p w:rsidR="009804C9" w:rsidRPr="00364D6A" w:rsidRDefault="009804C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1248" w:type="dxa"/>
          </w:tcPr>
          <w:p w:rsidR="009804C9" w:rsidRPr="00364D6A" w:rsidRDefault="00524679" w:rsidP="009932E4">
            <w:pPr>
              <w:spacing w:after="0" w:line="240" w:lineRule="auto"/>
              <w:rPr>
                <w:rFonts w:ascii="Times New Roman" w:eastAsia="Arial Unicode MS" w:hAnsi="Times New Roman"/>
                <w:iCs/>
                <w:sz w:val="20"/>
                <w:szCs w:val="20"/>
                <w:lang w:val="fr-FR"/>
              </w:rPr>
            </w:pPr>
            <w:r>
              <w:rPr>
                <w:rFonts w:ascii="Times New Roman" w:eastAsia="Arial Unicode MS" w:hAnsi="Times New Roman"/>
                <w:iCs/>
                <w:sz w:val="20"/>
                <w:szCs w:val="20"/>
                <w:lang w:val="fr-FR"/>
              </w:rPr>
              <w:t>MEWR/ PEU</w:t>
            </w:r>
          </w:p>
        </w:tc>
        <w:tc>
          <w:tcPr>
            <w:tcW w:w="1080" w:type="dxa"/>
            <w:vMerge w:val="restart"/>
          </w:tcPr>
          <w:p w:rsidR="009804C9" w:rsidRDefault="00F53128" w:rsidP="009932E4">
            <w:pPr>
              <w:spacing w:after="0" w:line="240" w:lineRule="auto"/>
              <w:rPr>
                <w:rFonts w:ascii="Times New Roman" w:eastAsia="Arial Unicode MS" w:hAnsi="Times New Roman"/>
                <w:iCs/>
                <w:sz w:val="20"/>
                <w:szCs w:val="20"/>
              </w:rPr>
            </w:pPr>
            <w:r>
              <w:rPr>
                <w:rFonts w:ascii="Times New Roman" w:eastAsia="Arial Unicode MS" w:hAnsi="Times New Roman"/>
                <w:iCs/>
                <w:sz w:val="20"/>
                <w:szCs w:val="20"/>
              </w:rPr>
              <w:t>30</w:t>
            </w:r>
            <w:r w:rsidR="009804C9" w:rsidRPr="00364D6A">
              <w:rPr>
                <w:rFonts w:ascii="Times New Roman" w:eastAsia="Arial Unicode MS" w:hAnsi="Times New Roman"/>
                <w:iCs/>
                <w:sz w:val="20"/>
                <w:szCs w:val="20"/>
              </w:rPr>
              <w:t>,000</w:t>
            </w:r>
          </w:p>
          <w:p w:rsidR="00D10637" w:rsidRDefault="00D10637" w:rsidP="009932E4">
            <w:pPr>
              <w:spacing w:after="0" w:line="240" w:lineRule="auto"/>
              <w:rPr>
                <w:rFonts w:ascii="Times New Roman" w:eastAsia="Arial Unicode MS" w:hAnsi="Times New Roman"/>
                <w:iCs/>
                <w:sz w:val="20"/>
                <w:szCs w:val="20"/>
              </w:rPr>
            </w:pPr>
          </w:p>
          <w:p w:rsidR="00D10637" w:rsidRPr="00364D6A" w:rsidRDefault="00D10637" w:rsidP="009932E4">
            <w:pPr>
              <w:spacing w:after="0" w:line="240" w:lineRule="auto"/>
              <w:rPr>
                <w:rFonts w:ascii="Times New Roman" w:eastAsia="Arial Unicode MS" w:hAnsi="Times New Roman"/>
                <w:iCs/>
                <w:sz w:val="20"/>
                <w:szCs w:val="20"/>
              </w:rPr>
            </w:pPr>
            <w:r>
              <w:rPr>
                <w:rFonts w:ascii="Times New Roman" w:eastAsia="Arial Unicode MS" w:hAnsi="Times New Roman"/>
                <w:iCs/>
                <w:sz w:val="20"/>
                <w:szCs w:val="20"/>
              </w:rPr>
              <w:t>?</w:t>
            </w:r>
          </w:p>
        </w:tc>
        <w:tc>
          <w:tcPr>
            <w:tcW w:w="1316" w:type="dxa"/>
            <w:vMerge w:val="restart"/>
          </w:tcPr>
          <w:p w:rsidR="009804C9" w:rsidRPr="00364D6A" w:rsidRDefault="009804C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Loan resources (included in the budget line “Program Evaluation”)</w:t>
            </w:r>
          </w:p>
        </w:tc>
      </w:tr>
      <w:tr w:rsidR="009804C9" w:rsidRPr="00364D6A" w:rsidTr="004824DC">
        <w:trPr>
          <w:trHeight w:val="20"/>
        </w:trPr>
        <w:tc>
          <w:tcPr>
            <w:tcW w:w="2469" w:type="dxa"/>
          </w:tcPr>
          <w:p w:rsidR="009804C9" w:rsidRPr="00364D6A" w:rsidRDefault="009804C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Mid-term evaluation completion </w:t>
            </w:r>
          </w:p>
        </w:tc>
        <w:tc>
          <w:tcPr>
            <w:tcW w:w="415"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7"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7"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7"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7"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7"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tcPr>
          <w:p w:rsidR="009804C9" w:rsidRPr="00364D6A" w:rsidRDefault="009804C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358" w:type="dxa"/>
            <w:shd w:val="clear" w:color="auto" w:fill="auto"/>
          </w:tcPr>
          <w:p w:rsidR="009804C9" w:rsidRPr="00364D6A" w:rsidRDefault="009804C9" w:rsidP="009932E4">
            <w:pPr>
              <w:spacing w:after="0" w:line="240" w:lineRule="auto"/>
              <w:rPr>
                <w:rFonts w:ascii="Times New Roman" w:eastAsia="Arial Unicode MS" w:hAnsi="Times New Roman"/>
                <w:iCs/>
                <w:sz w:val="20"/>
                <w:szCs w:val="20"/>
              </w:rPr>
            </w:pPr>
          </w:p>
        </w:tc>
        <w:tc>
          <w:tcPr>
            <w:tcW w:w="1248" w:type="dxa"/>
          </w:tcPr>
          <w:p w:rsidR="009804C9" w:rsidRPr="00364D6A" w:rsidRDefault="009804C9" w:rsidP="00524679">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Consultant contracted by </w:t>
            </w:r>
            <w:r w:rsidR="00524679">
              <w:rPr>
                <w:rFonts w:ascii="Times New Roman" w:eastAsia="Arial Unicode MS" w:hAnsi="Times New Roman"/>
                <w:iCs/>
                <w:sz w:val="20"/>
                <w:szCs w:val="20"/>
              </w:rPr>
              <w:t>MEWR</w:t>
            </w:r>
          </w:p>
        </w:tc>
        <w:tc>
          <w:tcPr>
            <w:tcW w:w="1080" w:type="dxa"/>
            <w:vMerge/>
          </w:tcPr>
          <w:p w:rsidR="009804C9" w:rsidRPr="00364D6A" w:rsidRDefault="009804C9" w:rsidP="009932E4">
            <w:pPr>
              <w:spacing w:after="0" w:line="240" w:lineRule="auto"/>
              <w:rPr>
                <w:rFonts w:ascii="Times New Roman" w:eastAsia="Arial Unicode MS" w:hAnsi="Times New Roman"/>
                <w:iCs/>
                <w:sz w:val="20"/>
                <w:szCs w:val="20"/>
              </w:rPr>
            </w:pPr>
          </w:p>
        </w:tc>
        <w:tc>
          <w:tcPr>
            <w:tcW w:w="1316" w:type="dxa"/>
            <w:vMerge/>
          </w:tcPr>
          <w:p w:rsidR="009804C9" w:rsidRPr="00364D6A" w:rsidRDefault="009804C9" w:rsidP="009932E4">
            <w:pPr>
              <w:spacing w:after="0" w:line="240" w:lineRule="auto"/>
              <w:rPr>
                <w:rFonts w:ascii="Times New Roman" w:eastAsia="Arial Unicode MS" w:hAnsi="Times New Roman"/>
                <w:iCs/>
                <w:sz w:val="20"/>
                <w:szCs w:val="20"/>
              </w:rPr>
            </w:pPr>
          </w:p>
        </w:tc>
      </w:tr>
      <w:tr w:rsidR="000731AD" w:rsidRPr="00364D6A" w:rsidTr="007F2CD9">
        <w:trPr>
          <w:trHeight w:val="20"/>
        </w:trPr>
        <w:tc>
          <w:tcPr>
            <w:tcW w:w="13325" w:type="dxa"/>
            <w:gridSpan w:val="24"/>
          </w:tcPr>
          <w:p w:rsidR="000731AD" w:rsidRPr="00364D6A" w:rsidRDefault="000731AD" w:rsidP="007F2CD9">
            <w:pPr>
              <w:spacing w:after="0" w:line="240" w:lineRule="auto"/>
              <w:rPr>
                <w:rFonts w:ascii="Times New Roman" w:eastAsia="Arial Unicode MS" w:hAnsi="Times New Roman"/>
                <w:iCs/>
                <w:sz w:val="20"/>
                <w:szCs w:val="20"/>
              </w:rPr>
            </w:pPr>
            <w:r w:rsidRPr="00364D6A">
              <w:rPr>
                <w:rFonts w:ascii="Times New Roman" w:eastAsia="Arial Unicode MS" w:hAnsi="Times New Roman"/>
                <w:i/>
                <w:iCs/>
                <w:sz w:val="20"/>
                <w:szCs w:val="20"/>
              </w:rPr>
              <w:t xml:space="preserve">Ex-post economic </w:t>
            </w:r>
            <w:r>
              <w:rPr>
                <w:rFonts w:ascii="Times New Roman" w:eastAsia="Arial Unicode MS" w:hAnsi="Times New Roman"/>
                <w:i/>
                <w:iCs/>
                <w:sz w:val="20"/>
                <w:szCs w:val="20"/>
              </w:rPr>
              <w:t xml:space="preserve">and final </w:t>
            </w:r>
            <w:r w:rsidRPr="00364D6A">
              <w:rPr>
                <w:rFonts w:ascii="Times New Roman" w:eastAsia="Arial Unicode MS" w:hAnsi="Times New Roman"/>
                <w:i/>
                <w:iCs/>
                <w:sz w:val="20"/>
                <w:szCs w:val="20"/>
              </w:rPr>
              <w:t>evaluation</w:t>
            </w:r>
          </w:p>
        </w:tc>
      </w:tr>
      <w:tr w:rsidR="000731AD" w:rsidRPr="00364D6A" w:rsidTr="007F2CD9">
        <w:trPr>
          <w:trHeight w:val="20"/>
        </w:trPr>
        <w:tc>
          <w:tcPr>
            <w:tcW w:w="2469" w:type="dxa"/>
          </w:tcPr>
          <w:p w:rsidR="000731AD" w:rsidRPr="00364D6A" w:rsidRDefault="000731AD" w:rsidP="007F2CD9">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Consultant contracted </w:t>
            </w:r>
            <w:r>
              <w:rPr>
                <w:rFonts w:ascii="Times New Roman" w:eastAsia="Arial Unicode MS" w:hAnsi="Times New Roman"/>
                <w:iCs/>
                <w:sz w:val="20"/>
                <w:szCs w:val="20"/>
              </w:rPr>
              <w:t xml:space="preserve">for final and ex-post evaluation </w:t>
            </w:r>
          </w:p>
        </w:tc>
        <w:tc>
          <w:tcPr>
            <w:tcW w:w="415"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1248" w:type="dxa"/>
          </w:tcPr>
          <w:p w:rsidR="000731AD" w:rsidRPr="00364D6A" w:rsidRDefault="00D10637" w:rsidP="007F2CD9">
            <w:pPr>
              <w:spacing w:after="0" w:line="240" w:lineRule="auto"/>
              <w:rPr>
                <w:rFonts w:ascii="Times New Roman" w:eastAsia="Arial Unicode MS" w:hAnsi="Times New Roman"/>
                <w:iCs/>
                <w:sz w:val="20"/>
                <w:szCs w:val="20"/>
                <w:lang w:val="fr-FR"/>
              </w:rPr>
            </w:pPr>
            <w:r>
              <w:rPr>
                <w:rFonts w:ascii="Times New Roman" w:eastAsia="Arial Unicode MS" w:hAnsi="Times New Roman"/>
                <w:iCs/>
                <w:sz w:val="20"/>
                <w:szCs w:val="20"/>
                <w:lang w:val="fr-FR"/>
              </w:rPr>
              <w:t>MEWR/ PEU</w:t>
            </w:r>
          </w:p>
        </w:tc>
        <w:tc>
          <w:tcPr>
            <w:tcW w:w="1080" w:type="dxa"/>
            <w:vMerge w:val="restart"/>
          </w:tcPr>
          <w:p w:rsidR="000731AD" w:rsidRDefault="000731AD" w:rsidP="007F2CD9">
            <w:pPr>
              <w:spacing w:after="0" w:line="240" w:lineRule="auto"/>
              <w:rPr>
                <w:rFonts w:ascii="Times New Roman" w:eastAsia="Arial Unicode MS" w:hAnsi="Times New Roman"/>
                <w:iCs/>
                <w:sz w:val="20"/>
                <w:szCs w:val="20"/>
              </w:rPr>
            </w:pPr>
            <w:r>
              <w:rPr>
                <w:rFonts w:ascii="Times New Roman" w:eastAsia="Arial Unicode MS" w:hAnsi="Times New Roman"/>
                <w:iCs/>
                <w:sz w:val="20"/>
                <w:szCs w:val="20"/>
              </w:rPr>
              <w:t>5</w:t>
            </w:r>
            <w:r w:rsidR="00F53128">
              <w:rPr>
                <w:rFonts w:ascii="Times New Roman" w:eastAsia="Arial Unicode MS" w:hAnsi="Times New Roman"/>
                <w:iCs/>
                <w:sz w:val="20"/>
                <w:szCs w:val="20"/>
              </w:rPr>
              <w:t>5</w:t>
            </w:r>
            <w:r w:rsidRPr="00364D6A">
              <w:rPr>
                <w:rFonts w:ascii="Times New Roman" w:eastAsia="Arial Unicode MS" w:hAnsi="Times New Roman"/>
                <w:iCs/>
                <w:sz w:val="20"/>
                <w:szCs w:val="20"/>
              </w:rPr>
              <w:t>,000</w:t>
            </w:r>
          </w:p>
          <w:p w:rsidR="00D10637" w:rsidRDefault="00D10637" w:rsidP="007F2CD9">
            <w:pPr>
              <w:spacing w:after="0" w:line="240" w:lineRule="auto"/>
              <w:rPr>
                <w:rFonts w:ascii="Times New Roman" w:eastAsia="Arial Unicode MS" w:hAnsi="Times New Roman"/>
                <w:iCs/>
                <w:sz w:val="20"/>
                <w:szCs w:val="20"/>
              </w:rPr>
            </w:pPr>
          </w:p>
          <w:p w:rsidR="00D10637" w:rsidRPr="00364D6A" w:rsidRDefault="00D10637" w:rsidP="007F2CD9">
            <w:pPr>
              <w:spacing w:after="0" w:line="240" w:lineRule="auto"/>
              <w:rPr>
                <w:rFonts w:ascii="Times New Roman" w:eastAsia="Arial Unicode MS" w:hAnsi="Times New Roman"/>
                <w:iCs/>
                <w:sz w:val="20"/>
                <w:szCs w:val="20"/>
              </w:rPr>
            </w:pPr>
            <w:r>
              <w:rPr>
                <w:rFonts w:ascii="Times New Roman" w:eastAsia="Arial Unicode MS" w:hAnsi="Times New Roman"/>
                <w:iCs/>
                <w:sz w:val="20"/>
                <w:szCs w:val="20"/>
              </w:rPr>
              <w:t>?</w:t>
            </w:r>
          </w:p>
        </w:tc>
        <w:tc>
          <w:tcPr>
            <w:tcW w:w="1316" w:type="dxa"/>
            <w:vMerge w:val="restart"/>
          </w:tcPr>
          <w:p w:rsidR="000731AD" w:rsidRPr="00364D6A" w:rsidRDefault="000731AD" w:rsidP="007F2CD9">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Loan resources (included in the budget line “Program Evaluation”)</w:t>
            </w:r>
          </w:p>
        </w:tc>
      </w:tr>
      <w:tr w:rsidR="000731AD" w:rsidRPr="00364D6A" w:rsidTr="007F2CD9">
        <w:trPr>
          <w:trHeight w:val="20"/>
        </w:trPr>
        <w:tc>
          <w:tcPr>
            <w:tcW w:w="2469" w:type="dxa"/>
          </w:tcPr>
          <w:p w:rsidR="000731AD" w:rsidRPr="00364D6A" w:rsidRDefault="000731AD" w:rsidP="007F2CD9">
            <w:pPr>
              <w:spacing w:after="0" w:line="240" w:lineRule="auto"/>
              <w:rPr>
                <w:rFonts w:ascii="Times New Roman" w:eastAsia="Arial Unicode MS" w:hAnsi="Times New Roman"/>
                <w:iCs/>
                <w:sz w:val="20"/>
                <w:szCs w:val="20"/>
              </w:rPr>
            </w:pPr>
            <w:r>
              <w:rPr>
                <w:rFonts w:ascii="Times New Roman" w:eastAsia="Arial Unicode MS" w:hAnsi="Times New Roman"/>
                <w:iCs/>
                <w:sz w:val="20"/>
                <w:szCs w:val="20"/>
              </w:rPr>
              <w:t xml:space="preserve">Data collected </w:t>
            </w:r>
            <w:r w:rsidR="005430CB">
              <w:rPr>
                <w:rFonts w:ascii="Times New Roman" w:eastAsia="Arial Unicode MS" w:hAnsi="Times New Roman"/>
                <w:iCs/>
                <w:sz w:val="20"/>
                <w:szCs w:val="20"/>
              </w:rPr>
              <w:t>(updated traffic costs and investment costs ex post)</w:t>
            </w:r>
          </w:p>
        </w:tc>
        <w:tc>
          <w:tcPr>
            <w:tcW w:w="415"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r>
              <w:rPr>
                <w:rFonts w:ascii="Times New Roman" w:eastAsia="Arial Unicode MS" w:hAnsi="Times New Roman"/>
                <w:iCs/>
                <w:sz w:val="20"/>
                <w:szCs w:val="20"/>
              </w:rPr>
              <w:t>X</w:t>
            </w: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124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1080" w:type="dxa"/>
            <w:vMerge/>
          </w:tcPr>
          <w:p w:rsidR="000731AD" w:rsidRPr="00364D6A" w:rsidRDefault="000731AD" w:rsidP="007F2CD9">
            <w:pPr>
              <w:spacing w:after="0" w:line="240" w:lineRule="auto"/>
              <w:rPr>
                <w:rFonts w:ascii="Times New Roman" w:eastAsia="Arial Unicode MS" w:hAnsi="Times New Roman"/>
                <w:iCs/>
                <w:sz w:val="20"/>
                <w:szCs w:val="20"/>
              </w:rPr>
            </w:pPr>
          </w:p>
        </w:tc>
        <w:tc>
          <w:tcPr>
            <w:tcW w:w="1316" w:type="dxa"/>
            <w:vMerge/>
          </w:tcPr>
          <w:p w:rsidR="000731AD" w:rsidRPr="00364D6A" w:rsidRDefault="000731AD" w:rsidP="007F2CD9">
            <w:pPr>
              <w:spacing w:after="0" w:line="240" w:lineRule="auto"/>
              <w:rPr>
                <w:rFonts w:ascii="Times New Roman" w:eastAsia="Arial Unicode MS" w:hAnsi="Times New Roman"/>
                <w:iCs/>
                <w:sz w:val="20"/>
                <w:szCs w:val="20"/>
              </w:rPr>
            </w:pPr>
          </w:p>
        </w:tc>
      </w:tr>
      <w:tr w:rsidR="000731AD" w:rsidRPr="00364D6A" w:rsidTr="007F2CD9">
        <w:trPr>
          <w:trHeight w:val="20"/>
        </w:trPr>
        <w:tc>
          <w:tcPr>
            <w:tcW w:w="2469" w:type="dxa"/>
          </w:tcPr>
          <w:p w:rsidR="000731AD" w:rsidRPr="00364D6A" w:rsidRDefault="000731AD" w:rsidP="007F2CD9">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Data analysis and report preparation </w:t>
            </w:r>
          </w:p>
        </w:tc>
        <w:tc>
          <w:tcPr>
            <w:tcW w:w="415"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7"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58" w:type="dxa"/>
            <w:shd w:val="clear" w:color="auto" w:fill="auto"/>
          </w:tcPr>
          <w:p w:rsidR="000731AD" w:rsidRPr="00364D6A" w:rsidRDefault="000731AD" w:rsidP="007F2CD9">
            <w:pPr>
              <w:spacing w:after="0" w:line="240" w:lineRule="auto"/>
              <w:rPr>
                <w:rFonts w:ascii="Times New Roman" w:eastAsia="Arial Unicode MS" w:hAnsi="Times New Roman"/>
                <w:iCs/>
                <w:sz w:val="20"/>
                <w:szCs w:val="20"/>
              </w:rPr>
            </w:pPr>
          </w:p>
        </w:tc>
        <w:tc>
          <w:tcPr>
            <w:tcW w:w="1248" w:type="dxa"/>
          </w:tcPr>
          <w:p w:rsidR="000731AD" w:rsidRPr="00364D6A" w:rsidRDefault="000731AD" w:rsidP="00D10637">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Consultant contracted by </w:t>
            </w:r>
            <w:r w:rsidR="00D10637">
              <w:rPr>
                <w:rFonts w:ascii="Times New Roman" w:eastAsia="Arial Unicode MS" w:hAnsi="Times New Roman"/>
                <w:iCs/>
                <w:sz w:val="20"/>
                <w:szCs w:val="20"/>
              </w:rPr>
              <w:t>MEWR</w:t>
            </w:r>
            <w:r w:rsidRPr="00364D6A">
              <w:rPr>
                <w:rFonts w:ascii="Times New Roman" w:eastAsia="Arial Unicode MS" w:hAnsi="Times New Roman"/>
                <w:iCs/>
                <w:sz w:val="20"/>
                <w:szCs w:val="20"/>
              </w:rPr>
              <w:t xml:space="preserve"> </w:t>
            </w:r>
          </w:p>
        </w:tc>
        <w:tc>
          <w:tcPr>
            <w:tcW w:w="1080" w:type="dxa"/>
            <w:vMerge/>
          </w:tcPr>
          <w:p w:rsidR="000731AD" w:rsidRPr="00364D6A" w:rsidRDefault="000731AD" w:rsidP="007F2CD9">
            <w:pPr>
              <w:spacing w:after="0" w:line="240" w:lineRule="auto"/>
              <w:rPr>
                <w:rFonts w:ascii="Times New Roman" w:eastAsia="Arial Unicode MS" w:hAnsi="Times New Roman"/>
                <w:iCs/>
                <w:sz w:val="20"/>
                <w:szCs w:val="20"/>
              </w:rPr>
            </w:pPr>
          </w:p>
        </w:tc>
        <w:tc>
          <w:tcPr>
            <w:tcW w:w="1316" w:type="dxa"/>
            <w:vMerge/>
          </w:tcPr>
          <w:p w:rsidR="000731AD" w:rsidRPr="00364D6A" w:rsidRDefault="000731AD" w:rsidP="007F2CD9">
            <w:pPr>
              <w:spacing w:after="0" w:line="240" w:lineRule="auto"/>
              <w:rPr>
                <w:rFonts w:ascii="Times New Roman" w:eastAsia="Arial Unicode MS" w:hAnsi="Times New Roman"/>
                <w:iCs/>
                <w:sz w:val="20"/>
                <w:szCs w:val="20"/>
              </w:rPr>
            </w:pPr>
          </w:p>
        </w:tc>
      </w:tr>
      <w:tr w:rsidR="000731AD" w:rsidRPr="00364D6A" w:rsidTr="004824DC">
        <w:trPr>
          <w:trHeight w:val="20"/>
        </w:trPr>
        <w:tc>
          <w:tcPr>
            <w:tcW w:w="2469" w:type="dxa"/>
          </w:tcPr>
          <w:p w:rsidR="000731AD" w:rsidRPr="00364D6A" w:rsidRDefault="000731AD"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Final evaluation completion </w:t>
            </w:r>
          </w:p>
        </w:tc>
        <w:tc>
          <w:tcPr>
            <w:tcW w:w="415"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p>
        </w:tc>
        <w:tc>
          <w:tcPr>
            <w:tcW w:w="357"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p>
        </w:tc>
        <w:tc>
          <w:tcPr>
            <w:tcW w:w="357"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p>
        </w:tc>
        <w:tc>
          <w:tcPr>
            <w:tcW w:w="357" w:type="dxa"/>
          </w:tcPr>
          <w:p w:rsidR="000731AD" w:rsidRPr="00364D6A" w:rsidRDefault="000731AD" w:rsidP="009932E4">
            <w:pPr>
              <w:spacing w:after="0" w:line="240" w:lineRule="auto"/>
              <w:rPr>
                <w:rFonts w:ascii="Times New Roman" w:eastAsia="Arial Unicode MS" w:hAnsi="Times New Roman"/>
                <w:iCs/>
                <w:sz w:val="20"/>
                <w:szCs w:val="20"/>
              </w:rPr>
            </w:pPr>
          </w:p>
        </w:tc>
        <w:tc>
          <w:tcPr>
            <w:tcW w:w="357" w:type="dxa"/>
          </w:tcPr>
          <w:p w:rsidR="000731AD" w:rsidRPr="00364D6A" w:rsidRDefault="000731AD" w:rsidP="009932E4">
            <w:pPr>
              <w:spacing w:after="0" w:line="240" w:lineRule="auto"/>
              <w:rPr>
                <w:rFonts w:ascii="Times New Roman" w:eastAsia="Arial Unicode MS" w:hAnsi="Times New Roman"/>
                <w:iCs/>
                <w:sz w:val="20"/>
                <w:szCs w:val="20"/>
              </w:rPr>
            </w:pPr>
          </w:p>
        </w:tc>
        <w:tc>
          <w:tcPr>
            <w:tcW w:w="357" w:type="dxa"/>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p>
        </w:tc>
        <w:tc>
          <w:tcPr>
            <w:tcW w:w="358"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X</w:t>
            </w:r>
          </w:p>
        </w:tc>
        <w:tc>
          <w:tcPr>
            <w:tcW w:w="358" w:type="dxa"/>
            <w:shd w:val="clear" w:color="auto" w:fill="auto"/>
          </w:tcPr>
          <w:p w:rsidR="000731AD" w:rsidRPr="00364D6A" w:rsidRDefault="000731AD" w:rsidP="009932E4">
            <w:pPr>
              <w:spacing w:after="0" w:line="240" w:lineRule="auto"/>
              <w:rPr>
                <w:rFonts w:ascii="Times New Roman" w:eastAsia="Arial Unicode MS" w:hAnsi="Times New Roman"/>
                <w:iCs/>
                <w:sz w:val="20"/>
                <w:szCs w:val="20"/>
              </w:rPr>
            </w:pPr>
          </w:p>
        </w:tc>
        <w:tc>
          <w:tcPr>
            <w:tcW w:w="1248" w:type="dxa"/>
          </w:tcPr>
          <w:p w:rsidR="000731AD" w:rsidRPr="00364D6A" w:rsidRDefault="000731AD" w:rsidP="00D10637">
            <w:pPr>
              <w:spacing w:after="0" w:line="240" w:lineRule="auto"/>
              <w:rPr>
                <w:rFonts w:ascii="Times New Roman" w:eastAsia="Arial Unicode MS" w:hAnsi="Times New Roman"/>
                <w:iCs/>
                <w:sz w:val="20"/>
                <w:szCs w:val="20"/>
              </w:rPr>
            </w:pPr>
            <w:r w:rsidRPr="00364D6A">
              <w:rPr>
                <w:rFonts w:ascii="Times New Roman" w:eastAsia="Arial Unicode MS" w:hAnsi="Times New Roman"/>
                <w:iCs/>
                <w:sz w:val="20"/>
                <w:szCs w:val="20"/>
              </w:rPr>
              <w:t xml:space="preserve">Consultant contracted by </w:t>
            </w:r>
            <w:r w:rsidR="00D10637">
              <w:rPr>
                <w:rFonts w:ascii="Times New Roman" w:eastAsia="Arial Unicode MS" w:hAnsi="Times New Roman"/>
                <w:iCs/>
                <w:sz w:val="20"/>
                <w:szCs w:val="20"/>
              </w:rPr>
              <w:t>MEWR</w:t>
            </w:r>
          </w:p>
        </w:tc>
        <w:tc>
          <w:tcPr>
            <w:tcW w:w="1080" w:type="dxa"/>
            <w:vMerge/>
          </w:tcPr>
          <w:p w:rsidR="000731AD" w:rsidRPr="00364D6A" w:rsidRDefault="000731AD" w:rsidP="009932E4">
            <w:pPr>
              <w:spacing w:after="0" w:line="240" w:lineRule="auto"/>
              <w:rPr>
                <w:rFonts w:ascii="Times New Roman" w:eastAsia="Arial Unicode MS" w:hAnsi="Times New Roman"/>
                <w:iCs/>
                <w:sz w:val="20"/>
                <w:szCs w:val="20"/>
              </w:rPr>
            </w:pPr>
          </w:p>
        </w:tc>
        <w:tc>
          <w:tcPr>
            <w:tcW w:w="1316" w:type="dxa"/>
            <w:vMerge/>
          </w:tcPr>
          <w:p w:rsidR="000731AD" w:rsidRPr="00364D6A" w:rsidRDefault="000731AD" w:rsidP="009932E4">
            <w:pPr>
              <w:spacing w:after="0" w:line="240" w:lineRule="auto"/>
              <w:rPr>
                <w:rFonts w:ascii="Times New Roman" w:eastAsia="Arial Unicode MS" w:hAnsi="Times New Roman"/>
                <w:iCs/>
                <w:sz w:val="20"/>
                <w:szCs w:val="20"/>
              </w:rPr>
            </w:pPr>
          </w:p>
        </w:tc>
      </w:tr>
    </w:tbl>
    <w:p w:rsidR="000731AD" w:rsidRDefault="000731AD" w:rsidP="009932E4">
      <w:pPr>
        <w:spacing w:after="0" w:line="240" w:lineRule="auto"/>
        <w:ind w:left="360"/>
        <w:jc w:val="both"/>
        <w:rPr>
          <w:rFonts w:ascii="Times New Roman" w:hAnsi="Times New Roman"/>
          <w:sz w:val="20"/>
          <w:szCs w:val="20"/>
        </w:rPr>
      </w:pPr>
    </w:p>
    <w:p w:rsidR="001B5186" w:rsidRDefault="009804C9" w:rsidP="009932E4">
      <w:pPr>
        <w:spacing w:after="0" w:line="240" w:lineRule="auto"/>
        <w:ind w:left="360"/>
        <w:jc w:val="both"/>
        <w:rPr>
          <w:rFonts w:ascii="Times New Roman" w:hAnsi="Times New Roman"/>
          <w:sz w:val="20"/>
          <w:szCs w:val="20"/>
        </w:rPr>
      </w:pPr>
      <w:r w:rsidRPr="00364D6A">
        <w:rPr>
          <w:rFonts w:ascii="Times New Roman" w:hAnsi="Times New Roman"/>
          <w:sz w:val="20"/>
          <w:szCs w:val="20"/>
        </w:rPr>
        <w:t>As explained above, the ex-post economic evaluation will be part of the final evaluation.</w:t>
      </w:r>
      <w:r w:rsidRPr="009932E4">
        <w:rPr>
          <w:rFonts w:ascii="Times New Roman" w:hAnsi="Times New Roman"/>
          <w:sz w:val="20"/>
          <w:szCs w:val="20"/>
        </w:rPr>
        <w:t xml:space="preserve"> </w:t>
      </w:r>
    </w:p>
    <w:p w:rsidR="0095495D" w:rsidRDefault="0095495D" w:rsidP="009932E4">
      <w:pPr>
        <w:spacing w:after="0" w:line="240" w:lineRule="auto"/>
        <w:ind w:left="360"/>
        <w:jc w:val="both"/>
        <w:rPr>
          <w:rFonts w:ascii="Times New Roman" w:hAnsi="Times New Roman"/>
          <w:sz w:val="20"/>
          <w:szCs w:val="20"/>
        </w:rPr>
      </w:pPr>
    </w:p>
    <w:p w:rsidR="000731AD" w:rsidRDefault="000731AD" w:rsidP="009932E4">
      <w:pPr>
        <w:spacing w:after="0" w:line="240" w:lineRule="auto"/>
        <w:ind w:left="360"/>
        <w:jc w:val="both"/>
        <w:rPr>
          <w:rFonts w:ascii="Times New Roman" w:hAnsi="Times New Roman"/>
          <w:sz w:val="20"/>
          <w:szCs w:val="20"/>
        </w:rPr>
      </w:pPr>
    </w:p>
    <w:p w:rsidR="000731AD" w:rsidRDefault="000731AD" w:rsidP="009932E4">
      <w:pPr>
        <w:spacing w:after="0" w:line="240" w:lineRule="auto"/>
        <w:ind w:left="360"/>
        <w:jc w:val="both"/>
        <w:rPr>
          <w:rFonts w:ascii="Times New Roman" w:hAnsi="Times New Roman"/>
          <w:sz w:val="20"/>
          <w:szCs w:val="20"/>
        </w:rPr>
      </w:pPr>
    </w:p>
    <w:p w:rsidR="000731AD" w:rsidRDefault="000731AD" w:rsidP="009932E4">
      <w:pPr>
        <w:spacing w:after="0" w:line="240" w:lineRule="auto"/>
        <w:ind w:left="360"/>
        <w:jc w:val="both"/>
        <w:rPr>
          <w:rFonts w:ascii="Times New Roman" w:hAnsi="Times New Roman"/>
          <w:sz w:val="20"/>
          <w:szCs w:val="20"/>
        </w:rPr>
      </w:pPr>
    </w:p>
    <w:p w:rsidR="000731AD" w:rsidRDefault="000731AD" w:rsidP="009932E4">
      <w:pPr>
        <w:spacing w:after="0" w:line="240" w:lineRule="auto"/>
        <w:ind w:left="360"/>
        <w:jc w:val="both"/>
        <w:rPr>
          <w:rFonts w:ascii="Times New Roman" w:hAnsi="Times New Roman"/>
          <w:sz w:val="20"/>
          <w:szCs w:val="20"/>
        </w:rPr>
      </w:pPr>
    </w:p>
    <w:p w:rsidR="000731AD" w:rsidRDefault="000731AD" w:rsidP="009932E4">
      <w:pPr>
        <w:spacing w:after="0" w:line="240" w:lineRule="auto"/>
        <w:ind w:left="360"/>
        <w:jc w:val="both"/>
        <w:rPr>
          <w:rFonts w:ascii="Times New Roman" w:hAnsi="Times New Roman"/>
          <w:sz w:val="20"/>
          <w:szCs w:val="20"/>
        </w:rPr>
      </w:pPr>
    </w:p>
    <w:p w:rsidR="000731AD" w:rsidRDefault="000731AD" w:rsidP="009932E4">
      <w:pPr>
        <w:spacing w:after="0" w:line="240" w:lineRule="auto"/>
        <w:ind w:left="360"/>
        <w:jc w:val="both"/>
        <w:rPr>
          <w:rFonts w:ascii="Times New Roman" w:hAnsi="Times New Roman"/>
          <w:sz w:val="20"/>
          <w:szCs w:val="20"/>
        </w:rPr>
      </w:pPr>
    </w:p>
    <w:p w:rsidR="0095495D" w:rsidRDefault="000731AD" w:rsidP="009932E4">
      <w:pPr>
        <w:spacing w:after="0" w:line="240" w:lineRule="auto"/>
        <w:ind w:left="360"/>
        <w:jc w:val="both"/>
        <w:rPr>
          <w:rFonts w:ascii="Times New Roman" w:hAnsi="Times New Roman"/>
          <w:sz w:val="20"/>
          <w:szCs w:val="20"/>
        </w:rPr>
      </w:pPr>
      <w:r>
        <w:rPr>
          <w:rFonts w:ascii="Times New Roman" w:hAnsi="Times New Roman"/>
          <w:sz w:val="20"/>
          <w:szCs w:val="20"/>
        </w:rPr>
        <w:t xml:space="preserve"> </w:t>
      </w:r>
    </w:p>
    <w:p w:rsidR="006A0357" w:rsidRDefault="006A0357" w:rsidP="009932E4">
      <w:pPr>
        <w:spacing w:after="0" w:line="240" w:lineRule="auto"/>
        <w:ind w:left="360"/>
        <w:jc w:val="both"/>
        <w:rPr>
          <w:rFonts w:ascii="Times New Roman" w:hAnsi="Times New Roman"/>
          <w:sz w:val="20"/>
          <w:szCs w:val="20"/>
        </w:rPr>
      </w:pPr>
    </w:p>
    <w:p w:rsidR="006D7266" w:rsidRDefault="006D7266" w:rsidP="009932E4">
      <w:pPr>
        <w:spacing w:after="0" w:line="240" w:lineRule="auto"/>
        <w:ind w:left="360"/>
        <w:jc w:val="both"/>
        <w:rPr>
          <w:rFonts w:ascii="Times New Roman" w:hAnsi="Times New Roman"/>
          <w:b/>
          <w:sz w:val="20"/>
          <w:szCs w:val="20"/>
        </w:rPr>
      </w:pPr>
    </w:p>
    <w:sectPr w:rsidR="006D7266" w:rsidSect="006A035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0DF" w:rsidRDefault="004E30DF" w:rsidP="001B5186">
      <w:pPr>
        <w:spacing w:after="0" w:line="240" w:lineRule="auto"/>
      </w:pPr>
      <w:r>
        <w:separator/>
      </w:r>
    </w:p>
  </w:endnote>
  <w:endnote w:type="continuationSeparator" w:id="0">
    <w:p w:rsidR="004E30DF" w:rsidRDefault="004E30DF"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0DF" w:rsidRDefault="004E30DF" w:rsidP="001B5186">
      <w:pPr>
        <w:spacing w:after="0" w:line="240" w:lineRule="auto"/>
      </w:pPr>
      <w:r>
        <w:separator/>
      </w:r>
    </w:p>
  </w:footnote>
  <w:footnote w:type="continuationSeparator" w:id="0">
    <w:p w:rsidR="004E30DF" w:rsidRDefault="004E30DF" w:rsidP="001B51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E11" w:rsidRPr="003C7E11" w:rsidRDefault="003C7E11" w:rsidP="003C7E11">
    <w:pPr>
      <w:pStyle w:val="Header"/>
      <w:ind w:left="7200"/>
      <w:rPr>
        <w:rFonts w:ascii="Times New Roman" w:hAnsi="Times New Roman"/>
      </w:rPr>
    </w:pPr>
    <w:r w:rsidRPr="003C7E11">
      <w:rPr>
        <w:rFonts w:ascii="Times New Roman" w:hAnsi="Times New Roman"/>
      </w:rPr>
      <w:t>TT-L1036</w:t>
    </w:r>
  </w:p>
  <w:p w:rsidR="003C7E11" w:rsidRPr="003C7E11" w:rsidRDefault="003C7E11" w:rsidP="003C7E11">
    <w:pPr>
      <w:pStyle w:val="Header"/>
      <w:ind w:left="7200"/>
      <w:rPr>
        <w:rFonts w:ascii="Times New Roman" w:hAnsi="Times New Roman"/>
      </w:rPr>
    </w:pPr>
    <w:sdt>
      <w:sdtPr>
        <w:rPr>
          <w:rFonts w:ascii="Times New Roman" w:hAnsi="Times New Roman"/>
        </w:rPr>
        <w:id w:val="1168209085"/>
        <w:docPartObj>
          <w:docPartGallery w:val="Page Numbers (Top of Page)"/>
          <w:docPartUnique/>
        </w:docPartObj>
      </w:sdtPr>
      <w:sdtContent>
        <w:r w:rsidRPr="003C7E11">
          <w:rPr>
            <w:rFonts w:ascii="Times New Roman" w:hAnsi="Times New Roman"/>
          </w:rPr>
          <w:t xml:space="preserve">Page </w:t>
        </w:r>
        <w:r w:rsidRPr="003C7E11">
          <w:rPr>
            <w:rFonts w:ascii="Times New Roman" w:hAnsi="Times New Roman"/>
            <w:bCs/>
          </w:rPr>
          <w:fldChar w:fldCharType="begin"/>
        </w:r>
        <w:r w:rsidRPr="003C7E11">
          <w:rPr>
            <w:rFonts w:ascii="Times New Roman" w:hAnsi="Times New Roman"/>
            <w:bCs/>
          </w:rPr>
          <w:instrText xml:space="preserve"> PAGE </w:instrText>
        </w:r>
        <w:r w:rsidRPr="003C7E11">
          <w:rPr>
            <w:rFonts w:ascii="Times New Roman" w:hAnsi="Times New Roman"/>
            <w:bCs/>
          </w:rPr>
          <w:fldChar w:fldCharType="separate"/>
        </w:r>
        <w:r w:rsidR="00CE4B39">
          <w:rPr>
            <w:rFonts w:ascii="Times New Roman" w:hAnsi="Times New Roman"/>
            <w:bCs/>
            <w:noProof/>
          </w:rPr>
          <w:t>1</w:t>
        </w:r>
        <w:r w:rsidRPr="003C7E11">
          <w:rPr>
            <w:rFonts w:ascii="Times New Roman" w:hAnsi="Times New Roman"/>
            <w:bCs/>
          </w:rPr>
          <w:fldChar w:fldCharType="end"/>
        </w:r>
        <w:r w:rsidRPr="003C7E11">
          <w:rPr>
            <w:rFonts w:ascii="Times New Roman" w:hAnsi="Times New Roman"/>
          </w:rPr>
          <w:t xml:space="preserve"> of </w:t>
        </w:r>
        <w:r w:rsidRPr="003C7E11">
          <w:rPr>
            <w:rFonts w:ascii="Times New Roman" w:hAnsi="Times New Roman"/>
            <w:bCs/>
          </w:rPr>
          <w:fldChar w:fldCharType="begin"/>
        </w:r>
        <w:r w:rsidRPr="003C7E11">
          <w:rPr>
            <w:rFonts w:ascii="Times New Roman" w:hAnsi="Times New Roman"/>
            <w:bCs/>
          </w:rPr>
          <w:instrText xml:space="preserve"> NUMPAGES  </w:instrText>
        </w:r>
        <w:r w:rsidRPr="003C7E11">
          <w:rPr>
            <w:rFonts w:ascii="Times New Roman" w:hAnsi="Times New Roman"/>
            <w:bCs/>
          </w:rPr>
          <w:fldChar w:fldCharType="separate"/>
        </w:r>
        <w:r w:rsidR="00CE4B39">
          <w:rPr>
            <w:rFonts w:ascii="Times New Roman" w:hAnsi="Times New Roman"/>
            <w:bCs/>
            <w:noProof/>
          </w:rPr>
          <w:t>14</w:t>
        </w:r>
        <w:r w:rsidRPr="003C7E11">
          <w:rPr>
            <w:rFonts w:ascii="Times New Roman" w:hAnsi="Times New Roman"/>
            <w:bCs/>
          </w:rPr>
          <w:fldChar w:fldCharType="end"/>
        </w:r>
      </w:sdtContent>
    </w:sdt>
  </w:p>
  <w:p w:rsidR="003C7E11" w:rsidRDefault="003C7E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128D6"/>
    <w:multiLevelType w:val="multilevel"/>
    <w:tmpl w:val="6DC4978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nsid w:val="1657482C"/>
    <w:multiLevelType w:val="multilevel"/>
    <w:tmpl w:val="1FE275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CEF23A2"/>
    <w:multiLevelType w:val="multilevel"/>
    <w:tmpl w:val="5994EFA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1DF02660"/>
    <w:multiLevelType w:val="multilevel"/>
    <w:tmpl w:val="43F8E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F6A62E6"/>
    <w:multiLevelType w:val="hybridMultilevel"/>
    <w:tmpl w:val="80744672"/>
    <w:lvl w:ilvl="0" w:tplc="5650C0A2">
      <w:start w:val="1"/>
      <w:numFmt w:val="upperRoman"/>
      <w:lvlText w:val="%1."/>
      <w:lvlJc w:val="left"/>
      <w:pPr>
        <w:ind w:left="1080" w:hanging="720"/>
      </w:pPr>
      <w:rPr>
        <w:rFonts w:hint="default"/>
      </w:rPr>
    </w:lvl>
    <w:lvl w:ilvl="1" w:tplc="C00C160A">
      <w:start w:val="1"/>
      <w:numFmt w:val="lowerLetter"/>
      <w:lvlText w:val="%2."/>
      <w:lvlJc w:val="left"/>
      <w:pPr>
        <w:ind w:left="1440" w:hanging="360"/>
      </w:pPr>
    </w:lvl>
    <w:lvl w:ilvl="2" w:tplc="D2E654C6">
      <w:start w:val="1"/>
      <w:numFmt w:val="lowerRoman"/>
      <w:lvlText w:val="%3)"/>
      <w:lvlJc w:val="left"/>
      <w:pPr>
        <w:ind w:left="2700" w:hanging="720"/>
      </w:pPr>
      <w:rPr>
        <w:rFonts w:hint="default"/>
      </w:rPr>
    </w:lvl>
    <w:lvl w:ilvl="3" w:tplc="BE149ACC">
      <w:start w:val="2"/>
      <w:numFmt w:val="decimal"/>
      <w:lvlText w:val="%4."/>
      <w:lvlJc w:val="left"/>
      <w:pPr>
        <w:ind w:left="2880" w:hanging="360"/>
      </w:pPr>
      <w:rPr>
        <w:rFonts w:hint="default"/>
      </w:rPr>
    </w:lvl>
    <w:lvl w:ilvl="4" w:tplc="FD3EE23A" w:tentative="1">
      <w:start w:val="1"/>
      <w:numFmt w:val="lowerLetter"/>
      <w:lvlText w:val="%5."/>
      <w:lvlJc w:val="left"/>
      <w:pPr>
        <w:ind w:left="3600" w:hanging="360"/>
      </w:pPr>
    </w:lvl>
    <w:lvl w:ilvl="5" w:tplc="4CBC4916" w:tentative="1">
      <w:start w:val="1"/>
      <w:numFmt w:val="lowerRoman"/>
      <w:lvlText w:val="%6."/>
      <w:lvlJc w:val="right"/>
      <w:pPr>
        <w:ind w:left="4320" w:hanging="180"/>
      </w:pPr>
    </w:lvl>
    <w:lvl w:ilvl="6" w:tplc="48C8997E" w:tentative="1">
      <w:start w:val="1"/>
      <w:numFmt w:val="decimal"/>
      <w:lvlText w:val="%7."/>
      <w:lvlJc w:val="left"/>
      <w:pPr>
        <w:ind w:left="5040" w:hanging="360"/>
      </w:pPr>
    </w:lvl>
    <w:lvl w:ilvl="7" w:tplc="EB9EC8B2" w:tentative="1">
      <w:start w:val="1"/>
      <w:numFmt w:val="lowerLetter"/>
      <w:lvlText w:val="%8."/>
      <w:lvlJc w:val="left"/>
      <w:pPr>
        <w:ind w:left="5760" w:hanging="360"/>
      </w:pPr>
    </w:lvl>
    <w:lvl w:ilvl="8" w:tplc="11100F88" w:tentative="1">
      <w:start w:val="1"/>
      <w:numFmt w:val="lowerRoman"/>
      <w:lvlText w:val="%9."/>
      <w:lvlJc w:val="right"/>
      <w:pPr>
        <w:ind w:left="6480" w:hanging="180"/>
      </w:pPr>
    </w:lvl>
  </w:abstractNum>
  <w:abstractNum w:abstractNumId="6">
    <w:nsid w:val="229B5515"/>
    <w:multiLevelType w:val="hybridMultilevel"/>
    <w:tmpl w:val="86A86A4A"/>
    <w:lvl w:ilvl="0" w:tplc="F688475C">
      <w:numFmt w:val="bullet"/>
      <w:lvlText w:val=""/>
      <w:lvlJc w:val="left"/>
      <w:pPr>
        <w:ind w:left="720" w:hanging="360"/>
      </w:pPr>
      <w:rPr>
        <w:rFonts w:ascii="WP MathA" w:eastAsia="Times New Roman" w:hAnsi="WP Math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8C1D07"/>
    <w:multiLevelType w:val="multilevel"/>
    <w:tmpl w:val="B24A6AE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start w:val="1"/>
      <w:numFmt w:val="bullet"/>
      <w:lvlText w:val="-"/>
      <w:lvlJc w:val="left"/>
      <w:pPr>
        <w:ind w:left="3600" w:hanging="360"/>
      </w:pPr>
      <w:rPr>
        <w:rFonts w:ascii="Times New Roman" w:eastAsia="Calibri" w:hAnsi="Times New Roman" w:cs="Times New Roman"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9">
    <w:nsid w:val="416A443B"/>
    <w:multiLevelType w:val="multilevel"/>
    <w:tmpl w:val="552839D8"/>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0">
    <w:nsid w:val="42D767DD"/>
    <w:multiLevelType w:val="hybridMultilevel"/>
    <w:tmpl w:val="C76E54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4D9786A"/>
    <w:multiLevelType w:val="multilevel"/>
    <w:tmpl w:val="234A405C"/>
    <w:lvl w:ilvl="0">
      <w:start w:val="1"/>
      <w:numFmt w:val="upperRoman"/>
      <w:lvlText w:val="Article %1."/>
      <w:lvlJc w:val="left"/>
      <w:pPr>
        <w:ind w:left="-720" w:firstLine="0"/>
      </w:pPr>
    </w:lvl>
    <w:lvl w:ilvl="1">
      <w:start w:val="1"/>
      <w:numFmt w:val="decimalZero"/>
      <w:isLgl/>
      <w:lvlText w:val="Section %1.%2"/>
      <w:lvlJc w:val="left"/>
      <w:pPr>
        <w:ind w:left="-720" w:firstLine="0"/>
      </w:pPr>
    </w:lvl>
    <w:lvl w:ilvl="2">
      <w:start w:val="1"/>
      <w:numFmt w:val="lowerLetter"/>
      <w:lvlText w:val="(%3)"/>
      <w:lvlJc w:val="left"/>
      <w:pPr>
        <w:ind w:left="0" w:hanging="432"/>
      </w:pPr>
    </w:lvl>
    <w:lvl w:ilvl="3">
      <w:start w:val="1"/>
      <w:numFmt w:val="lowerRoman"/>
      <w:lvlText w:val="(%4)"/>
      <w:lvlJc w:val="right"/>
      <w:pPr>
        <w:ind w:left="144" w:hanging="144"/>
      </w:pPr>
    </w:lvl>
    <w:lvl w:ilvl="4">
      <w:start w:val="1"/>
      <w:numFmt w:val="decimal"/>
      <w:lvlText w:val="%5)"/>
      <w:lvlJc w:val="left"/>
      <w:pPr>
        <w:ind w:left="288" w:hanging="432"/>
      </w:pPr>
    </w:lvl>
    <w:lvl w:ilvl="5">
      <w:start w:val="1"/>
      <w:numFmt w:val="lowerLetter"/>
      <w:lvlText w:val="%6)"/>
      <w:lvlJc w:val="left"/>
      <w:pPr>
        <w:ind w:left="432" w:hanging="432"/>
      </w:pPr>
    </w:lvl>
    <w:lvl w:ilvl="6">
      <w:start w:val="1"/>
      <w:numFmt w:val="lowerRoman"/>
      <w:lvlText w:val="%7)"/>
      <w:lvlJc w:val="right"/>
      <w:pPr>
        <w:ind w:left="576" w:hanging="288"/>
      </w:pPr>
    </w:lvl>
    <w:lvl w:ilvl="7">
      <w:start w:val="1"/>
      <w:numFmt w:val="lowerLetter"/>
      <w:lvlText w:val="%8."/>
      <w:lvlJc w:val="left"/>
      <w:pPr>
        <w:ind w:left="720" w:hanging="432"/>
      </w:pPr>
    </w:lvl>
    <w:lvl w:ilvl="8">
      <w:start w:val="1"/>
      <w:numFmt w:val="lowerRoman"/>
      <w:lvlText w:val="%9."/>
      <w:lvlJc w:val="right"/>
      <w:pPr>
        <w:ind w:left="864" w:hanging="144"/>
      </w:pPr>
    </w:lvl>
  </w:abstractNum>
  <w:abstractNum w:abstractNumId="12">
    <w:nsid w:val="47C33EB8"/>
    <w:multiLevelType w:val="hybridMultilevel"/>
    <w:tmpl w:val="ADE499E6"/>
    <w:lvl w:ilvl="0" w:tplc="F688475C">
      <w:numFmt w:val="bullet"/>
      <w:lvlText w:val=""/>
      <w:lvlJc w:val="left"/>
      <w:pPr>
        <w:ind w:left="720" w:hanging="360"/>
      </w:pPr>
      <w:rPr>
        <w:rFonts w:ascii="WP MathA" w:eastAsia="Times New Roman" w:hAnsi="WP Math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6B55C9"/>
    <w:multiLevelType w:val="hybridMultilevel"/>
    <w:tmpl w:val="79C27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6F704A1"/>
    <w:multiLevelType w:val="multilevel"/>
    <w:tmpl w:val="7C8C7BFE"/>
    <w:lvl w:ilvl="0">
      <w:start w:val="1"/>
      <w:numFmt w:val="bullet"/>
      <w:lvlText w:val=""/>
      <w:lvlJc w:val="left"/>
      <w:pPr>
        <w:ind w:left="720" w:hanging="360"/>
      </w:pPr>
      <w:rPr>
        <w:rFonts w:ascii="Symbol" w:hAnsi="Symbol" w:hint="default"/>
      </w:rPr>
    </w:lvl>
    <w:lvl w:ilvl="1">
      <w:start w:val="1"/>
      <w:numFmt w:val="decima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nsid w:val="58CA7E07"/>
    <w:multiLevelType w:val="multilevel"/>
    <w:tmpl w:val="8DF6AF76"/>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16">
    <w:nsid w:val="59D92EE3"/>
    <w:multiLevelType w:val="multilevel"/>
    <w:tmpl w:val="BFA0FB2E"/>
    <w:lvl w:ilvl="0">
      <w:start w:val="1"/>
      <w:numFmt w:val="upperRoman"/>
      <w:lvlRestart w:val="0"/>
      <w:lvlText w:val="%1."/>
      <w:lvlJc w:val="center"/>
      <w:pPr>
        <w:tabs>
          <w:tab w:val="num" w:pos="1656"/>
        </w:tabs>
        <w:ind w:left="1008" w:firstLine="288"/>
      </w:pPr>
      <w:rPr>
        <w:b/>
        <w:i w:val="0"/>
      </w:rPr>
    </w:lvl>
    <w:lvl w:ilvl="1">
      <w:start w:val="1"/>
      <w:numFmt w:val="decimal"/>
      <w:isLgl/>
      <w:lvlText w:val="%1.%2"/>
      <w:lvlJc w:val="left"/>
      <w:pPr>
        <w:tabs>
          <w:tab w:val="num" w:pos="2304"/>
        </w:tabs>
        <w:ind w:left="2304" w:hanging="1296"/>
      </w:pPr>
    </w:lvl>
    <w:lvl w:ilvl="2">
      <w:start w:val="1"/>
      <w:numFmt w:val="lowerLetter"/>
      <w:lvlText w:val="%3."/>
      <w:lvlJc w:val="left"/>
      <w:pPr>
        <w:tabs>
          <w:tab w:val="num" w:pos="2160"/>
        </w:tabs>
        <w:ind w:left="2160" w:hanging="432"/>
      </w:pPr>
    </w:lvl>
    <w:lvl w:ilvl="3">
      <w:start w:val="1"/>
      <w:numFmt w:val="decimal"/>
      <w:lvlText w:val="%1.%2.%3.%4"/>
      <w:lvlJc w:val="left"/>
      <w:pPr>
        <w:ind w:left="1872" w:hanging="864"/>
      </w:pPr>
    </w:lvl>
    <w:lvl w:ilvl="4">
      <w:start w:val="1"/>
      <w:numFmt w:val="decimal"/>
      <w:lvlText w:val="%1.%2.%3.%4.%5"/>
      <w:lvlJc w:val="left"/>
      <w:pPr>
        <w:ind w:left="2016" w:hanging="1008"/>
      </w:pPr>
    </w:lvl>
    <w:lvl w:ilvl="5">
      <w:start w:val="1"/>
      <w:numFmt w:val="decimal"/>
      <w:lvlText w:val="%1.%2.%3.%4.%5.%6"/>
      <w:lvlJc w:val="left"/>
      <w:pPr>
        <w:ind w:left="2160" w:hanging="1152"/>
      </w:pPr>
    </w:lvl>
    <w:lvl w:ilvl="6">
      <w:start w:val="1"/>
      <w:numFmt w:val="decimal"/>
      <w:lvlText w:val="%1.%2.%3.%4.%5.%6.%7"/>
      <w:lvlJc w:val="left"/>
      <w:pPr>
        <w:ind w:left="2304" w:hanging="1296"/>
      </w:pPr>
    </w:lvl>
    <w:lvl w:ilvl="7">
      <w:start w:val="1"/>
      <w:numFmt w:val="decimal"/>
      <w:lvlText w:val="%1.%2.%3.%4.%5.%6.%7.%8"/>
      <w:lvlJc w:val="left"/>
      <w:pPr>
        <w:ind w:left="2448" w:hanging="1440"/>
      </w:pPr>
    </w:lvl>
    <w:lvl w:ilvl="8">
      <w:start w:val="1"/>
      <w:numFmt w:val="decimal"/>
      <w:lvlText w:val="%1.%2.%3.%4.%5.%6.%7.%8.%9"/>
      <w:lvlJc w:val="left"/>
      <w:pPr>
        <w:ind w:left="2592" w:hanging="1584"/>
      </w:pPr>
    </w:lvl>
  </w:abstractNum>
  <w:abstractNum w:abstractNumId="17">
    <w:nsid w:val="5B9A7602"/>
    <w:multiLevelType w:val="hybridMultilevel"/>
    <w:tmpl w:val="9A380202"/>
    <w:lvl w:ilvl="0" w:tplc="155854FC">
      <w:start w:val="1"/>
      <w:numFmt w:val="upperRoman"/>
      <w:lvlText w:val="%1."/>
      <w:lvlJc w:val="left"/>
      <w:pPr>
        <w:ind w:left="1080" w:hanging="720"/>
      </w:pPr>
      <w:rPr>
        <w:rFonts w:hint="default"/>
      </w:rPr>
    </w:lvl>
    <w:lvl w:ilvl="1" w:tplc="DD9644A6">
      <w:start w:val="1"/>
      <w:numFmt w:val="lowerLetter"/>
      <w:lvlText w:val="%2."/>
      <w:lvlJc w:val="left"/>
      <w:pPr>
        <w:ind w:left="1440" w:hanging="360"/>
      </w:pPr>
    </w:lvl>
    <w:lvl w:ilvl="2" w:tplc="004237FE">
      <w:start w:val="1"/>
      <w:numFmt w:val="lowerRoman"/>
      <w:lvlText w:val="%3)"/>
      <w:lvlJc w:val="left"/>
      <w:pPr>
        <w:ind w:left="2700" w:hanging="720"/>
      </w:pPr>
      <w:rPr>
        <w:rFonts w:hint="default"/>
      </w:rPr>
    </w:lvl>
    <w:lvl w:ilvl="3" w:tplc="99EA21EC" w:tentative="1">
      <w:start w:val="1"/>
      <w:numFmt w:val="decimal"/>
      <w:lvlText w:val="%4."/>
      <w:lvlJc w:val="left"/>
      <w:pPr>
        <w:ind w:left="2880" w:hanging="360"/>
      </w:pPr>
    </w:lvl>
    <w:lvl w:ilvl="4" w:tplc="C2360B74" w:tentative="1">
      <w:start w:val="1"/>
      <w:numFmt w:val="lowerLetter"/>
      <w:lvlText w:val="%5."/>
      <w:lvlJc w:val="left"/>
      <w:pPr>
        <w:ind w:left="3600" w:hanging="360"/>
      </w:pPr>
    </w:lvl>
    <w:lvl w:ilvl="5" w:tplc="D48226E2" w:tentative="1">
      <w:start w:val="1"/>
      <w:numFmt w:val="lowerRoman"/>
      <w:lvlText w:val="%6."/>
      <w:lvlJc w:val="right"/>
      <w:pPr>
        <w:ind w:left="4320" w:hanging="180"/>
      </w:pPr>
    </w:lvl>
    <w:lvl w:ilvl="6" w:tplc="0CA20DFE" w:tentative="1">
      <w:start w:val="1"/>
      <w:numFmt w:val="decimal"/>
      <w:lvlText w:val="%7."/>
      <w:lvlJc w:val="left"/>
      <w:pPr>
        <w:ind w:left="5040" w:hanging="360"/>
      </w:pPr>
    </w:lvl>
    <w:lvl w:ilvl="7" w:tplc="4F168E44" w:tentative="1">
      <w:start w:val="1"/>
      <w:numFmt w:val="lowerLetter"/>
      <w:lvlText w:val="%8."/>
      <w:lvlJc w:val="left"/>
      <w:pPr>
        <w:ind w:left="5760" w:hanging="360"/>
      </w:pPr>
    </w:lvl>
    <w:lvl w:ilvl="8" w:tplc="71EABB1E" w:tentative="1">
      <w:start w:val="1"/>
      <w:numFmt w:val="lowerRoman"/>
      <w:lvlText w:val="%9."/>
      <w:lvlJc w:val="right"/>
      <w:pPr>
        <w:ind w:left="6480" w:hanging="180"/>
      </w:pPr>
    </w:lvl>
  </w:abstractNum>
  <w:abstractNum w:abstractNumId="18">
    <w:nsid w:val="60E219D5"/>
    <w:multiLevelType w:val="hybridMultilevel"/>
    <w:tmpl w:val="62A6DE3A"/>
    <w:lvl w:ilvl="0" w:tplc="E1B6B7E2">
      <w:start w:val="3"/>
      <w:numFmt w:val="upperLetter"/>
      <w:lvlText w:val="%1."/>
      <w:lvlJc w:val="left"/>
      <w:pPr>
        <w:ind w:left="1440" w:hanging="360"/>
      </w:pPr>
      <w:rPr>
        <w:rFonts w:hint="default"/>
      </w:rPr>
    </w:lvl>
    <w:lvl w:ilvl="1" w:tplc="DC5C5A0A">
      <w:start w:val="1"/>
      <w:numFmt w:val="lowerLetter"/>
      <w:pStyle w:val="AutoNumpara"/>
      <w:lvlText w:val="%2."/>
      <w:lvlJc w:val="left"/>
      <w:pPr>
        <w:ind w:left="1440" w:hanging="360"/>
      </w:pPr>
    </w:lvl>
    <w:lvl w:ilvl="2" w:tplc="C38EB40C" w:tentative="1">
      <w:start w:val="1"/>
      <w:numFmt w:val="lowerRoman"/>
      <w:lvlText w:val="%3."/>
      <w:lvlJc w:val="right"/>
      <w:pPr>
        <w:ind w:left="2160" w:hanging="180"/>
      </w:pPr>
    </w:lvl>
    <w:lvl w:ilvl="3" w:tplc="CD9EA2F4" w:tentative="1">
      <w:start w:val="1"/>
      <w:numFmt w:val="decimal"/>
      <w:lvlText w:val="%4."/>
      <w:lvlJc w:val="left"/>
      <w:pPr>
        <w:ind w:left="2880" w:hanging="360"/>
      </w:pPr>
    </w:lvl>
    <w:lvl w:ilvl="4" w:tplc="FF8AED3A" w:tentative="1">
      <w:start w:val="1"/>
      <w:numFmt w:val="lowerLetter"/>
      <w:lvlText w:val="%5."/>
      <w:lvlJc w:val="left"/>
      <w:pPr>
        <w:ind w:left="3600" w:hanging="360"/>
      </w:pPr>
    </w:lvl>
    <w:lvl w:ilvl="5" w:tplc="53E4AD3A" w:tentative="1">
      <w:start w:val="1"/>
      <w:numFmt w:val="lowerRoman"/>
      <w:lvlText w:val="%6."/>
      <w:lvlJc w:val="right"/>
      <w:pPr>
        <w:ind w:left="4320" w:hanging="180"/>
      </w:pPr>
    </w:lvl>
    <w:lvl w:ilvl="6" w:tplc="33E0A380" w:tentative="1">
      <w:start w:val="1"/>
      <w:numFmt w:val="decimal"/>
      <w:lvlText w:val="%7."/>
      <w:lvlJc w:val="left"/>
      <w:pPr>
        <w:ind w:left="5040" w:hanging="360"/>
      </w:pPr>
    </w:lvl>
    <w:lvl w:ilvl="7" w:tplc="01FC5AB0" w:tentative="1">
      <w:start w:val="1"/>
      <w:numFmt w:val="lowerLetter"/>
      <w:lvlText w:val="%8."/>
      <w:lvlJc w:val="left"/>
      <w:pPr>
        <w:ind w:left="5760" w:hanging="360"/>
      </w:pPr>
    </w:lvl>
    <w:lvl w:ilvl="8" w:tplc="7FEA91B8" w:tentative="1">
      <w:start w:val="1"/>
      <w:numFmt w:val="lowerRoman"/>
      <w:lvlText w:val="%9."/>
      <w:lvlJc w:val="right"/>
      <w:pPr>
        <w:ind w:left="6480" w:hanging="180"/>
      </w:pPr>
    </w:lvl>
  </w:abstractNum>
  <w:abstractNum w:abstractNumId="19">
    <w:nsid w:val="6B992D03"/>
    <w:multiLevelType w:val="multilevel"/>
    <w:tmpl w:val="0C185B0E"/>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20">
    <w:nsid w:val="744E326C"/>
    <w:multiLevelType w:val="multilevel"/>
    <w:tmpl w:val="B52E48DE"/>
    <w:lvl w:ilvl="0">
      <w:start w:val="1"/>
      <w:numFmt w:val="none"/>
      <w:lvlRestart w:val="0"/>
      <w:suff w:val="nothing"/>
      <w:lvlText w:val=""/>
      <w:lvlJc w:val="left"/>
      <w:pPr>
        <w:ind w:left="2016" w:hanging="720"/>
      </w:pPr>
    </w:lvl>
    <w:lvl w:ilvl="1">
      <w:start w:val="1"/>
      <w:numFmt w:val="decimal"/>
      <w:lvlText w:val="%2."/>
      <w:lvlJc w:val="left"/>
      <w:pPr>
        <w:tabs>
          <w:tab w:val="num" w:pos="2592"/>
        </w:tabs>
        <w:ind w:left="2592" w:hanging="576"/>
      </w:pPr>
      <w:rPr>
        <w:b/>
      </w:rPr>
    </w:lvl>
    <w:lvl w:ilvl="2">
      <w:start w:val="1"/>
      <w:numFmt w:val="lowerLetter"/>
      <w:lvlText w:val="(%3)"/>
      <w:lvlJc w:val="left"/>
      <w:pPr>
        <w:ind w:left="2016" w:hanging="432"/>
      </w:pPr>
    </w:lvl>
    <w:lvl w:ilvl="3">
      <w:start w:val="1"/>
      <w:numFmt w:val="lowerRoman"/>
      <w:lvlText w:val="(%4)"/>
      <w:lvlJc w:val="right"/>
      <w:pPr>
        <w:ind w:left="2160" w:hanging="144"/>
      </w:pPr>
    </w:lvl>
    <w:lvl w:ilvl="4">
      <w:start w:val="1"/>
      <w:numFmt w:val="decimal"/>
      <w:lvlText w:val="%5)"/>
      <w:lvlJc w:val="left"/>
      <w:pPr>
        <w:ind w:left="2304" w:hanging="432"/>
      </w:pPr>
    </w:lvl>
    <w:lvl w:ilvl="5">
      <w:start w:val="1"/>
      <w:numFmt w:val="lowerLetter"/>
      <w:lvlText w:val="%6)"/>
      <w:lvlJc w:val="left"/>
      <w:pPr>
        <w:ind w:left="2448" w:hanging="432"/>
      </w:pPr>
    </w:lvl>
    <w:lvl w:ilvl="6">
      <w:start w:val="1"/>
      <w:numFmt w:val="lowerRoman"/>
      <w:lvlText w:val="%7)"/>
      <w:lvlJc w:val="right"/>
      <w:pPr>
        <w:ind w:left="2592" w:hanging="288"/>
      </w:pPr>
    </w:lvl>
    <w:lvl w:ilvl="7">
      <w:start w:val="1"/>
      <w:numFmt w:val="lowerLetter"/>
      <w:lvlText w:val="%8."/>
      <w:lvlJc w:val="left"/>
      <w:pPr>
        <w:ind w:left="2736" w:hanging="432"/>
      </w:pPr>
    </w:lvl>
    <w:lvl w:ilvl="8">
      <w:start w:val="1"/>
      <w:numFmt w:val="lowerRoman"/>
      <w:lvlText w:val="%9."/>
      <w:lvlJc w:val="right"/>
      <w:pPr>
        <w:ind w:left="2880" w:hanging="144"/>
      </w:pPr>
    </w:lvl>
  </w:abstractNum>
  <w:abstractNum w:abstractNumId="21">
    <w:nsid w:val="759E0142"/>
    <w:multiLevelType w:val="multilevel"/>
    <w:tmpl w:val="2C7A8EB2"/>
    <w:lvl w:ilvl="0">
      <w:start w:val="1"/>
      <w:numFmt w:val="none"/>
      <w:lvlRestart w:val="0"/>
      <w:suff w:val="nothing"/>
      <w:lvlText w:val=""/>
      <w:lvlJc w:val="left"/>
      <w:pPr>
        <w:ind w:left="2808" w:hanging="720"/>
      </w:pPr>
    </w:lvl>
    <w:lvl w:ilvl="1">
      <w:start w:val="1"/>
      <w:numFmt w:val="decimal"/>
      <w:lvlText w:val="%2."/>
      <w:lvlJc w:val="left"/>
      <w:pPr>
        <w:tabs>
          <w:tab w:val="num" w:pos="3384"/>
        </w:tabs>
        <w:ind w:left="3384" w:hanging="576"/>
      </w:pPr>
      <w:rPr>
        <w:b/>
      </w:rPr>
    </w:lvl>
    <w:lvl w:ilvl="2">
      <w:start w:val="1"/>
      <w:numFmt w:val="lowerLetter"/>
      <w:lvlText w:val="%3)"/>
      <w:lvlJc w:val="left"/>
      <w:pPr>
        <w:tabs>
          <w:tab w:val="num" w:pos="3960"/>
        </w:tabs>
        <w:ind w:left="3960" w:hanging="576"/>
      </w:pPr>
      <w:rPr>
        <w:b/>
      </w:rPr>
    </w:lvl>
    <w:lvl w:ilvl="3">
      <w:start w:val="1"/>
      <w:numFmt w:val="lowerRoman"/>
      <w:lvlText w:val="(%4)"/>
      <w:lvlJc w:val="right"/>
      <w:pPr>
        <w:ind w:left="2952" w:hanging="144"/>
      </w:pPr>
    </w:lvl>
    <w:lvl w:ilvl="4">
      <w:start w:val="1"/>
      <w:numFmt w:val="decimal"/>
      <w:lvlText w:val="%5)"/>
      <w:lvlJc w:val="left"/>
      <w:pPr>
        <w:ind w:left="3096" w:hanging="432"/>
      </w:pPr>
    </w:lvl>
    <w:lvl w:ilvl="5">
      <w:start w:val="1"/>
      <w:numFmt w:val="lowerLetter"/>
      <w:lvlText w:val="%6)"/>
      <w:lvlJc w:val="left"/>
      <w:pPr>
        <w:ind w:left="3240" w:hanging="432"/>
      </w:pPr>
    </w:lvl>
    <w:lvl w:ilvl="6">
      <w:start w:val="1"/>
      <w:numFmt w:val="lowerRoman"/>
      <w:lvlText w:val="%7)"/>
      <w:lvlJc w:val="right"/>
      <w:pPr>
        <w:ind w:left="3384" w:hanging="288"/>
      </w:pPr>
    </w:lvl>
    <w:lvl w:ilvl="7">
      <w:start w:val="1"/>
      <w:numFmt w:val="lowerLetter"/>
      <w:lvlText w:val="%8."/>
      <w:lvlJc w:val="left"/>
      <w:pPr>
        <w:ind w:left="3528" w:hanging="432"/>
      </w:pPr>
    </w:lvl>
    <w:lvl w:ilvl="8">
      <w:start w:val="1"/>
      <w:numFmt w:val="lowerRoman"/>
      <w:lvlText w:val="%9."/>
      <w:lvlJc w:val="right"/>
      <w:pPr>
        <w:ind w:left="3672" w:hanging="144"/>
      </w:pPr>
    </w:lvl>
  </w:abstractNum>
  <w:abstractNum w:abstractNumId="22">
    <w:nsid w:val="784C53AC"/>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8B208D6"/>
    <w:multiLevelType w:val="hybridMultilevel"/>
    <w:tmpl w:val="313078C4"/>
    <w:lvl w:ilvl="0" w:tplc="7DF21D24">
      <w:start w:val="1"/>
      <w:numFmt w:val="bullet"/>
      <w:lvlText w:val=""/>
      <w:lvlJc w:val="left"/>
      <w:pPr>
        <w:ind w:left="1080" w:hanging="360"/>
      </w:pPr>
      <w:rPr>
        <w:rFonts w:ascii="Symbol" w:hAnsi="Symbol" w:hint="default"/>
      </w:rPr>
    </w:lvl>
    <w:lvl w:ilvl="1" w:tplc="4DAC5756" w:tentative="1">
      <w:start w:val="1"/>
      <w:numFmt w:val="bullet"/>
      <w:lvlText w:val="o"/>
      <w:lvlJc w:val="left"/>
      <w:pPr>
        <w:ind w:left="1800" w:hanging="360"/>
      </w:pPr>
      <w:rPr>
        <w:rFonts w:ascii="Courier New" w:hAnsi="Courier New" w:cs="Courier New" w:hint="default"/>
      </w:rPr>
    </w:lvl>
    <w:lvl w:ilvl="2" w:tplc="165E70F0" w:tentative="1">
      <w:start w:val="1"/>
      <w:numFmt w:val="bullet"/>
      <w:lvlText w:val=""/>
      <w:lvlJc w:val="left"/>
      <w:pPr>
        <w:ind w:left="2520" w:hanging="360"/>
      </w:pPr>
      <w:rPr>
        <w:rFonts w:ascii="Wingdings" w:hAnsi="Wingdings" w:hint="default"/>
      </w:rPr>
    </w:lvl>
    <w:lvl w:ilvl="3" w:tplc="2E2A90B4" w:tentative="1">
      <w:start w:val="1"/>
      <w:numFmt w:val="bullet"/>
      <w:lvlText w:val=""/>
      <w:lvlJc w:val="left"/>
      <w:pPr>
        <w:ind w:left="3240" w:hanging="360"/>
      </w:pPr>
      <w:rPr>
        <w:rFonts w:ascii="Symbol" w:hAnsi="Symbol" w:hint="default"/>
      </w:rPr>
    </w:lvl>
    <w:lvl w:ilvl="4" w:tplc="DD6C0F90" w:tentative="1">
      <w:start w:val="1"/>
      <w:numFmt w:val="bullet"/>
      <w:lvlText w:val="o"/>
      <w:lvlJc w:val="left"/>
      <w:pPr>
        <w:ind w:left="3960" w:hanging="360"/>
      </w:pPr>
      <w:rPr>
        <w:rFonts w:ascii="Courier New" w:hAnsi="Courier New" w:cs="Courier New" w:hint="default"/>
      </w:rPr>
    </w:lvl>
    <w:lvl w:ilvl="5" w:tplc="6FF8D6CC" w:tentative="1">
      <w:start w:val="1"/>
      <w:numFmt w:val="bullet"/>
      <w:lvlText w:val=""/>
      <w:lvlJc w:val="left"/>
      <w:pPr>
        <w:ind w:left="4680" w:hanging="360"/>
      </w:pPr>
      <w:rPr>
        <w:rFonts w:ascii="Wingdings" w:hAnsi="Wingdings" w:hint="default"/>
      </w:rPr>
    </w:lvl>
    <w:lvl w:ilvl="6" w:tplc="F1525720" w:tentative="1">
      <w:start w:val="1"/>
      <w:numFmt w:val="bullet"/>
      <w:lvlText w:val=""/>
      <w:lvlJc w:val="left"/>
      <w:pPr>
        <w:ind w:left="5400" w:hanging="360"/>
      </w:pPr>
      <w:rPr>
        <w:rFonts w:ascii="Symbol" w:hAnsi="Symbol" w:hint="default"/>
      </w:rPr>
    </w:lvl>
    <w:lvl w:ilvl="7" w:tplc="D9E4AF1C" w:tentative="1">
      <w:start w:val="1"/>
      <w:numFmt w:val="bullet"/>
      <w:lvlText w:val="o"/>
      <w:lvlJc w:val="left"/>
      <w:pPr>
        <w:ind w:left="6120" w:hanging="360"/>
      </w:pPr>
      <w:rPr>
        <w:rFonts w:ascii="Courier New" w:hAnsi="Courier New" w:cs="Courier New" w:hint="default"/>
      </w:rPr>
    </w:lvl>
    <w:lvl w:ilvl="8" w:tplc="607E5B6A" w:tentative="1">
      <w:start w:val="1"/>
      <w:numFmt w:val="bullet"/>
      <w:lvlText w:val=""/>
      <w:lvlJc w:val="left"/>
      <w:pPr>
        <w:ind w:left="6840" w:hanging="360"/>
      </w:pPr>
      <w:rPr>
        <w:rFonts w:ascii="Wingdings" w:hAnsi="Wingdings" w:hint="default"/>
      </w:rPr>
    </w:lvl>
  </w:abstractNum>
  <w:abstractNum w:abstractNumId="24">
    <w:nsid w:val="7CD8434E"/>
    <w:multiLevelType w:val="hybridMultilevel"/>
    <w:tmpl w:val="810407D8"/>
    <w:lvl w:ilvl="0" w:tplc="B296B3EE">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7"/>
  </w:num>
  <w:num w:numId="2">
    <w:abstractNumId w:val="5"/>
  </w:num>
  <w:num w:numId="3">
    <w:abstractNumId w:val="7"/>
  </w:num>
  <w:num w:numId="4">
    <w:abstractNumId w:val="22"/>
  </w:num>
  <w:num w:numId="5">
    <w:abstractNumId w:val="4"/>
  </w:num>
  <w:num w:numId="6">
    <w:abstractNumId w:val="2"/>
  </w:num>
  <w:num w:numId="7">
    <w:abstractNumId w:val="19"/>
  </w:num>
  <w:num w:numId="8">
    <w:abstractNumId w:val="24"/>
  </w:num>
  <w:num w:numId="9">
    <w:abstractNumId w:val="18"/>
  </w:num>
  <w:num w:numId="10">
    <w:abstractNumId w:val="8"/>
  </w:num>
  <w:num w:numId="11">
    <w:abstractNumId w:val="23"/>
  </w:num>
  <w:num w:numId="12">
    <w:abstractNumId w:val="1"/>
  </w:num>
  <w:num w:numId="13">
    <w:abstractNumId w:val="14"/>
  </w:num>
  <w:num w:numId="14">
    <w:abstractNumId w:val="10"/>
  </w:num>
  <w:num w:numId="15">
    <w:abstractNumId w:val="18"/>
  </w:num>
  <w:num w:numId="16">
    <w:abstractNumId w:val="18"/>
  </w:num>
  <w:num w:numId="17">
    <w:abstractNumId w:val="18"/>
  </w:num>
  <w:num w:numId="18">
    <w:abstractNumId w:val="18"/>
  </w:num>
  <w:num w:numId="19">
    <w:abstractNumId w:val="18"/>
  </w:num>
  <w:num w:numId="20">
    <w:abstractNumId w:val="18"/>
  </w:num>
  <w:num w:numId="21">
    <w:abstractNumId w:val="18"/>
  </w:num>
  <w:num w:numId="22">
    <w:abstractNumId w:val="12"/>
  </w:num>
  <w:num w:numId="23">
    <w:abstractNumId w:val="6"/>
  </w:num>
  <w:num w:numId="24">
    <w:abstractNumId w:val="18"/>
  </w:num>
  <w:num w:numId="25">
    <w:abstractNumId w:val="3"/>
  </w:num>
  <w:num w:numId="26">
    <w:abstractNumId w:val="9"/>
  </w:num>
  <w:num w:numId="27">
    <w:abstractNumId w:val="16"/>
  </w:num>
  <w:num w:numId="28">
    <w:abstractNumId w:val="11"/>
  </w:num>
  <w:num w:numId="29">
    <w:abstractNumId w:val="15"/>
  </w:num>
  <w:num w:numId="30">
    <w:abstractNumId w:val="20"/>
  </w:num>
  <w:num w:numId="31">
    <w:abstractNumId w:val="21"/>
  </w:num>
  <w:num w:numId="32">
    <w:abstractNumId w:val="0"/>
  </w:num>
  <w:num w:numId="33">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B23"/>
    <w:rsid w:val="00002E65"/>
    <w:rsid w:val="00034A88"/>
    <w:rsid w:val="00045CBF"/>
    <w:rsid w:val="000661DE"/>
    <w:rsid w:val="0007093D"/>
    <w:rsid w:val="00072B9F"/>
    <w:rsid w:val="000731AD"/>
    <w:rsid w:val="0008123F"/>
    <w:rsid w:val="00083963"/>
    <w:rsid w:val="00094EC3"/>
    <w:rsid w:val="000B03A9"/>
    <w:rsid w:val="000C70D6"/>
    <w:rsid w:val="000D2907"/>
    <w:rsid w:val="000D3B08"/>
    <w:rsid w:val="000D79BB"/>
    <w:rsid w:val="000E3634"/>
    <w:rsid w:val="000E37AF"/>
    <w:rsid w:val="000F130C"/>
    <w:rsid w:val="0010356D"/>
    <w:rsid w:val="00103AA3"/>
    <w:rsid w:val="00105AFA"/>
    <w:rsid w:val="00113E0A"/>
    <w:rsid w:val="001150D5"/>
    <w:rsid w:val="00115EAF"/>
    <w:rsid w:val="00117447"/>
    <w:rsid w:val="00122643"/>
    <w:rsid w:val="001324B3"/>
    <w:rsid w:val="00136D11"/>
    <w:rsid w:val="00151755"/>
    <w:rsid w:val="0015351B"/>
    <w:rsid w:val="00196E58"/>
    <w:rsid w:val="001A0532"/>
    <w:rsid w:val="001A1E07"/>
    <w:rsid w:val="001B01CB"/>
    <w:rsid w:val="001B5186"/>
    <w:rsid w:val="001C2AF9"/>
    <w:rsid w:val="001C2B75"/>
    <w:rsid w:val="001C4767"/>
    <w:rsid w:val="001E4D3C"/>
    <w:rsid w:val="001F304D"/>
    <w:rsid w:val="001F795C"/>
    <w:rsid w:val="00203DC5"/>
    <w:rsid w:val="002146B0"/>
    <w:rsid w:val="002317CE"/>
    <w:rsid w:val="002627B3"/>
    <w:rsid w:val="002760A2"/>
    <w:rsid w:val="002823E7"/>
    <w:rsid w:val="00286C85"/>
    <w:rsid w:val="0029007A"/>
    <w:rsid w:val="002B25ED"/>
    <w:rsid w:val="002B5B43"/>
    <w:rsid w:val="002B5B81"/>
    <w:rsid w:val="002C60D7"/>
    <w:rsid w:val="002C705C"/>
    <w:rsid w:val="002E5E11"/>
    <w:rsid w:val="00313D96"/>
    <w:rsid w:val="00314EBA"/>
    <w:rsid w:val="00317F6F"/>
    <w:rsid w:val="003202E8"/>
    <w:rsid w:val="00322A93"/>
    <w:rsid w:val="00325E71"/>
    <w:rsid w:val="00332094"/>
    <w:rsid w:val="00364D6A"/>
    <w:rsid w:val="00370365"/>
    <w:rsid w:val="003868E9"/>
    <w:rsid w:val="003939DC"/>
    <w:rsid w:val="003A1E7E"/>
    <w:rsid w:val="003A2747"/>
    <w:rsid w:val="003A3F7C"/>
    <w:rsid w:val="003C7E11"/>
    <w:rsid w:val="003D2DD2"/>
    <w:rsid w:val="003E1DFB"/>
    <w:rsid w:val="003E37E1"/>
    <w:rsid w:val="003E62A3"/>
    <w:rsid w:val="003F5284"/>
    <w:rsid w:val="00441C20"/>
    <w:rsid w:val="0045022C"/>
    <w:rsid w:val="004668F8"/>
    <w:rsid w:val="004824DC"/>
    <w:rsid w:val="0049513C"/>
    <w:rsid w:val="004A2F48"/>
    <w:rsid w:val="004A4AE5"/>
    <w:rsid w:val="004B395B"/>
    <w:rsid w:val="004C7E2C"/>
    <w:rsid w:val="004D2550"/>
    <w:rsid w:val="004E30DF"/>
    <w:rsid w:val="004E4D87"/>
    <w:rsid w:val="00505CFF"/>
    <w:rsid w:val="005205CB"/>
    <w:rsid w:val="00524679"/>
    <w:rsid w:val="005430CB"/>
    <w:rsid w:val="00556FCB"/>
    <w:rsid w:val="00564438"/>
    <w:rsid w:val="005963D4"/>
    <w:rsid w:val="00597F65"/>
    <w:rsid w:val="005A1782"/>
    <w:rsid w:val="005C41FA"/>
    <w:rsid w:val="005C571B"/>
    <w:rsid w:val="005C7475"/>
    <w:rsid w:val="005D02F7"/>
    <w:rsid w:val="005D0508"/>
    <w:rsid w:val="005E4BFA"/>
    <w:rsid w:val="00602B89"/>
    <w:rsid w:val="0060733F"/>
    <w:rsid w:val="0061720F"/>
    <w:rsid w:val="00641AC6"/>
    <w:rsid w:val="00643DFA"/>
    <w:rsid w:val="00643E1D"/>
    <w:rsid w:val="00663742"/>
    <w:rsid w:val="006761AC"/>
    <w:rsid w:val="006873A9"/>
    <w:rsid w:val="0069098D"/>
    <w:rsid w:val="006A0357"/>
    <w:rsid w:val="006B1F9F"/>
    <w:rsid w:val="006B3BC4"/>
    <w:rsid w:val="006B44D4"/>
    <w:rsid w:val="006C7A89"/>
    <w:rsid w:val="006D0974"/>
    <w:rsid w:val="006D23B4"/>
    <w:rsid w:val="006D5704"/>
    <w:rsid w:val="006D7266"/>
    <w:rsid w:val="00704A5E"/>
    <w:rsid w:val="007145F6"/>
    <w:rsid w:val="0071792E"/>
    <w:rsid w:val="00730AB4"/>
    <w:rsid w:val="0075366D"/>
    <w:rsid w:val="0076274B"/>
    <w:rsid w:val="0077424A"/>
    <w:rsid w:val="007817FA"/>
    <w:rsid w:val="00795BA5"/>
    <w:rsid w:val="007A45EB"/>
    <w:rsid w:val="007B760C"/>
    <w:rsid w:val="007C6265"/>
    <w:rsid w:val="007D3861"/>
    <w:rsid w:val="007D4E8A"/>
    <w:rsid w:val="007D52A5"/>
    <w:rsid w:val="007E5CD7"/>
    <w:rsid w:val="007F2CD9"/>
    <w:rsid w:val="007F52BC"/>
    <w:rsid w:val="007F5673"/>
    <w:rsid w:val="008040B5"/>
    <w:rsid w:val="00813DBC"/>
    <w:rsid w:val="00820861"/>
    <w:rsid w:val="00834B29"/>
    <w:rsid w:val="00835C70"/>
    <w:rsid w:val="008363E9"/>
    <w:rsid w:val="00841216"/>
    <w:rsid w:val="0084260C"/>
    <w:rsid w:val="00843384"/>
    <w:rsid w:val="00862C87"/>
    <w:rsid w:val="008761E1"/>
    <w:rsid w:val="00886CD6"/>
    <w:rsid w:val="00893628"/>
    <w:rsid w:val="008960D9"/>
    <w:rsid w:val="008A7E0D"/>
    <w:rsid w:val="008B736B"/>
    <w:rsid w:val="008E5607"/>
    <w:rsid w:val="008F182C"/>
    <w:rsid w:val="008F593C"/>
    <w:rsid w:val="00905A42"/>
    <w:rsid w:val="00910F9E"/>
    <w:rsid w:val="00921A0C"/>
    <w:rsid w:val="00930E51"/>
    <w:rsid w:val="00934CDA"/>
    <w:rsid w:val="009368A8"/>
    <w:rsid w:val="009408CB"/>
    <w:rsid w:val="00947A99"/>
    <w:rsid w:val="0095495D"/>
    <w:rsid w:val="00956A44"/>
    <w:rsid w:val="00963AAF"/>
    <w:rsid w:val="009663A6"/>
    <w:rsid w:val="00974AD0"/>
    <w:rsid w:val="009804C9"/>
    <w:rsid w:val="00985FE4"/>
    <w:rsid w:val="009875EC"/>
    <w:rsid w:val="009879DE"/>
    <w:rsid w:val="009932E4"/>
    <w:rsid w:val="00993AC6"/>
    <w:rsid w:val="009B4DE9"/>
    <w:rsid w:val="009B7573"/>
    <w:rsid w:val="009C7650"/>
    <w:rsid w:val="009E0F3A"/>
    <w:rsid w:val="009E5A86"/>
    <w:rsid w:val="009E6E4B"/>
    <w:rsid w:val="009F55E7"/>
    <w:rsid w:val="00A030AF"/>
    <w:rsid w:val="00A0500B"/>
    <w:rsid w:val="00A15B63"/>
    <w:rsid w:val="00A20869"/>
    <w:rsid w:val="00A32C20"/>
    <w:rsid w:val="00A358CC"/>
    <w:rsid w:val="00A43370"/>
    <w:rsid w:val="00A94B39"/>
    <w:rsid w:val="00AC2520"/>
    <w:rsid w:val="00AC7E3A"/>
    <w:rsid w:val="00AE1E4A"/>
    <w:rsid w:val="00AF1929"/>
    <w:rsid w:val="00B02C6E"/>
    <w:rsid w:val="00B10715"/>
    <w:rsid w:val="00B14888"/>
    <w:rsid w:val="00B15C39"/>
    <w:rsid w:val="00B22383"/>
    <w:rsid w:val="00B24BB9"/>
    <w:rsid w:val="00B26D81"/>
    <w:rsid w:val="00B44A3B"/>
    <w:rsid w:val="00B52461"/>
    <w:rsid w:val="00B54F2F"/>
    <w:rsid w:val="00B60849"/>
    <w:rsid w:val="00B664B6"/>
    <w:rsid w:val="00B93BC9"/>
    <w:rsid w:val="00B944DB"/>
    <w:rsid w:val="00BA09D2"/>
    <w:rsid w:val="00BA0FEF"/>
    <w:rsid w:val="00BB0F49"/>
    <w:rsid w:val="00BB3A75"/>
    <w:rsid w:val="00BC509E"/>
    <w:rsid w:val="00BD2F18"/>
    <w:rsid w:val="00BD5868"/>
    <w:rsid w:val="00BE1776"/>
    <w:rsid w:val="00BE2ECA"/>
    <w:rsid w:val="00BE43F4"/>
    <w:rsid w:val="00BE6D6A"/>
    <w:rsid w:val="00BF3296"/>
    <w:rsid w:val="00C00E50"/>
    <w:rsid w:val="00C1736B"/>
    <w:rsid w:val="00C17731"/>
    <w:rsid w:val="00C179AE"/>
    <w:rsid w:val="00C21533"/>
    <w:rsid w:val="00C30552"/>
    <w:rsid w:val="00C32444"/>
    <w:rsid w:val="00C32A84"/>
    <w:rsid w:val="00C35648"/>
    <w:rsid w:val="00C35789"/>
    <w:rsid w:val="00C65DD9"/>
    <w:rsid w:val="00C67BAD"/>
    <w:rsid w:val="00C839F0"/>
    <w:rsid w:val="00C86875"/>
    <w:rsid w:val="00CA612E"/>
    <w:rsid w:val="00CB18D7"/>
    <w:rsid w:val="00CC7946"/>
    <w:rsid w:val="00CD4AFE"/>
    <w:rsid w:val="00CD551E"/>
    <w:rsid w:val="00CE4B39"/>
    <w:rsid w:val="00CF3336"/>
    <w:rsid w:val="00D10637"/>
    <w:rsid w:val="00D10876"/>
    <w:rsid w:val="00D32B75"/>
    <w:rsid w:val="00D4124F"/>
    <w:rsid w:val="00D45FAF"/>
    <w:rsid w:val="00D554C0"/>
    <w:rsid w:val="00D67782"/>
    <w:rsid w:val="00D74C64"/>
    <w:rsid w:val="00D76848"/>
    <w:rsid w:val="00D810B9"/>
    <w:rsid w:val="00D8386E"/>
    <w:rsid w:val="00D95E73"/>
    <w:rsid w:val="00D97DF2"/>
    <w:rsid w:val="00DA0146"/>
    <w:rsid w:val="00DB1638"/>
    <w:rsid w:val="00DB6D20"/>
    <w:rsid w:val="00DB7717"/>
    <w:rsid w:val="00DC4FB2"/>
    <w:rsid w:val="00DC52C3"/>
    <w:rsid w:val="00DD4025"/>
    <w:rsid w:val="00DD43B6"/>
    <w:rsid w:val="00DF0330"/>
    <w:rsid w:val="00E06B81"/>
    <w:rsid w:val="00E06BBD"/>
    <w:rsid w:val="00E07693"/>
    <w:rsid w:val="00E22346"/>
    <w:rsid w:val="00E44AAC"/>
    <w:rsid w:val="00E72105"/>
    <w:rsid w:val="00E7248F"/>
    <w:rsid w:val="00E85884"/>
    <w:rsid w:val="00EA7356"/>
    <w:rsid w:val="00EC6E16"/>
    <w:rsid w:val="00EE2857"/>
    <w:rsid w:val="00EE488D"/>
    <w:rsid w:val="00F04AA5"/>
    <w:rsid w:val="00F14CD0"/>
    <w:rsid w:val="00F159F5"/>
    <w:rsid w:val="00F16851"/>
    <w:rsid w:val="00F21461"/>
    <w:rsid w:val="00F35C57"/>
    <w:rsid w:val="00F36D1C"/>
    <w:rsid w:val="00F507E7"/>
    <w:rsid w:val="00F50A37"/>
    <w:rsid w:val="00F51D19"/>
    <w:rsid w:val="00F52539"/>
    <w:rsid w:val="00F53128"/>
    <w:rsid w:val="00F55260"/>
    <w:rsid w:val="00F927E1"/>
    <w:rsid w:val="00F95EA0"/>
    <w:rsid w:val="00FA227F"/>
    <w:rsid w:val="00FE1802"/>
    <w:rsid w:val="00FE5645"/>
    <w:rsid w:val="00FE6C8A"/>
    <w:rsid w:val="00FF2F72"/>
    <w:rsid w:val="00FF5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Top of Form" w:uiPriority="99"/>
    <w:lsdException w:name="HTML Bottom of Form" w:uiPriority="99"/>
    <w:lsdException w:name="Normal (Web)" w:uiPriority="99"/>
    <w:lsdException w:name="No Spacing" w:qFormat="1"/>
    <w:lsdException w:name="List Paragraph" w:uiPriority="34" w:qFormat="1"/>
    <w:lsdException w:name="Quote" w:qFormat="1"/>
    <w:lsdException w:name="Intense Quote" w:qFormat="1"/>
    <w:lsdException w:name="Colorful List Accent 1" w:uiPriority="34" w:qFormat="1"/>
    <w:lsdException w:name="Medium Shading 2 Accent 5" w:uiPriority="64"/>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6E2C"/>
    <w:pPr>
      <w:spacing w:after="200" w:line="276" w:lineRule="auto"/>
    </w:pPr>
    <w:rPr>
      <w:sz w:val="22"/>
      <w:szCs w:val="22"/>
    </w:rPr>
  </w:style>
  <w:style w:type="paragraph" w:styleId="Heading1">
    <w:name w:val="heading 1"/>
    <w:aliases w:val="Heading 1.I"/>
    <w:next w:val="Normal"/>
    <w:link w:val="Heading1Char"/>
    <w:qFormat/>
    <w:rsid w:val="00D74C64"/>
    <w:pPr>
      <w:keepNext/>
      <w:tabs>
        <w:tab w:val="num" w:pos="360"/>
      </w:tabs>
      <w:spacing w:before="240" w:after="240"/>
      <w:ind w:left="288" w:hanging="288"/>
      <w:jc w:val="center"/>
      <w:outlineLvl w:val="0"/>
    </w:pPr>
    <w:rPr>
      <w:rFonts w:ascii="Times New Roman Bold" w:eastAsia="Times New Roman" w:hAnsi="Times New Roman Bold"/>
      <w:b/>
      <w:smallCaps/>
      <w:noProof/>
      <w:sz w:val="28"/>
    </w:rPr>
  </w:style>
  <w:style w:type="paragraph" w:styleId="Heading2">
    <w:name w:val="heading 2"/>
    <w:basedOn w:val="Normal"/>
    <w:next w:val="Normal"/>
    <w:link w:val="Heading2Char"/>
    <w:qFormat/>
    <w:rsid w:val="007F2CD9"/>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6A0357"/>
    <w:pPr>
      <w:keepNext/>
      <w:spacing w:before="240" w:after="60"/>
      <w:outlineLvl w:val="2"/>
    </w:pPr>
    <w:rPr>
      <w:rFonts w:ascii="Cambria" w:eastAsia="Times New Roman" w:hAnsi="Cambria"/>
      <w:b/>
      <w:bCs/>
      <w:sz w:val="26"/>
      <w:szCs w:val="26"/>
    </w:rPr>
  </w:style>
  <w:style w:type="paragraph" w:styleId="Heading4">
    <w:name w:val="heading 4"/>
    <w:aliases w:val="Heading 4.a"/>
    <w:basedOn w:val="Normal"/>
    <w:next w:val="Normal"/>
    <w:link w:val="Heading4Char"/>
    <w:qFormat/>
    <w:rsid w:val="006A0357"/>
    <w:pPr>
      <w:keepNext/>
      <w:spacing w:before="240" w:after="60"/>
      <w:outlineLvl w:val="3"/>
    </w:pPr>
    <w:rPr>
      <w:rFonts w:eastAsia="Times New Roman"/>
      <w:b/>
      <w:bCs/>
      <w:sz w:val="28"/>
      <w:szCs w:val="28"/>
    </w:rPr>
  </w:style>
  <w:style w:type="paragraph" w:styleId="Heading5">
    <w:name w:val="heading 5"/>
    <w:aliases w:val="Heading 5.(i)"/>
    <w:basedOn w:val="Normal"/>
    <w:next w:val="Normal"/>
    <w:link w:val="Heading5Char"/>
    <w:qFormat/>
    <w:rsid w:val="006A0357"/>
    <w:pPr>
      <w:numPr>
        <w:ilvl w:val="4"/>
        <w:numId w:val="32"/>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6A0357"/>
    <w:pPr>
      <w:numPr>
        <w:ilvl w:val="5"/>
        <w:numId w:val="32"/>
      </w:numPr>
      <w:spacing w:before="240" w:after="60"/>
      <w:outlineLvl w:val="5"/>
    </w:pPr>
    <w:rPr>
      <w:rFonts w:eastAsia="Times New Roman"/>
      <w:b/>
      <w:bCs/>
    </w:rPr>
  </w:style>
  <w:style w:type="paragraph" w:styleId="Heading7">
    <w:name w:val="heading 7"/>
    <w:basedOn w:val="Normal"/>
    <w:next w:val="Normal"/>
    <w:link w:val="Heading7Char"/>
    <w:qFormat/>
    <w:rsid w:val="006A0357"/>
    <w:pPr>
      <w:numPr>
        <w:ilvl w:val="6"/>
        <w:numId w:val="32"/>
      </w:numPr>
      <w:spacing w:before="240" w:after="60"/>
      <w:outlineLvl w:val="6"/>
    </w:pPr>
    <w:rPr>
      <w:rFonts w:eastAsia="Times New Roman"/>
      <w:sz w:val="24"/>
      <w:szCs w:val="24"/>
    </w:rPr>
  </w:style>
  <w:style w:type="paragraph" w:styleId="Heading8">
    <w:name w:val="heading 8"/>
    <w:basedOn w:val="Normal"/>
    <w:next w:val="Normal"/>
    <w:link w:val="Heading8Char"/>
    <w:qFormat/>
    <w:rsid w:val="006A0357"/>
    <w:pPr>
      <w:numPr>
        <w:ilvl w:val="7"/>
        <w:numId w:val="32"/>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6A0357"/>
    <w:pPr>
      <w:numPr>
        <w:ilvl w:val="8"/>
        <w:numId w:val="3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C0621"/>
    <w:rPr>
      <w:rFonts w:ascii="Tahoma" w:eastAsia="Times New Roman" w:hAnsi="Tahoma" w:cs="Tahoma"/>
      <w:sz w:val="16"/>
      <w:szCs w:val="16"/>
    </w:rPr>
  </w:style>
  <w:style w:type="paragraph" w:styleId="FootnoteText">
    <w:name w:val="footnote text"/>
    <w:aliases w:val="fn,Texto de rodapé,nota_rodapé,nota de rodapé"/>
    <w:basedOn w:val="Normal"/>
    <w:link w:val="FootnoteTextChar"/>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Texto de rodapé Char,nota_rodapé Char,nota de rodapé Char"/>
    <w:basedOn w:val="DefaultParagraphFont"/>
    <w:link w:val="FootnoteText"/>
    <w:rsid w:val="00902F77"/>
    <w:rPr>
      <w:rFonts w:ascii="Times New Roman" w:hAnsi="Times New Roman"/>
      <w:spacing w:val="-3"/>
      <w:szCs w:val="24"/>
    </w:rPr>
  </w:style>
  <w:style w:type="character" w:styleId="FootnoteReference">
    <w:name w:val="footnote reference"/>
    <w:basedOn w:val="DefaultParagraphFont"/>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uiPriority w:val="99"/>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basedOn w:val="CommentTextChar"/>
    <w:link w:val="CommentSubject"/>
    <w:rsid w:val="001E55D5"/>
    <w:rPr>
      <w:b/>
      <w:bCs/>
    </w:rPr>
  </w:style>
  <w:style w:type="paragraph" w:customStyle="1" w:styleId="Chapter">
    <w:name w:val="Chapter"/>
    <w:basedOn w:val="Normal"/>
    <w:next w:val="Normal"/>
    <w:link w:val="ChapterChar"/>
    <w:uiPriority w:val="99"/>
    <w:rsid w:val="006A0357"/>
    <w:pPr>
      <w:keepNext/>
      <w:numPr>
        <w:numId w:val="25"/>
      </w:numPr>
      <w:tabs>
        <w:tab w:val="clear" w:pos="1800"/>
        <w:tab w:val="num" w:pos="648"/>
        <w:tab w:val="left" w:pos="1440"/>
      </w:tabs>
      <w:spacing w:before="240" w:after="240" w:line="240" w:lineRule="auto"/>
      <w:ind w:left="0"/>
      <w:jc w:val="center"/>
    </w:pPr>
    <w:rPr>
      <w:rFonts w:ascii="Times New Roman" w:hAnsi="Times New Roman"/>
      <w:b/>
      <w:smallCaps/>
      <w:sz w:val="24"/>
    </w:rPr>
  </w:style>
  <w:style w:type="character" w:customStyle="1" w:styleId="ColorfulList-Accent1Char">
    <w:name w:val="Colorful List - Accent 1 Char"/>
    <w:basedOn w:val="DefaultParagraphFont"/>
    <w:link w:val="ColorfulList-Accent11"/>
    <w:uiPriority w:val="34"/>
    <w:rsid w:val="00816867"/>
    <w:rPr>
      <w:sz w:val="22"/>
      <w:szCs w:val="22"/>
    </w:rPr>
  </w:style>
  <w:style w:type="character" w:customStyle="1" w:styleId="ChapterChar">
    <w:name w:val="Chapter Char"/>
    <w:basedOn w:val="ColorfulList-Accent1Char"/>
    <w:link w:val="Chapter"/>
    <w:uiPriority w:val="99"/>
    <w:rsid w:val="006A0357"/>
    <w:rPr>
      <w:rFonts w:ascii="Times New Roman" w:hAnsi="Times New Roman"/>
      <w:b/>
      <w:smallCaps/>
      <w:sz w:val="24"/>
      <w:szCs w:val="22"/>
    </w:rPr>
  </w:style>
  <w:style w:type="paragraph" w:customStyle="1" w:styleId="FirstHeading">
    <w:name w:val="FirstHeading"/>
    <w:basedOn w:val="Normal"/>
    <w:next w:val="Normal"/>
    <w:link w:val="FirstHeadingChar"/>
    <w:rsid w:val="006A0357"/>
    <w:pPr>
      <w:keepNext/>
      <w:numPr>
        <w:numId w:val="32"/>
      </w:numPr>
      <w:tabs>
        <w:tab w:val="left" w:pos="0"/>
        <w:tab w:val="left" w:pos="86"/>
      </w:tabs>
      <w:spacing w:before="120" w:after="120" w:line="240" w:lineRule="auto"/>
      <w:ind w:left="720"/>
    </w:pPr>
    <w:rPr>
      <w:rFonts w:ascii="Times New Roman" w:hAnsi="Times New Roman"/>
      <w:b/>
      <w:sz w:val="24"/>
    </w:rPr>
  </w:style>
  <w:style w:type="character" w:customStyle="1" w:styleId="FirstHeadingChar">
    <w:name w:val="FirstHeading Char"/>
    <w:basedOn w:val="ColorfulList-Accent1Char"/>
    <w:link w:val="FirstHeading"/>
    <w:rsid w:val="006A0357"/>
    <w:rPr>
      <w:rFonts w:ascii="Times New Roman" w:hAnsi="Times New Roman"/>
      <w:b/>
      <w:sz w:val="24"/>
      <w:szCs w:val="22"/>
    </w:rPr>
  </w:style>
  <w:style w:type="paragraph" w:customStyle="1" w:styleId="SecHeading">
    <w:name w:val="SecHeading"/>
    <w:basedOn w:val="Normal"/>
    <w:next w:val="Paragraph"/>
    <w:link w:val="SecHeadingChar"/>
    <w:rsid w:val="006A0357"/>
    <w:pPr>
      <w:keepNext/>
      <w:numPr>
        <w:ilvl w:val="1"/>
        <w:numId w:val="32"/>
      </w:numPr>
      <w:tabs>
        <w:tab w:val="clear" w:pos="5400"/>
        <w:tab w:val="num" w:pos="1296"/>
      </w:tabs>
      <w:spacing w:before="120" w:after="120" w:line="240" w:lineRule="auto"/>
      <w:ind w:left="1296"/>
    </w:pPr>
    <w:rPr>
      <w:rFonts w:ascii="Times New Roman" w:hAnsi="Times New Roman"/>
      <w:b/>
      <w:sz w:val="24"/>
    </w:rPr>
  </w:style>
  <w:style w:type="character" w:customStyle="1" w:styleId="SecHeadingChar">
    <w:name w:val="SecHeading Char"/>
    <w:basedOn w:val="ColorfulList-Accent1Char"/>
    <w:link w:val="SecHeading"/>
    <w:rsid w:val="006A0357"/>
    <w:rPr>
      <w:rFonts w:ascii="Times New Roman" w:hAnsi="Times New Roman"/>
      <w:b/>
      <w:sz w:val="24"/>
      <w:szCs w:val="22"/>
    </w:rPr>
  </w:style>
  <w:style w:type="paragraph" w:customStyle="1" w:styleId="SubHeading1">
    <w:name w:val="SubHeading1"/>
    <w:basedOn w:val="SecHeading"/>
    <w:link w:val="SubHeading1Char"/>
    <w:rsid w:val="006A0357"/>
    <w:pPr>
      <w:numPr>
        <w:ilvl w:val="2"/>
      </w:numPr>
      <w:tabs>
        <w:tab w:val="clear" w:pos="5976"/>
        <w:tab w:val="num" w:pos="1872"/>
      </w:tabs>
      <w:ind w:left="1872"/>
    </w:pPr>
  </w:style>
  <w:style w:type="character" w:customStyle="1" w:styleId="SubHeading1Char">
    <w:name w:val="SubHeading1 Char"/>
    <w:basedOn w:val="ColorfulList-Accent1Char"/>
    <w:link w:val="SubHeading1"/>
    <w:rsid w:val="006A0357"/>
    <w:rPr>
      <w:rFonts w:ascii="Times New Roman" w:hAnsi="Times New Roman"/>
      <w:b/>
      <w:sz w:val="24"/>
      <w:szCs w:val="22"/>
    </w:rPr>
  </w:style>
  <w:style w:type="paragraph" w:customStyle="1" w:styleId="Subheading2">
    <w:name w:val="Subheading2"/>
    <w:basedOn w:val="SecHeading"/>
    <w:link w:val="Subheading2Char"/>
    <w:rsid w:val="006A0357"/>
    <w:pPr>
      <w:numPr>
        <w:ilvl w:val="3"/>
      </w:numPr>
      <w:tabs>
        <w:tab w:val="clear" w:pos="6480"/>
        <w:tab w:val="num" w:pos="2376"/>
      </w:tabs>
      <w:ind w:left="2376"/>
    </w:pPr>
  </w:style>
  <w:style w:type="character" w:customStyle="1" w:styleId="Subheading2Char">
    <w:name w:val="Subheading2 Char"/>
    <w:basedOn w:val="ColorfulList-Accent1Char"/>
    <w:link w:val="Subheading2"/>
    <w:rsid w:val="006A0357"/>
    <w:rPr>
      <w:rFonts w:ascii="Times New Roman" w:hAnsi="Times New Roman"/>
      <w:b/>
      <w:sz w:val="24"/>
      <w:szCs w:val="22"/>
    </w:rPr>
  </w:style>
  <w:style w:type="paragraph" w:customStyle="1" w:styleId="Paragraph">
    <w:name w:val="Paragraph"/>
    <w:aliases w:val="paragraph,p,PARAGRAPH,PG,pa,at"/>
    <w:basedOn w:val="BodyTextIndent"/>
    <w:link w:val="ParagraphChar"/>
    <w:uiPriority w:val="99"/>
    <w:rsid w:val="006A0357"/>
    <w:pPr>
      <w:numPr>
        <w:ilvl w:val="1"/>
        <w:numId w:val="25"/>
      </w:numPr>
      <w:tabs>
        <w:tab w:val="clear" w:pos="2448"/>
        <w:tab w:val="num" w:pos="720"/>
      </w:tabs>
      <w:spacing w:before="120"/>
      <w:ind w:left="720" w:hanging="720"/>
      <w:jc w:val="both"/>
      <w:outlineLvl w:val="1"/>
    </w:pPr>
  </w:style>
  <w:style w:type="character" w:customStyle="1" w:styleId="ParagraphChar">
    <w:name w:val="Paragraph Char"/>
    <w:basedOn w:val="ColorfulList-Accent1Char"/>
    <w:link w:val="Paragraph"/>
    <w:uiPriority w:val="99"/>
    <w:rsid w:val="006A0357"/>
    <w:rPr>
      <w:rFonts w:ascii="Times New Roman" w:hAnsi="Times New Roman"/>
      <w:sz w:val="24"/>
      <w:szCs w:val="22"/>
    </w:rPr>
  </w:style>
  <w:style w:type="paragraph" w:customStyle="1" w:styleId="subpar">
    <w:name w:val="subpar"/>
    <w:basedOn w:val="BodyTextIndent3"/>
    <w:link w:val="subparChar"/>
    <w:uiPriority w:val="99"/>
    <w:rsid w:val="006A0357"/>
    <w:pPr>
      <w:numPr>
        <w:ilvl w:val="2"/>
        <w:numId w:val="25"/>
      </w:numPr>
      <w:tabs>
        <w:tab w:val="clear" w:pos="2304"/>
        <w:tab w:val="num" w:pos="1152"/>
      </w:tabs>
      <w:spacing w:before="120"/>
      <w:ind w:left="1152"/>
      <w:jc w:val="both"/>
      <w:outlineLvl w:val="2"/>
    </w:pPr>
  </w:style>
  <w:style w:type="character" w:customStyle="1" w:styleId="subparChar">
    <w:name w:val="subpar Char"/>
    <w:basedOn w:val="ColorfulList-Accent1Char"/>
    <w:link w:val="subpar"/>
    <w:uiPriority w:val="99"/>
    <w:rsid w:val="006A0357"/>
    <w:rPr>
      <w:rFonts w:ascii="Times New Roman" w:hAnsi="Times New Roman"/>
      <w:sz w:val="24"/>
      <w:szCs w:val="16"/>
    </w:rPr>
  </w:style>
  <w:style w:type="paragraph" w:customStyle="1" w:styleId="SubSubPar">
    <w:name w:val="SubSubPar"/>
    <w:basedOn w:val="subpar"/>
    <w:link w:val="SubSubParChar"/>
    <w:uiPriority w:val="99"/>
    <w:rsid w:val="006A0357"/>
    <w:pPr>
      <w:numPr>
        <w:ilvl w:val="3"/>
      </w:numPr>
      <w:tabs>
        <w:tab w:val="clear" w:pos="2736"/>
        <w:tab w:val="left" w:pos="0"/>
        <w:tab w:val="num" w:pos="1296"/>
      </w:tabs>
      <w:ind w:left="1296"/>
    </w:pPr>
  </w:style>
  <w:style w:type="character" w:customStyle="1" w:styleId="SubSubParChar">
    <w:name w:val="SubSubPar Char"/>
    <w:basedOn w:val="ColorfulList-Accent1Char"/>
    <w:link w:val="SubSubPar"/>
    <w:uiPriority w:val="99"/>
    <w:rsid w:val="006A0357"/>
    <w:rPr>
      <w:rFonts w:ascii="Times New Roman" w:hAnsi="Times New Roman"/>
      <w:sz w:val="24"/>
      <w:szCs w:val="16"/>
    </w:rPr>
  </w:style>
  <w:style w:type="paragraph" w:customStyle="1" w:styleId="Regtable">
    <w:name w:val="Regtable"/>
    <w:basedOn w:val="Normal"/>
    <w:link w:val="RegtableChar"/>
    <w:rsid w:val="006A035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ColorfulList-Accent1Char"/>
    <w:link w:val="Regtable"/>
    <w:rsid w:val="006A0357"/>
    <w:rPr>
      <w:rFonts w:ascii="Times New Roman" w:hAnsi="Times New Roman"/>
      <w:sz w:val="22"/>
      <w:szCs w:val="22"/>
    </w:rPr>
  </w:style>
  <w:style w:type="paragraph" w:customStyle="1" w:styleId="TableTitle">
    <w:name w:val="TableTitle"/>
    <w:basedOn w:val="Normal"/>
    <w:link w:val="TableTitleChar"/>
    <w:rsid w:val="006A0357"/>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ColorfulList-Accent1Char"/>
    <w:link w:val="TableTitle"/>
    <w:rsid w:val="006A0357"/>
    <w:rPr>
      <w:rFonts w:ascii="Times New Roman Bold" w:hAnsi="Times New Roman Bold"/>
      <w:b/>
      <w:spacing w:val="-3"/>
      <w:sz w:val="22"/>
      <w:szCs w:val="22"/>
    </w:rPr>
  </w:style>
  <w:style w:type="character" w:customStyle="1" w:styleId="Heading2Char">
    <w:name w:val="Heading 2 Char"/>
    <w:basedOn w:val="DefaultParagraphFont"/>
    <w:link w:val="Heading2"/>
    <w:rsid w:val="00816867"/>
    <w:rPr>
      <w:rFonts w:ascii="Cambria" w:eastAsia="Times New Roman" w:hAnsi="Cambria"/>
      <w:b/>
      <w:bCs/>
      <w:i/>
      <w:iCs/>
      <w:sz w:val="28"/>
      <w:szCs w:val="28"/>
    </w:rPr>
  </w:style>
  <w:style w:type="character" w:customStyle="1" w:styleId="Heading3Char">
    <w:name w:val="Heading 3 Char"/>
    <w:basedOn w:val="DefaultParagraphFont"/>
    <w:link w:val="Heading3"/>
    <w:rsid w:val="007F2CD9"/>
    <w:rPr>
      <w:rFonts w:ascii="Cambria" w:eastAsia="Times New Roman" w:hAnsi="Cambria"/>
      <w:b/>
      <w:bCs/>
      <w:sz w:val="26"/>
      <w:szCs w:val="26"/>
    </w:rPr>
  </w:style>
  <w:style w:type="character" w:customStyle="1" w:styleId="Heading4Char">
    <w:name w:val="Heading 4 Char"/>
    <w:aliases w:val="Heading 4.a Char"/>
    <w:basedOn w:val="DefaultParagraphFont"/>
    <w:link w:val="Heading4"/>
    <w:rsid w:val="007F2CD9"/>
    <w:rPr>
      <w:rFonts w:eastAsia="Times New Roman"/>
      <w:b/>
      <w:bCs/>
      <w:sz w:val="28"/>
      <w:szCs w:val="28"/>
    </w:rPr>
  </w:style>
  <w:style w:type="character" w:customStyle="1" w:styleId="Heading5Char">
    <w:name w:val="Heading 5 Char"/>
    <w:aliases w:val="Heading 5.(i) Char"/>
    <w:basedOn w:val="DefaultParagraphFont"/>
    <w:link w:val="Heading5"/>
    <w:rsid w:val="006A0357"/>
    <w:rPr>
      <w:rFonts w:eastAsia="Times New Roman"/>
      <w:b/>
      <w:bCs/>
      <w:i/>
      <w:iCs/>
      <w:sz w:val="26"/>
      <w:szCs w:val="26"/>
    </w:rPr>
  </w:style>
  <w:style w:type="character" w:customStyle="1" w:styleId="Heading6Char">
    <w:name w:val="Heading 6 Char"/>
    <w:basedOn w:val="DefaultParagraphFont"/>
    <w:link w:val="Heading6"/>
    <w:rsid w:val="006A0357"/>
    <w:rPr>
      <w:rFonts w:eastAsia="Times New Roman"/>
      <w:b/>
      <w:bCs/>
      <w:sz w:val="22"/>
      <w:szCs w:val="22"/>
    </w:rPr>
  </w:style>
  <w:style w:type="character" w:customStyle="1" w:styleId="Heading7Char">
    <w:name w:val="Heading 7 Char"/>
    <w:basedOn w:val="DefaultParagraphFont"/>
    <w:link w:val="Heading7"/>
    <w:rsid w:val="006A0357"/>
    <w:rPr>
      <w:rFonts w:eastAsia="Times New Roman"/>
      <w:sz w:val="24"/>
      <w:szCs w:val="24"/>
    </w:rPr>
  </w:style>
  <w:style w:type="character" w:customStyle="1" w:styleId="Heading8Char">
    <w:name w:val="Heading 8 Char"/>
    <w:basedOn w:val="DefaultParagraphFont"/>
    <w:link w:val="Heading8"/>
    <w:rsid w:val="006A0357"/>
    <w:rPr>
      <w:rFonts w:eastAsia="Times New Roman"/>
      <w:i/>
      <w:iCs/>
      <w:sz w:val="24"/>
      <w:szCs w:val="24"/>
    </w:rPr>
  </w:style>
  <w:style w:type="character" w:customStyle="1" w:styleId="Heading9Char">
    <w:name w:val="Heading 9 Char"/>
    <w:basedOn w:val="DefaultParagraphFont"/>
    <w:link w:val="Heading9"/>
    <w:rsid w:val="006A0357"/>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816867"/>
    <w:rPr>
      <w:rFonts w:ascii="Times New Roman" w:hAnsi="Times New Roman"/>
      <w:sz w:val="24"/>
      <w:szCs w:val="16"/>
    </w:rPr>
  </w:style>
  <w:style w:type="character" w:styleId="Hyperlink">
    <w:name w:val="Hyperlink"/>
    <w:basedOn w:val="DefaultParagraphFont"/>
    <w:rsid w:val="00BA0FEF"/>
    <w:rPr>
      <w:color w:val="0000FF"/>
      <w:u w:val="single"/>
    </w:rPr>
  </w:style>
  <w:style w:type="character" w:styleId="FollowedHyperlink">
    <w:name w:val="FollowedHyperlink"/>
    <w:basedOn w:val="DefaultParagraphFont"/>
    <w:rsid w:val="00BA0FEF"/>
    <w:rPr>
      <w:color w:val="800080"/>
      <w:u w:val="single"/>
    </w:rPr>
  </w:style>
  <w:style w:type="paragraph" w:styleId="ListParagraph">
    <w:name w:val="List Paragraph"/>
    <w:basedOn w:val="Normal"/>
    <w:uiPriority w:val="34"/>
    <w:qFormat/>
    <w:rsid w:val="009C7650"/>
    <w:pPr>
      <w:ind w:left="720"/>
    </w:pPr>
  </w:style>
  <w:style w:type="character" w:customStyle="1" w:styleId="Heading1Char">
    <w:name w:val="Heading 1 Char"/>
    <w:aliases w:val="Heading 1.I Char"/>
    <w:basedOn w:val="DefaultParagraphFont"/>
    <w:link w:val="Heading1"/>
    <w:rsid w:val="00D74C64"/>
    <w:rPr>
      <w:rFonts w:ascii="Times New Roman Bold" w:eastAsia="Times New Roman" w:hAnsi="Times New Roman Bold"/>
      <w:b/>
      <w:smallCaps/>
      <w:noProof/>
      <w:sz w:val="28"/>
      <w:lang w:val="en-US" w:eastAsia="en-US" w:bidi="ar-SA"/>
    </w:rPr>
  </w:style>
  <w:style w:type="paragraph" w:customStyle="1" w:styleId="AutoNumpara">
    <w:name w:val="AutoNumpara"/>
    <w:basedOn w:val="BodyTextIndent"/>
    <w:rsid w:val="00D74C64"/>
    <w:pPr>
      <w:numPr>
        <w:ilvl w:val="1"/>
        <w:numId w:val="9"/>
      </w:numPr>
      <w:spacing w:before="120"/>
      <w:jc w:val="both"/>
    </w:pPr>
    <w:rPr>
      <w:rFonts w:eastAsia="Times New Roman"/>
      <w:noProof/>
      <w:spacing w:val="-2"/>
      <w:szCs w:val="20"/>
      <w:lang w:val="es-ES_tradnl"/>
    </w:rPr>
  </w:style>
  <w:style w:type="paragraph" w:customStyle="1" w:styleId="bullets">
    <w:name w:val="bullets"/>
    <w:rsid w:val="00B14888"/>
    <w:pPr>
      <w:numPr>
        <w:numId w:val="10"/>
      </w:numPr>
      <w:spacing w:before="120" w:after="120"/>
      <w:jc w:val="both"/>
    </w:pPr>
    <w:rPr>
      <w:rFonts w:ascii="Times New Roman" w:eastAsia="Times New Roman" w:hAnsi="Times New Roman"/>
      <w:spacing w:val="-2"/>
      <w:sz w:val="24"/>
    </w:rPr>
  </w:style>
  <w:style w:type="paragraph" w:customStyle="1" w:styleId="IndentedParagr">
    <w:name w:val="IndentedParagr"/>
    <w:basedOn w:val="Normal"/>
    <w:rsid w:val="00B14888"/>
    <w:pPr>
      <w:spacing w:before="120" w:after="120" w:line="240" w:lineRule="auto"/>
      <w:ind w:left="720"/>
      <w:jc w:val="both"/>
    </w:pPr>
    <w:rPr>
      <w:rFonts w:ascii="Times New Roman" w:eastAsia="Times New Roman" w:hAnsi="Times New Roman"/>
      <w:sz w:val="24"/>
      <w:szCs w:val="20"/>
      <w:lang w:val="es-ES_tradnl"/>
    </w:rPr>
  </w:style>
  <w:style w:type="paragraph" w:customStyle="1" w:styleId="Default">
    <w:name w:val="Default"/>
    <w:rsid w:val="00B15C39"/>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unhideWhenUsed/>
    <w:rsid w:val="00D45FAF"/>
    <w:pPr>
      <w:spacing w:before="100" w:beforeAutospacing="1" w:after="225" w:line="360" w:lineRule="atLeast"/>
    </w:pPr>
    <w:rPr>
      <w:rFonts w:ascii="Times New Roman" w:eastAsia="Times New Roman" w:hAnsi="Times New Roman"/>
      <w:sz w:val="29"/>
      <w:szCs w:val="29"/>
    </w:rPr>
  </w:style>
  <w:style w:type="character" w:styleId="Emphasis">
    <w:name w:val="Emphasis"/>
    <w:basedOn w:val="DefaultParagraphFont"/>
    <w:uiPriority w:val="20"/>
    <w:qFormat/>
    <w:rsid w:val="00094EC3"/>
    <w:rPr>
      <w:b/>
      <w:bCs/>
      <w:i w:val="0"/>
      <w:iCs w:val="0"/>
    </w:rPr>
  </w:style>
  <w:style w:type="table" w:styleId="ColorfulGrid-Accent1">
    <w:name w:val="Colorful Grid Accent 1"/>
    <w:basedOn w:val="TableNormal"/>
    <w:rsid w:val="00F1685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1">
    <w:name w:val="Colorful Grid1"/>
    <w:basedOn w:val="TableNormal"/>
    <w:rsid w:val="00D810B9"/>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LightShading1">
    <w:name w:val="Light Shading1"/>
    <w:basedOn w:val="TableNormal"/>
    <w:rsid w:val="00D810B9"/>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5">
    <w:name w:val="Medium Shading 2 Accent 5"/>
    <w:basedOn w:val="TableNormal"/>
    <w:uiPriority w:val="64"/>
    <w:rsid w:val="003A2747"/>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Top of Form" w:uiPriority="99"/>
    <w:lsdException w:name="HTML Bottom of Form" w:uiPriority="99"/>
    <w:lsdException w:name="Normal (Web)" w:uiPriority="99"/>
    <w:lsdException w:name="No Spacing" w:qFormat="1"/>
    <w:lsdException w:name="List Paragraph" w:uiPriority="34" w:qFormat="1"/>
    <w:lsdException w:name="Quote" w:qFormat="1"/>
    <w:lsdException w:name="Intense Quote" w:qFormat="1"/>
    <w:lsdException w:name="Colorful List Accent 1" w:uiPriority="34" w:qFormat="1"/>
    <w:lsdException w:name="Medium Shading 2 Accent 5" w:uiPriority="64"/>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6E2C"/>
    <w:pPr>
      <w:spacing w:after="200" w:line="276" w:lineRule="auto"/>
    </w:pPr>
    <w:rPr>
      <w:sz w:val="22"/>
      <w:szCs w:val="22"/>
    </w:rPr>
  </w:style>
  <w:style w:type="paragraph" w:styleId="Heading1">
    <w:name w:val="heading 1"/>
    <w:aliases w:val="Heading 1.I"/>
    <w:next w:val="Normal"/>
    <w:link w:val="Heading1Char"/>
    <w:qFormat/>
    <w:rsid w:val="00D74C64"/>
    <w:pPr>
      <w:keepNext/>
      <w:tabs>
        <w:tab w:val="num" w:pos="360"/>
      </w:tabs>
      <w:spacing w:before="240" w:after="240"/>
      <w:ind w:left="288" w:hanging="288"/>
      <w:jc w:val="center"/>
      <w:outlineLvl w:val="0"/>
    </w:pPr>
    <w:rPr>
      <w:rFonts w:ascii="Times New Roman Bold" w:eastAsia="Times New Roman" w:hAnsi="Times New Roman Bold"/>
      <w:b/>
      <w:smallCaps/>
      <w:noProof/>
      <w:sz w:val="28"/>
    </w:rPr>
  </w:style>
  <w:style w:type="paragraph" w:styleId="Heading2">
    <w:name w:val="heading 2"/>
    <w:basedOn w:val="Normal"/>
    <w:next w:val="Normal"/>
    <w:link w:val="Heading2Char"/>
    <w:qFormat/>
    <w:rsid w:val="007F2CD9"/>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6A0357"/>
    <w:pPr>
      <w:keepNext/>
      <w:spacing w:before="240" w:after="60"/>
      <w:outlineLvl w:val="2"/>
    </w:pPr>
    <w:rPr>
      <w:rFonts w:ascii="Cambria" w:eastAsia="Times New Roman" w:hAnsi="Cambria"/>
      <w:b/>
      <w:bCs/>
      <w:sz w:val="26"/>
      <w:szCs w:val="26"/>
    </w:rPr>
  </w:style>
  <w:style w:type="paragraph" w:styleId="Heading4">
    <w:name w:val="heading 4"/>
    <w:aliases w:val="Heading 4.a"/>
    <w:basedOn w:val="Normal"/>
    <w:next w:val="Normal"/>
    <w:link w:val="Heading4Char"/>
    <w:qFormat/>
    <w:rsid w:val="006A0357"/>
    <w:pPr>
      <w:keepNext/>
      <w:spacing w:before="240" w:after="60"/>
      <w:outlineLvl w:val="3"/>
    </w:pPr>
    <w:rPr>
      <w:rFonts w:eastAsia="Times New Roman"/>
      <w:b/>
      <w:bCs/>
      <w:sz w:val="28"/>
      <w:szCs w:val="28"/>
    </w:rPr>
  </w:style>
  <w:style w:type="paragraph" w:styleId="Heading5">
    <w:name w:val="heading 5"/>
    <w:aliases w:val="Heading 5.(i)"/>
    <w:basedOn w:val="Normal"/>
    <w:next w:val="Normal"/>
    <w:link w:val="Heading5Char"/>
    <w:qFormat/>
    <w:rsid w:val="006A0357"/>
    <w:pPr>
      <w:numPr>
        <w:ilvl w:val="4"/>
        <w:numId w:val="32"/>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6A0357"/>
    <w:pPr>
      <w:numPr>
        <w:ilvl w:val="5"/>
        <w:numId w:val="32"/>
      </w:numPr>
      <w:spacing w:before="240" w:after="60"/>
      <w:outlineLvl w:val="5"/>
    </w:pPr>
    <w:rPr>
      <w:rFonts w:eastAsia="Times New Roman"/>
      <w:b/>
      <w:bCs/>
    </w:rPr>
  </w:style>
  <w:style w:type="paragraph" w:styleId="Heading7">
    <w:name w:val="heading 7"/>
    <w:basedOn w:val="Normal"/>
    <w:next w:val="Normal"/>
    <w:link w:val="Heading7Char"/>
    <w:qFormat/>
    <w:rsid w:val="006A0357"/>
    <w:pPr>
      <w:numPr>
        <w:ilvl w:val="6"/>
        <w:numId w:val="32"/>
      </w:numPr>
      <w:spacing w:before="240" w:after="60"/>
      <w:outlineLvl w:val="6"/>
    </w:pPr>
    <w:rPr>
      <w:rFonts w:eastAsia="Times New Roman"/>
      <w:sz w:val="24"/>
      <w:szCs w:val="24"/>
    </w:rPr>
  </w:style>
  <w:style w:type="paragraph" w:styleId="Heading8">
    <w:name w:val="heading 8"/>
    <w:basedOn w:val="Normal"/>
    <w:next w:val="Normal"/>
    <w:link w:val="Heading8Char"/>
    <w:qFormat/>
    <w:rsid w:val="006A0357"/>
    <w:pPr>
      <w:numPr>
        <w:ilvl w:val="7"/>
        <w:numId w:val="32"/>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6A0357"/>
    <w:pPr>
      <w:numPr>
        <w:ilvl w:val="8"/>
        <w:numId w:val="3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C0621"/>
    <w:rPr>
      <w:rFonts w:ascii="Tahoma" w:eastAsia="Times New Roman" w:hAnsi="Tahoma" w:cs="Tahoma"/>
      <w:sz w:val="16"/>
      <w:szCs w:val="16"/>
    </w:rPr>
  </w:style>
  <w:style w:type="paragraph" w:styleId="FootnoteText">
    <w:name w:val="footnote text"/>
    <w:aliases w:val="fn,Texto de rodapé,nota_rodapé,nota de rodapé"/>
    <w:basedOn w:val="Normal"/>
    <w:link w:val="FootnoteTextChar"/>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Texto de rodapé Char,nota_rodapé Char,nota de rodapé Char"/>
    <w:basedOn w:val="DefaultParagraphFont"/>
    <w:link w:val="FootnoteText"/>
    <w:rsid w:val="00902F77"/>
    <w:rPr>
      <w:rFonts w:ascii="Times New Roman" w:hAnsi="Times New Roman"/>
      <w:spacing w:val="-3"/>
      <w:szCs w:val="24"/>
    </w:rPr>
  </w:style>
  <w:style w:type="character" w:styleId="FootnoteReference">
    <w:name w:val="footnote reference"/>
    <w:basedOn w:val="DefaultParagraphFont"/>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uiPriority w:val="99"/>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basedOn w:val="CommentTextChar"/>
    <w:link w:val="CommentSubject"/>
    <w:rsid w:val="001E55D5"/>
    <w:rPr>
      <w:b/>
      <w:bCs/>
    </w:rPr>
  </w:style>
  <w:style w:type="paragraph" w:customStyle="1" w:styleId="Chapter">
    <w:name w:val="Chapter"/>
    <w:basedOn w:val="Normal"/>
    <w:next w:val="Normal"/>
    <w:link w:val="ChapterChar"/>
    <w:uiPriority w:val="99"/>
    <w:rsid w:val="006A0357"/>
    <w:pPr>
      <w:keepNext/>
      <w:numPr>
        <w:numId w:val="25"/>
      </w:numPr>
      <w:tabs>
        <w:tab w:val="clear" w:pos="1800"/>
        <w:tab w:val="num" w:pos="648"/>
        <w:tab w:val="left" w:pos="1440"/>
      </w:tabs>
      <w:spacing w:before="240" w:after="240" w:line="240" w:lineRule="auto"/>
      <w:ind w:left="0"/>
      <w:jc w:val="center"/>
    </w:pPr>
    <w:rPr>
      <w:rFonts w:ascii="Times New Roman" w:hAnsi="Times New Roman"/>
      <w:b/>
      <w:smallCaps/>
      <w:sz w:val="24"/>
    </w:rPr>
  </w:style>
  <w:style w:type="character" w:customStyle="1" w:styleId="ColorfulList-Accent1Char">
    <w:name w:val="Colorful List - Accent 1 Char"/>
    <w:basedOn w:val="DefaultParagraphFont"/>
    <w:link w:val="ColorfulList-Accent11"/>
    <w:uiPriority w:val="34"/>
    <w:rsid w:val="00816867"/>
    <w:rPr>
      <w:sz w:val="22"/>
      <w:szCs w:val="22"/>
    </w:rPr>
  </w:style>
  <w:style w:type="character" w:customStyle="1" w:styleId="ChapterChar">
    <w:name w:val="Chapter Char"/>
    <w:basedOn w:val="ColorfulList-Accent1Char"/>
    <w:link w:val="Chapter"/>
    <w:uiPriority w:val="99"/>
    <w:rsid w:val="006A0357"/>
    <w:rPr>
      <w:rFonts w:ascii="Times New Roman" w:hAnsi="Times New Roman"/>
      <w:b/>
      <w:smallCaps/>
      <w:sz w:val="24"/>
      <w:szCs w:val="22"/>
    </w:rPr>
  </w:style>
  <w:style w:type="paragraph" w:customStyle="1" w:styleId="FirstHeading">
    <w:name w:val="FirstHeading"/>
    <w:basedOn w:val="Normal"/>
    <w:next w:val="Normal"/>
    <w:link w:val="FirstHeadingChar"/>
    <w:rsid w:val="006A0357"/>
    <w:pPr>
      <w:keepNext/>
      <w:numPr>
        <w:numId w:val="32"/>
      </w:numPr>
      <w:tabs>
        <w:tab w:val="left" w:pos="0"/>
        <w:tab w:val="left" w:pos="86"/>
      </w:tabs>
      <w:spacing w:before="120" w:after="120" w:line="240" w:lineRule="auto"/>
      <w:ind w:left="720"/>
    </w:pPr>
    <w:rPr>
      <w:rFonts w:ascii="Times New Roman" w:hAnsi="Times New Roman"/>
      <w:b/>
      <w:sz w:val="24"/>
    </w:rPr>
  </w:style>
  <w:style w:type="character" w:customStyle="1" w:styleId="FirstHeadingChar">
    <w:name w:val="FirstHeading Char"/>
    <w:basedOn w:val="ColorfulList-Accent1Char"/>
    <w:link w:val="FirstHeading"/>
    <w:rsid w:val="006A0357"/>
    <w:rPr>
      <w:rFonts w:ascii="Times New Roman" w:hAnsi="Times New Roman"/>
      <w:b/>
      <w:sz w:val="24"/>
      <w:szCs w:val="22"/>
    </w:rPr>
  </w:style>
  <w:style w:type="paragraph" w:customStyle="1" w:styleId="SecHeading">
    <w:name w:val="SecHeading"/>
    <w:basedOn w:val="Normal"/>
    <w:next w:val="Paragraph"/>
    <w:link w:val="SecHeadingChar"/>
    <w:rsid w:val="006A0357"/>
    <w:pPr>
      <w:keepNext/>
      <w:numPr>
        <w:ilvl w:val="1"/>
        <w:numId w:val="32"/>
      </w:numPr>
      <w:tabs>
        <w:tab w:val="clear" w:pos="5400"/>
        <w:tab w:val="num" w:pos="1296"/>
      </w:tabs>
      <w:spacing w:before="120" w:after="120" w:line="240" w:lineRule="auto"/>
      <w:ind w:left="1296"/>
    </w:pPr>
    <w:rPr>
      <w:rFonts w:ascii="Times New Roman" w:hAnsi="Times New Roman"/>
      <w:b/>
      <w:sz w:val="24"/>
    </w:rPr>
  </w:style>
  <w:style w:type="character" w:customStyle="1" w:styleId="SecHeadingChar">
    <w:name w:val="SecHeading Char"/>
    <w:basedOn w:val="ColorfulList-Accent1Char"/>
    <w:link w:val="SecHeading"/>
    <w:rsid w:val="006A0357"/>
    <w:rPr>
      <w:rFonts w:ascii="Times New Roman" w:hAnsi="Times New Roman"/>
      <w:b/>
      <w:sz w:val="24"/>
      <w:szCs w:val="22"/>
    </w:rPr>
  </w:style>
  <w:style w:type="paragraph" w:customStyle="1" w:styleId="SubHeading1">
    <w:name w:val="SubHeading1"/>
    <w:basedOn w:val="SecHeading"/>
    <w:link w:val="SubHeading1Char"/>
    <w:rsid w:val="006A0357"/>
    <w:pPr>
      <w:numPr>
        <w:ilvl w:val="2"/>
      </w:numPr>
      <w:tabs>
        <w:tab w:val="clear" w:pos="5976"/>
        <w:tab w:val="num" w:pos="1872"/>
      </w:tabs>
      <w:ind w:left="1872"/>
    </w:pPr>
  </w:style>
  <w:style w:type="character" w:customStyle="1" w:styleId="SubHeading1Char">
    <w:name w:val="SubHeading1 Char"/>
    <w:basedOn w:val="ColorfulList-Accent1Char"/>
    <w:link w:val="SubHeading1"/>
    <w:rsid w:val="006A0357"/>
    <w:rPr>
      <w:rFonts w:ascii="Times New Roman" w:hAnsi="Times New Roman"/>
      <w:b/>
      <w:sz w:val="24"/>
      <w:szCs w:val="22"/>
    </w:rPr>
  </w:style>
  <w:style w:type="paragraph" w:customStyle="1" w:styleId="Subheading2">
    <w:name w:val="Subheading2"/>
    <w:basedOn w:val="SecHeading"/>
    <w:link w:val="Subheading2Char"/>
    <w:rsid w:val="006A0357"/>
    <w:pPr>
      <w:numPr>
        <w:ilvl w:val="3"/>
      </w:numPr>
      <w:tabs>
        <w:tab w:val="clear" w:pos="6480"/>
        <w:tab w:val="num" w:pos="2376"/>
      </w:tabs>
      <w:ind w:left="2376"/>
    </w:pPr>
  </w:style>
  <w:style w:type="character" w:customStyle="1" w:styleId="Subheading2Char">
    <w:name w:val="Subheading2 Char"/>
    <w:basedOn w:val="ColorfulList-Accent1Char"/>
    <w:link w:val="Subheading2"/>
    <w:rsid w:val="006A0357"/>
    <w:rPr>
      <w:rFonts w:ascii="Times New Roman" w:hAnsi="Times New Roman"/>
      <w:b/>
      <w:sz w:val="24"/>
      <w:szCs w:val="22"/>
    </w:rPr>
  </w:style>
  <w:style w:type="paragraph" w:customStyle="1" w:styleId="Paragraph">
    <w:name w:val="Paragraph"/>
    <w:aliases w:val="paragraph,p,PARAGRAPH,PG,pa,at"/>
    <w:basedOn w:val="BodyTextIndent"/>
    <w:link w:val="ParagraphChar"/>
    <w:uiPriority w:val="99"/>
    <w:rsid w:val="006A0357"/>
    <w:pPr>
      <w:numPr>
        <w:ilvl w:val="1"/>
        <w:numId w:val="25"/>
      </w:numPr>
      <w:tabs>
        <w:tab w:val="clear" w:pos="2448"/>
        <w:tab w:val="num" w:pos="720"/>
      </w:tabs>
      <w:spacing w:before="120"/>
      <w:ind w:left="720" w:hanging="720"/>
      <w:jc w:val="both"/>
      <w:outlineLvl w:val="1"/>
    </w:pPr>
  </w:style>
  <w:style w:type="character" w:customStyle="1" w:styleId="ParagraphChar">
    <w:name w:val="Paragraph Char"/>
    <w:basedOn w:val="ColorfulList-Accent1Char"/>
    <w:link w:val="Paragraph"/>
    <w:uiPriority w:val="99"/>
    <w:rsid w:val="006A0357"/>
    <w:rPr>
      <w:rFonts w:ascii="Times New Roman" w:hAnsi="Times New Roman"/>
      <w:sz w:val="24"/>
      <w:szCs w:val="22"/>
    </w:rPr>
  </w:style>
  <w:style w:type="paragraph" w:customStyle="1" w:styleId="subpar">
    <w:name w:val="subpar"/>
    <w:basedOn w:val="BodyTextIndent3"/>
    <w:link w:val="subparChar"/>
    <w:uiPriority w:val="99"/>
    <w:rsid w:val="006A0357"/>
    <w:pPr>
      <w:numPr>
        <w:ilvl w:val="2"/>
        <w:numId w:val="25"/>
      </w:numPr>
      <w:tabs>
        <w:tab w:val="clear" w:pos="2304"/>
        <w:tab w:val="num" w:pos="1152"/>
      </w:tabs>
      <w:spacing w:before="120"/>
      <w:ind w:left="1152"/>
      <w:jc w:val="both"/>
      <w:outlineLvl w:val="2"/>
    </w:pPr>
  </w:style>
  <w:style w:type="character" w:customStyle="1" w:styleId="subparChar">
    <w:name w:val="subpar Char"/>
    <w:basedOn w:val="ColorfulList-Accent1Char"/>
    <w:link w:val="subpar"/>
    <w:uiPriority w:val="99"/>
    <w:rsid w:val="006A0357"/>
    <w:rPr>
      <w:rFonts w:ascii="Times New Roman" w:hAnsi="Times New Roman"/>
      <w:sz w:val="24"/>
      <w:szCs w:val="16"/>
    </w:rPr>
  </w:style>
  <w:style w:type="paragraph" w:customStyle="1" w:styleId="SubSubPar">
    <w:name w:val="SubSubPar"/>
    <w:basedOn w:val="subpar"/>
    <w:link w:val="SubSubParChar"/>
    <w:uiPriority w:val="99"/>
    <w:rsid w:val="006A0357"/>
    <w:pPr>
      <w:numPr>
        <w:ilvl w:val="3"/>
      </w:numPr>
      <w:tabs>
        <w:tab w:val="clear" w:pos="2736"/>
        <w:tab w:val="left" w:pos="0"/>
        <w:tab w:val="num" w:pos="1296"/>
      </w:tabs>
      <w:ind w:left="1296"/>
    </w:pPr>
  </w:style>
  <w:style w:type="character" w:customStyle="1" w:styleId="SubSubParChar">
    <w:name w:val="SubSubPar Char"/>
    <w:basedOn w:val="ColorfulList-Accent1Char"/>
    <w:link w:val="SubSubPar"/>
    <w:uiPriority w:val="99"/>
    <w:rsid w:val="006A0357"/>
    <w:rPr>
      <w:rFonts w:ascii="Times New Roman" w:hAnsi="Times New Roman"/>
      <w:sz w:val="24"/>
      <w:szCs w:val="16"/>
    </w:rPr>
  </w:style>
  <w:style w:type="paragraph" w:customStyle="1" w:styleId="Regtable">
    <w:name w:val="Regtable"/>
    <w:basedOn w:val="Normal"/>
    <w:link w:val="RegtableChar"/>
    <w:rsid w:val="006A035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ColorfulList-Accent1Char"/>
    <w:link w:val="Regtable"/>
    <w:rsid w:val="006A0357"/>
    <w:rPr>
      <w:rFonts w:ascii="Times New Roman" w:hAnsi="Times New Roman"/>
      <w:sz w:val="22"/>
      <w:szCs w:val="22"/>
    </w:rPr>
  </w:style>
  <w:style w:type="paragraph" w:customStyle="1" w:styleId="TableTitle">
    <w:name w:val="TableTitle"/>
    <w:basedOn w:val="Normal"/>
    <w:link w:val="TableTitleChar"/>
    <w:rsid w:val="006A0357"/>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ColorfulList-Accent1Char"/>
    <w:link w:val="TableTitle"/>
    <w:rsid w:val="006A0357"/>
    <w:rPr>
      <w:rFonts w:ascii="Times New Roman Bold" w:hAnsi="Times New Roman Bold"/>
      <w:b/>
      <w:spacing w:val="-3"/>
      <w:sz w:val="22"/>
      <w:szCs w:val="22"/>
    </w:rPr>
  </w:style>
  <w:style w:type="character" w:customStyle="1" w:styleId="Heading2Char">
    <w:name w:val="Heading 2 Char"/>
    <w:basedOn w:val="DefaultParagraphFont"/>
    <w:link w:val="Heading2"/>
    <w:rsid w:val="00816867"/>
    <w:rPr>
      <w:rFonts w:ascii="Cambria" w:eastAsia="Times New Roman" w:hAnsi="Cambria"/>
      <w:b/>
      <w:bCs/>
      <w:i/>
      <w:iCs/>
      <w:sz w:val="28"/>
      <w:szCs w:val="28"/>
    </w:rPr>
  </w:style>
  <w:style w:type="character" w:customStyle="1" w:styleId="Heading3Char">
    <w:name w:val="Heading 3 Char"/>
    <w:basedOn w:val="DefaultParagraphFont"/>
    <w:link w:val="Heading3"/>
    <w:rsid w:val="007F2CD9"/>
    <w:rPr>
      <w:rFonts w:ascii="Cambria" w:eastAsia="Times New Roman" w:hAnsi="Cambria"/>
      <w:b/>
      <w:bCs/>
      <w:sz w:val="26"/>
      <w:szCs w:val="26"/>
    </w:rPr>
  </w:style>
  <w:style w:type="character" w:customStyle="1" w:styleId="Heading4Char">
    <w:name w:val="Heading 4 Char"/>
    <w:aliases w:val="Heading 4.a Char"/>
    <w:basedOn w:val="DefaultParagraphFont"/>
    <w:link w:val="Heading4"/>
    <w:rsid w:val="007F2CD9"/>
    <w:rPr>
      <w:rFonts w:eastAsia="Times New Roman"/>
      <w:b/>
      <w:bCs/>
      <w:sz w:val="28"/>
      <w:szCs w:val="28"/>
    </w:rPr>
  </w:style>
  <w:style w:type="character" w:customStyle="1" w:styleId="Heading5Char">
    <w:name w:val="Heading 5 Char"/>
    <w:aliases w:val="Heading 5.(i) Char"/>
    <w:basedOn w:val="DefaultParagraphFont"/>
    <w:link w:val="Heading5"/>
    <w:rsid w:val="006A0357"/>
    <w:rPr>
      <w:rFonts w:eastAsia="Times New Roman"/>
      <w:b/>
      <w:bCs/>
      <w:i/>
      <w:iCs/>
      <w:sz w:val="26"/>
      <w:szCs w:val="26"/>
    </w:rPr>
  </w:style>
  <w:style w:type="character" w:customStyle="1" w:styleId="Heading6Char">
    <w:name w:val="Heading 6 Char"/>
    <w:basedOn w:val="DefaultParagraphFont"/>
    <w:link w:val="Heading6"/>
    <w:rsid w:val="006A0357"/>
    <w:rPr>
      <w:rFonts w:eastAsia="Times New Roman"/>
      <w:b/>
      <w:bCs/>
      <w:sz w:val="22"/>
      <w:szCs w:val="22"/>
    </w:rPr>
  </w:style>
  <w:style w:type="character" w:customStyle="1" w:styleId="Heading7Char">
    <w:name w:val="Heading 7 Char"/>
    <w:basedOn w:val="DefaultParagraphFont"/>
    <w:link w:val="Heading7"/>
    <w:rsid w:val="006A0357"/>
    <w:rPr>
      <w:rFonts w:eastAsia="Times New Roman"/>
      <w:sz w:val="24"/>
      <w:szCs w:val="24"/>
    </w:rPr>
  </w:style>
  <w:style w:type="character" w:customStyle="1" w:styleId="Heading8Char">
    <w:name w:val="Heading 8 Char"/>
    <w:basedOn w:val="DefaultParagraphFont"/>
    <w:link w:val="Heading8"/>
    <w:rsid w:val="006A0357"/>
    <w:rPr>
      <w:rFonts w:eastAsia="Times New Roman"/>
      <w:i/>
      <w:iCs/>
      <w:sz w:val="24"/>
      <w:szCs w:val="24"/>
    </w:rPr>
  </w:style>
  <w:style w:type="character" w:customStyle="1" w:styleId="Heading9Char">
    <w:name w:val="Heading 9 Char"/>
    <w:basedOn w:val="DefaultParagraphFont"/>
    <w:link w:val="Heading9"/>
    <w:rsid w:val="006A0357"/>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816867"/>
    <w:rPr>
      <w:rFonts w:ascii="Times New Roman" w:hAnsi="Times New Roman"/>
      <w:sz w:val="24"/>
      <w:szCs w:val="16"/>
    </w:rPr>
  </w:style>
  <w:style w:type="character" w:styleId="Hyperlink">
    <w:name w:val="Hyperlink"/>
    <w:basedOn w:val="DefaultParagraphFont"/>
    <w:rsid w:val="00BA0FEF"/>
    <w:rPr>
      <w:color w:val="0000FF"/>
      <w:u w:val="single"/>
    </w:rPr>
  </w:style>
  <w:style w:type="character" w:styleId="FollowedHyperlink">
    <w:name w:val="FollowedHyperlink"/>
    <w:basedOn w:val="DefaultParagraphFont"/>
    <w:rsid w:val="00BA0FEF"/>
    <w:rPr>
      <w:color w:val="800080"/>
      <w:u w:val="single"/>
    </w:rPr>
  </w:style>
  <w:style w:type="paragraph" w:styleId="ListParagraph">
    <w:name w:val="List Paragraph"/>
    <w:basedOn w:val="Normal"/>
    <w:uiPriority w:val="34"/>
    <w:qFormat/>
    <w:rsid w:val="009C7650"/>
    <w:pPr>
      <w:ind w:left="720"/>
    </w:pPr>
  </w:style>
  <w:style w:type="character" w:customStyle="1" w:styleId="Heading1Char">
    <w:name w:val="Heading 1 Char"/>
    <w:aliases w:val="Heading 1.I Char"/>
    <w:basedOn w:val="DefaultParagraphFont"/>
    <w:link w:val="Heading1"/>
    <w:rsid w:val="00D74C64"/>
    <w:rPr>
      <w:rFonts w:ascii="Times New Roman Bold" w:eastAsia="Times New Roman" w:hAnsi="Times New Roman Bold"/>
      <w:b/>
      <w:smallCaps/>
      <w:noProof/>
      <w:sz w:val="28"/>
      <w:lang w:val="en-US" w:eastAsia="en-US" w:bidi="ar-SA"/>
    </w:rPr>
  </w:style>
  <w:style w:type="paragraph" w:customStyle="1" w:styleId="AutoNumpara">
    <w:name w:val="AutoNumpara"/>
    <w:basedOn w:val="BodyTextIndent"/>
    <w:rsid w:val="00D74C64"/>
    <w:pPr>
      <w:numPr>
        <w:ilvl w:val="1"/>
        <w:numId w:val="9"/>
      </w:numPr>
      <w:spacing w:before="120"/>
      <w:jc w:val="both"/>
    </w:pPr>
    <w:rPr>
      <w:rFonts w:eastAsia="Times New Roman"/>
      <w:noProof/>
      <w:spacing w:val="-2"/>
      <w:szCs w:val="20"/>
      <w:lang w:val="es-ES_tradnl"/>
    </w:rPr>
  </w:style>
  <w:style w:type="paragraph" w:customStyle="1" w:styleId="bullets">
    <w:name w:val="bullets"/>
    <w:rsid w:val="00B14888"/>
    <w:pPr>
      <w:numPr>
        <w:numId w:val="10"/>
      </w:numPr>
      <w:spacing w:before="120" w:after="120"/>
      <w:jc w:val="both"/>
    </w:pPr>
    <w:rPr>
      <w:rFonts w:ascii="Times New Roman" w:eastAsia="Times New Roman" w:hAnsi="Times New Roman"/>
      <w:spacing w:val="-2"/>
      <w:sz w:val="24"/>
    </w:rPr>
  </w:style>
  <w:style w:type="paragraph" w:customStyle="1" w:styleId="IndentedParagr">
    <w:name w:val="IndentedParagr"/>
    <w:basedOn w:val="Normal"/>
    <w:rsid w:val="00B14888"/>
    <w:pPr>
      <w:spacing w:before="120" w:after="120" w:line="240" w:lineRule="auto"/>
      <w:ind w:left="720"/>
      <w:jc w:val="both"/>
    </w:pPr>
    <w:rPr>
      <w:rFonts w:ascii="Times New Roman" w:eastAsia="Times New Roman" w:hAnsi="Times New Roman"/>
      <w:sz w:val="24"/>
      <w:szCs w:val="20"/>
      <w:lang w:val="es-ES_tradnl"/>
    </w:rPr>
  </w:style>
  <w:style w:type="paragraph" w:customStyle="1" w:styleId="Default">
    <w:name w:val="Default"/>
    <w:rsid w:val="00B15C39"/>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unhideWhenUsed/>
    <w:rsid w:val="00D45FAF"/>
    <w:pPr>
      <w:spacing w:before="100" w:beforeAutospacing="1" w:after="225" w:line="360" w:lineRule="atLeast"/>
    </w:pPr>
    <w:rPr>
      <w:rFonts w:ascii="Times New Roman" w:eastAsia="Times New Roman" w:hAnsi="Times New Roman"/>
      <w:sz w:val="29"/>
      <w:szCs w:val="29"/>
    </w:rPr>
  </w:style>
  <w:style w:type="character" w:styleId="Emphasis">
    <w:name w:val="Emphasis"/>
    <w:basedOn w:val="DefaultParagraphFont"/>
    <w:uiPriority w:val="20"/>
    <w:qFormat/>
    <w:rsid w:val="00094EC3"/>
    <w:rPr>
      <w:b/>
      <w:bCs/>
      <w:i w:val="0"/>
      <w:iCs w:val="0"/>
    </w:rPr>
  </w:style>
  <w:style w:type="table" w:styleId="ColorfulGrid-Accent1">
    <w:name w:val="Colorful Grid Accent 1"/>
    <w:basedOn w:val="TableNormal"/>
    <w:rsid w:val="00F1685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1">
    <w:name w:val="Colorful Grid1"/>
    <w:basedOn w:val="TableNormal"/>
    <w:rsid w:val="00D810B9"/>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LightShading1">
    <w:name w:val="Light Shading1"/>
    <w:basedOn w:val="TableNormal"/>
    <w:rsid w:val="00D810B9"/>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5">
    <w:name w:val="Medium Shading 2 Accent 5"/>
    <w:basedOn w:val="TableNormal"/>
    <w:uiPriority w:val="64"/>
    <w:rsid w:val="003A2747"/>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133263">
      <w:bodyDiv w:val="1"/>
      <w:marLeft w:val="0"/>
      <w:marRight w:val="0"/>
      <w:marTop w:val="0"/>
      <w:marBottom w:val="0"/>
      <w:divBdr>
        <w:top w:val="none" w:sz="0" w:space="0" w:color="auto"/>
        <w:left w:val="none" w:sz="0" w:space="0" w:color="auto"/>
        <w:bottom w:val="none" w:sz="0" w:space="0" w:color="auto"/>
        <w:right w:val="none" w:sz="0" w:space="0" w:color="auto"/>
      </w:divBdr>
      <w:divsChild>
        <w:div w:id="221789617">
          <w:marLeft w:val="0"/>
          <w:marRight w:val="0"/>
          <w:marTop w:val="100"/>
          <w:marBottom w:val="100"/>
          <w:divBdr>
            <w:top w:val="none" w:sz="0" w:space="0" w:color="auto"/>
            <w:left w:val="none" w:sz="0" w:space="0" w:color="auto"/>
            <w:bottom w:val="none" w:sz="0" w:space="0" w:color="auto"/>
            <w:right w:val="none" w:sz="0" w:space="0" w:color="auto"/>
          </w:divBdr>
          <w:divsChild>
            <w:div w:id="1698509698">
              <w:marLeft w:val="0"/>
              <w:marRight w:val="0"/>
              <w:marTop w:val="100"/>
              <w:marBottom w:val="100"/>
              <w:divBdr>
                <w:top w:val="none" w:sz="0" w:space="0" w:color="auto"/>
                <w:left w:val="none" w:sz="0" w:space="0" w:color="auto"/>
                <w:bottom w:val="none" w:sz="0" w:space="0" w:color="auto"/>
                <w:right w:val="none" w:sz="0" w:space="0" w:color="auto"/>
              </w:divBdr>
              <w:divsChild>
                <w:div w:id="102582323">
                  <w:marLeft w:val="0"/>
                  <w:marRight w:val="0"/>
                  <w:marTop w:val="0"/>
                  <w:marBottom w:val="0"/>
                  <w:divBdr>
                    <w:top w:val="none" w:sz="0" w:space="0" w:color="auto"/>
                    <w:left w:val="none" w:sz="0" w:space="0" w:color="auto"/>
                    <w:bottom w:val="none" w:sz="0" w:space="0" w:color="auto"/>
                    <w:right w:val="none" w:sz="0" w:space="0" w:color="auto"/>
                  </w:divBdr>
                  <w:divsChild>
                    <w:div w:id="1551839409">
                      <w:marLeft w:val="0"/>
                      <w:marRight w:val="0"/>
                      <w:marTop w:val="0"/>
                      <w:marBottom w:val="0"/>
                      <w:divBdr>
                        <w:top w:val="none" w:sz="0" w:space="0" w:color="auto"/>
                        <w:left w:val="none" w:sz="0" w:space="0" w:color="auto"/>
                        <w:bottom w:val="none" w:sz="0" w:space="0" w:color="auto"/>
                        <w:right w:val="none" w:sz="0" w:space="0" w:color="auto"/>
                      </w:divBdr>
                      <w:divsChild>
                        <w:div w:id="1638685928">
                          <w:marLeft w:val="0"/>
                          <w:marRight w:val="0"/>
                          <w:marTop w:val="0"/>
                          <w:marBottom w:val="0"/>
                          <w:divBdr>
                            <w:top w:val="none" w:sz="0" w:space="0" w:color="auto"/>
                            <w:left w:val="none" w:sz="0" w:space="0" w:color="auto"/>
                            <w:bottom w:val="none" w:sz="0" w:space="0" w:color="auto"/>
                            <w:right w:val="none" w:sz="0" w:space="0" w:color="auto"/>
                          </w:divBdr>
                          <w:divsChild>
                            <w:div w:id="1147864781">
                              <w:marLeft w:val="0"/>
                              <w:marRight w:val="0"/>
                              <w:marTop w:val="0"/>
                              <w:marBottom w:val="0"/>
                              <w:divBdr>
                                <w:top w:val="none" w:sz="0" w:space="0" w:color="auto"/>
                                <w:left w:val="none" w:sz="0" w:space="0" w:color="auto"/>
                                <w:bottom w:val="none" w:sz="0" w:space="0" w:color="auto"/>
                                <w:right w:val="none" w:sz="0" w:space="0" w:color="auto"/>
                              </w:divBdr>
                              <w:divsChild>
                                <w:div w:id="1399094192">
                                  <w:marLeft w:val="113"/>
                                  <w:marRight w:val="113"/>
                                  <w:marTop w:val="0"/>
                                  <w:marBottom w:val="225"/>
                                  <w:divBdr>
                                    <w:top w:val="none" w:sz="0" w:space="0" w:color="auto"/>
                                    <w:left w:val="none" w:sz="0" w:space="0" w:color="auto"/>
                                    <w:bottom w:val="none" w:sz="0" w:space="0" w:color="auto"/>
                                    <w:right w:val="none" w:sz="0" w:space="0" w:color="auto"/>
                                  </w:divBdr>
                                  <w:divsChild>
                                    <w:div w:id="120317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A1A2E250BB20848AF26E09BB9952657" ma:contentTypeVersion="757" ma:contentTypeDescription="A content type to manage public (operations) IDB documents" ma:contentTypeScope="" ma:versionID="9b08a755ac3a5c60ce7e712a3b74717e">
  <xsd:schema xmlns:xsd="http://www.w3.org/2001/XMLSchema" xmlns:xs="http://www.w3.org/2001/XMLSchema" xmlns:p="http://schemas.microsoft.com/office/2006/metadata/properties" xmlns:ns2="cdc7663a-08f0-4737-9e8c-148ce897a09c" targetNamespace="http://schemas.microsoft.com/office/2006/metadata/properties" ma:root="true" ma:fieldsID="868b3963b8e8341f287b14767b9e487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TT-L103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38150273</IDBDocs_x0020_Number>
    <TaxCatchAll xmlns="cdc7663a-08f0-4737-9e8c-148ce897a09c">
      <Value>26</Value>
      <Value>12</Value>
    </TaxCatchAll>
    <Issue_x0020_Date xmlns="cdc7663a-08f0-4737-9e8c-148ce897a09c" xsi:nil="true"/>
    <Phase xmlns="cdc7663a-08f0-4737-9e8c-148ce897a09c" xsi:nil="true"/>
    <SISCOR_x0020_Number xmlns="cdc7663a-08f0-4737-9e8c-148ce897a09c" xsi:nil="true"/>
    <Disclosed xmlns="cdc7663a-08f0-4737-9e8c-148ce897a09c">true</Disclosed>
    <Publication_x0020_Type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Cayetano, Evan Stephen</Document_x0020_Author>
    <Disclosure_x0020_Activity xmlns="cdc7663a-08f0-4737-9e8c-148ce897a09c">Loan Proposal</Disclosure_x0020_Activity>
    <Fiscal_x0020_Year_x0020_IDB xmlns="cdc7663a-08f0-4737-9e8c-148ce897a09c">2013</Fiscal_x0020_Year_x0020_IDB>
    <Webtopic xmlns="cdc7663a-08f0-4737-9e8c-148ce897a09c">Urban Water and Sanitation</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&lt;div class="ExternalClass54933942FF464A218BA9E2BAE1B460BC"&gt;MS WORDLPLoan Proposal0N&lt;/div&gt;</Migration_x0020_Info>
    <Operation_x0020_Type xmlns="cdc7663a-08f0-4737-9e8c-148ce897a09c" xsi:nil="true"/>
    <KP_x0020_Topics xmlns="cdc7663a-08f0-4737-9e8c-148ce897a09c" xsi:nil="true"/>
    <Record_x0020_Number xmlns="cdc7663a-08f0-4737-9e8c-148ce897a09c" xsi:nil="true"/>
    <Editor1 xmlns="cdc7663a-08f0-4737-9e8c-148ce897a09c" xsi:nil="true"/>
    <Region xmlns="cdc7663a-08f0-4737-9e8c-148ce897a09c" xsi:nil="true"/>
    <Document_x0020_Language_x0020_IDB xmlns="cdc7663a-08f0-4737-9e8c-148ce897a09c">English</Document_x0020_Language_x0020_IDB>
    <Identifier xmlns="cdc7663a-08f0-4737-9e8c-148ce897a09c"> TECFILE</Identifier>
    <Publishing_x0020_Hou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Trinidad and Tobago</TermName>
          <TermId xmlns="http://schemas.microsoft.com/office/infopath/2007/PartnerControls">1c8020ac-00d9-4987-90d1-6435cf854c1b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EZSHARE-1575274906-25501</_dlc_DocId>
    <_dlc_DocIdUrl xmlns="cdc7663a-08f0-4737-9e8c-148ce897a09c">
      <Url>https://idbg.sharepoint.com/teams/EZ-TT-LON/TT-L1036/_layouts/15/DocIdRedir.aspx?ID=EZSHARE-1575274906-25501</Url>
      <Description>EZSHARE-1575274906-25501</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E065F1-0123-4AE3-832F-6B58736C2DDD}"/>
</file>

<file path=customXml/itemProps2.xml><?xml version="1.0" encoding="utf-8"?>
<ds:datastoreItem xmlns:ds="http://schemas.openxmlformats.org/officeDocument/2006/customXml" ds:itemID="{3B06BA4F-1031-40AC-BAB9-BB5C311CBBC0}"/>
</file>

<file path=customXml/itemProps3.xml><?xml version="1.0" encoding="utf-8"?>
<ds:datastoreItem xmlns:ds="http://schemas.openxmlformats.org/officeDocument/2006/customXml" ds:itemID="{1A8CA325-FF57-4B20-8175-461594A70D8A}"/>
</file>

<file path=customXml/itemProps4.xml><?xml version="1.0" encoding="utf-8"?>
<ds:datastoreItem xmlns:ds="http://schemas.openxmlformats.org/officeDocument/2006/customXml" ds:itemID="{A3BE26A4-230F-443E-AF6A-B1C2DF12C1D6}"/>
</file>

<file path=customXml/itemProps5.xml><?xml version="1.0" encoding="utf-8"?>
<ds:datastoreItem xmlns:ds="http://schemas.openxmlformats.org/officeDocument/2006/customXml" ds:itemID="{D45A8C56-1EFF-4B84-A080-0B6FBFAA8AD4}"/>
</file>

<file path=customXml/itemProps6.xml><?xml version="1.0" encoding="utf-8"?>
<ds:datastoreItem xmlns:ds="http://schemas.openxmlformats.org/officeDocument/2006/customXml" ds:itemID="{48626956-3CC4-4B90-AD07-611FD506111E}"/>
</file>

<file path=customXml/itemProps7.xml><?xml version="1.0" encoding="utf-8"?>
<ds:datastoreItem xmlns:ds="http://schemas.openxmlformats.org/officeDocument/2006/customXml" ds:itemID="{2CBFAAB6-71AC-4C9C-A1DF-458EAE018851}"/>
</file>

<file path=docProps/app.xml><?xml version="1.0" encoding="utf-8"?>
<Properties xmlns="http://schemas.openxmlformats.org/officeDocument/2006/extended-properties" xmlns:vt="http://schemas.openxmlformats.org/officeDocument/2006/docPropsVTypes">
  <Template>Normal.dotm</Template>
  <TotalTime>3</TotalTime>
  <Pages>14</Pages>
  <Words>3848</Words>
  <Characters>21939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and Evaluation Plan</dc:title>
  <dc:creator>shakirahc</dc:creator>
  <cp:keywords/>
  <cp:lastModifiedBy>Test</cp:lastModifiedBy>
  <cp:revision>3</cp:revision>
  <cp:lastPrinted>2011-09-08T21:16:00Z</cp:lastPrinted>
  <dcterms:created xsi:type="dcterms:W3CDTF">2013-10-07T16:29:00Z</dcterms:created>
  <dcterms:modified xsi:type="dcterms:W3CDTF">2013-10-07T16:31:00Z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0x0101001A458A224826124E8B45B1D613300CFC003A1A2E250BB20848AF26E09BB9952657</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26;#Trinidad and Tobago|1c8020ac-00d9-4987-90d1-6435cf854c1b</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12;#IDBDocs|cca77002-e150-4b2d-ab1f-1d7a7cdcae16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y fmtid="{D5CDD505-2E9C-101B-9397-08002B2CF9AE}" pid="18" name="TaxKeywordTaxHTField">
    <vt:lpwstr/>
  </property>
  <property fmtid="{D5CDD505-2E9C-101B-9397-08002B2CF9AE}" pid="19" name="_dlc_DocIdItemGuid">
    <vt:lpwstr>61856f60-d2c7-40df-924d-9857375def09</vt:lpwstr>
  </property>
</Properties>
</file>