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6" w:space="0" w:color="FFFFFF"/>
          <w:left w:val="single" w:sz="6" w:space="0" w:color="FFFFFF"/>
          <w:bottom w:val="single" w:sz="6" w:space="0" w:color="FFFFFF"/>
          <w:right w:val="single" w:sz="6" w:space="0" w:color="FFFFFF"/>
        </w:tblBorders>
        <w:tblLook w:val="04A0" w:firstRow="1" w:lastRow="0" w:firstColumn="1" w:lastColumn="0" w:noHBand="0" w:noVBand="1"/>
      </w:tblPr>
      <w:tblGrid>
        <w:gridCol w:w="9570"/>
      </w:tblGrid>
      <w:tr w:rsidR="00E26089">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tcPr>
          <w:p w:rsidR="00E26089" w:rsidRDefault="00755A70">
            <w:pPr>
              <w:spacing w:after="240"/>
              <w:rPr>
                <w:rFonts w:ascii="Arial" w:eastAsia="Times New Roman" w:hAnsi="Arial" w:cs="Arial"/>
                <w:sz w:val="20"/>
                <w:szCs w:val="20"/>
              </w:rPr>
            </w:pPr>
            <w:r>
              <w:rPr>
                <w:rFonts w:ascii="Arial" w:eastAsia="Times New Roman" w:hAnsi="Arial" w:cs="Arial"/>
                <w:b/>
                <w:bCs/>
                <w:sz w:val="28"/>
                <w:szCs w:val="28"/>
              </w:rPr>
              <w:t>SAFEGUARD POLICY FILTER REPORT</w:t>
            </w:r>
          </w:p>
          <w:tbl>
            <w:tblPr>
              <w:tblW w:w="0" w:type="auto"/>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2429"/>
              <w:gridCol w:w="6915"/>
            </w:tblGrid>
            <w:tr w:rsidR="00E26089">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E26089" w:rsidRDefault="00755A70">
                  <w:pPr>
                    <w:rPr>
                      <w:rFonts w:ascii="Arial" w:eastAsia="Times New Roman" w:hAnsi="Arial" w:cs="Arial"/>
                      <w:b/>
                      <w:bCs/>
                      <w:sz w:val="27"/>
                      <w:szCs w:val="27"/>
                    </w:rPr>
                  </w:pPr>
                  <w:r>
                    <w:rPr>
                      <w:rFonts w:ascii="Arial" w:eastAsia="Times New Roman" w:hAnsi="Arial" w:cs="Arial"/>
                      <w:b/>
                      <w:bCs/>
                      <w:sz w:val="27"/>
                      <w:szCs w:val="27"/>
                    </w:rPr>
                    <w:t>PROJECT DETAILS</w:t>
                  </w:r>
                </w:p>
              </w:tc>
            </w:tr>
            <w:tr w:rsidR="00E26089">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IDB Sector</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ENERGY-ENERGY SECTOR REHABILITATION AND EFFICIENCY</w:t>
                  </w:r>
                </w:p>
              </w:tc>
            </w:tr>
            <w:tr w:rsidR="00E26089">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Other Lending or Financing Instrument</w:t>
                  </w:r>
                </w:p>
              </w:tc>
            </w:tr>
            <w:tr w:rsidR="00E26089">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E26089">
                  <w:pPr>
                    <w:rPr>
                      <w:rFonts w:eastAsia="Times New Roman"/>
                      <w:sz w:val="20"/>
                      <w:szCs w:val="20"/>
                    </w:rPr>
                  </w:pPr>
                </w:p>
              </w:tc>
            </w:tr>
            <w:tr w:rsidR="00E26089">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Generic Checklist</w:t>
                  </w:r>
                </w:p>
              </w:tc>
            </w:tr>
            <w:tr w:rsidR="00E26089" w:rsidRPr="00AA5504">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Pr="00AA5504" w:rsidRDefault="00755A70">
                  <w:pPr>
                    <w:rPr>
                      <w:rFonts w:ascii="Arial" w:eastAsia="Times New Roman" w:hAnsi="Arial" w:cs="Arial"/>
                      <w:sz w:val="20"/>
                      <w:szCs w:val="20"/>
                      <w:lang w:val="es-ES_tradnl"/>
                    </w:rPr>
                  </w:pPr>
                  <w:r w:rsidRPr="00AA5504">
                    <w:rPr>
                      <w:rFonts w:ascii="Arial" w:eastAsia="Times New Roman" w:hAnsi="Arial" w:cs="Arial"/>
                      <w:sz w:val="20"/>
                      <w:szCs w:val="20"/>
                      <w:lang w:val="es-ES_tradnl"/>
                    </w:rPr>
                    <w:t>Baldivieso, Hector (HBALDIVIESO@iadb.org)</w:t>
                  </w:r>
                </w:p>
              </w:tc>
            </w:tr>
            <w:tr w:rsidR="00E26089">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Extension and Strengthening of the SIN Transmission System</w:t>
                  </w:r>
                </w:p>
              </w:tc>
            </w:tr>
            <w:tr w:rsidR="00E26089">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NI-L1091</w:t>
                  </w:r>
                </w:p>
              </w:tc>
            </w:tr>
            <w:tr w:rsidR="00E26089">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Suber, Stephanie Anne (ssuber@IADB.ORG); Corrales, Denis (denisc@iadb.org</w:t>
                  </w:r>
                </w:p>
              </w:tc>
            </w:tr>
            <w:tr w:rsidR="00E26089">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2015-10-14</w:t>
                  </w:r>
                </w:p>
              </w:tc>
            </w:tr>
          </w:tbl>
          <w:p w:rsidR="00E26089" w:rsidRDefault="00E26089">
            <w:pPr>
              <w:spacing w:after="240"/>
              <w:rPr>
                <w:rFonts w:ascii="Arial" w:eastAsia="Times New Roman" w:hAnsi="Arial" w:cs="Arial"/>
                <w:sz w:val="20"/>
                <w:szCs w:val="20"/>
              </w:rPr>
            </w:pPr>
          </w:p>
          <w:tbl>
            <w:tblPr>
              <w:tblW w:w="5000" w:type="pct"/>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2221"/>
              <w:gridCol w:w="3950"/>
              <w:gridCol w:w="3173"/>
            </w:tblGrid>
            <w:tr w:rsidR="00E26089">
              <w:tc>
                <w:tcPr>
                  <w:tcW w:w="0" w:type="auto"/>
                  <w:gridSpan w:val="3"/>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E26089" w:rsidRDefault="00755A70">
                  <w:pPr>
                    <w:rPr>
                      <w:rFonts w:ascii="Arial" w:eastAsia="Times New Roman" w:hAnsi="Arial" w:cs="Arial"/>
                      <w:b/>
                      <w:bCs/>
                      <w:sz w:val="27"/>
                      <w:szCs w:val="27"/>
                    </w:rPr>
                  </w:pPr>
                  <w:r>
                    <w:rPr>
                      <w:rFonts w:ascii="Arial" w:eastAsia="Times New Roman" w:hAnsi="Arial" w:cs="Arial"/>
                      <w:b/>
                      <w:bCs/>
                      <w:sz w:val="27"/>
                      <w:szCs w:val="27"/>
                    </w:rPr>
                    <w:t>SAFEGUARD POLICY FILTER RESULTS</w:t>
                  </w:r>
                </w:p>
              </w:tc>
            </w:tr>
            <w:tr w:rsidR="00E26089">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Type of Operation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Loan Operation</w:t>
                  </w:r>
                </w:p>
              </w:tc>
            </w:tr>
            <w:tr w:rsidR="00E26089">
              <w:tc>
                <w:tcPr>
                  <w:tcW w:w="27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Safeguard Policy Items</w:t>
                  </w:r>
                  <w:r>
                    <w:rPr>
                      <w:rFonts w:ascii="Arial" w:eastAsia="Times New Roman" w:hAnsi="Arial" w:cs="Arial"/>
                      <w:b/>
                      <w:bCs/>
                      <w:sz w:val="20"/>
                      <w:szCs w:val="20"/>
                    </w:rPr>
                    <w:br/>
                    <w:t xml:space="preserve">Identified </w:t>
                  </w:r>
                  <w:r>
                    <w:rPr>
                      <w:rFonts w:ascii="Arial" w:eastAsia="Times New Roman" w:hAnsi="Arial" w:cs="Arial"/>
                      <w:b/>
                      <w:bCs/>
                      <w:color w:val="FF0000"/>
                      <w:sz w:val="20"/>
                      <w:szCs w:val="20"/>
                    </w:rPr>
                    <w:t>(Yes)</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Potential disruption to people’s livelihoods living in the project's area of influence (not limited to involuntary displacement, also see Resettlement Policy.)</w:t>
                  </w:r>
                </w:p>
              </w:tc>
              <w:tc>
                <w:tcPr>
                  <w:tcW w:w="10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color w:val="0000FF"/>
                      <w:sz w:val="20"/>
                      <w:szCs w:val="20"/>
                    </w:rPr>
                  </w:pPr>
                  <w:r>
                    <w:rPr>
                      <w:rFonts w:ascii="Arial" w:eastAsia="Times New Roman" w:hAnsi="Arial" w:cs="Arial"/>
                      <w:color w:val="0000FF"/>
                      <w:sz w:val="20"/>
                      <w:szCs w:val="20"/>
                    </w:rPr>
                    <w:t>(B.01) Resettlement Policy– OP-710</w:t>
                  </w:r>
                </w:p>
              </w:tc>
            </w:tr>
            <w:tr w:rsidR="00E2608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26089" w:rsidRDefault="00E26089">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Does this project offer opportunities for indigenous peoples through its project components?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color w:val="0000FF"/>
                      <w:sz w:val="20"/>
                      <w:szCs w:val="20"/>
                    </w:rPr>
                  </w:pPr>
                  <w:r>
                    <w:rPr>
                      <w:rFonts w:ascii="Arial" w:eastAsia="Times New Roman" w:hAnsi="Arial" w:cs="Arial"/>
                      <w:color w:val="0000FF"/>
                      <w:sz w:val="20"/>
                      <w:szCs w:val="20"/>
                    </w:rPr>
                    <w:t>(B.01) Indigenous People Policy– OP-765</w:t>
                  </w:r>
                </w:p>
              </w:tc>
            </w:tr>
            <w:tr w:rsidR="00E2608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26089" w:rsidRDefault="00E26089">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Activities to be financed by the project are in a geographical area and sector exposed to natural hazards* (Type 1 Disaster Risk Scenario).</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color w:val="0000FF"/>
                      <w:sz w:val="20"/>
                      <w:szCs w:val="20"/>
                    </w:rPr>
                  </w:pPr>
                  <w:r>
                    <w:rPr>
                      <w:rFonts w:ascii="Arial" w:eastAsia="Times New Roman" w:hAnsi="Arial" w:cs="Arial"/>
                      <w:color w:val="0000FF"/>
                      <w:sz w:val="20"/>
                      <w:szCs w:val="20"/>
                    </w:rPr>
                    <w:t>(B.01) Disaster Risk Management Policy– OP-704</w:t>
                  </w:r>
                </w:p>
              </w:tc>
            </w:tr>
            <w:tr w:rsidR="00E2608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26089" w:rsidRDefault="00E26089">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The Bank will make available to the public the relevant Project documents.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color w:val="0000FF"/>
                      <w:sz w:val="20"/>
                      <w:szCs w:val="20"/>
                    </w:rPr>
                  </w:pPr>
                  <w:r>
                    <w:rPr>
                      <w:rFonts w:ascii="Arial" w:eastAsia="Times New Roman" w:hAnsi="Arial" w:cs="Arial"/>
                      <w:color w:val="0000FF"/>
                      <w:sz w:val="20"/>
                      <w:szCs w:val="20"/>
                    </w:rPr>
                    <w:t>(B.01) Access to Information Policy– OP-102</w:t>
                  </w:r>
                </w:p>
              </w:tc>
            </w:tr>
            <w:tr w:rsidR="00E2608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26089" w:rsidRDefault="00E26089">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color w:val="0000FF"/>
                      <w:sz w:val="20"/>
                      <w:szCs w:val="20"/>
                    </w:rPr>
                  </w:pPr>
                  <w:r>
                    <w:rPr>
                      <w:rFonts w:ascii="Arial" w:eastAsia="Times New Roman" w:hAnsi="Arial" w:cs="Arial"/>
                      <w:color w:val="0000FF"/>
                      <w:sz w:val="20"/>
                      <w:szCs w:val="20"/>
                    </w:rPr>
                    <w:t>(B.02)</w:t>
                  </w:r>
                </w:p>
              </w:tc>
            </w:tr>
            <w:tr w:rsidR="00E2608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26089" w:rsidRDefault="00E26089">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The operation (including associated facilities) is screened and classified according to their potential environmental impacts.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color w:val="0000FF"/>
                      <w:sz w:val="20"/>
                      <w:szCs w:val="20"/>
                    </w:rPr>
                  </w:pPr>
                  <w:r>
                    <w:rPr>
                      <w:rFonts w:ascii="Arial" w:eastAsia="Times New Roman" w:hAnsi="Arial" w:cs="Arial"/>
                      <w:color w:val="0000FF"/>
                      <w:sz w:val="20"/>
                      <w:szCs w:val="20"/>
                    </w:rPr>
                    <w:t>(B.03)</w:t>
                  </w:r>
                </w:p>
              </w:tc>
            </w:tr>
            <w:tr w:rsidR="00E2608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26089" w:rsidRDefault="00E26089">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There are Associated Facilities (see Policy definition) relating to the investments being financed by the Bank.</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color w:val="0000FF"/>
                      <w:sz w:val="20"/>
                      <w:szCs w:val="20"/>
                    </w:rPr>
                  </w:pPr>
                  <w:r>
                    <w:rPr>
                      <w:rFonts w:ascii="Arial" w:eastAsia="Times New Roman" w:hAnsi="Arial" w:cs="Arial"/>
                      <w:color w:val="0000FF"/>
                      <w:sz w:val="20"/>
                      <w:szCs w:val="20"/>
                    </w:rPr>
                    <w:t>(B.04)</w:t>
                  </w:r>
                </w:p>
              </w:tc>
            </w:tr>
            <w:tr w:rsidR="00E2608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26089" w:rsidRDefault="00E26089">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The operation may be of higher risk due to controversial environmental and associated social issues or liabilities.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color w:val="0000FF"/>
                      <w:sz w:val="20"/>
                      <w:szCs w:val="20"/>
                    </w:rPr>
                  </w:pPr>
                  <w:r>
                    <w:rPr>
                      <w:rFonts w:ascii="Arial" w:eastAsia="Times New Roman" w:hAnsi="Arial" w:cs="Arial"/>
                      <w:color w:val="0000FF"/>
                      <w:sz w:val="20"/>
                      <w:szCs w:val="20"/>
                    </w:rPr>
                    <w:t>(B.04)</w:t>
                  </w:r>
                </w:p>
              </w:tc>
            </w:tr>
            <w:tr w:rsidR="00E2608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26089" w:rsidRDefault="00E26089">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An Environmental Assessment is required.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color w:val="0000FF"/>
                      <w:sz w:val="20"/>
                      <w:szCs w:val="20"/>
                    </w:rPr>
                  </w:pPr>
                  <w:r>
                    <w:rPr>
                      <w:rFonts w:ascii="Arial" w:eastAsia="Times New Roman" w:hAnsi="Arial" w:cs="Arial"/>
                      <w:color w:val="0000FF"/>
                      <w:sz w:val="20"/>
                      <w:szCs w:val="20"/>
                    </w:rPr>
                    <w:t>(B.05)</w:t>
                  </w:r>
                </w:p>
              </w:tc>
            </w:tr>
            <w:tr w:rsidR="00E2608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26089" w:rsidRDefault="00E26089">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The Bank will monitor the executing agency/borrower’s compliance with all safeguard requirements stipulated in the loan agreement and project operating or credit regulations.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color w:val="0000FF"/>
                      <w:sz w:val="20"/>
                      <w:szCs w:val="20"/>
                    </w:rPr>
                  </w:pPr>
                  <w:r>
                    <w:rPr>
                      <w:rFonts w:ascii="Arial" w:eastAsia="Times New Roman" w:hAnsi="Arial" w:cs="Arial"/>
                      <w:color w:val="0000FF"/>
                      <w:sz w:val="20"/>
                      <w:szCs w:val="20"/>
                    </w:rPr>
                    <w:t>(B.07)</w:t>
                  </w:r>
                </w:p>
              </w:tc>
            </w:tr>
            <w:tr w:rsidR="00E2608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26089" w:rsidRDefault="00E26089">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Environmental or culturally sensitive areas, defined in the Policy as critical natural habitats or critical cultural sites in project area of influence.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color w:val="0000FF"/>
                      <w:sz w:val="20"/>
                      <w:szCs w:val="20"/>
                    </w:rPr>
                  </w:pPr>
                  <w:r>
                    <w:rPr>
                      <w:rFonts w:ascii="Arial" w:eastAsia="Times New Roman" w:hAnsi="Arial" w:cs="Arial"/>
                      <w:color w:val="0000FF"/>
                      <w:sz w:val="20"/>
                      <w:szCs w:val="20"/>
                    </w:rPr>
                    <w:t>(B.09)</w:t>
                  </w:r>
                </w:p>
              </w:tc>
            </w:tr>
            <w:tr w:rsidR="00E2608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26089" w:rsidRDefault="00E26089">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Conversion of Natural Habitats in project area of influence.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color w:val="0000FF"/>
                      <w:sz w:val="20"/>
                      <w:szCs w:val="20"/>
                    </w:rPr>
                  </w:pPr>
                  <w:r>
                    <w:rPr>
                      <w:rFonts w:ascii="Arial" w:eastAsia="Times New Roman" w:hAnsi="Arial" w:cs="Arial"/>
                      <w:color w:val="0000FF"/>
                      <w:sz w:val="20"/>
                      <w:szCs w:val="20"/>
                    </w:rPr>
                    <w:t>(B.09)</w:t>
                  </w:r>
                </w:p>
              </w:tc>
            </w:tr>
            <w:tr w:rsidR="00E2608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26089" w:rsidRDefault="00E26089">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The operation has the potential to impact the environment and human health and safety from the production, procurement, use, and disposal of hazardous material, including organic and inorganic toxic substances, pesticides and Persistent Organic Pollutants (POPs).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color w:val="0000FF"/>
                      <w:sz w:val="20"/>
                      <w:szCs w:val="20"/>
                    </w:rPr>
                  </w:pPr>
                  <w:r>
                    <w:rPr>
                      <w:rFonts w:ascii="Arial" w:eastAsia="Times New Roman" w:hAnsi="Arial" w:cs="Arial"/>
                      <w:color w:val="0000FF"/>
                      <w:sz w:val="20"/>
                      <w:szCs w:val="20"/>
                    </w:rPr>
                    <w:t>(B.10)</w:t>
                  </w:r>
                </w:p>
              </w:tc>
            </w:tr>
            <w:tr w:rsidR="00E2608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26089" w:rsidRDefault="00E26089">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The operation has the potential to pollute the environment (e.g. air, soil, water, greenhouse gases...).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color w:val="0000FF"/>
                      <w:sz w:val="20"/>
                      <w:szCs w:val="20"/>
                    </w:rPr>
                  </w:pPr>
                  <w:r>
                    <w:rPr>
                      <w:rFonts w:ascii="Arial" w:eastAsia="Times New Roman" w:hAnsi="Arial" w:cs="Arial"/>
                      <w:color w:val="0000FF"/>
                      <w:sz w:val="20"/>
                      <w:szCs w:val="20"/>
                    </w:rPr>
                    <w:t>(B.11)</w:t>
                  </w:r>
                </w:p>
              </w:tc>
            </w:tr>
            <w:tr w:rsidR="00E2608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26089" w:rsidRDefault="00E26089">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Suitable safeguard provisions for procurement of goods and services in Bank financed projects may be incorporated into project-specific loan agreements, operating regulations and bidding documents, as appropriate, to ensure environmentally responsible procurement.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color w:val="0000FF"/>
                      <w:sz w:val="20"/>
                      <w:szCs w:val="20"/>
                    </w:rPr>
                  </w:pPr>
                  <w:r>
                    <w:rPr>
                      <w:rFonts w:ascii="Arial" w:eastAsia="Times New Roman" w:hAnsi="Arial" w:cs="Arial"/>
                      <w:color w:val="0000FF"/>
                      <w:sz w:val="20"/>
                      <w:szCs w:val="20"/>
                    </w:rPr>
                    <w:t>(B.17)</w:t>
                  </w:r>
                </w:p>
              </w:tc>
            </w:tr>
            <w:tr w:rsidR="00E26089">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Potential Safeguard Policy</w:t>
                  </w:r>
                  <w:r>
                    <w:rPr>
                      <w:rFonts w:ascii="Arial" w:eastAsia="Times New Roman" w:hAnsi="Arial" w:cs="Arial"/>
                      <w:b/>
                      <w:bCs/>
                      <w:sz w:val="20"/>
                      <w:szCs w:val="20"/>
                    </w:rPr>
                    <w:br/>
                    <w:t>Items</w:t>
                  </w:r>
                  <w:bookmarkStart w:id="0" w:name="_GoBack"/>
                  <w:bookmarkEnd w:id="0"/>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E26089" w:rsidRDefault="00755A70">
                  <w:pPr>
                    <w:spacing w:after="240"/>
                    <w:rPr>
                      <w:rFonts w:ascii="Arial" w:eastAsia="Times New Roman" w:hAnsi="Arial" w:cs="Arial"/>
                      <w:sz w:val="20"/>
                      <w:szCs w:val="20"/>
                    </w:rPr>
                  </w:pPr>
                  <w:r>
                    <w:rPr>
                      <w:rFonts w:ascii="Arial" w:eastAsia="Times New Roman" w:hAnsi="Arial" w:cs="Arial"/>
                      <w:sz w:val="20"/>
                      <w:szCs w:val="20"/>
                    </w:rPr>
                    <w:t>No potential issues identified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E26089">
                  <w:pPr>
                    <w:rPr>
                      <w:rFonts w:eastAsia="Times New Roman"/>
                      <w:sz w:val="20"/>
                      <w:szCs w:val="20"/>
                    </w:rPr>
                  </w:pPr>
                </w:p>
              </w:tc>
            </w:tr>
            <w:tr w:rsidR="00E26089">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 xml:space="preserve">Recommended </w:t>
                  </w:r>
                  <w:r>
                    <w:rPr>
                      <w:rFonts w:ascii="Arial" w:eastAsia="Times New Roman" w:hAnsi="Arial" w:cs="Arial"/>
                      <w:b/>
                      <w:bCs/>
                      <w:sz w:val="20"/>
                      <w:szCs w:val="20"/>
                    </w:rPr>
                    <w:lastRenderedPageBreak/>
                    <w:t>Action: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755A70">
                  <w:pPr>
                    <w:spacing w:after="240"/>
                    <w:rPr>
                      <w:rFonts w:ascii="Arial" w:eastAsia="Times New Roman" w:hAnsi="Arial" w:cs="Arial"/>
                      <w:sz w:val="20"/>
                      <w:szCs w:val="20"/>
                    </w:rPr>
                  </w:pPr>
                  <w:r>
                    <w:rPr>
                      <w:rFonts w:ascii="Arial" w:eastAsia="Times New Roman" w:hAnsi="Arial" w:cs="Arial"/>
                      <w:sz w:val="20"/>
                      <w:szCs w:val="20"/>
                    </w:rPr>
                    <w:lastRenderedPageBreak/>
                    <w:t xml:space="preserve">Operation has triggered 1 or more Policy Directives; please refer to </w:t>
                  </w:r>
                  <w:r>
                    <w:rPr>
                      <w:rFonts w:ascii="Arial" w:eastAsia="Times New Roman" w:hAnsi="Arial" w:cs="Arial"/>
                      <w:sz w:val="20"/>
                      <w:szCs w:val="20"/>
                    </w:rPr>
                    <w:lastRenderedPageBreak/>
                    <w:t>appropriate Directive(s). Complete Project Classification Tool. Submit Safeguard Policy Filter Report, PP (or equivalent) and Safeguard Screening Form to ESR.</w:t>
                  </w:r>
                  <w:r>
                    <w:rPr>
                      <w:rFonts w:ascii="Arial" w:eastAsia="Times New Roman" w:hAnsi="Arial" w:cs="Arial"/>
                      <w:sz w:val="20"/>
                      <w:szCs w:val="20"/>
                    </w:rPr>
                    <w:br/>
                  </w:r>
                  <w:r>
                    <w:rPr>
                      <w:rFonts w:ascii="Arial" w:eastAsia="Times New Roman" w:hAnsi="Arial" w:cs="Arial"/>
                      <w:sz w:val="20"/>
                      <w:szCs w:val="20"/>
                    </w:rPr>
                    <w:br/>
                    <w:t xml:space="preserve">The project triggered the Disaster Risk Management policy (OP-704). A Disaster Risk Assessment (DRA) may be required (see Directive A-2 of the DRM Policy OP-704) in case of high risk, a limited DRA in case of moderate risk. Next, please complete a Disaster Risk Classification along with Impact Classification. </w:t>
                  </w:r>
                  <w:r>
                    <w:rPr>
                      <w:rFonts w:ascii="Arial" w:eastAsia="Times New Roman" w:hAnsi="Arial" w:cs="Arial"/>
                      <w:sz w:val="20"/>
                      <w:szCs w:val="20"/>
                    </w:rPr>
                    <w:br/>
                  </w:r>
                  <w:r>
                    <w:rPr>
                      <w:rFonts w:ascii="Arial" w:eastAsia="Times New Roman" w:hAnsi="Arial" w:cs="Arial"/>
                      <w:sz w:val="20"/>
                      <w:szCs w:val="20"/>
                    </w:rPr>
                    <w:br/>
                  </w:r>
                </w:p>
              </w:tc>
            </w:tr>
            <w:tr w:rsidR="00E26089">
              <w:trPr>
                <w:trHeight w:val="1200"/>
              </w:trPr>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lastRenderedPageBreak/>
                    <w:t>Additional Comments: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E26089">
                  <w:pPr>
                    <w:rPr>
                      <w:rFonts w:eastAsia="Times New Roman"/>
                      <w:sz w:val="20"/>
                      <w:szCs w:val="20"/>
                    </w:rPr>
                  </w:pPr>
                </w:p>
              </w:tc>
            </w:tr>
          </w:tbl>
          <w:p w:rsidR="00E26089" w:rsidRDefault="00E26089">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2429"/>
              <w:gridCol w:w="6915"/>
            </w:tblGrid>
            <w:tr w:rsidR="00E26089">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E26089" w:rsidRDefault="00755A70">
                  <w:pPr>
                    <w:rPr>
                      <w:rFonts w:ascii="Arial" w:eastAsia="Times New Roman" w:hAnsi="Arial" w:cs="Arial"/>
                      <w:b/>
                      <w:bCs/>
                      <w:sz w:val="27"/>
                      <w:szCs w:val="27"/>
                    </w:rPr>
                  </w:pPr>
                  <w:r>
                    <w:rPr>
                      <w:rFonts w:ascii="Arial" w:eastAsia="Times New Roman" w:hAnsi="Arial" w:cs="Arial"/>
                      <w:b/>
                      <w:bCs/>
                      <w:sz w:val="27"/>
                      <w:szCs w:val="27"/>
                    </w:rPr>
                    <w:t>ASSESSOR DETAILS</w:t>
                  </w:r>
                </w:p>
              </w:tc>
            </w:tr>
            <w:tr w:rsidR="00E26089">
              <w:trPr>
                <w:trHeight w:val="300"/>
              </w:trPr>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Suber, Stephanie Anne (ssuber@IADB.ORG); Corrales, Denis (denisc@iadb.org</w:t>
                  </w:r>
                </w:p>
              </w:tc>
            </w:tr>
            <w:tr w:rsidR="00E26089">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E26089">
                  <w:pPr>
                    <w:rPr>
                      <w:rFonts w:eastAsia="Times New Roman"/>
                      <w:sz w:val="20"/>
                      <w:szCs w:val="20"/>
                    </w:rPr>
                  </w:pPr>
                </w:p>
              </w:tc>
            </w:tr>
            <w:tr w:rsidR="00E26089">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2015-10-14</w:t>
                  </w:r>
                </w:p>
              </w:tc>
            </w:tr>
          </w:tbl>
          <w:p w:rsidR="00E26089" w:rsidRDefault="00755A70">
            <w:pPr>
              <w:rPr>
                <w:rFonts w:ascii="Arial" w:eastAsia="Times New Roman" w:hAnsi="Arial" w:cs="Arial"/>
                <w:sz w:val="20"/>
                <w:szCs w:val="20"/>
              </w:rPr>
            </w:pPr>
            <w:r>
              <w:rPr>
                <w:rFonts w:ascii="Arial" w:eastAsia="Times New Roman" w:hAnsi="Arial" w:cs="Arial"/>
                <w:sz w:val="20"/>
                <w:szCs w:val="20"/>
              </w:rPr>
              <w:br/>
              <w:t> </w:t>
            </w:r>
          </w:p>
          <w:tbl>
            <w:tblPr>
              <w:tblW w:w="5000" w:type="pct"/>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344"/>
            </w:tblGrid>
            <w:tr w:rsidR="00E26089">
              <w:tc>
                <w:tcPr>
                  <w:tcW w:w="0" w:type="auto"/>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E26089" w:rsidRDefault="00755A70">
                  <w:pPr>
                    <w:rPr>
                      <w:rFonts w:ascii="Arial" w:eastAsia="Times New Roman" w:hAnsi="Arial" w:cs="Arial"/>
                      <w:b/>
                      <w:bCs/>
                      <w:sz w:val="27"/>
                      <w:szCs w:val="27"/>
                    </w:rPr>
                  </w:pPr>
                  <w:r>
                    <w:rPr>
                      <w:rFonts w:ascii="Arial" w:eastAsia="Times New Roman" w:hAnsi="Arial" w:cs="Arial"/>
                      <w:b/>
                      <w:bCs/>
                      <w:sz w:val="27"/>
                      <w:szCs w:val="27"/>
                    </w:rPr>
                    <w:t>COMMENTS</w:t>
                  </w:r>
                </w:p>
              </w:tc>
            </w:tr>
            <w:tr w:rsidR="00E26089">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No Comments</w:t>
                  </w:r>
                </w:p>
              </w:tc>
            </w:tr>
          </w:tbl>
          <w:p w:rsidR="00E26089" w:rsidRDefault="00755A70">
            <w:pPr>
              <w:spacing w:after="240"/>
              <w:rPr>
                <w:rFonts w:ascii="Arial" w:eastAsia="Times New Roman" w:hAnsi="Arial" w:cs="Arial"/>
                <w:sz w:val="20"/>
                <w:szCs w:val="20"/>
              </w:rPr>
            </w:pPr>
            <w:r>
              <w:rPr>
                <w:rFonts w:ascii="Arial" w:eastAsia="Times New Roman" w:hAnsi="Arial" w:cs="Arial"/>
                <w:sz w:val="20"/>
                <w:szCs w:val="20"/>
              </w:rPr>
              <w:br/>
            </w:r>
          </w:p>
          <w:tbl>
            <w:tblPr>
              <w:tblW w:w="5000" w:type="pct"/>
              <w:tblCellSpacing w:w="15" w:type="dxa"/>
              <w:tblBorders>
                <w:top w:val="single" w:sz="6" w:space="0" w:color="FFFFFF"/>
                <w:left w:val="single" w:sz="6" w:space="0" w:color="FFFFFF"/>
                <w:bottom w:val="single" w:sz="6" w:space="0" w:color="FFFFFF"/>
                <w:right w:val="single" w:sz="6" w:space="0" w:color="FFFFFF"/>
              </w:tblBorders>
              <w:tblLook w:val="04A0" w:firstRow="1" w:lastRow="0" w:firstColumn="1" w:lastColumn="0" w:noHBand="0" w:noVBand="1"/>
            </w:tblPr>
            <w:tblGrid>
              <w:gridCol w:w="9344"/>
            </w:tblGrid>
            <w:tr w:rsidR="00E26089">
              <w:trPr>
                <w:divId w:val="293684279"/>
                <w:tblCellSpacing w:w="15" w:type="dxa"/>
              </w:trPr>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tcPr>
                <w:p w:rsidR="00E26089" w:rsidRDefault="00755A70">
                  <w:pPr>
                    <w:spacing w:after="240"/>
                    <w:rPr>
                      <w:rFonts w:ascii="Arial" w:eastAsia="Times New Roman" w:hAnsi="Arial" w:cs="Arial"/>
                      <w:sz w:val="20"/>
                      <w:szCs w:val="20"/>
                    </w:rPr>
                  </w:pPr>
                  <w:r>
                    <w:rPr>
                      <w:rFonts w:ascii="Arial" w:eastAsia="Times New Roman" w:hAnsi="Arial" w:cs="Arial"/>
                      <w:b/>
                      <w:bCs/>
                      <w:sz w:val="28"/>
                      <w:szCs w:val="28"/>
                    </w:rPr>
                    <w:t>SAFEGUARD SCREENING FORM</w:t>
                  </w:r>
                </w:p>
                <w:tbl>
                  <w:tblPr>
                    <w:tblW w:w="5000" w:type="pct"/>
                    <w:tblCellSpacing w:w="0" w:type="dxa"/>
                    <w:tblBorders>
                      <w:top w:val="single" w:sz="6" w:space="0" w:color="808080"/>
                      <w:left w:val="single" w:sz="6" w:space="0" w:color="808080"/>
                      <w:right w:val="single" w:sz="6" w:space="0" w:color="808080"/>
                    </w:tblBorders>
                    <w:tblCellMar>
                      <w:left w:w="0" w:type="dxa"/>
                      <w:right w:w="0" w:type="dxa"/>
                    </w:tblCellMar>
                    <w:tblLook w:val="04A0" w:firstRow="1" w:lastRow="0" w:firstColumn="1" w:lastColumn="0" w:noHBand="0" w:noVBand="1"/>
                  </w:tblPr>
                  <w:tblGrid>
                    <w:gridCol w:w="2347"/>
                    <w:gridCol w:w="6681"/>
                  </w:tblGrid>
                  <w:tr w:rsidR="00E26089">
                    <w:trPr>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0" w:type="dxa"/>
                          <w:left w:w="105" w:type="dxa"/>
                          <w:bottom w:w="0" w:type="dxa"/>
                          <w:right w:w="105" w:type="dxa"/>
                        </w:tcMar>
                        <w:vAlign w:val="center"/>
                        <w:hideMark/>
                      </w:tcPr>
                      <w:p w:rsidR="00E26089" w:rsidRDefault="00755A70">
                        <w:pPr>
                          <w:rPr>
                            <w:rFonts w:ascii="Arial" w:eastAsia="Times New Roman" w:hAnsi="Arial" w:cs="Arial"/>
                            <w:b/>
                            <w:bCs/>
                            <w:sz w:val="27"/>
                            <w:szCs w:val="27"/>
                          </w:rPr>
                        </w:pPr>
                        <w:r>
                          <w:rPr>
                            <w:rFonts w:ascii="Arial" w:eastAsia="Times New Roman" w:hAnsi="Arial" w:cs="Arial"/>
                            <w:b/>
                            <w:bCs/>
                            <w:sz w:val="27"/>
                            <w:szCs w:val="27"/>
                          </w:rPr>
                          <w:t>PROJECT DETAILS</w:t>
                        </w:r>
                      </w:p>
                    </w:tc>
                  </w:tr>
                  <w:tr w:rsidR="00E26089">
                    <w:trPr>
                      <w:tblCellSpacing w:w="0" w:type="dxa"/>
                    </w:trPr>
                    <w:tc>
                      <w:tcPr>
                        <w:tcW w:w="1300"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IDB Sector</w:t>
                        </w:r>
                      </w:p>
                    </w:tc>
                    <w:tc>
                      <w:tcPr>
                        <w:tcW w:w="3700"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ENERGY-ENERGY SECTOR REHABILITATION AND EFFICIENCY</w:t>
                        </w:r>
                      </w:p>
                    </w:tc>
                  </w:tr>
                  <w:tr w:rsidR="00E26089">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Other Lending or Financing Instrument</w:t>
                        </w:r>
                      </w:p>
                    </w:tc>
                  </w:tr>
                  <w:tr w:rsidR="00E26089">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E26089" w:rsidRDefault="00E26089">
                        <w:pPr>
                          <w:rPr>
                            <w:rFonts w:eastAsia="Times New Roman"/>
                            <w:sz w:val="20"/>
                            <w:szCs w:val="20"/>
                          </w:rPr>
                        </w:pPr>
                      </w:p>
                    </w:tc>
                  </w:tr>
                  <w:tr w:rsidR="00E26089">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Country</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NICARAGUA</w:t>
                        </w:r>
                      </w:p>
                    </w:tc>
                  </w:tr>
                  <w:tr w:rsidR="00E26089">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Project Status</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E26089" w:rsidRDefault="00E26089">
                        <w:pPr>
                          <w:rPr>
                            <w:rFonts w:eastAsia="Times New Roman"/>
                            <w:sz w:val="20"/>
                            <w:szCs w:val="20"/>
                          </w:rPr>
                        </w:pPr>
                      </w:p>
                    </w:tc>
                  </w:tr>
                  <w:tr w:rsidR="00E26089">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Generic Checklist</w:t>
                        </w:r>
                      </w:p>
                    </w:tc>
                  </w:tr>
                  <w:tr w:rsidR="00E26089" w:rsidRPr="00AA5504">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E26089" w:rsidRPr="00AA5504" w:rsidRDefault="00755A70">
                        <w:pPr>
                          <w:rPr>
                            <w:rFonts w:ascii="Arial" w:eastAsia="Times New Roman" w:hAnsi="Arial" w:cs="Arial"/>
                            <w:sz w:val="20"/>
                            <w:szCs w:val="20"/>
                            <w:lang w:val="es-ES_tradnl"/>
                          </w:rPr>
                        </w:pPr>
                        <w:r w:rsidRPr="00AA5504">
                          <w:rPr>
                            <w:rFonts w:ascii="Arial" w:eastAsia="Times New Roman" w:hAnsi="Arial" w:cs="Arial"/>
                            <w:sz w:val="20"/>
                            <w:szCs w:val="20"/>
                            <w:lang w:val="es-ES_tradnl"/>
                          </w:rPr>
                          <w:t>Baldivieso, Hector (HBALDIVIESO@iadb.org)</w:t>
                        </w:r>
                      </w:p>
                    </w:tc>
                  </w:tr>
                  <w:tr w:rsidR="00E26089">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Extension and Strengthening of the SIN Transmission System</w:t>
                        </w:r>
                      </w:p>
                    </w:tc>
                  </w:tr>
                  <w:tr w:rsidR="00E26089">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NI-L1091</w:t>
                        </w:r>
                      </w:p>
                    </w:tc>
                  </w:tr>
                  <w:tr w:rsidR="00E26089">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Suber, Stephanie Anne (ssuber@IADB.ORG); Corrales, Denis (denisc@iadb.org</w:t>
                        </w:r>
                      </w:p>
                    </w:tc>
                  </w:tr>
                  <w:tr w:rsidR="00E26089">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2015-10-14</w:t>
                        </w:r>
                      </w:p>
                    </w:tc>
                  </w:tr>
                </w:tbl>
                <w:p w:rsidR="00E26089" w:rsidRDefault="00E26089">
                  <w:pPr>
                    <w:spacing w:after="240"/>
                    <w:rPr>
                      <w:rFonts w:ascii="Arial" w:eastAsia="Times New Roman" w:hAnsi="Arial" w:cs="Arial"/>
                      <w:sz w:val="20"/>
                      <w:szCs w:val="20"/>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2172"/>
                    <w:gridCol w:w="1859"/>
                    <w:gridCol w:w="4997"/>
                  </w:tblGrid>
                  <w:tr w:rsidR="00E26089">
                    <w:trPr>
                      <w:tblCellSpacing w:w="15" w:type="dxa"/>
                    </w:trPr>
                    <w:tc>
                      <w:tcPr>
                        <w:tcW w:w="0" w:type="auto"/>
                        <w:gridSpan w:val="3"/>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E26089" w:rsidRDefault="00755A70">
                        <w:pPr>
                          <w:rPr>
                            <w:rFonts w:ascii="Arial" w:eastAsia="Times New Roman" w:hAnsi="Arial" w:cs="Arial"/>
                            <w:b/>
                            <w:bCs/>
                            <w:sz w:val="27"/>
                            <w:szCs w:val="27"/>
                          </w:rPr>
                        </w:pPr>
                        <w:r>
                          <w:rPr>
                            <w:rFonts w:ascii="Arial" w:eastAsia="Times New Roman" w:hAnsi="Arial" w:cs="Arial"/>
                            <w:b/>
                            <w:bCs/>
                            <w:sz w:val="27"/>
                            <w:szCs w:val="27"/>
                          </w:rPr>
                          <w:lastRenderedPageBreak/>
                          <w:t>PROJECT CLASSIFICATION SUMMARY</w:t>
                        </w:r>
                      </w:p>
                    </w:tc>
                  </w:tr>
                  <w:tr w:rsidR="00E26089">
                    <w:trPr>
                      <w:trHeight w:val="600"/>
                      <w:tblCellSpacing w:w="15" w:type="dxa"/>
                    </w:trPr>
                    <w:tc>
                      <w:tcPr>
                        <w:tcW w:w="27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Project Category:</w:t>
                        </w:r>
                        <w:r>
                          <w:rPr>
                            <w:rFonts w:ascii="Arial" w:eastAsia="Times New Roman" w:hAnsi="Arial" w:cs="Arial"/>
                            <w:b/>
                            <w:bCs/>
                            <w:sz w:val="20"/>
                            <w:szCs w:val="20"/>
                          </w:rPr>
                          <w:br/>
                        </w:r>
                        <w:r>
                          <w:rPr>
                            <w:rFonts w:ascii="Arial" w:eastAsia="Times New Roman" w:hAnsi="Arial" w:cs="Arial"/>
                            <w:sz w:val="20"/>
                            <w:szCs w:val="20"/>
                          </w:rPr>
                          <w:t>B</w:t>
                        </w:r>
                      </w:p>
                    </w:tc>
                    <w:tc>
                      <w:tcPr>
                        <w:tcW w:w="12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Override Rating:</w:t>
                        </w:r>
                        <w:r>
                          <w:rPr>
                            <w:rFonts w:ascii="Arial" w:eastAsia="Times New Roman" w:hAnsi="Arial" w:cs="Arial"/>
                            <w:b/>
                            <w:bCs/>
                            <w:sz w:val="20"/>
                            <w:szCs w:val="20"/>
                          </w:rPr>
                          <w:br/>
                        </w:r>
                        <w:r>
                          <w:rPr>
                            <w:rFonts w:ascii="Arial" w:eastAsia="Times New Roman" w:hAnsi="Arial" w:cs="Arial"/>
                            <w:sz w:val="20"/>
                            <w:szCs w:val="20"/>
                          </w:rPr>
                          <w:t>B</w:t>
                        </w:r>
                      </w:p>
                    </w:tc>
                    <w:tc>
                      <w:tcPr>
                        <w:tcW w:w="48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Override Justification:</w:t>
                        </w:r>
                      </w:p>
                    </w:tc>
                  </w:tr>
                  <w:tr w:rsidR="00E26089">
                    <w:trPr>
                      <w:trHeight w:val="600"/>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26089" w:rsidRDefault="00E26089">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26089" w:rsidRDefault="00E26089">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Comments:</w:t>
                        </w:r>
                      </w:p>
                    </w:tc>
                  </w:tr>
                  <w:tr w:rsidR="00E26089">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Conditions/</w:t>
                        </w:r>
                        <w:r>
                          <w:rPr>
                            <w:rFonts w:ascii="Arial" w:eastAsia="Times New Roman" w:hAnsi="Arial" w:cs="Arial"/>
                            <w:b/>
                            <w:bCs/>
                            <w:sz w:val="20"/>
                            <w:szCs w:val="20"/>
                          </w:rPr>
                          <w:br/>
                          <w:t>Recommendations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755A70">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Category "B" operations require an environmental analysis (see Environment Policy Guideline: Directive B.5 for Environmental Analysis requirements).</w:t>
                        </w:r>
                      </w:p>
                      <w:p w:rsidR="00E26089" w:rsidRDefault="00755A70">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The Project Team must send to ESR the PP (or equivalent) containing the Environmental and Social Strategy (the requirements for an ESS are described in the Environment Policy Guideline: Directive B.3) as well as the Safeguard Policy Filter and Safeguard Screening Form Reports.</w:t>
                        </w:r>
                      </w:p>
                      <w:p w:rsidR="00E26089" w:rsidRDefault="00755A70">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These operations will normally require an environmental and/or social impact analysis, according to, and focusing on, the specific issues identified in the screening process, and an environmental and social management plan (ESMP). However, these operations should also establish safeguard, or monitoring requirements to address environmental and other risks (social, disaster, cultural, health and safety etc.) where necessary.</w:t>
                        </w:r>
                      </w:p>
                    </w:tc>
                  </w:tr>
                </w:tbl>
                <w:p w:rsidR="00E26089" w:rsidRDefault="00E26089">
                  <w:pPr>
                    <w:spacing w:after="240"/>
                    <w:rPr>
                      <w:rFonts w:ascii="Arial" w:eastAsia="Times New Roman" w:hAnsi="Arial" w:cs="Arial"/>
                      <w:sz w:val="20"/>
                      <w:szCs w:val="20"/>
                    </w:rPr>
                  </w:pPr>
                </w:p>
                <w:tbl>
                  <w:tblPr>
                    <w:tblW w:w="5000" w:type="pct"/>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2369"/>
                    <w:gridCol w:w="6659"/>
                  </w:tblGrid>
                  <w:tr w:rsidR="00E26089">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E26089" w:rsidRDefault="00755A70">
                        <w:pPr>
                          <w:rPr>
                            <w:rFonts w:ascii="Arial" w:eastAsia="Times New Roman" w:hAnsi="Arial" w:cs="Arial"/>
                            <w:b/>
                            <w:bCs/>
                            <w:sz w:val="27"/>
                            <w:szCs w:val="27"/>
                          </w:rPr>
                        </w:pPr>
                        <w:r>
                          <w:rPr>
                            <w:rFonts w:ascii="Arial" w:eastAsia="Times New Roman" w:hAnsi="Arial" w:cs="Arial"/>
                            <w:b/>
                            <w:bCs/>
                            <w:sz w:val="27"/>
                            <w:szCs w:val="27"/>
                          </w:rPr>
                          <w:t>SUMMARY OF IMPACTS/RISKS AND POTENTIAL SOLUTIONS</w:t>
                        </w:r>
                      </w:p>
                    </w:tc>
                  </w:tr>
                  <w:tr w:rsidR="00E26089">
                    <w:trPr>
                      <w:tblCellSpacing w:w="15" w:type="dxa"/>
                    </w:trPr>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Identified Impacts/Risks</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Potential Solutions</w:t>
                        </w:r>
                      </w:p>
                    </w:tc>
                  </w:tr>
                  <w:tr w:rsidR="00E26089">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Minor or moderate conversion or degradation impacts to natural habitats (such as forests, wetlands or grasslands).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b/>
                            <w:bCs/>
                            <w:sz w:val="20"/>
                            <w:szCs w:val="20"/>
                          </w:rPr>
                          <w:t>Ensure Proper Management and Monitoring of the Impacts of Natural Habitat Loss:</w:t>
                        </w:r>
                        <w:r>
                          <w:rPr>
                            <w:rFonts w:ascii="Arial" w:eastAsia="Times New Roman" w:hAnsi="Arial" w:cs="Arial"/>
                            <w:sz w:val="20"/>
                            <w:szCs w:val="20"/>
                          </w:rPr>
                          <w:t xml:space="preserve"> A Biodiversity Management Plan (BMP) should be prepared that defines how impacts will be mitigated (roles and responsibilities, monitoring, budget, etc.) and could be incorporated in the ESMP. Depending on the financial product, the BMP should be referenced in appropriate legal documentation (covenants, conditions of disbursement, etc.). Confirmation should be obtained from competent experts that they are confident that the plan can mitigate impacts and also that the relevant authorities have approved the BMP.</w:t>
                        </w:r>
                      </w:p>
                    </w:tc>
                  </w:tr>
                  <w:tr w:rsidR="00E26089">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The project is likely to negatively change the use of the land but the related negative impacts will be minor to moderate in nature.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b/>
                            <w:bCs/>
                            <w:sz w:val="20"/>
                            <w:szCs w:val="20"/>
                          </w:rPr>
                          <w:t>Land use:</w:t>
                        </w:r>
                        <w:r>
                          <w:rPr>
                            <w:rFonts w:ascii="Arial" w:eastAsia="Times New Roman" w:hAnsi="Arial" w:cs="Arial"/>
                            <w:sz w:val="20"/>
                            <w:szCs w:val="20"/>
                          </w:rPr>
                          <w:t xml:space="preserve"> A Plan should be prepared that defines how land use change will be mitigated (roles and responsibilities, monitoring, budget, etc.) and could be incorporated in the ESMP. Proper consultation should be foreseen. Confirmation should be obtained from experts that the plan can mitigate impacts and also that relevant authorities have approved the Plan. Examples of mitigation include reforestation, GHG offsetting, nutrient fixation in soils, conservation of biodiversity.</w:t>
                        </w:r>
                      </w:p>
                    </w:tc>
                  </w:tr>
                  <w:tr w:rsidR="00E26089">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 xml:space="preserve">The negative impacts from production, procurement and disposal of hazardous materials (excluding POPs unacceptable </w:t>
                        </w:r>
                        <w:r>
                          <w:rPr>
                            <w:rFonts w:ascii="Arial" w:eastAsia="Times New Roman" w:hAnsi="Arial" w:cs="Arial"/>
                            <w:sz w:val="20"/>
                            <w:szCs w:val="20"/>
                          </w:rPr>
                          <w:lastRenderedPageBreak/>
                          <w:t>under the Stockholm Convention or toxic pesticides) are minor and will comply with relevant national legislation, IDB requirements on hazardous material and all applicable International Standards.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b/>
                            <w:bCs/>
                            <w:sz w:val="20"/>
                            <w:szCs w:val="20"/>
                          </w:rPr>
                          <w:lastRenderedPageBreak/>
                          <w:t>Monitor hazardous materials use:</w:t>
                        </w:r>
                        <w:r>
                          <w:rPr>
                            <w:rFonts w:ascii="Arial" w:eastAsia="Times New Roman" w:hAnsi="Arial" w:cs="Arial"/>
                            <w:sz w:val="20"/>
                            <w:szCs w:val="20"/>
                          </w:rPr>
                          <w:t xml:space="preserve"> The borrower should document risks relating to use of hazardous materials and prepare a hazardous material management plan that indicates how hazardous materials will be managed (and community risks mitigated). This plan could be part of the ESMP.</w:t>
                        </w:r>
                      </w:p>
                    </w:tc>
                  </w:tr>
                  <w:tr w:rsidR="00E26089">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lastRenderedPageBreak/>
                          <w:t>Transport of hazardous materials (e.g. fuel) with minor to moderate potential to cause impacts on community health and safety.</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b/>
                            <w:bCs/>
                            <w:sz w:val="20"/>
                            <w:szCs w:val="20"/>
                          </w:rPr>
                          <w:t>Hazardous Materials Management:</w:t>
                        </w:r>
                        <w:r>
                          <w:rPr>
                            <w:rFonts w:ascii="Arial" w:eastAsia="Times New Roman" w:hAnsi="Arial" w:cs="Arial"/>
                            <w:sz w:val="20"/>
                            <w:szCs w:val="20"/>
                          </w:rPr>
                          <w:t xml:space="preserve"> The borrower should be required develop a hazardous materials management plan; details of grievances and any independent health and safety audits undertaken during the year should also be provided. Compliance with the plan should be monitored and reported. Depending on the financial product, this information should be referenced in appropriate legal documentation (covenants, conditions of disbursement etc). Consider requirements for independent audits if there are concerns about commitment of borrower or potential outstanding community concerns.</w:t>
                        </w:r>
                      </w:p>
                    </w:tc>
                  </w:tr>
                  <w:tr w:rsidR="00E26089">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Project construction activities are likely to lead to localized and temporary impacts (such as dust, noise, traffic etc) that will affect local communities and workers but these are minor to moderate in nature.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b/>
                            <w:bCs/>
                            <w:sz w:val="20"/>
                            <w:szCs w:val="20"/>
                          </w:rPr>
                          <w:t>Construction:</w:t>
                        </w:r>
                        <w:r>
                          <w:rPr>
                            <w:rFonts w:ascii="Arial" w:eastAsia="Times New Roman" w:hAnsi="Arial" w:cs="Arial"/>
                            <w:sz w:val="20"/>
                            <w:szCs w:val="20"/>
                          </w:rPr>
                          <w:t xml:space="preserve"> The borrower should demonstrate how the construction impacts will be mitigated. Appropriate management plans and procedures should be incorporated into the ESMP. Review of implementation as well as reporting on the plan should be part of the legal documentation (covenants, conditions of disbursement, etc).</w:t>
                        </w:r>
                      </w:p>
                    </w:tc>
                  </w:tr>
                  <w:tr w:rsidR="00E26089">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Borrower is not responsible for directly managing the activities that have negative impacts on indigenous peoples (i.e. it is the responsibility of government or parastatal agencies other than the executing agency) and impacts are minor to moderate in nature.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b/>
                            <w:bCs/>
                            <w:sz w:val="20"/>
                            <w:szCs w:val="20"/>
                          </w:rPr>
                          <w:t>Ensure Adequacy of Mitigation Framework:</w:t>
                        </w:r>
                        <w:r>
                          <w:rPr>
                            <w:rFonts w:ascii="Arial" w:eastAsia="Times New Roman" w:hAnsi="Arial" w:cs="Arial"/>
                            <w:sz w:val="20"/>
                            <w:szCs w:val="20"/>
                          </w:rPr>
                          <w:t>Where the activities that have the potential to impact indigenous peoples are the responsibility of third parties (associated facilities, activities under government jurisdiction, etc.), the borrower will need to collaborate with these third parties to ascertain that they are implementing a Mitigation Framework that is consistent with the objectives of OP-765, particularly with respect to avoiding adverse effects on indigenous peoples. In circumstances where third-party capacity is limited (or commitment is unclear), the borrower will need to play an active role in supporting the implementation of a reasonable mitigation framework. Depending on the financial product, the borrower's actions to cause the mitigation framework to be adequately implemented should be referenced in appropriate legal documentation (covenants, conditions of disbursement, project completion tests, credit and operation regulations, etc.). Reporting and independent monitoring of mitigation implementation should be required.</w:t>
                        </w:r>
                      </w:p>
                    </w:tc>
                  </w:tr>
                </w:tbl>
                <w:p w:rsidR="00E26089" w:rsidRDefault="00E26089">
                  <w:pPr>
                    <w:spacing w:after="240"/>
                    <w:rPr>
                      <w:rFonts w:ascii="Arial" w:eastAsia="Times New Roman" w:hAnsi="Arial" w:cs="Arial"/>
                      <w:sz w:val="20"/>
                      <w:szCs w:val="20"/>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2369"/>
                    <w:gridCol w:w="6659"/>
                  </w:tblGrid>
                  <w:tr w:rsidR="00E26089">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E26089" w:rsidRDefault="00755A70">
                        <w:pPr>
                          <w:rPr>
                            <w:rFonts w:ascii="Arial" w:eastAsia="Times New Roman" w:hAnsi="Arial" w:cs="Arial"/>
                            <w:b/>
                            <w:bCs/>
                            <w:sz w:val="27"/>
                            <w:szCs w:val="27"/>
                          </w:rPr>
                        </w:pPr>
                        <w:r>
                          <w:rPr>
                            <w:rFonts w:ascii="Arial" w:eastAsia="Times New Roman" w:hAnsi="Arial" w:cs="Arial"/>
                            <w:b/>
                            <w:bCs/>
                            <w:sz w:val="27"/>
                            <w:szCs w:val="27"/>
                          </w:rPr>
                          <w:t>DISASTER RISK SUMMARY</w:t>
                        </w:r>
                      </w:p>
                    </w:tc>
                  </w:tr>
                  <w:tr w:rsidR="00E26089">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br/>
                          <w:t xml:space="preserve">Disaster Risk Category: </w:t>
                        </w:r>
                        <w:r>
                          <w:rPr>
                            <w:rFonts w:ascii="Arial" w:eastAsia="Times New Roman" w:hAnsi="Arial" w:cs="Arial"/>
                            <w:sz w:val="20"/>
                            <w:szCs w:val="20"/>
                          </w:rPr>
                          <w:t>Low</w:t>
                        </w:r>
                      </w:p>
                    </w:tc>
                  </w:tr>
                  <w:tr w:rsidR="00E26089">
                    <w:trPr>
                      <w:tblCellSpacing w:w="15" w:type="dxa"/>
                    </w:trPr>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lastRenderedPageBreak/>
                          <w:t>Disaster/</w:t>
                        </w:r>
                        <w:r>
                          <w:rPr>
                            <w:rFonts w:ascii="Arial" w:eastAsia="Times New Roman" w:hAnsi="Arial" w:cs="Arial"/>
                            <w:b/>
                            <w:bCs/>
                            <w:sz w:val="20"/>
                            <w:szCs w:val="20"/>
                          </w:rPr>
                          <w:br/>
                          <w:t>Recommendations</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755A70">
                        <w:pPr>
                          <w:numPr>
                            <w:ilvl w:val="0"/>
                            <w:numId w:val="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No specific disaster risk management measures are required.</w:t>
                        </w:r>
                      </w:p>
                    </w:tc>
                  </w:tr>
                </w:tbl>
                <w:p w:rsidR="00E26089" w:rsidRDefault="00E26089">
                  <w:pPr>
                    <w:spacing w:after="240"/>
                    <w:rPr>
                      <w:rFonts w:ascii="Arial" w:eastAsia="Times New Roman" w:hAnsi="Arial" w:cs="Arial"/>
                      <w:sz w:val="20"/>
                      <w:szCs w:val="20"/>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2369"/>
                    <w:gridCol w:w="6659"/>
                  </w:tblGrid>
                  <w:tr w:rsidR="00E26089">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E26089" w:rsidRDefault="00755A70">
                        <w:pPr>
                          <w:rPr>
                            <w:rFonts w:ascii="Arial" w:eastAsia="Times New Roman" w:hAnsi="Arial" w:cs="Arial"/>
                            <w:b/>
                            <w:bCs/>
                            <w:sz w:val="27"/>
                            <w:szCs w:val="27"/>
                          </w:rPr>
                        </w:pPr>
                        <w:r>
                          <w:rPr>
                            <w:rFonts w:ascii="Arial" w:eastAsia="Times New Roman" w:hAnsi="Arial" w:cs="Arial"/>
                            <w:b/>
                            <w:bCs/>
                            <w:sz w:val="27"/>
                            <w:szCs w:val="27"/>
                          </w:rPr>
                          <w:t>ASSESSOR DETAILS</w:t>
                        </w:r>
                      </w:p>
                    </w:tc>
                  </w:tr>
                  <w:tr w:rsidR="00E26089">
                    <w:trPr>
                      <w:trHeight w:val="300"/>
                      <w:tblCellSpacing w:w="15" w:type="dxa"/>
                    </w:trPr>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Suber, Stephanie Anne (ssuber@IADB.ORG); Corrales, Denis (denisc@iadb.org</w:t>
                        </w:r>
                      </w:p>
                    </w:tc>
                  </w:tr>
                  <w:tr w:rsidR="00E26089">
                    <w:trPr>
                      <w:trHeight w:val="300"/>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E26089">
                        <w:pPr>
                          <w:rPr>
                            <w:rFonts w:eastAsia="Times New Roman"/>
                            <w:sz w:val="20"/>
                            <w:szCs w:val="20"/>
                          </w:rPr>
                        </w:pPr>
                      </w:p>
                    </w:tc>
                  </w:tr>
                  <w:tr w:rsidR="00E26089">
                    <w:trPr>
                      <w:trHeight w:val="300"/>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26089" w:rsidRDefault="00755A70">
                        <w:pPr>
                          <w:rPr>
                            <w:rFonts w:ascii="Arial" w:eastAsia="Times New Roman" w:hAnsi="Arial" w:cs="Arial"/>
                            <w:sz w:val="20"/>
                            <w:szCs w:val="20"/>
                          </w:rPr>
                        </w:pPr>
                        <w:r>
                          <w:rPr>
                            <w:rFonts w:ascii="Arial" w:eastAsia="Times New Roman" w:hAnsi="Arial" w:cs="Arial"/>
                            <w:sz w:val="20"/>
                            <w:szCs w:val="20"/>
                          </w:rPr>
                          <w:t>2015-10-14</w:t>
                        </w:r>
                      </w:p>
                    </w:tc>
                  </w:tr>
                </w:tbl>
                <w:p w:rsidR="00E26089" w:rsidRDefault="00755A70">
                  <w:pPr>
                    <w:rPr>
                      <w:rFonts w:ascii="Arial" w:eastAsia="Times New Roman" w:hAnsi="Arial" w:cs="Arial"/>
                      <w:sz w:val="20"/>
                      <w:szCs w:val="20"/>
                    </w:rPr>
                  </w:pPr>
                  <w:r>
                    <w:rPr>
                      <w:rFonts w:ascii="Arial" w:eastAsia="Times New Roman" w:hAnsi="Arial" w:cs="Arial"/>
                      <w:sz w:val="20"/>
                      <w:szCs w:val="20"/>
                    </w:rPr>
                    <w:br/>
                    <w:t> </w:t>
                  </w:r>
                </w:p>
                <w:tbl>
                  <w:tblPr>
                    <w:tblW w:w="5000" w:type="pct"/>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028"/>
                  </w:tblGrid>
                  <w:tr w:rsidR="00E26089">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E26089" w:rsidRDefault="00755A70">
                        <w:pPr>
                          <w:rPr>
                            <w:rFonts w:ascii="Arial" w:eastAsia="Times New Roman" w:hAnsi="Arial" w:cs="Arial"/>
                            <w:b/>
                            <w:bCs/>
                            <w:sz w:val="27"/>
                            <w:szCs w:val="27"/>
                          </w:rPr>
                        </w:pPr>
                        <w:r>
                          <w:rPr>
                            <w:rFonts w:ascii="Arial" w:eastAsia="Times New Roman" w:hAnsi="Arial" w:cs="Arial"/>
                            <w:b/>
                            <w:bCs/>
                            <w:sz w:val="27"/>
                            <w:szCs w:val="27"/>
                          </w:rPr>
                          <w:t>COMMENTS</w:t>
                        </w:r>
                      </w:p>
                    </w:tc>
                  </w:tr>
                  <w:tr w:rsidR="00E26089">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26089" w:rsidRDefault="00755A70">
                        <w:pPr>
                          <w:rPr>
                            <w:rFonts w:ascii="Arial" w:eastAsia="Times New Roman" w:hAnsi="Arial" w:cs="Arial"/>
                            <w:b/>
                            <w:bCs/>
                            <w:sz w:val="20"/>
                            <w:szCs w:val="20"/>
                          </w:rPr>
                        </w:pPr>
                        <w:r>
                          <w:rPr>
                            <w:rFonts w:ascii="Arial" w:eastAsia="Times New Roman" w:hAnsi="Arial" w:cs="Arial"/>
                            <w:b/>
                            <w:bCs/>
                            <w:sz w:val="20"/>
                            <w:szCs w:val="20"/>
                          </w:rPr>
                          <w:t>No Comments</w:t>
                        </w:r>
                      </w:p>
                    </w:tc>
                  </w:tr>
                </w:tbl>
                <w:p w:rsidR="00E26089" w:rsidRDefault="00E26089">
                  <w:pPr>
                    <w:rPr>
                      <w:rFonts w:eastAsia="Times New Roman"/>
                      <w:sz w:val="20"/>
                      <w:szCs w:val="20"/>
                    </w:rPr>
                  </w:pPr>
                </w:p>
              </w:tc>
            </w:tr>
          </w:tbl>
          <w:p w:rsidR="00E26089" w:rsidRDefault="00E26089">
            <w:pPr>
              <w:rPr>
                <w:rFonts w:eastAsia="Times New Roman"/>
                <w:sz w:val="20"/>
                <w:szCs w:val="20"/>
              </w:rPr>
            </w:pPr>
          </w:p>
        </w:tc>
      </w:tr>
    </w:tbl>
    <w:p w:rsidR="00E26089" w:rsidRDefault="00E26089">
      <w:pPr>
        <w:rPr>
          <w:rFonts w:eastAsia="Times New Roman"/>
        </w:rPr>
      </w:pPr>
    </w:p>
    <w:sectPr w:rsidR="00E26089">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504" w:rsidRDefault="00AA5504" w:rsidP="00AA5504">
      <w:r>
        <w:separator/>
      </w:r>
    </w:p>
  </w:endnote>
  <w:endnote w:type="continuationSeparator" w:id="0">
    <w:p w:rsidR="00AA5504" w:rsidRDefault="00AA5504" w:rsidP="00AA5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504" w:rsidRDefault="00AA5504" w:rsidP="00AA5504">
      <w:r>
        <w:separator/>
      </w:r>
    </w:p>
  </w:footnote>
  <w:footnote w:type="continuationSeparator" w:id="0">
    <w:p w:rsidR="00AA5504" w:rsidRDefault="00AA5504" w:rsidP="00AA55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1584601"/>
      <w:docPartObj>
        <w:docPartGallery w:val="Page Numbers (Top of Page)"/>
        <w:docPartUnique/>
      </w:docPartObj>
    </w:sdtPr>
    <w:sdtEndPr>
      <w:rPr>
        <w:rFonts w:ascii="Arial" w:hAnsi="Arial" w:cs="Arial"/>
        <w:noProof/>
        <w:sz w:val="18"/>
      </w:rPr>
    </w:sdtEndPr>
    <w:sdtContent>
      <w:p w:rsidR="00AA5504" w:rsidRPr="00940762" w:rsidRDefault="00AA5504" w:rsidP="00AA5504">
        <w:pPr>
          <w:pStyle w:val="Header"/>
          <w:jc w:val="right"/>
          <w:rPr>
            <w:rFonts w:ascii="Arial" w:hAnsi="Arial" w:cs="Arial"/>
            <w:sz w:val="18"/>
          </w:rPr>
        </w:pPr>
        <w:r w:rsidRPr="00940762">
          <w:rPr>
            <w:rFonts w:ascii="Arial" w:hAnsi="Arial" w:cs="Arial"/>
            <w:sz w:val="18"/>
          </w:rPr>
          <w:t xml:space="preserve">Anexo </w:t>
        </w:r>
        <w:r>
          <w:rPr>
            <w:rFonts w:ascii="Arial" w:hAnsi="Arial" w:cs="Arial"/>
            <w:sz w:val="18"/>
          </w:rPr>
          <w:t>IV</w:t>
        </w:r>
        <w:r w:rsidRPr="00940762">
          <w:rPr>
            <w:rFonts w:ascii="Arial" w:hAnsi="Arial" w:cs="Arial"/>
            <w:sz w:val="18"/>
          </w:rPr>
          <w:t>-NI-L1091</w:t>
        </w:r>
      </w:p>
      <w:p w:rsidR="00AA5504" w:rsidRPr="00940762" w:rsidRDefault="00AA5504" w:rsidP="00AA5504">
        <w:pPr>
          <w:pStyle w:val="Header"/>
          <w:jc w:val="right"/>
          <w:rPr>
            <w:rFonts w:ascii="Arial" w:hAnsi="Arial" w:cs="Arial"/>
            <w:sz w:val="18"/>
          </w:rPr>
        </w:pPr>
        <w:r w:rsidRPr="00940762">
          <w:rPr>
            <w:rFonts w:ascii="Arial" w:hAnsi="Arial" w:cs="Arial"/>
            <w:sz w:val="18"/>
          </w:rPr>
          <w:t xml:space="preserve">Página </w:t>
        </w:r>
        <w:r w:rsidRPr="00940762">
          <w:rPr>
            <w:rFonts w:ascii="Arial" w:hAnsi="Arial" w:cs="Arial"/>
            <w:sz w:val="18"/>
          </w:rPr>
          <w:fldChar w:fldCharType="begin"/>
        </w:r>
        <w:r w:rsidRPr="00940762">
          <w:rPr>
            <w:rFonts w:ascii="Arial" w:hAnsi="Arial" w:cs="Arial"/>
            <w:sz w:val="18"/>
          </w:rPr>
          <w:instrText xml:space="preserve"> PAGE   \* MERGEFORMAT </w:instrText>
        </w:r>
        <w:r w:rsidRPr="00940762">
          <w:rPr>
            <w:rFonts w:ascii="Arial" w:hAnsi="Arial" w:cs="Arial"/>
            <w:sz w:val="18"/>
          </w:rPr>
          <w:fldChar w:fldCharType="separate"/>
        </w:r>
        <w:r>
          <w:rPr>
            <w:rFonts w:ascii="Arial" w:hAnsi="Arial" w:cs="Arial"/>
            <w:noProof/>
            <w:sz w:val="18"/>
          </w:rPr>
          <w:t>1</w:t>
        </w:r>
        <w:r w:rsidRPr="00940762">
          <w:rPr>
            <w:rFonts w:ascii="Arial" w:hAnsi="Arial" w:cs="Arial"/>
            <w:noProof/>
            <w:sz w:val="18"/>
          </w:rPr>
          <w:fldChar w:fldCharType="end"/>
        </w:r>
        <w:r>
          <w:rPr>
            <w:rFonts w:ascii="Arial" w:hAnsi="Arial" w:cs="Arial"/>
            <w:noProof/>
            <w:sz w:val="18"/>
          </w:rPr>
          <w:t xml:space="preserve"> de 6</w:t>
        </w:r>
      </w:p>
    </w:sdtContent>
  </w:sdt>
  <w:p w:rsidR="00AA5504" w:rsidRDefault="00AA55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405CE8"/>
    <w:multiLevelType w:val="multilevel"/>
    <w:tmpl w:val="DF80C7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7E0E28F2"/>
    <w:multiLevelType w:val="multilevel"/>
    <w:tmpl w:val="1B200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noPunctuationKerning/>
  <w:characterSpacingControl w:val="doNotCompres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755A70"/>
    <w:rsid w:val="00755A70"/>
    <w:rsid w:val="00AA5504"/>
    <w:rsid w:val="00E26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ers">
    <w:name w:val="sub_headers"/>
    <w:basedOn w:val="Normal"/>
    <w:pPr>
      <w:shd w:val="clear" w:color="auto" w:fill="CCCCCC"/>
      <w:spacing w:before="100" w:beforeAutospacing="1" w:after="100" w:afterAutospacing="1"/>
    </w:pPr>
    <w:rPr>
      <w:b/>
      <w:bCs/>
      <w:sz w:val="27"/>
      <w:szCs w:val="27"/>
    </w:rPr>
  </w:style>
  <w:style w:type="paragraph" w:customStyle="1" w:styleId="boldme">
    <w:name w:val="boldme"/>
    <w:basedOn w:val="Normal"/>
    <w:pPr>
      <w:spacing w:before="100" w:beforeAutospacing="1" w:after="100" w:afterAutospacing="1"/>
    </w:pPr>
    <w:rPr>
      <w:b/>
      <w:bCs/>
      <w:sz w:val="20"/>
      <w:szCs w:val="20"/>
    </w:rPr>
  </w:style>
  <w:style w:type="paragraph" w:customStyle="1" w:styleId="s">
    <w:name w:val="s"/>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 w:type="paragraph" w:customStyle="1" w:styleId="tablehead">
    <w:name w:val="tablehead"/>
    <w:basedOn w:val="Normal"/>
    <w:pPr>
      <w:spacing w:before="100" w:beforeAutospacing="1" w:after="100" w:afterAutospacing="1"/>
      <w:jc w:val="center"/>
    </w:pPr>
    <w:rPr>
      <w:b/>
      <w:bCs/>
      <w:sz w:val="20"/>
      <w:szCs w:val="20"/>
    </w:rPr>
  </w:style>
  <w:style w:type="paragraph" w:styleId="Header">
    <w:name w:val="header"/>
    <w:basedOn w:val="Normal"/>
    <w:link w:val="HeaderChar"/>
    <w:uiPriority w:val="99"/>
    <w:unhideWhenUsed/>
    <w:rsid w:val="00AA5504"/>
    <w:pPr>
      <w:tabs>
        <w:tab w:val="center" w:pos="4680"/>
        <w:tab w:val="right" w:pos="9360"/>
      </w:tabs>
    </w:pPr>
  </w:style>
  <w:style w:type="character" w:customStyle="1" w:styleId="HeaderChar">
    <w:name w:val="Header Char"/>
    <w:basedOn w:val="DefaultParagraphFont"/>
    <w:link w:val="Header"/>
    <w:uiPriority w:val="99"/>
    <w:rsid w:val="00AA5504"/>
    <w:rPr>
      <w:rFonts w:eastAsiaTheme="minorEastAsia"/>
      <w:sz w:val="24"/>
      <w:szCs w:val="24"/>
    </w:rPr>
  </w:style>
  <w:style w:type="paragraph" w:styleId="Footer">
    <w:name w:val="footer"/>
    <w:basedOn w:val="Normal"/>
    <w:link w:val="FooterChar"/>
    <w:uiPriority w:val="99"/>
    <w:unhideWhenUsed/>
    <w:rsid w:val="00AA5504"/>
    <w:pPr>
      <w:tabs>
        <w:tab w:val="center" w:pos="4680"/>
        <w:tab w:val="right" w:pos="9360"/>
      </w:tabs>
    </w:pPr>
  </w:style>
  <w:style w:type="character" w:customStyle="1" w:styleId="FooterChar">
    <w:name w:val="Footer Char"/>
    <w:basedOn w:val="DefaultParagraphFont"/>
    <w:link w:val="Footer"/>
    <w:uiPriority w:val="99"/>
    <w:rsid w:val="00AA5504"/>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ers">
    <w:name w:val="sub_headers"/>
    <w:basedOn w:val="Normal"/>
    <w:pPr>
      <w:shd w:val="clear" w:color="auto" w:fill="CCCCCC"/>
      <w:spacing w:before="100" w:beforeAutospacing="1" w:after="100" w:afterAutospacing="1"/>
    </w:pPr>
    <w:rPr>
      <w:b/>
      <w:bCs/>
      <w:sz w:val="27"/>
      <w:szCs w:val="27"/>
    </w:rPr>
  </w:style>
  <w:style w:type="paragraph" w:customStyle="1" w:styleId="boldme">
    <w:name w:val="boldme"/>
    <w:basedOn w:val="Normal"/>
    <w:pPr>
      <w:spacing w:before="100" w:beforeAutospacing="1" w:after="100" w:afterAutospacing="1"/>
    </w:pPr>
    <w:rPr>
      <w:b/>
      <w:bCs/>
      <w:sz w:val="20"/>
      <w:szCs w:val="20"/>
    </w:rPr>
  </w:style>
  <w:style w:type="paragraph" w:customStyle="1" w:styleId="s">
    <w:name w:val="s"/>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 w:type="paragraph" w:customStyle="1" w:styleId="tablehead">
    <w:name w:val="tablehead"/>
    <w:basedOn w:val="Normal"/>
    <w:pPr>
      <w:spacing w:before="100" w:beforeAutospacing="1" w:after="100" w:afterAutospacing="1"/>
      <w:jc w:val="center"/>
    </w:pPr>
    <w:rPr>
      <w:b/>
      <w:bCs/>
      <w:sz w:val="20"/>
      <w:szCs w:val="20"/>
    </w:rPr>
  </w:style>
  <w:style w:type="paragraph" w:styleId="Header">
    <w:name w:val="header"/>
    <w:basedOn w:val="Normal"/>
    <w:link w:val="HeaderChar"/>
    <w:uiPriority w:val="99"/>
    <w:unhideWhenUsed/>
    <w:rsid w:val="00AA5504"/>
    <w:pPr>
      <w:tabs>
        <w:tab w:val="center" w:pos="4680"/>
        <w:tab w:val="right" w:pos="9360"/>
      </w:tabs>
    </w:pPr>
  </w:style>
  <w:style w:type="character" w:customStyle="1" w:styleId="HeaderChar">
    <w:name w:val="Header Char"/>
    <w:basedOn w:val="DefaultParagraphFont"/>
    <w:link w:val="Header"/>
    <w:uiPriority w:val="99"/>
    <w:rsid w:val="00AA5504"/>
    <w:rPr>
      <w:rFonts w:eastAsiaTheme="minorEastAsia"/>
      <w:sz w:val="24"/>
      <w:szCs w:val="24"/>
    </w:rPr>
  </w:style>
  <w:style w:type="paragraph" w:styleId="Footer">
    <w:name w:val="footer"/>
    <w:basedOn w:val="Normal"/>
    <w:link w:val="FooterChar"/>
    <w:uiPriority w:val="99"/>
    <w:unhideWhenUsed/>
    <w:rsid w:val="00AA5504"/>
    <w:pPr>
      <w:tabs>
        <w:tab w:val="center" w:pos="4680"/>
        <w:tab w:val="right" w:pos="9360"/>
      </w:tabs>
    </w:pPr>
  </w:style>
  <w:style w:type="character" w:customStyle="1" w:styleId="FooterChar">
    <w:name w:val="Footer Char"/>
    <w:basedOn w:val="DefaultParagraphFont"/>
    <w:link w:val="Footer"/>
    <w:uiPriority w:val="99"/>
    <w:rsid w:val="00AA5504"/>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684279">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BD77498578F2A4F9A12BA50C74AA141" ma:contentTypeVersion="0" ma:contentTypeDescription="A content type to manage public (operations) IDB documents" ma:contentTypeScope="" ma:versionID="ba982811c9824d3cfd52347c52c16977">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39751557</IDBDocs_x0020_Number>
    <Document_x0020_Author xmlns="9c571b2f-e523-4ab2-ba2e-09e151a03ef4">Baldivieso, Hector</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NI-L1091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EN-ALT</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9319C8ED-3D6D-4A4A-82D5-E783080712A6}"/>
</file>

<file path=customXml/itemProps2.xml><?xml version="1.0" encoding="utf-8"?>
<ds:datastoreItem xmlns:ds="http://schemas.openxmlformats.org/officeDocument/2006/customXml" ds:itemID="{7C2953EC-86F0-4214-9098-E30C410EFCBF}"/>
</file>

<file path=customXml/itemProps3.xml><?xml version="1.0" encoding="utf-8"?>
<ds:datastoreItem xmlns:ds="http://schemas.openxmlformats.org/officeDocument/2006/customXml" ds:itemID="{3829C0CD-144B-4763-A6D1-174025FE9E75}"/>
</file>

<file path=customXml/itemProps4.xml><?xml version="1.0" encoding="utf-8"?>
<ds:datastoreItem xmlns:ds="http://schemas.openxmlformats.org/officeDocument/2006/customXml" ds:itemID="{64FB1EC4-6683-4CAA-8976-206FA4069F50}"/>
</file>

<file path=customXml/itemProps5.xml><?xml version="1.0" encoding="utf-8"?>
<ds:datastoreItem xmlns:ds="http://schemas.openxmlformats.org/officeDocument/2006/customXml" ds:itemID="{EFA04A33-8D4E-4412-B01C-3026C8A217D9}"/>
</file>

<file path=docProps/app.xml><?xml version="1.0" encoding="utf-8"?>
<Properties xmlns="http://schemas.openxmlformats.org/officeDocument/2006/extended-properties" xmlns:vt="http://schemas.openxmlformats.org/officeDocument/2006/docPropsVTypes">
  <Template>Normal.dotm</Template>
  <TotalTime>1</TotalTime>
  <Pages>6</Pages>
  <Words>1382</Words>
  <Characters>8999</Characters>
  <Application>Microsoft Office Word</Application>
  <DocSecurity>0</DocSecurity>
  <Lines>74</Lines>
  <Paragraphs>20</Paragraphs>
  <ScaleCrop>false</ScaleCrop>
  <Company>Inter-American Development Bank</Company>
  <LinksUpToDate>false</LinksUpToDate>
  <CharactersWithSpaces>10361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IV- Filtros Salvaguardias</dc:title>
  <dc:creator>IADB</dc:creator>
  <cp:lastModifiedBy>IADB</cp:lastModifiedBy>
  <cp:revision>3</cp:revision>
  <dcterms:created xsi:type="dcterms:W3CDTF">2015-10-30T15:19:00Z</dcterms:created>
  <dcterms:modified xsi:type="dcterms:W3CDTF">2015-10-30T15:24:00Z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0x01010046CF21643EE8D14686A648AA6DAD0892009BD77498578F2A4F9A12BA50C74AA141</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