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C39" w:rsidRPr="00AA02D3" w:rsidRDefault="00C5697F" w:rsidP="00C020D3">
      <w:pPr>
        <w:tabs>
          <w:tab w:val="left" w:pos="1440"/>
          <w:tab w:val="left" w:pos="3060"/>
        </w:tabs>
        <w:spacing w:after="0"/>
        <w:contextualSpacing/>
        <w:jc w:val="right"/>
        <w:rPr>
          <w:rFonts w:ascii="Arial" w:hAnsi="Arial" w:cs="Arial"/>
          <w:spacing w:val="5"/>
          <w:kern w:val="28"/>
          <w:lang w:val="es-ES" w:eastAsia="es-ES_tradnl"/>
        </w:rPr>
      </w:pPr>
      <w:r>
        <w:rPr>
          <w:rFonts w:ascii="Arial" w:hAnsi="Arial" w:cs="Arial"/>
          <w:b/>
          <w:smallCaps/>
          <w:lang w:val="es-ES"/>
        </w:rPr>
        <w:t>Ampliación y Refuerzos en el Sistema de Transmisión de Electricidad de Nicaragua</w:t>
      </w:r>
    </w:p>
    <w:p w:rsidR="0064148C" w:rsidRPr="00AA02D3" w:rsidRDefault="00C5697F" w:rsidP="00C020D3">
      <w:pPr>
        <w:tabs>
          <w:tab w:val="left" w:pos="1440"/>
          <w:tab w:val="left" w:pos="3060"/>
        </w:tabs>
        <w:spacing w:after="0"/>
        <w:contextualSpacing/>
        <w:jc w:val="right"/>
        <w:rPr>
          <w:rFonts w:ascii="Arial" w:hAnsi="Arial" w:cs="Arial"/>
          <w:spacing w:val="5"/>
          <w:kern w:val="28"/>
          <w:lang w:val="es-ES" w:eastAsia="es-ES_tradnl"/>
        </w:rPr>
      </w:pPr>
      <w:r>
        <w:rPr>
          <w:rFonts w:ascii="Arial" w:hAnsi="Arial" w:cs="Arial"/>
          <w:spacing w:val="5"/>
          <w:kern w:val="28"/>
          <w:lang w:val="es-ES" w:eastAsia="es-ES_tradnl"/>
        </w:rPr>
        <w:t>NI</w:t>
      </w:r>
      <w:r w:rsidR="00BC0FE9" w:rsidRPr="00AA02D3">
        <w:rPr>
          <w:rFonts w:ascii="Arial" w:hAnsi="Arial" w:cs="Arial"/>
          <w:spacing w:val="5"/>
          <w:kern w:val="28"/>
          <w:lang w:val="es-ES" w:eastAsia="es-ES_tradnl"/>
        </w:rPr>
        <w:t>-L1</w:t>
      </w:r>
      <w:r w:rsidR="002016CA" w:rsidRPr="00AA02D3">
        <w:rPr>
          <w:rFonts w:ascii="Arial" w:hAnsi="Arial" w:cs="Arial"/>
          <w:spacing w:val="5"/>
          <w:kern w:val="28"/>
          <w:lang w:val="es-ES" w:eastAsia="es-ES_tradnl"/>
        </w:rPr>
        <w:t>0</w:t>
      </w:r>
      <w:r>
        <w:rPr>
          <w:rFonts w:ascii="Arial" w:hAnsi="Arial" w:cs="Arial"/>
          <w:spacing w:val="5"/>
          <w:kern w:val="28"/>
          <w:lang w:val="es-ES" w:eastAsia="es-ES_tradnl"/>
        </w:rPr>
        <w:t>91</w:t>
      </w:r>
      <w:r w:rsidR="00BC0FE9" w:rsidRPr="00AA02D3">
        <w:rPr>
          <w:rFonts w:ascii="Arial" w:hAnsi="Arial" w:cs="Arial"/>
          <w:spacing w:val="5"/>
          <w:kern w:val="28"/>
          <w:lang w:val="es-ES" w:eastAsia="es-ES_tradnl"/>
        </w:rPr>
        <w:t xml:space="preserve"> - </w:t>
      </w:r>
      <w:r w:rsidR="007100D7" w:rsidRPr="00AA02D3">
        <w:rPr>
          <w:rFonts w:ascii="Arial" w:hAnsi="Arial" w:cs="Arial"/>
          <w:spacing w:val="5"/>
          <w:kern w:val="28"/>
          <w:lang w:val="es-ES" w:eastAsia="es-ES_tradnl"/>
        </w:rPr>
        <w:t xml:space="preserve">Anexo Técnico </w:t>
      </w:r>
    </w:p>
    <w:p w:rsidR="0064148C" w:rsidRPr="00AA02D3" w:rsidRDefault="00AC4E5B" w:rsidP="00C020D3">
      <w:pPr>
        <w:pBdr>
          <w:bottom w:val="single" w:sz="8" w:space="4" w:color="4F81BD"/>
        </w:pBdr>
        <w:spacing w:after="0"/>
        <w:contextualSpacing/>
        <w:jc w:val="right"/>
        <w:rPr>
          <w:rFonts w:ascii="Arial" w:hAnsi="Arial" w:cs="Arial"/>
          <w:spacing w:val="5"/>
          <w:kern w:val="28"/>
          <w:lang w:val="es-ES" w:eastAsia="es-ES_tradnl"/>
        </w:rPr>
      </w:pPr>
      <w:r w:rsidRPr="00AA02D3">
        <w:rPr>
          <w:rFonts w:ascii="Arial" w:hAnsi="Arial" w:cs="Arial"/>
          <w:spacing w:val="5"/>
          <w:kern w:val="28"/>
          <w:lang w:val="es-ES" w:eastAsia="es-ES_tradnl"/>
        </w:rPr>
        <w:t xml:space="preserve">Análisis de la Contribución a la </w:t>
      </w:r>
      <w:r w:rsidR="0064148C" w:rsidRPr="00AA02D3">
        <w:rPr>
          <w:rFonts w:ascii="Arial" w:hAnsi="Arial" w:cs="Arial"/>
          <w:spacing w:val="5"/>
          <w:kern w:val="28"/>
          <w:lang w:val="es-ES" w:eastAsia="es-ES_tradnl"/>
        </w:rPr>
        <w:t xml:space="preserve">Integración Regional </w:t>
      </w:r>
    </w:p>
    <w:p w:rsidR="00FC44E2" w:rsidRPr="00AA02D3" w:rsidRDefault="00FC44E2" w:rsidP="00AA02D3">
      <w:pPr>
        <w:spacing w:after="0"/>
        <w:contextualSpacing/>
        <w:jc w:val="both"/>
        <w:rPr>
          <w:rFonts w:ascii="Arial" w:hAnsi="Arial" w:cs="Arial"/>
          <w:lang w:val="es-ES"/>
        </w:rPr>
      </w:pPr>
    </w:p>
    <w:p w:rsidR="0094269D" w:rsidRPr="00AA02D3" w:rsidRDefault="0094269D" w:rsidP="00C020D3">
      <w:pPr>
        <w:keepNext/>
        <w:keepLines/>
        <w:spacing w:after="0"/>
        <w:outlineLvl w:val="1"/>
        <w:rPr>
          <w:rFonts w:ascii="Arial" w:eastAsia="MS Gothic" w:hAnsi="Arial" w:cs="Arial"/>
          <w:b/>
          <w:bCs/>
          <w:lang w:val="es-ES"/>
        </w:rPr>
      </w:pPr>
      <w:r w:rsidRPr="00AA02D3">
        <w:rPr>
          <w:rFonts w:ascii="Arial" w:eastAsia="MS Gothic" w:hAnsi="Arial" w:cs="Arial"/>
          <w:b/>
          <w:bCs/>
          <w:lang w:val="es-ES"/>
        </w:rPr>
        <w:t>Resumen Ejecutivo</w:t>
      </w:r>
    </w:p>
    <w:p w:rsidR="00662EBF" w:rsidRPr="00AA02D3" w:rsidRDefault="00C10300" w:rsidP="00C020D3">
      <w:pPr>
        <w:keepNext/>
        <w:keepLines/>
        <w:spacing w:before="120" w:after="0"/>
        <w:jc w:val="both"/>
        <w:outlineLvl w:val="1"/>
        <w:rPr>
          <w:rFonts w:ascii="Arial" w:eastAsia="MS Mincho" w:hAnsi="Arial" w:cs="Arial"/>
          <w:bCs/>
          <w:lang w:val="es-ES" w:eastAsia="ja-JP"/>
        </w:rPr>
      </w:pPr>
      <w:r w:rsidRPr="00AA02D3">
        <w:rPr>
          <w:rFonts w:ascii="Arial" w:eastAsia="MS Mincho" w:hAnsi="Arial" w:cs="Arial"/>
          <w:bCs/>
          <w:lang w:val="es-ES" w:eastAsia="ja-JP"/>
        </w:rPr>
        <w:t xml:space="preserve">El proyecto </w:t>
      </w:r>
      <w:r w:rsidR="00D844CA" w:rsidRPr="00C5697F">
        <w:rPr>
          <w:rFonts w:ascii="Arial" w:eastAsia="MS Mincho" w:hAnsi="Arial" w:cs="Arial"/>
          <w:bCs/>
          <w:i/>
          <w:lang w:val="es-ES" w:eastAsia="ja-JP"/>
        </w:rPr>
        <w:t xml:space="preserve">Ampliación </w:t>
      </w:r>
      <w:r w:rsidR="00D844CA">
        <w:rPr>
          <w:rFonts w:ascii="Arial" w:eastAsia="MS Mincho" w:hAnsi="Arial" w:cs="Arial"/>
          <w:bCs/>
          <w:i/>
          <w:lang w:val="es-ES" w:eastAsia="ja-JP"/>
        </w:rPr>
        <w:t>y</w:t>
      </w:r>
      <w:r w:rsidR="00D844CA" w:rsidRPr="00C5697F">
        <w:rPr>
          <w:rFonts w:ascii="Arial" w:eastAsia="MS Mincho" w:hAnsi="Arial" w:cs="Arial"/>
          <w:bCs/>
          <w:i/>
          <w:lang w:val="es-ES" w:eastAsia="ja-JP"/>
        </w:rPr>
        <w:t xml:space="preserve"> Refuerzos </w:t>
      </w:r>
      <w:r w:rsidR="00D844CA">
        <w:rPr>
          <w:rFonts w:ascii="Arial" w:eastAsia="MS Mincho" w:hAnsi="Arial" w:cs="Arial"/>
          <w:bCs/>
          <w:i/>
          <w:lang w:val="es-ES" w:eastAsia="ja-JP"/>
        </w:rPr>
        <w:t>e</w:t>
      </w:r>
      <w:r w:rsidR="00D844CA" w:rsidRPr="00C5697F">
        <w:rPr>
          <w:rFonts w:ascii="Arial" w:eastAsia="MS Mincho" w:hAnsi="Arial" w:cs="Arial"/>
          <w:bCs/>
          <w:i/>
          <w:lang w:val="es-ES" w:eastAsia="ja-JP"/>
        </w:rPr>
        <w:t xml:space="preserve">n </w:t>
      </w:r>
      <w:r w:rsidR="00D844CA">
        <w:rPr>
          <w:rFonts w:ascii="Arial" w:eastAsia="MS Mincho" w:hAnsi="Arial" w:cs="Arial"/>
          <w:bCs/>
          <w:i/>
          <w:lang w:val="es-ES" w:eastAsia="ja-JP"/>
        </w:rPr>
        <w:t>e</w:t>
      </w:r>
      <w:r w:rsidR="00D844CA" w:rsidRPr="00C5697F">
        <w:rPr>
          <w:rFonts w:ascii="Arial" w:eastAsia="MS Mincho" w:hAnsi="Arial" w:cs="Arial"/>
          <w:bCs/>
          <w:i/>
          <w:lang w:val="es-ES" w:eastAsia="ja-JP"/>
        </w:rPr>
        <w:t xml:space="preserve">l Sistema </w:t>
      </w:r>
      <w:r w:rsidR="00D844CA">
        <w:rPr>
          <w:rFonts w:ascii="Arial" w:eastAsia="MS Mincho" w:hAnsi="Arial" w:cs="Arial"/>
          <w:bCs/>
          <w:i/>
          <w:lang w:val="es-ES" w:eastAsia="ja-JP"/>
        </w:rPr>
        <w:t>d</w:t>
      </w:r>
      <w:r w:rsidR="00D844CA" w:rsidRPr="00C5697F">
        <w:rPr>
          <w:rFonts w:ascii="Arial" w:eastAsia="MS Mincho" w:hAnsi="Arial" w:cs="Arial"/>
          <w:bCs/>
          <w:i/>
          <w:lang w:val="es-ES" w:eastAsia="ja-JP"/>
        </w:rPr>
        <w:t xml:space="preserve">e Transmisión </w:t>
      </w:r>
      <w:r w:rsidR="00D844CA">
        <w:rPr>
          <w:rFonts w:ascii="Arial" w:eastAsia="MS Mincho" w:hAnsi="Arial" w:cs="Arial"/>
          <w:bCs/>
          <w:i/>
          <w:lang w:val="es-ES" w:eastAsia="ja-JP"/>
        </w:rPr>
        <w:t>d</w:t>
      </w:r>
      <w:r w:rsidR="00D844CA" w:rsidRPr="00C5697F">
        <w:rPr>
          <w:rFonts w:ascii="Arial" w:eastAsia="MS Mincho" w:hAnsi="Arial" w:cs="Arial"/>
          <w:bCs/>
          <w:i/>
          <w:lang w:val="es-ES" w:eastAsia="ja-JP"/>
        </w:rPr>
        <w:t xml:space="preserve">e Electricidad </w:t>
      </w:r>
      <w:r w:rsidR="00D844CA">
        <w:rPr>
          <w:rFonts w:ascii="Arial" w:eastAsia="MS Mincho" w:hAnsi="Arial" w:cs="Arial"/>
          <w:bCs/>
          <w:i/>
          <w:lang w:val="es-ES" w:eastAsia="ja-JP"/>
        </w:rPr>
        <w:t>d</w:t>
      </w:r>
      <w:r w:rsidR="00D844CA" w:rsidRPr="00C5697F">
        <w:rPr>
          <w:rFonts w:ascii="Arial" w:eastAsia="MS Mincho" w:hAnsi="Arial" w:cs="Arial"/>
          <w:bCs/>
          <w:i/>
          <w:lang w:val="es-ES" w:eastAsia="ja-JP"/>
        </w:rPr>
        <w:t xml:space="preserve">e Nicaragua </w:t>
      </w:r>
      <w:r w:rsidRPr="00AA02D3">
        <w:rPr>
          <w:rFonts w:ascii="Arial" w:eastAsia="MS Mincho" w:hAnsi="Arial" w:cs="Arial"/>
          <w:bCs/>
          <w:lang w:val="es-ES" w:eastAsia="ja-JP"/>
        </w:rPr>
        <w:t>(</w:t>
      </w:r>
      <w:r w:rsidR="00C5697F">
        <w:rPr>
          <w:rFonts w:ascii="Arial" w:eastAsia="MS Mincho" w:hAnsi="Arial" w:cs="Arial"/>
          <w:bCs/>
          <w:lang w:val="es-ES" w:eastAsia="ja-JP"/>
        </w:rPr>
        <w:t>NI-L1091</w:t>
      </w:r>
      <w:r w:rsidRPr="00AA02D3">
        <w:rPr>
          <w:rFonts w:ascii="Arial" w:eastAsia="MS Mincho" w:hAnsi="Arial" w:cs="Arial"/>
          <w:bCs/>
          <w:lang w:val="es-ES" w:eastAsia="ja-JP"/>
        </w:rPr>
        <w:t xml:space="preserve">) </w:t>
      </w:r>
      <w:r w:rsidRPr="00A97198">
        <w:rPr>
          <w:rFonts w:ascii="Arial" w:eastAsia="MS Mincho" w:hAnsi="Arial" w:cs="Arial"/>
          <w:bCs/>
          <w:lang w:val="es-ES" w:eastAsia="ja-JP"/>
        </w:rPr>
        <w:t xml:space="preserve">califica </w:t>
      </w:r>
      <w:r w:rsidR="00060C35" w:rsidRPr="00A97198">
        <w:rPr>
          <w:rFonts w:ascii="Arial" w:eastAsia="MS Mincho" w:hAnsi="Arial" w:cs="Arial"/>
          <w:bCs/>
          <w:lang w:val="es-ES" w:eastAsia="ja-JP"/>
        </w:rPr>
        <w:t>condicionalmente</w:t>
      </w:r>
      <w:r w:rsidRPr="00A97198">
        <w:rPr>
          <w:rFonts w:ascii="Arial" w:eastAsia="MS Mincho" w:hAnsi="Arial" w:cs="Arial"/>
          <w:bCs/>
          <w:lang w:val="es-ES" w:eastAsia="ja-JP"/>
        </w:rPr>
        <w:t xml:space="preserve"> como </w:t>
      </w:r>
      <w:r w:rsidR="00960C3F">
        <w:rPr>
          <w:rFonts w:ascii="Arial" w:eastAsia="MS Mincho" w:hAnsi="Arial" w:cs="Arial"/>
          <w:bCs/>
          <w:lang w:val="es-ES" w:eastAsia="ja-JP"/>
        </w:rPr>
        <w:t xml:space="preserve">proyecto de </w:t>
      </w:r>
      <w:r w:rsidRPr="00A97198">
        <w:rPr>
          <w:rFonts w:ascii="Arial" w:eastAsia="MS Mincho" w:hAnsi="Arial" w:cs="Arial"/>
          <w:bCs/>
          <w:lang w:val="es-ES" w:eastAsia="ja-JP"/>
        </w:rPr>
        <w:t xml:space="preserve">integración regional </w:t>
      </w:r>
      <w:r w:rsidR="00F4429D" w:rsidRPr="00A97198">
        <w:rPr>
          <w:rFonts w:ascii="Arial" w:eastAsia="MS Mincho" w:hAnsi="Arial" w:cs="Arial"/>
          <w:bCs/>
          <w:lang w:val="es-ES" w:eastAsia="ja-JP"/>
        </w:rPr>
        <w:t xml:space="preserve">en </w:t>
      </w:r>
      <w:r w:rsidRPr="00A97198">
        <w:rPr>
          <w:rFonts w:ascii="Arial" w:eastAsia="MS Mincho" w:hAnsi="Arial" w:cs="Arial"/>
          <w:bCs/>
          <w:lang w:val="es-ES" w:eastAsia="ja-JP"/>
        </w:rPr>
        <w:t>el subsector de “</w:t>
      </w:r>
      <w:r w:rsidR="00060C35" w:rsidRPr="00A97198">
        <w:rPr>
          <w:rFonts w:ascii="Arial" w:eastAsia="MS Mincho" w:hAnsi="Arial" w:cs="Arial"/>
          <w:bCs/>
          <w:lang w:val="es-ES" w:eastAsia="ja-JP"/>
        </w:rPr>
        <w:t>Rehabilitación y eficiencia del sector energético,</w:t>
      </w:r>
      <w:r w:rsidRPr="00A97198">
        <w:rPr>
          <w:rFonts w:ascii="Arial" w:eastAsia="MS Mincho" w:hAnsi="Arial" w:cs="Arial"/>
          <w:bCs/>
          <w:lang w:val="es-ES" w:eastAsia="ja-JP"/>
        </w:rPr>
        <w:t xml:space="preserve">” </w:t>
      </w:r>
      <w:r w:rsidR="00F4429D" w:rsidRPr="00A97198">
        <w:rPr>
          <w:rFonts w:ascii="Arial" w:eastAsia="MS Mincho" w:hAnsi="Arial" w:cs="Arial"/>
          <w:bCs/>
          <w:lang w:val="es-ES" w:eastAsia="ja-JP"/>
        </w:rPr>
        <w:t xml:space="preserve">de acuerdo </w:t>
      </w:r>
      <w:r w:rsidR="00960C3F">
        <w:rPr>
          <w:rFonts w:ascii="Arial" w:eastAsia="MS Mincho" w:hAnsi="Arial" w:cs="Arial"/>
          <w:bCs/>
          <w:lang w:val="es-ES" w:eastAsia="ja-JP"/>
        </w:rPr>
        <w:t>con e</w:t>
      </w:r>
      <w:r w:rsidR="00F4429D" w:rsidRPr="00A97198">
        <w:rPr>
          <w:rFonts w:ascii="Arial" w:eastAsia="MS Mincho" w:hAnsi="Arial" w:cs="Arial"/>
          <w:bCs/>
          <w:lang w:val="es-ES" w:eastAsia="ja-JP"/>
        </w:rPr>
        <w:t>l</w:t>
      </w:r>
      <w:r w:rsidRPr="00A97198">
        <w:rPr>
          <w:rFonts w:ascii="Arial" w:eastAsia="MS Mincho" w:hAnsi="Arial" w:cs="Arial"/>
          <w:bCs/>
          <w:lang w:val="es-ES" w:eastAsia="ja-JP"/>
        </w:rPr>
        <w:t xml:space="preserve"> criterio “</w:t>
      </w:r>
      <w:r w:rsidRPr="00A97198">
        <w:rPr>
          <w:rFonts w:ascii="Arial" w:hAnsi="Arial" w:cs="Arial"/>
          <w:lang w:val="es-ES"/>
        </w:rPr>
        <w:t xml:space="preserve">Subsidiariedad Nacional.” </w:t>
      </w:r>
      <w:r w:rsidR="00F4429D" w:rsidRPr="00A97198">
        <w:rPr>
          <w:rFonts w:ascii="Arial" w:hAnsi="Arial" w:cs="Arial"/>
          <w:lang w:val="es-ES"/>
        </w:rPr>
        <w:t>Esta</w:t>
      </w:r>
      <w:r w:rsidRPr="00A97198">
        <w:rPr>
          <w:rFonts w:ascii="Arial" w:hAnsi="Arial" w:cs="Arial"/>
          <w:lang w:val="es-ES"/>
        </w:rPr>
        <w:t xml:space="preserve"> </w:t>
      </w:r>
      <w:r w:rsidR="00EC2527" w:rsidRPr="00A97198">
        <w:rPr>
          <w:rFonts w:ascii="Arial" w:hAnsi="Arial" w:cs="Arial"/>
          <w:lang w:val="es-ES"/>
        </w:rPr>
        <w:t>clasificación</w:t>
      </w:r>
      <w:r w:rsidRPr="00A97198">
        <w:rPr>
          <w:rFonts w:ascii="Arial" w:hAnsi="Arial" w:cs="Arial"/>
          <w:lang w:val="es-ES"/>
        </w:rPr>
        <w:t xml:space="preserve"> es debido al hecho que </w:t>
      </w:r>
      <w:r w:rsidR="003459BB">
        <w:rPr>
          <w:rFonts w:ascii="Arial" w:hAnsi="Arial" w:cs="Arial"/>
          <w:lang w:val="es-ES"/>
        </w:rPr>
        <w:t xml:space="preserve">(i) </w:t>
      </w:r>
      <w:r w:rsidRPr="00A97198">
        <w:rPr>
          <w:rFonts w:ascii="Arial" w:hAnsi="Arial" w:cs="Arial"/>
          <w:lang w:val="es-ES"/>
        </w:rPr>
        <w:t>el proyecto financiar</w:t>
      </w:r>
      <w:r w:rsidR="00D61E3D" w:rsidRPr="00A97198">
        <w:rPr>
          <w:rFonts w:ascii="Arial" w:hAnsi="Arial" w:cs="Arial"/>
          <w:lang w:val="es-ES"/>
        </w:rPr>
        <w:t>á</w:t>
      </w:r>
      <w:r w:rsidR="00A97198" w:rsidRPr="00A97198">
        <w:rPr>
          <w:rFonts w:ascii="Arial" w:hAnsi="Arial" w:cs="Arial"/>
          <w:lang w:val="es-ES"/>
        </w:rPr>
        <w:t xml:space="preserve"> </w:t>
      </w:r>
      <w:r w:rsidR="00830D7D">
        <w:rPr>
          <w:rFonts w:ascii="Arial" w:hAnsi="Arial" w:cs="Arial"/>
          <w:lang w:val="es-ES"/>
        </w:rPr>
        <w:t xml:space="preserve">obras para </w:t>
      </w:r>
      <w:r w:rsidR="00A97198" w:rsidRPr="00A97198">
        <w:rPr>
          <w:rFonts w:ascii="Arial" w:hAnsi="Arial" w:cs="Arial"/>
          <w:lang w:val="es-ES"/>
        </w:rPr>
        <w:t>el</w:t>
      </w:r>
      <w:r w:rsidRPr="00A97198">
        <w:rPr>
          <w:rFonts w:ascii="Arial" w:hAnsi="Arial" w:cs="Arial"/>
          <w:lang w:val="es-ES"/>
        </w:rPr>
        <w:t xml:space="preserve"> </w:t>
      </w:r>
      <w:r w:rsidR="00A97198" w:rsidRPr="00A97198">
        <w:rPr>
          <w:rFonts w:ascii="Arial" w:hAnsi="Arial" w:cs="Arial"/>
          <w:lang w:val="es-ES"/>
        </w:rPr>
        <w:t xml:space="preserve">incremento de la capacidad de las Líneas Los </w:t>
      </w:r>
      <w:proofErr w:type="spellStart"/>
      <w:r w:rsidR="00A97198" w:rsidRPr="00A97198">
        <w:rPr>
          <w:rFonts w:ascii="Arial" w:hAnsi="Arial" w:cs="Arial"/>
          <w:lang w:val="es-ES"/>
        </w:rPr>
        <w:t>Brasiles-Acahualinca</w:t>
      </w:r>
      <w:proofErr w:type="spellEnd"/>
      <w:r w:rsidR="00A97198" w:rsidRPr="00A97198">
        <w:rPr>
          <w:rFonts w:ascii="Arial" w:hAnsi="Arial" w:cs="Arial"/>
          <w:lang w:val="es-ES"/>
        </w:rPr>
        <w:t xml:space="preserve"> y </w:t>
      </w:r>
      <w:proofErr w:type="spellStart"/>
      <w:r w:rsidR="00A97198" w:rsidRPr="00A97198">
        <w:rPr>
          <w:rFonts w:ascii="Arial" w:hAnsi="Arial" w:cs="Arial"/>
          <w:lang w:val="es-ES"/>
        </w:rPr>
        <w:t>Acahualinca</w:t>
      </w:r>
      <w:proofErr w:type="spellEnd"/>
      <w:r w:rsidR="00A97198" w:rsidRPr="00A97198">
        <w:rPr>
          <w:rFonts w:ascii="Arial" w:hAnsi="Arial" w:cs="Arial"/>
          <w:lang w:val="es-ES"/>
        </w:rPr>
        <w:t>-Managua</w:t>
      </w:r>
      <w:r w:rsidR="003459BB">
        <w:rPr>
          <w:rFonts w:ascii="Arial" w:hAnsi="Arial" w:cs="Arial"/>
          <w:lang w:val="es-ES"/>
        </w:rPr>
        <w:t xml:space="preserve">, </w:t>
      </w:r>
      <w:r w:rsidR="00830D7D">
        <w:rPr>
          <w:rFonts w:ascii="Arial" w:hAnsi="Arial" w:cs="Arial"/>
          <w:lang w:val="es-ES"/>
        </w:rPr>
        <w:t>y el cierre de un anillo</w:t>
      </w:r>
      <w:r w:rsidR="00830D7D">
        <w:rPr>
          <w:rStyle w:val="FootnoteReference"/>
          <w:rFonts w:ascii="Arial" w:hAnsi="Arial" w:cs="Arial"/>
          <w:lang w:val="es-ES"/>
        </w:rPr>
        <w:footnoteReference w:id="1"/>
      </w:r>
      <w:r w:rsidR="00830D7D">
        <w:rPr>
          <w:rFonts w:ascii="Arial" w:hAnsi="Arial" w:cs="Arial"/>
          <w:lang w:val="es-ES"/>
        </w:rPr>
        <w:t xml:space="preserve"> a 230 </w:t>
      </w:r>
      <w:proofErr w:type="spellStart"/>
      <w:r w:rsidR="00830D7D">
        <w:rPr>
          <w:rFonts w:ascii="Arial" w:hAnsi="Arial" w:cs="Arial"/>
          <w:lang w:val="es-ES"/>
        </w:rPr>
        <w:t>kV</w:t>
      </w:r>
      <w:proofErr w:type="spellEnd"/>
      <w:r w:rsidR="00830D7D">
        <w:rPr>
          <w:rFonts w:ascii="Arial" w:hAnsi="Arial" w:cs="Arial"/>
          <w:lang w:val="es-ES"/>
        </w:rPr>
        <w:t xml:space="preserve"> entre la subestaciones San Benito y Los </w:t>
      </w:r>
      <w:proofErr w:type="spellStart"/>
      <w:r w:rsidR="00830D7D">
        <w:rPr>
          <w:rFonts w:ascii="Arial" w:hAnsi="Arial" w:cs="Arial"/>
          <w:lang w:val="es-ES"/>
        </w:rPr>
        <w:t>Brasiles</w:t>
      </w:r>
      <w:proofErr w:type="spellEnd"/>
      <w:r w:rsidR="00830D7D">
        <w:rPr>
          <w:rFonts w:ascii="Arial" w:hAnsi="Arial" w:cs="Arial"/>
          <w:lang w:val="es-ES"/>
        </w:rPr>
        <w:t xml:space="preserve">, </w:t>
      </w:r>
      <w:r w:rsidR="003459BB">
        <w:rPr>
          <w:rFonts w:ascii="Arial" w:hAnsi="Arial" w:cs="Arial"/>
          <w:lang w:val="es-ES"/>
        </w:rPr>
        <w:t xml:space="preserve">que aunque pertenecerán al sistema nacional, permitirán </w:t>
      </w:r>
      <w:r w:rsidR="002A16AF" w:rsidRPr="00A97198">
        <w:rPr>
          <w:rFonts w:ascii="Arial" w:hAnsi="Arial" w:cs="Arial"/>
          <w:lang w:val="es-ES"/>
        </w:rPr>
        <w:t xml:space="preserve">recuperar </w:t>
      </w:r>
      <w:r w:rsidRPr="00A97198">
        <w:rPr>
          <w:rFonts w:ascii="Arial" w:hAnsi="Arial" w:cs="Arial"/>
          <w:lang w:val="es-ES"/>
        </w:rPr>
        <w:t xml:space="preserve">la capacidad </w:t>
      </w:r>
      <w:r w:rsidR="002A16AF" w:rsidRPr="00A97198">
        <w:rPr>
          <w:rFonts w:ascii="Arial" w:hAnsi="Arial" w:cs="Arial"/>
          <w:lang w:val="es-ES"/>
        </w:rPr>
        <w:t xml:space="preserve">de trasmisión </w:t>
      </w:r>
      <w:r w:rsidRPr="00A97198">
        <w:rPr>
          <w:rFonts w:ascii="Arial" w:hAnsi="Arial" w:cs="Arial"/>
          <w:lang w:val="es-ES"/>
        </w:rPr>
        <w:t xml:space="preserve">de 300MW </w:t>
      </w:r>
      <w:r w:rsidR="002A16AF" w:rsidRPr="00A97198">
        <w:rPr>
          <w:rFonts w:ascii="Arial" w:hAnsi="Arial" w:cs="Arial"/>
          <w:lang w:val="es-ES"/>
        </w:rPr>
        <w:t xml:space="preserve">de SIEPAC requerida por </w:t>
      </w:r>
      <w:r w:rsidRPr="00A97198">
        <w:rPr>
          <w:rFonts w:ascii="Arial" w:hAnsi="Arial" w:cs="Arial"/>
          <w:lang w:val="es-ES"/>
        </w:rPr>
        <w:t xml:space="preserve">el </w:t>
      </w:r>
      <w:r w:rsidR="00EC2527" w:rsidRPr="00A97198">
        <w:rPr>
          <w:rFonts w:ascii="Arial" w:hAnsi="Arial" w:cs="Arial"/>
          <w:lang w:val="es-ES"/>
        </w:rPr>
        <w:t>Mercado Eléctrico Regional (</w:t>
      </w:r>
      <w:r w:rsidRPr="00A97198">
        <w:rPr>
          <w:rFonts w:ascii="Arial" w:hAnsi="Arial" w:cs="Arial"/>
          <w:lang w:val="es-ES"/>
        </w:rPr>
        <w:t>MER</w:t>
      </w:r>
      <w:r w:rsidR="00EC2527" w:rsidRPr="00A97198">
        <w:rPr>
          <w:rFonts w:ascii="Arial" w:hAnsi="Arial" w:cs="Arial"/>
          <w:lang w:val="es-ES"/>
        </w:rPr>
        <w:t>)</w:t>
      </w:r>
      <w:r w:rsidR="003459BB">
        <w:rPr>
          <w:rFonts w:ascii="Arial" w:hAnsi="Arial" w:cs="Arial"/>
          <w:lang w:val="es-ES"/>
        </w:rPr>
        <w:t>;</w:t>
      </w:r>
      <w:r w:rsidRPr="00A97198">
        <w:rPr>
          <w:rFonts w:ascii="Arial" w:hAnsi="Arial" w:cs="Arial"/>
          <w:lang w:val="es-ES"/>
        </w:rPr>
        <w:t xml:space="preserve"> y </w:t>
      </w:r>
      <w:r w:rsidR="003459BB">
        <w:rPr>
          <w:rFonts w:ascii="Arial" w:hAnsi="Arial" w:cs="Arial"/>
          <w:lang w:val="es-ES"/>
        </w:rPr>
        <w:t xml:space="preserve">(ii) </w:t>
      </w:r>
      <w:r w:rsidR="00F4429D" w:rsidRPr="00A97198">
        <w:rPr>
          <w:rFonts w:ascii="Arial" w:hAnsi="Arial" w:cs="Arial"/>
          <w:lang w:val="es-ES"/>
        </w:rPr>
        <w:t xml:space="preserve">contribuirá a </w:t>
      </w:r>
      <w:r w:rsidRPr="00A97198">
        <w:rPr>
          <w:rFonts w:ascii="Arial" w:hAnsi="Arial" w:cs="Arial"/>
          <w:lang w:val="es-ES"/>
        </w:rPr>
        <w:t xml:space="preserve">la estabilidad operativa </w:t>
      </w:r>
      <w:r w:rsidR="00F4429D" w:rsidRPr="00A97198">
        <w:rPr>
          <w:rFonts w:ascii="Arial" w:hAnsi="Arial" w:cs="Arial"/>
          <w:lang w:val="es-ES"/>
        </w:rPr>
        <w:t xml:space="preserve">del </w:t>
      </w:r>
      <w:r w:rsidR="00AC5C3B" w:rsidRPr="00A97198">
        <w:rPr>
          <w:rFonts w:ascii="Arial" w:hAnsi="Arial" w:cs="Arial"/>
          <w:lang w:val="es-ES"/>
        </w:rPr>
        <w:t xml:space="preserve">SIEPAC </w:t>
      </w:r>
      <w:r w:rsidRPr="00A97198">
        <w:rPr>
          <w:rFonts w:ascii="Arial" w:hAnsi="Arial" w:cs="Arial"/>
          <w:lang w:val="es-ES"/>
        </w:rPr>
        <w:t xml:space="preserve">la cual  depende en gran medida de la robustez y estabilidad de los sistemas nacionales de transmisión, como el de </w:t>
      </w:r>
      <w:r w:rsidR="00D844CA" w:rsidRPr="00A97198">
        <w:rPr>
          <w:rFonts w:ascii="Arial" w:hAnsi="Arial" w:cs="Arial"/>
          <w:lang w:val="es-ES"/>
        </w:rPr>
        <w:t>Nicaragua</w:t>
      </w:r>
      <w:r w:rsidRPr="00A97198">
        <w:rPr>
          <w:rFonts w:ascii="Arial" w:hAnsi="Arial" w:cs="Arial"/>
          <w:lang w:val="es-ES"/>
        </w:rPr>
        <w:t xml:space="preserve">. </w:t>
      </w:r>
      <w:r w:rsidR="003459BB">
        <w:rPr>
          <w:rFonts w:ascii="Arial" w:hAnsi="Arial" w:cs="Arial"/>
          <w:lang w:val="es-ES"/>
        </w:rPr>
        <w:t xml:space="preserve">Como consecuencia, </w:t>
      </w:r>
      <w:r w:rsidR="00830D7D">
        <w:rPr>
          <w:rFonts w:ascii="Arial" w:hAnsi="Arial" w:cs="Arial"/>
          <w:lang w:val="es-ES"/>
        </w:rPr>
        <w:t xml:space="preserve">el país </w:t>
      </w:r>
      <w:r w:rsidR="00D61E3D" w:rsidRPr="00A97198">
        <w:rPr>
          <w:rFonts w:ascii="Arial" w:eastAsia="MS Mincho" w:hAnsi="Arial" w:cs="Arial"/>
          <w:bCs/>
          <w:lang w:val="es-ES" w:eastAsia="ja-JP"/>
        </w:rPr>
        <w:t>p</w:t>
      </w:r>
      <w:r w:rsidR="003459BB">
        <w:rPr>
          <w:rFonts w:ascii="Arial" w:eastAsia="MS Mincho" w:hAnsi="Arial" w:cs="Arial"/>
          <w:bCs/>
          <w:lang w:val="es-ES" w:eastAsia="ja-JP"/>
        </w:rPr>
        <w:t>odrá</w:t>
      </w:r>
      <w:r w:rsidR="00D61E3D" w:rsidRPr="00A97198">
        <w:rPr>
          <w:rFonts w:ascii="Arial" w:eastAsia="MS Mincho" w:hAnsi="Arial" w:cs="Arial"/>
          <w:bCs/>
          <w:lang w:val="es-ES" w:eastAsia="ja-JP"/>
        </w:rPr>
        <w:t xml:space="preserve"> aumentar sus transacciones de electricidad en el </w:t>
      </w:r>
      <w:r w:rsidR="00F4429D" w:rsidRPr="00A97198">
        <w:rPr>
          <w:rFonts w:ascii="Arial" w:eastAsia="MS Mincho" w:hAnsi="Arial" w:cs="Arial"/>
          <w:bCs/>
          <w:lang w:val="es-ES" w:eastAsia="ja-JP"/>
        </w:rPr>
        <w:t>mercado regional.</w:t>
      </w:r>
      <w:r w:rsidR="00EC2527" w:rsidRPr="00AA02D3">
        <w:rPr>
          <w:rFonts w:ascii="Arial" w:eastAsia="MS Mincho" w:hAnsi="Arial" w:cs="Arial"/>
          <w:bCs/>
          <w:lang w:val="es-ES" w:eastAsia="ja-JP"/>
        </w:rPr>
        <w:t xml:space="preserve"> </w:t>
      </w:r>
    </w:p>
    <w:p w:rsidR="007450FC" w:rsidRPr="00AA02D3" w:rsidRDefault="007450FC" w:rsidP="00C020D3">
      <w:pPr>
        <w:keepNext/>
        <w:keepLines/>
        <w:spacing w:after="0"/>
        <w:jc w:val="both"/>
        <w:outlineLvl w:val="1"/>
        <w:rPr>
          <w:rFonts w:ascii="Arial" w:eastAsia="MS Gothic" w:hAnsi="Arial" w:cs="Arial"/>
          <w:b/>
          <w:bCs/>
          <w:lang w:val="es-ES"/>
        </w:rPr>
      </w:pPr>
      <w:r w:rsidRPr="00AA02D3">
        <w:rPr>
          <w:rFonts w:ascii="Arial" w:eastAsia="MS Gothic" w:hAnsi="Arial" w:cs="Arial"/>
          <w:b/>
          <w:bCs/>
          <w:lang w:val="es-ES"/>
        </w:rPr>
        <w:t xml:space="preserve"> </w:t>
      </w:r>
    </w:p>
    <w:p w:rsidR="007100D7" w:rsidRPr="00AA02D3" w:rsidRDefault="007100D7" w:rsidP="00C020D3">
      <w:pPr>
        <w:keepNext/>
        <w:keepLines/>
        <w:numPr>
          <w:ilvl w:val="0"/>
          <w:numId w:val="2"/>
        </w:numPr>
        <w:spacing w:after="0"/>
        <w:ind w:left="360" w:hanging="270"/>
        <w:outlineLvl w:val="1"/>
        <w:rPr>
          <w:rFonts w:ascii="Arial" w:eastAsia="MS Gothic" w:hAnsi="Arial" w:cs="Arial"/>
          <w:b/>
          <w:bCs/>
          <w:lang w:val="es-ES"/>
        </w:rPr>
      </w:pPr>
      <w:r w:rsidRPr="00AA02D3">
        <w:rPr>
          <w:rFonts w:ascii="Arial" w:eastAsia="MS Gothic" w:hAnsi="Arial" w:cs="Arial"/>
          <w:b/>
          <w:bCs/>
          <w:lang w:val="es-ES"/>
        </w:rPr>
        <w:t>Introducción</w:t>
      </w:r>
    </w:p>
    <w:p w:rsidR="00A334E1" w:rsidRPr="00AA02D3" w:rsidRDefault="00A334E1" w:rsidP="00C020D3">
      <w:pPr>
        <w:pStyle w:val="ListParagraph"/>
        <w:numPr>
          <w:ilvl w:val="1"/>
          <w:numId w:val="2"/>
        </w:numPr>
        <w:spacing w:before="120" w:after="0"/>
        <w:contextualSpacing w:val="0"/>
        <w:jc w:val="both"/>
        <w:rPr>
          <w:rFonts w:ascii="Arial" w:hAnsi="Arial" w:cs="Arial"/>
          <w:lang w:val="es-ES"/>
        </w:rPr>
      </w:pPr>
      <w:r w:rsidRPr="00AA02D3">
        <w:rPr>
          <w:rFonts w:ascii="Arial" w:hAnsi="Arial" w:cs="Arial"/>
          <w:lang w:val="es-ES"/>
        </w:rPr>
        <w:t xml:space="preserve">En el marco de la estrategia sectorial del Banco que apoya la Competitividad Global y Regional para la Integración </w:t>
      </w:r>
      <w:r w:rsidR="0064148C" w:rsidRPr="00AA02D3">
        <w:rPr>
          <w:rFonts w:ascii="Arial" w:hAnsi="Arial" w:cs="Arial"/>
          <w:lang w:val="es-ES"/>
        </w:rPr>
        <w:t>(GN-2565-4),</w:t>
      </w:r>
      <w:r w:rsidR="00361EB7" w:rsidRPr="00AA02D3">
        <w:rPr>
          <w:rFonts w:ascii="Arial" w:hAnsi="Arial" w:cs="Arial"/>
          <w:lang w:val="es-ES"/>
        </w:rPr>
        <w:t xml:space="preserve"> </w:t>
      </w:r>
      <w:r w:rsidR="0064148C" w:rsidRPr="00AA02D3">
        <w:rPr>
          <w:rFonts w:ascii="Arial" w:hAnsi="Arial" w:cs="Arial"/>
          <w:lang w:val="es-ES"/>
        </w:rPr>
        <w:t xml:space="preserve">el presente </w:t>
      </w:r>
      <w:r w:rsidR="00AC4E5B" w:rsidRPr="00AA02D3">
        <w:rPr>
          <w:rFonts w:ascii="Arial" w:hAnsi="Arial" w:cs="Arial"/>
          <w:lang w:val="es-ES"/>
        </w:rPr>
        <w:t>documento</w:t>
      </w:r>
      <w:r w:rsidR="0064148C" w:rsidRPr="00AA02D3">
        <w:rPr>
          <w:rFonts w:ascii="Arial" w:hAnsi="Arial" w:cs="Arial"/>
          <w:lang w:val="es-ES"/>
        </w:rPr>
        <w:t xml:space="preserve"> exp</w:t>
      </w:r>
      <w:r w:rsidR="00CC11EF" w:rsidRPr="00AA02D3">
        <w:rPr>
          <w:rFonts w:ascii="Arial" w:hAnsi="Arial" w:cs="Arial"/>
          <w:lang w:val="es-ES"/>
        </w:rPr>
        <w:t>lica</w:t>
      </w:r>
      <w:r w:rsidR="0064148C" w:rsidRPr="00AA02D3">
        <w:rPr>
          <w:rFonts w:ascii="Arial" w:hAnsi="Arial" w:cs="Arial"/>
          <w:lang w:val="es-ES"/>
        </w:rPr>
        <w:t xml:space="preserve"> los </w:t>
      </w:r>
      <w:r w:rsidR="00E06211">
        <w:rPr>
          <w:rFonts w:ascii="Arial" w:hAnsi="Arial" w:cs="Arial"/>
          <w:lang w:val="es-ES"/>
        </w:rPr>
        <w:t xml:space="preserve">principales </w:t>
      </w:r>
      <w:r w:rsidR="0064148C" w:rsidRPr="00AA02D3">
        <w:rPr>
          <w:rFonts w:ascii="Arial" w:hAnsi="Arial" w:cs="Arial"/>
          <w:lang w:val="es-ES"/>
        </w:rPr>
        <w:t xml:space="preserve">argumentos técnicos por </w:t>
      </w:r>
      <w:r w:rsidR="007100D7" w:rsidRPr="00AA02D3">
        <w:rPr>
          <w:rFonts w:ascii="Arial" w:hAnsi="Arial" w:cs="Arial"/>
          <w:lang w:val="es-ES"/>
        </w:rPr>
        <w:t>los cuales</w:t>
      </w:r>
      <w:r w:rsidR="00386DE3" w:rsidRPr="00AA02D3">
        <w:rPr>
          <w:rFonts w:ascii="Arial" w:hAnsi="Arial" w:cs="Arial"/>
          <w:lang w:val="es-ES"/>
        </w:rPr>
        <w:t xml:space="preserve"> </w:t>
      </w:r>
      <w:r w:rsidR="00E06211" w:rsidRPr="00AA02D3">
        <w:rPr>
          <w:rFonts w:ascii="Arial" w:hAnsi="Arial" w:cs="Arial"/>
          <w:lang w:val="es-ES"/>
        </w:rPr>
        <w:t xml:space="preserve">se considera que </w:t>
      </w:r>
      <w:r w:rsidR="00386DE3" w:rsidRPr="00AA02D3">
        <w:rPr>
          <w:rFonts w:ascii="Arial" w:hAnsi="Arial" w:cs="Arial"/>
          <w:lang w:val="es-ES"/>
        </w:rPr>
        <w:t>el</w:t>
      </w:r>
      <w:r w:rsidR="007100D7" w:rsidRPr="00AA02D3">
        <w:rPr>
          <w:rFonts w:ascii="Arial" w:hAnsi="Arial" w:cs="Arial"/>
          <w:lang w:val="es-ES"/>
        </w:rPr>
        <w:t xml:space="preserve"> </w:t>
      </w:r>
      <w:r w:rsidR="00155105" w:rsidRPr="00AA02D3">
        <w:rPr>
          <w:rFonts w:ascii="Arial" w:eastAsia="MS Mincho" w:hAnsi="Arial" w:cs="Arial"/>
          <w:bCs/>
          <w:lang w:val="es-ES" w:eastAsia="ja-JP"/>
        </w:rPr>
        <w:t xml:space="preserve">proyecto </w:t>
      </w:r>
      <w:r w:rsidR="00155105" w:rsidRPr="00C5697F">
        <w:rPr>
          <w:rFonts w:ascii="Arial" w:eastAsia="MS Mincho" w:hAnsi="Arial" w:cs="Arial"/>
          <w:bCs/>
          <w:i/>
          <w:lang w:val="es-ES" w:eastAsia="ja-JP"/>
        </w:rPr>
        <w:t xml:space="preserve">Ampliación </w:t>
      </w:r>
      <w:r w:rsidR="00155105">
        <w:rPr>
          <w:rFonts w:ascii="Arial" w:eastAsia="MS Mincho" w:hAnsi="Arial" w:cs="Arial"/>
          <w:bCs/>
          <w:i/>
          <w:lang w:val="es-ES" w:eastAsia="ja-JP"/>
        </w:rPr>
        <w:t>y</w:t>
      </w:r>
      <w:r w:rsidR="00155105" w:rsidRPr="00C5697F">
        <w:rPr>
          <w:rFonts w:ascii="Arial" w:eastAsia="MS Mincho" w:hAnsi="Arial" w:cs="Arial"/>
          <w:bCs/>
          <w:i/>
          <w:lang w:val="es-ES" w:eastAsia="ja-JP"/>
        </w:rPr>
        <w:t xml:space="preserve"> Refuerzos </w:t>
      </w:r>
      <w:r w:rsidR="00155105">
        <w:rPr>
          <w:rFonts w:ascii="Arial" w:eastAsia="MS Mincho" w:hAnsi="Arial" w:cs="Arial"/>
          <w:bCs/>
          <w:i/>
          <w:lang w:val="es-ES" w:eastAsia="ja-JP"/>
        </w:rPr>
        <w:t>e</w:t>
      </w:r>
      <w:r w:rsidR="00155105" w:rsidRPr="00C5697F">
        <w:rPr>
          <w:rFonts w:ascii="Arial" w:eastAsia="MS Mincho" w:hAnsi="Arial" w:cs="Arial"/>
          <w:bCs/>
          <w:i/>
          <w:lang w:val="es-ES" w:eastAsia="ja-JP"/>
        </w:rPr>
        <w:t xml:space="preserve">n </w:t>
      </w:r>
      <w:r w:rsidR="00155105">
        <w:rPr>
          <w:rFonts w:ascii="Arial" w:eastAsia="MS Mincho" w:hAnsi="Arial" w:cs="Arial"/>
          <w:bCs/>
          <w:i/>
          <w:lang w:val="es-ES" w:eastAsia="ja-JP"/>
        </w:rPr>
        <w:t>e</w:t>
      </w:r>
      <w:r w:rsidR="00155105" w:rsidRPr="00C5697F">
        <w:rPr>
          <w:rFonts w:ascii="Arial" w:eastAsia="MS Mincho" w:hAnsi="Arial" w:cs="Arial"/>
          <w:bCs/>
          <w:i/>
          <w:lang w:val="es-ES" w:eastAsia="ja-JP"/>
        </w:rPr>
        <w:t xml:space="preserve">l Sistema </w:t>
      </w:r>
      <w:r w:rsidR="00155105">
        <w:rPr>
          <w:rFonts w:ascii="Arial" w:eastAsia="MS Mincho" w:hAnsi="Arial" w:cs="Arial"/>
          <w:bCs/>
          <w:i/>
          <w:lang w:val="es-ES" w:eastAsia="ja-JP"/>
        </w:rPr>
        <w:t>d</w:t>
      </w:r>
      <w:r w:rsidR="00155105" w:rsidRPr="00C5697F">
        <w:rPr>
          <w:rFonts w:ascii="Arial" w:eastAsia="MS Mincho" w:hAnsi="Arial" w:cs="Arial"/>
          <w:bCs/>
          <w:i/>
          <w:lang w:val="es-ES" w:eastAsia="ja-JP"/>
        </w:rPr>
        <w:t xml:space="preserve">e Transmisión </w:t>
      </w:r>
      <w:r w:rsidR="00155105">
        <w:rPr>
          <w:rFonts w:ascii="Arial" w:eastAsia="MS Mincho" w:hAnsi="Arial" w:cs="Arial"/>
          <w:bCs/>
          <w:i/>
          <w:lang w:val="es-ES" w:eastAsia="ja-JP"/>
        </w:rPr>
        <w:t>d</w:t>
      </w:r>
      <w:r w:rsidR="00155105" w:rsidRPr="00C5697F">
        <w:rPr>
          <w:rFonts w:ascii="Arial" w:eastAsia="MS Mincho" w:hAnsi="Arial" w:cs="Arial"/>
          <w:bCs/>
          <w:i/>
          <w:lang w:val="es-ES" w:eastAsia="ja-JP"/>
        </w:rPr>
        <w:t xml:space="preserve">e Electricidad </w:t>
      </w:r>
      <w:r w:rsidR="00155105">
        <w:rPr>
          <w:rFonts w:ascii="Arial" w:eastAsia="MS Mincho" w:hAnsi="Arial" w:cs="Arial"/>
          <w:bCs/>
          <w:i/>
          <w:lang w:val="es-ES" w:eastAsia="ja-JP"/>
        </w:rPr>
        <w:t>d</w:t>
      </w:r>
      <w:r w:rsidR="00155105" w:rsidRPr="00C5697F">
        <w:rPr>
          <w:rFonts w:ascii="Arial" w:eastAsia="MS Mincho" w:hAnsi="Arial" w:cs="Arial"/>
          <w:bCs/>
          <w:i/>
          <w:lang w:val="es-ES" w:eastAsia="ja-JP"/>
        </w:rPr>
        <w:t xml:space="preserve">e Nicaragua </w:t>
      </w:r>
      <w:r w:rsidR="00155105" w:rsidRPr="00AA02D3">
        <w:rPr>
          <w:rFonts w:ascii="Arial" w:eastAsia="MS Mincho" w:hAnsi="Arial" w:cs="Arial"/>
          <w:bCs/>
          <w:lang w:val="es-ES" w:eastAsia="ja-JP"/>
        </w:rPr>
        <w:t>(</w:t>
      </w:r>
      <w:r w:rsidR="00155105">
        <w:rPr>
          <w:rFonts w:ascii="Arial" w:eastAsia="MS Mincho" w:hAnsi="Arial" w:cs="Arial"/>
          <w:bCs/>
          <w:lang w:val="es-ES" w:eastAsia="ja-JP"/>
        </w:rPr>
        <w:t>NI-L1091</w:t>
      </w:r>
      <w:r w:rsidR="00155105" w:rsidRPr="00AA02D3">
        <w:rPr>
          <w:rFonts w:ascii="Arial" w:eastAsia="MS Mincho" w:hAnsi="Arial" w:cs="Arial"/>
          <w:bCs/>
          <w:lang w:val="es-ES" w:eastAsia="ja-JP"/>
        </w:rPr>
        <w:t>)</w:t>
      </w:r>
      <w:r w:rsidR="003459BB">
        <w:rPr>
          <w:rFonts w:ascii="Arial" w:eastAsia="MS Mincho" w:hAnsi="Arial" w:cs="Arial"/>
          <w:bCs/>
          <w:lang w:val="es-ES" w:eastAsia="ja-JP"/>
        </w:rPr>
        <w:t xml:space="preserve"> </w:t>
      </w:r>
      <w:r w:rsidR="005968B5" w:rsidRPr="00AA02D3">
        <w:rPr>
          <w:rFonts w:ascii="Arial" w:hAnsi="Arial" w:cs="Arial"/>
          <w:lang w:val="es-ES"/>
        </w:rPr>
        <w:t xml:space="preserve">contribuye </w:t>
      </w:r>
      <w:r w:rsidRPr="00AA02D3">
        <w:rPr>
          <w:rFonts w:ascii="Arial" w:hAnsi="Arial" w:cs="Arial"/>
          <w:lang w:val="es-ES"/>
        </w:rPr>
        <w:t xml:space="preserve">a la meta de financiamiento para respaldar la cooperación e integración regional y global, de acuerdo </w:t>
      </w:r>
      <w:r w:rsidR="00E06211">
        <w:rPr>
          <w:rFonts w:ascii="Arial" w:hAnsi="Arial" w:cs="Arial"/>
          <w:lang w:val="es-ES"/>
        </w:rPr>
        <w:t>con</w:t>
      </w:r>
      <w:r w:rsidRPr="00AA02D3">
        <w:rPr>
          <w:rFonts w:ascii="Arial" w:hAnsi="Arial" w:cs="Arial"/>
          <w:lang w:val="es-ES"/>
        </w:rPr>
        <w:t xml:space="preserve"> los objetivos </w:t>
      </w:r>
      <w:r w:rsidR="00E06211">
        <w:rPr>
          <w:rFonts w:ascii="Arial" w:hAnsi="Arial" w:cs="Arial"/>
          <w:lang w:val="es-ES"/>
        </w:rPr>
        <w:t>establecidos en</w:t>
      </w:r>
      <w:r w:rsidRPr="00AA02D3">
        <w:rPr>
          <w:rFonts w:ascii="Arial" w:hAnsi="Arial" w:cs="Arial"/>
          <w:lang w:val="es-ES"/>
        </w:rPr>
        <w:t xml:space="preserve"> el Noveno Aumento de Recursos del Banco (GCI-9)</w:t>
      </w:r>
      <w:r w:rsidR="00E06211">
        <w:rPr>
          <w:rFonts w:ascii="Arial" w:hAnsi="Arial" w:cs="Arial"/>
          <w:lang w:val="es-ES"/>
        </w:rPr>
        <w:t>, y las</w:t>
      </w:r>
      <w:r w:rsidRPr="00AA02D3">
        <w:rPr>
          <w:rFonts w:ascii="Arial" w:hAnsi="Arial" w:cs="Arial"/>
          <w:lang w:val="es-ES"/>
        </w:rPr>
        <w:t xml:space="preserve"> guías de clasificación del Banco (GN-2650 y GN-2733).</w:t>
      </w:r>
    </w:p>
    <w:p w:rsidR="007100D7" w:rsidRPr="00AA02D3" w:rsidRDefault="00E23E31" w:rsidP="00C020D3">
      <w:pPr>
        <w:pStyle w:val="ListParagraph"/>
        <w:numPr>
          <w:ilvl w:val="1"/>
          <w:numId w:val="2"/>
        </w:numPr>
        <w:spacing w:before="120" w:after="0"/>
        <w:contextualSpacing w:val="0"/>
        <w:jc w:val="both"/>
        <w:rPr>
          <w:rFonts w:ascii="Arial" w:hAnsi="Arial" w:cs="Arial"/>
          <w:lang w:val="es-ES"/>
        </w:rPr>
      </w:pPr>
      <w:r w:rsidRPr="00AA02D3">
        <w:rPr>
          <w:rFonts w:ascii="Arial" w:hAnsi="Arial" w:cs="Arial"/>
          <w:lang w:val="es-ES"/>
        </w:rPr>
        <w:t>El presente anexo se estructura en</w:t>
      </w:r>
      <w:r w:rsidR="0064148C" w:rsidRPr="00AA02D3">
        <w:rPr>
          <w:rFonts w:ascii="Arial" w:hAnsi="Arial" w:cs="Arial"/>
          <w:lang w:val="es-ES"/>
        </w:rPr>
        <w:t xml:space="preserve"> tres secciones: </w:t>
      </w:r>
    </w:p>
    <w:p w:rsidR="00B31F2A" w:rsidRPr="00AA02D3" w:rsidRDefault="009C7401" w:rsidP="00C020D3">
      <w:pPr>
        <w:pStyle w:val="ListParagraph"/>
        <w:numPr>
          <w:ilvl w:val="0"/>
          <w:numId w:val="4"/>
        </w:numPr>
        <w:spacing w:before="120" w:after="0"/>
        <w:contextualSpacing w:val="0"/>
        <w:jc w:val="both"/>
        <w:rPr>
          <w:rFonts w:ascii="Arial" w:hAnsi="Arial" w:cs="Arial"/>
          <w:lang w:val="es-ES"/>
        </w:rPr>
      </w:pPr>
      <w:r w:rsidRPr="00AA02D3">
        <w:rPr>
          <w:rFonts w:ascii="Arial" w:hAnsi="Arial" w:cs="Arial"/>
          <w:lang w:val="es-ES"/>
        </w:rPr>
        <w:t xml:space="preserve">Antecedentes del </w:t>
      </w:r>
      <w:r w:rsidR="00AC4E5B" w:rsidRPr="00AA02D3">
        <w:rPr>
          <w:rFonts w:ascii="Arial" w:hAnsi="Arial" w:cs="Arial"/>
          <w:lang w:val="es-ES"/>
        </w:rPr>
        <w:t>Programa</w:t>
      </w:r>
      <w:r w:rsidRPr="00AA02D3">
        <w:rPr>
          <w:rFonts w:ascii="Arial" w:hAnsi="Arial" w:cs="Arial"/>
          <w:lang w:val="es-ES"/>
        </w:rPr>
        <w:t xml:space="preserve"> relevantes para su análisis desde la perspectiva de integración regional; </w:t>
      </w:r>
    </w:p>
    <w:p w:rsidR="0030405A" w:rsidRPr="00AA02D3" w:rsidRDefault="00AA1F26" w:rsidP="00C020D3">
      <w:pPr>
        <w:pStyle w:val="ListParagraph"/>
        <w:numPr>
          <w:ilvl w:val="0"/>
          <w:numId w:val="4"/>
        </w:numPr>
        <w:spacing w:after="0"/>
        <w:jc w:val="both"/>
        <w:rPr>
          <w:rFonts w:ascii="Arial" w:hAnsi="Arial" w:cs="Arial"/>
          <w:lang w:val="es-ES"/>
        </w:rPr>
      </w:pPr>
      <w:r w:rsidRPr="00AA02D3">
        <w:rPr>
          <w:rFonts w:ascii="Arial" w:hAnsi="Arial" w:cs="Arial"/>
          <w:lang w:val="es-ES"/>
        </w:rPr>
        <w:t>Aspectos</w:t>
      </w:r>
      <w:r w:rsidR="00F160A4" w:rsidRPr="00AA02D3">
        <w:rPr>
          <w:rFonts w:ascii="Arial" w:hAnsi="Arial" w:cs="Arial"/>
          <w:lang w:val="es-ES"/>
        </w:rPr>
        <w:t xml:space="preserve"> </w:t>
      </w:r>
      <w:r w:rsidR="009A631C" w:rsidRPr="00AA02D3">
        <w:rPr>
          <w:rFonts w:ascii="Arial" w:hAnsi="Arial" w:cs="Arial"/>
          <w:lang w:val="es-ES"/>
        </w:rPr>
        <w:t xml:space="preserve">considerados para la clasificación de la operación como </w:t>
      </w:r>
      <w:r w:rsidR="00E23E31" w:rsidRPr="00AA02D3">
        <w:rPr>
          <w:rFonts w:ascii="Arial" w:hAnsi="Arial" w:cs="Arial"/>
          <w:lang w:val="es-ES"/>
        </w:rPr>
        <w:t xml:space="preserve">de </w:t>
      </w:r>
      <w:r w:rsidR="00AC4E5B" w:rsidRPr="00AA02D3">
        <w:rPr>
          <w:rFonts w:ascii="Arial" w:hAnsi="Arial" w:cs="Arial"/>
          <w:lang w:val="es-ES"/>
        </w:rPr>
        <w:t>I</w:t>
      </w:r>
      <w:r w:rsidR="00E23E31" w:rsidRPr="00AA02D3">
        <w:rPr>
          <w:rFonts w:ascii="Arial" w:hAnsi="Arial" w:cs="Arial"/>
          <w:lang w:val="es-ES"/>
        </w:rPr>
        <w:t>nt</w:t>
      </w:r>
      <w:r w:rsidR="009B5781" w:rsidRPr="00AA02D3">
        <w:rPr>
          <w:rFonts w:ascii="Arial" w:hAnsi="Arial" w:cs="Arial"/>
          <w:lang w:val="es-ES"/>
        </w:rPr>
        <w:t xml:space="preserve">egración </w:t>
      </w:r>
      <w:r w:rsidR="00AC4E5B" w:rsidRPr="00AA02D3">
        <w:rPr>
          <w:rFonts w:ascii="Arial" w:hAnsi="Arial" w:cs="Arial"/>
          <w:lang w:val="es-ES"/>
        </w:rPr>
        <w:t>R</w:t>
      </w:r>
      <w:r w:rsidR="009B5781" w:rsidRPr="00AA02D3">
        <w:rPr>
          <w:rFonts w:ascii="Arial" w:hAnsi="Arial" w:cs="Arial"/>
          <w:lang w:val="es-ES"/>
        </w:rPr>
        <w:t>egional</w:t>
      </w:r>
      <w:r w:rsidR="009A631C" w:rsidRPr="00AA02D3">
        <w:rPr>
          <w:rFonts w:ascii="Arial" w:hAnsi="Arial" w:cs="Arial"/>
          <w:lang w:val="es-ES"/>
        </w:rPr>
        <w:t xml:space="preserve">; </w:t>
      </w:r>
    </w:p>
    <w:p w:rsidR="00384073" w:rsidRPr="00AA02D3" w:rsidRDefault="009A631C" w:rsidP="00C020D3">
      <w:pPr>
        <w:pStyle w:val="ListParagraph"/>
        <w:numPr>
          <w:ilvl w:val="0"/>
          <w:numId w:val="4"/>
        </w:numPr>
        <w:spacing w:after="0"/>
        <w:jc w:val="both"/>
        <w:rPr>
          <w:rFonts w:ascii="Arial" w:hAnsi="Arial" w:cs="Arial"/>
          <w:lang w:val="es-ES"/>
        </w:rPr>
      </w:pPr>
      <w:r w:rsidRPr="00AA02D3">
        <w:rPr>
          <w:rFonts w:ascii="Arial" w:hAnsi="Arial" w:cs="Arial"/>
          <w:lang w:val="es-ES"/>
        </w:rPr>
        <w:t xml:space="preserve">Validación de los criterios de </w:t>
      </w:r>
      <w:r w:rsidR="0064148C" w:rsidRPr="00AA02D3">
        <w:rPr>
          <w:rFonts w:ascii="Arial" w:hAnsi="Arial" w:cs="Arial"/>
          <w:lang w:val="es-ES"/>
        </w:rPr>
        <w:t>clasifica</w:t>
      </w:r>
      <w:r w:rsidR="00E23E31" w:rsidRPr="00AA02D3">
        <w:rPr>
          <w:rFonts w:ascii="Arial" w:hAnsi="Arial" w:cs="Arial"/>
          <w:lang w:val="es-ES"/>
        </w:rPr>
        <w:t xml:space="preserve">ción de la operación de acuerdo </w:t>
      </w:r>
      <w:r w:rsidR="00CC11EF" w:rsidRPr="00AA02D3">
        <w:rPr>
          <w:rFonts w:ascii="Arial" w:hAnsi="Arial" w:cs="Arial"/>
          <w:lang w:val="es-ES"/>
        </w:rPr>
        <w:t>con</w:t>
      </w:r>
      <w:r w:rsidR="00E23E31" w:rsidRPr="00AA02D3">
        <w:rPr>
          <w:rFonts w:ascii="Arial" w:hAnsi="Arial" w:cs="Arial"/>
          <w:lang w:val="es-ES"/>
        </w:rPr>
        <w:t xml:space="preserve"> lo estipulado en el documento Lineamientos para la Clasificación de Prioridades en el Programa de Financiamiento</w:t>
      </w:r>
      <w:r w:rsidR="00AA1F26" w:rsidRPr="00AA02D3">
        <w:rPr>
          <w:rFonts w:ascii="Arial" w:hAnsi="Arial" w:cs="Arial"/>
          <w:lang w:val="es-ES"/>
        </w:rPr>
        <w:t xml:space="preserve"> conforme las </w:t>
      </w:r>
      <w:r w:rsidR="009401DA" w:rsidRPr="00AA02D3">
        <w:rPr>
          <w:rFonts w:ascii="Arial" w:hAnsi="Arial" w:cs="Arial"/>
          <w:lang w:val="es-ES"/>
        </w:rPr>
        <w:t>guías</w:t>
      </w:r>
      <w:r w:rsidR="00AA1F26" w:rsidRPr="00AA02D3">
        <w:rPr>
          <w:rFonts w:ascii="Arial" w:hAnsi="Arial" w:cs="Arial"/>
          <w:lang w:val="es-ES"/>
        </w:rPr>
        <w:t xml:space="preserve"> GN-2650 y GN-2733</w:t>
      </w:r>
      <w:r w:rsidR="00E23E31" w:rsidRPr="00AA02D3">
        <w:rPr>
          <w:rFonts w:ascii="Arial" w:hAnsi="Arial" w:cs="Arial"/>
          <w:lang w:val="es-ES"/>
        </w:rPr>
        <w:t>.</w:t>
      </w:r>
      <w:r w:rsidR="0098114A" w:rsidRPr="00AA02D3">
        <w:rPr>
          <w:rFonts w:ascii="Arial" w:hAnsi="Arial" w:cs="Arial"/>
          <w:lang w:val="es-ES"/>
        </w:rPr>
        <w:t xml:space="preserve"> </w:t>
      </w:r>
    </w:p>
    <w:p w:rsidR="007450FC" w:rsidRPr="00AA02D3" w:rsidRDefault="007450FC" w:rsidP="00C020D3">
      <w:pPr>
        <w:pStyle w:val="ListParagraph"/>
        <w:spacing w:after="0"/>
        <w:ind w:left="1440"/>
        <w:jc w:val="both"/>
        <w:rPr>
          <w:rFonts w:ascii="Arial" w:hAnsi="Arial" w:cs="Arial"/>
          <w:lang w:val="es-ES"/>
        </w:rPr>
      </w:pPr>
    </w:p>
    <w:p w:rsidR="00E13165" w:rsidRPr="00AA02D3" w:rsidRDefault="009C7401" w:rsidP="00C020D3">
      <w:pPr>
        <w:keepNext/>
        <w:keepLines/>
        <w:numPr>
          <w:ilvl w:val="0"/>
          <w:numId w:val="2"/>
        </w:numPr>
        <w:spacing w:after="0"/>
        <w:ind w:left="360" w:hanging="270"/>
        <w:outlineLvl w:val="1"/>
        <w:rPr>
          <w:rFonts w:ascii="Arial" w:eastAsia="MS Gothic" w:hAnsi="Arial" w:cs="Arial"/>
          <w:b/>
          <w:bCs/>
          <w:lang w:val="es-ES"/>
        </w:rPr>
      </w:pPr>
      <w:r w:rsidRPr="00AA02D3">
        <w:rPr>
          <w:rFonts w:ascii="Arial" w:eastAsia="MS Gothic" w:hAnsi="Arial" w:cs="Arial"/>
          <w:b/>
          <w:bCs/>
          <w:lang w:val="es-ES"/>
        </w:rPr>
        <w:lastRenderedPageBreak/>
        <w:t>Antecedentes del Pro</w:t>
      </w:r>
      <w:r w:rsidR="00AC4E5B" w:rsidRPr="00AA02D3">
        <w:rPr>
          <w:rFonts w:ascii="Arial" w:eastAsia="MS Gothic" w:hAnsi="Arial" w:cs="Arial"/>
          <w:b/>
          <w:bCs/>
          <w:lang w:val="es-ES"/>
        </w:rPr>
        <w:t>grama</w:t>
      </w:r>
    </w:p>
    <w:p w:rsidR="003B253A" w:rsidRPr="002060D4" w:rsidRDefault="00A71250" w:rsidP="00420025">
      <w:pPr>
        <w:pStyle w:val="ListParagraph"/>
        <w:numPr>
          <w:ilvl w:val="1"/>
          <w:numId w:val="2"/>
        </w:numPr>
        <w:spacing w:before="120" w:after="0"/>
        <w:jc w:val="both"/>
        <w:rPr>
          <w:rFonts w:ascii="Arial" w:eastAsia="MS Mincho" w:hAnsi="Arial" w:cs="Arial"/>
          <w:b/>
          <w:bCs/>
          <w:lang w:val="es-ES" w:eastAsia="ja-JP"/>
        </w:rPr>
      </w:pPr>
      <w:r w:rsidRPr="00113E5E">
        <w:rPr>
          <w:rFonts w:ascii="Arial" w:hAnsi="Arial" w:cs="Arial"/>
          <w:lang w:val="es-ES"/>
        </w:rPr>
        <w:t xml:space="preserve">El objetivo general del programa es </w:t>
      </w:r>
      <w:r w:rsidR="00060C35" w:rsidRPr="00113E5E">
        <w:rPr>
          <w:rFonts w:ascii="Arial" w:hAnsi="Arial" w:cs="Arial"/>
          <w:lang w:val="es-ES"/>
        </w:rPr>
        <w:t xml:space="preserve">mejorar las condiciones de operación de la infraestructura del Sistema de Interconexión Nacional (SIN) y el SIEPAC, mediante el refuerzo de la infraestructura </w:t>
      </w:r>
      <w:r w:rsidR="00155105">
        <w:rPr>
          <w:rFonts w:ascii="Arial" w:hAnsi="Arial" w:cs="Arial"/>
          <w:lang w:val="es-ES"/>
        </w:rPr>
        <w:t xml:space="preserve">nacional </w:t>
      </w:r>
      <w:r w:rsidR="00060C35" w:rsidRPr="00113E5E">
        <w:rPr>
          <w:rFonts w:ascii="Arial" w:hAnsi="Arial" w:cs="Arial"/>
          <w:lang w:val="es-ES"/>
        </w:rPr>
        <w:t>de transmisión</w:t>
      </w:r>
      <w:r w:rsidR="00060C35" w:rsidRPr="00060C35">
        <w:rPr>
          <w:rFonts w:ascii="Arial" w:hAnsi="Arial" w:cs="Arial"/>
          <w:lang w:val="es-ES"/>
        </w:rPr>
        <w:t xml:space="preserve">. </w:t>
      </w:r>
      <w:r w:rsidR="00EE3185">
        <w:rPr>
          <w:rFonts w:ascii="Arial" w:hAnsi="Arial" w:cs="Arial"/>
          <w:lang w:val="es-ES"/>
        </w:rPr>
        <w:t>Dichas inversiones permitirán</w:t>
      </w:r>
      <w:r w:rsidR="003459BB">
        <w:rPr>
          <w:rFonts w:ascii="Arial" w:hAnsi="Arial" w:cs="Arial"/>
          <w:lang w:val="es-ES"/>
        </w:rPr>
        <w:t xml:space="preserve"> (i) </w:t>
      </w:r>
      <w:r w:rsidR="00420025">
        <w:rPr>
          <w:rFonts w:ascii="Arial" w:hAnsi="Arial" w:cs="Arial"/>
          <w:lang w:val="es-ES"/>
        </w:rPr>
        <w:t xml:space="preserve"> mejorar </w:t>
      </w:r>
      <w:r w:rsidR="00113E5E" w:rsidRPr="00113E5E">
        <w:rPr>
          <w:rFonts w:ascii="Arial" w:hAnsi="Arial" w:cs="Arial"/>
          <w:lang w:val="es-ES"/>
        </w:rPr>
        <w:t>la infraestructura de transmisión</w:t>
      </w:r>
      <w:r w:rsidR="00420025">
        <w:rPr>
          <w:rFonts w:ascii="Arial" w:hAnsi="Arial" w:cs="Arial"/>
          <w:lang w:val="es-ES"/>
        </w:rPr>
        <w:t>,</w:t>
      </w:r>
      <w:r w:rsidR="00113E5E" w:rsidRPr="00113E5E">
        <w:rPr>
          <w:rFonts w:ascii="Arial" w:hAnsi="Arial" w:cs="Arial"/>
          <w:lang w:val="es-ES"/>
        </w:rPr>
        <w:t xml:space="preserve"> apoyar el aumento de cobertura integral</w:t>
      </w:r>
      <w:r w:rsidR="00776B9A">
        <w:rPr>
          <w:rFonts w:ascii="Arial" w:hAnsi="Arial" w:cs="Arial"/>
          <w:lang w:val="es-ES"/>
        </w:rPr>
        <w:t xml:space="preserve"> </w:t>
      </w:r>
      <w:r w:rsidR="00776B9A" w:rsidRPr="004E77EA">
        <w:rPr>
          <w:rFonts w:ascii="Arial" w:hAnsi="Arial" w:cs="Arial"/>
          <w:lang w:val="es-ES_tradnl"/>
        </w:rPr>
        <w:t xml:space="preserve">y facilitar la conexión al SIN de nuevos proyectos de </w:t>
      </w:r>
      <w:r w:rsidR="007A6248">
        <w:rPr>
          <w:rFonts w:ascii="Arial" w:hAnsi="Arial" w:cs="Arial"/>
          <w:lang w:val="es-ES_tradnl"/>
        </w:rPr>
        <w:t>electrificación rural</w:t>
      </w:r>
      <w:r w:rsidR="00830D7D">
        <w:rPr>
          <w:rFonts w:ascii="Arial" w:hAnsi="Arial" w:cs="Arial"/>
          <w:lang w:val="es-ES_tradnl"/>
        </w:rPr>
        <w:t xml:space="preserve"> y futuras plantas de generación</w:t>
      </w:r>
      <w:r w:rsidR="00420025">
        <w:rPr>
          <w:rFonts w:ascii="Arial" w:hAnsi="Arial" w:cs="Arial"/>
          <w:lang w:val="es-ES_tradnl"/>
        </w:rPr>
        <w:t>; y (ii)</w:t>
      </w:r>
      <w:r w:rsidR="00113E5E" w:rsidRPr="00113E5E">
        <w:rPr>
          <w:rFonts w:ascii="Arial" w:hAnsi="Arial" w:cs="Arial"/>
          <w:lang w:val="es-ES"/>
        </w:rPr>
        <w:t xml:space="preserve">  </w:t>
      </w:r>
      <w:r w:rsidR="00113E5E" w:rsidRPr="002060D4">
        <w:rPr>
          <w:rFonts w:ascii="Arial" w:hAnsi="Arial" w:cs="Arial"/>
          <w:lang w:val="es-ES"/>
        </w:rPr>
        <w:t xml:space="preserve">garantizar la disponibilidad de capacidad de transporte de la línea SIEPAC. </w:t>
      </w:r>
    </w:p>
    <w:p w:rsidR="00113E5E" w:rsidRPr="002060D4" w:rsidRDefault="00113E5E" w:rsidP="00113E5E">
      <w:pPr>
        <w:pStyle w:val="ListParagraph"/>
        <w:spacing w:before="120" w:after="0"/>
        <w:jc w:val="both"/>
        <w:rPr>
          <w:rFonts w:ascii="Arial" w:eastAsia="MS Mincho" w:hAnsi="Arial" w:cs="Arial"/>
          <w:b/>
          <w:bCs/>
          <w:lang w:val="es-ES" w:eastAsia="ja-JP"/>
        </w:rPr>
      </w:pPr>
    </w:p>
    <w:p w:rsidR="00B72E00" w:rsidRPr="002060D4" w:rsidRDefault="005736F0" w:rsidP="00C020D3">
      <w:pPr>
        <w:keepNext/>
        <w:keepLines/>
        <w:numPr>
          <w:ilvl w:val="0"/>
          <w:numId w:val="2"/>
        </w:numPr>
        <w:spacing w:after="0"/>
        <w:ind w:left="360" w:hanging="270"/>
        <w:outlineLvl w:val="1"/>
        <w:rPr>
          <w:rFonts w:ascii="Arial" w:eastAsia="MS Gothic" w:hAnsi="Arial" w:cs="Arial"/>
          <w:b/>
          <w:bCs/>
          <w:lang w:val="es-ES"/>
        </w:rPr>
      </w:pPr>
      <w:r w:rsidRPr="002060D4">
        <w:rPr>
          <w:rFonts w:ascii="Arial" w:eastAsia="MS Gothic" w:hAnsi="Arial" w:cs="Arial"/>
          <w:b/>
          <w:bCs/>
          <w:lang w:val="es-ES"/>
        </w:rPr>
        <w:t>Principales aspectos</w:t>
      </w:r>
      <w:r w:rsidR="00B31F2A" w:rsidRPr="002060D4">
        <w:rPr>
          <w:rFonts w:ascii="Arial" w:eastAsia="MS Gothic" w:hAnsi="Arial" w:cs="Arial"/>
          <w:b/>
          <w:bCs/>
          <w:lang w:val="es-ES"/>
        </w:rPr>
        <w:t xml:space="preserve"> considerados para la clasificación de la operación como de integración regional</w:t>
      </w:r>
    </w:p>
    <w:p w:rsidR="009B4148" w:rsidRDefault="00D844CA" w:rsidP="00C020D3">
      <w:pPr>
        <w:pStyle w:val="ListParagraph"/>
        <w:numPr>
          <w:ilvl w:val="1"/>
          <w:numId w:val="2"/>
        </w:numPr>
        <w:spacing w:before="120" w:after="0"/>
        <w:contextualSpacing w:val="0"/>
        <w:jc w:val="both"/>
        <w:rPr>
          <w:rFonts w:ascii="Arial" w:hAnsi="Arial" w:cs="Arial"/>
          <w:lang w:val="es-ES"/>
        </w:rPr>
      </w:pPr>
      <w:r w:rsidRPr="002060D4">
        <w:rPr>
          <w:rFonts w:ascii="Arial" w:hAnsi="Arial" w:cs="Arial"/>
          <w:lang w:val="es-ES"/>
        </w:rPr>
        <w:t xml:space="preserve">Nicaragua </w:t>
      </w:r>
      <w:r w:rsidR="00F4429D" w:rsidRPr="002060D4">
        <w:rPr>
          <w:rFonts w:ascii="Arial" w:hAnsi="Arial" w:cs="Arial"/>
          <w:lang w:val="es-ES"/>
        </w:rPr>
        <w:t>junto con</w:t>
      </w:r>
      <w:r w:rsidR="009F0873" w:rsidRPr="002060D4">
        <w:rPr>
          <w:rFonts w:ascii="Arial" w:hAnsi="Arial" w:cs="Arial"/>
          <w:lang w:val="es-ES"/>
        </w:rPr>
        <w:t xml:space="preserve"> </w:t>
      </w:r>
      <w:r w:rsidRPr="002060D4">
        <w:rPr>
          <w:rFonts w:ascii="Arial" w:hAnsi="Arial" w:cs="Arial"/>
          <w:lang w:val="es-ES"/>
        </w:rPr>
        <w:t xml:space="preserve">Guatemala, </w:t>
      </w:r>
      <w:r w:rsidR="009F0873" w:rsidRPr="002060D4">
        <w:rPr>
          <w:rFonts w:ascii="Arial" w:hAnsi="Arial" w:cs="Arial"/>
          <w:lang w:val="es-ES"/>
        </w:rPr>
        <w:t xml:space="preserve">El Salvador, Honduras, </w:t>
      </w:r>
      <w:r w:rsidRPr="002060D4">
        <w:rPr>
          <w:rFonts w:ascii="Arial" w:hAnsi="Arial" w:cs="Arial"/>
          <w:lang w:val="es-ES"/>
        </w:rPr>
        <w:t xml:space="preserve">Costa Rica  </w:t>
      </w:r>
      <w:r w:rsidR="009F0873" w:rsidRPr="002060D4">
        <w:rPr>
          <w:rFonts w:ascii="Arial" w:hAnsi="Arial" w:cs="Arial"/>
          <w:lang w:val="es-ES"/>
        </w:rPr>
        <w:t>y Panamá</w:t>
      </w:r>
      <w:r w:rsidR="00F4429D" w:rsidRPr="002060D4">
        <w:rPr>
          <w:rFonts w:ascii="Arial" w:hAnsi="Arial" w:cs="Arial"/>
          <w:lang w:val="es-ES"/>
        </w:rPr>
        <w:t xml:space="preserve"> forman el mercado eléctrico regional (MER)</w:t>
      </w:r>
      <w:r w:rsidR="009F0873" w:rsidRPr="002060D4">
        <w:rPr>
          <w:rFonts w:ascii="Arial" w:hAnsi="Arial" w:cs="Arial"/>
          <w:lang w:val="es-ES"/>
        </w:rPr>
        <w:t xml:space="preserve">.  El SIEPAC es la infraestructura que permite </w:t>
      </w:r>
      <w:r w:rsidR="001E0728" w:rsidRPr="002060D4">
        <w:rPr>
          <w:rFonts w:ascii="Arial" w:hAnsi="Arial" w:cs="Arial"/>
          <w:lang w:val="es-ES"/>
        </w:rPr>
        <w:t xml:space="preserve">las transacciones de </w:t>
      </w:r>
      <w:r w:rsidR="009F0873" w:rsidRPr="002060D4">
        <w:rPr>
          <w:rFonts w:ascii="Arial" w:hAnsi="Arial" w:cs="Arial"/>
          <w:lang w:val="es-ES"/>
        </w:rPr>
        <w:t xml:space="preserve">energía entre </w:t>
      </w:r>
      <w:r w:rsidR="00F4429D" w:rsidRPr="002060D4">
        <w:rPr>
          <w:rFonts w:ascii="Arial" w:hAnsi="Arial" w:cs="Arial"/>
          <w:lang w:val="es-ES"/>
        </w:rPr>
        <w:t>los miembros d</w:t>
      </w:r>
      <w:r w:rsidR="009F0873" w:rsidRPr="002060D4">
        <w:rPr>
          <w:rFonts w:ascii="Arial" w:hAnsi="Arial" w:cs="Arial"/>
          <w:lang w:val="es-ES"/>
        </w:rPr>
        <w:t>el MER</w:t>
      </w:r>
      <w:r w:rsidR="001E0728" w:rsidRPr="002060D4">
        <w:rPr>
          <w:rFonts w:ascii="Arial" w:hAnsi="Arial" w:cs="Arial"/>
          <w:lang w:val="es-ES"/>
        </w:rPr>
        <w:t>, las cuales</w:t>
      </w:r>
      <w:r w:rsidR="00A53A98" w:rsidRPr="002060D4">
        <w:rPr>
          <w:rFonts w:ascii="Arial" w:hAnsi="Arial" w:cs="Arial"/>
          <w:lang w:val="es-ES"/>
        </w:rPr>
        <w:t xml:space="preserve"> ha</w:t>
      </w:r>
      <w:r w:rsidR="001E0728" w:rsidRPr="002060D4">
        <w:rPr>
          <w:rFonts w:ascii="Arial" w:hAnsi="Arial" w:cs="Arial"/>
          <w:lang w:val="es-ES"/>
        </w:rPr>
        <w:t>n</w:t>
      </w:r>
      <w:r w:rsidR="00A53A98" w:rsidRPr="002060D4">
        <w:rPr>
          <w:rFonts w:ascii="Arial" w:hAnsi="Arial" w:cs="Arial"/>
          <w:lang w:val="es-ES"/>
        </w:rPr>
        <w:t xml:space="preserve"> crecido considerablemente desde</w:t>
      </w:r>
      <w:r w:rsidR="001E0728" w:rsidRPr="002060D4">
        <w:rPr>
          <w:rFonts w:ascii="Arial" w:hAnsi="Arial" w:cs="Arial"/>
          <w:lang w:val="es-ES"/>
        </w:rPr>
        <w:t xml:space="preserve"> la puesta en operación</w:t>
      </w:r>
      <w:r w:rsidR="00DA42AE" w:rsidRPr="002060D4">
        <w:rPr>
          <w:rFonts w:ascii="Arial" w:hAnsi="Arial" w:cs="Arial"/>
          <w:lang w:val="es-ES"/>
        </w:rPr>
        <w:t xml:space="preserve"> en 2013</w:t>
      </w:r>
      <w:r w:rsidR="00A53A98" w:rsidRPr="002060D4">
        <w:rPr>
          <w:rFonts w:ascii="Arial" w:hAnsi="Arial" w:cs="Arial"/>
          <w:lang w:val="es-ES"/>
        </w:rPr>
        <w:t xml:space="preserve">. </w:t>
      </w:r>
      <w:r w:rsidR="00BA00A2" w:rsidRPr="002060D4">
        <w:rPr>
          <w:rFonts w:ascii="Arial" w:hAnsi="Arial" w:cs="Arial"/>
          <w:lang w:val="es-ES"/>
        </w:rPr>
        <w:t xml:space="preserve">Hasta ahora, Guatemala y Costa Rica han sido los exportadores </w:t>
      </w:r>
      <w:r w:rsidR="00161373" w:rsidRPr="002060D4">
        <w:rPr>
          <w:rFonts w:ascii="Arial" w:hAnsi="Arial" w:cs="Arial"/>
          <w:lang w:val="es-ES"/>
        </w:rPr>
        <w:t>más</w:t>
      </w:r>
      <w:r w:rsidR="00BA00A2" w:rsidRPr="002060D4">
        <w:rPr>
          <w:rFonts w:ascii="Arial" w:hAnsi="Arial" w:cs="Arial"/>
          <w:lang w:val="es-ES"/>
        </w:rPr>
        <w:t xml:space="preserve"> </w:t>
      </w:r>
      <w:r w:rsidR="00155105">
        <w:rPr>
          <w:rFonts w:ascii="Arial" w:hAnsi="Arial" w:cs="Arial"/>
          <w:lang w:val="es-ES"/>
        </w:rPr>
        <w:t>activos</w:t>
      </w:r>
      <w:r w:rsidR="00776B9A">
        <w:rPr>
          <w:rFonts w:ascii="Arial" w:hAnsi="Arial" w:cs="Arial"/>
          <w:lang w:val="es-ES"/>
        </w:rPr>
        <w:t>, mientras que</w:t>
      </w:r>
      <w:r w:rsidR="00BA00A2" w:rsidRPr="002060D4">
        <w:rPr>
          <w:rFonts w:ascii="Arial" w:hAnsi="Arial" w:cs="Arial"/>
          <w:lang w:val="es-ES"/>
        </w:rPr>
        <w:t xml:space="preserve"> </w:t>
      </w:r>
      <w:r w:rsidR="00420025">
        <w:rPr>
          <w:rFonts w:ascii="Arial" w:hAnsi="Arial" w:cs="Arial"/>
          <w:lang w:val="es-ES"/>
        </w:rPr>
        <w:t xml:space="preserve">en otros meses del año </w:t>
      </w:r>
      <w:r w:rsidR="00BA00A2" w:rsidRPr="002060D4">
        <w:rPr>
          <w:rFonts w:ascii="Arial" w:hAnsi="Arial" w:cs="Arial"/>
          <w:lang w:val="es-ES"/>
        </w:rPr>
        <w:t xml:space="preserve">El Salvador y Costa Rica </w:t>
      </w:r>
      <w:r w:rsidR="00776B9A">
        <w:rPr>
          <w:rFonts w:ascii="Arial" w:hAnsi="Arial" w:cs="Arial"/>
          <w:lang w:val="es-ES"/>
        </w:rPr>
        <w:t>se han destacado como los principales importadores</w:t>
      </w:r>
      <w:r w:rsidR="00BA00A2" w:rsidRPr="002060D4">
        <w:rPr>
          <w:rFonts w:ascii="Arial" w:hAnsi="Arial" w:cs="Arial"/>
          <w:lang w:val="es-ES"/>
        </w:rPr>
        <w:t>.</w:t>
      </w:r>
      <w:r w:rsidR="00EE3185">
        <w:rPr>
          <w:rFonts w:ascii="Arial" w:hAnsi="Arial" w:cs="Arial"/>
          <w:lang w:val="es-ES"/>
        </w:rPr>
        <w:t xml:space="preserve"> </w:t>
      </w:r>
    </w:p>
    <w:p w:rsidR="009B4148" w:rsidRDefault="00EE3185" w:rsidP="00C020D3">
      <w:pPr>
        <w:pStyle w:val="ListParagraph"/>
        <w:numPr>
          <w:ilvl w:val="1"/>
          <w:numId w:val="2"/>
        </w:numPr>
        <w:spacing w:before="120" w:after="0"/>
        <w:contextualSpacing w:val="0"/>
        <w:jc w:val="both"/>
        <w:rPr>
          <w:rFonts w:ascii="Arial" w:hAnsi="Arial" w:cs="Arial"/>
          <w:lang w:val="es-ES"/>
        </w:rPr>
      </w:pPr>
      <w:r>
        <w:rPr>
          <w:rFonts w:ascii="Arial" w:hAnsi="Arial" w:cs="Arial"/>
          <w:lang w:val="es-ES"/>
        </w:rPr>
        <w:t xml:space="preserve">Conviene destacar que Nicaragua juega un papel de gran importancia dentro del SIEPAC, puesto que es el punto central para asegurar las transferencias de electricidad entre los países del norte de Centroamérica (Guatemala, El Salvador y Honduras), y los ubicados en el sur (Costa Rica y Panamá). </w:t>
      </w:r>
      <w:r w:rsidR="00BA00A2" w:rsidRPr="002060D4">
        <w:rPr>
          <w:rFonts w:ascii="Arial" w:hAnsi="Arial" w:cs="Arial"/>
          <w:lang w:val="es-ES"/>
        </w:rPr>
        <w:t xml:space="preserve"> </w:t>
      </w:r>
    </w:p>
    <w:p w:rsidR="00562383" w:rsidRPr="002060D4" w:rsidRDefault="00776B9A" w:rsidP="00C020D3">
      <w:pPr>
        <w:pStyle w:val="ListParagraph"/>
        <w:numPr>
          <w:ilvl w:val="1"/>
          <w:numId w:val="2"/>
        </w:numPr>
        <w:spacing w:before="120" w:after="0"/>
        <w:contextualSpacing w:val="0"/>
        <w:jc w:val="both"/>
        <w:rPr>
          <w:rFonts w:ascii="Arial" w:hAnsi="Arial" w:cs="Arial"/>
          <w:lang w:val="es-ES"/>
        </w:rPr>
      </w:pPr>
      <w:r>
        <w:rPr>
          <w:rFonts w:ascii="Arial" w:hAnsi="Arial" w:cs="Arial"/>
          <w:lang w:val="es-ES"/>
        </w:rPr>
        <w:t xml:space="preserve">La participación de </w:t>
      </w:r>
      <w:r w:rsidR="00BA00A2" w:rsidRPr="002060D4">
        <w:rPr>
          <w:rFonts w:ascii="Arial" w:hAnsi="Arial" w:cs="Arial"/>
          <w:lang w:val="es-ES"/>
        </w:rPr>
        <w:t xml:space="preserve">Nicaragua </w:t>
      </w:r>
      <w:r w:rsidR="00F4429D" w:rsidRPr="002060D4">
        <w:rPr>
          <w:rFonts w:ascii="Arial" w:hAnsi="Arial" w:cs="Arial"/>
          <w:lang w:val="es-ES"/>
        </w:rPr>
        <w:t xml:space="preserve">dentro del MER </w:t>
      </w:r>
      <w:r>
        <w:rPr>
          <w:rFonts w:ascii="Arial" w:hAnsi="Arial" w:cs="Arial"/>
          <w:lang w:val="es-ES"/>
        </w:rPr>
        <w:t xml:space="preserve">ha sido menor en comparación con sus vecinos centroamericanos, </w:t>
      </w:r>
      <w:r w:rsidR="00420025">
        <w:rPr>
          <w:rFonts w:ascii="Arial" w:hAnsi="Arial" w:cs="Arial"/>
          <w:lang w:val="es-ES"/>
        </w:rPr>
        <w:t xml:space="preserve">con transacciones por debajo de los 15 </w:t>
      </w:r>
      <w:proofErr w:type="spellStart"/>
      <w:r w:rsidR="00C2736F">
        <w:rPr>
          <w:rFonts w:ascii="Arial" w:hAnsi="Arial" w:cs="Arial"/>
          <w:lang w:val="es-ES"/>
        </w:rPr>
        <w:t>G</w:t>
      </w:r>
      <w:r w:rsidR="00420025">
        <w:rPr>
          <w:rFonts w:ascii="Arial" w:hAnsi="Arial" w:cs="Arial"/>
          <w:lang w:val="es-ES"/>
        </w:rPr>
        <w:t>Wh</w:t>
      </w:r>
      <w:proofErr w:type="spellEnd"/>
      <w:r w:rsidR="00420025">
        <w:rPr>
          <w:rFonts w:ascii="Arial" w:hAnsi="Arial" w:cs="Arial"/>
          <w:lang w:val="es-ES"/>
        </w:rPr>
        <w:t xml:space="preserve"> por mes, </w:t>
      </w:r>
      <w:r w:rsidR="0021382E" w:rsidRPr="002060D4">
        <w:rPr>
          <w:rFonts w:ascii="Arial" w:hAnsi="Arial" w:cs="Arial"/>
          <w:lang w:val="es-ES"/>
        </w:rPr>
        <w:t>como se observa en la</w:t>
      </w:r>
      <w:r w:rsidR="00420025">
        <w:rPr>
          <w:rFonts w:ascii="Arial" w:hAnsi="Arial" w:cs="Arial"/>
          <w:lang w:val="es-ES"/>
        </w:rPr>
        <w:t>s</w:t>
      </w:r>
      <w:r w:rsidR="0021382E" w:rsidRPr="002060D4">
        <w:rPr>
          <w:rFonts w:ascii="Arial" w:hAnsi="Arial" w:cs="Arial"/>
          <w:lang w:val="es-ES"/>
        </w:rPr>
        <w:t xml:space="preserve"> Figura</w:t>
      </w:r>
      <w:r w:rsidR="002060D4" w:rsidRPr="002060D4">
        <w:rPr>
          <w:rFonts w:ascii="Arial" w:hAnsi="Arial" w:cs="Arial"/>
          <w:lang w:val="es-ES"/>
        </w:rPr>
        <w:t xml:space="preserve"> 1 y 2</w:t>
      </w:r>
      <w:r>
        <w:rPr>
          <w:rFonts w:ascii="Arial" w:hAnsi="Arial" w:cs="Arial"/>
          <w:lang w:val="es-ES"/>
        </w:rPr>
        <w:t xml:space="preserve">. Sin embargo, </w:t>
      </w:r>
      <w:r w:rsidR="00420025">
        <w:rPr>
          <w:rFonts w:ascii="Arial" w:hAnsi="Arial" w:cs="Arial"/>
          <w:lang w:val="es-ES"/>
        </w:rPr>
        <w:t xml:space="preserve">con </w:t>
      </w:r>
      <w:r>
        <w:rPr>
          <w:rFonts w:ascii="Arial" w:hAnsi="Arial" w:cs="Arial"/>
          <w:lang w:val="es-ES"/>
        </w:rPr>
        <w:t xml:space="preserve">el proyecto propuesto se espera </w:t>
      </w:r>
      <w:r w:rsidR="00420025">
        <w:rPr>
          <w:rFonts w:ascii="Arial" w:hAnsi="Arial" w:cs="Arial"/>
          <w:lang w:val="es-ES"/>
        </w:rPr>
        <w:t xml:space="preserve">que Nicaragua </w:t>
      </w:r>
      <w:r w:rsidR="001C21AD">
        <w:rPr>
          <w:rFonts w:ascii="Arial" w:hAnsi="Arial" w:cs="Arial"/>
          <w:lang w:val="es-ES"/>
        </w:rPr>
        <w:t>no solo expanda</w:t>
      </w:r>
      <w:r w:rsidR="00420025">
        <w:rPr>
          <w:rFonts w:ascii="Arial" w:hAnsi="Arial" w:cs="Arial"/>
          <w:lang w:val="es-ES"/>
        </w:rPr>
        <w:t xml:space="preserve"> </w:t>
      </w:r>
      <w:r w:rsidR="00155105">
        <w:rPr>
          <w:rFonts w:ascii="Arial" w:hAnsi="Arial" w:cs="Arial"/>
          <w:lang w:val="es-ES"/>
        </w:rPr>
        <w:t>la</w:t>
      </w:r>
      <w:r w:rsidR="00155105" w:rsidRPr="002060D4">
        <w:rPr>
          <w:rFonts w:ascii="Arial" w:hAnsi="Arial" w:cs="Arial"/>
          <w:lang w:val="es-ES"/>
        </w:rPr>
        <w:t xml:space="preserve"> </w:t>
      </w:r>
      <w:r w:rsidR="00BA00A2" w:rsidRPr="002060D4">
        <w:rPr>
          <w:rFonts w:ascii="Arial" w:hAnsi="Arial" w:cs="Arial"/>
          <w:lang w:val="es-ES"/>
        </w:rPr>
        <w:t>re</w:t>
      </w:r>
      <w:r w:rsidR="002060D4" w:rsidRPr="002060D4">
        <w:rPr>
          <w:rFonts w:ascii="Arial" w:hAnsi="Arial" w:cs="Arial"/>
          <w:lang w:val="es-ES"/>
        </w:rPr>
        <w:t xml:space="preserve">d </w:t>
      </w:r>
      <w:r w:rsidR="00155105" w:rsidRPr="002060D4">
        <w:rPr>
          <w:rFonts w:ascii="Arial" w:hAnsi="Arial" w:cs="Arial"/>
          <w:lang w:val="es-ES"/>
        </w:rPr>
        <w:t>eléctric</w:t>
      </w:r>
      <w:r w:rsidR="00155105">
        <w:rPr>
          <w:rFonts w:ascii="Arial" w:hAnsi="Arial" w:cs="Arial"/>
          <w:lang w:val="es-ES"/>
        </w:rPr>
        <w:t>a</w:t>
      </w:r>
      <w:r w:rsidR="00155105" w:rsidRPr="002060D4">
        <w:rPr>
          <w:rFonts w:ascii="Arial" w:hAnsi="Arial" w:cs="Arial"/>
          <w:lang w:val="es-ES"/>
        </w:rPr>
        <w:t xml:space="preserve"> </w:t>
      </w:r>
      <w:r w:rsidR="002060D4" w:rsidRPr="002060D4">
        <w:rPr>
          <w:rFonts w:ascii="Arial" w:hAnsi="Arial" w:cs="Arial"/>
          <w:lang w:val="es-ES"/>
        </w:rPr>
        <w:t>(C</w:t>
      </w:r>
      <w:r w:rsidR="00BA00A2" w:rsidRPr="002060D4">
        <w:rPr>
          <w:rFonts w:ascii="Arial" w:hAnsi="Arial" w:cs="Arial"/>
          <w:lang w:val="es-ES"/>
        </w:rPr>
        <w:t xml:space="preserve">omponente </w:t>
      </w:r>
      <w:r w:rsidR="0021382E" w:rsidRPr="002060D4">
        <w:rPr>
          <w:rFonts w:ascii="Arial" w:hAnsi="Arial" w:cs="Arial"/>
          <w:lang w:val="es-ES"/>
        </w:rPr>
        <w:t>I)</w:t>
      </w:r>
      <w:r w:rsidR="00420025">
        <w:rPr>
          <w:rFonts w:ascii="Arial" w:hAnsi="Arial" w:cs="Arial"/>
          <w:lang w:val="es-ES"/>
        </w:rPr>
        <w:t xml:space="preserve"> </w:t>
      </w:r>
      <w:r w:rsidR="001C21AD">
        <w:rPr>
          <w:rFonts w:ascii="Arial" w:hAnsi="Arial" w:cs="Arial"/>
          <w:lang w:val="es-ES"/>
        </w:rPr>
        <w:t>sino también que contribuya a una mayor participación de</w:t>
      </w:r>
      <w:r w:rsidR="00420025">
        <w:rPr>
          <w:rFonts w:ascii="Arial" w:hAnsi="Arial" w:cs="Arial"/>
          <w:lang w:val="es-ES"/>
        </w:rPr>
        <w:t>l país</w:t>
      </w:r>
      <w:r w:rsidR="001C21AD">
        <w:rPr>
          <w:rFonts w:ascii="Arial" w:hAnsi="Arial" w:cs="Arial"/>
          <w:lang w:val="es-ES"/>
        </w:rPr>
        <w:t xml:space="preserve"> en el MER. Se</w:t>
      </w:r>
      <w:r w:rsidR="00420025">
        <w:rPr>
          <w:rFonts w:ascii="Arial" w:hAnsi="Arial" w:cs="Arial"/>
          <w:lang w:val="es-ES"/>
        </w:rPr>
        <w:t xml:space="preserve"> prevé</w:t>
      </w:r>
      <w:r w:rsidR="001C21AD">
        <w:rPr>
          <w:rFonts w:ascii="Arial" w:hAnsi="Arial" w:cs="Arial"/>
          <w:lang w:val="es-ES"/>
        </w:rPr>
        <w:t xml:space="preserve"> que los intercambios eléctricos regionales desde y hacia Nicaragua, se incrementen en un 10%.</w:t>
      </w:r>
      <w:r w:rsidR="0021382E" w:rsidRPr="002060D4">
        <w:rPr>
          <w:rFonts w:ascii="Arial" w:hAnsi="Arial" w:cs="Arial"/>
          <w:lang w:val="es-ES"/>
        </w:rPr>
        <w:t xml:space="preserve">  </w:t>
      </w:r>
      <w:r w:rsidR="00BA00A2" w:rsidRPr="002060D4">
        <w:rPr>
          <w:rFonts w:ascii="Arial" w:hAnsi="Arial" w:cs="Arial"/>
          <w:lang w:val="es-ES"/>
        </w:rPr>
        <w:t xml:space="preserve"> </w:t>
      </w:r>
    </w:p>
    <w:p w:rsidR="00065FA4" w:rsidRPr="00AA02D3" w:rsidRDefault="00065FA4" w:rsidP="00065FA4">
      <w:pPr>
        <w:pStyle w:val="ListParagraph"/>
        <w:spacing w:before="120" w:after="0"/>
        <w:contextualSpacing w:val="0"/>
        <w:jc w:val="both"/>
        <w:rPr>
          <w:rFonts w:ascii="Arial" w:hAnsi="Arial" w:cs="Arial"/>
          <w:lang w:val="es-ES"/>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B4148" w:rsidRDefault="009B4148" w:rsidP="00A93913">
      <w:pPr>
        <w:pStyle w:val="ListParagraph"/>
        <w:spacing w:before="120" w:after="0"/>
        <w:contextualSpacing w:val="0"/>
        <w:jc w:val="center"/>
        <w:rPr>
          <w:rFonts w:ascii="Arial" w:eastAsia="MS Mincho" w:hAnsi="Arial" w:cs="Arial"/>
          <w:b/>
          <w:bCs/>
          <w:lang w:val="es-ES" w:eastAsia="ja-JP"/>
        </w:rPr>
      </w:pPr>
    </w:p>
    <w:p w:rsidR="009F0873" w:rsidRPr="00AA02D3" w:rsidRDefault="009F0873" w:rsidP="00A93913">
      <w:pPr>
        <w:pStyle w:val="ListParagraph"/>
        <w:spacing w:before="120" w:after="0"/>
        <w:contextualSpacing w:val="0"/>
        <w:jc w:val="center"/>
        <w:rPr>
          <w:rFonts w:ascii="Arial" w:eastAsia="MS Mincho" w:hAnsi="Arial" w:cs="Arial"/>
          <w:b/>
          <w:bCs/>
          <w:lang w:val="es-ES" w:eastAsia="ja-JP"/>
        </w:rPr>
      </w:pPr>
      <w:r w:rsidRPr="00AA02D3">
        <w:rPr>
          <w:rFonts w:ascii="Arial" w:eastAsia="MS Mincho" w:hAnsi="Arial" w:cs="Arial"/>
          <w:b/>
          <w:bCs/>
          <w:lang w:val="es-ES" w:eastAsia="ja-JP"/>
        </w:rPr>
        <w:lastRenderedPageBreak/>
        <w:t xml:space="preserve">Figura 1: </w:t>
      </w:r>
      <w:r w:rsidR="005C4158" w:rsidRPr="00AA02D3">
        <w:rPr>
          <w:rFonts w:ascii="Arial" w:eastAsia="MS Mincho" w:hAnsi="Arial" w:cs="Arial"/>
          <w:b/>
          <w:bCs/>
          <w:lang w:val="es-ES" w:eastAsia="ja-JP"/>
        </w:rPr>
        <w:t xml:space="preserve">La participación de </w:t>
      </w:r>
      <w:r w:rsidR="00F66793">
        <w:rPr>
          <w:rFonts w:ascii="Arial" w:eastAsia="MS Mincho" w:hAnsi="Arial" w:cs="Arial"/>
          <w:b/>
          <w:bCs/>
          <w:lang w:val="es-ES" w:eastAsia="ja-JP"/>
        </w:rPr>
        <w:t>Nicaragua</w:t>
      </w:r>
      <w:r w:rsidR="005C4158" w:rsidRPr="00AA02D3">
        <w:rPr>
          <w:rFonts w:ascii="Arial" w:eastAsia="MS Mincho" w:hAnsi="Arial" w:cs="Arial"/>
          <w:b/>
          <w:bCs/>
          <w:lang w:val="es-ES" w:eastAsia="ja-JP"/>
        </w:rPr>
        <w:t xml:space="preserve"> en el MER</w:t>
      </w:r>
    </w:p>
    <w:p w:rsidR="00C020D3" w:rsidRPr="00AA02D3" w:rsidRDefault="00F66793" w:rsidP="00C020D3">
      <w:pPr>
        <w:pStyle w:val="ListParagraph"/>
        <w:spacing w:before="120" w:after="0"/>
        <w:contextualSpacing w:val="0"/>
        <w:jc w:val="both"/>
        <w:rPr>
          <w:rFonts w:ascii="Arial" w:eastAsia="MS Mincho" w:hAnsi="Arial" w:cs="Arial"/>
          <w:b/>
          <w:bCs/>
          <w:lang w:val="es-ES" w:eastAsia="ja-JP"/>
        </w:rPr>
      </w:pPr>
      <w:r>
        <w:rPr>
          <w:noProof/>
        </w:rPr>
        <w:drawing>
          <wp:inline distT="0" distB="0" distL="0" distR="0" wp14:anchorId="462EE605" wp14:editId="103B21D0">
            <wp:extent cx="5153890" cy="2802577"/>
            <wp:effectExtent l="0" t="0" r="27940" b="1714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F0873" w:rsidRDefault="004A6C2E" w:rsidP="00A93913">
      <w:pPr>
        <w:pStyle w:val="ListParagraph"/>
        <w:spacing w:before="120" w:after="0"/>
        <w:contextualSpacing w:val="0"/>
        <w:jc w:val="center"/>
        <w:rPr>
          <w:rFonts w:ascii="Arial" w:eastAsia="MS Mincho" w:hAnsi="Arial" w:cs="Arial"/>
          <w:bCs/>
          <w:sz w:val="20"/>
          <w:szCs w:val="20"/>
          <w:lang w:val="es-ES" w:eastAsia="ja-JP"/>
        </w:rPr>
      </w:pPr>
      <w:r w:rsidRPr="00AA02D3">
        <w:rPr>
          <w:rFonts w:ascii="Arial" w:eastAsia="MS Mincho" w:hAnsi="Arial" w:cs="Arial"/>
          <w:bCs/>
          <w:sz w:val="20"/>
          <w:szCs w:val="20"/>
          <w:lang w:val="es-ES" w:eastAsia="ja-JP"/>
        </w:rPr>
        <w:t>Fuente: Datos de Comisión Regional de Interconexión Eléctrica</w:t>
      </w:r>
    </w:p>
    <w:p w:rsidR="00CA7B92" w:rsidRDefault="00CA7B92" w:rsidP="00A93913">
      <w:pPr>
        <w:pStyle w:val="ListParagraph"/>
        <w:spacing w:before="120" w:after="0"/>
        <w:contextualSpacing w:val="0"/>
        <w:jc w:val="center"/>
        <w:rPr>
          <w:rFonts w:ascii="Arial" w:eastAsia="MS Mincho" w:hAnsi="Arial" w:cs="Arial"/>
          <w:bCs/>
          <w:sz w:val="20"/>
          <w:szCs w:val="20"/>
          <w:lang w:val="es-ES" w:eastAsia="ja-JP"/>
        </w:rPr>
      </w:pPr>
    </w:p>
    <w:p w:rsidR="00CA7B92" w:rsidRPr="00CA7B92" w:rsidRDefault="00EE3185" w:rsidP="00CA7B92">
      <w:pPr>
        <w:pStyle w:val="ListParagraph"/>
        <w:spacing w:before="120" w:after="0"/>
        <w:contextualSpacing w:val="0"/>
        <w:jc w:val="center"/>
        <w:rPr>
          <w:rFonts w:ascii="Arial" w:eastAsia="MS Mincho" w:hAnsi="Arial" w:cs="Arial"/>
          <w:b/>
          <w:bCs/>
          <w:lang w:val="es-ES" w:eastAsia="ja-JP"/>
        </w:rPr>
      </w:pPr>
      <w:r>
        <w:rPr>
          <w:noProof/>
        </w:rPr>
        <w:drawing>
          <wp:anchor distT="0" distB="0" distL="114300" distR="114300" simplePos="0" relativeHeight="251658240" behindDoc="0" locked="0" layoutInCell="1" allowOverlap="1" wp14:anchorId="785643C2" wp14:editId="20726423">
            <wp:simplePos x="0" y="0"/>
            <wp:positionH relativeFrom="column">
              <wp:posOffset>189230</wp:posOffset>
            </wp:positionH>
            <wp:positionV relativeFrom="paragraph">
              <wp:posOffset>631190</wp:posOffset>
            </wp:positionV>
            <wp:extent cx="5554980" cy="3114040"/>
            <wp:effectExtent l="0" t="0" r="26670" b="10160"/>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CA7B92" w:rsidRPr="00AA02D3">
        <w:rPr>
          <w:rFonts w:ascii="Arial" w:eastAsia="MS Mincho" w:hAnsi="Arial" w:cs="Arial"/>
          <w:b/>
          <w:bCs/>
          <w:lang w:val="es-ES" w:eastAsia="ja-JP"/>
        </w:rPr>
        <w:t xml:space="preserve">Figura </w:t>
      </w:r>
      <w:r w:rsidR="00CA7B92">
        <w:rPr>
          <w:rFonts w:ascii="Arial" w:eastAsia="MS Mincho" w:hAnsi="Arial" w:cs="Arial"/>
          <w:b/>
          <w:bCs/>
          <w:lang w:val="es-ES" w:eastAsia="ja-JP"/>
        </w:rPr>
        <w:t>2</w:t>
      </w:r>
      <w:r w:rsidR="00CA7B92" w:rsidRPr="00AA02D3">
        <w:rPr>
          <w:rFonts w:ascii="Arial" w:eastAsia="MS Mincho" w:hAnsi="Arial" w:cs="Arial"/>
          <w:b/>
          <w:bCs/>
          <w:lang w:val="es-ES" w:eastAsia="ja-JP"/>
        </w:rPr>
        <w:t xml:space="preserve">: </w:t>
      </w:r>
      <w:r w:rsidR="00CA7B92">
        <w:rPr>
          <w:rFonts w:ascii="Arial" w:eastAsia="MS Mincho" w:hAnsi="Arial" w:cs="Arial"/>
          <w:b/>
          <w:bCs/>
          <w:lang w:val="es-ES" w:eastAsia="ja-JP"/>
        </w:rPr>
        <w:t>Utilización del MER por mes 2014 y 2015 (la suma de importaciones y exportaciones al MER)</w:t>
      </w:r>
    </w:p>
    <w:p w:rsidR="00C2736F" w:rsidRDefault="00CA7B92" w:rsidP="00CA7B92">
      <w:pPr>
        <w:pStyle w:val="ListParagraph"/>
        <w:spacing w:before="120" w:after="0"/>
        <w:contextualSpacing w:val="0"/>
        <w:jc w:val="center"/>
        <w:rPr>
          <w:rFonts w:ascii="Arial" w:eastAsia="MS Mincho" w:hAnsi="Arial" w:cs="Arial"/>
          <w:bCs/>
          <w:sz w:val="20"/>
          <w:szCs w:val="20"/>
          <w:lang w:val="es-ES" w:eastAsia="ja-JP"/>
        </w:rPr>
      </w:pPr>
      <w:r w:rsidRPr="00AA02D3">
        <w:rPr>
          <w:rFonts w:ascii="Arial" w:eastAsia="MS Mincho" w:hAnsi="Arial" w:cs="Arial"/>
          <w:bCs/>
          <w:sz w:val="20"/>
          <w:szCs w:val="20"/>
          <w:lang w:val="es-ES" w:eastAsia="ja-JP"/>
        </w:rPr>
        <w:t>Fuente: Datos de Comisión Regional de Interconexión Eléctrica</w:t>
      </w:r>
    </w:p>
    <w:p w:rsidR="001C21AD" w:rsidRPr="00C2736F" w:rsidRDefault="001C21AD" w:rsidP="00C2736F">
      <w:pPr>
        <w:pStyle w:val="ListParagraph"/>
        <w:spacing w:before="120" w:after="0"/>
        <w:contextualSpacing w:val="0"/>
        <w:jc w:val="center"/>
        <w:rPr>
          <w:lang w:val="es-ES"/>
        </w:rPr>
      </w:pPr>
    </w:p>
    <w:p w:rsidR="009B4148" w:rsidRDefault="001E0728" w:rsidP="009B4148">
      <w:pPr>
        <w:pStyle w:val="ListParagraph"/>
        <w:numPr>
          <w:ilvl w:val="1"/>
          <w:numId w:val="2"/>
        </w:numPr>
        <w:spacing w:before="120" w:after="0"/>
        <w:contextualSpacing w:val="0"/>
        <w:jc w:val="both"/>
        <w:rPr>
          <w:rFonts w:ascii="Arial" w:hAnsi="Arial" w:cs="Arial"/>
          <w:lang w:val="es-ES"/>
        </w:rPr>
      </w:pPr>
      <w:r w:rsidRPr="00442F92">
        <w:rPr>
          <w:rFonts w:ascii="Arial" w:hAnsi="Arial" w:cs="Arial"/>
          <w:lang w:val="es-ES"/>
        </w:rPr>
        <w:lastRenderedPageBreak/>
        <w:t xml:space="preserve">En </w:t>
      </w:r>
      <w:r w:rsidR="00450B91" w:rsidRPr="00442F92">
        <w:rPr>
          <w:rFonts w:ascii="Arial" w:hAnsi="Arial" w:cs="Arial"/>
          <w:lang w:val="es-ES"/>
        </w:rPr>
        <w:t xml:space="preserve">las actuales circunstancias, </w:t>
      </w:r>
      <w:r w:rsidR="0005277D">
        <w:rPr>
          <w:rFonts w:ascii="Arial" w:hAnsi="Arial" w:cs="Arial"/>
          <w:lang w:val="es-ES"/>
        </w:rPr>
        <w:t>y específicamente en Nicaragua, el tramo del SIEPAC se ha estado utilizando para los flujos internos de energía eléctrica, reduciendo por lo tanto la capacidad del SIEPAC</w:t>
      </w:r>
      <w:r w:rsidR="0005277D">
        <w:rPr>
          <w:rStyle w:val="FootnoteReference"/>
          <w:rFonts w:ascii="Arial" w:hAnsi="Arial" w:cs="Arial"/>
          <w:lang w:val="es-ES"/>
        </w:rPr>
        <w:footnoteReference w:id="2"/>
      </w:r>
      <w:r w:rsidR="0005277D">
        <w:rPr>
          <w:rFonts w:ascii="Arial" w:hAnsi="Arial" w:cs="Arial"/>
          <w:lang w:val="es-ES"/>
        </w:rPr>
        <w:t xml:space="preserve"> para las transacciones regionales (300 MW). </w:t>
      </w:r>
      <w:r w:rsidR="0005277D" w:rsidRPr="001C21AD">
        <w:rPr>
          <w:rFonts w:ascii="Arial" w:hAnsi="Arial" w:cs="Arial"/>
          <w:lang w:val="es-ES"/>
        </w:rPr>
        <w:t>Esta limitación tiene consecuencias económicas considerables, ya que reduce el volumen de energía</w:t>
      </w:r>
      <w:r w:rsidR="0005277D">
        <w:rPr>
          <w:rFonts w:ascii="Arial" w:hAnsi="Arial" w:cs="Arial"/>
          <w:lang w:val="es-ES"/>
        </w:rPr>
        <w:t xml:space="preserve"> </w:t>
      </w:r>
      <w:r w:rsidR="0005277D" w:rsidRPr="001C21AD">
        <w:rPr>
          <w:rFonts w:ascii="Arial" w:hAnsi="Arial" w:cs="Arial"/>
          <w:lang w:val="es-ES"/>
        </w:rPr>
        <w:t>que es posible transar en el Mercado Eléctrico Regional (MER)</w:t>
      </w:r>
      <w:r w:rsidR="00C2736F">
        <w:rPr>
          <w:rFonts w:ascii="Arial" w:hAnsi="Arial" w:cs="Arial"/>
          <w:lang w:val="es-ES"/>
        </w:rPr>
        <w:t>.</w:t>
      </w:r>
      <w:r w:rsidR="005E36F8">
        <w:rPr>
          <w:rFonts w:ascii="Arial" w:hAnsi="Arial" w:cs="Arial"/>
          <w:lang w:val="es-ES"/>
        </w:rPr>
        <w:t xml:space="preserve"> </w:t>
      </w:r>
      <w:r w:rsidR="00450B91" w:rsidRPr="00442F92">
        <w:rPr>
          <w:rFonts w:ascii="Arial" w:hAnsi="Arial" w:cs="Arial"/>
          <w:lang w:val="es-ES"/>
        </w:rPr>
        <w:t xml:space="preserve">De acuerdo con el Ente Operador Regional, durante el segundo semestre de 2014, la capacidad </w:t>
      </w:r>
      <w:r w:rsidR="0005277D">
        <w:rPr>
          <w:rFonts w:ascii="Arial" w:hAnsi="Arial" w:cs="Arial"/>
          <w:lang w:val="es-ES"/>
        </w:rPr>
        <w:t xml:space="preserve">de transporte </w:t>
      </w:r>
      <w:r w:rsidR="00450B91" w:rsidRPr="00442F92">
        <w:rPr>
          <w:rFonts w:ascii="Arial" w:hAnsi="Arial" w:cs="Arial"/>
          <w:lang w:val="es-ES"/>
        </w:rPr>
        <w:t xml:space="preserve">del SIEPAC </w:t>
      </w:r>
      <w:r w:rsidR="0005277D">
        <w:rPr>
          <w:rFonts w:ascii="Arial" w:hAnsi="Arial" w:cs="Arial"/>
          <w:lang w:val="es-ES"/>
        </w:rPr>
        <w:t xml:space="preserve">entre Honduras y Nicaragua </w:t>
      </w:r>
      <w:r w:rsidR="00ED7D8B" w:rsidRPr="00442F92">
        <w:rPr>
          <w:rFonts w:ascii="Arial" w:hAnsi="Arial" w:cs="Arial"/>
          <w:lang w:val="es-ES"/>
        </w:rPr>
        <w:t xml:space="preserve">para importar </w:t>
      </w:r>
      <w:r w:rsidR="00F2671A" w:rsidRPr="00442F92">
        <w:rPr>
          <w:rFonts w:ascii="Arial" w:hAnsi="Arial" w:cs="Arial"/>
          <w:lang w:val="es-ES"/>
        </w:rPr>
        <w:t xml:space="preserve">o exportar </w:t>
      </w:r>
      <w:r w:rsidR="00ED7D8B" w:rsidRPr="00442F92">
        <w:rPr>
          <w:rFonts w:ascii="Arial" w:hAnsi="Arial" w:cs="Arial"/>
          <w:lang w:val="es-ES"/>
        </w:rPr>
        <w:t xml:space="preserve">energía </w:t>
      </w:r>
      <w:r w:rsidR="00F256AF" w:rsidRPr="00442F92">
        <w:rPr>
          <w:rFonts w:ascii="Arial" w:hAnsi="Arial" w:cs="Arial"/>
          <w:lang w:val="es-ES"/>
        </w:rPr>
        <w:t>fue</w:t>
      </w:r>
      <w:r w:rsidR="00F2671A" w:rsidRPr="00442F92">
        <w:rPr>
          <w:rFonts w:ascii="Arial" w:hAnsi="Arial" w:cs="Arial"/>
          <w:lang w:val="es-ES"/>
        </w:rPr>
        <w:t xml:space="preserve"> 2</w:t>
      </w:r>
      <w:r w:rsidR="00442F92" w:rsidRPr="00442F92">
        <w:rPr>
          <w:rFonts w:ascii="Arial" w:hAnsi="Arial" w:cs="Arial"/>
          <w:lang w:val="es-ES"/>
        </w:rPr>
        <w:t>00</w:t>
      </w:r>
      <w:r w:rsidR="00F2671A" w:rsidRPr="00442F92">
        <w:rPr>
          <w:rFonts w:ascii="Arial" w:hAnsi="Arial" w:cs="Arial"/>
          <w:lang w:val="es-ES"/>
        </w:rPr>
        <w:t xml:space="preserve"> MW y </w:t>
      </w:r>
      <w:r w:rsidR="00442F92" w:rsidRPr="00442F92">
        <w:rPr>
          <w:rFonts w:ascii="Arial" w:hAnsi="Arial" w:cs="Arial"/>
          <w:lang w:val="es-ES"/>
        </w:rPr>
        <w:t>210</w:t>
      </w:r>
      <w:r w:rsidR="00F2671A" w:rsidRPr="00442F92">
        <w:rPr>
          <w:rFonts w:ascii="Arial" w:hAnsi="Arial" w:cs="Arial"/>
          <w:lang w:val="es-ES"/>
        </w:rPr>
        <w:t xml:space="preserve"> MW</w:t>
      </w:r>
      <w:r w:rsidR="0005277D">
        <w:rPr>
          <w:rFonts w:ascii="Arial" w:hAnsi="Arial" w:cs="Arial"/>
          <w:lang w:val="es-ES"/>
        </w:rPr>
        <w:t>, respectivamente</w:t>
      </w:r>
      <w:r w:rsidR="001C21AD">
        <w:rPr>
          <w:rFonts w:ascii="Arial" w:hAnsi="Arial" w:cs="Arial"/>
          <w:lang w:val="es-ES"/>
        </w:rPr>
        <w:t xml:space="preserve">, mientras que </w:t>
      </w:r>
      <w:r w:rsidR="0005277D">
        <w:rPr>
          <w:rFonts w:ascii="Arial" w:hAnsi="Arial" w:cs="Arial"/>
          <w:lang w:val="es-ES"/>
        </w:rPr>
        <w:t xml:space="preserve">la capacidad de transacciones entre Nicaragua y Costa Rica se redujo a </w:t>
      </w:r>
      <w:r w:rsidR="00C2736F">
        <w:rPr>
          <w:rFonts w:ascii="Arial" w:hAnsi="Arial" w:cs="Arial"/>
          <w:lang w:val="es-ES"/>
        </w:rPr>
        <w:t>210</w:t>
      </w:r>
      <w:r w:rsidR="00C2736F" w:rsidRPr="00442F92">
        <w:rPr>
          <w:rFonts w:ascii="Arial" w:hAnsi="Arial" w:cs="Arial"/>
          <w:lang w:val="es-ES"/>
        </w:rPr>
        <w:t xml:space="preserve"> </w:t>
      </w:r>
      <w:r w:rsidR="00442F92" w:rsidRPr="00442F92">
        <w:rPr>
          <w:rFonts w:ascii="Arial" w:hAnsi="Arial" w:cs="Arial"/>
          <w:lang w:val="es-ES"/>
        </w:rPr>
        <w:t>MW</w:t>
      </w:r>
      <w:r w:rsidR="0005277D">
        <w:rPr>
          <w:rFonts w:ascii="Arial" w:hAnsi="Arial" w:cs="Arial"/>
          <w:lang w:val="es-ES"/>
        </w:rPr>
        <w:t xml:space="preserve"> para exportar</w:t>
      </w:r>
      <w:r w:rsidR="00442F92" w:rsidRPr="00442F92">
        <w:rPr>
          <w:rFonts w:ascii="Arial" w:hAnsi="Arial" w:cs="Arial"/>
          <w:lang w:val="es-ES"/>
        </w:rPr>
        <w:t xml:space="preserve"> y </w:t>
      </w:r>
      <w:r w:rsidR="0005277D">
        <w:rPr>
          <w:rFonts w:ascii="Arial" w:hAnsi="Arial" w:cs="Arial"/>
          <w:lang w:val="es-ES"/>
        </w:rPr>
        <w:t xml:space="preserve">a </w:t>
      </w:r>
      <w:r w:rsidR="00C2736F">
        <w:rPr>
          <w:rFonts w:ascii="Arial" w:hAnsi="Arial" w:cs="Arial"/>
          <w:lang w:val="es-ES"/>
        </w:rPr>
        <w:t>150</w:t>
      </w:r>
      <w:r w:rsidR="00C2736F" w:rsidRPr="00442F92">
        <w:rPr>
          <w:rFonts w:ascii="Arial" w:hAnsi="Arial" w:cs="Arial"/>
          <w:lang w:val="es-ES"/>
        </w:rPr>
        <w:t xml:space="preserve"> </w:t>
      </w:r>
      <w:r w:rsidR="00442F92" w:rsidRPr="00442F92">
        <w:rPr>
          <w:rFonts w:ascii="Arial" w:hAnsi="Arial" w:cs="Arial"/>
          <w:lang w:val="es-ES"/>
        </w:rPr>
        <w:t>MW</w:t>
      </w:r>
      <w:r w:rsidR="0005277D">
        <w:rPr>
          <w:rFonts w:ascii="Arial" w:hAnsi="Arial" w:cs="Arial"/>
          <w:lang w:val="es-ES"/>
        </w:rPr>
        <w:t xml:space="preserve"> para importar</w:t>
      </w:r>
      <w:r w:rsidR="001C21AD">
        <w:rPr>
          <w:rFonts w:ascii="Arial" w:hAnsi="Arial" w:cs="Arial"/>
          <w:lang w:val="es-ES"/>
        </w:rPr>
        <w:t>.</w:t>
      </w:r>
    </w:p>
    <w:p w:rsidR="001E0728" w:rsidRPr="009B4148" w:rsidRDefault="001E0728" w:rsidP="009B4148">
      <w:pPr>
        <w:pStyle w:val="ListParagraph"/>
        <w:numPr>
          <w:ilvl w:val="1"/>
          <w:numId w:val="2"/>
        </w:numPr>
        <w:spacing w:before="120" w:after="0"/>
        <w:contextualSpacing w:val="0"/>
        <w:jc w:val="both"/>
        <w:rPr>
          <w:rFonts w:ascii="Arial" w:hAnsi="Arial" w:cs="Arial"/>
          <w:lang w:val="es-ES"/>
        </w:rPr>
      </w:pPr>
      <w:bookmarkStart w:id="0" w:name="_GoBack"/>
      <w:bookmarkEnd w:id="0"/>
      <w:r w:rsidRPr="009B4148">
        <w:rPr>
          <w:rFonts w:ascii="Arial" w:hAnsi="Arial" w:cs="Arial"/>
          <w:lang w:val="es-ES"/>
        </w:rPr>
        <w:t>La operación propuesta</w:t>
      </w:r>
      <w:r w:rsidR="00BF4E77" w:rsidRPr="009B4148">
        <w:rPr>
          <w:rFonts w:ascii="Arial" w:hAnsi="Arial" w:cs="Arial"/>
          <w:lang w:val="es-ES"/>
        </w:rPr>
        <w:t xml:space="preserve"> resuelve este problema </w:t>
      </w:r>
      <w:r w:rsidR="004063F8" w:rsidRPr="009B4148">
        <w:rPr>
          <w:rFonts w:ascii="Arial" w:hAnsi="Arial" w:cs="Arial"/>
          <w:lang w:val="es-ES"/>
        </w:rPr>
        <w:t>puesto que financia</w:t>
      </w:r>
      <w:r w:rsidR="00A8693A" w:rsidRPr="009B4148">
        <w:rPr>
          <w:rFonts w:ascii="Arial" w:hAnsi="Arial" w:cs="Arial"/>
          <w:lang w:val="es-ES"/>
        </w:rPr>
        <w:t xml:space="preserve"> </w:t>
      </w:r>
      <w:r w:rsidR="0005277D" w:rsidRPr="009B4148">
        <w:rPr>
          <w:rFonts w:ascii="Arial" w:hAnsi="Arial" w:cs="Arial"/>
          <w:lang w:val="es-ES"/>
        </w:rPr>
        <w:t xml:space="preserve">(i) </w:t>
      </w:r>
      <w:r w:rsidR="00A8693A" w:rsidRPr="009B4148">
        <w:rPr>
          <w:rFonts w:ascii="Arial" w:hAnsi="Arial" w:cs="Arial"/>
          <w:lang w:val="es-ES"/>
        </w:rPr>
        <w:t>el</w:t>
      </w:r>
      <w:r w:rsidR="00A8693A" w:rsidRPr="009B4148">
        <w:rPr>
          <w:lang w:val="es-ES_tradnl"/>
        </w:rPr>
        <w:t xml:space="preserve"> </w:t>
      </w:r>
      <w:r w:rsidR="00A8693A" w:rsidRPr="009B4148">
        <w:rPr>
          <w:rFonts w:ascii="Arial" w:hAnsi="Arial" w:cs="Arial"/>
          <w:lang w:val="es-ES"/>
        </w:rPr>
        <w:t>aumento de la capacidad de transporte de las líneas de 138</w:t>
      </w:r>
      <w:r w:rsidR="0005277D" w:rsidRPr="009B4148">
        <w:rPr>
          <w:rFonts w:ascii="Arial" w:hAnsi="Arial" w:cs="Arial"/>
          <w:lang w:val="es-ES"/>
        </w:rPr>
        <w:t xml:space="preserve"> </w:t>
      </w:r>
      <w:proofErr w:type="spellStart"/>
      <w:r w:rsidR="00A8693A" w:rsidRPr="009B4148">
        <w:rPr>
          <w:rFonts w:ascii="Arial" w:hAnsi="Arial" w:cs="Arial"/>
          <w:lang w:val="es-ES"/>
        </w:rPr>
        <w:t>kV</w:t>
      </w:r>
      <w:proofErr w:type="spellEnd"/>
      <w:r w:rsidR="00A8693A" w:rsidRPr="009B4148">
        <w:rPr>
          <w:rFonts w:ascii="Arial" w:hAnsi="Arial" w:cs="Arial"/>
          <w:lang w:val="es-ES"/>
        </w:rPr>
        <w:t xml:space="preserve"> existente entre las subestaciones Los </w:t>
      </w:r>
      <w:proofErr w:type="spellStart"/>
      <w:r w:rsidR="00A8693A" w:rsidRPr="009B4148">
        <w:rPr>
          <w:rFonts w:ascii="Arial" w:hAnsi="Arial" w:cs="Arial"/>
          <w:lang w:val="es-ES"/>
        </w:rPr>
        <w:t>Brasiles</w:t>
      </w:r>
      <w:proofErr w:type="spellEnd"/>
      <w:r w:rsidR="00A8693A" w:rsidRPr="009B4148">
        <w:rPr>
          <w:rFonts w:ascii="Arial" w:hAnsi="Arial" w:cs="Arial"/>
          <w:lang w:val="es-ES"/>
        </w:rPr>
        <w:t xml:space="preserve"> – </w:t>
      </w:r>
      <w:proofErr w:type="spellStart"/>
      <w:r w:rsidR="00A8693A" w:rsidRPr="009B4148">
        <w:rPr>
          <w:rFonts w:ascii="Arial" w:hAnsi="Arial" w:cs="Arial"/>
          <w:lang w:val="es-ES"/>
        </w:rPr>
        <w:t>Acahualinca</w:t>
      </w:r>
      <w:proofErr w:type="spellEnd"/>
      <w:r w:rsidR="00A8693A" w:rsidRPr="009B4148">
        <w:rPr>
          <w:rFonts w:ascii="Arial" w:hAnsi="Arial" w:cs="Arial"/>
          <w:lang w:val="es-ES"/>
        </w:rPr>
        <w:t xml:space="preserve"> y </w:t>
      </w:r>
      <w:proofErr w:type="spellStart"/>
      <w:r w:rsidR="00A8693A" w:rsidRPr="009B4148">
        <w:rPr>
          <w:rFonts w:ascii="Arial" w:hAnsi="Arial" w:cs="Arial"/>
          <w:lang w:val="es-ES"/>
        </w:rPr>
        <w:t>Acahualinca</w:t>
      </w:r>
      <w:proofErr w:type="spellEnd"/>
      <w:r w:rsidR="00A8693A" w:rsidRPr="009B4148">
        <w:rPr>
          <w:rFonts w:ascii="Arial" w:hAnsi="Arial" w:cs="Arial"/>
          <w:lang w:val="es-ES"/>
        </w:rPr>
        <w:t xml:space="preserve"> –Managua; </w:t>
      </w:r>
      <w:r w:rsidR="0005277D" w:rsidRPr="009B4148">
        <w:rPr>
          <w:rFonts w:ascii="Arial" w:hAnsi="Arial" w:cs="Arial"/>
          <w:lang w:val="es-ES"/>
        </w:rPr>
        <w:t xml:space="preserve">(ii) </w:t>
      </w:r>
      <w:r w:rsidR="00A8693A" w:rsidRPr="009B4148">
        <w:rPr>
          <w:rFonts w:ascii="Arial" w:hAnsi="Arial" w:cs="Arial"/>
          <w:lang w:val="es-ES"/>
        </w:rPr>
        <w:t xml:space="preserve">la creación de los refuerzos en el anillo de Managua para el transporte de 300MW por el SIN; y </w:t>
      </w:r>
      <w:r w:rsidR="0005277D" w:rsidRPr="009B4148">
        <w:rPr>
          <w:rFonts w:ascii="Arial" w:hAnsi="Arial" w:cs="Arial"/>
          <w:lang w:val="es-ES"/>
        </w:rPr>
        <w:t xml:space="preserve">(iii) </w:t>
      </w:r>
      <w:r w:rsidR="00A8693A" w:rsidRPr="009B4148">
        <w:rPr>
          <w:rFonts w:ascii="Arial" w:hAnsi="Arial" w:cs="Arial"/>
          <w:lang w:val="es-ES"/>
        </w:rPr>
        <w:t xml:space="preserve">la contribución a la estabilidad del sistema regional, SIEPAC, creando los refuerzos necesarios en el SIN. </w:t>
      </w:r>
      <w:r w:rsidR="00ED7D8B" w:rsidRPr="009B4148">
        <w:rPr>
          <w:rFonts w:ascii="Arial" w:hAnsi="Arial" w:cs="Arial"/>
          <w:lang w:val="es-ES"/>
        </w:rPr>
        <w:t xml:space="preserve"> </w:t>
      </w:r>
      <w:r w:rsidR="0005277D" w:rsidRPr="009B4148">
        <w:rPr>
          <w:rFonts w:ascii="Arial" w:hAnsi="Arial" w:cs="Arial"/>
          <w:lang w:val="es-ES"/>
        </w:rPr>
        <w:t xml:space="preserve">Dichos refuerzos </w:t>
      </w:r>
      <w:r w:rsidR="00AC6E2E" w:rsidRPr="009B4148">
        <w:rPr>
          <w:rFonts w:ascii="Arial" w:hAnsi="Arial" w:cs="Arial"/>
          <w:lang w:val="es-ES"/>
        </w:rPr>
        <w:t xml:space="preserve">al </w:t>
      </w:r>
      <w:r w:rsidR="00A8693A" w:rsidRPr="009B4148">
        <w:rPr>
          <w:rFonts w:ascii="Arial" w:hAnsi="Arial" w:cs="Arial"/>
          <w:lang w:val="es-ES"/>
        </w:rPr>
        <w:t>SIN</w:t>
      </w:r>
      <w:r w:rsidR="00EE3185" w:rsidRPr="009B4148">
        <w:rPr>
          <w:rFonts w:ascii="Arial" w:hAnsi="Arial" w:cs="Arial"/>
          <w:lang w:val="es-ES"/>
        </w:rPr>
        <w:t>, sumados a otras obras de infraestructura eléctrica a ser financiadas por el BCEI y el BEI,</w:t>
      </w:r>
      <w:r w:rsidRPr="009B4148">
        <w:rPr>
          <w:rFonts w:ascii="Arial" w:hAnsi="Arial" w:cs="Arial"/>
          <w:lang w:val="es-ES"/>
        </w:rPr>
        <w:t xml:space="preserve"> </w:t>
      </w:r>
      <w:r w:rsidR="0005277D" w:rsidRPr="009B4148">
        <w:rPr>
          <w:rFonts w:ascii="Arial" w:hAnsi="Arial" w:cs="Arial"/>
          <w:lang w:val="es-ES"/>
        </w:rPr>
        <w:t xml:space="preserve">permitirán alcanzar el nivel </w:t>
      </w:r>
      <w:r w:rsidR="00A8693A" w:rsidRPr="009B4148">
        <w:rPr>
          <w:rFonts w:ascii="Arial" w:hAnsi="Arial" w:cs="Arial"/>
          <w:lang w:val="es-ES"/>
        </w:rPr>
        <w:t xml:space="preserve">transferencias de 300MW </w:t>
      </w:r>
      <w:r w:rsidR="00EE3185" w:rsidRPr="009B4148">
        <w:rPr>
          <w:rFonts w:ascii="Arial" w:hAnsi="Arial" w:cs="Arial"/>
          <w:lang w:val="es-ES"/>
        </w:rPr>
        <w:t>del</w:t>
      </w:r>
      <w:r w:rsidR="00A8693A" w:rsidRPr="009B4148">
        <w:rPr>
          <w:rFonts w:ascii="Arial" w:hAnsi="Arial" w:cs="Arial"/>
          <w:lang w:val="es-ES"/>
        </w:rPr>
        <w:t xml:space="preserve"> </w:t>
      </w:r>
      <w:r w:rsidR="00894C10" w:rsidRPr="009B4148">
        <w:rPr>
          <w:rFonts w:ascii="Arial" w:hAnsi="Arial" w:cs="Arial"/>
          <w:lang w:val="es-ES"/>
        </w:rPr>
        <w:t xml:space="preserve">SIEPAC en el territorio de Nicaragua, dando cumplimiento al reglamento operativo </w:t>
      </w:r>
      <w:r w:rsidR="00A8693A" w:rsidRPr="009B4148">
        <w:rPr>
          <w:rFonts w:ascii="Arial" w:hAnsi="Arial" w:cs="Arial"/>
          <w:lang w:val="es-ES"/>
        </w:rPr>
        <w:t>del MER.</w:t>
      </w:r>
    </w:p>
    <w:p w:rsidR="003D645B" w:rsidRPr="00AA02D3" w:rsidRDefault="001E0728" w:rsidP="001E0728">
      <w:pPr>
        <w:pStyle w:val="ListParagraph"/>
        <w:spacing w:before="120" w:after="0"/>
        <w:contextualSpacing w:val="0"/>
        <w:jc w:val="both"/>
        <w:rPr>
          <w:rFonts w:ascii="Arial" w:eastAsia="MS Mincho" w:hAnsi="Arial" w:cs="Arial"/>
          <w:bCs/>
          <w:lang w:val="es-ES" w:eastAsia="ja-JP"/>
        </w:rPr>
      </w:pPr>
      <w:r w:rsidRPr="00AA02D3">
        <w:rPr>
          <w:rFonts w:ascii="Arial" w:eastAsia="MS Mincho" w:hAnsi="Arial" w:cs="Arial"/>
          <w:bCs/>
          <w:lang w:val="es-ES" w:eastAsia="ja-JP"/>
        </w:rPr>
        <w:t xml:space="preserve"> </w:t>
      </w:r>
    </w:p>
    <w:p w:rsidR="00A624B9" w:rsidRPr="00AA02D3" w:rsidRDefault="001E311F" w:rsidP="00C020D3">
      <w:pPr>
        <w:keepNext/>
        <w:keepLines/>
        <w:numPr>
          <w:ilvl w:val="0"/>
          <w:numId w:val="2"/>
        </w:numPr>
        <w:spacing w:after="0"/>
        <w:ind w:left="360" w:hanging="270"/>
        <w:outlineLvl w:val="1"/>
        <w:rPr>
          <w:rFonts w:ascii="Arial" w:eastAsia="MS Gothic" w:hAnsi="Arial" w:cs="Arial"/>
          <w:b/>
          <w:bCs/>
          <w:lang w:val="es-ES"/>
        </w:rPr>
      </w:pPr>
      <w:r w:rsidRPr="00AA02D3">
        <w:rPr>
          <w:rFonts w:ascii="Arial" w:eastAsia="MS Gothic" w:hAnsi="Arial" w:cs="Arial"/>
          <w:b/>
          <w:bCs/>
          <w:lang w:val="es-ES"/>
        </w:rPr>
        <w:t>Validación de Criterios en el Marco de la Estrategia de Integración</w:t>
      </w:r>
    </w:p>
    <w:p w:rsidR="00AA152F" w:rsidRPr="00AA02D3" w:rsidRDefault="00A71250" w:rsidP="00C020D3">
      <w:pPr>
        <w:pStyle w:val="ListParagraph"/>
        <w:numPr>
          <w:ilvl w:val="1"/>
          <w:numId w:val="2"/>
        </w:numPr>
        <w:spacing w:before="120" w:after="0"/>
        <w:contextualSpacing w:val="0"/>
        <w:jc w:val="both"/>
        <w:rPr>
          <w:rFonts w:ascii="Arial" w:hAnsi="Arial" w:cs="Arial"/>
          <w:lang w:val="es-ES"/>
        </w:rPr>
      </w:pPr>
      <w:r w:rsidRPr="00AA02D3">
        <w:rPr>
          <w:rFonts w:ascii="Arial" w:hAnsi="Arial" w:cs="Arial"/>
          <w:u w:val="single"/>
          <w:lang w:val="es-ES"/>
        </w:rPr>
        <w:t>Criterios indicativos</w:t>
      </w:r>
      <w:r w:rsidR="00C020D3" w:rsidRPr="00AA02D3">
        <w:rPr>
          <w:rFonts w:ascii="Arial" w:hAnsi="Arial" w:cs="Arial"/>
          <w:lang w:val="es-ES"/>
        </w:rPr>
        <w:t xml:space="preserve">. </w:t>
      </w:r>
      <w:r w:rsidR="00AA152F" w:rsidRPr="00AA02D3">
        <w:rPr>
          <w:rFonts w:ascii="Arial" w:hAnsi="Arial" w:cs="Arial"/>
          <w:lang w:val="es-ES"/>
        </w:rPr>
        <w:t xml:space="preserve">Según la estrategia sectorial del Banco de apoyo a la Competitividad Global y Regional para la Integración (GN-2565-4), las operaciones de integración regional </w:t>
      </w:r>
      <w:r w:rsidR="001E0728">
        <w:rPr>
          <w:rFonts w:ascii="Arial" w:hAnsi="Arial" w:cs="Arial"/>
          <w:lang w:val="es-ES"/>
        </w:rPr>
        <w:t>serán identificadas de acuerdo con</w:t>
      </w:r>
      <w:r w:rsidR="00AA152F" w:rsidRPr="00AA02D3">
        <w:rPr>
          <w:rFonts w:ascii="Arial" w:hAnsi="Arial" w:cs="Arial"/>
          <w:lang w:val="es-ES"/>
        </w:rPr>
        <w:t xml:space="preserve"> cuatro criterios indicativos que no son mutuamente excluyentes entre sí: (i) Focalización multinacional; (ii) Adicionalidad Regional; (iii) Subsidiariedad Nacional; y (iv) Compensación de fallas de coordinación.</w:t>
      </w:r>
    </w:p>
    <w:p w:rsidR="00AA152F" w:rsidRPr="00AA02D3" w:rsidRDefault="00AA152F" w:rsidP="00C020D3">
      <w:pPr>
        <w:pStyle w:val="ListParagraph"/>
        <w:numPr>
          <w:ilvl w:val="1"/>
          <w:numId w:val="2"/>
        </w:numPr>
        <w:spacing w:before="120" w:after="0"/>
        <w:contextualSpacing w:val="0"/>
        <w:jc w:val="both"/>
        <w:rPr>
          <w:rFonts w:ascii="Arial" w:hAnsi="Arial" w:cs="Arial"/>
          <w:lang w:val="es-ES"/>
        </w:rPr>
      </w:pPr>
      <w:r w:rsidRPr="00AA02D3">
        <w:rPr>
          <w:rFonts w:ascii="Arial" w:hAnsi="Arial" w:cs="Arial"/>
          <w:lang w:val="es-ES"/>
        </w:rPr>
        <w:t>Con base en el alcance del Préstamo se identifica que esta operación contribuye a la:</w:t>
      </w:r>
    </w:p>
    <w:p w:rsidR="00AA152F" w:rsidRPr="00AA02D3" w:rsidRDefault="00AA152F" w:rsidP="00C020D3">
      <w:pPr>
        <w:pStyle w:val="ListParagraph"/>
        <w:spacing w:before="120" w:after="0"/>
        <w:jc w:val="both"/>
        <w:rPr>
          <w:rFonts w:ascii="Arial" w:eastAsia="MS Mincho" w:hAnsi="Arial" w:cs="Arial"/>
          <w:bCs/>
          <w:lang w:val="es-ES" w:eastAsia="ja-JP"/>
        </w:rPr>
      </w:pPr>
    </w:p>
    <w:p w:rsidR="00AA152F" w:rsidRPr="00AA02D3" w:rsidRDefault="00A71250" w:rsidP="00C020D3">
      <w:pPr>
        <w:pStyle w:val="ListParagraph"/>
        <w:numPr>
          <w:ilvl w:val="2"/>
          <w:numId w:val="2"/>
        </w:numPr>
        <w:spacing w:before="120" w:after="0"/>
        <w:ind w:hanging="360"/>
        <w:jc w:val="both"/>
        <w:rPr>
          <w:rFonts w:ascii="Arial" w:eastAsia="MS Mincho" w:hAnsi="Arial" w:cs="Arial"/>
          <w:bCs/>
          <w:lang w:val="es-ES" w:eastAsia="ja-JP"/>
        </w:rPr>
      </w:pPr>
      <w:r w:rsidRPr="00AA02D3">
        <w:rPr>
          <w:rFonts w:ascii="Arial" w:eastAsia="MS Mincho" w:hAnsi="Arial" w:cs="Arial"/>
          <w:b/>
          <w:bCs/>
          <w:lang w:val="es-ES" w:eastAsia="ja-JP"/>
        </w:rPr>
        <w:t>Subsidiariedad Nacional</w:t>
      </w:r>
      <w:r w:rsidR="00AA152F" w:rsidRPr="00AA02D3">
        <w:rPr>
          <w:rFonts w:ascii="Arial" w:eastAsia="MS Mincho" w:hAnsi="Arial" w:cs="Arial"/>
          <w:b/>
          <w:bCs/>
          <w:lang w:val="es-ES" w:eastAsia="ja-JP"/>
        </w:rPr>
        <w:t>:</w:t>
      </w:r>
      <w:r w:rsidR="00AA152F" w:rsidRPr="00AA02D3">
        <w:rPr>
          <w:rFonts w:ascii="Arial" w:eastAsia="MS Mincho" w:hAnsi="Arial" w:cs="Arial"/>
          <w:bCs/>
          <w:lang w:val="es-ES" w:eastAsia="ja-JP"/>
        </w:rPr>
        <w:t xml:space="preserve"> El proyecto contribuye </w:t>
      </w:r>
      <w:r w:rsidR="00C10300" w:rsidRPr="00AA02D3">
        <w:rPr>
          <w:rFonts w:ascii="Arial" w:eastAsia="MS Mincho" w:hAnsi="Arial" w:cs="Arial"/>
          <w:bCs/>
          <w:lang w:val="es-ES" w:eastAsia="ja-JP"/>
        </w:rPr>
        <w:t>a las inversiones nacionales con los objetivos transfronterizos de la</w:t>
      </w:r>
      <w:r w:rsidR="00AA152F" w:rsidRPr="00AA02D3">
        <w:rPr>
          <w:rFonts w:ascii="Arial" w:eastAsia="MS Mincho" w:hAnsi="Arial" w:cs="Arial"/>
          <w:bCs/>
          <w:lang w:val="es-ES" w:eastAsia="ja-JP"/>
        </w:rPr>
        <w:t xml:space="preserve"> interconexión internacional (SIEPAC) y de un mercado regional (MER).</w:t>
      </w:r>
      <w:r w:rsidR="00C10300" w:rsidRPr="00AA02D3">
        <w:rPr>
          <w:rFonts w:ascii="Arial" w:hAnsi="Arial" w:cs="Arial"/>
          <w:lang w:val="es-ES"/>
        </w:rPr>
        <w:t xml:space="preserve"> </w:t>
      </w:r>
    </w:p>
    <w:p w:rsidR="00F66F44" w:rsidRPr="00AA02D3" w:rsidRDefault="008270B9" w:rsidP="00C020D3">
      <w:pPr>
        <w:pStyle w:val="ListParagraph"/>
        <w:numPr>
          <w:ilvl w:val="1"/>
          <w:numId w:val="2"/>
        </w:numPr>
        <w:spacing w:before="120" w:after="0"/>
        <w:contextualSpacing w:val="0"/>
        <w:jc w:val="both"/>
        <w:rPr>
          <w:rFonts w:ascii="Arial" w:hAnsi="Arial" w:cs="Arial"/>
          <w:lang w:val="es-ES"/>
        </w:rPr>
      </w:pPr>
      <w:r w:rsidRPr="00AA02D3">
        <w:rPr>
          <w:rFonts w:ascii="Arial" w:hAnsi="Arial" w:cs="Arial"/>
          <w:u w:val="single"/>
          <w:lang w:val="es-ES"/>
        </w:rPr>
        <w:t>Ámbito de actividad</w:t>
      </w:r>
      <w:r w:rsidRPr="00AA02D3">
        <w:rPr>
          <w:rFonts w:ascii="Arial" w:hAnsi="Arial" w:cs="Arial"/>
          <w:lang w:val="es-ES"/>
        </w:rPr>
        <w:t xml:space="preserve">. </w:t>
      </w:r>
      <w:r w:rsidR="00764783" w:rsidRPr="00AA02D3">
        <w:rPr>
          <w:rFonts w:ascii="Arial" w:hAnsi="Arial" w:cs="Arial"/>
          <w:lang w:val="es-ES"/>
        </w:rPr>
        <w:t>L</w:t>
      </w:r>
      <w:r w:rsidR="006F56E0" w:rsidRPr="00AA02D3">
        <w:rPr>
          <w:rFonts w:ascii="Arial" w:hAnsi="Arial" w:cs="Arial"/>
          <w:lang w:val="es-ES"/>
        </w:rPr>
        <w:t>as actividades que apoyan la integración y cooperación regional globales y regionales se pueden clasificar en tres grandes ámbitos principales:</w:t>
      </w:r>
      <w:r w:rsidR="000B1586" w:rsidRPr="00AA02D3">
        <w:rPr>
          <w:rFonts w:ascii="Arial" w:hAnsi="Arial" w:cs="Arial"/>
          <w:lang w:val="es-ES"/>
        </w:rPr>
        <w:t xml:space="preserve"> (</w:t>
      </w:r>
      <w:r w:rsidR="006F56E0" w:rsidRPr="00AA02D3">
        <w:rPr>
          <w:rFonts w:ascii="Arial" w:hAnsi="Arial" w:cs="Arial"/>
          <w:lang w:val="es-ES"/>
        </w:rPr>
        <w:t xml:space="preserve">i) Infraestructura; </w:t>
      </w:r>
      <w:r w:rsidR="000B1586" w:rsidRPr="00AA02D3">
        <w:rPr>
          <w:rFonts w:ascii="Arial" w:hAnsi="Arial" w:cs="Arial"/>
          <w:lang w:val="es-ES"/>
        </w:rPr>
        <w:t>(</w:t>
      </w:r>
      <w:r w:rsidR="006F56E0" w:rsidRPr="00AA02D3">
        <w:rPr>
          <w:rFonts w:ascii="Arial" w:hAnsi="Arial" w:cs="Arial"/>
          <w:lang w:val="es-ES"/>
        </w:rPr>
        <w:t xml:space="preserve">ii) Fortalecimiento institucional y desarrollo de la capacidad y; </w:t>
      </w:r>
      <w:r w:rsidR="000B1586" w:rsidRPr="00AA02D3">
        <w:rPr>
          <w:rFonts w:ascii="Arial" w:hAnsi="Arial" w:cs="Arial"/>
          <w:lang w:val="es-ES"/>
        </w:rPr>
        <w:t>(</w:t>
      </w:r>
      <w:r w:rsidR="006F56E0" w:rsidRPr="00AA02D3">
        <w:rPr>
          <w:rFonts w:ascii="Arial" w:hAnsi="Arial" w:cs="Arial"/>
          <w:lang w:val="es-ES"/>
        </w:rPr>
        <w:t>iii) Cooperación funcional y bienes públicos regionales.  De acuerdo a los componentes descritos en la propuesta de préstamo, la</w:t>
      </w:r>
      <w:r w:rsidRPr="00AA02D3">
        <w:rPr>
          <w:rFonts w:ascii="Arial" w:hAnsi="Arial" w:cs="Arial"/>
          <w:lang w:val="es-ES"/>
        </w:rPr>
        <w:t>s actividades de la</w:t>
      </w:r>
      <w:r w:rsidR="006F56E0" w:rsidRPr="00AA02D3">
        <w:rPr>
          <w:rFonts w:ascii="Arial" w:hAnsi="Arial" w:cs="Arial"/>
          <w:lang w:val="es-ES"/>
        </w:rPr>
        <w:t xml:space="preserve"> operación se clasifica</w:t>
      </w:r>
      <w:r w:rsidRPr="00AA02D3">
        <w:rPr>
          <w:rFonts w:ascii="Arial" w:hAnsi="Arial" w:cs="Arial"/>
          <w:lang w:val="es-ES"/>
        </w:rPr>
        <w:t>n</w:t>
      </w:r>
      <w:r w:rsidR="006F56E0" w:rsidRPr="00AA02D3">
        <w:rPr>
          <w:rFonts w:ascii="Arial" w:hAnsi="Arial" w:cs="Arial"/>
          <w:lang w:val="es-ES"/>
        </w:rPr>
        <w:t xml:space="preserve"> dentro del ámbito de </w:t>
      </w:r>
      <w:r w:rsidR="00F801C5" w:rsidRPr="00AA02D3">
        <w:rPr>
          <w:rFonts w:ascii="Arial" w:hAnsi="Arial" w:cs="Arial"/>
          <w:lang w:val="es-ES"/>
        </w:rPr>
        <w:t>Infraestructura.</w:t>
      </w:r>
    </w:p>
    <w:p w:rsidR="00F71D36" w:rsidRPr="00A97198" w:rsidRDefault="003014B4" w:rsidP="00A97198">
      <w:pPr>
        <w:pStyle w:val="ListParagraph"/>
        <w:numPr>
          <w:ilvl w:val="1"/>
          <w:numId w:val="2"/>
        </w:numPr>
        <w:spacing w:before="120" w:after="0"/>
        <w:contextualSpacing w:val="0"/>
        <w:jc w:val="both"/>
        <w:rPr>
          <w:rFonts w:ascii="Arial" w:hAnsi="Arial" w:cs="Arial"/>
          <w:lang w:val="es-ES"/>
        </w:rPr>
      </w:pPr>
      <w:bookmarkStart w:id="1" w:name="_Ref396904395"/>
      <w:r w:rsidRPr="00AA02D3">
        <w:rPr>
          <w:rFonts w:ascii="Arial" w:hAnsi="Arial" w:cs="Arial"/>
          <w:u w:val="single"/>
          <w:lang w:val="es-ES"/>
        </w:rPr>
        <w:t>Clasificación para elegibilidad</w:t>
      </w:r>
      <w:r w:rsidRPr="00AA02D3">
        <w:rPr>
          <w:rFonts w:ascii="Arial" w:hAnsi="Arial" w:cs="Arial"/>
          <w:lang w:val="es-ES"/>
        </w:rPr>
        <w:t>. L</w:t>
      </w:r>
      <w:r w:rsidR="00F71D36" w:rsidRPr="00AA02D3">
        <w:rPr>
          <w:rFonts w:ascii="Arial" w:hAnsi="Arial" w:cs="Arial"/>
          <w:lang w:val="es-ES"/>
        </w:rPr>
        <w:t xml:space="preserve">os lineamientos para la clasificación (GN-2650 y GN-2733) definen aquellos subsectores de operaciones del Banco que contribuyen a la </w:t>
      </w:r>
      <w:r w:rsidR="00F71D36" w:rsidRPr="00AA02D3">
        <w:rPr>
          <w:rFonts w:ascii="Arial" w:hAnsi="Arial" w:cs="Arial"/>
          <w:lang w:val="es-ES"/>
        </w:rPr>
        <w:lastRenderedPageBreak/>
        <w:t xml:space="preserve">meta de financiamiento. Dichos lineamientos diferencian entre aquellos subsectores cuya clasificación </w:t>
      </w:r>
      <w:r w:rsidR="008270B9" w:rsidRPr="00AA02D3">
        <w:rPr>
          <w:rFonts w:ascii="Arial" w:hAnsi="Arial" w:cs="Arial"/>
          <w:lang w:val="es-ES"/>
        </w:rPr>
        <w:t xml:space="preserve">a elegibilidad </w:t>
      </w:r>
      <w:r w:rsidR="00F71D36" w:rsidRPr="00AA02D3">
        <w:rPr>
          <w:rFonts w:ascii="Arial" w:hAnsi="Arial" w:cs="Arial"/>
          <w:lang w:val="es-ES"/>
        </w:rPr>
        <w:t>es automática</w:t>
      </w:r>
      <w:r w:rsidR="008270B9" w:rsidRPr="00AA02D3">
        <w:rPr>
          <w:rFonts w:ascii="Arial" w:hAnsi="Arial" w:cs="Arial"/>
          <w:lang w:val="es-ES"/>
        </w:rPr>
        <w:t xml:space="preserve"> (A)</w:t>
      </w:r>
      <w:r w:rsidR="00F71D36" w:rsidRPr="00AA02D3">
        <w:rPr>
          <w:rFonts w:ascii="Arial" w:hAnsi="Arial" w:cs="Arial"/>
          <w:lang w:val="es-ES"/>
        </w:rPr>
        <w:t xml:space="preserve"> y aquellos</w:t>
      </w:r>
      <w:r w:rsidR="008270B9" w:rsidRPr="00AA02D3">
        <w:rPr>
          <w:rFonts w:ascii="Arial" w:hAnsi="Arial" w:cs="Arial"/>
          <w:lang w:val="es-ES"/>
        </w:rPr>
        <w:t xml:space="preserve"> cuya clasificación es condicional (C), los cuales</w:t>
      </w:r>
      <w:r w:rsidR="00F71D36" w:rsidRPr="00AA02D3">
        <w:rPr>
          <w:rFonts w:ascii="Arial" w:hAnsi="Arial" w:cs="Arial"/>
          <w:lang w:val="es-ES"/>
        </w:rPr>
        <w:t xml:space="preserve"> requieren de una justificación más detallada para demostrar su contribución a la </w:t>
      </w:r>
      <w:r w:rsidR="00F71D36" w:rsidRPr="00A97198">
        <w:rPr>
          <w:rFonts w:ascii="Arial" w:hAnsi="Arial" w:cs="Arial"/>
          <w:lang w:val="es-ES"/>
        </w:rPr>
        <w:t>integración regional.</w:t>
      </w:r>
      <w:bookmarkEnd w:id="1"/>
      <w:r w:rsidR="00F71D36" w:rsidRPr="00A97198">
        <w:rPr>
          <w:rFonts w:ascii="Arial" w:hAnsi="Arial" w:cs="Arial"/>
          <w:lang w:val="es-ES"/>
        </w:rPr>
        <w:t xml:space="preserve"> De manera consistente con l</w:t>
      </w:r>
      <w:r w:rsidR="008270B9" w:rsidRPr="00A97198">
        <w:rPr>
          <w:rFonts w:ascii="Arial" w:hAnsi="Arial" w:cs="Arial"/>
          <w:lang w:val="es-ES"/>
        </w:rPr>
        <w:t>o expuesto en el presente anexo</w:t>
      </w:r>
      <w:r w:rsidR="00F71D36" w:rsidRPr="00A97198">
        <w:rPr>
          <w:rFonts w:ascii="Arial" w:hAnsi="Arial" w:cs="Arial"/>
          <w:lang w:val="es-ES"/>
        </w:rPr>
        <w:t xml:space="preserve"> y dados los argumentos desarrollados en las secciones anteriores, esta operación pertenec</w:t>
      </w:r>
      <w:r w:rsidR="0070612E" w:rsidRPr="00A97198">
        <w:rPr>
          <w:rFonts w:ascii="Arial" w:hAnsi="Arial" w:cs="Arial"/>
          <w:lang w:val="es-ES"/>
        </w:rPr>
        <w:t>e</w:t>
      </w:r>
      <w:r w:rsidR="00F71D36" w:rsidRPr="00A97198">
        <w:rPr>
          <w:rFonts w:ascii="Arial" w:hAnsi="Arial" w:cs="Arial"/>
          <w:lang w:val="es-ES"/>
        </w:rPr>
        <w:t xml:space="preserve"> </w:t>
      </w:r>
      <w:r w:rsidR="00F67C3F" w:rsidRPr="00A97198">
        <w:rPr>
          <w:rFonts w:ascii="Arial" w:hAnsi="Arial" w:cs="Arial"/>
          <w:lang w:val="es-ES"/>
        </w:rPr>
        <w:t>al subsector EN-</w:t>
      </w:r>
      <w:r w:rsidR="00113E5E" w:rsidRPr="00A97198">
        <w:rPr>
          <w:rFonts w:ascii="Arial" w:hAnsi="Arial" w:cs="Arial"/>
          <w:lang w:val="es-ES"/>
        </w:rPr>
        <w:t>REH</w:t>
      </w:r>
      <w:r w:rsidR="00F67C3F" w:rsidRPr="00A97198">
        <w:rPr>
          <w:rFonts w:ascii="Arial" w:hAnsi="Arial" w:cs="Arial"/>
          <w:lang w:val="es-ES"/>
        </w:rPr>
        <w:t xml:space="preserve"> </w:t>
      </w:r>
      <w:r w:rsidR="0070612E" w:rsidRPr="00A97198">
        <w:rPr>
          <w:rFonts w:ascii="Arial" w:hAnsi="Arial" w:cs="Arial"/>
          <w:lang w:val="es-ES"/>
        </w:rPr>
        <w:t xml:space="preserve">y </w:t>
      </w:r>
      <w:r w:rsidR="00F71D36" w:rsidRPr="00A97198">
        <w:rPr>
          <w:rFonts w:ascii="Arial" w:hAnsi="Arial" w:cs="Arial"/>
          <w:lang w:val="es-ES"/>
        </w:rPr>
        <w:t xml:space="preserve">clasifica </w:t>
      </w:r>
      <w:r w:rsidR="00383BE3" w:rsidRPr="00A97198">
        <w:rPr>
          <w:rFonts w:ascii="Arial" w:hAnsi="Arial" w:cs="Arial"/>
          <w:lang w:val="es-ES"/>
        </w:rPr>
        <w:t>a</w:t>
      </w:r>
      <w:r w:rsidR="008270B9" w:rsidRPr="00A97198">
        <w:rPr>
          <w:rFonts w:ascii="Arial" w:hAnsi="Arial" w:cs="Arial"/>
          <w:lang w:val="es-ES"/>
        </w:rPr>
        <w:t xml:space="preserve"> elegibilidad </w:t>
      </w:r>
      <w:r w:rsidR="0070612E" w:rsidRPr="00A97198">
        <w:rPr>
          <w:rFonts w:ascii="Arial" w:hAnsi="Arial" w:cs="Arial"/>
          <w:lang w:val="es-ES"/>
        </w:rPr>
        <w:t xml:space="preserve">de manera </w:t>
      </w:r>
      <w:r w:rsidR="00113E5E" w:rsidRPr="00A97198">
        <w:rPr>
          <w:rFonts w:ascii="Arial" w:hAnsi="Arial" w:cs="Arial"/>
          <w:lang w:val="es-ES"/>
        </w:rPr>
        <w:t>condicional</w:t>
      </w:r>
      <w:r w:rsidR="00F67C3F" w:rsidRPr="00A97198">
        <w:rPr>
          <w:rFonts w:ascii="Arial" w:hAnsi="Arial" w:cs="Arial"/>
          <w:lang w:val="es-ES"/>
        </w:rPr>
        <w:t xml:space="preserve"> </w:t>
      </w:r>
      <w:r w:rsidR="0070612E" w:rsidRPr="00A97198">
        <w:rPr>
          <w:rFonts w:ascii="Arial" w:hAnsi="Arial" w:cs="Arial"/>
          <w:lang w:val="es-ES"/>
        </w:rPr>
        <w:t>por su contribución</w:t>
      </w:r>
      <w:r w:rsidR="00F71D36" w:rsidRPr="00A97198">
        <w:rPr>
          <w:rFonts w:ascii="Arial" w:hAnsi="Arial" w:cs="Arial"/>
          <w:lang w:val="es-ES"/>
        </w:rPr>
        <w:t xml:space="preserve"> </w:t>
      </w:r>
      <w:r w:rsidR="00A97198" w:rsidRPr="00A97198">
        <w:rPr>
          <w:rFonts w:ascii="Arial" w:hAnsi="Arial" w:cs="Arial"/>
          <w:lang w:val="es-ES"/>
        </w:rPr>
        <w:t xml:space="preserve">a los objetivos transfronterizos de la interconexión internacional (SIEPAC) y de un mercado regional (MER). </w:t>
      </w:r>
    </w:p>
    <w:p w:rsidR="00A1501D" w:rsidRPr="00AA02D3" w:rsidRDefault="00A1501D" w:rsidP="00C020D3">
      <w:pPr>
        <w:pStyle w:val="ListParagraph"/>
        <w:spacing w:after="0"/>
        <w:rPr>
          <w:rFonts w:ascii="Arial" w:hAnsi="Arial" w:cs="Arial"/>
          <w:b/>
          <w:lang w:val="es-ES"/>
        </w:rPr>
      </w:pPr>
    </w:p>
    <w:tbl>
      <w:tblPr>
        <w:tblStyle w:val="LightList"/>
        <w:tblpPr w:leftFromText="180" w:rightFromText="180" w:bottomFromText="20" w:vertAnchor="text" w:horzAnchor="margin" w:tblpX="288" w:tblpY="-45"/>
        <w:tblW w:w="5226" w:type="pct"/>
        <w:tblBorders>
          <w:insideH w:val="single" w:sz="8" w:space="0" w:color="000000" w:themeColor="text1"/>
          <w:insideV w:val="single" w:sz="8" w:space="0" w:color="000000" w:themeColor="text1"/>
        </w:tblBorders>
        <w:tblLayout w:type="fixed"/>
        <w:tblLook w:val="04A0" w:firstRow="1" w:lastRow="0" w:firstColumn="1" w:lastColumn="0" w:noHBand="0" w:noVBand="1"/>
      </w:tblPr>
      <w:tblGrid>
        <w:gridCol w:w="1278"/>
        <w:gridCol w:w="1350"/>
        <w:gridCol w:w="3061"/>
        <w:gridCol w:w="1081"/>
        <w:gridCol w:w="3239"/>
      </w:tblGrid>
      <w:tr w:rsidR="008B10AD" w:rsidRPr="00AA02D3" w:rsidTr="00AA02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8" w:type="pct"/>
            <w:shd w:val="clear" w:color="auto" w:fill="D9D9D9" w:themeFill="background1" w:themeFillShade="D9"/>
          </w:tcPr>
          <w:p w:rsidR="00831C8D" w:rsidRPr="00AA02D3" w:rsidRDefault="00831C8D" w:rsidP="00A93913">
            <w:pPr>
              <w:autoSpaceDE w:val="0"/>
              <w:autoSpaceDN w:val="0"/>
              <w:adjustRightInd w:val="0"/>
              <w:spacing w:after="0"/>
              <w:jc w:val="center"/>
              <w:rPr>
                <w:rFonts w:ascii="Arial" w:hAnsi="Arial" w:cs="Arial"/>
                <w:b w:val="0"/>
                <w:bCs w:val="0"/>
                <w:color w:val="auto"/>
                <w:lang w:val="es-ES" w:eastAsia="es-CO"/>
              </w:rPr>
            </w:pPr>
            <w:r w:rsidRPr="00AA02D3">
              <w:rPr>
                <w:rFonts w:ascii="Arial" w:hAnsi="Arial" w:cs="Arial"/>
                <w:color w:val="auto"/>
                <w:lang w:val="es-ES" w:eastAsia="es-CO"/>
              </w:rPr>
              <w:t>Código del</w:t>
            </w:r>
            <w:r w:rsidR="00F801C5" w:rsidRPr="00AA02D3">
              <w:rPr>
                <w:rFonts w:ascii="Arial" w:hAnsi="Arial" w:cs="Arial"/>
                <w:color w:val="auto"/>
                <w:lang w:val="es-ES" w:eastAsia="es-CO"/>
              </w:rPr>
              <w:t xml:space="preserve"> </w:t>
            </w:r>
            <w:r w:rsidRPr="00AA02D3">
              <w:rPr>
                <w:rFonts w:ascii="Arial" w:hAnsi="Arial" w:cs="Arial"/>
                <w:color w:val="auto"/>
                <w:lang w:val="es-ES" w:eastAsia="es-CO"/>
              </w:rPr>
              <w:t>subsector</w:t>
            </w:r>
          </w:p>
        </w:tc>
        <w:tc>
          <w:tcPr>
            <w:tcW w:w="674" w:type="pct"/>
            <w:shd w:val="clear" w:color="auto" w:fill="D9D9D9" w:themeFill="background1" w:themeFillShade="D9"/>
          </w:tcPr>
          <w:p w:rsidR="00831C8D" w:rsidRPr="00AA02D3" w:rsidRDefault="00831C8D" w:rsidP="00A93913">
            <w:pPr>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lang w:val="es-ES" w:eastAsia="es-CO"/>
              </w:rPr>
            </w:pPr>
            <w:r w:rsidRPr="00AA02D3">
              <w:rPr>
                <w:rFonts w:ascii="Arial" w:hAnsi="Arial" w:cs="Arial"/>
                <w:color w:val="auto"/>
                <w:lang w:val="es-ES" w:eastAsia="es-CO"/>
              </w:rPr>
              <w:t>Título del</w:t>
            </w:r>
            <w:r w:rsidR="00F801C5" w:rsidRPr="00AA02D3">
              <w:rPr>
                <w:rFonts w:ascii="Arial" w:hAnsi="Arial" w:cs="Arial"/>
                <w:color w:val="auto"/>
                <w:lang w:val="es-ES" w:eastAsia="es-CO"/>
              </w:rPr>
              <w:t xml:space="preserve"> </w:t>
            </w:r>
            <w:r w:rsidRPr="00AA02D3">
              <w:rPr>
                <w:rFonts w:ascii="Arial" w:hAnsi="Arial" w:cs="Arial"/>
                <w:color w:val="auto"/>
                <w:lang w:val="es-ES" w:eastAsia="es-CO"/>
              </w:rPr>
              <w:t>subsector</w:t>
            </w:r>
          </w:p>
        </w:tc>
        <w:tc>
          <w:tcPr>
            <w:tcW w:w="1529" w:type="pct"/>
            <w:shd w:val="clear" w:color="auto" w:fill="D9D9D9" w:themeFill="background1" w:themeFillShade="D9"/>
          </w:tcPr>
          <w:p w:rsidR="00831C8D" w:rsidRPr="00AA02D3" w:rsidRDefault="00831C8D" w:rsidP="00A93913">
            <w:pPr>
              <w:autoSpaceDE w:val="0"/>
              <w:autoSpaceDN w:val="0"/>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es-ES"/>
              </w:rPr>
            </w:pPr>
            <w:r w:rsidRPr="00AA02D3">
              <w:rPr>
                <w:rFonts w:ascii="Arial" w:hAnsi="Arial" w:cs="Arial"/>
                <w:color w:val="auto"/>
                <w:lang w:val="es-ES" w:eastAsia="es-CO"/>
              </w:rPr>
              <w:t>Descripción</w:t>
            </w:r>
          </w:p>
        </w:tc>
        <w:tc>
          <w:tcPr>
            <w:tcW w:w="540" w:type="pct"/>
            <w:shd w:val="clear" w:color="auto" w:fill="D9D9D9" w:themeFill="background1" w:themeFillShade="D9"/>
            <w:noWrap/>
          </w:tcPr>
          <w:p w:rsidR="00C02D72" w:rsidRPr="00AA02D3" w:rsidRDefault="00831C8D" w:rsidP="00A93913">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lang w:val="es-ES" w:eastAsia="es-CO"/>
              </w:rPr>
            </w:pPr>
            <w:proofErr w:type="spellStart"/>
            <w:r w:rsidRPr="00AA02D3">
              <w:rPr>
                <w:rFonts w:ascii="Arial" w:hAnsi="Arial" w:cs="Arial"/>
                <w:color w:val="auto"/>
                <w:lang w:val="es-ES" w:eastAsia="es-CO"/>
              </w:rPr>
              <w:t>Elegi</w:t>
            </w:r>
            <w:proofErr w:type="spellEnd"/>
            <w:r w:rsidR="00C02D72" w:rsidRPr="00AA02D3">
              <w:rPr>
                <w:rFonts w:ascii="Arial" w:hAnsi="Arial" w:cs="Arial"/>
                <w:color w:val="auto"/>
                <w:lang w:val="es-ES" w:eastAsia="es-CO"/>
              </w:rPr>
              <w:t>-</w:t>
            </w:r>
          </w:p>
          <w:p w:rsidR="00831C8D" w:rsidRPr="00AA02D3" w:rsidRDefault="00831C8D" w:rsidP="00A93913">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es-ES"/>
              </w:rPr>
            </w:pPr>
            <w:proofErr w:type="spellStart"/>
            <w:r w:rsidRPr="00AA02D3">
              <w:rPr>
                <w:rFonts w:ascii="Arial" w:hAnsi="Arial" w:cs="Arial"/>
                <w:color w:val="auto"/>
                <w:lang w:val="es-ES" w:eastAsia="es-CO"/>
              </w:rPr>
              <w:t>bilidad</w:t>
            </w:r>
            <w:proofErr w:type="spellEnd"/>
          </w:p>
        </w:tc>
        <w:tc>
          <w:tcPr>
            <w:tcW w:w="1618" w:type="pct"/>
            <w:shd w:val="clear" w:color="auto" w:fill="D9D9D9" w:themeFill="background1" w:themeFillShade="D9"/>
          </w:tcPr>
          <w:p w:rsidR="00831C8D" w:rsidRPr="00AA02D3" w:rsidRDefault="00831C8D" w:rsidP="00A93913">
            <w:pPr>
              <w:autoSpaceDE w:val="0"/>
              <w:autoSpaceDN w:val="0"/>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es-ES"/>
              </w:rPr>
            </w:pPr>
            <w:r w:rsidRPr="00AA02D3">
              <w:rPr>
                <w:rFonts w:ascii="Arial" w:hAnsi="Arial" w:cs="Arial"/>
                <w:color w:val="auto"/>
                <w:lang w:val="es-ES" w:eastAsia="es-CO"/>
              </w:rPr>
              <w:t>Criterios de validación</w:t>
            </w:r>
          </w:p>
        </w:tc>
      </w:tr>
      <w:tr w:rsidR="008B10AD" w:rsidRPr="00830D7D" w:rsidTr="00743E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8" w:type="pct"/>
            <w:tcBorders>
              <w:top w:val="none" w:sz="0" w:space="0" w:color="auto"/>
              <w:left w:val="none" w:sz="0" w:space="0" w:color="auto"/>
              <w:bottom w:val="none" w:sz="0" w:space="0" w:color="auto"/>
            </w:tcBorders>
            <w:hideMark/>
          </w:tcPr>
          <w:p w:rsidR="00831C8D" w:rsidRPr="00AA02D3" w:rsidRDefault="006D3204" w:rsidP="00060C35">
            <w:pPr>
              <w:spacing w:after="0"/>
              <w:rPr>
                <w:rFonts w:ascii="Arial" w:hAnsi="Arial" w:cs="Arial"/>
                <w:lang w:val="es-ES"/>
              </w:rPr>
            </w:pPr>
            <w:r w:rsidRPr="00AA02D3">
              <w:rPr>
                <w:rFonts w:ascii="Arial" w:hAnsi="Arial" w:cs="Arial"/>
                <w:lang w:val="es-ES"/>
              </w:rPr>
              <w:t>EN-</w:t>
            </w:r>
            <w:r w:rsidR="00060C35">
              <w:rPr>
                <w:rFonts w:ascii="Arial" w:hAnsi="Arial" w:cs="Arial"/>
                <w:lang w:val="es-ES"/>
              </w:rPr>
              <w:t>REH</w:t>
            </w:r>
          </w:p>
        </w:tc>
        <w:tc>
          <w:tcPr>
            <w:tcW w:w="674" w:type="pct"/>
            <w:tcBorders>
              <w:top w:val="none" w:sz="0" w:space="0" w:color="auto"/>
              <w:bottom w:val="none" w:sz="0" w:space="0" w:color="auto"/>
            </w:tcBorders>
            <w:hideMark/>
          </w:tcPr>
          <w:p w:rsidR="00831C8D" w:rsidRPr="00AA02D3" w:rsidRDefault="00060C35" w:rsidP="00C020D3">
            <w:pPr>
              <w:spacing w:after="0"/>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Rehabilitación y eficiencia del sector energético</w:t>
            </w:r>
          </w:p>
        </w:tc>
        <w:tc>
          <w:tcPr>
            <w:tcW w:w="1529" w:type="pct"/>
            <w:tcBorders>
              <w:top w:val="none" w:sz="0" w:space="0" w:color="auto"/>
              <w:bottom w:val="none" w:sz="0" w:space="0" w:color="auto"/>
            </w:tcBorders>
            <w:hideMark/>
          </w:tcPr>
          <w:p w:rsidR="00831C8D" w:rsidRPr="00AA02D3" w:rsidRDefault="00060C35" w:rsidP="00060C35">
            <w:pPr>
              <w:autoSpaceDE w:val="0"/>
              <w:autoSpaceDN w:val="0"/>
              <w:spacing w:after="0"/>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060C35">
              <w:rPr>
                <w:rFonts w:ascii="Arial" w:hAnsi="Arial" w:cs="Arial"/>
                <w:lang w:val="es-ES"/>
              </w:rPr>
              <w:t>Apoyo a la eficiencia energética, incluidas las instalaciones</w:t>
            </w:r>
            <w:r>
              <w:rPr>
                <w:rFonts w:ascii="Arial" w:hAnsi="Arial" w:cs="Arial"/>
                <w:lang w:val="es-ES"/>
              </w:rPr>
              <w:t xml:space="preserve"> </w:t>
            </w:r>
            <w:r w:rsidRPr="00060C35">
              <w:rPr>
                <w:rFonts w:ascii="Arial" w:hAnsi="Arial" w:cs="Arial"/>
                <w:lang w:val="es-ES"/>
              </w:rPr>
              <w:t>de procesamiento de petróleo y gas y las centrales</w:t>
            </w:r>
            <w:r>
              <w:rPr>
                <w:rFonts w:ascii="Arial" w:hAnsi="Arial" w:cs="Arial"/>
                <w:lang w:val="es-ES"/>
              </w:rPr>
              <w:t xml:space="preserve"> </w:t>
            </w:r>
            <w:r w:rsidRPr="00060C35">
              <w:rPr>
                <w:rFonts w:ascii="Arial" w:hAnsi="Arial" w:cs="Arial"/>
                <w:lang w:val="es-ES"/>
              </w:rPr>
              <w:t>termoeléctricas; la modernización de las centrales</w:t>
            </w:r>
            <w:r>
              <w:rPr>
                <w:rFonts w:ascii="Arial" w:hAnsi="Arial" w:cs="Arial"/>
                <w:lang w:val="es-ES"/>
              </w:rPr>
              <w:t xml:space="preserve"> </w:t>
            </w:r>
            <w:r w:rsidRPr="00060C35">
              <w:rPr>
                <w:rFonts w:ascii="Arial" w:hAnsi="Arial" w:cs="Arial"/>
                <w:lang w:val="es-ES"/>
              </w:rPr>
              <w:t>hidroeléctricas existentes, sin aumentar la altura de la presa;</w:t>
            </w:r>
            <w:r>
              <w:rPr>
                <w:rFonts w:ascii="Arial" w:hAnsi="Arial" w:cs="Arial"/>
                <w:lang w:val="es-ES"/>
              </w:rPr>
              <w:t xml:space="preserve"> </w:t>
            </w:r>
            <w:r w:rsidRPr="00060C35">
              <w:rPr>
                <w:rFonts w:ascii="Arial" w:hAnsi="Arial" w:cs="Arial"/>
                <w:lang w:val="es-ES"/>
              </w:rPr>
              <w:t>la reducción de pérdidas técnicas en las líneas y sistemas de</w:t>
            </w:r>
            <w:r>
              <w:rPr>
                <w:rFonts w:ascii="Arial" w:hAnsi="Arial" w:cs="Arial"/>
                <w:lang w:val="es-ES"/>
              </w:rPr>
              <w:t xml:space="preserve"> </w:t>
            </w:r>
            <w:r w:rsidRPr="00060C35">
              <w:rPr>
                <w:rFonts w:ascii="Arial" w:hAnsi="Arial" w:cs="Arial"/>
                <w:lang w:val="es-ES"/>
              </w:rPr>
              <w:t>distribución de electricidad existentes; la reducción de las</w:t>
            </w:r>
            <w:r>
              <w:rPr>
                <w:rFonts w:ascii="Arial" w:hAnsi="Arial" w:cs="Arial"/>
                <w:lang w:val="es-ES"/>
              </w:rPr>
              <w:t xml:space="preserve"> </w:t>
            </w:r>
            <w:r w:rsidRPr="00060C35">
              <w:rPr>
                <w:rFonts w:ascii="Arial" w:hAnsi="Arial" w:cs="Arial"/>
                <w:lang w:val="es-ES"/>
              </w:rPr>
              <w:t xml:space="preserve">emisiones de </w:t>
            </w:r>
            <w:proofErr w:type="spellStart"/>
            <w:r w:rsidRPr="00060C35">
              <w:rPr>
                <w:rFonts w:ascii="Arial" w:hAnsi="Arial" w:cs="Arial"/>
                <w:lang w:val="es-ES"/>
              </w:rPr>
              <w:t>hexafluoruro</w:t>
            </w:r>
            <w:proofErr w:type="spellEnd"/>
            <w:r w:rsidRPr="00060C35">
              <w:rPr>
                <w:rFonts w:ascii="Arial" w:hAnsi="Arial" w:cs="Arial"/>
                <w:lang w:val="es-ES"/>
              </w:rPr>
              <w:t xml:space="preserve"> de azufre generadas por</w:t>
            </w:r>
            <w:r>
              <w:rPr>
                <w:rFonts w:ascii="Arial" w:hAnsi="Arial" w:cs="Arial"/>
                <w:lang w:val="es-ES"/>
              </w:rPr>
              <w:t xml:space="preserve"> </w:t>
            </w:r>
            <w:r w:rsidRPr="00060C35">
              <w:rPr>
                <w:rFonts w:ascii="Arial" w:hAnsi="Arial" w:cs="Arial"/>
                <w:lang w:val="es-ES"/>
              </w:rPr>
              <w:t>transformadores.</w:t>
            </w:r>
          </w:p>
        </w:tc>
        <w:tc>
          <w:tcPr>
            <w:tcW w:w="540" w:type="pct"/>
            <w:tcBorders>
              <w:top w:val="none" w:sz="0" w:space="0" w:color="auto"/>
              <w:bottom w:val="none" w:sz="0" w:space="0" w:color="auto"/>
            </w:tcBorders>
            <w:noWrap/>
            <w:hideMark/>
          </w:tcPr>
          <w:p w:rsidR="00831C8D" w:rsidRPr="00AA02D3" w:rsidRDefault="00113E5E" w:rsidP="00A93913">
            <w:pPr>
              <w:spacing w:after="0"/>
              <w:jc w:val="cente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C</w:t>
            </w:r>
          </w:p>
        </w:tc>
        <w:tc>
          <w:tcPr>
            <w:tcW w:w="1618" w:type="pct"/>
            <w:tcBorders>
              <w:top w:val="none" w:sz="0" w:space="0" w:color="auto"/>
              <w:bottom w:val="none" w:sz="0" w:space="0" w:color="auto"/>
              <w:right w:val="none" w:sz="0" w:space="0" w:color="auto"/>
            </w:tcBorders>
            <w:hideMark/>
          </w:tcPr>
          <w:p w:rsidR="00831C8D" w:rsidRPr="00AA02D3" w:rsidRDefault="00060C35" w:rsidP="00060C35">
            <w:pPr>
              <w:autoSpaceDE w:val="0"/>
              <w:autoSpaceDN w:val="0"/>
              <w:spacing w:after="0"/>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060C35">
              <w:rPr>
                <w:rFonts w:ascii="Arial" w:hAnsi="Arial" w:cs="Arial"/>
                <w:lang w:val="es-ES"/>
              </w:rPr>
              <w:t>Se clasifica cuando (i) al menos una proporción sustancial de la</w:t>
            </w:r>
            <w:r>
              <w:rPr>
                <w:rFonts w:ascii="Arial" w:hAnsi="Arial" w:cs="Arial"/>
                <w:lang w:val="es-ES"/>
              </w:rPr>
              <w:t xml:space="preserve"> </w:t>
            </w:r>
            <w:r w:rsidRPr="00060C35">
              <w:rPr>
                <w:rFonts w:ascii="Arial" w:hAnsi="Arial" w:cs="Arial"/>
                <w:lang w:val="es-ES"/>
              </w:rPr>
              <w:t>energía se produce, transmite o distribuye o se consume en más de</w:t>
            </w:r>
            <w:r>
              <w:rPr>
                <w:rFonts w:ascii="Arial" w:hAnsi="Arial" w:cs="Arial"/>
                <w:lang w:val="es-ES"/>
              </w:rPr>
              <w:t xml:space="preserve"> </w:t>
            </w:r>
            <w:r w:rsidRPr="00060C35">
              <w:rPr>
                <w:rFonts w:ascii="Arial" w:hAnsi="Arial" w:cs="Arial"/>
                <w:lang w:val="es-ES"/>
              </w:rPr>
              <w:t>un país; y/o (ii) la instalación de producción está conectada</w:t>
            </w:r>
            <w:r>
              <w:rPr>
                <w:rFonts w:ascii="Arial" w:hAnsi="Arial" w:cs="Arial"/>
                <w:lang w:val="es-ES"/>
              </w:rPr>
              <w:t xml:space="preserve"> </w:t>
            </w:r>
            <w:r w:rsidRPr="00060C35">
              <w:rPr>
                <w:rFonts w:ascii="Arial" w:hAnsi="Arial" w:cs="Arial"/>
                <w:lang w:val="es-ES"/>
              </w:rPr>
              <w:t>internacionalmente.</w:t>
            </w:r>
          </w:p>
        </w:tc>
      </w:tr>
    </w:tbl>
    <w:p w:rsidR="009B5781" w:rsidRPr="00AA02D3" w:rsidRDefault="009B5781" w:rsidP="00C020D3">
      <w:pPr>
        <w:spacing w:after="0"/>
        <w:ind w:left="720"/>
        <w:jc w:val="both"/>
        <w:rPr>
          <w:rFonts w:ascii="Arial" w:hAnsi="Arial" w:cs="Arial"/>
          <w:color w:val="000000"/>
          <w:lang w:val="es-ES"/>
        </w:rPr>
      </w:pPr>
    </w:p>
    <w:sectPr w:rsidR="009B5781" w:rsidRPr="00AA02D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E3C" w:rsidRDefault="004D3E3C" w:rsidP="0064148C">
      <w:pPr>
        <w:spacing w:after="0" w:line="240" w:lineRule="auto"/>
      </w:pPr>
      <w:r>
        <w:separator/>
      </w:r>
    </w:p>
  </w:endnote>
  <w:endnote w:type="continuationSeparator" w:id="0">
    <w:p w:rsidR="004D3E3C" w:rsidRDefault="004D3E3C" w:rsidP="0064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FA3" w:rsidRPr="008D0496" w:rsidRDefault="00FF5FA3">
    <w:pPr>
      <w:pStyle w:val="Footer"/>
      <w:jc w:val="center"/>
      <w:rPr>
        <w:rFonts w:ascii="Times New Roman" w:eastAsia="Arial Unicode MS" w:hAnsi="Times New Roman"/>
      </w:rPr>
    </w:pPr>
    <w:r w:rsidRPr="008D0496">
      <w:rPr>
        <w:rFonts w:ascii="Times New Roman" w:eastAsia="Arial Unicode MS" w:hAnsi="Times New Roman"/>
      </w:rPr>
      <w:fldChar w:fldCharType="begin"/>
    </w:r>
    <w:r w:rsidRPr="008D0496">
      <w:rPr>
        <w:rFonts w:ascii="Times New Roman" w:eastAsia="Arial Unicode MS" w:hAnsi="Times New Roman"/>
      </w:rPr>
      <w:instrText xml:space="preserve"> PAGE   \* MERGEFORMAT </w:instrText>
    </w:r>
    <w:r w:rsidRPr="008D0496">
      <w:rPr>
        <w:rFonts w:ascii="Times New Roman" w:eastAsia="Arial Unicode MS" w:hAnsi="Times New Roman"/>
      </w:rPr>
      <w:fldChar w:fldCharType="separate"/>
    </w:r>
    <w:r w:rsidR="009B4148">
      <w:rPr>
        <w:rFonts w:ascii="Times New Roman" w:eastAsia="Arial Unicode MS" w:hAnsi="Times New Roman"/>
        <w:noProof/>
      </w:rPr>
      <w:t>1</w:t>
    </w:r>
    <w:r w:rsidRPr="008D0496">
      <w:rPr>
        <w:rFonts w:ascii="Times New Roman" w:eastAsia="Arial Unicode MS" w:hAnsi="Times New Roman"/>
        <w:noProof/>
      </w:rPr>
      <w:fldChar w:fldCharType="end"/>
    </w:r>
  </w:p>
  <w:p w:rsidR="00FF5FA3" w:rsidRDefault="00FF5F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E3C" w:rsidRDefault="004D3E3C" w:rsidP="0064148C">
      <w:pPr>
        <w:spacing w:after="0" w:line="240" w:lineRule="auto"/>
      </w:pPr>
      <w:r>
        <w:separator/>
      </w:r>
    </w:p>
  </w:footnote>
  <w:footnote w:type="continuationSeparator" w:id="0">
    <w:p w:rsidR="004D3E3C" w:rsidRDefault="004D3E3C" w:rsidP="0064148C">
      <w:pPr>
        <w:spacing w:after="0" w:line="240" w:lineRule="auto"/>
      </w:pPr>
      <w:r>
        <w:continuationSeparator/>
      </w:r>
    </w:p>
  </w:footnote>
  <w:footnote w:id="1">
    <w:p w:rsidR="00830D7D" w:rsidRPr="00830D7D" w:rsidRDefault="00830D7D" w:rsidP="00830D7D">
      <w:pPr>
        <w:spacing w:after="0" w:line="240" w:lineRule="auto"/>
        <w:ind w:left="180"/>
        <w:contextualSpacing/>
        <w:jc w:val="both"/>
        <w:rPr>
          <w:rFonts w:ascii="Arial" w:eastAsiaTheme="minorEastAsia" w:hAnsi="Arial" w:cs="Arial"/>
          <w:sz w:val="20"/>
          <w:szCs w:val="20"/>
          <w:lang w:val="es-CO" w:eastAsia="es-NI"/>
        </w:rPr>
      </w:pPr>
      <w:r w:rsidRPr="00830D7D">
        <w:rPr>
          <w:rStyle w:val="FootnoteReference"/>
          <w:rFonts w:ascii="Times New Roman" w:hAnsi="Times New Roman"/>
          <w:sz w:val="20"/>
          <w:szCs w:val="20"/>
        </w:rPr>
        <w:footnoteRef/>
      </w:r>
      <w:r w:rsidRPr="00830D7D">
        <w:rPr>
          <w:rFonts w:ascii="Times New Roman" w:hAnsi="Times New Roman"/>
          <w:sz w:val="20"/>
          <w:szCs w:val="20"/>
          <w:lang w:val="es-CO"/>
        </w:rPr>
        <w:t xml:space="preserve">. </w:t>
      </w:r>
      <w:r w:rsidRPr="00830D7D">
        <w:rPr>
          <w:rFonts w:ascii="Arial" w:hAnsi="Arial" w:cs="Arial"/>
          <w:sz w:val="20"/>
          <w:szCs w:val="20"/>
          <w:lang w:val="es-CO"/>
        </w:rPr>
        <w:t xml:space="preserve">Para el cierre de este anillo se </w:t>
      </w:r>
      <w:r w:rsidRPr="00830D7D">
        <w:rPr>
          <w:rFonts w:ascii="Arial" w:eastAsiaTheme="minorEastAsia" w:hAnsi="Arial" w:cs="Arial"/>
          <w:sz w:val="20"/>
          <w:szCs w:val="20"/>
          <w:lang w:val="es-CO" w:eastAsia="es-NI"/>
        </w:rPr>
        <w:t xml:space="preserve">construirá una </w:t>
      </w:r>
      <w:r w:rsidRPr="00830D7D">
        <w:rPr>
          <w:rFonts w:ascii="Arial" w:eastAsiaTheme="minorEastAsia" w:hAnsi="Arial" w:cs="Arial"/>
          <w:sz w:val="20"/>
          <w:szCs w:val="20"/>
          <w:lang w:val="es-CO" w:eastAsia="es-NI"/>
        </w:rPr>
        <w:t xml:space="preserve"> línea de 57 km </w:t>
      </w:r>
      <w:r w:rsidRPr="00830D7D">
        <w:rPr>
          <w:rFonts w:ascii="Arial" w:eastAsiaTheme="minorEastAsia" w:hAnsi="Arial" w:cs="Arial"/>
          <w:sz w:val="20"/>
          <w:szCs w:val="20"/>
          <w:lang w:val="es-CO" w:eastAsia="es-NI"/>
        </w:rPr>
        <w:t>a</w:t>
      </w:r>
      <w:r w:rsidRPr="00830D7D">
        <w:rPr>
          <w:rFonts w:ascii="Arial" w:eastAsiaTheme="minorEastAsia" w:hAnsi="Arial" w:cs="Arial"/>
          <w:sz w:val="20"/>
          <w:szCs w:val="20"/>
          <w:lang w:val="es-CO" w:eastAsia="es-NI"/>
        </w:rPr>
        <w:t xml:space="preserve"> 230kV entre las subestaciones Los </w:t>
      </w:r>
      <w:proofErr w:type="spellStart"/>
      <w:r w:rsidRPr="00830D7D">
        <w:rPr>
          <w:rFonts w:ascii="Arial" w:eastAsiaTheme="minorEastAsia" w:hAnsi="Arial" w:cs="Arial"/>
          <w:sz w:val="20"/>
          <w:szCs w:val="20"/>
          <w:lang w:val="es-CO" w:eastAsia="es-NI"/>
        </w:rPr>
        <w:t>Brasiles</w:t>
      </w:r>
      <w:proofErr w:type="spellEnd"/>
      <w:r w:rsidRPr="00830D7D">
        <w:rPr>
          <w:rFonts w:ascii="Arial" w:eastAsiaTheme="minorEastAsia" w:hAnsi="Arial" w:cs="Arial"/>
          <w:sz w:val="20"/>
          <w:szCs w:val="20"/>
          <w:lang w:val="es-CO" w:eastAsia="es-NI"/>
        </w:rPr>
        <w:t>-San Benito.</w:t>
      </w:r>
      <w:r w:rsidRPr="00830D7D">
        <w:rPr>
          <w:rFonts w:ascii="Arial" w:eastAsiaTheme="minorEastAsia" w:hAnsi="Arial" w:cs="Arial"/>
          <w:sz w:val="20"/>
          <w:szCs w:val="20"/>
          <w:lang w:val="es-CO" w:eastAsia="es-NI"/>
        </w:rPr>
        <w:t xml:space="preserve"> La obra permitirá (i) a</w:t>
      </w:r>
      <w:r w:rsidRPr="00830D7D">
        <w:rPr>
          <w:rFonts w:ascii="Arial" w:eastAsiaTheme="minorEastAsia" w:hAnsi="Arial" w:cs="Arial"/>
          <w:sz w:val="20"/>
          <w:szCs w:val="20"/>
          <w:lang w:val="es-CO" w:eastAsia="es-NI"/>
        </w:rPr>
        <w:t>umentar la confiabilidad del servicio eléctrico actual del área de Managua</w:t>
      </w:r>
      <w:r w:rsidRPr="00830D7D">
        <w:rPr>
          <w:rFonts w:ascii="Arial" w:eastAsiaTheme="minorEastAsia" w:hAnsi="Arial" w:cs="Arial"/>
          <w:sz w:val="20"/>
          <w:szCs w:val="20"/>
          <w:lang w:val="es-CO" w:eastAsia="es-NI"/>
        </w:rPr>
        <w:t>, (ii) c</w:t>
      </w:r>
      <w:r w:rsidRPr="00830D7D">
        <w:rPr>
          <w:rFonts w:ascii="Arial" w:eastAsiaTheme="minorEastAsia" w:hAnsi="Arial" w:cs="Arial"/>
          <w:sz w:val="20"/>
          <w:szCs w:val="20"/>
          <w:lang w:val="es-CO" w:eastAsia="es-NI"/>
        </w:rPr>
        <w:t>rear las condiciones en infraestructura eléctrica en la zona de Managua para la conexión de futuros proyectos de generación</w:t>
      </w:r>
      <w:r w:rsidRPr="00830D7D">
        <w:rPr>
          <w:rFonts w:ascii="Arial" w:eastAsiaTheme="minorEastAsia" w:hAnsi="Arial" w:cs="Arial"/>
          <w:sz w:val="20"/>
          <w:szCs w:val="20"/>
          <w:lang w:val="es-CO" w:eastAsia="es-NI"/>
        </w:rPr>
        <w:t>, (iii) g</w:t>
      </w:r>
      <w:r w:rsidRPr="00830D7D">
        <w:rPr>
          <w:rFonts w:ascii="Arial" w:eastAsiaTheme="minorEastAsia" w:hAnsi="Arial" w:cs="Arial"/>
          <w:sz w:val="20"/>
          <w:szCs w:val="20"/>
          <w:lang w:val="es-CO" w:eastAsia="es-NI"/>
        </w:rPr>
        <w:t xml:space="preserve">arantizar las transferencias de energía y potencia de forma confiable por el </w:t>
      </w:r>
      <w:r w:rsidRPr="00830D7D">
        <w:rPr>
          <w:rFonts w:ascii="Arial" w:eastAsiaTheme="minorEastAsia" w:hAnsi="Arial" w:cs="Arial"/>
          <w:sz w:val="20"/>
          <w:szCs w:val="20"/>
          <w:lang w:val="es-CO" w:eastAsia="es-NI"/>
        </w:rPr>
        <w:t xml:space="preserve">Sistema Interconectado Nacional -SIN, y (iv) </w:t>
      </w:r>
      <w:r w:rsidRPr="00830D7D">
        <w:rPr>
          <w:rFonts w:ascii="Arial" w:eastAsiaTheme="minorEastAsia" w:hAnsi="Arial" w:cs="Arial"/>
          <w:sz w:val="20"/>
          <w:szCs w:val="20"/>
          <w:lang w:val="es-CO" w:eastAsia="es-NI"/>
        </w:rPr>
        <w:t>mejora</w:t>
      </w:r>
      <w:r w:rsidRPr="00830D7D">
        <w:rPr>
          <w:rFonts w:ascii="Arial" w:eastAsiaTheme="minorEastAsia" w:hAnsi="Arial" w:cs="Arial"/>
          <w:sz w:val="20"/>
          <w:szCs w:val="20"/>
          <w:lang w:val="es-CO" w:eastAsia="es-NI"/>
        </w:rPr>
        <w:t>r</w:t>
      </w:r>
      <w:r w:rsidRPr="00830D7D">
        <w:rPr>
          <w:rFonts w:ascii="Arial" w:eastAsiaTheme="minorEastAsia" w:hAnsi="Arial" w:cs="Arial"/>
          <w:sz w:val="20"/>
          <w:szCs w:val="20"/>
          <w:lang w:val="es-CO" w:eastAsia="es-NI"/>
        </w:rPr>
        <w:t xml:space="preserve"> la confiabilidad del </w:t>
      </w:r>
      <w:r w:rsidRPr="00830D7D">
        <w:rPr>
          <w:rFonts w:ascii="Arial" w:eastAsiaTheme="minorEastAsia" w:hAnsi="Arial" w:cs="Arial"/>
          <w:sz w:val="20"/>
          <w:szCs w:val="20"/>
          <w:lang w:val="es-CO" w:eastAsia="es-NI"/>
        </w:rPr>
        <w:t>SIN</w:t>
      </w:r>
      <w:r w:rsidRPr="00830D7D">
        <w:rPr>
          <w:rFonts w:ascii="Arial" w:eastAsiaTheme="minorEastAsia" w:hAnsi="Arial" w:cs="Arial"/>
          <w:sz w:val="20"/>
          <w:szCs w:val="20"/>
          <w:lang w:val="es-CO" w:eastAsia="es-NI"/>
        </w:rPr>
        <w:t xml:space="preserve"> y del Sistema Eléctrico Regional</w:t>
      </w:r>
      <w:r w:rsidRPr="00830D7D">
        <w:rPr>
          <w:rFonts w:ascii="Arial" w:eastAsiaTheme="minorEastAsia" w:hAnsi="Arial" w:cs="Arial"/>
          <w:sz w:val="20"/>
          <w:szCs w:val="20"/>
          <w:lang w:val="es-CO" w:eastAsia="es-NI"/>
        </w:rPr>
        <w:t xml:space="preserve"> –SIEPAC.</w:t>
      </w:r>
    </w:p>
    <w:p w:rsidR="00830D7D" w:rsidRPr="00830D7D" w:rsidRDefault="00830D7D">
      <w:pPr>
        <w:pStyle w:val="FootnoteText"/>
        <w:rPr>
          <w:lang w:val="es-CO"/>
        </w:rPr>
      </w:pPr>
    </w:p>
  </w:footnote>
  <w:footnote w:id="2">
    <w:p w:rsidR="0005277D" w:rsidRPr="0005277D" w:rsidRDefault="0005277D" w:rsidP="0005277D">
      <w:pPr>
        <w:pStyle w:val="FootnoteText"/>
        <w:ind w:left="180" w:hanging="180"/>
        <w:rPr>
          <w:lang w:val="es-CO"/>
        </w:rPr>
      </w:pPr>
      <w:r>
        <w:rPr>
          <w:rStyle w:val="FootnoteReference"/>
        </w:rPr>
        <w:footnoteRef/>
      </w:r>
      <w:r w:rsidRPr="0005277D">
        <w:rPr>
          <w:lang w:val="es-CO"/>
        </w:rPr>
        <w:t xml:space="preserve"> </w:t>
      </w:r>
      <w:r w:rsidRPr="001C21AD">
        <w:rPr>
          <w:rFonts w:ascii="Arial" w:hAnsi="Arial" w:cs="Arial"/>
          <w:lang w:val="es-ES"/>
        </w:rPr>
        <w:t xml:space="preserve">En octubre de 2014 </w:t>
      </w:r>
      <w:r>
        <w:rPr>
          <w:rFonts w:ascii="Arial" w:hAnsi="Arial" w:cs="Arial"/>
          <w:lang w:val="es-ES"/>
        </w:rPr>
        <w:t>entró</w:t>
      </w:r>
      <w:r w:rsidRPr="001C21AD">
        <w:rPr>
          <w:rFonts w:ascii="Arial" w:hAnsi="Arial" w:cs="Arial"/>
          <w:lang w:val="es-ES"/>
        </w:rPr>
        <w:t xml:space="preserve"> en operación </w:t>
      </w:r>
      <w:r>
        <w:rPr>
          <w:rFonts w:ascii="Arial" w:hAnsi="Arial" w:cs="Arial"/>
          <w:lang w:val="es-ES"/>
        </w:rPr>
        <w:t xml:space="preserve">comercial </w:t>
      </w:r>
      <w:r w:rsidRPr="001C21AD">
        <w:rPr>
          <w:rFonts w:ascii="Arial" w:hAnsi="Arial" w:cs="Arial"/>
          <w:lang w:val="es-ES"/>
        </w:rPr>
        <w:t>la L/T regional del SIEPAC</w:t>
      </w:r>
      <w:r>
        <w:rPr>
          <w:rFonts w:ascii="Arial" w:hAnsi="Arial" w:cs="Arial"/>
          <w:lang w:val="es-ES"/>
        </w:rPr>
        <w:t xml:space="preserve"> (1.790 km)</w:t>
      </w:r>
      <w:r w:rsidRPr="001C21AD">
        <w:rPr>
          <w:rFonts w:ascii="Arial" w:hAnsi="Arial" w:cs="Arial"/>
          <w:lang w:val="es-ES"/>
        </w:rPr>
        <w:t>, diseñada para hacer intercambios de hasta 300MW entre los países de la región.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7A2"/>
    <w:multiLevelType w:val="hybridMultilevel"/>
    <w:tmpl w:val="B672CF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F00137"/>
    <w:multiLevelType w:val="multilevel"/>
    <w:tmpl w:val="AB28A43A"/>
    <w:lvl w:ilvl="0">
      <w:start w:val="1"/>
      <w:numFmt w:val="upperRoman"/>
      <w:lvlText w:val="%1."/>
      <w:lvlJc w:val="left"/>
      <w:pPr>
        <w:ind w:left="1080" w:hanging="720"/>
      </w:p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4">
    <w:nsid w:val="2E942E55"/>
    <w:multiLevelType w:val="multilevel"/>
    <w:tmpl w:val="79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6">
    <w:nsid w:val="36B86759"/>
    <w:multiLevelType w:val="hybridMultilevel"/>
    <w:tmpl w:val="2B92E4F2"/>
    <w:lvl w:ilvl="0" w:tplc="4C0A0001">
      <w:start w:val="1"/>
      <w:numFmt w:val="bullet"/>
      <w:lvlText w:val=""/>
      <w:lvlJc w:val="left"/>
      <w:pPr>
        <w:ind w:left="540" w:hanging="360"/>
      </w:pPr>
      <w:rPr>
        <w:rFonts w:ascii="Symbol" w:hAnsi="Symbol" w:hint="default"/>
      </w:rPr>
    </w:lvl>
    <w:lvl w:ilvl="1" w:tplc="4C0A0003" w:tentative="1">
      <w:start w:val="1"/>
      <w:numFmt w:val="bullet"/>
      <w:lvlText w:val="o"/>
      <w:lvlJc w:val="left"/>
      <w:pPr>
        <w:ind w:left="1260" w:hanging="360"/>
      </w:pPr>
      <w:rPr>
        <w:rFonts w:ascii="Courier New" w:hAnsi="Courier New" w:cs="Courier New" w:hint="default"/>
      </w:rPr>
    </w:lvl>
    <w:lvl w:ilvl="2" w:tplc="4C0A0005" w:tentative="1">
      <w:start w:val="1"/>
      <w:numFmt w:val="bullet"/>
      <w:lvlText w:val=""/>
      <w:lvlJc w:val="left"/>
      <w:pPr>
        <w:ind w:left="1980" w:hanging="360"/>
      </w:pPr>
      <w:rPr>
        <w:rFonts w:ascii="Wingdings" w:hAnsi="Wingdings" w:hint="default"/>
      </w:rPr>
    </w:lvl>
    <w:lvl w:ilvl="3" w:tplc="4C0A0001" w:tentative="1">
      <w:start w:val="1"/>
      <w:numFmt w:val="bullet"/>
      <w:lvlText w:val=""/>
      <w:lvlJc w:val="left"/>
      <w:pPr>
        <w:ind w:left="2700" w:hanging="360"/>
      </w:pPr>
      <w:rPr>
        <w:rFonts w:ascii="Symbol" w:hAnsi="Symbol" w:hint="default"/>
      </w:rPr>
    </w:lvl>
    <w:lvl w:ilvl="4" w:tplc="4C0A0003" w:tentative="1">
      <w:start w:val="1"/>
      <w:numFmt w:val="bullet"/>
      <w:lvlText w:val="o"/>
      <w:lvlJc w:val="left"/>
      <w:pPr>
        <w:ind w:left="3420" w:hanging="360"/>
      </w:pPr>
      <w:rPr>
        <w:rFonts w:ascii="Courier New" w:hAnsi="Courier New" w:cs="Courier New" w:hint="default"/>
      </w:rPr>
    </w:lvl>
    <w:lvl w:ilvl="5" w:tplc="4C0A0005" w:tentative="1">
      <w:start w:val="1"/>
      <w:numFmt w:val="bullet"/>
      <w:lvlText w:val=""/>
      <w:lvlJc w:val="left"/>
      <w:pPr>
        <w:ind w:left="4140" w:hanging="360"/>
      </w:pPr>
      <w:rPr>
        <w:rFonts w:ascii="Wingdings" w:hAnsi="Wingdings" w:hint="default"/>
      </w:rPr>
    </w:lvl>
    <w:lvl w:ilvl="6" w:tplc="4C0A0001" w:tentative="1">
      <w:start w:val="1"/>
      <w:numFmt w:val="bullet"/>
      <w:lvlText w:val=""/>
      <w:lvlJc w:val="left"/>
      <w:pPr>
        <w:ind w:left="4860" w:hanging="360"/>
      </w:pPr>
      <w:rPr>
        <w:rFonts w:ascii="Symbol" w:hAnsi="Symbol" w:hint="default"/>
      </w:rPr>
    </w:lvl>
    <w:lvl w:ilvl="7" w:tplc="4C0A0003" w:tentative="1">
      <w:start w:val="1"/>
      <w:numFmt w:val="bullet"/>
      <w:lvlText w:val="o"/>
      <w:lvlJc w:val="left"/>
      <w:pPr>
        <w:ind w:left="5580" w:hanging="360"/>
      </w:pPr>
      <w:rPr>
        <w:rFonts w:ascii="Courier New" w:hAnsi="Courier New" w:cs="Courier New" w:hint="default"/>
      </w:rPr>
    </w:lvl>
    <w:lvl w:ilvl="8" w:tplc="4C0A0005" w:tentative="1">
      <w:start w:val="1"/>
      <w:numFmt w:val="bullet"/>
      <w:lvlText w:val=""/>
      <w:lvlJc w:val="left"/>
      <w:pPr>
        <w:ind w:left="6300" w:hanging="360"/>
      </w:pPr>
      <w:rPr>
        <w:rFonts w:ascii="Wingdings" w:hAnsi="Wingdings" w:hint="default"/>
      </w:rPr>
    </w:lvl>
  </w:abstractNum>
  <w:abstractNum w:abstractNumId="7">
    <w:nsid w:val="37852BFA"/>
    <w:multiLevelType w:val="multilevel"/>
    <w:tmpl w:val="BAE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EB3B93"/>
    <w:multiLevelType w:val="hybridMultilevel"/>
    <w:tmpl w:val="72129D06"/>
    <w:lvl w:ilvl="0" w:tplc="DE7E12BE">
      <w:start w:val="1"/>
      <w:numFmt w:val="decimal"/>
      <w:lvlText w:val="%1)"/>
      <w:lvlJc w:val="left"/>
      <w:pPr>
        <w:ind w:left="2070" w:hanging="360"/>
      </w:pPr>
      <w:rPr>
        <w:rFonts w:hint="default"/>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9">
    <w:nsid w:val="3DE6510F"/>
    <w:multiLevelType w:val="hybridMultilevel"/>
    <w:tmpl w:val="1D12C3CA"/>
    <w:lvl w:ilvl="0" w:tplc="FF9813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E44B88"/>
    <w:multiLevelType w:val="hybridMultilevel"/>
    <w:tmpl w:val="CB724E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AF2BC8"/>
    <w:multiLevelType w:val="hybridMultilevel"/>
    <w:tmpl w:val="B5BEDC2C"/>
    <w:lvl w:ilvl="0" w:tplc="FF9813D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FAC6D5B"/>
    <w:multiLevelType w:val="multilevel"/>
    <w:tmpl w:val="D7542BDE"/>
    <w:lvl w:ilvl="0">
      <w:start w:val="1"/>
      <w:numFmt w:val="upperRoman"/>
      <w:lvlText w:val="%1."/>
      <w:lvlJc w:val="left"/>
      <w:pPr>
        <w:ind w:left="1080" w:hanging="720"/>
      </w:pPr>
      <w:rPr>
        <w:rFonts w:hint="default"/>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22A0016"/>
    <w:multiLevelType w:val="multilevel"/>
    <w:tmpl w:val="DDC8D62E"/>
    <w:lvl w:ilvl="0">
      <w:start w:val="1"/>
      <w:numFmt w:val="upperRoman"/>
      <w:lvlText w:val="%1."/>
      <w:lvlJc w:val="left"/>
      <w:pPr>
        <w:ind w:left="1080" w:hanging="720"/>
      </w:pPr>
    </w:lvl>
    <w:lvl w:ilvl="1">
      <w:start w:val="1"/>
      <w:numFmt w:val="decimal"/>
      <w:isLgl/>
      <w:lvlText w:val="%1.%2"/>
      <w:lvlJc w:val="left"/>
      <w:pPr>
        <w:ind w:left="720" w:hanging="360"/>
      </w:pPr>
      <w:rPr>
        <w:b w:val="0"/>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79784702"/>
    <w:multiLevelType w:val="hybridMultilevel"/>
    <w:tmpl w:val="C834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A1110C"/>
    <w:multiLevelType w:val="multilevel"/>
    <w:tmpl w:val="13A26A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5"/>
  </w:num>
  <w:num w:numId="2">
    <w:abstractNumId w:val="13"/>
  </w:num>
  <w:num w:numId="3">
    <w:abstractNumId w:val="14"/>
  </w:num>
  <w:num w:numId="4">
    <w:abstractNumId w:val="9"/>
  </w:num>
  <w:num w:numId="5">
    <w:abstractNumId w:val="1"/>
  </w:num>
  <w:num w:numId="6">
    <w:abstractNumId w:val="15"/>
  </w:num>
  <w:num w:numId="7">
    <w:abstractNumId w:val="4"/>
  </w:num>
  <w:num w:numId="8">
    <w:abstractNumId w:val="7"/>
  </w:num>
  <w:num w:numId="9">
    <w:abstractNumId w:val="3"/>
  </w:num>
  <w:num w:numId="10">
    <w:abstractNumId w:val="11"/>
  </w:num>
  <w:num w:numId="11">
    <w:abstractNumId w:val="10"/>
  </w:num>
  <w:num w:numId="12">
    <w:abstractNumId w:val="12"/>
  </w:num>
  <w:num w:numId="13">
    <w:abstractNumId w:val="8"/>
  </w:num>
  <w:num w:numId="14">
    <w:abstractNumId w:val="2"/>
  </w:num>
  <w:num w:numId="15">
    <w:abstractNumId w:val="0"/>
  </w:num>
  <w:num w:numId="1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48C"/>
    <w:rsid w:val="00001776"/>
    <w:rsid w:val="00004CDE"/>
    <w:rsid w:val="0000622F"/>
    <w:rsid w:val="00007357"/>
    <w:rsid w:val="00007E57"/>
    <w:rsid w:val="00027346"/>
    <w:rsid w:val="00030512"/>
    <w:rsid w:val="0003178B"/>
    <w:rsid w:val="000345A8"/>
    <w:rsid w:val="00037010"/>
    <w:rsid w:val="00042280"/>
    <w:rsid w:val="00043669"/>
    <w:rsid w:val="00044235"/>
    <w:rsid w:val="00047030"/>
    <w:rsid w:val="00050395"/>
    <w:rsid w:val="00050EF7"/>
    <w:rsid w:val="0005277D"/>
    <w:rsid w:val="00053E7F"/>
    <w:rsid w:val="00055410"/>
    <w:rsid w:val="00057339"/>
    <w:rsid w:val="00060C35"/>
    <w:rsid w:val="00065FA4"/>
    <w:rsid w:val="00072545"/>
    <w:rsid w:val="000817FF"/>
    <w:rsid w:val="00086142"/>
    <w:rsid w:val="000866C7"/>
    <w:rsid w:val="00097F6E"/>
    <w:rsid w:val="000A422F"/>
    <w:rsid w:val="000A6786"/>
    <w:rsid w:val="000B1586"/>
    <w:rsid w:val="000B39ED"/>
    <w:rsid w:val="000B5216"/>
    <w:rsid w:val="000B6F63"/>
    <w:rsid w:val="000B75D1"/>
    <w:rsid w:val="000C1872"/>
    <w:rsid w:val="000C3AE0"/>
    <w:rsid w:val="000C4AA2"/>
    <w:rsid w:val="000C7B45"/>
    <w:rsid w:val="000D08D2"/>
    <w:rsid w:val="000D0CAA"/>
    <w:rsid w:val="000D1916"/>
    <w:rsid w:val="000D379F"/>
    <w:rsid w:val="000D46AB"/>
    <w:rsid w:val="000F0CB2"/>
    <w:rsid w:val="000F105F"/>
    <w:rsid w:val="000F549E"/>
    <w:rsid w:val="000F59DF"/>
    <w:rsid w:val="00100470"/>
    <w:rsid w:val="0010431D"/>
    <w:rsid w:val="00113E5E"/>
    <w:rsid w:val="001207DF"/>
    <w:rsid w:val="00121695"/>
    <w:rsid w:val="001216BB"/>
    <w:rsid w:val="00122808"/>
    <w:rsid w:val="00126A26"/>
    <w:rsid w:val="001354BB"/>
    <w:rsid w:val="001374A8"/>
    <w:rsid w:val="00140487"/>
    <w:rsid w:val="00141D4A"/>
    <w:rsid w:val="00144131"/>
    <w:rsid w:val="00155105"/>
    <w:rsid w:val="00161373"/>
    <w:rsid w:val="00170556"/>
    <w:rsid w:val="001738CD"/>
    <w:rsid w:val="0017671D"/>
    <w:rsid w:val="00185248"/>
    <w:rsid w:val="0018527E"/>
    <w:rsid w:val="0019456A"/>
    <w:rsid w:val="001A3F9E"/>
    <w:rsid w:val="001A4F46"/>
    <w:rsid w:val="001A74EF"/>
    <w:rsid w:val="001B12F3"/>
    <w:rsid w:val="001B2D1B"/>
    <w:rsid w:val="001B3D81"/>
    <w:rsid w:val="001B4689"/>
    <w:rsid w:val="001B50BD"/>
    <w:rsid w:val="001C21AD"/>
    <w:rsid w:val="001C621A"/>
    <w:rsid w:val="001C6562"/>
    <w:rsid w:val="001D60A0"/>
    <w:rsid w:val="001D6F07"/>
    <w:rsid w:val="001D75AD"/>
    <w:rsid w:val="001D76F2"/>
    <w:rsid w:val="001E0728"/>
    <w:rsid w:val="001E311F"/>
    <w:rsid w:val="001E6844"/>
    <w:rsid w:val="001E71C4"/>
    <w:rsid w:val="001F2A8F"/>
    <w:rsid w:val="001F62E1"/>
    <w:rsid w:val="002016CA"/>
    <w:rsid w:val="00202008"/>
    <w:rsid w:val="00205C08"/>
    <w:rsid w:val="002060D4"/>
    <w:rsid w:val="002063F0"/>
    <w:rsid w:val="0020641F"/>
    <w:rsid w:val="0021182B"/>
    <w:rsid w:val="0021196B"/>
    <w:rsid w:val="00211AE8"/>
    <w:rsid w:val="00212379"/>
    <w:rsid w:val="00213015"/>
    <w:rsid w:val="0021382E"/>
    <w:rsid w:val="00213C2D"/>
    <w:rsid w:val="002140CD"/>
    <w:rsid w:val="00216387"/>
    <w:rsid w:val="002225BF"/>
    <w:rsid w:val="0022434B"/>
    <w:rsid w:val="00225ACB"/>
    <w:rsid w:val="00231E65"/>
    <w:rsid w:val="00233BA8"/>
    <w:rsid w:val="00244250"/>
    <w:rsid w:val="0025220D"/>
    <w:rsid w:val="002523E5"/>
    <w:rsid w:val="0025288A"/>
    <w:rsid w:val="00252BE9"/>
    <w:rsid w:val="002576F8"/>
    <w:rsid w:val="00265612"/>
    <w:rsid w:val="0026677F"/>
    <w:rsid w:val="002702D6"/>
    <w:rsid w:val="002754F8"/>
    <w:rsid w:val="0028386B"/>
    <w:rsid w:val="0028775E"/>
    <w:rsid w:val="002921A3"/>
    <w:rsid w:val="002949F8"/>
    <w:rsid w:val="00296C73"/>
    <w:rsid w:val="002A0A03"/>
    <w:rsid w:val="002A16AF"/>
    <w:rsid w:val="002A53C4"/>
    <w:rsid w:val="002B4A47"/>
    <w:rsid w:val="002B54F9"/>
    <w:rsid w:val="002C1A7E"/>
    <w:rsid w:val="002C21D0"/>
    <w:rsid w:val="002D06AE"/>
    <w:rsid w:val="002D28BA"/>
    <w:rsid w:val="002D3939"/>
    <w:rsid w:val="002D4575"/>
    <w:rsid w:val="002D59AC"/>
    <w:rsid w:val="002E3ADC"/>
    <w:rsid w:val="002E491A"/>
    <w:rsid w:val="002E7FBC"/>
    <w:rsid w:val="002F5698"/>
    <w:rsid w:val="003014B4"/>
    <w:rsid w:val="00301565"/>
    <w:rsid w:val="003015B9"/>
    <w:rsid w:val="0030405A"/>
    <w:rsid w:val="00305ABD"/>
    <w:rsid w:val="003118DB"/>
    <w:rsid w:val="0031221B"/>
    <w:rsid w:val="00313B84"/>
    <w:rsid w:val="00327E9B"/>
    <w:rsid w:val="00340292"/>
    <w:rsid w:val="00341026"/>
    <w:rsid w:val="003459BB"/>
    <w:rsid w:val="00351953"/>
    <w:rsid w:val="00361EB7"/>
    <w:rsid w:val="00374DE7"/>
    <w:rsid w:val="003813B5"/>
    <w:rsid w:val="00383BE3"/>
    <w:rsid w:val="00384073"/>
    <w:rsid w:val="00384953"/>
    <w:rsid w:val="00386DE3"/>
    <w:rsid w:val="00392C39"/>
    <w:rsid w:val="00395548"/>
    <w:rsid w:val="003B253A"/>
    <w:rsid w:val="003B7057"/>
    <w:rsid w:val="003C2086"/>
    <w:rsid w:val="003D1A82"/>
    <w:rsid w:val="003D45B0"/>
    <w:rsid w:val="003D645B"/>
    <w:rsid w:val="003E1D61"/>
    <w:rsid w:val="003E7D6D"/>
    <w:rsid w:val="003F038D"/>
    <w:rsid w:val="003F084F"/>
    <w:rsid w:val="003F2F79"/>
    <w:rsid w:val="0040011E"/>
    <w:rsid w:val="0040464A"/>
    <w:rsid w:val="004063F8"/>
    <w:rsid w:val="00410D63"/>
    <w:rsid w:val="00420025"/>
    <w:rsid w:val="0042162C"/>
    <w:rsid w:val="00427685"/>
    <w:rsid w:val="00432F78"/>
    <w:rsid w:val="00434B88"/>
    <w:rsid w:val="00441629"/>
    <w:rsid w:val="00442F92"/>
    <w:rsid w:val="00444F86"/>
    <w:rsid w:val="00450B91"/>
    <w:rsid w:val="004514F5"/>
    <w:rsid w:val="00452D29"/>
    <w:rsid w:val="00453652"/>
    <w:rsid w:val="00454458"/>
    <w:rsid w:val="00457CD7"/>
    <w:rsid w:val="00463036"/>
    <w:rsid w:val="0046347A"/>
    <w:rsid w:val="00464600"/>
    <w:rsid w:val="00474EA7"/>
    <w:rsid w:val="00475A61"/>
    <w:rsid w:val="004802B3"/>
    <w:rsid w:val="00482848"/>
    <w:rsid w:val="00483FC5"/>
    <w:rsid w:val="004872CF"/>
    <w:rsid w:val="00493D3A"/>
    <w:rsid w:val="004943EA"/>
    <w:rsid w:val="00494485"/>
    <w:rsid w:val="0049619C"/>
    <w:rsid w:val="004961B8"/>
    <w:rsid w:val="004A4B79"/>
    <w:rsid w:val="004A59D3"/>
    <w:rsid w:val="004A6C2E"/>
    <w:rsid w:val="004B4798"/>
    <w:rsid w:val="004B62D1"/>
    <w:rsid w:val="004C3345"/>
    <w:rsid w:val="004C3FA2"/>
    <w:rsid w:val="004C4416"/>
    <w:rsid w:val="004C73D1"/>
    <w:rsid w:val="004D23F6"/>
    <w:rsid w:val="004D3E3C"/>
    <w:rsid w:val="004D6BBC"/>
    <w:rsid w:val="004E3611"/>
    <w:rsid w:val="004E77EA"/>
    <w:rsid w:val="004F0EF6"/>
    <w:rsid w:val="004F5060"/>
    <w:rsid w:val="004F7C74"/>
    <w:rsid w:val="00500136"/>
    <w:rsid w:val="00512DA5"/>
    <w:rsid w:val="00522341"/>
    <w:rsid w:val="00522382"/>
    <w:rsid w:val="005248EE"/>
    <w:rsid w:val="00535823"/>
    <w:rsid w:val="0053658F"/>
    <w:rsid w:val="00542D53"/>
    <w:rsid w:val="005466AA"/>
    <w:rsid w:val="005513CA"/>
    <w:rsid w:val="005546FB"/>
    <w:rsid w:val="00554A9E"/>
    <w:rsid w:val="00554E73"/>
    <w:rsid w:val="0055749F"/>
    <w:rsid w:val="00562383"/>
    <w:rsid w:val="00562B0F"/>
    <w:rsid w:val="00571298"/>
    <w:rsid w:val="005736F0"/>
    <w:rsid w:val="00573F7A"/>
    <w:rsid w:val="00577129"/>
    <w:rsid w:val="00586EB1"/>
    <w:rsid w:val="00587619"/>
    <w:rsid w:val="005968B5"/>
    <w:rsid w:val="005A1741"/>
    <w:rsid w:val="005A2804"/>
    <w:rsid w:val="005A2E37"/>
    <w:rsid w:val="005A53C9"/>
    <w:rsid w:val="005B0D83"/>
    <w:rsid w:val="005B31BA"/>
    <w:rsid w:val="005C0FD6"/>
    <w:rsid w:val="005C4158"/>
    <w:rsid w:val="005C5520"/>
    <w:rsid w:val="005D65F9"/>
    <w:rsid w:val="005E0604"/>
    <w:rsid w:val="005E0939"/>
    <w:rsid w:val="005E30EA"/>
    <w:rsid w:val="005E36F8"/>
    <w:rsid w:val="005F4AAB"/>
    <w:rsid w:val="006015BF"/>
    <w:rsid w:val="00602832"/>
    <w:rsid w:val="00603662"/>
    <w:rsid w:val="006053A0"/>
    <w:rsid w:val="00605E7C"/>
    <w:rsid w:val="00610B8B"/>
    <w:rsid w:val="00611959"/>
    <w:rsid w:val="006125DD"/>
    <w:rsid w:val="0061368E"/>
    <w:rsid w:val="0061642C"/>
    <w:rsid w:val="00620319"/>
    <w:rsid w:val="006374EA"/>
    <w:rsid w:val="0064148C"/>
    <w:rsid w:val="00641DAF"/>
    <w:rsid w:val="0064747F"/>
    <w:rsid w:val="00662EBF"/>
    <w:rsid w:val="00667A67"/>
    <w:rsid w:val="00671446"/>
    <w:rsid w:val="00673BEB"/>
    <w:rsid w:val="0067590C"/>
    <w:rsid w:val="00676E7B"/>
    <w:rsid w:val="00682524"/>
    <w:rsid w:val="0068437A"/>
    <w:rsid w:val="006936C3"/>
    <w:rsid w:val="006A0711"/>
    <w:rsid w:val="006A11D3"/>
    <w:rsid w:val="006A20BA"/>
    <w:rsid w:val="006B2A1A"/>
    <w:rsid w:val="006C0DFA"/>
    <w:rsid w:val="006C449E"/>
    <w:rsid w:val="006C7132"/>
    <w:rsid w:val="006C75FF"/>
    <w:rsid w:val="006C7F8E"/>
    <w:rsid w:val="006D3204"/>
    <w:rsid w:val="006D6E66"/>
    <w:rsid w:val="006F56E0"/>
    <w:rsid w:val="006F6182"/>
    <w:rsid w:val="00701A12"/>
    <w:rsid w:val="007032D2"/>
    <w:rsid w:val="00704708"/>
    <w:rsid w:val="0070612E"/>
    <w:rsid w:val="007100D7"/>
    <w:rsid w:val="0071380A"/>
    <w:rsid w:val="007139F9"/>
    <w:rsid w:val="00723295"/>
    <w:rsid w:val="00724451"/>
    <w:rsid w:val="00727716"/>
    <w:rsid w:val="00727B7C"/>
    <w:rsid w:val="007307EF"/>
    <w:rsid w:val="0073170E"/>
    <w:rsid w:val="00732098"/>
    <w:rsid w:val="00733052"/>
    <w:rsid w:val="007339AD"/>
    <w:rsid w:val="0074207A"/>
    <w:rsid w:val="00743E65"/>
    <w:rsid w:val="007450FC"/>
    <w:rsid w:val="00747CC1"/>
    <w:rsid w:val="007560B8"/>
    <w:rsid w:val="00757C79"/>
    <w:rsid w:val="0076102B"/>
    <w:rsid w:val="00761E81"/>
    <w:rsid w:val="00764783"/>
    <w:rsid w:val="0076665B"/>
    <w:rsid w:val="0077328C"/>
    <w:rsid w:val="00776039"/>
    <w:rsid w:val="00776ABE"/>
    <w:rsid w:val="00776B9A"/>
    <w:rsid w:val="00777B56"/>
    <w:rsid w:val="007804F2"/>
    <w:rsid w:val="00781CBF"/>
    <w:rsid w:val="0078303C"/>
    <w:rsid w:val="0079238A"/>
    <w:rsid w:val="00795851"/>
    <w:rsid w:val="007A6248"/>
    <w:rsid w:val="007A7903"/>
    <w:rsid w:val="007A7E3B"/>
    <w:rsid w:val="007C3F26"/>
    <w:rsid w:val="007D17D9"/>
    <w:rsid w:val="007E4B67"/>
    <w:rsid w:val="007E6910"/>
    <w:rsid w:val="007E742F"/>
    <w:rsid w:val="007E7CC4"/>
    <w:rsid w:val="007F7EB5"/>
    <w:rsid w:val="00814D74"/>
    <w:rsid w:val="00826543"/>
    <w:rsid w:val="008270B9"/>
    <w:rsid w:val="00830D7D"/>
    <w:rsid w:val="00831C8D"/>
    <w:rsid w:val="00840867"/>
    <w:rsid w:val="0084266F"/>
    <w:rsid w:val="0084385F"/>
    <w:rsid w:val="00844718"/>
    <w:rsid w:val="00847F41"/>
    <w:rsid w:val="00861E50"/>
    <w:rsid w:val="00864F5E"/>
    <w:rsid w:val="00867711"/>
    <w:rsid w:val="008729B5"/>
    <w:rsid w:val="00873494"/>
    <w:rsid w:val="008800CC"/>
    <w:rsid w:val="00886CBB"/>
    <w:rsid w:val="00887CBE"/>
    <w:rsid w:val="00894C10"/>
    <w:rsid w:val="00895005"/>
    <w:rsid w:val="00897388"/>
    <w:rsid w:val="008A1A00"/>
    <w:rsid w:val="008A6EF3"/>
    <w:rsid w:val="008A7AA9"/>
    <w:rsid w:val="008B10AD"/>
    <w:rsid w:val="008B75CC"/>
    <w:rsid w:val="008C19CF"/>
    <w:rsid w:val="008C3959"/>
    <w:rsid w:val="008D0278"/>
    <w:rsid w:val="008D0496"/>
    <w:rsid w:val="008D15DA"/>
    <w:rsid w:val="008E1285"/>
    <w:rsid w:val="008E2111"/>
    <w:rsid w:val="008E420C"/>
    <w:rsid w:val="008F097E"/>
    <w:rsid w:val="008F19E7"/>
    <w:rsid w:val="009050FA"/>
    <w:rsid w:val="00914798"/>
    <w:rsid w:val="0092471E"/>
    <w:rsid w:val="00924B5A"/>
    <w:rsid w:val="00927721"/>
    <w:rsid w:val="00936F1C"/>
    <w:rsid w:val="009401DA"/>
    <w:rsid w:val="0094269D"/>
    <w:rsid w:val="00945916"/>
    <w:rsid w:val="00946670"/>
    <w:rsid w:val="009509D0"/>
    <w:rsid w:val="00952FF7"/>
    <w:rsid w:val="009566B2"/>
    <w:rsid w:val="0095744C"/>
    <w:rsid w:val="00960C3F"/>
    <w:rsid w:val="00961C6D"/>
    <w:rsid w:val="0096573D"/>
    <w:rsid w:val="00970FA3"/>
    <w:rsid w:val="009724B0"/>
    <w:rsid w:val="00973A37"/>
    <w:rsid w:val="00974D3D"/>
    <w:rsid w:val="0098114A"/>
    <w:rsid w:val="00981A85"/>
    <w:rsid w:val="00983AC3"/>
    <w:rsid w:val="00984C7A"/>
    <w:rsid w:val="00985C23"/>
    <w:rsid w:val="00985EC5"/>
    <w:rsid w:val="009866DA"/>
    <w:rsid w:val="00986741"/>
    <w:rsid w:val="009A15C5"/>
    <w:rsid w:val="009A2DFA"/>
    <w:rsid w:val="009A445C"/>
    <w:rsid w:val="009A631C"/>
    <w:rsid w:val="009A6458"/>
    <w:rsid w:val="009B1829"/>
    <w:rsid w:val="009B18B6"/>
    <w:rsid w:val="009B27A8"/>
    <w:rsid w:val="009B4148"/>
    <w:rsid w:val="009B5781"/>
    <w:rsid w:val="009C3CB9"/>
    <w:rsid w:val="009C7401"/>
    <w:rsid w:val="009E1F0E"/>
    <w:rsid w:val="009E3255"/>
    <w:rsid w:val="009F0873"/>
    <w:rsid w:val="009F0CFD"/>
    <w:rsid w:val="009F18F0"/>
    <w:rsid w:val="00A01A3E"/>
    <w:rsid w:val="00A0478E"/>
    <w:rsid w:val="00A07596"/>
    <w:rsid w:val="00A1060E"/>
    <w:rsid w:val="00A11807"/>
    <w:rsid w:val="00A12706"/>
    <w:rsid w:val="00A1501D"/>
    <w:rsid w:val="00A2150C"/>
    <w:rsid w:val="00A23470"/>
    <w:rsid w:val="00A25D8E"/>
    <w:rsid w:val="00A31DE3"/>
    <w:rsid w:val="00A334E1"/>
    <w:rsid w:val="00A3562F"/>
    <w:rsid w:val="00A41E4A"/>
    <w:rsid w:val="00A436EE"/>
    <w:rsid w:val="00A53A98"/>
    <w:rsid w:val="00A56C08"/>
    <w:rsid w:val="00A60B98"/>
    <w:rsid w:val="00A60ED5"/>
    <w:rsid w:val="00A624B9"/>
    <w:rsid w:val="00A6672A"/>
    <w:rsid w:val="00A71250"/>
    <w:rsid w:val="00A77A82"/>
    <w:rsid w:val="00A820DF"/>
    <w:rsid w:val="00A85F57"/>
    <w:rsid w:val="00A8693A"/>
    <w:rsid w:val="00A87842"/>
    <w:rsid w:val="00A87983"/>
    <w:rsid w:val="00A93913"/>
    <w:rsid w:val="00A97198"/>
    <w:rsid w:val="00AA02D3"/>
    <w:rsid w:val="00AA152F"/>
    <w:rsid w:val="00AA1F26"/>
    <w:rsid w:val="00AA3ACD"/>
    <w:rsid w:val="00AA694A"/>
    <w:rsid w:val="00AB77AD"/>
    <w:rsid w:val="00AC1BDE"/>
    <w:rsid w:val="00AC4E5B"/>
    <w:rsid w:val="00AC5605"/>
    <w:rsid w:val="00AC5C3B"/>
    <w:rsid w:val="00AC6E2E"/>
    <w:rsid w:val="00AC7AEF"/>
    <w:rsid w:val="00AD37D8"/>
    <w:rsid w:val="00AD5E18"/>
    <w:rsid w:val="00AE069A"/>
    <w:rsid w:val="00AE0D78"/>
    <w:rsid w:val="00AE2571"/>
    <w:rsid w:val="00AE6A4A"/>
    <w:rsid w:val="00AF5A40"/>
    <w:rsid w:val="00B04B8B"/>
    <w:rsid w:val="00B07958"/>
    <w:rsid w:val="00B15400"/>
    <w:rsid w:val="00B2133D"/>
    <w:rsid w:val="00B249E9"/>
    <w:rsid w:val="00B3139C"/>
    <w:rsid w:val="00B31F2A"/>
    <w:rsid w:val="00B45604"/>
    <w:rsid w:val="00B462E1"/>
    <w:rsid w:val="00B5039F"/>
    <w:rsid w:val="00B57512"/>
    <w:rsid w:val="00B6026E"/>
    <w:rsid w:val="00B66407"/>
    <w:rsid w:val="00B67196"/>
    <w:rsid w:val="00B674E5"/>
    <w:rsid w:val="00B67C51"/>
    <w:rsid w:val="00B72E00"/>
    <w:rsid w:val="00B74E87"/>
    <w:rsid w:val="00B822B5"/>
    <w:rsid w:val="00B824A9"/>
    <w:rsid w:val="00B8785E"/>
    <w:rsid w:val="00B94A1F"/>
    <w:rsid w:val="00BA00A2"/>
    <w:rsid w:val="00BA3A8E"/>
    <w:rsid w:val="00BA468C"/>
    <w:rsid w:val="00BA4816"/>
    <w:rsid w:val="00BB0443"/>
    <w:rsid w:val="00BB7529"/>
    <w:rsid w:val="00BC0FE9"/>
    <w:rsid w:val="00BC5509"/>
    <w:rsid w:val="00BD26BE"/>
    <w:rsid w:val="00BD494E"/>
    <w:rsid w:val="00BD5554"/>
    <w:rsid w:val="00BF2C6A"/>
    <w:rsid w:val="00BF4E77"/>
    <w:rsid w:val="00C00B0F"/>
    <w:rsid w:val="00C00B3B"/>
    <w:rsid w:val="00C01C59"/>
    <w:rsid w:val="00C020D3"/>
    <w:rsid w:val="00C02D72"/>
    <w:rsid w:val="00C07732"/>
    <w:rsid w:val="00C10300"/>
    <w:rsid w:val="00C120D2"/>
    <w:rsid w:val="00C137EB"/>
    <w:rsid w:val="00C1622F"/>
    <w:rsid w:val="00C26962"/>
    <w:rsid w:val="00C2736F"/>
    <w:rsid w:val="00C30C4D"/>
    <w:rsid w:val="00C31DEF"/>
    <w:rsid w:val="00C322D0"/>
    <w:rsid w:val="00C33B10"/>
    <w:rsid w:val="00C33C5A"/>
    <w:rsid w:val="00C41D3A"/>
    <w:rsid w:val="00C500C9"/>
    <w:rsid w:val="00C535D4"/>
    <w:rsid w:val="00C53D1E"/>
    <w:rsid w:val="00C5697F"/>
    <w:rsid w:val="00C62D17"/>
    <w:rsid w:val="00C660AB"/>
    <w:rsid w:val="00C77A57"/>
    <w:rsid w:val="00C81CA7"/>
    <w:rsid w:val="00C82C72"/>
    <w:rsid w:val="00C8646E"/>
    <w:rsid w:val="00CA6077"/>
    <w:rsid w:val="00CA72BD"/>
    <w:rsid w:val="00CA7B92"/>
    <w:rsid w:val="00CB4562"/>
    <w:rsid w:val="00CB6E7C"/>
    <w:rsid w:val="00CB7233"/>
    <w:rsid w:val="00CC11EF"/>
    <w:rsid w:val="00CC138C"/>
    <w:rsid w:val="00CC6B1C"/>
    <w:rsid w:val="00CD14E2"/>
    <w:rsid w:val="00CD1B04"/>
    <w:rsid w:val="00CD2DF9"/>
    <w:rsid w:val="00CE254F"/>
    <w:rsid w:val="00CE36A1"/>
    <w:rsid w:val="00CE5486"/>
    <w:rsid w:val="00CE7643"/>
    <w:rsid w:val="00CE764A"/>
    <w:rsid w:val="00CF2357"/>
    <w:rsid w:val="00CF2A06"/>
    <w:rsid w:val="00CF2BEB"/>
    <w:rsid w:val="00CF45D9"/>
    <w:rsid w:val="00CF63DA"/>
    <w:rsid w:val="00D02CD1"/>
    <w:rsid w:val="00D03CAE"/>
    <w:rsid w:val="00D04A1C"/>
    <w:rsid w:val="00D07F02"/>
    <w:rsid w:val="00D12A03"/>
    <w:rsid w:val="00D14BA2"/>
    <w:rsid w:val="00D259EE"/>
    <w:rsid w:val="00D26460"/>
    <w:rsid w:val="00D34125"/>
    <w:rsid w:val="00D3725C"/>
    <w:rsid w:val="00D37B2A"/>
    <w:rsid w:val="00D447AB"/>
    <w:rsid w:val="00D447E4"/>
    <w:rsid w:val="00D452EA"/>
    <w:rsid w:val="00D515D5"/>
    <w:rsid w:val="00D61855"/>
    <w:rsid w:val="00D61E3D"/>
    <w:rsid w:val="00D624D5"/>
    <w:rsid w:val="00D626FA"/>
    <w:rsid w:val="00D6515A"/>
    <w:rsid w:val="00D663CC"/>
    <w:rsid w:val="00D75626"/>
    <w:rsid w:val="00D83A70"/>
    <w:rsid w:val="00D844CA"/>
    <w:rsid w:val="00D87168"/>
    <w:rsid w:val="00D87D4F"/>
    <w:rsid w:val="00D91816"/>
    <w:rsid w:val="00D91D5E"/>
    <w:rsid w:val="00DA42AE"/>
    <w:rsid w:val="00DA4C8F"/>
    <w:rsid w:val="00DA5EFE"/>
    <w:rsid w:val="00DA78A4"/>
    <w:rsid w:val="00DC1C39"/>
    <w:rsid w:val="00DE2818"/>
    <w:rsid w:val="00DE4D8A"/>
    <w:rsid w:val="00DE4EFF"/>
    <w:rsid w:val="00DE66ED"/>
    <w:rsid w:val="00DF0037"/>
    <w:rsid w:val="00DF4FBB"/>
    <w:rsid w:val="00E0323B"/>
    <w:rsid w:val="00E033B2"/>
    <w:rsid w:val="00E06211"/>
    <w:rsid w:val="00E1012B"/>
    <w:rsid w:val="00E13165"/>
    <w:rsid w:val="00E17614"/>
    <w:rsid w:val="00E23E31"/>
    <w:rsid w:val="00E453E7"/>
    <w:rsid w:val="00E53AFB"/>
    <w:rsid w:val="00E60D22"/>
    <w:rsid w:val="00E72A54"/>
    <w:rsid w:val="00E73F15"/>
    <w:rsid w:val="00E7400B"/>
    <w:rsid w:val="00E77EE0"/>
    <w:rsid w:val="00E8404C"/>
    <w:rsid w:val="00E85798"/>
    <w:rsid w:val="00E8589E"/>
    <w:rsid w:val="00E93FFF"/>
    <w:rsid w:val="00EA371D"/>
    <w:rsid w:val="00EA7476"/>
    <w:rsid w:val="00EB6318"/>
    <w:rsid w:val="00EB6D5F"/>
    <w:rsid w:val="00EB6D98"/>
    <w:rsid w:val="00EC2527"/>
    <w:rsid w:val="00EC7AFE"/>
    <w:rsid w:val="00ED36C6"/>
    <w:rsid w:val="00ED6D97"/>
    <w:rsid w:val="00ED7D8B"/>
    <w:rsid w:val="00EE00FF"/>
    <w:rsid w:val="00EE3185"/>
    <w:rsid w:val="00EE3502"/>
    <w:rsid w:val="00EE6561"/>
    <w:rsid w:val="00EF77F2"/>
    <w:rsid w:val="00EF787A"/>
    <w:rsid w:val="00EF78AD"/>
    <w:rsid w:val="00F057B6"/>
    <w:rsid w:val="00F07EA6"/>
    <w:rsid w:val="00F13E13"/>
    <w:rsid w:val="00F144F4"/>
    <w:rsid w:val="00F160A4"/>
    <w:rsid w:val="00F2091F"/>
    <w:rsid w:val="00F239B3"/>
    <w:rsid w:val="00F256AF"/>
    <w:rsid w:val="00F2671A"/>
    <w:rsid w:val="00F3366A"/>
    <w:rsid w:val="00F34DD7"/>
    <w:rsid w:val="00F35127"/>
    <w:rsid w:val="00F41320"/>
    <w:rsid w:val="00F43778"/>
    <w:rsid w:val="00F43C26"/>
    <w:rsid w:val="00F4429D"/>
    <w:rsid w:val="00F66793"/>
    <w:rsid w:val="00F66DBE"/>
    <w:rsid w:val="00F66F44"/>
    <w:rsid w:val="00F67C3F"/>
    <w:rsid w:val="00F714B9"/>
    <w:rsid w:val="00F71D36"/>
    <w:rsid w:val="00F75E27"/>
    <w:rsid w:val="00F801C5"/>
    <w:rsid w:val="00F816CB"/>
    <w:rsid w:val="00F8355E"/>
    <w:rsid w:val="00F87F12"/>
    <w:rsid w:val="00F9336F"/>
    <w:rsid w:val="00F93B05"/>
    <w:rsid w:val="00F96C93"/>
    <w:rsid w:val="00FB0EA8"/>
    <w:rsid w:val="00FB2553"/>
    <w:rsid w:val="00FB3925"/>
    <w:rsid w:val="00FB4727"/>
    <w:rsid w:val="00FB6908"/>
    <w:rsid w:val="00FC00C3"/>
    <w:rsid w:val="00FC2672"/>
    <w:rsid w:val="00FC44E2"/>
    <w:rsid w:val="00FC612D"/>
    <w:rsid w:val="00FC7617"/>
    <w:rsid w:val="00FD18B1"/>
    <w:rsid w:val="00FD3DA7"/>
    <w:rsid w:val="00FD6357"/>
    <w:rsid w:val="00FD7575"/>
    <w:rsid w:val="00FE4ABC"/>
    <w:rsid w:val="00FF19B6"/>
    <w:rsid w:val="00FF20BE"/>
    <w:rsid w:val="00FF3D8D"/>
    <w:rsid w:val="00FF5FA3"/>
    <w:rsid w:val="00FF6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DE3"/>
    <w:pPr>
      <w:spacing w:after="200" w:line="276" w:lineRule="auto"/>
    </w:pPr>
    <w:rPr>
      <w:sz w:val="22"/>
      <w:szCs w:val="22"/>
    </w:rPr>
  </w:style>
  <w:style w:type="paragraph" w:styleId="Heading1">
    <w:name w:val="heading 1"/>
    <w:basedOn w:val="Normal"/>
    <w:next w:val="Normal"/>
    <w:link w:val="Heading1Char"/>
    <w:uiPriority w:val="9"/>
    <w:qFormat/>
    <w:rsid w:val="0005039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rsid w:val="0064148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C3AE0"/>
    <w:rPr>
      <w:rFonts w:ascii="Tahoma" w:hAnsi="Tahoma" w:cs="Tahoma"/>
      <w:sz w:val="16"/>
      <w:szCs w:val="16"/>
    </w:rPr>
  </w:style>
  <w:style w:type="character" w:styleId="CommentReference">
    <w:name w:val="annotation reference"/>
    <w:uiPriority w:val="99"/>
    <w:unhideWhenUsed/>
    <w:rsid w:val="00AA694A"/>
    <w:rPr>
      <w:sz w:val="16"/>
      <w:szCs w:val="16"/>
    </w:rPr>
  </w:style>
  <w:style w:type="paragraph" w:styleId="CommentText">
    <w:name w:val="annotation text"/>
    <w:basedOn w:val="Normal"/>
    <w:link w:val="CommentTextChar"/>
    <w:unhideWhenUsed/>
    <w:rsid w:val="00AA694A"/>
    <w:pPr>
      <w:spacing w:line="240" w:lineRule="auto"/>
    </w:pPr>
    <w:rPr>
      <w:sz w:val="20"/>
      <w:szCs w:val="20"/>
    </w:rPr>
  </w:style>
  <w:style w:type="character" w:customStyle="1" w:styleId="CommentTextChar">
    <w:name w:val="Comment Text Char"/>
    <w:link w:val="CommentText"/>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b/>
      <w:smallCaps/>
      <w:sz w:val="24"/>
      <w:szCs w:val="20"/>
    </w:rPr>
  </w:style>
  <w:style w:type="character" w:customStyle="1" w:styleId="ChapterChar">
    <w:name w:val="Chapter Char"/>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b/>
      <w:sz w:val="24"/>
      <w:szCs w:val="20"/>
    </w:rPr>
  </w:style>
  <w:style w:type="character" w:customStyle="1" w:styleId="FirstHeadingChar">
    <w:name w:val="FirstHeading Char"/>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b/>
      <w:sz w:val="24"/>
      <w:szCs w:val="20"/>
    </w:rPr>
  </w:style>
  <w:style w:type="character" w:customStyle="1" w:styleId="SecHeadingChar">
    <w:name w:val="SecHeading Char"/>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link w:val="Paragraph"/>
    <w:uiPriority w:val="99"/>
    <w:rsid w:val="003F084F"/>
    <w:rPr>
      <w:rFonts w:ascii="Times New Roman" w:eastAsia="Times New Roman" w:hAnsi="Times New Roman" w:cs="Times New Roman"/>
      <w:sz w:val="24"/>
      <w:szCs w:val="20"/>
    </w:rPr>
  </w:style>
  <w:style w:type="paragraph" w:customStyle="1" w:styleId="subpar">
    <w:name w:val="subpar"/>
    <w:basedOn w:val="BodyTextIndent3"/>
    <w:link w:val="subparChar"/>
    <w:uiPriority w:val="99"/>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uiPriority w:val="99"/>
    <w:rsid w:val="003F084F"/>
    <w:pPr>
      <w:tabs>
        <w:tab w:val="left" w:pos="0"/>
        <w:tab w:val="num" w:pos="1296"/>
      </w:tabs>
      <w:ind w:left="1296" w:hanging="288"/>
    </w:pPr>
  </w:style>
  <w:style w:type="character" w:customStyle="1" w:styleId="SubSubParChar">
    <w:name w:val="SubSubPar Char"/>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sz w:val="20"/>
      <w:szCs w:val="20"/>
    </w:rPr>
  </w:style>
  <w:style w:type="character" w:customStyle="1" w:styleId="RegtableChar">
    <w:name w:val="Regtable Char"/>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b/>
      <w:spacing w:val="-3"/>
      <w:sz w:val="20"/>
      <w:szCs w:val="20"/>
    </w:rPr>
  </w:style>
  <w:style w:type="character" w:customStyle="1" w:styleId="TableTitleChar">
    <w:name w:val="TableTitle Char"/>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link w:val="Heading2"/>
    <w:uiPriority w:val="9"/>
    <w:semiHidden/>
    <w:rsid w:val="003F084F"/>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3F084F"/>
    <w:rPr>
      <w:rFonts w:ascii="Cambria" w:eastAsia="Times New Roman" w:hAnsi="Cambria" w:cs="Times New Roman"/>
      <w:b/>
      <w:bCs/>
      <w:color w:val="4F81BD"/>
    </w:rPr>
  </w:style>
  <w:style w:type="character" w:customStyle="1" w:styleId="Heading4Char">
    <w:name w:val="Heading 4 Char"/>
    <w:link w:val="Heading4"/>
    <w:uiPriority w:val="9"/>
    <w:semiHidden/>
    <w:rsid w:val="003F084F"/>
    <w:rPr>
      <w:rFonts w:ascii="Cambria" w:eastAsia="Times New Roman" w:hAnsi="Cambria" w:cs="Times New Roman"/>
      <w:b/>
      <w:bCs/>
      <w:i/>
      <w:iCs/>
      <w:color w:val="4F81BD"/>
    </w:rPr>
  </w:style>
  <w:style w:type="character" w:customStyle="1" w:styleId="Heading5Char">
    <w:name w:val="Heading 5 Char"/>
    <w:link w:val="Heading5"/>
    <w:uiPriority w:val="9"/>
    <w:semiHidden/>
    <w:rsid w:val="003F084F"/>
    <w:rPr>
      <w:rFonts w:ascii="Cambria" w:eastAsia="Times New Roman" w:hAnsi="Cambria" w:cs="Times New Roman"/>
      <w:color w:val="243F60"/>
    </w:rPr>
  </w:style>
  <w:style w:type="character" w:customStyle="1" w:styleId="Heading6Char">
    <w:name w:val="Heading 6 Char"/>
    <w:link w:val="Heading6"/>
    <w:uiPriority w:val="9"/>
    <w:semiHidden/>
    <w:rsid w:val="003F084F"/>
    <w:rPr>
      <w:rFonts w:ascii="Cambria" w:eastAsia="Times New Roman" w:hAnsi="Cambria" w:cs="Times New Roman"/>
      <w:i/>
      <w:iCs/>
      <w:color w:val="243F60"/>
    </w:rPr>
  </w:style>
  <w:style w:type="character" w:customStyle="1" w:styleId="Heading7Char">
    <w:name w:val="Heading 7 Char"/>
    <w:link w:val="Heading7"/>
    <w:uiPriority w:val="9"/>
    <w:semiHidden/>
    <w:rsid w:val="003F084F"/>
    <w:rPr>
      <w:rFonts w:ascii="Cambria" w:eastAsia="Times New Roman" w:hAnsi="Cambria" w:cs="Times New Roman"/>
      <w:i/>
      <w:iCs/>
      <w:color w:val="404040"/>
    </w:rPr>
  </w:style>
  <w:style w:type="character" w:customStyle="1" w:styleId="Heading8Char">
    <w:name w:val="Heading 8 Char"/>
    <w:link w:val="Heading8"/>
    <w:uiPriority w:val="9"/>
    <w:semiHidden/>
    <w:rsid w:val="003F084F"/>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3F084F"/>
    <w:rPr>
      <w:rFonts w:ascii="Cambria" w:eastAsia="Times New Roman" w:hAnsi="Cambria" w:cs="Times New Roman"/>
      <w:i/>
      <w:iCs/>
      <w:color w:val="404040"/>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sz w:val="24"/>
    </w:rPr>
  </w:style>
  <w:style w:type="character" w:customStyle="1" w:styleId="BodyTextIndentChar">
    <w:name w:val="Body Text Indent Char"/>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sz w:val="18"/>
      <w:szCs w:val="18"/>
    </w:rPr>
  </w:style>
  <w:style w:type="character" w:customStyle="1" w:styleId="ParagraphCar1">
    <w:name w:val="Paragraph Car1"/>
    <w:uiPriority w:val="99"/>
    <w:locked/>
    <w:rsid w:val="0068437A"/>
    <w:rPr>
      <w:sz w:val="24"/>
      <w:lang w:val="es-ES_tradnl"/>
    </w:rPr>
  </w:style>
  <w:style w:type="character" w:styleId="Emphasis">
    <w:name w:val="Emphasis"/>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uiPriority w:val="99"/>
    <w:semiHidden/>
    <w:unhideWhenUsed/>
    <w:rsid w:val="00395548"/>
    <w:rPr>
      <w:color w:val="800080"/>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050395"/>
    <w:rPr>
      <w:rFonts w:ascii="Cambria" w:eastAsia="Times New Roman" w:hAnsi="Cambria" w:cs="Times New Roman"/>
      <w:b/>
      <w:bCs/>
      <w:color w:val="365F91"/>
      <w:sz w:val="28"/>
      <w:szCs w:val="28"/>
    </w:rPr>
  </w:style>
  <w:style w:type="table" w:styleId="LightList">
    <w:name w:val="Light List"/>
    <w:basedOn w:val="TableNormal"/>
    <w:uiPriority w:val="61"/>
    <w:rsid w:val="00D756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
    <w:name w:val="Medium Shading 1"/>
    <w:basedOn w:val="TableNormal"/>
    <w:uiPriority w:val="63"/>
    <w:rsid w:val="00D7562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DE3"/>
    <w:pPr>
      <w:spacing w:after="200" w:line="276" w:lineRule="auto"/>
    </w:pPr>
    <w:rPr>
      <w:sz w:val="22"/>
      <w:szCs w:val="22"/>
    </w:rPr>
  </w:style>
  <w:style w:type="paragraph" w:styleId="Heading1">
    <w:name w:val="heading 1"/>
    <w:basedOn w:val="Normal"/>
    <w:next w:val="Normal"/>
    <w:link w:val="Heading1Char"/>
    <w:uiPriority w:val="9"/>
    <w:qFormat/>
    <w:rsid w:val="0005039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rsid w:val="0064148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C3AE0"/>
    <w:rPr>
      <w:rFonts w:ascii="Tahoma" w:hAnsi="Tahoma" w:cs="Tahoma"/>
      <w:sz w:val="16"/>
      <w:szCs w:val="16"/>
    </w:rPr>
  </w:style>
  <w:style w:type="character" w:styleId="CommentReference">
    <w:name w:val="annotation reference"/>
    <w:uiPriority w:val="99"/>
    <w:unhideWhenUsed/>
    <w:rsid w:val="00AA694A"/>
    <w:rPr>
      <w:sz w:val="16"/>
      <w:szCs w:val="16"/>
    </w:rPr>
  </w:style>
  <w:style w:type="paragraph" w:styleId="CommentText">
    <w:name w:val="annotation text"/>
    <w:basedOn w:val="Normal"/>
    <w:link w:val="CommentTextChar"/>
    <w:unhideWhenUsed/>
    <w:rsid w:val="00AA694A"/>
    <w:pPr>
      <w:spacing w:line="240" w:lineRule="auto"/>
    </w:pPr>
    <w:rPr>
      <w:sz w:val="20"/>
      <w:szCs w:val="20"/>
    </w:rPr>
  </w:style>
  <w:style w:type="character" w:customStyle="1" w:styleId="CommentTextChar">
    <w:name w:val="Comment Text Char"/>
    <w:link w:val="CommentText"/>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b/>
      <w:smallCaps/>
      <w:sz w:val="24"/>
      <w:szCs w:val="20"/>
    </w:rPr>
  </w:style>
  <w:style w:type="character" w:customStyle="1" w:styleId="ChapterChar">
    <w:name w:val="Chapter Char"/>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b/>
      <w:sz w:val="24"/>
      <w:szCs w:val="20"/>
    </w:rPr>
  </w:style>
  <w:style w:type="character" w:customStyle="1" w:styleId="FirstHeadingChar">
    <w:name w:val="FirstHeading Char"/>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b/>
      <w:sz w:val="24"/>
      <w:szCs w:val="20"/>
    </w:rPr>
  </w:style>
  <w:style w:type="character" w:customStyle="1" w:styleId="SecHeadingChar">
    <w:name w:val="SecHeading Char"/>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link w:val="Paragraph"/>
    <w:uiPriority w:val="99"/>
    <w:rsid w:val="003F084F"/>
    <w:rPr>
      <w:rFonts w:ascii="Times New Roman" w:eastAsia="Times New Roman" w:hAnsi="Times New Roman" w:cs="Times New Roman"/>
      <w:sz w:val="24"/>
      <w:szCs w:val="20"/>
    </w:rPr>
  </w:style>
  <w:style w:type="paragraph" w:customStyle="1" w:styleId="subpar">
    <w:name w:val="subpar"/>
    <w:basedOn w:val="BodyTextIndent3"/>
    <w:link w:val="subparChar"/>
    <w:uiPriority w:val="99"/>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uiPriority w:val="99"/>
    <w:rsid w:val="003F084F"/>
    <w:pPr>
      <w:tabs>
        <w:tab w:val="left" w:pos="0"/>
        <w:tab w:val="num" w:pos="1296"/>
      </w:tabs>
      <w:ind w:left="1296" w:hanging="288"/>
    </w:pPr>
  </w:style>
  <w:style w:type="character" w:customStyle="1" w:styleId="SubSubParChar">
    <w:name w:val="SubSubPar Char"/>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sz w:val="20"/>
      <w:szCs w:val="20"/>
    </w:rPr>
  </w:style>
  <w:style w:type="character" w:customStyle="1" w:styleId="RegtableChar">
    <w:name w:val="Regtable Char"/>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b/>
      <w:spacing w:val="-3"/>
      <w:sz w:val="20"/>
      <w:szCs w:val="20"/>
    </w:rPr>
  </w:style>
  <w:style w:type="character" w:customStyle="1" w:styleId="TableTitleChar">
    <w:name w:val="TableTitle Char"/>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link w:val="Heading2"/>
    <w:uiPriority w:val="9"/>
    <w:semiHidden/>
    <w:rsid w:val="003F084F"/>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3F084F"/>
    <w:rPr>
      <w:rFonts w:ascii="Cambria" w:eastAsia="Times New Roman" w:hAnsi="Cambria" w:cs="Times New Roman"/>
      <w:b/>
      <w:bCs/>
      <w:color w:val="4F81BD"/>
    </w:rPr>
  </w:style>
  <w:style w:type="character" w:customStyle="1" w:styleId="Heading4Char">
    <w:name w:val="Heading 4 Char"/>
    <w:link w:val="Heading4"/>
    <w:uiPriority w:val="9"/>
    <w:semiHidden/>
    <w:rsid w:val="003F084F"/>
    <w:rPr>
      <w:rFonts w:ascii="Cambria" w:eastAsia="Times New Roman" w:hAnsi="Cambria" w:cs="Times New Roman"/>
      <w:b/>
      <w:bCs/>
      <w:i/>
      <w:iCs/>
      <w:color w:val="4F81BD"/>
    </w:rPr>
  </w:style>
  <w:style w:type="character" w:customStyle="1" w:styleId="Heading5Char">
    <w:name w:val="Heading 5 Char"/>
    <w:link w:val="Heading5"/>
    <w:uiPriority w:val="9"/>
    <w:semiHidden/>
    <w:rsid w:val="003F084F"/>
    <w:rPr>
      <w:rFonts w:ascii="Cambria" w:eastAsia="Times New Roman" w:hAnsi="Cambria" w:cs="Times New Roman"/>
      <w:color w:val="243F60"/>
    </w:rPr>
  </w:style>
  <w:style w:type="character" w:customStyle="1" w:styleId="Heading6Char">
    <w:name w:val="Heading 6 Char"/>
    <w:link w:val="Heading6"/>
    <w:uiPriority w:val="9"/>
    <w:semiHidden/>
    <w:rsid w:val="003F084F"/>
    <w:rPr>
      <w:rFonts w:ascii="Cambria" w:eastAsia="Times New Roman" w:hAnsi="Cambria" w:cs="Times New Roman"/>
      <w:i/>
      <w:iCs/>
      <w:color w:val="243F60"/>
    </w:rPr>
  </w:style>
  <w:style w:type="character" w:customStyle="1" w:styleId="Heading7Char">
    <w:name w:val="Heading 7 Char"/>
    <w:link w:val="Heading7"/>
    <w:uiPriority w:val="9"/>
    <w:semiHidden/>
    <w:rsid w:val="003F084F"/>
    <w:rPr>
      <w:rFonts w:ascii="Cambria" w:eastAsia="Times New Roman" w:hAnsi="Cambria" w:cs="Times New Roman"/>
      <w:i/>
      <w:iCs/>
      <w:color w:val="404040"/>
    </w:rPr>
  </w:style>
  <w:style w:type="character" w:customStyle="1" w:styleId="Heading8Char">
    <w:name w:val="Heading 8 Char"/>
    <w:link w:val="Heading8"/>
    <w:uiPriority w:val="9"/>
    <w:semiHidden/>
    <w:rsid w:val="003F084F"/>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3F084F"/>
    <w:rPr>
      <w:rFonts w:ascii="Cambria" w:eastAsia="Times New Roman" w:hAnsi="Cambria" w:cs="Times New Roman"/>
      <w:i/>
      <w:iCs/>
      <w:color w:val="404040"/>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sz w:val="24"/>
    </w:rPr>
  </w:style>
  <w:style w:type="character" w:customStyle="1" w:styleId="BodyTextIndentChar">
    <w:name w:val="Body Text Indent Char"/>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sz w:val="18"/>
      <w:szCs w:val="18"/>
    </w:rPr>
  </w:style>
  <w:style w:type="character" w:customStyle="1" w:styleId="ParagraphCar1">
    <w:name w:val="Paragraph Car1"/>
    <w:uiPriority w:val="99"/>
    <w:locked/>
    <w:rsid w:val="0068437A"/>
    <w:rPr>
      <w:sz w:val="24"/>
      <w:lang w:val="es-ES_tradnl"/>
    </w:rPr>
  </w:style>
  <w:style w:type="character" w:styleId="Emphasis">
    <w:name w:val="Emphasis"/>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uiPriority w:val="99"/>
    <w:semiHidden/>
    <w:unhideWhenUsed/>
    <w:rsid w:val="00395548"/>
    <w:rPr>
      <w:color w:val="800080"/>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050395"/>
    <w:rPr>
      <w:rFonts w:ascii="Cambria" w:eastAsia="Times New Roman" w:hAnsi="Cambria" w:cs="Times New Roman"/>
      <w:b/>
      <w:bCs/>
      <w:color w:val="365F91"/>
      <w:sz w:val="28"/>
      <w:szCs w:val="28"/>
    </w:rPr>
  </w:style>
  <w:style w:type="table" w:styleId="LightList">
    <w:name w:val="Light List"/>
    <w:basedOn w:val="TableNormal"/>
    <w:uiPriority w:val="61"/>
    <w:rsid w:val="00D756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
    <w:name w:val="Medium Shading 1"/>
    <w:basedOn w:val="TableNormal"/>
    <w:uiPriority w:val="63"/>
    <w:rsid w:val="00D7562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3210">
      <w:bodyDiv w:val="1"/>
      <w:marLeft w:val="0"/>
      <w:marRight w:val="0"/>
      <w:marTop w:val="0"/>
      <w:marBottom w:val="0"/>
      <w:divBdr>
        <w:top w:val="none" w:sz="0" w:space="0" w:color="auto"/>
        <w:left w:val="none" w:sz="0" w:space="0" w:color="auto"/>
        <w:bottom w:val="none" w:sz="0" w:space="0" w:color="auto"/>
        <w:right w:val="none" w:sz="0" w:space="0" w:color="auto"/>
      </w:divBdr>
    </w:div>
    <w:div w:id="325089937">
      <w:bodyDiv w:val="1"/>
      <w:marLeft w:val="0"/>
      <w:marRight w:val="0"/>
      <w:marTop w:val="0"/>
      <w:marBottom w:val="0"/>
      <w:divBdr>
        <w:top w:val="none" w:sz="0" w:space="0" w:color="auto"/>
        <w:left w:val="none" w:sz="0" w:space="0" w:color="auto"/>
        <w:bottom w:val="none" w:sz="0" w:space="0" w:color="auto"/>
        <w:right w:val="none" w:sz="0" w:space="0" w:color="auto"/>
      </w:divBdr>
      <w:divsChild>
        <w:div w:id="44644847">
          <w:marLeft w:val="0"/>
          <w:marRight w:val="0"/>
          <w:marTop w:val="240"/>
          <w:marBottom w:val="0"/>
          <w:divBdr>
            <w:top w:val="none" w:sz="0" w:space="0" w:color="auto"/>
            <w:left w:val="none" w:sz="0" w:space="0" w:color="auto"/>
            <w:bottom w:val="none" w:sz="0" w:space="0" w:color="auto"/>
            <w:right w:val="none" w:sz="0" w:space="0" w:color="auto"/>
          </w:divBdr>
        </w:div>
      </w:divsChild>
    </w:div>
    <w:div w:id="351684644">
      <w:bodyDiv w:val="1"/>
      <w:marLeft w:val="0"/>
      <w:marRight w:val="0"/>
      <w:marTop w:val="0"/>
      <w:marBottom w:val="0"/>
      <w:divBdr>
        <w:top w:val="none" w:sz="0" w:space="0" w:color="auto"/>
        <w:left w:val="none" w:sz="0" w:space="0" w:color="auto"/>
        <w:bottom w:val="none" w:sz="0" w:space="0" w:color="auto"/>
        <w:right w:val="none" w:sz="0" w:space="0" w:color="auto"/>
      </w:divBdr>
    </w:div>
    <w:div w:id="465589311">
      <w:bodyDiv w:val="1"/>
      <w:marLeft w:val="0"/>
      <w:marRight w:val="0"/>
      <w:marTop w:val="0"/>
      <w:marBottom w:val="0"/>
      <w:divBdr>
        <w:top w:val="none" w:sz="0" w:space="0" w:color="auto"/>
        <w:left w:val="none" w:sz="0" w:space="0" w:color="auto"/>
        <w:bottom w:val="none" w:sz="0" w:space="0" w:color="auto"/>
        <w:right w:val="none" w:sz="0" w:space="0" w:color="auto"/>
      </w:divBdr>
    </w:div>
    <w:div w:id="508568205">
      <w:bodyDiv w:val="1"/>
      <w:marLeft w:val="0"/>
      <w:marRight w:val="0"/>
      <w:marTop w:val="0"/>
      <w:marBottom w:val="0"/>
      <w:divBdr>
        <w:top w:val="none" w:sz="0" w:space="0" w:color="auto"/>
        <w:left w:val="none" w:sz="0" w:space="0" w:color="auto"/>
        <w:bottom w:val="none" w:sz="0" w:space="0" w:color="auto"/>
        <w:right w:val="none" w:sz="0" w:space="0" w:color="auto"/>
      </w:divBdr>
      <w:divsChild>
        <w:div w:id="188363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0932427">
      <w:bodyDiv w:val="1"/>
      <w:marLeft w:val="0"/>
      <w:marRight w:val="0"/>
      <w:marTop w:val="0"/>
      <w:marBottom w:val="0"/>
      <w:divBdr>
        <w:top w:val="none" w:sz="0" w:space="0" w:color="auto"/>
        <w:left w:val="none" w:sz="0" w:space="0" w:color="auto"/>
        <w:bottom w:val="none" w:sz="0" w:space="0" w:color="auto"/>
        <w:right w:val="none" w:sz="0" w:space="0" w:color="auto"/>
      </w:divBdr>
    </w:div>
    <w:div w:id="864171781">
      <w:bodyDiv w:val="1"/>
      <w:marLeft w:val="0"/>
      <w:marRight w:val="0"/>
      <w:marTop w:val="0"/>
      <w:marBottom w:val="0"/>
      <w:divBdr>
        <w:top w:val="none" w:sz="0" w:space="0" w:color="auto"/>
        <w:left w:val="none" w:sz="0" w:space="0" w:color="auto"/>
        <w:bottom w:val="none" w:sz="0" w:space="0" w:color="auto"/>
        <w:right w:val="none" w:sz="0" w:space="0" w:color="auto"/>
      </w:divBdr>
    </w:div>
    <w:div w:id="875041595">
      <w:bodyDiv w:val="1"/>
      <w:marLeft w:val="0"/>
      <w:marRight w:val="0"/>
      <w:marTop w:val="0"/>
      <w:marBottom w:val="0"/>
      <w:divBdr>
        <w:top w:val="none" w:sz="0" w:space="0" w:color="auto"/>
        <w:left w:val="none" w:sz="0" w:space="0" w:color="auto"/>
        <w:bottom w:val="none" w:sz="0" w:space="0" w:color="auto"/>
        <w:right w:val="none" w:sz="0" w:space="0" w:color="auto"/>
      </w:divBdr>
      <w:divsChild>
        <w:div w:id="439567062">
          <w:marLeft w:val="0"/>
          <w:marRight w:val="0"/>
          <w:marTop w:val="0"/>
          <w:marBottom w:val="0"/>
          <w:divBdr>
            <w:top w:val="none" w:sz="0" w:space="0" w:color="auto"/>
            <w:left w:val="none" w:sz="0" w:space="0" w:color="auto"/>
            <w:bottom w:val="none" w:sz="0" w:space="0" w:color="auto"/>
            <w:right w:val="none" w:sz="0" w:space="0" w:color="auto"/>
          </w:divBdr>
          <w:divsChild>
            <w:div w:id="824517798">
              <w:marLeft w:val="0"/>
              <w:marRight w:val="0"/>
              <w:marTop w:val="0"/>
              <w:marBottom w:val="0"/>
              <w:divBdr>
                <w:top w:val="none" w:sz="0" w:space="0" w:color="auto"/>
                <w:left w:val="none" w:sz="0" w:space="0" w:color="auto"/>
                <w:bottom w:val="none" w:sz="0" w:space="0" w:color="auto"/>
                <w:right w:val="none" w:sz="0" w:space="0" w:color="auto"/>
              </w:divBdr>
            </w:div>
          </w:divsChild>
        </w:div>
        <w:div w:id="1115634240">
          <w:marLeft w:val="450"/>
          <w:marRight w:val="0"/>
          <w:marTop w:val="0"/>
          <w:marBottom w:val="0"/>
          <w:divBdr>
            <w:top w:val="none" w:sz="0" w:space="0" w:color="auto"/>
            <w:left w:val="none" w:sz="0" w:space="0" w:color="auto"/>
            <w:bottom w:val="none" w:sz="0" w:space="0" w:color="auto"/>
            <w:right w:val="none" w:sz="0" w:space="0" w:color="auto"/>
          </w:divBdr>
        </w:div>
        <w:div w:id="1449348176">
          <w:marLeft w:val="450"/>
          <w:marRight w:val="0"/>
          <w:marTop w:val="0"/>
          <w:marBottom w:val="0"/>
          <w:divBdr>
            <w:top w:val="none" w:sz="0" w:space="0" w:color="auto"/>
            <w:left w:val="none" w:sz="0" w:space="0" w:color="auto"/>
            <w:bottom w:val="none" w:sz="0" w:space="0" w:color="auto"/>
            <w:right w:val="none" w:sz="0" w:space="0" w:color="auto"/>
          </w:divBdr>
        </w:div>
      </w:divsChild>
    </w:div>
    <w:div w:id="1000230239">
      <w:bodyDiv w:val="1"/>
      <w:marLeft w:val="0"/>
      <w:marRight w:val="0"/>
      <w:marTop w:val="0"/>
      <w:marBottom w:val="0"/>
      <w:divBdr>
        <w:top w:val="none" w:sz="0" w:space="0" w:color="auto"/>
        <w:left w:val="none" w:sz="0" w:space="0" w:color="auto"/>
        <w:bottom w:val="none" w:sz="0" w:space="0" w:color="auto"/>
        <w:right w:val="none" w:sz="0" w:space="0" w:color="auto"/>
      </w:divBdr>
    </w:div>
    <w:div w:id="1259867024">
      <w:bodyDiv w:val="1"/>
      <w:marLeft w:val="0"/>
      <w:marRight w:val="0"/>
      <w:marTop w:val="0"/>
      <w:marBottom w:val="0"/>
      <w:divBdr>
        <w:top w:val="none" w:sz="0" w:space="0" w:color="auto"/>
        <w:left w:val="none" w:sz="0" w:space="0" w:color="auto"/>
        <w:bottom w:val="none" w:sz="0" w:space="0" w:color="auto"/>
        <w:right w:val="none" w:sz="0" w:space="0" w:color="auto"/>
      </w:divBdr>
    </w:div>
    <w:div w:id="1650865972">
      <w:bodyDiv w:val="1"/>
      <w:marLeft w:val="0"/>
      <w:marRight w:val="0"/>
      <w:marTop w:val="0"/>
      <w:marBottom w:val="0"/>
      <w:divBdr>
        <w:top w:val="none" w:sz="0" w:space="0" w:color="auto"/>
        <w:left w:val="none" w:sz="0" w:space="0" w:color="auto"/>
        <w:bottom w:val="none" w:sz="0" w:space="0" w:color="auto"/>
        <w:right w:val="none" w:sz="0" w:space="0" w:color="auto"/>
      </w:divBdr>
    </w:div>
    <w:div w:id="1742099786">
      <w:bodyDiv w:val="1"/>
      <w:marLeft w:val="0"/>
      <w:marRight w:val="0"/>
      <w:marTop w:val="0"/>
      <w:marBottom w:val="0"/>
      <w:divBdr>
        <w:top w:val="none" w:sz="0" w:space="0" w:color="auto"/>
        <w:left w:val="none" w:sz="0" w:space="0" w:color="auto"/>
        <w:bottom w:val="none" w:sz="0" w:space="0" w:color="auto"/>
        <w:right w:val="none" w:sz="0" w:space="0" w:color="auto"/>
      </w:divBdr>
    </w:div>
    <w:div w:id="18632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1" Type="http://schemas.openxmlformats.org/officeDocument/2006/relationships/oleObject" Target="file:///D:\DATA.IDB\Documents\CR-L1070\2015-01_Intercambios%20MER%20a%20Junio%202015%20completa.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Nicaragua!$D$4</c:f>
              <c:strCache>
                <c:ptCount val="1"/>
                <c:pt idx="0">
                  <c:v>Exportaciones</c:v>
                </c:pt>
              </c:strCache>
            </c:strRef>
          </c:tx>
          <c:invertIfNegative val="0"/>
          <c:cat>
            <c:numRef>
              <c:f>Nicaragua!$C$5:$C$34</c:f>
              <c:numCache>
                <c:formatCode>mmm\-yy</c:formatCode>
                <c:ptCount val="30"/>
                <c:pt idx="0">
                  <c:v>41275</c:v>
                </c:pt>
                <c:pt idx="1">
                  <c:v>41306</c:v>
                </c:pt>
                <c:pt idx="2">
                  <c:v>41334</c:v>
                </c:pt>
                <c:pt idx="3">
                  <c:v>41365</c:v>
                </c:pt>
                <c:pt idx="4">
                  <c:v>41395</c:v>
                </c:pt>
                <c:pt idx="5">
                  <c:v>41426</c:v>
                </c:pt>
                <c:pt idx="6">
                  <c:v>41456</c:v>
                </c:pt>
                <c:pt idx="7">
                  <c:v>41487</c:v>
                </c:pt>
                <c:pt idx="8">
                  <c:v>41518</c:v>
                </c:pt>
                <c:pt idx="9">
                  <c:v>41548</c:v>
                </c:pt>
                <c:pt idx="10">
                  <c:v>41579</c:v>
                </c:pt>
                <c:pt idx="11">
                  <c:v>41609</c:v>
                </c:pt>
                <c:pt idx="12">
                  <c:v>41640</c:v>
                </c:pt>
                <c:pt idx="13">
                  <c:v>41671</c:v>
                </c:pt>
                <c:pt idx="14">
                  <c:v>41699</c:v>
                </c:pt>
                <c:pt idx="15">
                  <c:v>41730</c:v>
                </c:pt>
                <c:pt idx="16">
                  <c:v>41760</c:v>
                </c:pt>
                <c:pt idx="17">
                  <c:v>41791</c:v>
                </c:pt>
                <c:pt idx="18">
                  <c:v>41821</c:v>
                </c:pt>
                <c:pt idx="19">
                  <c:v>41852</c:v>
                </c:pt>
                <c:pt idx="20">
                  <c:v>41883</c:v>
                </c:pt>
                <c:pt idx="21">
                  <c:v>41913</c:v>
                </c:pt>
                <c:pt idx="22">
                  <c:v>41944</c:v>
                </c:pt>
                <c:pt idx="23">
                  <c:v>41974</c:v>
                </c:pt>
                <c:pt idx="24">
                  <c:v>42005</c:v>
                </c:pt>
                <c:pt idx="25">
                  <c:v>42036</c:v>
                </c:pt>
                <c:pt idx="26">
                  <c:v>42064</c:v>
                </c:pt>
                <c:pt idx="27">
                  <c:v>42095</c:v>
                </c:pt>
                <c:pt idx="28">
                  <c:v>42125</c:v>
                </c:pt>
                <c:pt idx="29">
                  <c:v>42156</c:v>
                </c:pt>
              </c:numCache>
            </c:numRef>
          </c:cat>
          <c:val>
            <c:numRef>
              <c:f>Nicaragua!$D$5:$D$34</c:f>
              <c:numCache>
                <c:formatCode>0.00</c:formatCode>
                <c:ptCount val="30"/>
                <c:pt idx="0">
                  <c:v>0.47</c:v>
                </c:pt>
                <c:pt idx="1">
                  <c:v>0.47</c:v>
                </c:pt>
                <c:pt idx="2">
                  <c:v>1.28</c:v>
                </c:pt>
                <c:pt idx="3">
                  <c:v>3.4474999999999998</c:v>
                </c:pt>
                <c:pt idx="4">
                  <c:v>9.4066914000000015</c:v>
                </c:pt>
                <c:pt idx="5">
                  <c:v>0.2051</c:v>
                </c:pt>
                <c:pt idx="6">
                  <c:v>0.33699999999999997</c:v>
                </c:pt>
                <c:pt idx="7">
                  <c:v>1.9400000000000004E-2</c:v>
                </c:pt>
                <c:pt idx="8">
                  <c:v>1.0199999999999999E-2</c:v>
                </c:pt>
                <c:pt idx="9">
                  <c:v>0</c:v>
                </c:pt>
                <c:pt idx="10">
                  <c:v>4.1535999999999997E-2</c:v>
                </c:pt>
                <c:pt idx="11">
                  <c:v>0.4768</c:v>
                </c:pt>
                <c:pt idx="12">
                  <c:v>1.2881670000000003</c:v>
                </c:pt>
                <c:pt idx="13">
                  <c:v>10.566962999999998</c:v>
                </c:pt>
                <c:pt idx="14">
                  <c:v>14.894163999999982</c:v>
                </c:pt>
                <c:pt idx="15">
                  <c:v>10.694070000000005</c:v>
                </c:pt>
                <c:pt idx="16">
                  <c:v>9.9504329999999896</c:v>
                </c:pt>
                <c:pt idx="17">
                  <c:v>1.486402</c:v>
                </c:pt>
                <c:pt idx="18">
                  <c:v>3.4629999999999994E-2</c:v>
                </c:pt>
                <c:pt idx="19">
                  <c:v>2.0867999999999998E-2</c:v>
                </c:pt>
                <c:pt idx="20">
                  <c:v>1.2E-5</c:v>
                </c:pt>
                <c:pt idx="21">
                  <c:v>0.01</c:v>
                </c:pt>
                <c:pt idx="22">
                  <c:v>3.2000000000000001E-2</c:v>
                </c:pt>
                <c:pt idx="23">
                  <c:v>0</c:v>
                </c:pt>
                <c:pt idx="24">
                  <c:v>2.5000000000000001E-5</c:v>
                </c:pt>
                <c:pt idx="25">
                  <c:v>0</c:v>
                </c:pt>
                <c:pt idx="26">
                  <c:v>5.5528000000000004</c:v>
                </c:pt>
                <c:pt idx="27">
                  <c:v>7.6844999999999999</c:v>
                </c:pt>
                <c:pt idx="28">
                  <c:v>3.0972</c:v>
                </c:pt>
                <c:pt idx="29">
                  <c:v>3.5999999999999999E-3</c:v>
                </c:pt>
              </c:numCache>
            </c:numRef>
          </c:val>
        </c:ser>
        <c:ser>
          <c:idx val="1"/>
          <c:order val="1"/>
          <c:tx>
            <c:strRef>
              <c:f>Nicaragua!$E$4</c:f>
              <c:strCache>
                <c:ptCount val="1"/>
                <c:pt idx="0">
                  <c:v>Importaciones</c:v>
                </c:pt>
              </c:strCache>
            </c:strRef>
          </c:tx>
          <c:invertIfNegative val="0"/>
          <c:cat>
            <c:numRef>
              <c:f>Nicaragua!$C$5:$C$34</c:f>
              <c:numCache>
                <c:formatCode>mmm\-yy</c:formatCode>
                <c:ptCount val="30"/>
                <c:pt idx="0">
                  <c:v>41275</c:v>
                </c:pt>
                <c:pt idx="1">
                  <c:v>41306</c:v>
                </c:pt>
                <c:pt idx="2">
                  <c:v>41334</c:v>
                </c:pt>
                <c:pt idx="3">
                  <c:v>41365</c:v>
                </c:pt>
                <c:pt idx="4">
                  <c:v>41395</c:v>
                </c:pt>
                <c:pt idx="5">
                  <c:v>41426</c:v>
                </c:pt>
                <c:pt idx="6">
                  <c:v>41456</c:v>
                </c:pt>
                <c:pt idx="7">
                  <c:v>41487</c:v>
                </c:pt>
                <c:pt idx="8">
                  <c:v>41518</c:v>
                </c:pt>
                <c:pt idx="9">
                  <c:v>41548</c:v>
                </c:pt>
                <c:pt idx="10">
                  <c:v>41579</c:v>
                </c:pt>
                <c:pt idx="11">
                  <c:v>41609</c:v>
                </c:pt>
                <c:pt idx="12">
                  <c:v>41640</c:v>
                </c:pt>
                <c:pt idx="13">
                  <c:v>41671</c:v>
                </c:pt>
                <c:pt idx="14">
                  <c:v>41699</c:v>
                </c:pt>
                <c:pt idx="15">
                  <c:v>41730</c:v>
                </c:pt>
                <c:pt idx="16">
                  <c:v>41760</c:v>
                </c:pt>
                <c:pt idx="17">
                  <c:v>41791</c:v>
                </c:pt>
                <c:pt idx="18">
                  <c:v>41821</c:v>
                </c:pt>
                <c:pt idx="19">
                  <c:v>41852</c:v>
                </c:pt>
                <c:pt idx="20">
                  <c:v>41883</c:v>
                </c:pt>
                <c:pt idx="21">
                  <c:v>41913</c:v>
                </c:pt>
                <c:pt idx="22">
                  <c:v>41944</c:v>
                </c:pt>
                <c:pt idx="23">
                  <c:v>41974</c:v>
                </c:pt>
                <c:pt idx="24">
                  <c:v>42005</c:v>
                </c:pt>
                <c:pt idx="25">
                  <c:v>42036</c:v>
                </c:pt>
                <c:pt idx="26">
                  <c:v>42064</c:v>
                </c:pt>
                <c:pt idx="27">
                  <c:v>42095</c:v>
                </c:pt>
                <c:pt idx="28">
                  <c:v>42125</c:v>
                </c:pt>
                <c:pt idx="29">
                  <c:v>42156</c:v>
                </c:pt>
              </c:numCache>
            </c:numRef>
          </c:cat>
          <c:val>
            <c:numRef>
              <c:f>Nicaragua!$E$5:$E$34</c:f>
              <c:numCache>
                <c:formatCode>0.00</c:formatCode>
                <c:ptCount val="30"/>
                <c:pt idx="0">
                  <c:v>-1.44</c:v>
                </c:pt>
                <c:pt idx="1">
                  <c:v>0</c:v>
                </c:pt>
                <c:pt idx="2">
                  <c:v>0</c:v>
                </c:pt>
                <c:pt idx="3">
                  <c:v>-3.4910000000000001</c:v>
                </c:pt>
                <c:pt idx="4">
                  <c:v>0</c:v>
                </c:pt>
                <c:pt idx="5">
                  <c:v>-1.2949999999999999</c:v>
                </c:pt>
                <c:pt idx="6">
                  <c:v>-4.477100000000001</c:v>
                </c:pt>
                <c:pt idx="7">
                  <c:v>-5.6090999999999873</c:v>
                </c:pt>
                <c:pt idx="8">
                  <c:v>-14.028000000000059</c:v>
                </c:pt>
                <c:pt idx="9">
                  <c:v>-13.516723000000002</c:v>
                </c:pt>
                <c:pt idx="10">
                  <c:v>-7.6178840000000019</c:v>
                </c:pt>
                <c:pt idx="11">
                  <c:v>-0.42970000000000003</c:v>
                </c:pt>
                <c:pt idx="12">
                  <c:v>0</c:v>
                </c:pt>
                <c:pt idx="13">
                  <c:v>0</c:v>
                </c:pt>
                <c:pt idx="14">
                  <c:v>-3.0000000000000001E-3</c:v>
                </c:pt>
                <c:pt idx="15">
                  <c:v>0</c:v>
                </c:pt>
                <c:pt idx="16">
                  <c:v>-9.977999999999999E-3</c:v>
                </c:pt>
                <c:pt idx="17">
                  <c:v>-3.9916779999999998</c:v>
                </c:pt>
                <c:pt idx="18">
                  <c:v>-2.7930220000000001</c:v>
                </c:pt>
                <c:pt idx="19">
                  <c:v>0</c:v>
                </c:pt>
                <c:pt idx="20">
                  <c:v>-2.3192240000000002</c:v>
                </c:pt>
                <c:pt idx="21">
                  <c:v>-11.859971</c:v>
                </c:pt>
                <c:pt idx="22">
                  <c:v>-1.3405619999999998</c:v>
                </c:pt>
                <c:pt idx="23">
                  <c:v>0</c:v>
                </c:pt>
                <c:pt idx="24">
                  <c:v>0</c:v>
                </c:pt>
                <c:pt idx="25">
                  <c:v>0</c:v>
                </c:pt>
                <c:pt idx="26">
                  <c:v>0</c:v>
                </c:pt>
                <c:pt idx="27">
                  <c:v>-0.22459999999999999</c:v>
                </c:pt>
                <c:pt idx="28">
                  <c:v>-0.91420000000000001</c:v>
                </c:pt>
                <c:pt idx="29">
                  <c:v>-3.7870999999999997</c:v>
                </c:pt>
              </c:numCache>
            </c:numRef>
          </c:val>
        </c:ser>
        <c:dLbls>
          <c:showLegendKey val="0"/>
          <c:showVal val="0"/>
          <c:showCatName val="0"/>
          <c:showSerName val="0"/>
          <c:showPercent val="0"/>
          <c:showBubbleSize val="0"/>
        </c:dLbls>
        <c:gapWidth val="150"/>
        <c:overlap val="100"/>
        <c:axId val="163704192"/>
        <c:axId val="50267264"/>
      </c:barChart>
      <c:lineChart>
        <c:grouping val="standard"/>
        <c:varyColors val="0"/>
        <c:ser>
          <c:idx val="2"/>
          <c:order val="2"/>
          <c:tx>
            <c:strRef>
              <c:f>Nicaragua!$F$4</c:f>
              <c:strCache>
                <c:ptCount val="1"/>
                <c:pt idx="0">
                  <c:v>Balance</c:v>
                </c:pt>
              </c:strCache>
            </c:strRef>
          </c:tx>
          <c:spPr>
            <a:ln w="19050"/>
          </c:spPr>
          <c:marker>
            <c:symbol val="diamond"/>
            <c:size val="3"/>
          </c:marker>
          <c:cat>
            <c:numRef>
              <c:f>Nicaragua!$C$5:$C$34</c:f>
              <c:numCache>
                <c:formatCode>mmm\-yy</c:formatCode>
                <c:ptCount val="30"/>
                <c:pt idx="0">
                  <c:v>41275</c:v>
                </c:pt>
                <c:pt idx="1">
                  <c:v>41306</c:v>
                </c:pt>
                <c:pt idx="2">
                  <c:v>41334</c:v>
                </c:pt>
                <c:pt idx="3">
                  <c:v>41365</c:v>
                </c:pt>
                <c:pt idx="4">
                  <c:v>41395</c:v>
                </c:pt>
                <c:pt idx="5">
                  <c:v>41426</c:v>
                </c:pt>
                <c:pt idx="6">
                  <c:v>41456</c:v>
                </c:pt>
                <c:pt idx="7">
                  <c:v>41487</c:v>
                </c:pt>
                <c:pt idx="8">
                  <c:v>41518</c:v>
                </c:pt>
                <c:pt idx="9">
                  <c:v>41548</c:v>
                </c:pt>
                <c:pt idx="10">
                  <c:v>41579</c:v>
                </c:pt>
                <c:pt idx="11">
                  <c:v>41609</c:v>
                </c:pt>
                <c:pt idx="12">
                  <c:v>41640</c:v>
                </c:pt>
                <c:pt idx="13">
                  <c:v>41671</c:v>
                </c:pt>
                <c:pt idx="14">
                  <c:v>41699</c:v>
                </c:pt>
                <c:pt idx="15">
                  <c:v>41730</c:v>
                </c:pt>
                <c:pt idx="16">
                  <c:v>41760</c:v>
                </c:pt>
                <c:pt idx="17">
                  <c:v>41791</c:v>
                </c:pt>
                <c:pt idx="18">
                  <c:v>41821</c:v>
                </c:pt>
                <c:pt idx="19">
                  <c:v>41852</c:v>
                </c:pt>
                <c:pt idx="20">
                  <c:v>41883</c:v>
                </c:pt>
                <c:pt idx="21">
                  <c:v>41913</c:v>
                </c:pt>
                <c:pt idx="22">
                  <c:v>41944</c:v>
                </c:pt>
                <c:pt idx="23">
                  <c:v>41974</c:v>
                </c:pt>
                <c:pt idx="24">
                  <c:v>42005</c:v>
                </c:pt>
                <c:pt idx="25">
                  <c:v>42036</c:v>
                </c:pt>
                <c:pt idx="26">
                  <c:v>42064</c:v>
                </c:pt>
                <c:pt idx="27">
                  <c:v>42095</c:v>
                </c:pt>
                <c:pt idx="28">
                  <c:v>42125</c:v>
                </c:pt>
                <c:pt idx="29">
                  <c:v>42156</c:v>
                </c:pt>
              </c:numCache>
            </c:numRef>
          </c:cat>
          <c:val>
            <c:numRef>
              <c:f>Nicaragua!$F$5:$F$34</c:f>
              <c:numCache>
                <c:formatCode>0.00</c:formatCode>
                <c:ptCount val="30"/>
                <c:pt idx="0">
                  <c:v>-0.97</c:v>
                </c:pt>
                <c:pt idx="1">
                  <c:v>0.47</c:v>
                </c:pt>
                <c:pt idx="2">
                  <c:v>1.28</c:v>
                </c:pt>
                <c:pt idx="3">
                  <c:v>-4.3500000000000316E-2</c:v>
                </c:pt>
                <c:pt idx="4">
                  <c:v>9.4066914000000015</c:v>
                </c:pt>
                <c:pt idx="5">
                  <c:v>-1.0898999999999999</c:v>
                </c:pt>
                <c:pt idx="6">
                  <c:v>-4.1401000000000012</c:v>
                </c:pt>
                <c:pt idx="7">
                  <c:v>-5.5896999999999872</c:v>
                </c:pt>
                <c:pt idx="8">
                  <c:v>-14.01780000000006</c:v>
                </c:pt>
                <c:pt idx="9">
                  <c:v>-13.516723000000002</c:v>
                </c:pt>
                <c:pt idx="10">
                  <c:v>-7.5763480000000021</c:v>
                </c:pt>
                <c:pt idx="11">
                  <c:v>4.7099999999999975E-2</c:v>
                </c:pt>
                <c:pt idx="12">
                  <c:v>1.2881670000000003</c:v>
                </c:pt>
                <c:pt idx="13">
                  <c:v>10.566962999999998</c:v>
                </c:pt>
                <c:pt idx="14">
                  <c:v>14.891163999999982</c:v>
                </c:pt>
                <c:pt idx="15">
                  <c:v>10.694070000000005</c:v>
                </c:pt>
                <c:pt idx="16">
                  <c:v>9.9404549999999894</c:v>
                </c:pt>
                <c:pt idx="17">
                  <c:v>-2.5052759999999998</c:v>
                </c:pt>
                <c:pt idx="18">
                  <c:v>-2.7583920000000002</c:v>
                </c:pt>
                <c:pt idx="19">
                  <c:v>2.0867999999999998E-2</c:v>
                </c:pt>
                <c:pt idx="20">
                  <c:v>-2.3192120000000003</c:v>
                </c:pt>
                <c:pt idx="21">
                  <c:v>-11.849971</c:v>
                </c:pt>
                <c:pt idx="22">
                  <c:v>-1.3085619999999998</c:v>
                </c:pt>
                <c:pt idx="23">
                  <c:v>0</c:v>
                </c:pt>
                <c:pt idx="24">
                  <c:v>2.5000000000000001E-5</c:v>
                </c:pt>
                <c:pt idx="25">
                  <c:v>0</c:v>
                </c:pt>
                <c:pt idx="26">
                  <c:v>5.5528000000000004</c:v>
                </c:pt>
                <c:pt idx="27">
                  <c:v>7.4599000000000002</c:v>
                </c:pt>
                <c:pt idx="28">
                  <c:v>2.1829999999999998</c:v>
                </c:pt>
                <c:pt idx="29">
                  <c:v>-3.7834999999999996</c:v>
                </c:pt>
              </c:numCache>
            </c:numRef>
          </c:val>
          <c:smooth val="0"/>
        </c:ser>
        <c:dLbls>
          <c:showLegendKey val="0"/>
          <c:showVal val="0"/>
          <c:showCatName val="0"/>
          <c:showSerName val="0"/>
          <c:showPercent val="0"/>
          <c:showBubbleSize val="0"/>
        </c:dLbls>
        <c:marker val="1"/>
        <c:smooth val="0"/>
        <c:axId val="163704192"/>
        <c:axId val="50267264"/>
      </c:lineChart>
      <c:dateAx>
        <c:axId val="163704192"/>
        <c:scaling>
          <c:orientation val="minMax"/>
        </c:scaling>
        <c:delete val="0"/>
        <c:axPos val="b"/>
        <c:numFmt formatCode="mmm\-yy" sourceLinked="0"/>
        <c:majorTickMark val="out"/>
        <c:minorTickMark val="none"/>
        <c:tickLblPos val="low"/>
        <c:crossAx val="50267264"/>
        <c:crosses val="autoZero"/>
        <c:auto val="1"/>
        <c:lblOffset val="100"/>
        <c:baseTimeUnit val="months"/>
        <c:majorUnit val="3"/>
        <c:majorTimeUnit val="months"/>
      </c:dateAx>
      <c:valAx>
        <c:axId val="50267264"/>
        <c:scaling>
          <c:orientation val="minMax"/>
        </c:scaling>
        <c:delete val="0"/>
        <c:axPos val="l"/>
        <c:majorGridlines/>
        <c:title>
          <c:tx>
            <c:rich>
              <a:bodyPr rot="-5400000" vert="horz"/>
              <a:lstStyle/>
              <a:p>
                <a:pPr>
                  <a:defRPr/>
                </a:pPr>
                <a:r>
                  <a:rPr lang="en-US"/>
                  <a:t>GWh</a:t>
                </a:r>
              </a:p>
            </c:rich>
          </c:tx>
          <c:layout/>
          <c:overlay val="0"/>
        </c:title>
        <c:numFmt formatCode="0.00" sourceLinked="1"/>
        <c:majorTickMark val="out"/>
        <c:minorTickMark val="none"/>
        <c:tickLblPos val="nextTo"/>
        <c:crossAx val="163704192"/>
        <c:crosses val="autoZero"/>
        <c:crossBetween val="between"/>
      </c:valAx>
    </c:plotArea>
    <c:legend>
      <c:legendPos val="t"/>
      <c:layout/>
      <c:overlay val="0"/>
    </c:legend>
    <c:plotVisOnly val="1"/>
    <c:dispBlanksAs val="gap"/>
    <c:showDLblsOverMax val="0"/>
  </c:chart>
  <c:txPr>
    <a:bodyPr/>
    <a:lstStyle/>
    <a:p>
      <a:pPr>
        <a:defRPr sz="75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2"/>
          <c:order val="0"/>
          <c:tx>
            <c:strRef>
              <c:f>'Datos Regionales (2)'!$B$1</c:f>
              <c:strCache>
                <c:ptCount val="1"/>
                <c:pt idx="0">
                  <c:v>GU</c:v>
                </c:pt>
              </c:strCache>
            </c:strRef>
          </c:tx>
          <c:spPr>
            <a:ln w="19050"/>
          </c:spPr>
          <c:marker>
            <c:symbol val="square"/>
            <c:size val="7"/>
          </c:marker>
          <c:cat>
            <c:numRef>
              <c:f>'Datos Regionales (2)'!$A$14:$A$31</c:f>
              <c:numCache>
                <c:formatCode>mmm\-yy</c:formatCode>
                <c:ptCount val="18"/>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numCache>
            </c:numRef>
          </c:cat>
          <c:val>
            <c:numRef>
              <c:f>'Datos Regionales (2)'!$B$14:$B$31</c:f>
              <c:numCache>
                <c:formatCode>0.00</c:formatCode>
                <c:ptCount val="18"/>
                <c:pt idx="0">
                  <c:v>91.450588000000252</c:v>
                </c:pt>
                <c:pt idx="1">
                  <c:v>59.807849000000104</c:v>
                </c:pt>
                <c:pt idx="2">
                  <c:v>71.99506200000036</c:v>
                </c:pt>
                <c:pt idx="3">
                  <c:v>72.475267999999687</c:v>
                </c:pt>
                <c:pt idx="4">
                  <c:v>81.713956000000053</c:v>
                </c:pt>
                <c:pt idx="5">
                  <c:v>124.8180569999988</c:v>
                </c:pt>
                <c:pt idx="6">
                  <c:v>87.563796000000821</c:v>
                </c:pt>
                <c:pt idx="7">
                  <c:v>79.678125999999537</c:v>
                </c:pt>
                <c:pt idx="8">
                  <c:v>66.775611999999668</c:v>
                </c:pt>
                <c:pt idx="9">
                  <c:v>66.23300600000033</c:v>
                </c:pt>
                <c:pt idx="10">
                  <c:v>93.916134999998405</c:v>
                </c:pt>
                <c:pt idx="11">
                  <c:v>91.542505999999861</c:v>
                </c:pt>
                <c:pt idx="12">
                  <c:v>89.497490999999698</c:v>
                </c:pt>
                <c:pt idx="13">
                  <c:v>69.81819999999999</c:v>
                </c:pt>
                <c:pt idx="14">
                  <c:v>83.388199999999998</c:v>
                </c:pt>
                <c:pt idx="15">
                  <c:v>86.589399999999998</c:v>
                </c:pt>
                <c:pt idx="16">
                  <c:v>65.206500000000005</c:v>
                </c:pt>
                <c:pt idx="17">
                  <c:v>56.988599999999998</c:v>
                </c:pt>
              </c:numCache>
            </c:numRef>
          </c:val>
          <c:smooth val="0"/>
        </c:ser>
        <c:ser>
          <c:idx val="13"/>
          <c:order val="1"/>
          <c:tx>
            <c:strRef>
              <c:f>'Datos Regionales (2)'!$C$1</c:f>
              <c:strCache>
                <c:ptCount val="1"/>
                <c:pt idx="0">
                  <c:v>ES</c:v>
                </c:pt>
              </c:strCache>
            </c:strRef>
          </c:tx>
          <c:spPr>
            <a:ln w="19050"/>
          </c:spPr>
          <c:cat>
            <c:numRef>
              <c:f>'Datos Regionales (2)'!$A$14:$A$31</c:f>
              <c:numCache>
                <c:formatCode>mmm\-yy</c:formatCode>
                <c:ptCount val="18"/>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numCache>
            </c:numRef>
          </c:cat>
          <c:val>
            <c:numRef>
              <c:f>'Datos Regionales (2)'!$C$14:$C$31</c:f>
              <c:numCache>
                <c:formatCode>0.00</c:formatCode>
                <c:ptCount val="18"/>
                <c:pt idx="0">
                  <c:v>111.96451600000017</c:v>
                </c:pt>
                <c:pt idx="1">
                  <c:v>82.778061000000193</c:v>
                </c:pt>
                <c:pt idx="2">
                  <c:v>69.569946000000115</c:v>
                </c:pt>
                <c:pt idx="3">
                  <c:v>46.861093999999994</c:v>
                </c:pt>
                <c:pt idx="4">
                  <c:v>38.079246000000012</c:v>
                </c:pt>
                <c:pt idx="5">
                  <c:v>90.472925000000188</c:v>
                </c:pt>
                <c:pt idx="6">
                  <c:v>68.779814999999473</c:v>
                </c:pt>
                <c:pt idx="7">
                  <c:v>31.955923999999769</c:v>
                </c:pt>
                <c:pt idx="8">
                  <c:v>43.80733900000012</c:v>
                </c:pt>
                <c:pt idx="9">
                  <c:v>59.411272000000167</c:v>
                </c:pt>
                <c:pt idx="10">
                  <c:v>107.65210899999718</c:v>
                </c:pt>
                <c:pt idx="11">
                  <c:v>105.43907900000005</c:v>
                </c:pt>
                <c:pt idx="12">
                  <c:v>104.5421879999992</c:v>
                </c:pt>
                <c:pt idx="13">
                  <c:v>85.012699999999995</c:v>
                </c:pt>
                <c:pt idx="14">
                  <c:v>58.925799999999995</c:v>
                </c:pt>
                <c:pt idx="15">
                  <c:v>62.790700000000001</c:v>
                </c:pt>
                <c:pt idx="16">
                  <c:v>69.359200000000001</c:v>
                </c:pt>
                <c:pt idx="17">
                  <c:v>78.871000000000009</c:v>
                </c:pt>
              </c:numCache>
            </c:numRef>
          </c:val>
          <c:smooth val="0"/>
        </c:ser>
        <c:ser>
          <c:idx val="14"/>
          <c:order val="2"/>
          <c:tx>
            <c:strRef>
              <c:f>'Datos Regionales (2)'!$D$1</c:f>
              <c:strCache>
                <c:ptCount val="1"/>
                <c:pt idx="0">
                  <c:v>HO</c:v>
                </c:pt>
              </c:strCache>
            </c:strRef>
          </c:tx>
          <c:spPr>
            <a:ln w="19050"/>
          </c:spPr>
          <c:cat>
            <c:numRef>
              <c:f>'Datos Regionales (2)'!$A$14:$A$31</c:f>
              <c:numCache>
                <c:formatCode>mmm\-yy</c:formatCode>
                <c:ptCount val="18"/>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numCache>
            </c:numRef>
          </c:cat>
          <c:val>
            <c:numRef>
              <c:f>'Datos Regionales (2)'!$D$14:$D$31</c:f>
              <c:numCache>
                <c:formatCode>0.00</c:formatCode>
                <c:ptCount val="18"/>
                <c:pt idx="0">
                  <c:v>1.2227949999999999</c:v>
                </c:pt>
                <c:pt idx="1">
                  <c:v>9.2091259999999959</c:v>
                </c:pt>
                <c:pt idx="2">
                  <c:v>17.399306999999979</c:v>
                </c:pt>
                <c:pt idx="3">
                  <c:v>7.8812760000000015</c:v>
                </c:pt>
                <c:pt idx="4">
                  <c:v>10.004041000000019</c:v>
                </c:pt>
                <c:pt idx="5">
                  <c:v>23.829639000000107</c:v>
                </c:pt>
                <c:pt idx="6">
                  <c:v>34.311121999999976</c:v>
                </c:pt>
                <c:pt idx="7">
                  <c:v>40.675638000000397</c:v>
                </c:pt>
                <c:pt idx="8">
                  <c:v>54.086877000000243</c:v>
                </c:pt>
                <c:pt idx="9">
                  <c:v>59.209528999999819</c:v>
                </c:pt>
                <c:pt idx="10">
                  <c:v>37.63167399999994</c:v>
                </c:pt>
                <c:pt idx="11">
                  <c:v>29.07344400000003</c:v>
                </c:pt>
                <c:pt idx="12">
                  <c:v>15.098336000000019</c:v>
                </c:pt>
                <c:pt idx="13">
                  <c:v>5.6593999999999998</c:v>
                </c:pt>
                <c:pt idx="14">
                  <c:v>4.4004999999999992</c:v>
                </c:pt>
                <c:pt idx="15">
                  <c:v>8.1932000000000009</c:v>
                </c:pt>
                <c:pt idx="16">
                  <c:v>13.4819</c:v>
                </c:pt>
                <c:pt idx="17">
                  <c:v>27.9742</c:v>
                </c:pt>
              </c:numCache>
            </c:numRef>
          </c:val>
          <c:smooth val="0"/>
        </c:ser>
        <c:ser>
          <c:idx val="15"/>
          <c:order val="3"/>
          <c:tx>
            <c:strRef>
              <c:f>'Datos Regionales (2)'!$E$1</c:f>
              <c:strCache>
                <c:ptCount val="1"/>
                <c:pt idx="0">
                  <c:v>NI</c:v>
                </c:pt>
              </c:strCache>
            </c:strRef>
          </c:tx>
          <c:spPr>
            <a:ln w="38100"/>
          </c:spPr>
          <c:marker>
            <c:spPr>
              <a:ln w="25400"/>
            </c:spPr>
          </c:marker>
          <c:cat>
            <c:numRef>
              <c:f>'Datos Regionales (2)'!$A$14:$A$31</c:f>
              <c:numCache>
                <c:formatCode>mmm\-yy</c:formatCode>
                <c:ptCount val="18"/>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numCache>
            </c:numRef>
          </c:cat>
          <c:val>
            <c:numRef>
              <c:f>'Datos Regionales (2)'!$E$14:$E$31</c:f>
              <c:numCache>
                <c:formatCode>0.00</c:formatCode>
                <c:ptCount val="18"/>
                <c:pt idx="0">
                  <c:v>1.2881670000000003</c:v>
                </c:pt>
                <c:pt idx="1">
                  <c:v>10.566962999999998</c:v>
                </c:pt>
                <c:pt idx="2">
                  <c:v>14.897163999999982</c:v>
                </c:pt>
                <c:pt idx="3">
                  <c:v>10.694070000000005</c:v>
                </c:pt>
                <c:pt idx="4">
                  <c:v>9.9604109999999899</c:v>
                </c:pt>
                <c:pt idx="5">
                  <c:v>5.4780800000000003</c:v>
                </c:pt>
                <c:pt idx="6">
                  <c:v>2.8276520000000001</c:v>
                </c:pt>
                <c:pt idx="7">
                  <c:v>2.0867999999999998E-2</c:v>
                </c:pt>
                <c:pt idx="8">
                  <c:v>2.3192360000000001</c:v>
                </c:pt>
                <c:pt idx="9">
                  <c:v>11.869971</c:v>
                </c:pt>
                <c:pt idx="10">
                  <c:v>1.3725619999999998</c:v>
                </c:pt>
                <c:pt idx="11">
                  <c:v>0</c:v>
                </c:pt>
                <c:pt idx="12">
                  <c:v>2.5000000000000001E-5</c:v>
                </c:pt>
                <c:pt idx="13">
                  <c:v>0</c:v>
                </c:pt>
                <c:pt idx="14">
                  <c:v>5.5528000000000004</c:v>
                </c:pt>
                <c:pt idx="15">
                  <c:v>7.9090999999999996</c:v>
                </c:pt>
                <c:pt idx="16">
                  <c:v>4.0114000000000001</c:v>
                </c:pt>
                <c:pt idx="17">
                  <c:v>3.7906999999999997</c:v>
                </c:pt>
              </c:numCache>
            </c:numRef>
          </c:val>
          <c:smooth val="0"/>
        </c:ser>
        <c:ser>
          <c:idx val="16"/>
          <c:order val="4"/>
          <c:tx>
            <c:strRef>
              <c:f>'Datos Regionales (2)'!$F$1</c:f>
              <c:strCache>
                <c:ptCount val="1"/>
                <c:pt idx="0">
                  <c:v>CR</c:v>
                </c:pt>
              </c:strCache>
            </c:strRef>
          </c:tx>
          <c:spPr>
            <a:ln w="19050"/>
          </c:spPr>
          <c:marker>
            <c:symbol val="triangle"/>
            <c:size val="7"/>
          </c:marker>
          <c:cat>
            <c:numRef>
              <c:f>'Datos Regionales (2)'!$A$14:$A$31</c:f>
              <c:numCache>
                <c:formatCode>mmm\-yy</c:formatCode>
                <c:ptCount val="18"/>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numCache>
            </c:numRef>
          </c:cat>
          <c:val>
            <c:numRef>
              <c:f>'Datos Regionales (2)'!$F$14:$F$31</c:f>
              <c:numCache>
                <c:formatCode>0.00</c:formatCode>
                <c:ptCount val="18"/>
                <c:pt idx="0">
                  <c:v>21.55764799999999</c:v>
                </c:pt>
                <c:pt idx="1">
                  <c:v>30.319836000000024</c:v>
                </c:pt>
                <c:pt idx="2">
                  <c:v>64.214684999999989</c:v>
                </c:pt>
                <c:pt idx="3">
                  <c:v>65.289046999999968</c:v>
                </c:pt>
                <c:pt idx="4">
                  <c:v>41.101797999999974</c:v>
                </c:pt>
                <c:pt idx="5">
                  <c:v>22.613635999999996</c:v>
                </c:pt>
                <c:pt idx="6">
                  <c:v>16.557472000000011</c:v>
                </c:pt>
                <c:pt idx="7">
                  <c:v>1.0634890000000001</c:v>
                </c:pt>
                <c:pt idx="8">
                  <c:v>3.1442550000000011</c:v>
                </c:pt>
                <c:pt idx="9">
                  <c:v>8.1456180000000007</c:v>
                </c:pt>
                <c:pt idx="10">
                  <c:v>13.264387999999999</c:v>
                </c:pt>
                <c:pt idx="11">
                  <c:v>34.053614999999994</c:v>
                </c:pt>
                <c:pt idx="12">
                  <c:v>22.441873999999991</c:v>
                </c:pt>
                <c:pt idx="13">
                  <c:v>26.581900000000001</c:v>
                </c:pt>
                <c:pt idx="14">
                  <c:v>39.058100000000003</c:v>
                </c:pt>
                <c:pt idx="15">
                  <c:v>76.588300000000004</c:v>
                </c:pt>
                <c:pt idx="16">
                  <c:v>65.323599999999999</c:v>
                </c:pt>
                <c:pt idx="17">
                  <c:v>47.518800000000006</c:v>
                </c:pt>
              </c:numCache>
            </c:numRef>
          </c:val>
          <c:smooth val="0"/>
        </c:ser>
        <c:ser>
          <c:idx val="17"/>
          <c:order val="5"/>
          <c:tx>
            <c:strRef>
              <c:f>'Datos Regionales (2)'!$G$1</c:f>
              <c:strCache>
                <c:ptCount val="1"/>
                <c:pt idx="0">
                  <c:v>PA</c:v>
                </c:pt>
              </c:strCache>
            </c:strRef>
          </c:tx>
          <c:spPr>
            <a:ln w="19050"/>
          </c:spPr>
          <c:marker>
            <c:symbol val="diamond"/>
            <c:size val="7"/>
          </c:marker>
          <c:cat>
            <c:numRef>
              <c:f>'Datos Regionales (2)'!$A$14:$A$31</c:f>
              <c:numCache>
                <c:formatCode>mmm\-yy</c:formatCode>
                <c:ptCount val="18"/>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numCache>
            </c:numRef>
          </c:cat>
          <c:val>
            <c:numRef>
              <c:f>'Datos Regionales (2)'!$G$14:$G$31</c:f>
              <c:numCache>
                <c:formatCode>0.00</c:formatCode>
                <c:ptCount val="18"/>
                <c:pt idx="0">
                  <c:v>20.043484999999901</c:v>
                </c:pt>
                <c:pt idx="1">
                  <c:v>30.535787999999979</c:v>
                </c:pt>
                <c:pt idx="2">
                  <c:v>24.251788000000047</c:v>
                </c:pt>
                <c:pt idx="3">
                  <c:v>23.231093000000079</c:v>
                </c:pt>
                <c:pt idx="4">
                  <c:v>48.846024000000057</c:v>
                </c:pt>
                <c:pt idx="5">
                  <c:v>29.196518000000111</c:v>
                </c:pt>
                <c:pt idx="6">
                  <c:v>2.2540950000000008</c:v>
                </c:pt>
                <c:pt idx="7">
                  <c:v>11.191339999999986</c:v>
                </c:pt>
                <c:pt idx="8">
                  <c:v>4.3527700000000014</c:v>
                </c:pt>
                <c:pt idx="9">
                  <c:v>40.615068000000015</c:v>
                </c:pt>
                <c:pt idx="10">
                  <c:v>43.708217000000026</c:v>
                </c:pt>
                <c:pt idx="11">
                  <c:v>9.6006739999999926</c:v>
                </c:pt>
                <c:pt idx="12">
                  <c:v>8.1645760000000003</c:v>
                </c:pt>
                <c:pt idx="13">
                  <c:v>7.1008999999999993</c:v>
                </c:pt>
                <c:pt idx="14">
                  <c:v>8.530899999999999</c:v>
                </c:pt>
                <c:pt idx="15">
                  <c:v>12.5014</c:v>
                </c:pt>
                <c:pt idx="16">
                  <c:v>7.5565999999999995</c:v>
                </c:pt>
                <c:pt idx="17">
                  <c:v>11.163</c:v>
                </c:pt>
              </c:numCache>
            </c:numRef>
          </c:val>
          <c:smooth val="0"/>
        </c:ser>
        <c:dLbls>
          <c:showLegendKey val="0"/>
          <c:showVal val="0"/>
          <c:showCatName val="0"/>
          <c:showSerName val="0"/>
          <c:showPercent val="0"/>
          <c:showBubbleSize val="0"/>
        </c:dLbls>
        <c:marker val="1"/>
        <c:smooth val="0"/>
        <c:axId val="50283648"/>
        <c:axId val="50285184"/>
      </c:lineChart>
      <c:dateAx>
        <c:axId val="50283648"/>
        <c:scaling>
          <c:orientation val="minMax"/>
        </c:scaling>
        <c:delete val="0"/>
        <c:axPos val="b"/>
        <c:numFmt formatCode="mmm\-yy" sourceLinked="1"/>
        <c:majorTickMark val="out"/>
        <c:minorTickMark val="none"/>
        <c:tickLblPos val="nextTo"/>
        <c:crossAx val="50285184"/>
        <c:crosses val="autoZero"/>
        <c:auto val="1"/>
        <c:lblOffset val="100"/>
        <c:baseTimeUnit val="months"/>
      </c:dateAx>
      <c:valAx>
        <c:axId val="50285184"/>
        <c:scaling>
          <c:orientation val="minMax"/>
        </c:scaling>
        <c:delete val="0"/>
        <c:axPos val="l"/>
        <c:majorGridlines/>
        <c:title>
          <c:tx>
            <c:rich>
              <a:bodyPr rot="-5400000" vert="horz"/>
              <a:lstStyle/>
              <a:p>
                <a:pPr>
                  <a:defRPr/>
                </a:pPr>
                <a:r>
                  <a:rPr lang="en-US"/>
                  <a:t>GWh</a:t>
                </a:r>
              </a:p>
            </c:rich>
          </c:tx>
          <c:layout/>
          <c:overlay val="0"/>
        </c:title>
        <c:numFmt formatCode="0.00" sourceLinked="1"/>
        <c:majorTickMark val="out"/>
        <c:minorTickMark val="none"/>
        <c:tickLblPos val="nextTo"/>
        <c:crossAx val="50283648"/>
        <c:crosses val="autoZero"/>
        <c:crossBetween val="midCat"/>
      </c:valAx>
    </c:plotArea>
    <c:legend>
      <c:legendPos val="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D77498578F2A4F9A12BA50C74AA141" ma:contentTypeVersion="0" ma:contentTypeDescription="A content type to manage public (operations) IDB documents" ma:contentTypeScope="" ma:versionID="ba982811c9824d3cfd52347c52c16977">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39852656</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Baldivieso, Hector</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NI-L1091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29EDCCD5-B1C9-4DCC-AFB6-7013C1965F42}"/>
</file>

<file path=customXml/itemProps2.xml><?xml version="1.0" encoding="utf-8"?>
<ds:datastoreItem xmlns:ds="http://schemas.openxmlformats.org/officeDocument/2006/customXml" ds:itemID="{587956A5-8049-42EB-8857-F2DEEAF5B859}"/>
</file>

<file path=customXml/itemProps3.xml><?xml version="1.0" encoding="utf-8"?>
<ds:datastoreItem xmlns:ds="http://schemas.openxmlformats.org/officeDocument/2006/customXml" ds:itemID="{F54CBC7C-990B-4FF1-9486-35F7DFCF4FD3}"/>
</file>

<file path=customXml/itemProps4.xml><?xml version="1.0" encoding="utf-8"?>
<ds:datastoreItem xmlns:ds="http://schemas.openxmlformats.org/officeDocument/2006/customXml" ds:itemID="{F15193EB-F7D7-4AFC-847C-166ADFB758F3}"/>
</file>

<file path=customXml/itemProps5.xml><?xml version="1.0" encoding="utf-8"?>
<ds:datastoreItem xmlns:ds="http://schemas.openxmlformats.org/officeDocument/2006/customXml" ds:itemID="{2CDBBA2C-6429-4B7F-85A3-5CD484448F54}"/>
</file>

<file path=customXml/itemProps6.xml><?xml version="1.0" encoding="utf-8"?>
<ds:datastoreItem xmlns:ds="http://schemas.openxmlformats.org/officeDocument/2006/customXml" ds:itemID="{B62625E8-FE0A-475D-82A2-656EBA3CF9E0}"/>
</file>

<file path=docProps/app.xml><?xml version="1.0" encoding="utf-8"?>
<Properties xmlns="http://schemas.openxmlformats.org/officeDocument/2006/extended-properties" xmlns:vt="http://schemas.openxmlformats.org/officeDocument/2006/docPropsVTypes">
  <Template>Normal.dotm</Template>
  <TotalTime>3</TotalTime>
  <Pages>5</Pages>
  <Words>1308</Words>
  <Characters>7462</Characters>
  <Application>Microsoft Office Word</Application>
  <DocSecurity>0</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8753</CharactersWithSpaces>
  <SharedDoc>false</SharedDoc>
  <HLinks>
    <vt:vector size="12" baseType="variant">
      <vt:variant>
        <vt:i4>7209021</vt:i4>
      </vt:variant>
      <vt:variant>
        <vt:i4>3</vt:i4>
      </vt:variant>
      <vt:variant>
        <vt:i4>0</vt:i4>
      </vt:variant>
      <vt:variant>
        <vt:i4>5</vt:i4>
      </vt:variant>
      <vt:variant>
        <vt:lpwstr>http://www.enteoperador.org/documentos/Segundo-Protocolo-al-Tratado-Marco-del-MER-Final-Abril-2007.pdf</vt:lpwstr>
      </vt:variant>
      <vt:variant>
        <vt:lpwstr/>
      </vt:variant>
      <vt:variant>
        <vt:i4>1966164</vt:i4>
      </vt:variant>
      <vt:variant>
        <vt:i4>0</vt:i4>
      </vt:variant>
      <vt:variant>
        <vt:i4>0</vt:i4>
      </vt:variant>
      <vt:variant>
        <vt:i4>5</vt:i4>
      </vt:variant>
      <vt:variant>
        <vt:lpwstr>http://www.enteoperador.org/documentos/Tratado-Marco-y-Protocolo-del-Mercado-Electrico-de-America-Central.pdf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NI-L1091 - Anexo de Integracion Regional </dc:title>
  <dc:creator>Test</dc:creator>
  <cp:lastModifiedBy>Test</cp:lastModifiedBy>
  <cp:revision>2</cp:revision>
  <cp:lastPrinted>2015-08-19T13:57:00Z</cp:lastPrinted>
  <dcterms:created xsi:type="dcterms:W3CDTF">2015-09-10T18:05:00Z</dcterms:created>
  <dcterms:modified xsi:type="dcterms:W3CDTF">2015-09-10T18:05:00Z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0x01010046CF21643EE8D14686A648AA6DAD0892009BD77498578F2A4F9A12BA50C74AA141</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