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88F" w:rsidRPr="00634D9F" w:rsidRDefault="00E6488F" w:rsidP="00E6488F">
      <w:pPr>
        <w:jc w:val="center"/>
        <w:rPr>
          <w:rFonts w:ascii="Times New Roman" w:hAnsi="Times New Roman"/>
          <w:b/>
          <w:bCs/>
          <w:iCs/>
          <w:sz w:val="28"/>
          <w:lang w:val="es-ES_tradnl"/>
        </w:rPr>
      </w:pPr>
      <w:r w:rsidRPr="00634D9F">
        <w:rPr>
          <w:rFonts w:ascii="Times New Roman" w:hAnsi="Times New Roman"/>
          <w:b/>
          <w:bCs/>
          <w:iCs/>
          <w:sz w:val="28"/>
          <w:lang w:val="es-ES_tradnl"/>
        </w:rPr>
        <w:t>BANCO INTERAMERICANO DE DESARROLLO</w:t>
      </w:r>
    </w:p>
    <w:p w:rsidR="00E6488F" w:rsidRPr="00634D9F" w:rsidRDefault="00E6488F" w:rsidP="00E6488F">
      <w:pPr>
        <w:jc w:val="center"/>
        <w:rPr>
          <w:rFonts w:ascii="Times New Roman" w:hAnsi="Times New Roman"/>
          <w:b/>
          <w:bCs/>
          <w:iCs/>
          <w:lang w:val="es-ES_tradnl"/>
        </w:rPr>
      </w:pPr>
    </w:p>
    <w:p w:rsidR="00E6488F" w:rsidRPr="00634D9F" w:rsidRDefault="00E6488F" w:rsidP="00E6488F">
      <w:pPr>
        <w:jc w:val="center"/>
        <w:rPr>
          <w:rFonts w:ascii="Times New Roman" w:hAnsi="Times New Roman"/>
          <w:b/>
          <w:bCs/>
          <w:iCs/>
          <w:lang w:val="es-ES_tradnl"/>
        </w:rPr>
      </w:pPr>
    </w:p>
    <w:p w:rsidR="00E6488F" w:rsidRDefault="00E6488F" w:rsidP="00E6488F">
      <w:pPr>
        <w:rPr>
          <w:rFonts w:ascii="Times New Roman" w:hAnsi="Times New Roman"/>
          <w:b/>
          <w:bCs/>
          <w:iCs/>
          <w:sz w:val="28"/>
          <w:lang w:val="es-ES_tradnl"/>
        </w:rPr>
      </w:pPr>
    </w:p>
    <w:p w:rsidR="00E6488F" w:rsidRDefault="00E6488F" w:rsidP="00E6488F">
      <w:pPr>
        <w:jc w:val="center"/>
        <w:rPr>
          <w:rFonts w:ascii="Times New Roman" w:hAnsi="Times New Roman"/>
          <w:b/>
          <w:bCs/>
          <w:iCs/>
          <w:sz w:val="28"/>
          <w:lang w:val="es-ES_tradnl"/>
        </w:rPr>
      </w:pPr>
    </w:p>
    <w:p w:rsidR="00E6488F" w:rsidRPr="00634D9F" w:rsidRDefault="00E6488F" w:rsidP="00E6488F">
      <w:pPr>
        <w:jc w:val="center"/>
        <w:rPr>
          <w:rFonts w:ascii="Times New Roman" w:hAnsi="Times New Roman"/>
          <w:b/>
          <w:bCs/>
          <w:iCs/>
          <w:sz w:val="28"/>
          <w:lang w:val="es-ES_tradnl"/>
        </w:rPr>
      </w:pPr>
      <w:r w:rsidRPr="00634D9F">
        <w:rPr>
          <w:rFonts w:ascii="Times New Roman" w:hAnsi="Times New Roman"/>
          <w:b/>
          <w:bCs/>
          <w:iCs/>
          <w:sz w:val="28"/>
          <w:lang w:val="es-ES_tradnl"/>
        </w:rPr>
        <w:t>PROGRAMA PARA EL DESARROLLO SOSTENIBLE DE ESTADOS Y</w:t>
      </w:r>
      <w:r>
        <w:rPr>
          <w:rFonts w:ascii="Times New Roman" w:hAnsi="Times New Roman"/>
          <w:b/>
          <w:bCs/>
          <w:iCs/>
          <w:sz w:val="28"/>
          <w:lang w:val="es-ES_tradnl"/>
        </w:rPr>
        <w:t xml:space="preserve"> </w:t>
      </w:r>
      <w:r w:rsidRPr="00634D9F">
        <w:rPr>
          <w:rFonts w:ascii="Times New Roman" w:hAnsi="Times New Roman"/>
          <w:b/>
          <w:bCs/>
          <w:iCs/>
          <w:sz w:val="28"/>
          <w:lang w:val="es-ES_tradnl"/>
        </w:rPr>
        <w:t>MUNICIPIOS DE MÉXICO</w:t>
      </w:r>
    </w:p>
    <w:p w:rsidR="00E6488F" w:rsidRPr="00634D9F" w:rsidRDefault="00E6488F" w:rsidP="00E6488F">
      <w:pPr>
        <w:jc w:val="center"/>
        <w:rPr>
          <w:rFonts w:ascii="Times New Roman" w:hAnsi="Times New Roman"/>
          <w:b/>
          <w:bCs/>
          <w:iCs/>
          <w:lang w:val="es-ES_tradnl"/>
        </w:rPr>
      </w:pPr>
    </w:p>
    <w:p w:rsidR="00E6488F" w:rsidRPr="00634D9F" w:rsidRDefault="00E6488F" w:rsidP="00E6488F">
      <w:pPr>
        <w:jc w:val="center"/>
        <w:rPr>
          <w:rFonts w:ascii="Times New Roman" w:hAnsi="Times New Roman"/>
          <w:b/>
          <w:bCs/>
          <w:iCs/>
          <w:lang w:val="es-ES_tradnl"/>
        </w:rPr>
      </w:pPr>
    </w:p>
    <w:p w:rsidR="00E6488F" w:rsidRDefault="00E6488F" w:rsidP="00E6488F">
      <w:pPr>
        <w:jc w:val="center"/>
        <w:rPr>
          <w:rFonts w:ascii="Times New Roman" w:hAnsi="Times New Roman"/>
          <w:b/>
          <w:bCs/>
          <w:iCs/>
          <w:sz w:val="32"/>
          <w:lang w:val="es-ES_tradnl"/>
        </w:rPr>
      </w:pPr>
    </w:p>
    <w:p w:rsidR="00E6488F" w:rsidRDefault="00E6488F" w:rsidP="00E6488F">
      <w:pPr>
        <w:jc w:val="center"/>
        <w:rPr>
          <w:rFonts w:ascii="Times New Roman" w:hAnsi="Times New Roman"/>
          <w:b/>
          <w:bCs/>
          <w:iCs/>
          <w:sz w:val="32"/>
          <w:lang w:val="es-ES_tradnl"/>
        </w:rPr>
      </w:pPr>
    </w:p>
    <w:p w:rsidR="00E6488F" w:rsidRDefault="00E6488F" w:rsidP="00E6488F">
      <w:pPr>
        <w:jc w:val="center"/>
        <w:rPr>
          <w:rFonts w:ascii="Times New Roman" w:hAnsi="Times New Roman"/>
          <w:b/>
          <w:bCs/>
          <w:iCs/>
          <w:sz w:val="32"/>
          <w:lang w:val="es-ES_tradnl"/>
        </w:rPr>
      </w:pPr>
    </w:p>
    <w:p w:rsidR="00E6488F" w:rsidRPr="00634D9F" w:rsidRDefault="00E6488F" w:rsidP="00E6488F">
      <w:pPr>
        <w:jc w:val="center"/>
        <w:rPr>
          <w:rFonts w:ascii="Times New Roman" w:hAnsi="Times New Roman"/>
          <w:b/>
          <w:bCs/>
          <w:iCs/>
          <w:sz w:val="32"/>
          <w:lang w:val="es-ES_tradnl"/>
        </w:rPr>
      </w:pPr>
      <w:r w:rsidRPr="00634D9F">
        <w:rPr>
          <w:rFonts w:ascii="Times New Roman" w:hAnsi="Times New Roman"/>
          <w:b/>
          <w:bCs/>
          <w:iCs/>
          <w:sz w:val="32"/>
          <w:lang w:val="es-ES_tradnl"/>
        </w:rPr>
        <w:t>PROYECTO ESTADO DE YUCATÁN</w:t>
      </w:r>
    </w:p>
    <w:p w:rsidR="00E6488F" w:rsidRPr="00014F94" w:rsidRDefault="00E6488F" w:rsidP="00E6488F">
      <w:pPr>
        <w:jc w:val="center"/>
        <w:rPr>
          <w:rFonts w:ascii="Times New Roman" w:hAnsi="Times New Roman"/>
          <w:b/>
          <w:bCs/>
          <w:iCs/>
          <w:sz w:val="32"/>
          <w:lang w:val="es-MX"/>
        </w:rPr>
      </w:pPr>
      <w:r w:rsidRPr="00014F94">
        <w:rPr>
          <w:rFonts w:ascii="Times New Roman" w:hAnsi="Times New Roman"/>
          <w:b/>
          <w:bCs/>
          <w:iCs/>
          <w:sz w:val="32"/>
          <w:lang w:val="es-MX"/>
        </w:rPr>
        <w:t>ME-L1059</w:t>
      </w:r>
    </w:p>
    <w:p w:rsidR="00E6488F" w:rsidRPr="00634D9F" w:rsidRDefault="00E6488F" w:rsidP="00E6488F">
      <w:pPr>
        <w:spacing w:before="120" w:after="120"/>
        <w:jc w:val="center"/>
        <w:rPr>
          <w:rFonts w:ascii="Times New Roman" w:hAnsi="Times New Roman"/>
          <w:b/>
          <w:lang w:val="es-ES_tradnl"/>
        </w:rPr>
      </w:pPr>
    </w:p>
    <w:p w:rsidR="00E6488F" w:rsidRPr="00634D9F" w:rsidRDefault="00E6488F" w:rsidP="00E6488F">
      <w:pPr>
        <w:spacing w:before="120" w:after="120"/>
        <w:jc w:val="center"/>
        <w:rPr>
          <w:rFonts w:ascii="Times New Roman" w:hAnsi="Times New Roman"/>
          <w:b/>
          <w:lang w:val="es-ES_tradnl"/>
        </w:rPr>
      </w:pPr>
    </w:p>
    <w:p w:rsidR="00E6488F" w:rsidRPr="00634D9F" w:rsidRDefault="00E6488F" w:rsidP="00E6488F">
      <w:pPr>
        <w:spacing w:before="120" w:after="120"/>
        <w:jc w:val="center"/>
        <w:rPr>
          <w:rFonts w:ascii="Times New Roman" w:hAnsi="Times New Roman"/>
          <w:b/>
          <w:lang w:val="es-ES_tradnl"/>
        </w:rPr>
      </w:pPr>
      <w:r w:rsidRPr="00634D9F">
        <w:rPr>
          <w:rFonts w:ascii="Times New Roman" w:hAnsi="Times New Roman"/>
          <w:b/>
          <w:sz w:val="32"/>
          <w:lang w:val="es-ES_tradnl"/>
        </w:rPr>
        <w:t xml:space="preserve">COMPONENTE </w:t>
      </w:r>
      <w:r>
        <w:rPr>
          <w:rFonts w:ascii="Times New Roman" w:hAnsi="Times New Roman"/>
          <w:b/>
          <w:sz w:val="32"/>
          <w:lang w:val="es-ES_tradnl"/>
        </w:rPr>
        <w:t>PLANIFICACION</w:t>
      </w:r>
    </w:p>
    <w:p w:rsidR="00E6488F" w:rsidRPr="00634D9F" w:rsidRDefault="00E6488F" w:rsidP="00E6488F">
      <w:pPr>
        <w:spacing w:before="120" w:after="120"/>
        <w:jc w:val="center"/>
        <w:rPr>
          <w:rFonts w:ascii="Times New Roman" w:hAnsi="Times New Roman"/>
          <w:b/>
          <w:lang w:val="es-ES_tradnl"/>
        </w:rPr>
      </w:pPr>
    </w:p>
    <w:p w:rsidR="00E6488F" w:rsidRPr="00634D9F" w:rsidRDefault="00E6488F" w:rsidP="00E6488F">
      <w:pPr>
        <w:spacing w:before="120" w:after="120"/>
        <w:jc w:val="center"/>
        <w:rPr>
          <w:rFonts w:ascii="Times New Roman" w:hAnsi="Times New Roman"/>
          <w:b/>
          <w:lang w:val="es-ES_tradnl"/>
        </w:rPr>
      </w:pPr>
    </w:p>
    <w:p w:rsidR="00E6488F" w:rsidRPr="00634D9F" w:rsidRDefault="00E6488F" w:rsidP="00E6488F">
      <w:pPr>
        <w:spacing w:before="120" w:after="120"/>
        <w:jc w:val="center"/>
        <w:rPr>
          <w:rFonts w:ascii="Times New Roman" w:hAnsi="Times New Roman"/>
          <w:b/>
          <w:lang w:val="es-ES_tradnl"/>
        </w:rPr>
      </w:pPr>
    </w:p>
    <w:p w:rsidR="00E6488F" w:rsidRPr="00634D9F" w:rsidRDefault="00E6488F" w:rsidP="00E6488F">
      <w:pPr>
        <w:spacing w:before="120" w:after="120"/>
        <w:jc w:val="center"/>
        <w:rPr>
          <w:rFonts w:ascii="Times New Roman" w:hAnsi="Times New Roman"/>
          <w:b/>
          <w:lang w:val="es-ES_tradnl"/>
        </w:rPr>
      </w:pPr>
    </w:p>
    <w:p w:rsidR="00E6488F" w:rsidRPr="00634D9F" w:rsidRDefault="00E6488F" w:rsidP="00E6488F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s-ES_tradnl"/>
        </w:rPr>
      </w:pPr>
      <w:r w:rsidRPr="00634D9F">
        <w:rPr>
          <w:rFonts w:ascii="Times New Roman" w:hAnsi="Times New Roman"/>
          <w:b/>
          <w:sz w:val="24"/>
          <w:szCs w:val="24"/>
          <w:lang w:val="es-ES_tradnl"/>
        </w:rPr>
        <w:t>Perfil de Proyecto</w:t>
      </w:r>
    </w:p>
    <w:p w:rsidR="00E6488F" w:rsidRPr="00634D9F" w:rsidRDefault="00E6488F" w:rsidP="00E6488F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s-ES_tradnl"/>
        </w:rPr>
      </w:pPr>
    </w:p>
    <w:p w:rsidR="00E6488F" w:rsidRDefault="00E6488F" w:rsidP="00E6488F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s-ES_tradnl"/>
        </w:rPr>
      </w:pPr>
      <w:r>
        <w:rPr>
          <w:rFonts w:ascii="Times New Roman" w:hAnsi="Times New Roman"/>
          <w:b/>
          <w:sz w:val="24"/>
          <w:szCs w:val="24"/>
          <w:lang w:val="es-ES_tradnl"/>
        </w:rPr>
        <w:t xml:space="preserve">15 </w:t>
      </w:r>
      <w:r w:rsidRPr="00634D9F">
        <w:rPr>
          <w:rFonts w:ascii="Times New Roman" w:hAnsi="Times New Roman"/>
          <w:b/>
          <w:sz w:val="24"/>
          <w:szCs w:val="24"/>
          <w:lang w:val="es-ES_tradnl"/>
        </w:rPr>
        <w:t>de mayo de 2010</w:t>
      </w:r>
    </w:p>
    <w:p w:rsidR="00E6488F" w:rsidRDefault="00E6488F">
      <w:pPr>
        <w:rPr>
          <w:rFonts w:ascii="Times New Roman" w:hAnsi="Times New Roman"/>
          <w:b/>
          <w:sz w:val="24"/>
          <w:szCs w:val="24"/>
          <w:lang w:val="es-ES_tradnl"/>
        </w:rPr>
      </w:pPr>
      <w:r>
        <w:rPr>
          <w:rFonts w:ascii="Times New Roman" w:hAnsi="Times New Roman"/>
          <w:b/>
          <w:sz w:val="24"/>
          <w:szCs w:val="24"/>
          <w:lang w:val="es-ES_tradnl"/>
        </w:rPr>
        <w:br w:type="page"/>
      </w:r>
    </w:p>
    <w:p w:rsidR="00E6488F" w:rsidRPr="00634D9F" w:rsidRDefault="00E6488F" w:rsidP="00E6488F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s-ES_tradnl"/>
        </w:rPr>
      </w:pPr>
    </w:p>
    <w:p w:rsidR="00871BFD" w:rsidRPr="00E6488F" w:rsidRDefault="00871BFD">
      <w:pPr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SUBPROGRAMA 1. </w:t>
      </w:r>
    </w:p>
    <w:p w:rsidR="00D96465" w:rsidRPr="00E6488F" w:rsidRDefault="00915A0B">
      <w:pPr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>COMPONENTE 1.  Fortalecimiento del Sistema de Planeación</w:t>
      </w:r>
      <w:r w:rsidR="00871BFD"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y de Gestión por Resultados</w:t>
      </w:r>
      <w:r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>.</w:t>
      </w:r>
    </w:p>
    <w:p w:rsidR="00915A0B" w:rsidRPr="00E6488F" w:rsidRDefault="00915A0B">
      <w:pPr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Antecedentes. </w:t>
      </w:r>
      <w:r w:rsidR="004871D2"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>(EL PROBLEMA)</w:t>
      </w:r>
    </w:p>
    <w:p w:rsidR="00915A0B" w:rsidRPr="00E6488F" w:rsidRDefault="00743465" w:rsidP="009C217A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sz w:val="24"/>
          <w:szCs w:val="24"/>
          <w:lang w:val="es-ES_tradnl"/>
        </w:rPr>
        <w:t>Yucatán cuenta con un Plan Estatal de Desarrollo 2007-2012 (PED), algunos planes sectoriales y más recientemente se ha definido una Visión Estratégica de Largo Plazo</w:t>
      </w:r>
      <w:r w:rsidR="00082077" w:rsidRPr="00E6488F">
        <w:rPr>
          <w:rStyle w:val="FootnoteReference"/>
          <w:rFonts w:ascii="Times New Roman" w:hAnsi="Times New Roman" w:cs="Times New Roman"/>
          <w:sz w:val="24"/>
          <w:szCs w:val="24"/>
          <w:lang w:val="es-ES_tradnl"/>
        </w:rPr>
        <w:footnoteReference w:id="1"/>
      </w:r>
      <w:r w:rsidR="00062D4A" w:rsidRPr="00E6488F">
        <w:rPr>
          <w:rFonts w:ascii="Times New Roman" w:hAnsi="Times New Roman" w:cs="Times New Roman"/>
          <w:sz w:val="24"/>
          <w:szCs w:val="24"/>
          <w:lang w:val="es-ES_tradnl"/>
        </w:rPr>
        <w:t>. No obstante</w:t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>, los principales problemas e</w:t>
      </w:r>
      <w:r w:rsidR="00915A0B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n materia de Planeación del Desarrollo </w:t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se refieren a que los recursos</w:t>
      </w:r>
      <w:r w:rsidR="00915A0B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4871D2" w:rsidRPr="00E6488F">
        <w:rPr>
          <w:rFonts w:ascii="Times New Roman" w:hAnsi="Times New Roman" w:cs="Times New Roman"/>
          <w:sz w:val="24"/>
          <w:szCs w:val="24"/>
          <w:lang w:val="es-ES_tradnl"/>
        </w:rPr>
        <w:t>aún</w:t>
      </w:r>
      <w:r w:rsidR="00915A0B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no se relacionan adecuadamente con la asignación presupuestari</w:t>
      </w:r>
      <w:r w:rsidR="004871D2" w:rsidRPr="00E6488F">
        <w:rPr>
          <w:rFonts w:ascii="Times New Roman" w:hAnsi="Times New Roman" w:cs="Times New Roman"/>
          <w:sz w:val="24"/>
          <w:szCs w:val="24"/>
          <w:lang w:val="es-ES_tradnl"/>
        </w:rPr>
        <w:t>a</w:t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. Lo anterior </w:t>
      </w:r>
      <w:r w:rsidR="00915A0B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debido a: i) el PED y los programas sectoriales no consideran las restricciones presupuestarias de </w:t>
      </w:r>
      <w:r w:rsidR="004871D2" w:rsidRPr="00E6488F">
        <w:rPr>
          <w:rFonts w:ascii="Times New Roman" w:hAnsi="Times New Roman" w:cs="Times New Roman"/>
          <w:sz w:val="24"/>
          <w:szCs w:val="24"/>
          <w:lang w:val="es-ES_tradnl"/>
        </w:rPr>
        <w:t>mediano</w:t>
      </w:r>
      <w:r w:rsidR="00915A0B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plazo</w:t>
      </w:r>
      <w:r w:rsidR="00BC0AFC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; </w:t>
      </w:r>
      <w:proofErr w:type="spellStart"/>
      <w:r w:rsidR="00BC0AFC" w:rsidRPr="00E6488F">
        <w:rPr>
          <w:rFonts w:ascii="Times New Roman" w:hAnsi="Times New Roman" w:cs="Times New Roman"/>
          <w:sz w:val="24"/>
          <w:szCs w:val="24"/>
          <w:lang w:val="es-ES_tradnl"/>
        </w:rPr>
        <w:t>ii</w:t>
      </w:r>
      <w:proofErr w:type="spellEnd"/>
      <w:r w:rsidR="00BC0AFC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) </w:t>
      </w:r>
      <w:r w:rsidR="00915A0B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la ausencia de un plan fiscal que dote de prospectiva las acciones públicas; </w:t>
      </w:r>
      <w:proofErr w:type="spellStart"/>
      <w:r w:rsidR="00915A0B" w:rsidRPr="00E6488F">
        <w:rPr>
          <w:rFonts w:ascii="Times New Roman" w:hAnsi="Times New Roman" w:cs="Times New Roman"/>
          <w:sz w:val="24"/>
          <w:szCs w:val="24"/>
          <w:lang w:val="es-ES_tradnl"/>
        </w:rPr>
        <w:t>ii</w:t>
      </w:r>
      <w:r w:rsidR="00BC0AFC" w:rsidRPr="00E6488F">
        <w:rPr>
          <w:rFonts w:ascii="Times New Roman" w:hAnsi="Times New Roman" w:cs="Times New Roman"/>
          <w:sz w:val="24"/>
          <w:szCs w:val="24"/>
          <w:lang w:val="es-ES_tradnl"/>
        </w:rPr>
        <w:t>i</w:t>
      </w:r>
      <w:proofErr w:type="spellEnd"/>
      <w:r w:rsidR="00915A0B" w:rsidRPr="00E6488F">
        <w:rPr>
          <w:rFonts w:ascii="Times New Roman" w:hAnsi="Times New Roman" w:cs="Times New Roman"/>
          <w:sz w:val="24"/>
          <w:szCs w:val="24"/>
          <w:lang w:val="es-ES_tradnl"/>
        </w:rPr>
        <w:t>) la</w:t>
      </w:r>
      <w:r w:rsidR="00BC0AFC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débil</w:t>
      </w:r>
      <w:r w:rsidR="00915A0B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vinculación entre las metas y los objetivos de los programas y proyectos institucionales y la asignación presupuestaria</w:t>
      </w:r>
      <w:r w:rsidR="004871D2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de mediano plazo, ya que no se cuentan con métodos o técnicas que permitan establecer y cuantificar dicha relación; y </w:t>
      </w:r>
      <w:proofErr w:type="spellStart"/>
      <w:r w:rsidR="004871D2" w:rsidRPr="00E6488F">
        <w:rPr>
          <w:rFonts w:ascii="Times New Roman" w:hAnsi="Times New Roman" w:cs="Times New Roman"/>
          <w:sz w:val="24"/>
          <w:szCs w:val="24"/>
          <w:lang w:val="es-ES_tradnl"/>
        </w:rPr>
        <w:t>i</w:t>
      </w:r>
      <w:r w:rsidR="00BC0AFC" w:rsidRPr="00E6488F">
        <w:rPr>
          <w:rFonts w:ascii="Times New Roman" w:hAnsi="Times New Roman" w:cs="Times New Roman"/>
          <w:sz w:val="24"/>
          <w:szCs w:val="24"/>
          <w:lang w:val="es-ES_tradnl"/>
        </w:rPr>
        <w:t>v</w:t>
      </w:r>
      <w:proofErr w:type="spellEnd"/>
      <w:r w:rsidR="004871D2" w:rsidRPr="00E6488F">
        <w:rPr>
          <w:rFonts w:ascii="Times New Roman" w:hAnsi="Times New Roman" w:cs="Times New Roman"/>
          <w:sz w:val="24"/>
          <w:szCs w:val="24"/>
          <w:lang w:val="es-ES_tradnl"/>
        </w:rPr>
        <w:t>) la ejecución de la planeación se termina ajustando conforme a las disponibilidades presupuestarias de cada ejercicio fiscal.</w:t>
      </w:r>
    </w:p>
    <w:p w:rsidR="004871D2" w:rsidRPr="00E6488F" w:rsidRDefault="004871D2" w:rsidP="009C217A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sz w:val="24"/>
          <w:szCs w:val="24"/>
          <w:lang w:val="es-ES_tradnl"/>
        </w:rPr>
        <w:t>Por otro lado, en materia de Planeación Estratégica,</w:t>
      </w:r>
      <w:r w:rsidR="00743465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el principal problema es la inexistencia de</w:t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una alineación sistemática de las estrategias, políticas, líneas de acción de los planes y programas con los objetivos y metas de los programas presupuestarios, lo que hace que comúnmente se invalide el proceso de planeación del desarrollo. Asimismo, se pasa de lo que establecen los planes y programas de desarrollo a la asignación presupuestaria vía el método de</w:t>
      </w:r>
      <w:r w:rsidR="00B338CD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programación operativa anual, sin que se realice un ejercicio de identificación de acciones estratégicas</w:t>
      </w:r>
      <w:r w:rsidR="00DE37C5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y en consecuencia,</w:t>
      </w:r>
      <w:r w:rsidR="0003720C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el techo presupuestal </w:t>
      </w:r>
      <w:r w:rsidR="001E7767" w:rsidRPr="00E6488F">
        <w:rPr>
          <w:rFonts w:ascii="Times New Roman" w:hAnsi="Times New Roman" w:cs="Times New Roman"/>
          <w:sz w:val="24"/>
          <w:szCs w:val="24"/>
          <w:lang w:val="es-ES_tradnl"/>
        </w:rPr>
        <w:t>termina asignándose</w:t>
      </w:r>
      <w:r w:rsidR="0003720C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de manera ex -post al ejercicio de planeación</w:t>
      </w:r>
      <w:r w:rsidR="00DD39C4" w:rsidRPr="00E6488F">
        <w:rPr>
          <w:rFonts w:ascii="Times New Roman" w:hAnsi="Times New Roman" w:cs="Times New Roman"/>
          <w:sz w:val="24"/>
          <w:szCs w:val="24"/>
          <w:lang w:val="es-ES_tradnl"/>
        </w:rPr>
        <w:t>. L</w:t>
      </w:r>
      <w:r w:rsidR="00B338CD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as acciones públicas son </w:t>
      </w:r>
      <w:r w:rsidR="006B4632" w:rsidRPr="00E6488F">
        <w:rPr>
          <w:rFonts w:ascii="Times New Roman" w:hAnsi="Times New Roman" w:cs="Times New Roman"/>
          <w:sz w:val="24"/>
          <w:szCs w:val="24"/>
          <w:lang w:val="es-ES_tradnl"/>
        </w:rPr>
        <w:t>reflejadas en programas y proyectos presupuestarios de manera inercial, sin reflejar los requerimientos ciudadanos ni asegurar la generación de valor en la gestión gubernamental</w:t>
      </w:r>
      <w:r w:rsidR="001E7767" w:rsidRPr="00E6488F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="006B4632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DE37C5" w:rsidRPr="00E6488F">
        <w:rPr>
          <w:rFonts w:ascii="Times New Roman" w:hAnsi="Times New Roman" w:cs="Times New Roman"/>
          <w:sz w:val="24"/>
          <w:szCs w:val="24"/>
          <w:lang w:val="es-ES_tradnl"/>
        </w:rPr>
        <w:t>Por lo anterior</w:t>
      </w:r>
      <w:r w:rsidR="006B4632" w:rsidRPr="00E6488F">
        <w:rPr>
          <w:rFonts w:ascii="Times New Roman" w:hAnsi="Times New Roman" w:cs="Times New Roman"/>
          <w:sz w:val="24"/>
          <w:szCs w:val="24"/>
          <w:lang w:val="es-ES_tradnl"/>
        </w:rPr>
        <w:t>, el gasto para financiar el programa de inversiones públicas del estado se caracteriza por ser intuitivo y reactivo, carente de las consideraciones de las necesidades del desarrollo y, adicionalmente,</w:t>
      </w:r>
      <w:r w:rsidR="000315F6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por</w:t>
      </w:r>
      <w:r w:rsidR="006B4632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responde</w:t>
      </w:r>
      <w:r w:rsidR="000315F6" w:rsidRPr="00E6488F">
        <w:rPr>
          <w:rFonts w:ascii="Times New Roman" w:hAnsi="Times New Roman" w:cs="Times New Roman"/>
          <w:sz w:val="24"/>
          <w:szCs w:val="24"/>
          <w:lang w:val="es-ES_tradnl"/>
        </w:rPr>
        <w:t>r</w:t>
      </w:r>
      <w:r w:rsidR="006B4632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más a la normativa administrativa y procedimental que la obtención de resultados e impactos.</w:t>
      </w:r>
      <w:r w:rsidR="0003720C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BB13ED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:rsidR="00871BFD" w:rsidRPr="00E6488F" w:rsidRDefault="0018388B" w:rsidP="00915A0B">
      <w:pPr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>DESCRIPCION</w:t>
      </w:r>
      <w:r w:rsidR="005E6C76"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Y ALCANCES</w:t>
      </w:r>
    </w:p>
    <w:p w:rsidR="0018388B" w:rsidRPr="00E6488F" w:rsidRDefault="0018388B" w:rsidP="005E6C76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>El objetivo</w:t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de este componente </w:t>
      </w:r>
      <w:r w:rsidR="001E7767" w:rsidRPr="00E6488F">
        <w:rPr>
          <w:rFonts w:ascii="Times New Roman" w:hAnsi="Times New Roman" w:cs="Times New Roman"/>
          <w:sz w:val="24"/>
          <w:szCs w:val="24"/>
          <w:lang w:val="es-ES_tradnl"/>
        </w:rPr>
        <w:t>busca</w:t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fortalecer la planeación estratégica basada en una eficaz y eficiente gerencia institucional y una asignación y administración de los recursos disponibles orientada a resultados</w:t>
      </w:r>
      <w:r w:rsidR="00805701" w:rsidRPr="00E6488F">
        <w:rPr>
          <w:rFonts w:ascii="Times New Roman" w:hAnsi="Times New Roman" w:cs="Times New Roman"/>
          <w:sz w:val="24"/>
          <w:szCs w:val="24"/>
          <w:lang w:val="es-ES_tradnl"/>
        </w:rPr>
        <w:t>, contemplando</w:t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procesos transparentes, indicadores para resultados y de riesgos fiscales.</w:t>
      </w:r>
      <w:r w:rsidR="00751FFE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3061A6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Las acciones contempladas da</w:t>
      </w:r>
      <w:r w:rsidR="00B63433" w:rsidRPr="00E6488F">
        <w:rPr>
          <w:rFonts w:ascii="Times New Roman" w:hAnsi="Times New Roman" w:cs="Times New Roman"/>
          <w:sz w:val="24"/>
          <w:szCs w:val="24"/>
          <w:lang w:val="es-ES_tradnl"/>
        </w:rPr>
        <w:t>rá</w:t>
      </w:r>
      <w:r w:rsidR="003061A6" w:rsidRPr="00E6488F">
        <w:rPr>
          <w:rFonts w:ascii="Times New Roman" w:hAnsi="Times New Roman" w:cs="Times New Roman"/>
          <w:sz w:val="24"/>
          <w:szCs w:val="24"/>
          <w:lang w:val="es-ES_tradnl"/>
        </w:rPr>
        <w:t>n seguimiento</w:t>
      </w:r>
      <w:r w:rsidR="00CC5E8C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B63433" w:rsidRPr="00E6488F">
        <w:rPr>
          <w:rFonts w:ascii="Times New Roman" w:hAnsi="Times New Roman" w:cs="Times New Roman"/>
          <w:sz w:val="24"/>
          <w:szCs w:val="24"/>
          <w:lang w:val="es-ES_tradnl"/>
        </w:rPr>
        <w:t>a</w:t>
      </w:r>
      <w:r w:rsidR="00CC5E8C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la implantación de las </w:t>
      </w:r>
      <w:r w:rsidR="00CC5E8C" w:rsidRPr="00E6488F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recomendaciones y productos derivados de</w:t>
      </w:r>
      <w:r w:rsidR="003061A6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la asistencia técnica iniciada con el apoyo del Banco en el marco del PRODEV (ME-T1139) y la CT (XXX)</w:t>
      </w:r>
      <w:r w:rsidR="00CC5E8C" w:rsidRPr="00E6488F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805701" w:rsidRPr="00E6488F" w:rsidRDefault="00751FFE" w:rsidP="00805701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sz w:val="24"/>
          <w:szCs w:val="24"/>
          <w:lang w:val="es-ES_tradnl"/>
        </w:rPr>
        <w:t>S</w:t>
      </w:r>
      <w:r w:rsidR="003F2B88" w:rsidRPr="00E6488F">
        <w:rPr>
          <w:rFonts w:ascii="Times New Roman" w:hAnsi="Times New Roman" w:cs="Times New Roman"/>
          <w:sz w:val="24"/>
          <w:szCs w:val="24"/>
          <w:lang w:val="es-ES_tradnl"/>
        </w:rPr>
        <w:t>e financiarán servicios de asistencia técnica y adquisición de bienes</w:t>
      </w:r>
      <w:r w:rsidR="008C60C4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orienta</w:t>
      </w:r>
      <w:r w:rsidR="00770CA8" w:rsidRPr="00E6488F">
        <w:rPr>
          <w:rFonts w:ascii="Times New Roman" w:hAnsi="Times New Roman" w:cs="Times New Roman"/>
          <w:sz w:val="24"/>
          <w:szCs w:val="24"/>
          <w:lang w:val="es-ES_tradnl"/>
        </w:rPr>
        <w:t>dos</w:t>
      </w:r>
      <w:r w:rsidR="008C60C4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al fortalecimiento de las estructuras normativas, orgánicas y funcionales</w:t>
      </w:r>
      <w:r w:rsidR="004238F1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de la SPP y Subsecretaría de Hacienda</w:t>
      </w:r>
      <w:r w:rsidR="008C60C4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; la creación de nuevos instrumentos y </w:t>
      </w:r>
      <w:r w:rsidR="00770CA8" w:rsidRPr="00E6488F">
        <w:rPr>
          <w:rFonts w:ascii="Times New Roman" w:hAnsi="Times New Roman" w:cs="Times New Roman"/>
          <w:sz w:val="24"/>
          <w:szCs w:val="24"/>
          <w:lang w:val="es-ES_tradnl"/>
        </w:rPr>
        <w:t>metodologías, y el fortalecimiento del capital humano para la implantación de la gestión por resultados. Se contemplan</w:t>
      </w:r>
      <w:r w:rsidR="003F2B88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las siguientes líneas de intervención: i) actualización de la Visión de Largo Plazo, del PED y de los instrumentos de planeación sectorial y territorial; </w:t>
      </w:r>
      <w:proofErr w:type="spellStart"/>
      <w:r w:rsidR="003F2B88" w:rsidRPr="00E6488F">
        <w:rPr>
          <w:rFonts w:ascii="Times New Roman" w:hAnsi="Times New Roman" w:cs="Times New Roman"/>
          <w:sz w:val="24"/>
          <w:szCs w:val="24"/>
          <w:lang w:val="es-ES_tradnl"/>
        </w:rPr>
        <w:t>ii</w:t>
      </w:r>
      <w:proofErr w:type="spellEnd"/>
      <w:r w:rsidRPr="00E6488F">
        <w:rPr>
          <w:rFonts w:ascii="Times New Roman" w:hAnsi="Times New Roman" w:cs="Times New Roman"/>
          <w:sz w:val="24"/>
          <w:szCs w:val="24"/>
          <w:lang w:val="es-ES_tradnl"/>
        </w:rPr>
        <w:t>) implantación del Presupu</w:t>
      </w:r>
      <w:r w:rsidR="002E51DC" w:rsidRPr="00E6488F">
        <w:rPr>
          <w:rFonts w:ascii="Times New Roman" w:hAnsi="Times New Roman" w:cs="Times New Roman"/>
          <w:sz w:val="24"/>
          <w:szCs w:val="24"/>
          <w:lang w:val="es-ES_tradnl"/>
        </w:rPr>
        <w:t>esto Basado en Resultados (PBR);</w:t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E6488F">
        <w:rPr>
          <w:rFonts w:ascii="Times New Roman" w:hAnsi="Times New Roman" w:cs="Times New Roman"/>
          <w:sz w:val="24"/>
          <w:szCs w:val="24"/>
          <w:lang w:val="es-ES_tradnl"/>
        </w:rPr>
        <w:t>iii</w:t>
      </w:r>
      <w:proofErr w:type="spellEnd"/>
      <w:r w:rsidRPr="00E6488F">
        <w:rPr>
          <w:rFonts w:ascii="Times New Roman" w:hAnsi="Times New Roman" w:cs="Times New Roman"/>
          <w:sz w:val="24"/>
          <w:szCs w:val="24"/>
          <w:lang w:val="es-ES_tradnl"/>
        </w:rPr>
        <w:t>) formulación de políticas transversales</w:t>
      </w:r>
      <w:r w:rsidR="002E51DC" w:rsidRPr="00E6488F">
        <w:rPr>
          <w:rStyle w:val="FootnoteReference"/>
          <w:rFonts w:ascii="Times New Roman" w:hAnsi="Times New Roman" w:cs="Times New Roman"/>
          <w:sz w:val="24"/>
          <w:szCs w:val="24"/>
          <w:lang w:val="es-ES_tradnl"/>
        </w:rPr>
        <w:footnoteReference w:id="2"/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y su traducción en las cuentas públicas</w:t>
      </w:r>
      <w:r w:rsidR="002E51DC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; </w:t>
      </w:r>
      <w:proofErr w:type="spellStart"/>
      <w:r w:rsidR="002E51DC" w:rsidRPr="00E6488F">
        <w:rPr>
          <w:rFonts w:ascii="Times New Roman" w:hAnsi="Times New Roman" w:cs="Times New Roman"/>
          <w:sz w:val="24"/>
          <w:szCs w:val="24"/>
          <w:lang w:val="es-ES_tradnl"/>
        </w:rPr>
        <w:t>iv</w:t>
      </w:r>
      <w:proofErr w:type="spellEnd"/>
      <w:r w:rsidR="002E51DC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) </w:t>
      </w:r>
      <w:r w:rsidR="008C18E6" w:rsidRPr="00E6488F">
        <w:rPr>
          <w:rFonts w:ascii="Times New Roman" w:hAnsi="Times New Roman" w:cs="Times New Roman"/>
          <w:sz w:val="24"/>
          <w:szCs w:val="24"/>
          <w:lang w:val="es-ES_tradnl"/>
        </w:rPr>
        <w:t>fortalecimiento de los aspectos gerenciales de la planeación; y v) la implementación de un sistema de control de riesgos fiscales.</w:t>
      </w:r>
      <w:r w:rsidR="00B64CC7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Estas intervenciones se </w:t>
      </w:r>
      <w:r w:rsidR="00793DCB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traducen en cinco </w:t>
      </w:r>
      <w:r w:rsidR="00770CA8" w:rsidRPr="00E6488F">
        <w:rPr>
          <w:rFonts w:ascii="Times New Roman" w:hAnsi="Times New Roman" w:cs="Times New Roman"/>
          <w:sz w:val="24"/>
          <w:szCs w:val="24"/>
          <w:lang w:val="es-ES_tradnl"/>
        </w:rPr>
        <w:t>Planes de A</w:t>
      </w:r>
      <w:r w:rsidR="00793DCB" w:rsidRPr="00E6488F">
        <w:rPr>
          <w:rFonts w:ascii="Times New Roman" w:hAnsi="Times New Roman" w:cs="Times New Roman"/>
          <w:sz w:val="24"/>
          <w:szCs w:val="24"/>
          <w:lang w:val="es-ES_tradnl"/>
        </w:rPr>
        <w:t>cción para imp</w:t>
      </w:r>
      <w:r w:rsidR="00770CA8" w:rsidRPr="00E6488F">
        <w:rPr>
          <w:rFonts w:ascii="Times New Roman" w:hAnsi="Times New Roman" w:cs="Times New Roman"/>
          <w:sz w:val="24"/>
          <w:szCs w:val="24"/>
          <w:lang w:val="es-ES_tradnl"/>
        </w:rPr>
        <w:t>lantación del PBR en el Estado referidos a: a</w:t>
      </w:r>
      <w:r w:rsidR="008C712E" w:rsidRPr="00E6488F">
        <w:rPr>
          <w:rFonts w:ascii="Times New Roman" w:hAnsi="Times New Roman" w:cs="Times New Roman"/>
          <w:sz w:val="24"/>
          <w:szCs w:val="24"/>
          <w:lang w:val="es-ES_tradnl"/>
        </w:rPr>
        <w:t>) a</w:t>
      </w:r>
      <w:r w:rsidR="000E705F" w:rsidRPr="00E6488F">
        <w:rPr>
          <w:rFonts w:ascii="Times New Roman" w:hAnsi="Times New Roman" w:cs="Times New Roman"/>
          <w:sz w:val="24"/>
          <w:szCs w:val="24"/>
          <w:lang w:val="es-ES_tradnl"/>
        </w:rPr>
        <w:t>ctualización</w:t>
      </w:r>
      <w:r w:rsidR="00770CA8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 </w:t>
      </w:r>
      <w:r w:rsidR="000E705F" w:rsidRPr="00E6488F">
        <w:rPr>
          <w:rFonts w:ascii="Times New Roman" w:hAnsi="Times New Roman" w:cs="Times New Roman"/>
          <w:sz w:val="24"/>
          <w:szCs w:val="24"/>
          <w:lang w:val="es-ES_tradnl"/>
        </w:rPr>
        <w:t>del Marco Legal y Reglamentario; b)</w:t>
      </w:r>
      <w:r w:rsidR="008C712E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modernización de</w:t>
      </w:r>
      <w:r w:rsidR="006E033C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la gerencia</w:t>
      </w:r>
      <w:r w:rsidR="008C712E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de</w:t>
      </w:r>
      <w:r w:rsidR="004238F1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l proceso de planeación; </w:t>
      </w:r>
      <w:r w:rsidR="008C712E" w:rsidRPr="00E6488F">
        <w:rPr>
          <w:rFonts w:ascii="Times New Roman" w:hAnsi="Times New Roman" w:cs="Times New Roman"/>
          <w:sz w:val="24"/>
          <w:szCs w:val="24"/>
          <w:lang w:val="es-ES_tradnl"/>
        </w:rPr>
        <w:t>c)</w:t>
      </w:r>
      <w:r w:rsidR="000E705F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8C712E" w:rsidRPr="00E6488F">
        <w:rPr>
          <w:rFonts w:ascii="Times New Roman" w:hAnsi="Times New Roman" w:cs="Times New Roman"/>
          <w:sz w:val="24"/>
          <w:szCs w:val="24"/>
          <w:lang w:val="es-ES_tradnl"/>
        </w:rPr>
        <w:t>i</w:t>
      </w:r>
      <w:r w:rsidR="000E705F" w:rsidRPr="00E6488F">
        <w:rPr>
          <w:rFonts w:ascii="Times New Roman" w:hAnsi="Times New Roman" w:cs="Times New Roman"/>
          <w:sz w:val="24"/>
          <w:szCs w:val="24"/>
          <w:lang w:val="es-ES_tradnl"/>
        </w:rPr>
        <w:t>mplantación de</w:t>
      </w:r>
      <w:r w:rsidR="008C712E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nuevos procesos; d)</w:t>
      </w:r>
      <w:r w:rsidR="006E033C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monitoreo, </w:t>
      </w:r>
      <w:r w:rsidR="008C712E" w:rsidRPr="00E6488F">
        <w:rPr>
          <w:rFonts w:ascii="Times New Roman" w:hAnsi="Times New Roman" w:cs="Times New Roman"/>
          <w:sz w:val="24"/>
          <w:szCs w:val="24"/>
          <w:lang w:val="es-ES_tradnl"/>
        </w:rPr>
        <w:t>sistematización y diseminación de</w:t>
      </w:r>
      <w:r w:rsidR="006E033C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resultados y</w:t>
      </w:r>
      <w:r w:rsidR="008C712E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las lecciones aprendidas</w:t>
      </w:r>
      <w:r w:rsidR="00CC1C2A" w:rsidRPr="00E6488F">
        <w:rPr>
          <w:rFonts w:ascii="Times New Roman" w:hAnsi="Times New Roman" w:cs="Times New Roman"/>
          <w:sz w:val="24"/>
          <w:szCs w:val="24"/>
          <w:lang w:val="es-ES_tradnl"/>
        </w:rPr>
        <w:t>; y e) capacitación de los recursos humanos</w:t>
      </w:r>
      <w:r w:rsidR="008C712E" w:rsidRPr="00E6488F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C558EE" w:rsidRPr="00E6488F" w:rsidRDefault="00C558EE" w:rsidP="00805701">
      <w:pPr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>RESULTADOS</w:t>
      </w:r>
    </w:p>
    <w:p w:rsidR="00C558EE" w:rsidRPr="00E6488F" w:rsidRDefault="006F2591" w:rsidP="00805701">
      <w:pPr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sz w:val="24"/>
          <w:szCs w:val="24"/>
          <w:lang w:val="es-ES_tradnl"/>
        </w:rPr>
        <w:t>Como principal</w:t>
      </w:r>
      <w:r w:rsidR="00B63433" w:rsidRPr="00E6488F">
        <w:rPr>
          <w:rFonts w:ascii="Times New Roman" w:hAnsi="Times New Roman" w:cs="Times New Roman"/>
          <w:sz w:val="24"/>
          <w:szCs w:val="24"/>
          <w:lang w:val="es-ES_tradnl"/>
        </w:rPr>
        <w:t>es</w:t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resultado</w:t>
      </w:r>
      <w:r w:rsidR="00B63433" w:rsidRPr="00E6488F">
        <w:rPr>
          <w:rFonts w:ascii="Times New Roman" w:hAnsi="Times New Roman" w:cs="Times New Roman"/>
          <w:sz w:val="24"/>
          <w:szCs w:val="24"/>
          <w:lang w:val="es-ES_tradnl"/>
        </w:rPr>
        <w:t>s de este componente, a finales del tercer año de ejecución del Programa se habrá obtenido</w:t>
      </w:r>
      <w:r w:rsidR="0058474A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lo siguiente</w:t>
      </w:r>
      <w:r w:rsidR="00B63433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: i) las reformas normativas y legales </w:t>
      </w:r>
      <w:r w:rsidR="00D501F1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que se requieran </w:t>
      </w:r>
      <w:r w:rsidR="00B63433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para </w:t>
      </w:r>
      <w:r w:rsidR="003D49E5" w:rsidRPr="00E6488F">
        <w:rPr>
          <w:rFonts w:ascii="Times New Roman" w:hAnsi="Times New Roman" w:cs="Times New Roman"/>
          <w:sz w:val="24"/>
          <w:szCs w:val="24"/>
          <w:lang w:val="es-ES_tradnl"/>
        </w:rPr>
        <w:t>el</w:t>
      </w:r>
      <w:r w:rsidR="00B63433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funcionamiento del PBR en el Estado</w:t>
      </w:r>
      <w:r w:rsidR="003D49E5" w:rsidRPr="00E6488F">
        <w:rPr>
          <w:rFonts w:ascii="Times New Roman" w:hAnsi="Times New Roman" w:cs="Times New Roman"/>
          <w:sz w:val="24"/>
          <w:szCs w:val="24"/>
          <w:lang w:val="es-ES_tradnl"/>
        </w:rPr>
        <w:t>, debidamente aprobadas</w:t>
      </w:r>
      <w:r w:rsidR="00B63433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; </w:t>
      </w:r>
      <w:proofErr w:type="spellStart"/>
      <w:r w:rsidR="00B63433" w:rsidRPr="00E6488F">
        <w:rPr>
          <w:rFonts w:ascii="Times New Roman" w:hAnsi="Times New Roman" w:cs="Times New Roman"/>
          <w:sz w:val="24"/>
          <w:szCs w:val="24"/>
          <w:lang w:val="es-ES_tradnl"/>
        </w:rPr>
        <w:t>ii</w:t>
      </w:r>
      <w:proofErr w:type="spellEnd"/>
      <w:r w:rsidR="00B63433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) </w:t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>la formulación y aprobación de</w:t>
      </w:r>
      <w:r w:rsidR="00B63433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al menos el</w:t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3D49E5" w:rsidRPr="00E6488F">
        <w:rPr>
          <w:rFonts w:ascii="Times New Roman" w:hAnsi="Times New Roman" w:cs="Times New Roman"/>
          <w:sz w:val="24"/>
          <w:szCs w:val="24"/>
          <w:lang w:val="es-ES_tradnl"/>
        </w:rPr>
        <w:t>6</w:t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>0% los Planes Estratégicos Institucionales</w:t>
      </w:r>
      <w:r w:rsidR="00B63433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; </w:t>
      </w:r>
      <w:proofErr w:type="spellStart"/>
      <w:r w:rsidR="00B63433" w:rsidRPr="00E6488F">
        <w:rPr>
          <w:rFonts w:ascii="Times New Roman" w:hAnsi="Times New Roman" w:cs="Times New Roman"/>
          <w:sz w:val="24"/>
          <w:szCs w:val="24"/>
          <w:lang w:val="es-ES_tradnl"/>
        </w:rPr>
        <w:t>iii</w:t>
      </w:r>
      <w:proofErr w:type="spellEnd"/>
      <w:r w:rsidR="00B63433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) la presentación y aprobación de (2) Proyectos de Presupuesto por Resultados (para los ejercicios fiscales de 2012 y 2013); </w:t>
      </w:r>
      <w:proofErr w:type="spellStart"/>
      <w:r w:rsidR="00B63433" w:rsidRPr="00E6488F">
        <w:rPr>
          <w:rFonts w:ascii="Times New Roman" w:hAnsi="Times New Roman" w:cs="Times New Roman"/>
          <w:sz w:val="24"/>
          <w:szCs w:val="24"/>
          <w:lang w:val="es-ES_tradnl"/>
        </w:rPr>
        <w:t>iv</w:t>
      </w:r>
      <w:proofErr w:type="spellEnd"/>
      <w:r w:rsidR="00B63433" w:rsidRPr="00E6488F">
        <w:rPr>
          <w:rFonts w:ascii="Times New Roman" w:hAnsi="Times New Roman" w:cs="Times New Roman"/>
          <w:sz w:val="24"/>
          <w:szCs w:val="24"/>
          <w:lang w:val="es-ES_tradnl"/>
        </w:rPr>
        <w:t>) la reorganización interna de los procesos contables y de gestión implicados con el PBR en la SPP y la SH</w:t>
      </w:r>
      <w:r w:rsidR="003D49E5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y la aprobación de las reformas institucionales que ello conlleve</w:t>
      </w:r>
      <w:r w:rsidR="00B63433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; v) la capacitación del 100% de los técnicos de </w:t>
      </w:r>
      <w:r w:rsidR="003D49E5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las Direcciones de Planeación y la Subsecretaria de Hacienda en los nuevos procedimientos; </w:t>
      </w:r>
      <w:proofErr w:type="spellStart"/>
      <w:r w:rsidR="003D49E5" w:rsidRPr="00E6488F">
        <w:rPr>
          <w:rFonts w:ascii="Times New Roman" w:hAnsi="Times New Roman" w:cs="Times New Roman"/>
          <w:sz w:val="24"/>
          <w:szCs w:val="24"/>
          <w:lang w:val="es-ES_tradnl"/>
        </w:rPr>
        <w:t>iv</w:t>
      </w:r>
      <w:proofErr w:type="spellEnd"/>
      <w:r w:rsidR="003D49E5" w:rsidRPr="00E6488F">
        <w:rPr>
          <w:rFonts w:ascii="Times New Roman" w:hAnsi="Times New Roman" w:cs="Times New Roman"/>
          <w:sz w:val="24"/>
          <w:szCs w:val="24"/>
          <w:lang w:val="es-ES_tradnl"/>
        </w:rPr>
        <w:t>) la adopción de un sistema para el monitoreo y control de los riesgos fiscales asociados con la gestión presupuestaria; v) la creación de una unidad de inteligencia y análisis institucional para la gestión</w:t>
      </w:r>
      <w:r w:rsidR="00D60B78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por resultados</w:t>
      </w:r>
      <w:r w:rsidR="003D49E5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, </w:t>
      </w:r>
      <w:r w:rsidR="00EB5A59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y </w:t>
      </w:r>
      <w:r w:rsidR="003D49E5" w:rsidRPr="00E6488F">
        <w:rPr>
          <w:rFonts w:ascii="Times New Roman" w:hAnsi="Times New Roman" w:cs="Times New Roman"/>
          <w:sz w:val="24"/>
          <w:szCs w:val="24"/>
          <w:lang w:val="es-ES_tradnl"/>
        </w:rPr>
        <w:t>la sistematización</w:t>
      </w:r>
      <w:r w:rsidR="002A7D63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y diseminación</w:t>
      </w:r>
      <w:r w:rsidR="003D49E5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de las lecciones aprendidas con la implantación del proceso</w:t>
      </w:r>
      <w:r w:rsidR="002A7D63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; </w:t>
      </w:r>
      <w:r w:rsidR="003D49E5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y vi) la modernización </w:t>
      </w:r>
      <w:r w:rsidR="00D60B78" w:rsidRPr="00E6488F">
        <w:rPr>
          <w:rFonts w:ascii="Times New Roman" w:hAnsi="Times New Roman" w:cs="Times New Roman"/>
          <w:sz w:val="24"/>
          <w:szCs w:val="24"/>
          <w:lang w:val="es-ES_tradnl"/>
        </w:rPr>
        <w:t>integral</w:t>
      </w:r>
      <w:r w:rsidR="003D49E5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de la gerencia de planeación estatal.</w:t>
      </w:r>
    </w:p>
    <w:p w:rsidR="008E2F47" w:rsidRPr="00E6488F" w:rsidRDefault="009144C5" w:rsidP="00805701">
      <w:pPr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ARREGLOS INSTITUCIONALES PARA LA </w:t>
      </w:r>
      <w:r w:rsidR="008E2F47"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>EJECUCION</w:t>
      </w:r>
    </w:p>
    <w:p w:rsidR="00510691" w:rsidRPr="00E6488F" w:rsidRDefault="00510691" w:rsidP="00805701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sz w:val="24"/>
          <w:szCs w:val="24"/>
          <w:lang w:val="es-ES_tradnl"/>
        </w:rPr>
        <w:t>La coordinación y programación de las actividades contempladas en este Componente será</w:t>
      </w:r>
      <w:r w:rsidR="00D501F1" w:rsidRPr="00E6488F">
        <w:rPr>
          <w:rFonts w:ascii="Times New Roman" w:hAnsi="Times New Roman" w:cs="Times New Roman"/>
          <w:sz w:val="24"/>
          <w:szCs w:val="24"/>
          <w:lang w:val="es-ES_tradnl"/>
        </w:rPr>
        <w:t>n</w:t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responsabilidad del Comité Técnico Institucional integrado por las Direcciones de Planeación y Presupuesto de la SPP y la Subsecretaría de Hacienda</w:t>
      </w:r>
      <w:r w:rsidR="0014704F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, </w:t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que estará</w:t>
      </w:r>
      <w:r w:rsidR="0014704F" w:rsidRPr="00E6488F">
        <w:rPr>
          <w:rFonts w:ascii="Times New Roman" w:hAnsi="Times New Roman" w:cs="Times New Roman"/>
          <w:sz w:val="24"/>
          <w:szCs w:val="24"/>
          <w:lang w:val="es-ES_tradnl"/>
        </w:rPr>
        <w:t>n</w:t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a cargo de la implantación del PBR. Se asignarán responsabilidades específicas a los funcionarios clave de la SPP y la SH para el seguimiento de las actividades con cada una de las dependencias implicadas. Se prevé que la asistencia técnica prevista en los planes de acción contribuirá a</w:t>
      </w:r>
      <w:r w:rsidR="003061A6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la formulación de los </w:t>
      </w:r>
      <w:r w:rsidR="003061A6" w:rsidRPr="00E6488F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Planes Estratégicos Institucionales</w:t>
      </w:r>
      <w:r w:rsidR="009144C5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que a su vez, se tra</w:t>
      </w:r>
      <w:r w:rsidR="00C17EEF" w:rsidRPr="00E6488F">
        <w:rPr>
          <w:rFonts w:ascii="Times New Roman" w:hAnsi="Times New Roman" w:cs="Times New Roman"/>
          <w:sz w:val="24"/>
          <w:szCs w:val="24"/>
          <w:lang w:val="es-ES_tradnl"/>
        </w:rPr>
        <w:t>ducirán en las Propuestas Basado</w:t>
      </w:r>
      <w:r w:rsidR="009144C5" w:rsidRPr="00E6488F">
        <w:rPr>
          <w:rFonts w:ascii="Times New Roman" w:hAnsi="Times New Roman" w:cs="Times New Roman"/>
          <w:sz w:val="24"/>
          <w:szCs w:val="24"/>
          <w:lang w:val="es-ES_tradnl"/>
        </w:rPr>
        <w:t>s en Resultados para los</w:t>
      </w:r>
      <w:r w:rsidR="0014704F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ejercicios fiscales 2012 y 2013</w:t>
      </w:r>
      <w:r w:rsidR="009144C5" w:rsidRPr="00E6488F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5147F7" w:rsidRPr="00E6488F" w:rsidRDefault="005147F7" w:rsidP="00805701">
      <w:pPr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>RIESGOS</w:t>
      </w:r>
    </w:p>
    <w:p w:rsidR="008E2F47" w:rsidRPr="00E6488F" w:rsidRDefault="008961D0" w:rsidP="00805701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sz w:val="24"/>
          <w:szCs w:val="24"/>
          <w:lang w:val="es-ES_tradnl"/>
        </w:rPr>
        <w:t>Los principales riesgos para la ejecución de este componente se relacionan con la resistencia al cambio que suele</w:t>
      </w:r>
      <w:r w:rsidR="00C17EEF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derivarse de este tipo de reformas institucionales. Lo anterior se mitiga con la incorporación de una Estrategia de Comunicación Social dirigida tanto a los clientes internos y externos</w:t>
      </w:r>
      <w:r w:rsidR="00C74A9D" w:rsidRPr="00E6488F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="00C17EEF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que es parte de las actividades financiadas por el PRODEV</w:t>
      </w:r>
      <w:r w:rsidR="00C74A9D" w:rsidRPr="00E6488F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="00C17EEF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y que acompañará la implantación de las reformas programadas</w:t>
      </w:r>
      <w:r w:rsidR="002A7D63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como parte del C</w:t>
      </w:r>
      <w:r w:rsidR="00C74A9D" w:rsidRPr="00E6488F">
        <w:rPr>
          <w:rFonts w:ascii="Times New Roman" w:hAnsi="Times New Roman" w:cs="Times New Roman"/>
          <w:sz w:val="24"/>
          <w:szCs w:val="24"/>
          <w:lang w:val="es-ES_tradnl"/>
        </w:rPr>
        <w:t>omponente</w:t>
      </w:r>
      <w:r w:rsidR="002A7D63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1 del préstamo</w:t>
      </w:r>
      <w:r w:rsidR="00C17EEF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. Existen a su vez riesgos </w:t>
      </w:r>
      <w:r w:rsidR="00C74A9D" w:rsidRPr="00E6488F">
        <w:rPr>
          <w:rFonts w:ascii="Times New Roman" w:hAnsi="Times New Roman" w:cs="Times New Roman"/>
          <w:sz w:val="24"/>
          <w:szCs w:val="24"/>
          <w:lang w:val="es-ES_tradnl"/>
        </w:rPr>
        <w:t>adicionales</w:t>
      </w:r>
      <w:r w:rsidR="00F1123E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relacionados con la disponibilidad de los sistemas informáticos y plataformas tecnológicas requeridas para la implantación de los nuevos procesos</w:t>
      </w:r>
      <w:r w:rsidR="00C74A9D" w:rsidRPr="00E6488F">
        <w:rPr>
          <w:rFonts w:ascii="Times New Roman" w:hAnsi="Times New Roman" w:cs="Times New Roman"/>
          <w:sz w:val="24"/>
          <w:szCs w:val="24"/>
          <w:lang w:val="es-ES_tradnl"/>
        </w:rPr>
        <w:t>, así como el oportuno avance de las acciones de capacitación para preparación de los profesionales involucrados</w:t>
      </w:r>
      <w:r w:rsidR="00E34C5B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con los nuevos procesos</w:t>
      </w:r>
      <w:r w:rsidR="00C74A9D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. Lo anterior se mitiga a partir del diseño integrado </w:t>
      </w:r>
      <w:r w:rsidR="003723D4" w:rsidRPr="00E6488F">
        <w:rPr>
          <w:rFonts w:ascii="Times New Roman" w:hAnsi="Times New Roman" w:cs="Times New Roman"/>
          <w:sz w:val="24"/>
          <w:szCs w:val="24"/>
          <w:lang w:val="es-ES_tradnl"/>
        </w:rPr>
        <w:t>para</w:t>
      </w:r>
      <w:r w:rsidR="00C74A9D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 la</w:t>
      </w:r>
      <w:r w:rsidR="00E34C5B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formulación de estas actividades en el marco</w:t>
      </w:r>
      <w:r w:rsidR="00C74A9D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coordinación central de la UGI, que tendrá la responsabilidad de velar porque </w:t>
      </w:r>
      <w:r w:rsidR="00E34C5B" w:rsidRPr="00E6488F">
        <w:rPr>
          <w:rFonts w:ascii="Times New Roman" w:hAnsi="Times New Roman" w:cs="Times New Roman"/>
          <w:sz w:val="24"/>
          <w:szCs w:val="24"/>
          <w:lang w:val="es-ES_tradnl"/>
        </w:rPr>
        <w:t>se mantienen los cronogramas de ejecució</w:t>
      </w:r>
      <w:r w:rsidR="00455426" w:rsidRPr="00E6488F">
        <w:rPr>
          <w:rFonts w:ascii="Times New Roman" w:hAnsi="Times New Roman" w:cs="Times New Roman"/>
          <w:sz w:val="24"/>
          <w:szCs w:val="24"/>
          <w:lang w:val="es-ES_tradnl"/>
        </w:rPr>
        <w:t>n, y por el seguimiento de los procesos de reforma e implantación que se requieren para la efectiva adopción del sistema de gestión y presupuesto basado en resultados</w:t>
      </w:r>
      <w:r w:rsidR="00B73BAC" w:rsidRPr="00E6488F">
        <w:rPr>
          <w:rFonts w:ascii="Times New Roman" w:hAnsi="Times New Roman" w:cs="Times New Roman"/>
          <w:sz w:val="24"/>
          <w:szCs w:val="24"/>
          <w:lang w:val="es-ES_tradnl"/>
        </w:rPr>
        <w:t>, incluyendo la adquisición de los equipos y plataformas informáticas del Sistema Integrado de Administración Financiera como uno de los proyectos de inversión a financiarse con prioridad en el Subprograma de Inversiones</w:t>
      </w:r>
      <w:r w:rsidR="00455426" w:rsidRPr="00E6488F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="003723D4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Asimismo, por la cuidadosa planificación de los calendarios de ejecución de las consultorías contempladas con el PRODEV, a fin de respetar la secuencia de insumos clave entre las diversas consultorías.</w:t>
      </w:r>
    </w:p>
    <w:p w:rsidR="00455426" w:rsidRPr="00E6488F" w:rsidRDefault="00455426" w:rsidP="00805701">
      <w:pPr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>COSTOS ESTIMADOS</w:t>
      </w:r>
      <w:r w:rsidR="006C0522"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Y CRONOGRAMA</w:t>
      </w:r>
    </w:p>
    <w:p w:rsidR="007C0D3A" w:rsidRPr="00E6488F" w:rsidRDefault="007C0D3A" w:rsidP="00805701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sz w:val="24"/>
          <w:szCs w:val="24"/>
          <w:lang w:val="es-ES_tradnl"/>
        </w:rPr>
        <w:t>El Componente tiene un costo de ejecución estimado de US$1</w:t>
      </w:r>
      <w:r w:rsidR="00B73BAC" w:rsidRPr="00E6488F">
        <w:rPr>
          <w:rFonts w:ascii="Times New Roman" w:hAnsi="Times New Roman" w:cs="Times New Roman"/>
          <w:sz w:val="24"/>
          <w:szCs w:val="24"/>
          <w:lang w:val="es-ES_tradnl"/>
        </w:rPr>
        <w:t>, 150,000</w:t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a ser financiado con recursos del financiamiento. A continuación se presenta el cuadro de costos</w:t>
      </w:r>
      <w:r w:rsidR="00885A70"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E6488F">
        <w:rPr>
          <w:rFonts w:ascii="Times New Roman" w:hAnsi="Times New Roman" w:cs="Times New Roman"/>
          <w:sz w:val="24"/>
          <w:szCs w:val="24"/>
          <w:lang w:val="es-ES_tradnl"/>
        </w:rPr>
        <w:t xml:space="preserve"> y la distribución de desembolsos previstos por año.</w:t>
      </w:r>
    </w:p>
    <w:p w:rsidR="00FC5597" w:rsidRPr="00E6488F" w:rsidRDefault="00FC5597" w:rsidP="00E6488F">
      <w:pPr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>Subprograma 1- Componente 1.</w:t>
      </w:r>
    </w:p>
    <w:p w:rsidR="007C0D3A" w:rsidRPr="00E6488F" w:rsidRDefault="00885A70" w:rsidP="00FC5597">
      <w:pPr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>C</w:t>
      </w:r>
      <w:r w:rsidR="00FC5597"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>OSTOS</w:t>
      </w:r>
      <w:r w:rsidRPr="00E6488F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(EN US$)</w:t>
      </w:r>
    </w:p>
    <w:tbl>
      <w:tblPr>
        <w:tblStyle w:val="TableGrid"/>
        <w:tblW w:w="0" w:type="auto"/>
        <w:tblLook w:val="04A0"/>
      </w:tblPr>
      <w:tblGrid>
        <w:gridCol w:w="4416"/>
        <w:gridCol w:w="996"/>
        <w:gridCol w:w="996"/>
        <w:gridCol w:w="996"/>
        <w:gridCol w:w="996"/>
        <w:gridCol w:w="1176"/>
      </w:tblGrid>
      <w:tr w:rsidR="00812634" w:rsidRPr="00E6488F" w:rsidTr="00812634">
        <w:trPr>
          <w:trHeight w:val="215"/>
        </w:trPr>
        <w:tc>
          <w:tcPr>
            <w:tcW w:w="0" w:type="auto"/>
          </w:tcPr>
          <w:p w:rsidR="00885A70" w:rsidRPr="00E6488F" w:rsidRDefault="006C0522" w:rsidP="006C05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Planes de Acción</w:t>
            </w:r>
          </w:p>
        </w:tc>
        <w:tc>
          <w:tcPr>
            <w:tcW w:w="0" w:type="auto"/>
          </w:tcPr>
          <w:p w:rsidR="00885A70" w:rsidRPr="00E6488F" w:rsidRDefault="00885A70" w:rsidP="006C05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Año 1</w:t>
            </w:r>
          </w:p>
        </w:tc>
        <w:tc>
          <w:tcPr>
            <w:tcW w:w="0" w:type="auto"/>
          </w:tcPr>
          <w:p w:rsidR="00885A70" w:rsidRPr="00E6488F" w:rsidRDefault="00885A70" w:rsidP="006C05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Año2</w:t>
            </w:r>
          </w:p>
        </w:tc>
        <w:tc>
          <w:tcPr>
            <w:tcW w:w="0" w:type="auto"/>
          </w:tcPr>
          <w:p w:rsidR="00885A70" w:rsidRPr="00E6488F" w:rsidRDefault="00885A70" w:rsidP="006C05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Año 3</w:t>
            </w:r>
          </w:p>
        </w:tc>
        <w:tc>
          <w:tcPr>
            <w:tcW w:w="0" w:type="auto"/>
          </w:tcPr>
          <w:p w:rsidR="00885A70" w:rsidRPr="00E6488F" w:rsidRDefault="00885A70" w:rsidP="006C05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Año 4</w:t>
            </w:r>
          </w:p>
        </w:tc>
        <w:tc>
          <w:tcPr>
            <w:tcW w:w="0" w:type="auto"/>
          </w:tcPr>
          <w:p w:rsidR="00885A70" w:rsidRPr="00E6488F" w:rsidRDefault="00885A70" w:rsidP="006C05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Total</w:t>
            </w:r>
          </w:p>
        </w:tc>
      </w:tr>
      <w:tr w:rsidR="00812634" w:rsidRPr="00E6488F" w:rsidTr="00812634">
        <w:tc>
          <w:tcPr>
            <w:tcW w:w="0" w:type="auto"/>
          </w:tcPr>
          <w:p w:rsidR="00885A70" w:rsidRPr="00E6488F" w:rsidRDefault="006C0522" w:rsidP="006C05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</w:t>
            </w:r>
            <w:r w:rsidR="00885A70"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ctualización del Marco Legal y Reglamentario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45,000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20,000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35,000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100,000</w:t>
            </w:r>
          </w:p>
        </w:tc>
      </w:tr>
      <w:tr w:rsidR="00812634" w:rsidRPr="00E6488F" w:rsidTr="00812634">
        <w:tc>
          <w:tcPr>
            <w:tcW w:w="0" w:type="auto"/>
          </w:tcPr>
          <w:p w:rsidR="00885A70" w:rsidRPr="00E6488F" w:rsidRDefault="006C0522" w:rsidP="006C05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</w:t>
            </w:r>
            <w:r w:rsidR="00885A70"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odernización de la Gerencia del proceso de planeación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20,000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30,000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100,000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150,000</w:t>
            </w:r>
          </w:p>
        </w:tc>
      </w:tr>
      <w:tr w:rsidR="00812634" w:rsidRPr="00E6488F" w:rsidTr="00812634">
        <w:tc>
          <w:tcPr>
            <w:tcW w:w="0" w:type="auto"/>
          </w:tcPr>
          <w:p w:rsidR="00885A70" w:rsidRPr="00E6488F" w:rsidRDefault="006C0522" w:rsidP="006C05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Implantación de los nuevos procesos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50,000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150,000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150,000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50,000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400,000</w:t>
            </w:r>
          </w:p>
        </w:tc>
      </w:tr>
      <w:tr w:rsidR="00812634" w:rsidRPr="00E6488F" w:rsidTr="00812634">
        <w:tc>
          <w:tcPr>
            <w:tcW w:w="0" w:type="auto"/>
          </w:tcPr>
          <w:p w:rsidR="00885A70" w:rsidRPr="00E6488F" w:rsidRDefault="006C0522" w:rsidP="006C05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Monitoreo, sistematización y diseminación de lecciones aprendidas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25,000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25,000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25,000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25,000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100,000</w:t>
            </w:r>
          </w:p>
        </w:tc>
      </w:tr>
      <w:tr w:rsidR="00812634" w:rsidRPr="00E6488F" w:rsidTr="00812634">
        <w:tc>
          <w:tcPr>
            <w:tcW w:w="0" w:type="auto"/>
          </w:tcPr>
          <w:p w:rsidR="00885A70" w:rsidRPr="00E6488F" w:rsidRDefault="006C0522" w:rsidP="006C05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Capacitación de los recursos humanos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50,000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150,000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100,000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100,00</w:t>
            </w:r>
            <w:r w:rsidR="00812634"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0" w:type="auto"/>
          </w:tcPr>
          <w:p w:rsidR="00885A70" w:rsidRPr="00E6488F" w:rsidRDefault="006C0522" w:rsidP="008126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4</w:t>
            </w:r>
            <w:r w:rsidR="00812634"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</w:t>
            </w:r>
            <w:r w:rsidRPr="00E648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0,000</w:t>
            </w:r>
          </w:p>
        </w:tc>
      </w:tr>
      <w:tr w:rsidR="00812634" w:rsidRPr="00E6488F" w:rsidTr="00812634">
        <w:tc>
          <w:tcPr>
            <w:tcW w:w="0" w:type="auto"/>
          </w:tcPr>
          <w:p w:rsidR="00885A70" w:rsidRPr="00E6488F" w:rsidRDefault="006C0522" w:rsidP="006C0522">
            <w:pP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Total</w:t>
            </w:r>
          </w:p>
        </w:tc>
        <w:tc>
          <w:tcPr>
            <w:tcW w:w="0" w:type="auto"/>
          </w:tcPr>
          <w:p w:rsidR="00885A70" w:rsidRPr="00E6488F" w:rsidRDefault="00812634" w:rsidP="0081263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190,000</w:t>
            </w:r>
          </w:p>
        </w:tc>
        <w:tc>
          <w:tcPr>
            <w:tcW w:w="0" w:type="auto"/>
          </w:tcPr>
          <w:p w:rsidR="00885A70" w:rsidRPr="00E6488F" w:rsidRDefault="00812634" w:rsidP="0081263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375,000</w:t>
            </w:r>
          </w:p>
        </w:tc>
        <w:tc>
          <w:tcPr>
            <w:tcW w:w="0" w:type="auto"/>
          </w:tcPr>
          <w:p w:rsidR="00885A70" w:rsidRPr="00E6488F" w:rsidRDefault="00812634" w:rsidP="0081263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410,000</w:t>
            </w:r>
          </w:p>
        </w:tc>
        <w:tc>
          <w:tcPr>
            <w:tcW w:w="0" w:type="auto"/>
          </w:tcPr>
          <w:p w:rsidR="00885A70" w:rsidRPr="00E6488F" w:rsidRDefault="00812634" w:rsidP="0081263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175,000</w:t>
            </w:r>
          </w:p>
        </w:tc>
        <w:tc>
          <w:tcPr>
            <w:tcW w:w="0" w:type="auto"/>
          </w:tcPr>
          <w:p w:rsidR="00885A70" w:rsidRPr="00E6488F" w:rsidRDefault="00812634" w:rsidP="0081263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E6488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1,150,000</w:t>
            </w:r>
          </w:p>
        </w:tc>
      </w:tr>
    </w:tbl>
    <w:p w:rsidR="00455426" w:rsidRPr="00E6488F" w:rsidRDefault="00455426" w:rsidP="00E6488F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sectPr w:rsidR="00455426" w:rsidRPr="00E6488F" w:rsidSect="00D964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1DC" w:rsidRDefault="002E51DC" w:rsidP="002E51DC">
      <w:pPr>
        <w:spacing w:after="0" w:line="240" w:lineRule="auto"/>
      </w:pPr>
      <w:r>
        <w:separator/>
      </w:r>
    </w:p>
  </w:endnote>
  <w:endnote w:type="continuationSeparator" w:id="0">
    <w:p w:rsidR="002E51DC" w:rsidRDefault="002E51DC" w:rsidP="002E5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1DC" w:rsidRDefault="002E51DC" w:rsidP="002E51DC">
      <w:pPr>
        <w:spacing w:after="0" w:line="240" w:lineRule="auto"/>
      </w:pPr>
      <w:r>
        <w:separator/>
      </w:r>
    </w:p>
  </w:footnote>
  <w:footnote w:type="continuationSeparator" w:id="0">
    <w:p w:rsidR="002E51DC" w:rsidRDefault="002E51DC" w:rsidP="002E51DC">
      <w:pPr>
        <w:spacing w:after="0" w:line="240" w:lineRule="auto"/>
      </w:pPr>
      <w:r>
        <w:continuationSeparator/>
      </w:r>
    </w:p>
  </w:footnote>
  <w:footnote w:id="1">
    <w:p w:rsidR="00082077" w:rsidRPr="00082077" w:rsidRDefault="00082077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082077">
        <w:rPr>
          <w:lang w:val="es-ES_tradnl"/>
        </w:rPr>
        <w:t xml:space="preserve"> </w:t>
      </w:r>
      <w:r>
        <w:rPr>
          <w:lang w:val="es-ES_tradnl"/>
        </w:rPr>
        <w:t xml:space="preserve"> Este último proceso fue apoyado por el Banco, como parte de la asistencia técnica provista en las etapas de identificación de la presente operación.</w:t>
      </w:r>
    </w:p>
  </w:footnote>
  <w:footnote w:id="2">
    <w:p w:rsidR="002E51DC" w:rsidRPr="00885A70" w:rsidRDefault="002E51DC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885A70">
        <w:rPr>
          <w:lang w:val="es-ES_tradnl"/>
        </w:rPr>
        <w:t xml:space="preserve"> Políticas transversales de género, me</w:t>
      </w:r>
      <w:r w:rsidR="00BA5F3F" w:rsidRPr="00885A70">
        <w:rPr>
          <w:lang w:val="es-ES_tradnl"/>
        </w:rPr>
        <w:t>dio ambiente</w:t>
      </w:r>
      <w:r w:rsidR="00885A70" w:rsidRPr="00885A70">
        <w:rPr>
          <w:lang w:val="es-ES_tradnl"/>
        </w:rPr>
        <w:t xml:space="preserve"> y prevenci</w:t>
      </w:r>
      <w:r w:rsidR="00885A70">
        <w:rPr>
          <w:lang w:val="es-ES_tradnl"/>
        </w:rPr>
        <w:t xml:space="preserve">ón de riesgos, derechos humanos </w:t>
      </w:r>
      <w:r w:rsidRPr="00885A70">
        <w:rPr>
          <w:lang w:val="es-ES_tradnl"/>
        </w:rPr>
        <w:t xml:space="preserve">e </w:t>
      </w:r>
      <w:r w:rsidR="00885A70" w:rsidRPr="00885A70">
        <w:rPr>
          <w:lang w:val="es-ES_tradnl"/>
        </w:rPr>
        <w:t>inclusión</w:t>
      </w:r>
      <w:r w:rsidRPr="00885A70">
        <w:rPr>
          <w:lang w:val="es-ES_tradnl"/>
        </w:rPr>
        <w:t xml:space="preserve"> social.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9122D"/>
    <w:multiLevelType w:val="hybridMultilevel"/>
    <w:tmpl w:val="140683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A0B"/>
    <w:rsid w:val="000315F6"/>
    <w:rsid w:val="0003720C"/>
    <w:rsid w:val="00062D4A"/>
    <w:rsid w:val="00082077"/>
    <w:rsid w:val="000A1C45"/>
    <w:rsid w:val="000D4002"/>
    <w:rsid w:val="000E705F"/>
    <w:rsid w:val="000E7CBA"/>
    <w:rsid w:val="001153AC"/>
    <w:rsid w:val="0014704F"/>
    <w:rsid w:val="0018388B"/>
    <w:rsid w:val="00190FBC"/>
    <w:rsid w:val="001975BA"/>
    <w:rsid w:val="001E7767"/>
    <w:rsid w:val="002700DA"/>
    <w:rsid w:val="002904A8"/>
    <w:rsid w:val="002A7D63"/>
    <w:rsid w:val="002E51DC"/>
    <w:rsid w:val="003061A6"/>
    <w:rsid w:val="0031193C"/>
    <w:rsid w:val="003709E8"/>
    <w:rsid w:val="003723D4"/>
    <w:rsid w:val="003D49E5"/>
    <w:rsid w:val="003F1E49"/>
    <w:rsid w:val="003F2B88"/>
    <w:rsid w:val="004238F1"/>
    <w:rsid w:val="00455426"/>
    <w:rsid w:val="004871D2"/>
    <w:rsid w:val="00504C48"/>
    <w:rsid w:val="00510691"/>
    <w:rsid w:val="005147F7"/>
    <w:rsid w:val="0058474A"/>
    <w:rsid w:val="005E4514"/>
    <w:rsid w:val="005E6C76"/>
    <w:rsid w:val="006B4632"/>
    <w:rsid w:val="006C0522"/>
    <w:rsid w:val="006C1811"/>
    <w:rsid w:val="006E033C"/>
    <w:rsid w:val="006F2591"/>
    <w:rsid w:val="00737A57"/>
    <w:rsid w:val="00743465"/>
    <w:rsid w:val="00751FFE"/>
    <w:rsid w:val="00770CA8"/>
    <w:rsid w:val="00774AD8"/>
    <w:rsid w:val="00793DCB"/>
    <w:rsid w:val="007C0D3A"/>
    <w:rsid w:val="00805701"/>
    <w:rsid w:val="00812634"/>
    <w:rsid w:val="00871BFD"/>
    <w:rsid w:val="00885A70"/>
    <w:rsid w:val="008961D0"/>
    <w:rsid w:val="008C18E6"/>
    <w:rsid w:val="008C60C4"/>
    <w:rsid w:val="008C712E"/>
    <w:rsid w:val="008E2F47"/>
    <w:rsid w:val="008E40A1"/>
    <w:rsid w:val="00901F1A"/>
    <w:rsid w:val="009144C5"/>
    <w:rsid w:val="00915A0B"/>
    <w:rsid w:val="00920001"/>
    <w:rsid w:val="00994D72"/>
    <w:rsid w:val="009C217A"/>
    <w:rsid w:val="00A73E36"/>
    <w:rsid w:val="00AB5A0F"/>
    <w:rsid w:val="00AE62BA"/>
    <w:rsid w:val="00B338CD"/>
    <w:rsid w:val="00B63433"/>
    <w:rsid w:val="00B64CC7"/>
    <w:rsid w:val="00B73BAC"/>
    <w:rsid w:val="00B75F38"/>
    <w:rsid w:val="00BA5F3F"/>
    <w:rsid w:val="00BB13ED"/>
    <w:rsid w:val="00BC0AFC"/>
    <w:rsid w:val="00BF1620"/>
    <w:rsid w:val="00C17EEF"/>
    <w:rsid w:val="00C558EE"/>
    <w:rsid w:val="00C6383A"/>
    <w:rsid w:val="00C74A9D"/>
    <w:rsid w:val="00CC1C2A"/>
    <w:rsid w:val="00CC5E8C"/>
    <w:rsid w:val="00D501F1"/>
    <w:rsid w:val="00D60B78"/>
    <w:rsid w:val="00D96465"/>
    <w:rsid w:val="00DD39C4"/>
    <w:rsid w:val="00DE37C5"/>
    <w:rsid w:val="00DF0D47"/>
    <w:rsid w:val="00E34C5B"/>
    <w:rsid w:val="00E6488F"/>
    <w:rsid w:val="00EB5A59"/>
    <w:rsid w:val="00F1123E"/>
    <w:rsid w:val="00F35CE3"/>
    <w:rsid w:val="00FC5597"/>
    <w:rsid w:val="00FE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4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E51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51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51DC"/>
    <w:rPr>
      <w:vertAlign w:val="superscript"/>
    </w:rPr>
  </w:style>
  <w:style w:type="table" w:styleId="TableGrid">
    <w:name w:val="Table Grid"/>
    <w:basedOn w:val="TableNormal"/>
    <w:uiPriority w:val="59"/>
    <w:rsid w:val="007C0D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0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7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35171448</IDBDocs_x0020_Number>
    <TaxCatchAll xmlns="cdc7663a-08f0-4737-9e8c-148ce897a09c">
      <Value>19</Value>
      <Value>10</Value>
      <Value>1</Value>
    </TaxCatchAll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 xsi:nil="true"/>
    <Document_x0020_Author xmlns="cdc7663a-08f0-4737-9e8c-148ce897a09c">CAROLINEPO</Document_x0020_Author>
    <Fiscal_x0020_Year_x0020_IDB xmlns="cdc7663a-08f0-4737-9e8c-148ce897a09c">2010</Fiscal_x0020_Year_x0020_IDB>
    <Other_x0020_Author xmlns="cdc7663a-08f0-4737-9e8c-148ce897a09c" xsi:nil="true"/>
    <Project_x0020_Number xmlns="cdc7663a-08f0-4737-9e8c-148ce897a09c">ME-L1059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class="ExternalClass1B697CFA18D4482393799A61737C83A7"&gt;MS WORDLPLoan Proposal0N&lt;/div&gt;</Migration_x0020_Info>
    <Operation_x0020_Type xmlns="cdc7663a-08f0-4737-9e8c-148ce897a09c" xsi:nil="true"/>
    <Record_x0020_Number xmlns="cdc7663a-08f0-4737-9e8c-148ce897a09c">R0002763227</Record_x0020_Number>
    <Document_x0020_Language_x0020_IDB xmlns="cdc7663a-08f0-4737-9e8c-148ce897a09c">Spanish</Document_x0020_Language_x0020_IDB>
    <Identifier xmlns="cdc7663a-08f0-4737-9e8c-148ce897a09c"> TECFILE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Loan Proposal</Disclosure_x0020_Activity>
    <Region xmlns="cdc7663a-08f0-4737-9e8c-148ce897a09c" xsi:nil="true"/>
    <_dlc_DocId xmlns="cdc7663a-08f0-4737-9e8c-148ce897a09c">EZSHARE-1588997856-111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Urban Rehabilitation and Heritage Preservation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https://idbg.sharepoint.com/teams/EZ-ME-LON/ME-L1059/_layouts/15/DocIdRedir.aspx?ID=EZSHARE-1588997856-111</Url>
      <Description>EZSHARE-1588997856-111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DC21AFD27D28BE4E9588AFC50A1E55F2" ma:contentTypeVersion="941" ma:contentTypeDescription="A content type to manage public (operations) IDB documents" ma:contentTypeScope="" ma:versionID="647843b7f59442b731d610b3458315f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fd16fbff7a96c971579ab52e185235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ME-L105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95FB4940-1592-41C5-B08B-011E4B4129E6}"/>
</file>

<file path=customXml/itemProps2.xml><?xml version="1.0" encoding="utf-8"?>
<ds:datastoreItem xmlns:ds="http://schemas.openxmlformats.org/officeDocument/2006/customXml" ds:itemID="{B31C4500-040E-4C62-A28E-B2B62DA5CD3C}"/>
</file>

<file path=customXml/itemProps3.xml><?xml version="1.0" encoding="utf-8"?>
<ds:datastoreItem xmlns:ds="http://schemas.openxmlformats.org/officeDocument/2006/customXml" ds:itemID="{5C948E05-EC4E-4EFD-8716-8D2F8D54DBA6}"/>
</file>

<file path=customXml/itemProps4.xml><?xml version="1.0" encoding="utf-8"?>
<ds:datastoreItem xmlns:ds="http://schemas.openxmlformats.org/officeDocument/2006/customXml" ds:itemID="{6C5F74B4-C980-47DD-9013-3A1CA188EA58}"/>
</file>

<file path=customXml/itemProps5.xml><?xml version="1.0" encoding="utf-8"?>
<ds:datastoreItem xmlns:ds="http://schemas.openxmlformats.org/officeDocument/2006/customXml" ds:itemID="{16734560-D8BF-4795-B9BB-61322F921696}"/>
</file>

<file path=customXml/itemProps6.xml><?xml version="1.0" encoding="utf-8"?>
<ds:datastoreItem xmlns:ds="http://schemas.openxmlformats.org/officeDocument/2006/customXml" ds:itemID="{45851CB0-D85C-4842-A49F-943B0DCF35E2}"/>
</file>

<file path=customXml/itemProps7.xml><?xml version="1.0" encoding="utf-8"?>
<ds:datastoreItem xmlns:ds="http://schemas.openxmlformats.org/officeDocument/2006/customXml" ds:itemID="{CEAE096E-11FF-4113-B68C-DD73040727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Perfil Componente 1 Planificacion Estrategica</dc:title>
  <dc:subject/>
  <dc:creator>CARLOSPI</dc:creator>
  <cp:keywords/>
  <dc:description/>
  <cp:lastModifiedBy>Rafaelcr</cp:lastModifiedBy>
  <cp:revision>2</cp:revision>
  <dcterms:created xsi:type="dcterms:W3CDTF">2010-05-17T17:36:00Z</dcterms:created>
  <dcterms:modified xsi:type="dcterms:W3CDTF">2010-05-17T17:36:00Z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0x0101001A458A224826124E8B45B1D613300CFC00DC21AFD27D28BE4E9588AFC50A1E55F2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17;#Loan Proposal|6ee86b6f-6e46-485b-8bfb-87a1f44622ac</vt:lpwstr>
  </property>
  <property fmtid="{D5CDD505-2E9C-101B-9397-08002B2CF9AE}" pid="8" name="Country">
    <vt:lpwstr>19;#Mexico|0eba6470-e7ea-46fd-a959-d4c243acaf26</vt:lpwstr>
  </property>
  <property fmtid="{D5CDD505-2E9C-101B-9397-08002B2CF9AE}" pid="9" name="Fund IDB">
    <vt:lpwstr/>
  </property>
  <property fmtid="{D5CDD505-2E9C-101B-9397-08002B2CF9AE}" pid="10" name="Series_x0020_Operations_x0020_IDB">
    <vt:lpwstr>17;#Loan Proposal|6ee86b6f-6e46-485b-8bfb-87a1f44622ac</vt:lpwstr>
  </property>
  <property fmtid="{D5CDD505-2E9C-101B-9397-08002B2CF9AE}" pid="13" name="Sector IDB">
    <vt:lpwstr/>
  </property>
  <property fmtid="{D5CDD505-2E9C-101B-9397-08002B2CF9AE}" pid="14" name="Function Operations IDB">
    <vt:lpwstr>1;#Project Preparation, Planning and Design|29ca0c72-1fc4-435f-a09c-28585cb5eac9</vt:lpwstr>
  </property>
  <property fmtid="{D5CDD505-2E9C-101B-9397-08002B2CF9AE}" pid="15" name="Sub-Sector">
    <vt:lpwstr/>
  </property>
  <property fmtid="{D5CDD505-2E9C-101B-9397-08002B2CF9AE}" pid="16" name="Order">
    <vt:r8>11100</vt:r8>
  </property>
  <property fmtid="{D5CDD505-2E9C-101B-9397-08002B2CF9AE}" pid="17" name="_dlc_DocIdItemGuid">
    <vt:lpwstr>679950ae-61d8-4a97-a225-bc049178e86f</vt:lpwstr>
  </property>
</Properties>
</file>