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ED9" w:rsidRPr="00634D9F" w:rsidRDefault="000D2ED9" w:rsidP="000D2ED9">
      <w:pPr>
        <w:jc w:val="center"/>
        <w:rPr>
          <w:rFonts w:ascii="Times New Roman" w:hAnsi="Times New Roman"/>
          <w:b/>
          <w:bCs/>
          <w:iCs/>
          <w:sz w:val="28"/>
          <w:lang w:val="es-ES_tradnl"/>
        </w:rPr>
      </w:pPr>
      <w:r w:rsidRPr="00634D9F">
        <w:rPr>
          <w:rFonts w:ascii="Times New Roman" w:hAnsi="Times New Roman"/>
          <w:b/>
          <w:bCs/>
          <w:iCs/>
          <w:sz w:val="28"/>
          <w:lang w:val="es-ES_tradnl"/>
        </w:rPr>
        <w:t>BANCO INTERAMERICANO DE DESARROLLO</w:t>
      </w:r>
    </w:p>
    <w:p w:rsidR="000D2ED9" w:rsidRPr="00634D9F" w:rsidRDefault="000D2ED9" w:rsidP="000D2ED9">
      <w:pPr>
        <w:jc w:val="center"/>
        <w:rPr>
          <w:rFonts w:ascii="Times New Roman" w:hAnsi="Times New Roman"/>
          <w:b/>
          <w:bCs/>
          <w:iCs/>
          <w:lang w:val="es-ES_tradnl"/>
        </w:rPr>
      </w:pPr>
    </w:p>
    <w:p w:rsidR="000D2ED9" w:rsidRPr="00634D9F" w:rsidRDefault="000D2ED9" w:rsidP="000D2ED9">
      <w:pPr>
        <w:jc w:val="center"/>
        <w:rPr>
          <w:rFonts w:ascii="Times New Roman" w:hAnsi="Times New Roman"/>
          <w:b/>
          <w:bCs/>
          <w:iCs/>
          <w:lang w:val="es-ES_tradnl"/>
        </w:rPr>
      </w:pPr>
    </w:p>
    <w:p w:rsidR="000D2ED9" w:rsidRPr="00634D9F" w:rsidRDefault="000D2ED9" w:rsidP="000D2ED9">
      <w:pPr>
        <w:jc w:val="center"/>
        <w:rPr>
          <w:rFonts w:ascii="Times New Roman" w:hAnsi="Times New Roman"/>
          <w:b/>
          <w:bCs/>
          <w:iCs/>
          <w:lang w:val="es-ES_tradnl"/>
        </w:rPr>
      </w:pPr>
    </w:p>
    <w:p w:rsidR="000D2ED9" w:rsidRPr="00634D9F" w:rsidRDefault="000D2ED9" w:rsidP="000D2ED9">
      <w:pPr>
        <w:jc w:val="center"/>
        <w:rPr>
          <w:rFonts w:ascii="Times New Roman" w:hAnsi="Times New Roman"/>
          <w:b/>
          <w:bCs/>
          <w:iCs/>
          <w:lang w:val="es-ES_tradnl"/>
        </w:rPr>
      </w:pPr>
    </w:p>
    <w:p w:rsidR="000D2ED9" w:rsidRPr="00634D9F" w:rsidRDefault="000D2ED9" w:rsidP="000D2ED9">
      <w:pPr>
        <w:jc w:val="center"/>
        <w:rPr>
          <w:rFonts w:ascii="Times New Roman" w:hAnsi="Times New Roman"/>
          <w:b/>
          <w:bCs/>
          <w:iCs/>
          <w:lang w:val="es-ES_tradnl"/>
        </w:rPr>
      </w:pPr>
    </w:p>
    <w:p w:rsidR="00381AE3" w:rsidRDefault="00381AE3" w:rsidP="000D2ED9">
      <w:pPr>
        <w:jc w:val="center"/>
        <w:rPr>
          <w:rFonts w:ascii="Times New Roman" w:hAnsi="Times New Roman"/>
          <w:b/>
          <w:bCs/>
          <w:iCs/>
          <w:sz w:val="28"/>
          <w:lang w:val="es-ES_tradnl"/>
        </w:rPr>
      </w:pPr>
    </w:p>
    <w:p w:rsidR="00381AE3" w:rsidRDefault="00381AE3" w:rsidP="000D2ED9">
      <w:pPr>
        <w:jc w:val="center"/>
        <w:rPr>
          <w:rFonts w:ascii="Times New Roman" w:hAnsi="Times New Roman"/>
          <w:b/>
          <w:bCs/>
          <w:iCs/>
          <w:sz w:val="28"/>
          <w:lang w:val="es-ES_tradnl"/>
        </w:rPr>
      </w:pPr>
    </w:p>
    <w:p w:rsidR="00381AE3" w:rsidRDefault="00381AE3" w:rsidP="000D2ED9">
      <w:pPr>
        <w:jc w:val="center"/>
        <w:rPr>
          <w:rFonts w:ascii="Times New Roman" w:hAnsi="Times New Roman"/>
          <w:b/>
          <w:bCs/>
          <w:iCs/>
          <w:sz w:val="28"/>
          <w:lang w:val="es-ES_tradnl"/>
        </w:rPr>
      </w:pPr>
    </w:p>
    <w:p w:rsidR="000D2ED9" w:rsidRPr="00634D9F" w:rsidRDefault="000D2ED9" w:rsidP="000D2ED9">
      <w:pPr>
        <w:jc w:val="center"/>
        <w:rPr>
          <w:rFonts w:ascii="Times New Roman" w:hAnsi="Times New Roman"/>
          <w:b/>
          <w:bCs/>
          <w:iCs/>
          <w:sz w:val="28"/>
          <w:lang w:val="es-ES_tradnl"/>
        </w:rPr>
      </w:pPr>
      <w:r w:rsidRPr="00634D9F">
        <w:rPr>
          <w:rFonts w:ascii="Times New Roman" w:hAnsi="Times New Roman"/>
          <w:b/>
          <w:bCs/>
          <w:iCs/>
          <w:sz w:val="28"/>
          <w:lang w:val="es-ES_tradnl"/>
        </w:rPr>
        <w:t>PROGRAMA PARA EL DESARROLLO SOSTENIBLE DE ESTADOS Y</w:t>
      </w:r>
      <w:r>
        <w:rPr>
          <w:rFonts w:ascii="Times New Roman" w:hAnsi="Times New Roman"/>
          <w:b/>
          <w:bCs/>
          <w:iCs/>
          <w:sz w:val="28"/>
          <w:lang w:val="es-ES_tradnl"/>
        </w:rPr>
        <w:t xml:space="preserve"> </w:t>
      </w:r>
      <w:r w:rsidRPr="00634D9F">
        <w:rPr>
          <w:rFonts w:ascii="Times New Roman" w:hAnsi="Times New Roman"/>
          <w:b/>
          <w:bCs/>
          <w:iCs/>
          <w:sz w:val="28"/>
          <w:lang w:val="es-ES_tradnl"/>
        </w:rPr>
        <w:t>MUNICIPIOS DE MÉXICO</w:t>
      </w:r>
    </w:p>
    <w:p w:rsidR="000D2ED9" w:rsidRPr="00634D9F" w:rsidRDefault="000D2ED9" w:rsidP="000D2ED9">
      <w:pPr>
        <w:jc w:val="center"/>
        <w:rPr>
          <w:rFonts w:ascii="Times New Roman" w:hAnsi="Times New Roman"/>
          <w:b/>
          <w:bCs/>
          <w:iCs/>
          <w:lang w:val="es-ES_tradnl"/>
        </w:rPr>
      </w:pPr>
    </w:p>
    <w:p w:rsidR="000D2ED9" w:rsidRPr="00634D9F" w:rsidRDefault="000D2ED9" w:rsidP="000D2ED9">
      <w:pPr>
        <w:jc w:val="center"/>
        <w:rPr>
          <w:rFonts w:ascii="Times New Roman" w:hAnsi="Times New Roman"/>
          <w:b/>
          <w:bCs/>
          <w:iCs/>
          <w:lang w:val="es-ES_tradnl"/>
        </w:rPr>
      </w:pPr>
    </w:p>
    <w:p w:rsidR="00381AE3" w:rsidRDefault="00381AE3" w:rsidP="000D2ED9">
      <w:pPr>
        <w:jc w:val="center"/>
        <w:rPr>
          <w:rFonts w:ascii="Times New Roman" w:hAnsi="Times New Roman"/>
          <w:b/>
          <w:bCs/>
          <w:iCs/>
          <w:sz w:val="32"/>
          <w:lang w:val="es-ES_tradnl"/>
        </w:rPr>
      </w:pPr>
    </w:p>
    <w:p w:rsidR="00381AE3" w:rsidRDefault="00381AE3" w:rsidP="000D2ED9">
      <w:pPr>
        <w:jc w:val="center"/>
        <w:rPr>
          <w:rFonts w:ascii="Times New Roman" w:hAnsi="Times New Roman"/>
          <w:b/>
          <w:bCs/>
          <w:iCs/>
          <w:sz w:val="32"/>
          <w:lang w:val="es-ES_tradnl"/>
        </w:rPr>
      </w:pPr>
    </w:p>
    <w:p w:rsidR="00381AE3" w:rsidRDefault="00381AE3" w:rsidP="000D2ED9">
      <w:pPr>
        <w:jc w:val="center"/>
        <w:rPr>
          <w:rFonts w:ascii="Times New Roman" w:hAnsi="Times New Roman"/>
          <w:b/>
          <w:bCs/>
          <w:iCs/>
          <w:sz w:val="32"/>
          <w:lang w:val="es-ES_tradnl"/>
        </w:rPr>
      </w:pPr>
    </w:p>
    <w:p w:rsidR="000D2ED9" w:rsidRPr="00634D9F" w:rsidRDefault="000D2ED9" w:rsidP="000D2ED9">
      <w:pPr>
        <w:jc w:val="center"/>
        <w:rPr>
          <w:rFonts w:ascii="Times New Roman" w:hAnsi="Times New Roman"/>
          <w:b/>
          <w:bCs/>
          <w:iCs/>
          <w:sz w:val="32"/>
          <w:lang w:val="es-ES_tradnl"/>
        </w:rPr>
      </w:pPr>
      <w:r w:rsidRPr="00634D9F">
        <w:rPr>
          <w:rFonts w:ascii="Times New Roman" w:hAnsi="Times New Roman"/>
          <w:b/>
          <w:bCs/>
          <w:iCs/>
          <w:sz w:val="32"/>
          <w:lang w:val="es-ES_tradnl"/>
        </w:rPr>
        <w:t>PROYECTO ESTADO DE YUCATÁN</w:t>
      </w:r>
    </w:p>
    <w:p w:rsidR="000D2ED9" w:rsidRPr="00014F94" w:rsidRDefault="000D2ED9" w:rsidP="000D2ED9">
      <w:pPr>
        <w:jc w:val="center"/>
        <w:rPr>
          <w:rFonts w:ascii="Times New Roman" w:hAnsi="Times New Roman"/>
          <w:b/>
          <w:bCs/>
          <w:iCs/>
          <w:sz w:val="32"/>
          <w:lang w:val="es-MX"/>
        </w:rPr>
      </w:pPr>
      <w:r w:rsidRPr="00014F94">
        <w:rPr>
          <w:rFonts w:ascii="Times New Roman" w:hAnsi="Times New Roman"/>
          <w:b/>
          <w:bCs/>
          <w:iCs/>
          <w:sz w:val="32"/>
          <w:lang w:val="es-MX"/>
        </w:rPr>
        <w:t>ME-L1059</w:t>
      </w:r>
    </w:p>
    <w:p w:rsidR="000D2ED9" w:rsidRPr="00634D9F" w:rsidRDefault="000D2ED9" w:rsidP="000D2ED9">
      <w:pPr>
        <w:spacing w:before="120" w:after="120"/>
        <w:jc w:val="center"/>
        <w:rPr>
          <w:rFonts w:ascii="Times New Roman" w:hAnsi="Times New Roman"/>
          <w:b/>
          <w:lang w:val="es-ES_tradnl"/>
        </w:rPr>
      </w:pPr>
    </w:p>
    <w:p w:rsidR="000D2ED9" w:rsidRPr="00634D9F" w:rsidRDefault="000D2ED9" w:rsidP="000D2ED9">
      <w:pPr>
        <w:spacing w:before="120" w:after="120"/>
        <w:jc w:val="center"/>
        <w:rPr>
          <w:rFonts w:ascii="Times New Roman" w:hAnsi="Times New Roman"/>
          <w:b/>
          <w:lang w:val="es-ES_tradnl"/>
        </w:rPr>
      </w:pPr>
    </w:p>
    <w:p w:rsidR="000D2ED9" w:rsidRPr="00634D9F" w:rsidRDefault="000D2ED9" w:rsidP="000D2ED9">
      <w:pPr>
        <w:spacing w:before="120" w:after="120"/>
        <w:jc w:val="center"/>
        <w:rPr>
          <w:rFonts w:ascii="Times New Roman" w:hAnsi="Times New Roman"/>
          <w:b/>
          <w:lang w:val="es-ES_tradnl"/>
        </w:rPr>
      </w:pPr>
      <w:r w:rsidRPr="00634D9F">
        <w:rPr>
          <w:rFonts w:ascii="Times New Roman" w:hAnsi="Times New Roman"/>
          <w:b/>
          <w:sz w:val="32"/>
          <w:lang w:val="es-ES_tradnl"/>
        </w:rPr>
        <w:t xml:space="preserve">COMPONENTE </w:t>
      </w:r>
      <w:r>
        <w:rPr>
          <w:rFonts w:ascii="Times New Roman" w:hAnsi="Times New Roman"/>
          <w:b/>
          <w:sz w:val="32"/>
          <w:lang w:val="es-ES_tradnl"/>
        </w:rPr>
        <w:t>AGENDA DIGITAL</w:t>
      </w:r>
    </w:p>
    <w:p w:rsidR="000D2ED9" w:rsidRPr="00634D9F" w:rsidRDefault="000D2ED9" w:rsidP="000D2ED9">
      <w:pPr>
        <w:spacing w:before="120" w:after="120"/>
        <w:jc w:val="center"/>
        <w:rPr>
          <w:rFonts w:ascii="Times New Roman" w:hAnsi="Times New Roman"/>
          <w:b/>
          <w:lang w:val="es-ES_tradnl"/>
        </w:rPr>
      </w:pPr>
    </w:p>
    <w:p w:rsidR="000D2ED9" w:rsidRPr="00634D9F" w:rsidRDefault="000D2ED9" w:rsidP="000D2ED9">
      <w:pPr>
        <w:spacing w:before="120" w:after="120"/>
        <w:jc w:val="center"/>
        <w:rPr>
          <w:rFonts w:ascii="Times New Roman" w:hAnsi="Times New Roman"/>
          <w:b/>
          <w:lang w:val="es-ES_tradnl"/>
        </w:rPr>
      </w:pPr>
    </w:p>
    <w:p w:rsidR="000D2ED9" w:rsidRPr="00634D9F" w:rsidRDefault="000D2ED9" w:rsidP="000D2ED9">
      <w:pPr>
        <w:spacing w:before="120" w:after="120"/>
        <w:jc w:val="center"/>
        <w:rPr>
          <w:rFonts w:ascii="Times New Roman" w:hAnsi="Times New Roman"/>
          <w:b/>
          <w:lang w:val="es-ES_tradnl"/>
        </w:rPr>
      </w:pPr>
    </w:p>
    <w:p w:rsidR="000D2ED9" w:rsidRPr="00634D9F" w:rsidRDefault="000D2ED9" w:rsidP="000D2ED9">
      <w:pPr>
        <w:spacing w:before="120" w:after="120"/>
        <w:jc w:val="center"/>
        <w:rPr>
          <w:rFonts w:ascii="Times New Roman" w:hAnsi="Times New Roman"/>
          <w:b/>
          <w:lang w:val="es-ES_tradnl"/>
        </w:rPr>
      </w:pPr>
    </w:p>
    <w:p w:rsidR="000D2ED9" w:rsidRPr="00634D9F" w:rsidRDefault="000D2ED9" w:rsidP="000D2ED9">
      <w:pPr>
        <w:spacing w:before="120" w:after="120"/>
        <w:jc w:val="center"/>
        <w:rPr>
          <w:rFonts w:ascii="Times New Roman" w:hAnsi="Times New Roman"/>
          <w:b/>
          <w:sz w:val="24"/>
          <w:szCs w:val="24"/>
          <w:lang w:val="es-ES_tradnl"/>
        </w:rPr>
      </w:pPr>
      <w:r w:rsidRPr="00634D9F">
        <w:rPr>
          <w:rFonts w:ascii="Times New Roman" w:hAnsi="Times New Roman"/>
          <w:b/>
          <w:sz w:val="24"/>
          <w:szCs w:val="24"/>
          <w:lang w:val="es-ES_tradnl"/>
        </w:rPr>
        <w:t>Perfil de Proyecto</w:t>
      </w:r>
    </w:p>
    <w:p w:rsidR="000D2ED9" w:rsidRPr="00634D9F" w:rsidRDefault="000D2ED9" w:rsidP="000D2ED9">
      <w:pPr>
        <w:spacing w:before="120" w:after="120"/>
        <w:jc w:val="center"/>
        <w:rPr>
          <w:rFonts w:ascii="Times New Roman" w:hAnsi="Times New Roman"/>
          <w:b/>
          <w:sz w:val="24"/>
          <w:szCs w:val="24"/>
          <w:lang w:val="es-ES_tradnl"/>
        </w:rPr>
      </w:pPr>
    </w:p>
    <w:p w:rsidR="000D2ED9" w:rsidRPr="00634D9F" w:rsidRDefault="000D2ED9" w:rsidP="000D2ED9">
      <w:pPr>
        <w:spacing w:before="120" w:after="120"/>
        <w:jc w:val="center"/>
        <w:rPr>
          <w:rFonts w:ascii="Times New Roman" w:hAnsi="Times New Roman"/>
          <w:b/>
          <w:sz w:val="24"/>
          <w:szCs w:val="24"/>
          <w:lang w:val="es-ES_tradnl"/>
        </w:rPr>
      </w:pPr>
      <w:r>
        <w:rPr>
          <w:rFonts w:ascii="Times New Roman" w:hAnsi="Times New Roman"/>
          <w:b/>
          <w:sz w:val="24"/>
          <w:szCs w:val="24"/>
          <w:lang w:val="es-ES_tradnl"/>
        </w:rPr>
        <w:t xml:space="preserve">15 </w:t>
      </w:r>
      <w:r w:rsidRPr="00634D9F">
        <w:rPr>
          <w:rFonts w:ascii="Times New Roman" w:hAnsi="Times New Roman"/>
          <w:b/>
          <w:sz w:val="24"/>
          <w:szCs w:val="24"/>
          <w:lang w:val="es-ES_tradnl"/>
        </w:rPr>
        <w:t>de mayo de 2010</w:t>
      </w:r>
    </w:p>
    <w:p w:rsidR="000D2ED9" w:rsidRDefault="000D2ED9">
      <w:pPr>
        <w:spacing w:after="200" w:line="276" w:lineRule="auto"/>
        <w:rPr>
          <w:rFonts w:ascii="Times New Roman" w:hAnsi="Times New Roman"/>
          <w:b/>
          <w:sz w:val="24"/>
          <w:szCs w:val="24"/>
          <w:lang w:val="es-ES_tradnl"/>
        </w:rPr>
      </w:pPr>
      <w:r>
        <w:rPr>
          <w:rFonts w:ascii="Times New Roman" w:hAnsi="Times New Roman"/>
          <w:b/>
          <w:sz w:val="24"/>
          <w:szCs w:val="24"/>
          <w:lang w:val="es-ES_tradnl"/>
        </w:rPr>
        <w:br w:type="page"/>
      </w:r>
    </w:p>
    <w:bookmarkStart w:id="0" w:name="_Toc226436901"/>
    <w:bookmarkStart w:id="1" w:name="_Toc226538957"/>
    <w:bookmarkStart w:id="2" w:name="_Toc256592710"/>
    <w:p w:rsidR="00665F01" w:rsidRPr="00665F01" w:rsidRDefault="00763BF9" w:rsidP="00D070E0">
      <w:pPr>
        <w:pStyle w:val="FirstHeading"/>
        <w:rPr>
          <w:lang w:val="es-ES_tradnl"/>
        </w:rPr>
      </w:pPr>
      <w:r>
        <w:rPr>
          <w:lang w:val="es-ES_tradnl"/>
        </w:rPr>
        <w:fldChar w:fldCharType="begin"/>
      </w:r>
      <w:r w:rsidR="00D070E0">
        <w:rPr>
          <w:lang w:val="es-ES_tradnl"/>
        </w:rPr>
        <w:instrText xml:space="preserve"> SEQ "</w:instrText>
      </w:r>
      <w:fldSimple w:instr=" SECTION  \* MERGEFORMAT ">
        <w:r w:rsidR="00D070E0">
          <w:rPr>
            <w:lang w:val="es-ES_tradnl"/>
          </w:rPr>
          <w:instrText>1</w:instrText>
        </w:r>
      </w:fldSimple>
      <w:r w:rsidR="00D070E0">
        <w:rPr>
          <w:lang w:val="es-ES_tradnl"/>
        </w:rPr>
        <w:instrText xml:space="preserve">#"\* ALPHABETIC \* MERGEFORMAT </w:instrText>
      </w:r>
      <w:r>
        <w:rPr>
          <w:lang w:val="es-ES_tradnl"/>
        </w:rPr>
        <w:fldChar w:fldCharType="separate"/>
      </w:r>
      <w:r w:rsidR="00D070E0">
        <w:rPr>
          <w:noProof/>
          <w:lang w:val="es-ES_tradnl"/>
        </w:rPr>
        <w:t>A</w:t>
      </w:r>
      <w:r>
        <w:rPr>
          <w:lang w:val="es-ES_tradnl"/>
        </w:rPr>
        <w:fldChar w:fldCharType="end"/>
      </w:r>
      <w:r w:rsidR="00D070E0">
        <w:rPr>
          <w:lang w:val="es-ES_tradnl"/>
        </w:rPr>
        <w:t>.</w:t>
      </w:r>
      <w:r w:rsidR="00D070E0">
        <w:rPr>
          <w:lang w:val="es-ES_tradnl"/>
        </w:rPr>
        <w:tab/>
      </w:r>
      <w:r w:rsidR="00665F01" w:rsidRPr="00665F01">
        <w:rPr>
          <w:lang w:val="es-ES_tradnl"/>
        </w:rPr>
        <w:t>Antecedentes</w:t>
      </w:r>
      <w:bookmarkEnd w:id="0"/>
      <w:bookmarkEnd w:id="1"/>
      <w:bookmarkEnd w:id="2"/>
    </w:p>
    <w:p w:rsidR="003C7293" w:rsidRPr="003C7293" w:rsidRDefault="003C7293" w:rsidP="00F420BB">
      <w:pPr>
        <w:pStyle w:val="Paragraph"/>
        <w:tabs>
          <w:tab w:val="clear" w:pos="1728"/>
        </w:tabs>
        <w:ind w:left="720" w:hanging="720"/>
        <w:rPr>
          <w:lang w:val="es-CO"/>
        </w:rPr>
      </w:pPr>
      <w:r w:rsidRPr="003C7293">
        <w:rPr>
          <w:lang w:val="es-CO"/>
        </w:rPr>
        <w:t xml:space="preserve">En materia de desarrollo digital, en </w:t>
      </w:r>
      <w:r w:rsidR="000B0AF0">
        <w:rPr>
          <w:lang w:val="es-CO"/>
        </w:rPr>
        <w:t xml:space="preserve">el año </w:t>
      </w:r>
      <w:r w:rsidRPr="003C7293">
        <w:rPr>
          <w:lang w:val="es-CO"/>
        </w:rPr>
        <w:t>2008, el Banco Interamericano de Desarrollo (BID) contrató una consultoría para apoyar al Gobierno del Estado en el diseño de un Plan Estratégico de Gobierno Electrónico. Este Plan presentó los siguientes proyectos: i) Reingeniería de Procesos; ii) Sistema Integrado de Administración Financiera y Tributaria; iii) Sistema Integrado de Gestión de Tr</w:t>
      </w:r>
      <w:r w:rsidR="000B0AF0">
        <w:rPr>
          <w:lang w:val="es-CO"/>
        </w:rPr>
        <w:t>á</w:t>
      </w:r>
      <w:r w:rsidRPr="003C7293">
        <w:rPr>
          <w:lang w:val="es-CO"/>
        </w:rPr>
        <w:t>mites de la Administración del Estado de Yucatán; iv) Sistema de Administración Financiera y Tributaria Municipal; v) Sistema de Información Geográfica; vi) Firma Digital; vii) Estándares Tecnológicos; viii) Reforzamiento del Equipamiento y de la red de Comunicaciones; ix) Centros de Atención al Ciudadano; y x) Sitio Web.</w:t>
      </w:r>
      <w:r w:rsidR="00665F01">
        <w:rPr>
          <w:lang w:val="es-CO"/>
        </w:rPr>
        <w:t xml:space="preserve"> </w:t>
      </w:r>
    </w:p>
    <w:p w:rsidR="003C7293" w:rsidRPr="00665F01" w:rsidRDefault="003C7293" w:rsidP="00665F01">
      <w:pPr>
        <w:pStyle w:val="Paragraph"/>
        <w:tabs>
          <w:tab w:val="clear" w:pos="1728"/>
          <w:tab w:val="num" w:pos="720"/>
        </w:tabs>
        <w:ind w:left="720" w:hanging="720"/>
        <w:rPr>
          <w:lang w:val="es-ES_tradnl"/>
        </w:rPr>
      </w:pPr>
      <w:r w:rsidRPr="00665F01">
        <w:rPr>
          <w:lang w:val="es-ES_tradnl"/>
        </w:rPr>
        <w:t xml:space="preserve">Con base en los antecedentes mencionados, la Cooperación Técnica PRODEV en el Estado de Yucatán </w:t>
      </w:r>
      <w:r w:rsidR="00F00ECD" w:rsidRPr="00665F01">
        <w:rPr>
          <w:lang w:val="es-ES_tradnl"/>
        </w:rPr>
        <w:t xml:space="preserve">está </w:t>
      </w:r>
      <w:r w:rsidRPr="00665F01">
        <w:rPr>
          <w:lang w:val="es-ES_tradnl"/>
        </w:rPr>
        <w:t>apoya</w:t>
      </w:r>
      <w:r w:rsidR="00F00ECD" w:rsidRPr="00665F01">
        <w:rPr>
          <w:lang w:val="es-ES_tradnl"/>
        </w:rPr>
        <w:t xml:space="preserve">ndo </w:t>
      </w:r>
      <w:r w:rsidRPr="00665F01">
        <w:rPr>
          <w:lang w:val="es-ES_tradnl"/>
        </w:rPr>
        <w:t>a la Secretar</w:t>
      </w:r>
      <w:r w:rsidR="000B0AF0">
        <w:rPr>
          <w:lang w:val="es-ES_tradnl"/>
        </w:rPr>
        <w:t>í</w:t>
      </w:r>
      <w:r w:rsidRPr="00665F01">
        <w:rPr>
          <w:lang w:val="es-ES_tradnl"/>
        </w:rPr>
        <w:t>a de Planeación y Presupuesto (SPP), Secretar</w:t>
      </w:r>
      <w:r w:rsidR="000B0AF0">
        <w:rPr>
          <w:lang w:val="es-ES_tradnl"/>
        </w:rPr>
        <w:t>í</w:t>
      </w:r>
      <w:r w:rsidRPr="00665F01">
        <w:rPr>
          <w:lang w:val="es-ES_tradnl"/>
        </w:rPr>
        <w:t xml:space="preserve">a de Hacienda, Dirección General de Tecnología de Información y demás dependencias públicas del Estado de Yucatán en este proceso de desarrollo e implantación de nuevas metodologías y sistemas, mediante una profundización de los estudios ya comenzados para llevarlos a nivel de pre-factibilidad. </w:t>
      </w:r>
    </w:p>
    <w:p w:rsidR="003C7293" w:rsidRPr="00665F01" w:rsidRDefault="00E824E2" w:rsidP="00665F01">
      <w:pPr>
        <w:pStyle w:val="Paragraph"/>
        <w:tabs>
          <w:tab w:val="clear" w:pos="1728"/>
          <w:tab w:val="num" w:pos="720"/>
        </w:tabs>
        <w:ind w:left="720" w:hanging="720"/>
        <w:rPr>
          <w:lang w:val="es-ES_tradnl"/>
        </w:rPr>
      </w:pPr>
      <w:r w:rsidRPr="00665F01">
        <w:rPr>
          <w:lang w:val="es-ES_tradnl"/>
        </w:rPr>
        <w:t xml:space="preserve">Para ello se contrató consultorías </w:t>
      </w:r>
      <w:r w:rsidR="00304BB8" w:rsidRPr="00665F01">
        <w:rPr>
          <w:lang w:val="es-ES_tradnl"/>
        </w:rPr>
        <w:t xml:space="preserve">y </w:t>
      </w:r>
      <w:r w:rsidR="00BB3788" w:rsidRPr="00665F01">
        <w:rPr>
          <w:lang w:val="es-ES_tradnl"/>
        </w:rPr>
        <w:t>est</w:t>
      </w:r>
      <w:r w:rsidR="00304BB8" w:rsidRPr="00665F01">
        <w:rPr>
          <w:lang w:val="es-ES_tradnl"/>
        </w:rPr>
        <w:t>u</w:t>
      </w:r>
      <w:r w:rsidR="00BB3788" w:rsidRPr="00665F01">
        <w:rPr>
          <w:lang w:val="es-ES_tradnl"/>
        </w:rPr>
        <w:t>dios de pre factibilidad</w:t>
      </w:r>
      <w:r w:rsidRPr="00665F01">
        <w:rPr>
          <w:lang w:val="es-ES_tradnl"/>
        </w:rPr>
        <w:t xml:space="preserve"> para el desarrollo y la implementación del Plan Estratégico de Gobierno Electrónico, denominado Agenda Digital</w:t>
      </w:r>
      <w:r w:rsidR="004A277D">
        <w:rPr>
          <w:lang w:val="es-ES_tradnl"/>
        </w:rPr>
        <w:t>,</w:t>
      </w:r>
      <w:r w:rsidRPr="00665F01">
        <w:rPr>
          <w:lang w:val="es-ES_tradnl"/>
        </w:rPr>
        <w:t xml:space="preserve"> </w:t>
      </w:r>
      <w:r w:rsidR="004A277D">
        <w:rPr>
          <w:lang w:val="es-ES_tradnl"/>
        </w:rPr>
        <w:t>con 2</w:t>
      </w:r>
      <w:r w:rsidR="00304BB8" w:rsidRPr="00665F01">
        <w:rPr>
          <w:lang w:val="es-ES_tradnl"/>
        </w:rPr>
        <w:t xml:space="preserve"> </w:t>
      </w:r>
      <w:r w:rsidR="004A277D">
        <w:rPr>
          <w:lang w:val="es-ES_tradnl"/>
        </w:rPr>
        <w:t xml:space="preserve">áreas de </w:t>
      </w:r>
      <w:r w:rsidR="00BB3788" w:rsidRPr="00665F01">
        <w:rPr>
          <w:lang w:val="es-ES_tradnl"/>
        </w:rPr>
        <w:t>enfoque</w:t>
      </w:r>
      <w:r w:rsidR="00304BB8" w:rsidRPr="00665F01">
        <w:rPr>
          <w:lang w:val="es-ES_tradnl"/>
        </w:rPr>
        <w:t>:</w:t>
      </w:r>
    </w:p>
    <w:p w:rsidR="003C7293" w:rsidRDefault="00BB3788" w:rsidP="00276B83">
      <w:pPr>
        <w:pStyle w:val="subpar"/>
        <w:rPr>
          <w:lang w:val="es-CO"/>
        </w:rPr>
      </w:pPr>
      <w:r>
        <w:rPr>
          <w:lang w:val="es-CO"/>
        </w:rPr>
        <w:t xml:space="preserve">Implementación </w:t>
      </w:r>
      <w:r w:rsidR="003C7293" w:rsidRPr="003C7293">
        <w:rPr>
          <w:lang w:val="es-CO"/>
        </w:rPr>
        <w:t xml:space="preserve">de un Sistema Integrado de Administración Financiera y Presupuestaria </w:t>
      </w:r>
      <w:r>
        <w:rPr>
          <w:lang w:val="es-CO"/>
        </w:rPr>
        <w:t xml:space="preserve">con </w:t>
      </w:r>
      <w:r w:rsidR="003C7293" w:rsidRPr="003C7293">
        <w:rPr>
          <w:lang w:val="es-CO"/>
        </w:rPr>
        <w:t>Presupuesto Basado en Resultados</w:t>
      </w:r>
      <w:r>
        <w:rPr>
          <w:lang w:val="es-CO"/>
        </w:rPr>
        <w:t>; y</w:t>
      </w:r>
      <w:r w:rsidR="00276B83">
        <w:rPr>
          <w:lang w:val="es-CO"/>
        </w:rPr>
        <w:t xml:space="preserve"> </w:t>
      </w:r>
    </w:p>
    <w:p w:rsidR="00E824E2" w:rsidRPr="00665F01" w:rsidRDefault="00E824E2" w:rsidP="00276B83">
      <w:pPr>
        <w:pStyle w:val="subpar"/>
        <w:rPr>
          <w:lang w:val="es-ES_tradnl"/>
        </w:rPr>
      </w:pPr>
      <w:r w:rsidRPr="00665F01">
        <w:rPr>
          <w:lang w:val="es-ES_tradnl"/>
        </w:rPr>
        <w:t>Creación de una Red Estatal de Banda Ancha q</w:t>
      </w:r>
      <w:r w:rsidRPr="00E824E2">
        <w:rPr>
          <w:lang w:val="es-ES_tradnl"/>
        </w:rPr>
        <w:t>ue explote las ventajas de la tecnología WiMAX para ofrecer servicios de banda ancha con calidad de servicio a los usuarios de las diferentes oficinas de gobierno y dependencias distribuidas en todo el Estado.</w:t>
      </w:r>
    </w:p>
    <w:p w:rsidR="003C7293" w:rsidRPr="00665F01" w:rsidRDefault="003C7293" w:rsidP="00665F01">
      <w:pPr>
        <w:pStyle w:val="Paragraph"/>
        <w:tabs>
          <w:tab w:val="clear" w:pos="1728"/>
          <w:tab w:val="num" w:pos="720"/>
        </w:tabs>
        <w:ind w:left="720" w:hanging="720"/>
        <w:rPr>
          <w:lang w:val="es-ES_tradnl"/>
        </w:rPr>
      </w:pPr>
      <w:r w:rsidRPr="00665F01">
        <w:rPr>
          <w:lang w:val="es-ES_tradnl"/>
        </w:rPr>
        <w:t>Los estudios y planes de acción que se formul</w:t>
      </w:r>
      <w:r w:rsidR="00BB3788" w:rsidRPr="00665F01">
        <w:rPr>
          <w:lang w:val="es-ES_tradnl"/>
        </w:rPr>
        <w:t>ar</w:t>
      </w:r>
      <w:r w:rsidR="000B0AF0">
        <w:rPr>
          <w:lang w:val="es-ES_tradnl"/>
        </w:rPr>
        <w:t>o</w:t>
      </w:r>
      <w:r w:rsidR="00BB3788" w:rsidRPr="00665F01">
        <w:rPr>
          <w:lang w:val="es-ES_tradnl"/>
        </w:rPr>
        <w:t xml:space="preserve">n </w:t>
      </w:r>
      <w:r w:rsidRPr="00665F01">
        <w:rPr>
          <w:lang w:val="es-ES_tradnl"/>
        </w:rPr>
        <w:t>como parte de esta</w:t>
      </w:r>
      <w:r w:rsidR="00BB3788" w:rsidRPr="00665F01">
        <w:rPr>
          <w:lang w:val="es-ES_tradnl"/>
        </w:rPr>
        <w:t>s</w:t>
      </w:r>
      <w:r w:rsidRPr="00665F01">
        <w:rPr>
          <w:lang w:val="es-ES_tradnl"/>
        </w:rPr>
        <w:t xml:space="preserve"> consultoría</w:t>
      </w:r>
      <w:r w:rsidR="00BB3788" w:rsidRPr="00665F01">
        <w:rPr>
          <w:lang w:val="es-ES_tradnl"/>
        </w:rPr>
        <w:t>s</w:t>
      </w:r>
      <w:r w:rsidRPr="00665F01">
        <w:rPr>
          <w:lang w:val="es-ES_tradnl"/>
        </w:rPr>
        <w:t xml:space="preserve"> servirán de insumos en la preparación de una operación de préstamo del Banco a BANOBRAS de Apoyo al Desarrollo Sostenible del Estado de Yucatán, que incluye el componente específico para la implementación del proyecto de Agenda Digital.</w:t>
      </w:r>
    </w:p>
    <w:p w:rsidR="00F420BB" w:rsidRPr="00665F01" w:rsidRDefault="00763BF9" w:rsidP="00D070E0">
      <w:pPr>
        <w:pStyle w:val="FirstHeading"/>
        <w:rPr>
          <w:lang w:val="es-ES_tradnl"/>
        </w:rPr>
      </w:pPr>
      <w:r>
        <w:rPr>
          <w:lang w:val="es-ES_tradnl"/>
        </w:rPr>
        <w:fldChar w:fldCharType="begin"/>
      </w:r>
      <w:r w:rsidR="00D070E0">
        <w:rPr>
          <w:lang w:val="es-ES_tradnl"/>
        </w:rPr>
        <w:instrText xml:space="preserve"> SEQ "</w:instrText>
      </w:r>
      <w:fldSimple w:instr=" SECTION  \* MERGEFORMAT ">
        <w:r w:rsidR="00D070E0">
          <w:rPr>
            <w:lang w:val="es-ES_tradnl"/>
          </w:rPr>
          <w:instrText>1</w:instrText>
        </w:r>
      </w:fldSimple>
      <w:r w:rsidR="00D070E0">
        <w:rPr>
          <w:lang w:val="es-ES_tradnl"/>
        </w:rPr>
        <w:instrText xml:space="preserve">#"\* ALPHABETIC \* MERGEFORMAT </w:instrText>
      </w:r>
      <w:r>
        <w:rPr>
          <w:lang w:val="es-ES_tradnl"/>
        </w:rPr>
        <w:fldChar w:fldCharType="separate"/>
      </w:r>
      <w:r w:rsidR="00D070E0">
        <w:rPr>
          <w:noProof/>
          <w:lang w:val="es-ES_tradnl"/>
        </w:rPr>
        <w:t>B</w:t>
      </w:r>
      <w:r>
        <w:rPr>
          <w:lang w:val="es-ES_tradnl"/>
        </w:rPr>
        <w:fldChar w:fldCharType="end"/>
      </w:r>
      <w:r w:rsidR="00D070E0">
        <w:rPr>
          <w:lang w:val="es-ES_tradnl"/>
        </w:rPr>
        <w:t>.</w:t>
      </w:r>
      <w:r w:rsidR="00D070E0">
        <w:rPr>
          <w:lang w:val="es-ES_tradnl"/>
        </w:rPr>
        <w:tab/>
      </w:r>
      <w:r w:rsidR="00F420BB">
        <w:rPr>
          <w:lang w:val="es-ES_tradnl"/>
        </w:rPr>
        <w:t>Diagn</w:t>
      </w:r>
      <w:r w:rsidR="000B0AF0">
        <w:rPr>
          <w:lang w:val="es-ES_tradnl"/>
        </w:rPr>
        <w:t>ó</w:t>
      </w:r>
      <w:r w:rsidR="00F420BB">
        <w:rPr>
          <w:lang w:val="es-ES_tradnl"/>
        </w:rPr>
        <w:t xml:space="preserve">stico y </w:t>
      </w:r>
      <w:r w:rsidR="000B0AF0">
        <w:rPr>
          <w:lang w:val="es-ES_tradnl"/>
        </w:rPr>
        <w:t>Justificación</w:t>
      </w:r>
    </w:p>
    <w:p w:rsidR="001359F9" w:rsidRPr="00F420BB" w:rsidRDefault="001359F9" w:rsidP="00F420BB">
      <w:pPr>
        <w:pStyle w:val="Paragraph"/>
        <w:tabs>
          <w:tab w:val="clear" w:pos="1728"/>
          <w:tab w:val="num" w:pos="720"/>
        </w:tabs>
        <w:ind w:left="720" w:hanging="720"/>
        <w:rPr>
          <w:lang w:val="es-ES_tradnl"/>
        </w:rPr>
      </w:pPr>
      <w:r w:rsidRPr="00F420BB">
        <w:rPr>
          <w:lang w:val="es-ES_tradnl"/>
        </w:rPr>
        <w:t xml:space="preserve">El componente Agenda Digital </w:t>
      </w:r>
      <w:r w:rsidR="004D4D0C" w:rsidRPr="00F420BB">
        <w:rPr>
          <w:lang w:val="es-ES_tradnl"/>
        </w:rPr>
        <w:t xml:space="preserve">está compuesto de </w:t>
      </w:r>
      <w:r w:rsidRPr="00F420BB">
        <w:rPr>
          <w:lang w:val="es-ES_tradnl"/>
        </w:rPr>
        <w:t>dos subcomponentes: a) Sistema Integrado de Administración Financiera y Presupuestaria (SIAF)</w:t>
      </w:r>
      <w:r w:rsidR="0038039A" w:rsidRPr="00F420BB">
        <w:rPr>
          <w:lang w:val="es-ES_tradnl"/>
        </w:rPr>
        <w:t xml:space="preserve"> y</w:t>
      </w:r>
      <w:r w:rsidRPr="00F420BB">
        <w:rPr>
          <w:lang w:val="es-ES_tradnl"/>
        </w:rPr>
        <w:t xml:space="preserve"> b) Red Estatal de Banda Ancha (REBA).</w:t>
      </w:r>
    </w:p>
    <w:p w:rsidR="009549D0" w:rsidRPr="00F420BB" w:rsidRDefault="004B19F9" w:rsidP="004A277D">
      <w:pPr>
        <w:pStyle w:val="subpar"/>
        <w:rPr>
          <w:lang w:val="es-ES_tradnl"/>
        </w:rPr>
      </w:pPr>
      <w:r w:rsidRPr="00F420BB">
        <w:rPr>
          <w:lang w:val="es-ES_tradnl"/>
        </w:rPr>
        <w:t>SIAF</w:t>
      </w:r>
      <w:r w:rsidR="007420A9">
        <w:rPr>
          <w:lang w:val="es-ES_tradnl"/>
        </w:rPr>
        <w:t xml:space="preserve"> – e</w:t>
      </w:r>
      <w:r w:rsidR="00DD73F6" w:rsidRPr="00F420BB">
        <w:rPr>
          <w:lang w:val="es-ES_tradnl"/>
        </w:rPr>
        <w:t xml:space="preserve">l </w:t>
      </w:r>
      <w:r w:rsidR="009E7D36" w:rsidRPr="00F420BB">
        <w:rPr>
          <w:lang w:val="es-ES_tradnl"/>
        </w:rPr>
        <w:t xml:space="preserve">Gobierno del </w:t>
      </w:r>
      <w:r w:rsidR="00DD73F6" w:rsidRPr="00F420BB">
        <w:rPr>
          <w:lang w:val="es-ES_tradnl"/>
        </w:rPr>
        <w:t xml:space="preserve">Estado de Yucatán requiere un Sistema </w:t>
      </w:r>
      <w:r w:rsidR="004350C9" w:rsidRPr="00F420BB">
        <w:rPr>
          <w:lang w:val="es-ES_tradnl"/>
        </w:rPr>
        <w:t>Integrado</w:t>
      </w:r>
      <w:r w:rsidR="009E7D36" w:rsidRPr="00F420BB">
        <w:rPr>
          <w:lang w:val="es-ES_tradnl"/>
        </w:rPr>
        <w:t xml:space="preserve"> </w:t>
      </w:r>
      <w:r w:rsidR="00DD73F6" w:rsidRPr="00F420BB">
        <w:rPr>
          <w:lang w:val="es-ES_tradnl"/>
        </w:rPr>
        <w:t>de Administración Financiera y Presupuestaria que permita la implantación del Presupuesto Basado en Resultados</w:t>
      </w:r>
      <w:r w:rsidR="0021570B" w:rsidRPr="00F420BB">
        <w:rPr>
          <w:lang w:val="es-ES_tradnl"/>
        </w:rPr>
        <w:t xml:space="preserve"> (</w:t>
      </w:r>
      <w:r w:rsidR="00AB352F" w:rsidRPr="00F420BB">
        <w:rPr>
          <w:lang w:val="es-ES_tradnl"/>
        </w:rPr>
        <w:t>PBR</w:t>
      </w:r>
      <w:r w:rsidR="0021570B" w:rsidRPr="00F420BB">
        <w:rPr>
          <w:lang w:val="es-ES_tradnl"/>
        </w:rPr>
        <w:t>)</w:t>
      </w:r>
      <w:r w:rsidR="009E7D36" w:rsidRPr="00F420BB">
        <w:rPr>
          <w:lang w:val="es-ES_tradnl"/>
        </w:rPr>
        <w:t xml:space="preserve">, que cumpla con las determinaciones legales de la Ley Gubernamental de Contabilidad General </w:t>
      </w:r>
      <w:r w:rsidR="00604F09" w:rsidRPr="00F420BB">
        <w:rPr>
          <w:lang w:val="es-ES_tradnl"/>
        </w:rPr>
        <w:t xml:space="preserve">(LGCG) </w:t>
      </w:r>
      <w:r w:rsidR="009E7D36" w:rsidRPr="00F420BB">
        <w:rPr>
          <w:lang w:val="es-ES_tradnl"/>
        </w:rPr>
        <w:t>y permita una mejor toma de decisiones</w:t>
      </w:r>
      <w:r w:rsidR="00062026" w:rsidRPr="00F420BB">
        <w:rPr>
          <w:lang w:val="es-ES_tradnl"/>
        </w:rPr>
        <w:t xml:space="preserve"> de los gestores públicos</w:t>
      </w:r>
      <w:r w:rsidR="0021570B" w:rsidRPr="00F420BB">
        <w:rPr>
          <w:lang w:val="es-ES_tradnl"/>
        </w:rPr>
        <w:t xml:space="preserve">. </w:t>
      </w:r>
      <w:r w:rsidR="00894C3D" w:rsidRPr="00F420BB">
        <w:rPr>
          <w:lang w:val="es-ES_tradnl"/>
        </w:rPr>
        <w:t xml:space="preserve">El nuevo </w:t>
      </w:r>
      <w:r w:rsidR="009E7D36" w:rsidRPr="00F420BB">
        <w:rPr>
          <w:lang w:val="es-ES_tradnl"/>
        </w:rPr>
        <w:t xml:space="preserve">Sistema Integral </w:t>
      </w:r>
      <w:r w:rsidR="004350C9" w:rsidRPr="00F420BB">
        <w:rPr>
          <w:lang w:val="es-ES_tradnl"/>
        </w:rPr>
        <w:t xml:space="preserve">también </w:t>
      </w:r>
      <w:r w:rsidR="00894C3D" w:rsidRPr="00F420BB">
        <w:rPr>
          <w:lang w:val="es-ES_tradnl"/>
        </w:rPr>
        <w:t xml:space="preserve">deberá </w:t>
      </w:r>
      <w:r w:rsidR="004350C9" w:rsidRPr="00F420BB">
        <w:rPr>
          <w:lang w:val="es-ES_tradnl"/>
        </w:rPr>
        <w:t xml:space="preserve">permitir el </w:t>
      </w:r>
      <w:r w:rsidR="004E01BB" w:rsidRPr="00F420BB">
        <w:rPr>
          <w:lang w:val="es-ES_tradnl"/>
        </w:rPr>
        <w:t>cumplimento</w:t>
      </w:r>
      <w:r w:rsidR="004350C9" w:rsidRPr="00F420BB">
        <w:rPr>
          <w:lang w:val="es-ES_tradnl"/>
        </w:rPr>
        <w:t xml:space="preserve"> de </w:t>
      </w:r>
      <w:r w:rsidR="009169CF" w:rsidRPr="00F420BB">
        <w:rPr>
          <w:lang w:val="es-ES_tradnl"/>
        </w:rPr>
        <w:t xml:space="preserve">objetivos estratégicos de expansión hacia </w:t>
      </w:r>
      <w:r w:rsidR="009549D0" w:rsidRPr="00F420BB">
        <w:rPr>
          <w:lang w:val="es-ES_tradnl"/>
        </w:rPr>
        <w:t xml:space="preserve">dependencias descentralizadas y los Poderes Legislativo y Judicial, </w:t>
      </w:r>
      <w:r w:rsidR="009E7D36" w:rsidRPr="00F420BB">
        <w:rPr>
          <w:lang w:val="es-ES_tradnl"/>
        </w:rPr>
        <w:t xml:space="preserve">con </w:t>
      </w:r>
      <w:r w:rsidR="009549D0" w:rsidRPr="00F420BB">
        <w:rPr>
          <w:lang w:val="es-ES_tradnl"/>
        </w:rPr>
        <w:t>escalabilidad y adaptabilidad (ampliamente configurable), por medio de un diseño apropiado y uso de tecnologías adecuadas.</w:t>
      </w:r>
    </w:p>
    <w:p w:rsidR="001359F9" w:rsidRPr="00F420BB" w:rsidRDefault="00CD4613" w:rsidP="004A277D">
      <w:pPr>
        <w:pStyle w:val="subpar"/>
        <w:rPr>
          <w:lang w:val="es-ES_tradnl"/>
        </w:rPr>
      </w:pPr>
      <w:r w:rsidRPr="00F420BB">
        <w:rPr>
          <w:lang w:val="es-ES_tradnl"/>
        </w:rPr>
        <w:t>RE</w:t>
      </w:r>
      <w:r w:rsidR="001D4669" w:rsidRPr="00F420BB">
        <w:rPr>
          <w:lang w:val="es-ES_tradnl"/>
        </w:rPr>
        <w:t>BA</w:t>
      </w:r>
      <w:r w:rsidRPr="00F420BB">
        <w:rPr>
          <w:lang w:val="es-ES_tradnl"/>
        </w:rPr>
        <w:t xml:space="preserve">: </w:t>
      </w:r>
      <w:r w:rsidR="00604F09" w:rsidRPr="00F420BB">
        <w:rPr>
          <w:lang w:val="es-ES_tradnl"/>
        </w:rPr>
        <w:t>E</w:t>
      </w:r>
      <w:r w:rsidR="00EB5E90" w:rsidRPr="00F420BB">
        <w:rPr>
          <w:lang w:val="es-ES_tradnl"/>
        </w:rPr>
        <w:t xml:space="preserve">l Gobierno del Estado de Yucatán se encuentra en un proceso de modernización de su infraestructura de red y telecomunicaciones, lo que permitirá ampliar y mejorar los servicios </w:t>
      </w:r>
      <w:r w:rsidR="00EB5E90" w:rsidRPr="007420A9">
        <w:rPr>
          <w:lang w:val="es-ES_tradnl"/>
        </w:rPr>
        <w:t>electrónicos</w:t>
      </w:r>
      <w:r w:rsidR="007420A9" w:rsidRPr="007420A9">
        <w:rPr>
          <w:lang w:val="es-ES_tradnl"/>
        </w:rPr>
        <w:t xml:space="preserve"> </w:t>
      </w:r>
      <w:r w:rsidR="00EB5E90" w:rsidRPr="00F420BB">
        <w:rPr>
          <w:lang w:val="es-ES_tradnl"/>
        </w:rPr>
        <w:t xml:space="preserve">que hoy se ofrecen en las dependencias del Estado. </w:t>
      </w:r>
      <w:r w:rsidR="004A1A96" w:rsidRPr="00F420BB">
        <w:rPr>
          <w:lang w:val="es-ES_tradnl"/>
        </w:rPr>
        <w:t xml:space="preserve">Actualmente, parte de la población del Estado de Yucatán debe desplazarse largas distancias desde sus comunidades para llegar a sitios que cuenten con acceso a Internet, y así poder hacer trámites ciudadanos. Por otro lado, existen aplicaciones digitales en materia de educación, salud y gobierno, que son explotadas en forma local o en pequeñas redes gubernamentales, lo que limita la interoperabilidad entre las distintas instituciones y niveles de Gobierno. </w:t>
      </w:r>
      <w:r w:rsidR="00EB5E90" w:rsidRPr="00F420BB">
        <w:rPr>
          <w:lang w:val="es-ES_tradnl"/>
        </w:rPr>
        <w:t>Por tal motivo, se ha decidido crear una Red Estatal Privada Inalámbrica de Banda Ancha que explote las ventajas de la tecnología WiMax para ofrecer servicios de banda ancha con calidad de servicio a los usuarios de las diferentes oficinas de gobierno y dependencias distribuidas en todo el Estado</w:t>
      </w:r>
      <w:r w:rsidR="004A1A96" w:rsidRPr="00F420BB">
        <w:rPr>
          <w:lang w:val="es-ES_tradnl"/>
        </w:rPr>
        <w:t>.</w:t>
      </w:r>
      <w:r w:rsidR="00EB5E90" w:rsidRPr="00F420BB">
        <w:rPr>
          <w:lang w:val="es-ES_tradnl"/>
        </w:rPr>
        <w:t xml:space="preserve"> En su diseño la Red estatal permitirá proporcionar la integración de los ciento seis Municipios y el fácil acceso a servicios de gobiernos</w:t>
      </w:r>
      <w:r w:rsidR="00604F09" w:rsidRPr="00F420BB">
        <w:rPr>
          <w:lang w:val="es-ES_tradnl"/>
        </w:rPr>
        <w:t>, salud, educación y seguridad</w:t>
      </w:r>
      <w:r w:rsidR="00EB5E90" w:rsidRPr="00F420BB">
        <w:rPr>
          <w:lang w:val="es-ES_tradnl"/>
        </w:rPr>
        <w:t xml:space="preserve">, </w:t>
      </w:r>
      <w:r w:rsidR="0038039A" w:rsidRPr="00F420BB">
        <w:rPr>
          <w:lang w:val="es-ES_tradnl"/>
        </w:rPr>
        <w:t xml:space="preserve">con interconexión a internet </w:t>
      </w:r>
      <w:r w:rsidR="00EB5E90" w:rsidRPr="00F420BB">
        <w:rPr>
          <w:lang w:val="es-ES_tradnl"/>
        </w:rPr>
        <w:t xml:space="preserve">para brindar esos servicios públicos a la mayor parte de la población que actualmente no tienen acceso a él, disminuyendo la brecha digital y aumentando la interoperabilidad entre las distintas instituciones y niveles del Gobierno. </w:t>
      </w:r>
    </w:p>
    <w:p w:rsidR="00F420BB" w:rsidRPr="00665F01" w:rsidRDefault="00763BF9" w:rsidP="00D070E0">
      <w:pPr>
        <w:pStyle w:val="FirstHeading"/>
        <w:rPr>
          <w:lang w:val="es-ES_tradnl"/>
        </w:rPr>
      </w:pPr>
      <w:r>
        <w:rPr>
          <w:lang w:val="es-ES_tradnl"/>
        </w:rPr>
        <w:fldChar w:fldCharType="begin"/>
      </w:r>
      <w:r w:rsidR="00D070E0">
        <w:rPr>
          <w:lang w:val="es-ES_tradnl"/>
        </w:rPr>
        <w:instrText xml:space="preserve"> SEQ "</w:instrText>
      </w:r>
      <w:fldSimple w:instr=" SECTION  \* MERGEFORMAT ">
        <w:r w:rsidR="00D070E0">
          <w:rPr>
            <w:lang w:val="es-ES_tradnl"/>
          </w:rPr>
          <w:instrText>1</w:instrText>
        </w:r>
      </w:fldSimple>
      <w:r w:rsidR="00D070E0">
        <w:rPr>
          <w:lang w:val="es-ES_tradnl"/>
        </w:rPr>
        <w:instrText xml:space="preserve">#"\* ALPHABETIC \* MERGEFORMAT </w:instrText>
      </w:r>
      <w:r>
        <w:rPr>
          <w:lang w:val="es-ES_tradnl"/>
        </w:rPr>
        <w:fldChar w:fldCharType="separate"/>
      </w:r>
      <w:r w:rsidR="00D070E0">
        <w:rPr>
          <w:noProof/>
          <w:lang w:val="es-ES_tradnl"/>
        </w:rPr>
        <w:t>C</w:t>
      </w:r>
      <w:r>
        <w:rPr>
          <w:lang w:val="es-ES_tradnl"/>
        </w:rPr>
        <w:fldChar w:fldCharType="end"/>
      </w:r>
      <w:r w:rsidR="00D070E0">
        <w:rPr>
          <w:lang w:val="es-ES_tradnl"/>
        </w:rPr>
        <w:t>.</w:t>
      </w:r>
      <w:r w:rsidR="00D070E0">
        <w:rPr>
          <w:lang w:val="es-ES_tradnl"/>
        </w:rPr>
        <w:tab/>
      </w:r>
      <w:r w:rsidR="00F420BB">
        <w:rPr>
          <w:lang w:val="es-ES_tradnl"/>
        </w:rPr>
        <w:t>Objetivos</w:t>
      </w:r>
    </w:p>
    <w:p w:rsidR="001359F9" w:rsidRPr="00F420BB" w:rsidRDefault="00E358AA" w:rsidP="00F420BB">
      <w:pPr>
        <w:pStyle w:val="Paragraph"/>
        <w:tabs>
          <w:tab w:val="clear" w:pos="1728"/>
          <w:tab w:val="num" w:pos="720"/>
        </w:tabs>
        <w:ind w:left="720" w:hanging="720"/>
        <w:rPr>
          <w:lang w:val="es-ES_tradnl"/>
        </w:rPr>
      </w:pPr>
      <w:r w:rsidRPr="00F420BB">
        <w:rPr>
          <w:lang w:val="es-ES_tradnl"/>
        </w:rPr>
        <w:t>El componente Agenda Digital</w:t>
      </w:r>
      <w:r w:rsidR="001375ED">
        <w:rPr>
          <w:lang w:val="es-ES_tradnl"/>
        </w:rPr>
        <w:t xml:space="preserve"> </w:t>
      </w:r>
      <w:r w:rsidR="00E36214" w:rsidRPr="00F420BB">
        <w:rPr>
          <w:lang w:val="es-ES_tradnl"/>
        </w:rPr>
        <w:t xml:space="preserve">tiene </w:t>
      </w:r>
      <w:r w:rsidR="001375ED">
        <w:rPr>
          <w:lang w:val="es-ES_tradnl"/>
        </w:rPr>
        <w:t>l</w:t>
      </w:r>
      <w:r w:rsidR="001359F9" w:rsidRPr="00F420BB">
        <w:rPr>
          <w:lang w:val="es-ES_tradnl"/>
        </w:rPr>
        <w:t xml:space="preserve">os </w:t>
      </w:r>
      <w:r w:rsidR="00B6651D" w:rsidRPr="00F420BB">
        <w:rPr>
          <w:lang w:val="es-ES_tradnl"/>
        </w:rPr>
        <w:t xml:space="preserve">siguiente </w:t>
      </w:r>
      <w:r w:rsidR="001359F9" w:rsidRPr="00F420BB">
        <w:rPr>
          <w:lang w:val="es-ES_tradnl"/>
        </w:rPr>
        <w:t>objetivos</w:t>
      </w:r>
      <w:r w:rsidR="007420A9">
        <w:rPr>
          <w:lang w:val="es-ES_tradnl"/>
        </w:rPr>
        <w:t xml:space="preserve"> en sus dos subcomponentes:</w:t>
      </w:r>
    </w:p>
    <w:p w:rsidR="00E36214" w:rsidRPr="00F420BB" w:rsidRDefault="001375ED" w:rsidP="00C92F32">
      <w:pPr>
        <w:pStyle w:val="subpar"/>
        <w:rPr>
          <w:lang w:val="es-ES_tradnl"/>
        </w:rPr>
      </w:pPr>
      <w:r w:rsidRPr="001375ED">
        <w:rPr>
          <w:b/>
          <w:lang w:val="es-ES_tradnl"/>
        </w:rPr>
        <w:t>Subcomponente</w:t>
      </w:r>
      <w:r w:rsidR="00402B28">
        <w:rPr>
          <w:b/>
          <w:lang w:val="es-ES_tradnl"/>
        </w:rPr>
        <w:t xml:space="preserve"> 1.</w:t>
      </w:r>
      <w:r w:rsidRPr="001375ED">
        <w:rPr>
          <w:b/>
          <w:lang w:val="es-ES_tradnl"/>
        </w:rPr>
        <w:t xml:space="preserve"> SIAF</w:t>
      </w:r>
      <w:r>
        <w:rPr>
          <w:lang w:val="es-ES_tradnl"/>
        </w:rPr>
        <w:t xml:space="preserve">: </w:t>
      </w:r>
      <w:r w:rsidR="001359F9" w:rsidRPr="00F420BB">
        <w:rPr>
          <w:lang w:val="es-ES_tradnl"/>
        </w:rPr>
        <w:t>I</w:t>
      </w:r>
      <w:r w:rsidR="00E36214" w:rsidRPr="00F420BB">
        <w:rPr>
          <w:lang w:val="es-ES_tradnl"/>
        </w:rPr>
        <w:t>mplementar un Sistema de Información I</w:t>
      </w:r>
      <w:r w:rsidR="00565B26" w:rsidRPr="00F420BB">
        <w:rPr>
          <w:lang w:val="es-ES_tradnl"/>
        </w:rPr>
        <w:t>ntegrado</w:t>
      </w:r>
      <w:r w:rsidR="00E36214" w:rsidRPr="00F420BB">
        <w:rPr>
          <w:lang w:val="es-ES_tradnl"/>
        </w:rPr>
        <w:t xml:space="preserve"> </w:t>
      </w:r>
      <w:r w:rsidR="004D4D0C" w:rsidRPr="00F420BB">
        <w:rPr>
          <w:lang w:val="es-ES_tradnl"/>
        </w:rPr>
        <w:t xml:space="preserve">de Administración Financiera y Presupuestaria </w:t>
      </w:r>
      <w:r w:rsidR="00E36214" w:rsidRPr="00F420BB">
        <w:rPr>
          <w:lang w:val="es-ES_tradnl"/>
        </w:rPr>
        <w:t>que mejorará la instrumentación de los procesos de gestión financiera actualmente vigentes</w:t>
      </w:r>
      <w:r w:rsidR="00565B26" w:rsidRPr="00F420BB">
        <w:rPr>
          <w:lang w:val="es-ES_tradnl"/>
        </w:rPr>
        <w:t xml:space="preserve"> en el Estado de Yucatán</w:t>
      </w:r>
      <w:r w:rsidR="00E36214" w:rsidRPr="00F420BB">
        <w:rPr>
          <w:lang w:val="es-ES_tradnl"/>
        </w:rPr>
        <w:t>, en acuerdo con los requisitos de la Ley General de Contabilidad Gubernamental, de forma integrada, con la calidad y oportunidad de la información disponible y optimizando la capacidad de toma de decisiones de los gestores públicos. Además, por sus características de escalabilidad y facilidad de configuración, permitirá que alcance las dependencias descentralizadas y los Poderes Legislativo y Judicial.</w:t>
      </w:r>
    </w:p>
    <w:p w:rsidR="001359F9" w:rsidRPr="00F420BB" w:rsidRDefault="001375ED" w:rsidP="00C92F32">
      <w:pPr>
        <w:pStyle w:val="subpar"/>
        <w:rPr>
          <w:lang w:val="es-ES_tradnl"/>
        </w:rPr>
      </w:pPr>
      <w:r w:rsidRPr="001375ED">
        <w:rPr>
          <w:b/>
          <w:lang w:val="es-ES_tradnl"/>
        </w:rPr>
        <w:t>Subcomponente REBA</w:t>
      </w:r>
      <w:r>
        <w:rPr>
          <w:lang w:val="es-ES_tradnl"/>
        </w:rPr>
        <w:t xml:space="preserve">: </w:t>
      </w:r>
      <w:r w:rsidR="00DD4D56" w:rsidRPr="00F420BB">
        <w:rPr>
          <w:lang w:val="es-ES_tradnl"/>
        </w:rPr>
        <w:t xml:space="preserve">Crear </w:t>
      </w:r>
      <w:r w:rsidR="00557A2F" w:rsidRPr="00F420BB">
        <w:rPr>
          <w:lang w:val="es-ES_tradnl"/>
        </w:rPr>
        <w:t>una Red Estatal de Banda A</w:t>
      </w:r>
      <w:r w:rsidR="001359F9" w:rsidRPr="00F420BB">
        <w:rPr>
          <w:lang w:val="es-ES_tradnl"/>
        </w:rPr>
        <w:t xml:space="preserve">ncha, que interconecte a las oficinas y dependencias gubernamentales ubicadas en 106 municipios, a través de la cual se distribuirán y compartirán servicios públicos digitales en los ámbitos de educación, salud, gobierno y seguridad, y que permitan brindar </w:t>
      </w:r>
      <w:r w:rsidR="00557A2F" w:rsidRPr="00F420BB">
        <w:rPr>
          <w:lang w:val="es-ES_tradnl"/>
        </w:rPr>
        <w:t xml:space="preserve">el </w:t>
      </w:r>
      <w:r w:rsidR="001359F9" w:rsidRPr="00F420BB">
        <w:rPr>
          <w:lang w:val="es-ES_tradnl"/>
        </w:rPr>
        <w:t>acceso a Internet a través de la Red.</w:t>
      </w:r>
    </w:p>
    <w:p w:rsidR="00982C22" w:rsidRPr="00E36214" w:rsidRDefault="00982C22" w:rsidP="002B4F0A">
      <w:pPr>
        <w:jc w:val="both"/>
        <w:rPr>
          <w:rFonts w:ascii="Times New Roman" w:hAnsi="Times New Roman"/>
          <w:sz w:val="24"/>
          <w:szCs w:val="24"/>
          <w:lang w:val="es-ES_tradnl"/>
        </w:rPr>
      </w:pPr>
    </w:p>
    <w:p w:rsidR="00982C22" w:rsidRPr="00F420BB" w:rsidRDefault="00763BF9" w:rsidP="00D070E0">
      <w:pPr>
        <w:pStyle w:val="FirstHeading"/>
        <w:rPr>
          <w:lang w:val="es-ES_tradnl"/>
        </w:rPr>
      </w:pPr>
      <w:r>
        <w:rPr>
          <w:lang w:val="es-ES_tradnl"/>
        </w:rPr>
        <w:fldChar w:fldCharType="begin"/>
      </w:r>
      <w:r w:rsidR="00D070E0">
        <w:rPr>
          <w:lang w:val="es-ES_tradnl"/>
        </w:rPr>
        <w:instrText xml:space="preserve"> SEQ "</w:instrText>
      </w:r>
      <w:fldSimple w:instr=" SECTION  \* MERGEFORMAT ">
        <w:r w:rsidR="00D070E0">
          <w:rPr>
            <w:lang w:val="es-ES_tradnl"/>
          </w:rPr>
          <w:instrText>1</w:instrText>
        </w:r>
      </w:fldSimple>
      <w:r w:rsidR="00D070E0">
        <w:rPr>
          <w:lang w:val="es-ES_tradnl"/>
        </w:rPr>
        <w:instrText xml:space="preserve">#"\* ALPHABETIC \* MERGEFORMAT </w:instrText>
      </w:r>
      <w:r>
        <w:rPr>
          <w:lang w:val="es-ES_tradnl"/>
        </w:rPr>
        <w:fldChar w:fldCharType="separate"/>
      </w:r>
      <w:r w:rsidR="00D070E0">
        <w:rPr>
          <w:noProof/>
          <w:lang w:val="es-ES_tradnl"/>
        </w:rPr>
        <w:t>D</w:t>
      </w:r>
      <w:r>
        <w:rPr>
          <w:lang w:val="es-ES_tradnl"/>
        </w:rPr>
        <w:fldChar w:fldCharType="end"/>
      </w:r>
      <w:r w:rsidR="00D070E0">
        <w:rPr>
          <w:lang w:val="es-ES_tradnl"/>
        </w:rPr>
        <w:t>.</w:t>
      </w:r>
      <w:r w:rsidR="00D070E0">
        <w:rPr>
          <w:lang w:val="es-ES_tradnl"/>
        </w:rPr>
        <w:tab/>
      </w:r>
      <w:r w:rsidR="00F420BB">
        <w:rPr>
          <w:lang w:val="es-ES_tradnl"/>
        </w:rPr>
        <w:t>Componentes y actividades</w:t>
      </w:r>
    </w:p>
    <w:p w:rsidR="00624880" w:rsidRPr="00624880" w:rsidRDefault="00C92F32" w:rsidP="00C92F32">
      <w:pPr>
        <w:pStyle w:val="subpar"/>
        <w:numPr>
          <w:ilvl w:val="0"/>
          <w:numId w:val="0"/>
        </w:numPr>
        <w:ind w:left="1152"/>
        <w:rPr>
          <w:b/>
          <w:lang w:val="es-ES_tradnl"/>
        </w:rPr>
      </w:pPr>
      <w:r>
        <w:rPr>
          <w:b/>
          <w:lang w:val="es-ES_tradnl"/>
        </w:rPr>
        <w:t xml:space="preserve">a. </w:t>
      </w:r>
      <w:r w:rsidR="00624880" w:rsidRPr="00624880">
        <w:rPr>
          <w:b/>
          <w:lang w:val="es-ES_tradnl"/>
        </w:rPr>
        <w:t>Subcomponente 1. SIAF: Sistema Integrado de Administración Financiera y Presupuestaria (US$ 10.2 millones</w:t>
      </w:r>
      <w:r w:rsidR="00624880">
        <w:rPr>
          <w:b/>
          <w:lang w:val="es-ES_tradnl"/>
        </w:rPr>
        <w:t>)</w:t>
      </w:r>
    </w:p>
    <w:p w:rsidR="004E3867" w:rsidRPr="00624880" w:rsidRDefault="004F0DE9" w:rsidP="00624880">
      <w:pPr>
        <w:pStyle w:val="Paragraph"/>
        <w:tabs>
          <w:tab w:val="clear" w:pos="1728"/>
          <w:tab w:val="num" w:pos="720"/>
        </w:tabs>
        <w:ind w:left="720" w:hanging="720"/>
        <w:rPr>
          <w:lang w:val="es-ES_tradnl"/>
        </w:rPr>
      </w:pPr>
      <w:r w:rsidRPr="00624880">
        <w:rPr>
          <w:lang w:val="es-ES_tradnl"/>
        </w:rPr>
        <w:t xml:space="preserve">Para </w:t>
      </w:r>
      <w:r w:rsidR="00DB78EA">
        <w:rPr>
          <w:lang w:val="es-ES_tradnl"/>
        </w:rPr>
        <w:t>la ejecución d</w:t>
      </w:r>
      <w:r w:rsidRPr="00624880">
        <w:rPr>
          <w:lang w:val="es-ES_tradnl"/>
        </w:rPr>
        <w:t>el subcomponente SIAF será necesaria la contratación de una empresa que provee el sistema especializado (GRP</w:t>
      </w:r>
      <w:r w:rsidR="00457C56" w:rsidRPr="00624880">
        <w:rPr>
          <w:vertAlign w:val="superscript"/>
          <w:lang w:val="es-ES_tradnl"/>
        </w:rPr>
        <w:footnoteReference w:id="1"/>
      </w:r>
      <w:r w:rsidR="008042B0">
        <w:rPr>
          <w:lang w:val="es-ES_tradnl"/>
        </w:rPr>
        <w:t>)</w:t>
      </w:r>
      <w:r w:rsidR="00FC2F15" w:rsidRPr="00624880">
        <w:rPr>
          <w:lang w:val="es-ES_tradnl"/>
        </w:rPr>
        <w:t xml:space="preserve"> y </w:t>
      </w:r>
      <w:r w:rsidRPr="00624880">
        <w:rPr>
          <w:lang w:val="es-ES_tradnl"/>
        </w:rPr>
        <w:t>consultores para su configuración y ampliación como base del desarrollo para el sistema</w:t>
      </w:r>
      <w:r w:rsidR="00FC2F15" w:rsidRPr="00624880">
        <w:rPr>
          <w:lang w:val="es-ES_tradnl"/>
        </w:rPr>
        <w:t xml:space="preserve">. </w:t>
      </w:r>
      <w:r w:rsidRPr="00624880">
        <w:rPr>
          <w:lang w:val="es-ES_tradnl"/>
        </w:rPr>
        <w:t>La solución</w:t>
      </w:r>
      <w:r w:rsidR="008042B0">
        <w:rPr>
          <w:lang w:val="es-ES_tradnl"/>
        </w:rPr>
        <w:t xml:space="preserve"> </w:t>
      </w:r>
      <w:r w:rsidR="00423863" w:rsidRPr="00624880">
        <w:rPr>
          <w:lang w:val="es-ES_tradnl"/>
        </w:rPr>
        <w:t xml:space="preserve">SIAFyP </w:t>
      </w:r>
      <w:r w:rsidRPr="00624880">
        <w:rPr>
          <w:lang w:val="es-ES_tradnl"/>
        </w:rPr>
        <w:t xml:space="preserve">tendrá los siguientes módulos </w:t>
      </w:r>
      <w:r w:rsidR="00237AB8" w:rsidRPr="00624880">
        <w:rPr>
          <w:lang w:val="es-ES_tradnl"/>
        </w:rPr>
        <w:t>i) Financieros (Ingresos, Egresos, Contabilidad, Control presupuestal, Planeación, evaluación, seguimiento (incluye evaluación de   indicadores); ii) Administración de personal (Recursos Humanos, Nómina, Control de asistencia), iii) Inventarios y adquisiciones (Compras, Administración de proveedores, Control patrimonial).</w:t>
      </w:r>
      <w:r w:rsidR="00423863" w:rsidRPr="00624880">
        <w:rPr>
          <w:lang w:val="es-ES_tradnl"/>
        </w:rPr>
        <w:t xml:space="preserve"> </w:t>
      </w:r>
      <w:r w:rsidR="00B73015" w:rsidRPr="00117F08">
        <w:rPr>
          <w:lang w:val="es-ES_tradnl"/>
        </w:rPr>
        <w:t>El nuevo SIAFyP será desarrollado previéndose la migración e incorporación del sistema actual</w:t>
      </w:r>
      <w:r w:rsidR="008F2F89">
        <w:rPr>
          <w:rStyle w:val="FootnoteReference"/>
          <w:lang w:val="es-ES_tradnl"/>
        </w:rPr>
        <w:footnoteReference w:id="2"/>
      </w:r>
      <w:r w:rsidR="00B73015" w:rsidRPr="00117F08">
        <w:rPr>
          <w:lang w:val="es-ES_tradnl"/>
        </w:rPr>
        <w:t>.</w:t>
      </w:r>
    </w:p>
    <w:p w:rsidR="007F777C" w:rsidRPr="00117F08" w:rsidRDefault="00624880" w:rsidP="00117F08">
      <w:pPr>
        <w:pStyle w:val="Paragraph"/>
        <w:tabs>
          <w:tab w:val="clear" w:pos="1728"/>
          <w:tab w:val="num" w:pos="720"/>
        </w:tabs>
        <w:ind w:left="720" w:hanging="720"/>
        <w:rPr>
          <w:lang w:val="es-ES_tradnl"/>
        </w:rPr>
      </w:pPr>
      <w:r>
        <w:rPr>
          <w:lang w:val="es-ES_tradnl"/>
        </w:rPr>
        <w:t>S</w:t>
      </w:r>
      <w:r w:rsidR="007F777C" w:rsidRPr="00117F08">
        <w:rPr>
          <w:lang w:val="es-ES_tradnl"/>
        </w:rPr>
        <w:t>e</w:t>
      </w:r>
      <w:r w:rsidR="00FC2F15" w:rsidRPr="00117F08">
        <w:rPr>
          <w:lang w:val="es-ES_tradnl"/>
        </w:rPr>
        <w:t xml:space="preserve">rán financiadas las siguientes actividades: i) </w:t>
      </w:r>
      <w:r w:rsidR="005E569F" w:rsidRPr="00117F08">
        <w:rPr>
          <w:lang w:val="es-ES_tradnl"/>
        </w:rPr>
        <w:t>adquisición</w:t>
      </w:r>
      <w:r w:rsidR="00ED1BD0" w:rsidRPr="00117F08">
        <w:rPr>
          <w:lang w:val="es-ES_tradnl"/>
        </w:rPr>
        <w:t xml:space="preserve">, adecuación </w:t>
      </w:r>
      <w:r w:rsidR="008B3DB1" w:rsidRPr="00117F08">
        <w:rPr>
          <w:lang w:val="es-ES_tradnl"/>
        </w:rPr>
        <w:t xml:space="preserve">y soporte técnico </w:t>
      </w:r>
      <w:r w:rsidR="00273656" w:rsidRPr="00117F08">
        <w:rPr>
          <w:lang w:val="es-ES_tradnl"/>
        </w:rPr>
        <w:t>de</w:t>
      </w:r>
      <w:r w:rsidR="004B3D88" w:rsidRPr="00117F08">
        <w:rPr>
          <w:lang w:val="es-ES_tradnl"/>
        </w:rPr>
        <w:t xml:space="preserve"> la solución </w:t>
      </w:r>
      <w:r w:rsidR="00ED1BD0" w:rsidRPr="00117F08">
        <w:rPr>
          <w:lang w:val="es-ES_tradnl"/>
        </w:rPr>
        <w:t>informática (</w:t>
      </w:r>
      <w:r w:rsidR="005E569F" w:rsidRPr="00117F08">
        <w:rPr>
          <w:lang w:val="es-ES_tradnl"/>
        </w:rPr>
        <w:t>S</w:t>
      </w:r>
      <w:r w:rsidR="00273656" w:rsidRPr="00117F08">
        <w:rPr>
          <w:lang w:val="es-ES_tradnl"/>
        </w:rPr>
        <w:t>IAF</w:t>
      </w:r>
      <w:r w:rsidR="00ED1BD0" w:rsidRPr="00117F08">
        <w:rPr>
          <w:lang w:val="es-ES_tradnl"/>
        </w:rPr>
        <w:t>yP)</w:t>
      </w:r>
      <w:r w:rsidR="00FC2F15" w:rsidRPr="00117F08">
        <w:rPr>
          <w:lang w:val="es-ES_tradnl"/>
        </w:rPr>
        <w:t>; ii) contratación de equipo de gestión de proyecto, iii) licenciamientos de banco de datos; iv) adquisición de equipos informáticos</w:t>
      </w:r>
      <w:r w:rsidR="00ED1BD0" w:rsidRPr="00117F08">
        <w:rPr>
          <w:lang w:val="es-ES_tradnl"/>
        </w:rPr>
        <w:t xml:space="preserve"> (servidores y PCs)</w:t>
      </w:r>
      <w:r w:rsidR="00FC2F15" w:rsidRPr="00117F08">
        <w:rPr>
          <w:lang w:val="es-ES_tradnl"/>
        </w:rPr>
        <w:t xml:space="preserve">, v) </w:t>
      </w:r>
      <w:r w:rsidR="00F822E5" w:rsidRPr="00117F08">
        <w:rPr>
          <w:lang w:val="es-ES_tradnl"/>
        </w:rPr>
        <w:t>capacitación</w:t>
      </w:r>
      <w:r w:rsidR="00400B90" w:rsidRPr="00117F08">
        <w:rPr>
          <w:lang w:val="es-ES_tradnl"/>
        </w:rPr>
        <w:t xml:space="preserve"> </w:t>
      </w:r>
      <w:r w:rsidR="00FC2F15" w:rsidRPr="00117F08">
        <w:rPr>
          <w:lang w:val="es-ES_tradnl"/>
        </w:rPr>
        <w:t xml:space="preserve">de </w:t>
      </w:r>
      <w:r w:rsidR="00400B90" w:rsidRPr="00117F08">
        <w:rPr>
          <w:lang w:val="es-ES_tradnl"/>
        </w:rPr>
        <w:t>usuarios y técnicos informá</w:t>
      </w:r>
      <w:r w:rsidR="004E01BB" w:rsidRPr="00117F08">
        <w:rPr>
          <w:lang w:val="es-ES_tradnl"/>
        </w:rPr>
        <w:t>ticos</w:t>
      </w:r>
      <w:r w:rsidR="00273656" w:rsidRPr="00117F08">
        <w:rPr>
          <w:lang w:val="es-ES_tradnl"/>
        </w:rPr>
        <w:t xml:space="preserve">, </w:t>
      </w:r>
      <w:r w:rsidR="00514B23" w:rsidRPr="00117F08">
        <w:rPr>
          <w:lang w:val="es-ES_tradnl"/>
        </w:rPr>
        <w:t>v</w:t>
      </w:r>
      <w:r w:rsidR="00003DB2" w:rsidRPr="00117F08">
        <w:rPr>
          <w:lang w:val="es-ES_tradnl"/>
        </w:rPr>
        <w:t xml:space="preserve">i) consultorías de </w:t>
      </w:r>
      <w:r w:rsidR="00B77C0A" w:rsidRPr="00117F08">
        <w:rPr>
          <w:lang w:val="es-ES_tradnl"/>
        </w:rPr>
        <w:t xml:space="preserve">apoyo para </w:t>
      </w:r>
      <w:r w:rsidR="002A6CEA" w:rsidRPr="00117F08">
        <w:rPr>
          <w:lang w:val="es-ES_tradnl"/>
        </w:rPr>
        <w:t>especificación</w:t>
      </w:r>
      <w:r w:rsidR="00003DB2" w:rsidRPr="00117F08">
        <w:rPr>
          <w:lang w:val="es-ES_tradnl"/>
        </w:rPr>
        <w:t xml:space="preserve"> de requisitos, </w:t>
      </w:r>
      <w:r w:rsidR="00B77C0A" w:rsidRPr="00117F08">
        <w:rPr>
          <w:lang w:val="es-ES_tradnl"/>
        </w:rPr>
        <w:t xml:space="preserve">así como </w:t>
      </w:r>
      <w:r w:rsidR="00003DB2" w:rsidRPr="00117F08">
        <w:rPr>
          <w:lang w:val="es-ES_tradnl"/>
        </w:rPr>
        <w:t>fiscalización</w:t>
      </w:r>
      <w:r w:rsidR="00B77C0A" w:rsidRPr="00117F08">
        <w:rPr>
          <w:lang w:val="es-ES_tradnl"/>
        </w:rPr>
        <w:t xml:space="preserve"> y</w:t>
      </w:r>
      <w:r w:rsidR="00003DB2" w:rsidRPr="00117F08">
        <w:rPr>
          <w:lang w:val="es-ES_tradnl"/>
        </w:rPr>
        <w:t xml:space="preserve"> supervisión de la implementación</w:t>
      </w:r>
      <w:r w:rsidR="00514B23" w:rsidRPr="00117F08">
        <w:rPr>
          <w:lang w:val="es-ES_tradnl"/>
        </w:rPr>
        <w:t xml:space="preserve"> y vii) comunicación institucional.</w:t>
      </w:r>
      <w:r w:rsidR="00F87F1F" w:rsidRPr="00117F08">
        <w:rPr>
          <w:lang w:val="es-ES_tradnl"/>
        </w:rPr>
        <w:t xml:space="preserve"> </w:t>
      </w:r>
    </w:p>
    <w:p w:rsidR="00624880" w:rsidRPr="00624880" w:rsidRDefault="00624880" w:rsidP="00624880">
      <w:pPr>
        <w:pStyle w:val="subpar"/>
        <w:numPr>
          <w:ilvl w:val="0"/>
          <w:numId w:val="0"/>
        </w:numPr>
        <w:ind w:left="1152" w:hanging="432"/>
        <w:rPr>
          <w:b/>
          <w:lang w:val="es-ES_tradnl"/>
        </w:rPr>
      </w:pPr>
      <w:r>
        <w:rPr>
          <w:b/>
          <w:lang w:val="es-ES_tradnl"/>
        </w:rPr>
        <w:t>b. Subcomponente 2</w:t>
      </w:r>
      <w:r w:rsidRPr="00624880">
        <w:rPr>
          <w:b/>
          <w:lang w:val="es-ES_tradnl"/>
        </w:rPr>
        <w:t xml:space="preserve">. </w:t>
      </w:r>
      <w:r w:rsidR="004329F7">
        <w:rPr>
          <w:b/>
          <w:lang w:val="es-ES_tradnl"/>
        </w:rPr>
        <w:t>REBA:</w:t>
      </w:r>
      <w:r>
        <w:rPr>
          <w:b/>
          <w:lang w:val="es-ES_tradnl"/>
        </w:rPr>
        <w:t xml:space="preserve"> Red Estatal de Banda Ancha – Fase </w:t>
      </w:r>
      <w:r w:rsidR="00A41E53">
        <w:rPr>
          <w:b/>
          <w:lang w:val="es-ES_tradnl"/>
        </w:rPr>
        <w:t>I</w:t>
      </w:r>
      <w:r w:rsidRPr="00624880">
        <w:rPr>
          <w:b/>
          <w:lang w:val="es-ES_tradnl"/>
        </w:rPr>
        <w:t xml:space="preserve"> (US$ 1</w:t>
      </w:r>
      <w:r>
        <w:rPr>
          <w:b/>
          <w:lang w:val="es-ES_tradnl"/>
        </w:rPr>
        <w:t>2</w:t>
      </w:r>
      <w:r w:rsidRPr="00624880">
        <w:rPr>
          <w:b/>
          <w:lang w:val="es-ES_tradnl"/>
        </w:rPr>
        <w:t>.</w:t>
      </w:r>
      <w:r>
        <w:rPr>
          <w:b/>
          <w:lang w:val="es-ES_tradnl"/>
        </w:rPr>
        <w:t>4 millones)</w:t>
      </w:r>
    </w:p>
    <w:p w:rsidR="00624880" w:rsidRDefault="004F0DE9" w:rsidP="00624880">
      <w:pPr>
        <w:pStyle w:val="Paragraph"/>
        <w:tabs>
          <w:tab w:val="clear" w:pos="1728"/>
          <w:tab w:val="num" w:pos="720"/>
        </w:tabs>
        <w:ind w:left="720" w:hanging="720"/>
        <w:rPr>
          <w:lang w:val="es-ES_tradnl"/>
        </w:rPr>
      </w:pPr>
      <w:r w:rsidRPr="00117F08">
        <w:rPr>
          <w:lang w:val="es-ES_tradnl"/>
        </w:rPr>
        <w:t xml:space="preserve">Para el subcomponente REBA, la meta es llevar los servicios </w:t>
      </w:r>
      <w:r w:rsidR="00A44C00">
        <w:rPr>
          <w:lang w:val="es-ES_tradnl"/>
        </w:rPr>
        <w:t>públicos</w:t>
      </w:r>
      <w:r w:rsidR="00A45EC0">
        <w:rPr>
          <w:rStyle w:val="FootnoteReference"/>
          <w:lang w:val="es-ES_tradnl"/>
        </w:rPr>
        <w:footnoteReference w:id="3"/>
      </w:r>
      <w:r w:rsidR="00A45EC0">
        <w:rPr>
          <w:lang w:val="es-ES_tradnl"/>
        </w:rPr>
        <w:t xml:space="preserve"> </w:t>
      </w:r>
      <w:r w:rsidRPr="00117F08">
        <w:rPr>
          <w:lang w:val="es-ES_tradnl"/>
        </w:rPr>
        <w:t xml:space="preserve">de banda ancha a 2,200 sitios dispersos en 1,238 poblaciones de los 106 municipios que conforman el Estado. Para ello, se ha diseñado una red dorsal </w:t>
      </w:r>
      <w:r w:rsidR="00C0228F" w:rsidRPr="00117F08">
        <w:rPr>
          <w:lang w:val="es-ES_tradnl"/>
        </w:rPr>
        <w:t>(</w:t>
      </w:r>
      <w:r w:rsidR="00C0228F" w:rsidRPr="00A45EC0">
        <w:rPr>
          <w:i/>
          <w:lang w:val="es-ES_tradnl"/>
        </w:rPr>
        <w:t>backbone</w:t>
      </w:r>
      <w:r w:rsidR="00C0228F" w:rsidRPr="00117F08">
        <w:rPr>
          <w:lang w:val="es-ES_tradnl"/>
        </w:rPr>
        <w:t xml:space="preserve">) </w:t>
      </w:r>
      <w:r w:rsidRPr="00117F08">
        <w:rPr>
          <w:lang w:val="es-ES_tradnl"/>
        </w:rPr>
        <w:t xml:space="preserve">que consta de 20 nodos y un plan de ejecución en dos </w:t>
      </w:r>
      <w:r w:rsidR="0035214A" w:rsidRPr="00117F08">
        <w:rPr>
          <w:lang w:val="es-ES_tradnl"/>
        </w:rPr>
        <w:t>fases</w:t>
      </w:r>
      <w:r w:rsidR="00A41E53">
        <w:rPr>
          <w:lang w:val="es-ES_tradnl"/>
        </w:rPr>
        <w:t>. L</w:t>
      </w:r>
      <w:r w:rsidRPr="00117F08">
        <w:rPr>
          <w:lang w:val="es-ES_tradnl"/>
        </w:rPr>
        <w:t xml:space="preserve">a </w:t>
      </w:r>
      <w:r w:rsidR="00A41E53">
        <w:rPr>
          <w:lang w:val="es-ES_tradnl"/>
        </w:rPr>
        <w:t xml:space="preserve">implementación de la </w:t>
      </w:r>
      <w:r w:rsidR="00493AB9" w:rsidRPr="00117F08">
        <w:rPr>
          <w:lang w:val="es-ES_tradnl"/>
        </w:rPr>
        <w:t xml:space="preserve">Fase I </w:t>
      </w:r>
      <w:r w:rsidRPr="00117F08">
        <w:rPr>
          <w:lang w:val="es-ES_tradnl"/>
        </w:rPr>
        <w:t xml:space="preserve">se resume en la habilitación de 7 nodos de la red dorsal </w:t>
      </w:r>
      <w:r w:rsidR="0035214A" w:rsidRPr="00117F08">
        <w:rPr>
          <w:lang w:val="es-ES_tradnl"/>
        </w:rPr>
        <w:t xml:space="preserve">(aprovechándose las torres de C4 </w:t>
      </w:r>
      <w:r w:rsidRPr="00117F08">
        <w:rPr>
          <w:lang w:val="es-ES_tradnl"/>
        </w:rPr>
        <w:t>ya existentes</w:t>
      </w:r>
      <w:r w:rsidR="0035214A" w:rsidRPr="00117F08">
        <w:rPr>
          <w:lang w:val="es-ES_tradnl"/>
        </w:rPr>
        <w:t>)</w:t>
      </w:r>
      <w:r w:rsidRPr="00117F08">
        <w:rPr>
          <w:lang w:val="es-ES_tradnl"/>
        </w:rPr>
        <w:t xml:space="preserve"> </w:t>
      </w:r>
      <w:r w:rsidR="00015744" w:rsidRPr="00117F08">
        <w:rPr>
          <w:lang w:val="es-ES_tradnl"/>
        </w:rPr>
        <w:t xml:space="preserve">para </w:t>
      </w:r>
      <w:r w:rsidRPr="00117F08">
        <w:rPr>
          <w:lang w:val="es-ES_tradnl"/>
        </w:rPr>
        <w:t>conexión de 1</w:t>
      </w:r>
      <w:r w:rsidR="0055000A">
        <w:rPr>
          <w:lang w:val="es-ES_tradnl"/>
        </w:rPr>
        <w:t>.</w:t>
      </w:r>
      <w:r w:rsidRPr="00117F08">
        <w:rPr>
          <w:lang w:val="es-ES_tradnl"/>
        </w:rPr>
        <w:t>106 sitios (47 de gobierno, 893 de educación, 82 de salud y 84 de seguridad)</w:t>
      </w:r>
      <w:r w:rsidR="00D4474B">
        <w:rPr>
          <w:lang w:val="es-ES_tradnl"/>
        </w:rPr>
        <w:t>.</w:t>
      </w:r>
      <w:r w:rsidRPr="00117F08">
        <w:rPr>
          <w:lang w:val="es-ES_tradnl"/>
        </w:rPr>
        <w:t xml:space="preserve"> </w:t>
      </w:r>
      <w:r w:rsidR="00CD064D">
        <w:rPr>
          <w:lang w:val="es-ES_tradnl"/>
        </w:rPr>
        <w:t xml:space="preserve">En el futuro, </w:t>
      </w:r>
      <w:r w:rsidR="000B0AF0">
        <w:rPr>
          <w:lang w:val="es-ES_tradnl"/>
        </w:rPr>
        <w:t xml:space="preserve"> </w:t>
      </w:r>
      <w:r w:rsidR="0055000A">
        <w:rPr>
          <w:lang w:val="es-ES_tradnl"/>
        </w:rPr>
        <w:t xml:space="preserve">para </w:t>
      </w:r>
      <w:r w:rsidRPr="00117F08">
        <w:rPr>
          <w:lang w:val="es-ES_tradnl"/>
        </w:rPr>
        <w:t xml:space="preserve">la </w:t>
      </w:r>
      <w:r w:rsidR="00493AB9" w:rsidRPr="00117F08">
        <w:rPr>
          <w:lang w:val="es-ES_tradnl"/>
        </w:rPr>
        <w:t xml:space="preserve">Fase II </w:t>
      </w:r>
      <w:r w:rsidRPr="00117F08">
        <w:rPr>
          <w:lang w:val="es-ES_tradnl"/>
        </w:rPr>
        <w:t xml:space="preserve">se instalarán 13 nodos </w:t>
      </w:r>
      <w:r w:rsidR="00015744" w:rsidRPr="00117F08">
        <w:rPr>
          <w:lang w:val="es-ES_tradnl"/>
        </w:rPr>
        <w:t xml:space="preserve">adicionales </w:t>
      </w:r>
      <w:r w:rsidRPr="00117F08">
        <w:rPr>
          <w:lang w:val="es-ES_tradnl"/>
        </w:rPr>
        <w:t xml:space="preserve">de la red dorsal </w:t>
      </w:r>
      <w:r w:rsidR="00015744" w:rsidRPr="00117F08">
        <w:rPr>
          <w:lang w:val="es-ES_tradnl"/>
        </w:rPr>
        <w:t xml:space="preserve">para conectar </w:t>
      </w:r>
      <w:r w:rsidRPr="00117F08">
        <w:rPr>
          <w:lang w:val="es-ES_tradnl"/>
        </w:rPr>
        <w:t>los 1</w:t>
      </w:r>
      <w:r w:rsidR="0055000A">
        <w:rPr>
          <w:lang w:val="es-ES_tradnl"/>
        </w:rPr>
        <w:t>.</w:t>
      </w:r>
      <w:r w:rsidRPr="00117F08">
        <w:rPr>
          <w:lang w:val="es-ES_tradnl"/>
        </w:rPr>
        <w:t>114 sitios restantes</w:t>
      </w:r>
      <w:r w:rsidR="0035214A" w:rsidRPr="00117F08">
        <w:rPr>
          <w:lang w:val="es-ES_tradnl"/>
        </w:rPr>
        <w:t>, totalizando los 2</w:t>
      </w:r>
      <w:r w:rsidR="0055000A">
        <w:rPr>
          <w:lang w:val="es-ES_tradnl"/>
        </w:rPr>
        <w:t>.</w:t>
      </w:r>
      <w:r w:rsidR="0035214A" w:rsidRPr="00117F08">
        <w:rPr>
          <w:lang w:val="es-ES_tradnl"/>
        </w:rPr>
        <w:t>220 sitios (322 de gobierno, 1</w:t>
      </w:r>
      <w:r w:rsidR="0055000A">
        <w:rPr>
          <w:lang w:val="es-ES_tradnl"/>
        </w:rPr>
        <w:t>.</w:t>
      </w:r>
      <w:r w:rsidR="0035214A" w:rsidRPr="00117F08">
        <w:rPr>
          <w:lang w:val="es-ES_tradnl"/>
        </w:rPr>
        <w:t>466 de educación, 192 de salud y 240 de seguridad).</w:t>
      </w:r>
    </w:p>
    <w:p w:rsidR="00696F83" w:rsidRPr="00A45E5E" w:rsidRDefault="00015744" w:rsidP="00624880">
      <w:pPr>
        <w:pStyle w:val="Paragraph"/>
        <w:tabs>
          <w:tab w:val="clear" w:pos="1728"/>
          <w:tab w:val="num" w:pos="720"/>
        </w:tabs>
        <w:ind w:left="720" w:hanging="720"/>
        <w:rPr>
          <w:lang w:val="es-CO"/>
        </w:rPr>
      </w:pPr>
      <w:r w:rsidRPr="00117F08">
        <w:rPr>
          <w:lang w:val="es-ES_tradnl"/>
        </w:rPr>
        <w:t>En la Fase I se</w:t>
      </w:r>
      <w:r w:rsidR="00FC2F15" w:rsidRPr="00117F08">
        <w:rPr>
          <w:lang w:val="es-ES_tradnl"/>
        </w:rPr>
        <w:t xml:space="preserve">rán financiadas </w:t>
      </w:r>
      <w:r w:rsidRPr="00117F08">
        <w:rPr>
          <w:lang w:val="es-ES_tradnl"/>
        </w:rPr>
        <w:t xml:space="preserve">las siguientes actividades: i) adquisición de infraestructura para los nodos de la red dorsal y sitios, ii) contratación de enlaces de telecomunicaciones, instalación y configuración de la infraestructura y los enlaces contratados, iii) capacitación para la operación y monitoreo de la red, así como iv) contratación de consultorías </w:t>
      </w:r>
      <w:r w:rsidR="00C06521" w:rsidRPr="00117F08">
        <w:rPr>
          <w:lang w:val="es-ES_tradnl"/>
        </w:rPr>
        <w:t xml:space="preserve">de gerenciamiento y apoyo </w:t>
      </w:r>
      <w:r w:rsidR="00C0228F" w:rsidRPr="00117F08">
        <w:rPr>
          <w:lang w:val="es-ES_tradnl"/>
        </w:rPr>
        <w:t xml:space="preserve">que incluyen </w:t>
      </w:r>
      <w:r w:rsidRPr="00117F08">
        <w:rPr>
          <w:lang w:val="es-ES_tradnl"/>
        </w:rPr>
        <w:t>el estudio progresivo del ajuste al diseño de la red dorsal conforme el Gobierno provea las ubicaciones geográficas de los 13 nodos contemplados en la Fase II.</w:t>
      </w:r>
    </w:p>
    <w:p w:rsidR="00982C22" w:rsidRPr="00F420BB" w:rsidRDefault="00763BF9" w:rsidP="00D070E0">
      <w:pPr>
        <w:pStyle w:val="FirstHeading"/>
        <w:rPr>
          <w:lang w:val="es-ES_tradnl"/>
        </w:rPr>
      </w:pPr>
      <w:r>
        <w:rPr>
          <w:lang w:val="es-ES_tradnl"/>
        </w:rPr>
        <w:fldChar w:fldCharType="begin"/>
      </w:r>
      <w:r w:rsidR="00D070E0">
        <w:rPr>
          <w:lang w:val="es-ES_tradnl"/>
        </w:rPr>
        <w:instrText xml:space="preserve"> SEQ "</w:instrText>
      </w:r>
      <w:fldSimple w:instr=" SECTION  \* MERGEFORMAT ">
        <w:r w:rsidR="00D070E0">
          <w:rPr>
            <w:lang w:val="es-ES_tradnl"/>
          </w:rPr>
          <w:instrText>1</w:instrText>
        </w:r>
      </w:fldSimple>
      <w:r w:rsidR="00D070E0">
        <w:rPr>
          <w:lang w:val="es-ES_tradnl"/>
        </w:rPr>
        <w:instrText xml:space="preserve">#"\* ALPHABETIC \* MERGEFORMAT </w:instrText>
      </w:r>
      <w:r>
        <w:rPr>
          <w:lang w:val="es-ES_tradnl"/>
        </w:rPr>
        <w:fldChar w:fldCharType="separate"/>
      </w:r>
      <w:r w:rsidR="00D070E0">
        <w:rPr>
          <w:noProof/>
          <w:lang w:val="es-ES_tradnl"/>
        </w:rPr>
        <w:t>E</w:t>
      </w:r>
      <w:r>
        <w:rPr>
          <w:lang w:val="es-ES_tradnl"/>
        </w:rPr>
        <w:fldChar w:fldCharType="end"/>
      </w:r>
      <w:r w:rsidR="00D070E0">
        <w:rPr>
          <w:lang w:val="es-ES_tradnl"/>
        </w:rPr>
        <w:t>.</w:t>
      </w:r>
      <w:r w:rsidR="00D070E0">
        <w:rPr>
          <w:lang w:val="es-ES_tradnl"/>
        </w:rPr>
        <w:tab/>
      </w:r>
      <w:r w:rsidR="00982C22" w:rsidRPr="00F420BB">
        <w:rPr>
          <w:lang w:val="es-ES_tradnl"/>
        </w:rPr>
        <w:t>Resultados esperados y beneficiarios</w:t>
      </w:r>
    </w:p>
    <w:p w:rsidR="00FC189A" w:rsidRPr="00117F08" w:rsidRDefault="00F43175" w:rsidP="00117F08">
      <w:pPr>
        <w:pStyle w:val="Paragraph"/>
        <w:tabs>
          <w:tab w:val="clear" w:pos="1728"/>
          <w:tab w:val="num" w:pos="720"/>
        </w:tabs>
        <w:ind w:left="720" w:hanging="720"/>
        <w:rPr>
          <w:lang w:val="es-ES_tradnl"/>
        </w:rPr>
      </w:pPr>
      <w:r w:rsidRPr="00117F08">
        <w:rPr>
          <w:lang w:val="es-ES_tradnl"/>
        </w:rPr>
        <w:t>Con la implementación de</w:t>
      </w:r>
      <w:r w:rsidR="001D4669" w:rsidRPr="00117F08">
        <w:rPr>
          <w:lang w:val="es-ES_tradnl"/>
        </w:rPr>
        <w:t xml:space="preserve"> </w:t>
      </w:r>
      <w:r w:rsidRPr="00117F08">
        <w:rPr>
          <w:lang w:val="es-ES_tradnl"/>
        </w:rPr>
        <w:t>l</w:t>
      </w:r>
      <w:r w:rsidR="001D4669" w:rsidRPr="00117F08">
        <w:rPr>
          <w:lang w:val="es-ES_tradnl"/>
        </w:rPr>
        <w:t>a</w:t>
      </w:r>
      <w:r w:rsidRPr="00117F08">
        <w:rPr>
          <w:lang w:val="es-ES_tradnl"/>
        </w:rPr>
        <w:t xml:space="preserve"> </w:t>
      </w:r>
      <w:r w:rsidR="001D4669" w:rsidRPr="00117F08">
        <w:rPr>
          <w:lang w:val="es-ES_tradnl"/>
        </w:rPr>
        <w:t xml:space="preserve">solución </w:t>
      </w:r>
      <w:r w:rsidRPr="00117F08">
        <w:rPr>
          <w:lang w:val="es-ES_tradnl"/>
        </w:rPr>
        <w:t>SIAF</w:t>
      </w:r>
      <w:r w:rsidR="001D4669" w:rsidRPr="00117F08">
        <w:rPr>
          <w:lang w:val="es-ES_tradnl"/>
        </w:rPr>
        <w:t>yP</w:t>
      </w:r>
      <w:r w:rsidRPr="00117F08">
        <w:rPr>
          <w:lang w:val="es-ES_tradnl"/>
        </w:rPr>
        <w:t>, se espera una m</w:t>
      </w:r>
      <w:r w:rsidR="00FC189A" w:rsidRPr="00117F08">
        <w:rPr>
          <w:lang w:val="es-ES_tradnl"/>
        </w:rPr>
        <w:t xml:space="preserve">ejor calidad </w:t>
      </w:r>
      <w:r w:rsidR="0073462E" w:rsidRPr="00117F08">
        <w:rPr>
          <w:lang w:val="es-ES_tradnl"/>
        </w:rPr>
        <w:t xml:space="preserve">de las informaciones para la toma de </w:t>
      </w:r>
      <w:r w:rsidR="00FC189A" w:rsidRPr="00117F08">
        <w:rPr>
          <w:lang w:val="es-ES_tradnl"/>
        </w:rPr>
        <w:t>decisiones</w:t>
      </w:r>
      <w:r w:rsidRPr="00117F08">
        <w:rPr>
          <w:lang w:val="es-ES_tradnl"/>
        </w:rPr>
        <w:t>, un m</w:t>
      </w:r>
      <w:r w:rsidR="00DC7A89" w:rsidRPr="00117F08">
        <w:rPr>
          <w:lang w:val="es-ES_tradnl"/>
        </w:rPr>
        <w:t>ejor direccionamiento y transparencia del gasto público (gestión por resultados)</w:t>
      </w:r>
      <w:r w:rsidRPr="00117F08">
        <w:rPr>
          <w:lang w:val="es-ES_tradnl"/>
        </w:rPr>
        <w:t>, una c</w:t>
      </w:r>
      <w:r w:rsidR="00DC7A89" w:rsidRPr="00117F08">
        <w:rPr>
          <w:lang w:val="es-ES_tradnl"/>
        </w:rPr>
        <w:t>apacidad de a</w:t>
      </w:r>
      <w:r w:rsidR="00FC189A" w:rsidRPr="00117F08">
        <w:rPr>
          <w:lang w:val="es-ES_tradnl"/>
        </w:rPr>
        <w:t>mpliación del uso de</w:t>
      </w:r>
      <w:r w:rsidR="00DC7A89" w:rsidRPr="00117F08">
        <w:rPr>
          <w:lang w:val="es-ES_tradnl"/>
        </w:rPr>
        <w:t xml:space="preserve">l sistema </w:t>
      </w:r>
      <w:r w:rsidR="00FC189A" w:rsidRPr="00117F08">
        <w:rPr>
          <w:lang w:val="es-ES_tradnl"/>
        </w:rPr>
        <w:t>a todas las dependencias del P</w:t>
      </w:r>
      <w:r w:rsidRPr="00117F08">
        <w:rPr>
          <w:lang w:val="es-ES_tradnl"/>
        </w:rPr>
        <w:t>oder Ejecutivo y demás Poderes.</w:t>
      </w:r>
      <w:r w:rsidR="00752A37" w:rsidRPr="00117F08">
        <w:rPr>
          <w:lang w:val="es-ES_tradnl"/>
        </w:rPr>
        <w:t xml:space="preserve"> </w:t>
      </w:r>
      <w:r w:rsidR="000F1008" w:rsidRPr="00117F08">
        <w:rPr>
          <w:lang w:val="es-ES_tradnl"/>
        </w:rPr>
        <w:t xml:space="preserve">Los beneficiarios </w:t>
      </w:r>
      <w:r w:rsidR="00752A37" w:rsidRPr="00117F08">
        <w:rPr>
          <w:lang w:val="es-ES_tradnl"/>
        </w:rPr>
        <w:t xml:space="preserve">potenciales </w:t>
      </w:r>
      <w:r w:rsidR="000F1008" w:rsidRPr="00117F08">
        <w:rPr>
          <w:lang w:val="es-ES_tradnl"/>
        </w:rPr>
        <w:t>del proyecto de un Sistema Integrado de Administración Financiera serán el Estado de Yucatán y su</w:t>
      </w:r>
      <w:r w:rsidR="006B076D" w:rsidRPr="00117F08">
        <w:rPr>
          <w:lang w:val="es-ES_tradnl"/>
        </w:rPr>
        <w:t>s</w:t>
      </w:r>
      <w:r w:rsidR="00FC189A" w:rsidRPr="00117F08">
        <w:rPr>
          <w:lang w:val="es-ES_tradnl"/>
        </w:rPr>
        <w:t xml:space="preserve"> </w:t>
      </w:r>
      <w:r w:rsidR="000F1008" w:rsidRPr="00117F08">
        <w:rPr>
          <w:lang w:val="es-ES_tradnl"/>
        </w:rPr>
        <w:t>dependencias</w:t>
      </w:r>
      <w:r w:rsidR="00A45E5E" w:rsidRPr="00117F08">
        <w:rPr>
          <w:lang w:val="es-ES_tradnl"/>
        </w:rPr>
        <w:t xml:space="preserve">, </w:t>
      </w:r>
      <w:r w:rsidR="000F1008" w:rsidRPr="00117F08">
        <w:rPr>
          <w:lang w:val="es-ES_tradnl"/>
        </w:rPr>
        <w:t>que tendrán un sistema con informaci</w:t>
      </w:r>
      <w:r w:rsidR="006B076D" w:rsidRPr="00117F08">
        <w:rPr>
          <w:lang w:val="es-ES_tradnl"/>
        </w:rPr>
        <w:t>ones integradas, en tiempo real, mejorando la toma de decisiones, así como</w:t>
      </w:r>
      <w:r w:rsidR="00FC189A" w:rsidRPr="00117F08">
        <w:rPr>
          <w:lang w:val="es-ES_tradnl"/>
        </w:rPr>
        <w:t xml:space="preserve"> reflejos positivos para la sociedad en general en forma de mejor calidad y transparencia del gasto público.</w:t>
      </w:r>
      <w:r w:rsidR="006B076D" w:rsidRPr="00117F08">
        <w:rPr>
          <w:lang w:val="es-ES_tradnl"/>
        </w:rPr>
        <w:t xml:space="preserve"> Además, también los proyectos desarrollados por el Estado se beneficiarán de las informaciones integradas y oportunas, con mayor efectividad de la gestión financiera.</w:t>
      </w:r>
    </w:p>
    <w:p w:rsidR="0075752E" w:rsidRPr="00117F08" w:rsidRDefault="004F70B8" w:rsidP="00117F08">
      <w:pPr>
        <w:pStyle w:val="Paragraph"/>
        <w:tabs>
          <w:tab w:val="clear" w:pos="1728"/>
          <w:tab w:val="num" w:pos="720"/>
        </w:tabs>
        <w:ind w:left="720" w:hanging="720"/>
        <w:rPr>
          <w:lang w:val="es-ES_tradnl"/>
        </w:rPr>
      </w:pPr>
      <w:r w:rsidRPr="00117F08">
        <w:rPr>
          <w:lang w:val="es-ES_tradnl"/>
        </w:rPr>
        <w:t xml:space="preserve">Con </w:t>
      </w:r>
      <w:r w:rsidR="0075752E" w:rsidRPr="00117F08">
        <w:rPr>
          <w:lang w:val="es-ES_tradnl"/>
        </w:rPr>
        <w:t xml:space="preserve">la </w:t>
      </w:r>
      <w:r w:rsidRPr="00117F08">
        <w:rPr>
          <w:lang w:val="es-ES_tradnl"/>
        </w:rPr>
        <w:t xml:space="preserve">creación de la </w:t>
      </w:r>
      <w:r w:rsidR="0075752E" w:rsidRPr="00117F08">
        <w:rPr>
          <w:lang w:val="es-ES_tradnl"/>
        </w:rPr>
        <w:t xml:space="preserve">Red </w:t>
      </w:r>
      <w:r w:rsidRPr="00117F08">
        <w:rPr>
          <w:lang w:val="es-ES_tradnl"/>
        </w:rPr>
        <w:t xml:space="preserve">Estatal </w:t>
      </w:r>
      <w:r w:rsidR="0075752E" w:rsidRPr="00117F08">
        <w:rPr>
          <w:lang w:val="es-ES_tradnl"/>
        </w:rPr>
        <w:t xml:space="preserve">de Banda Ancha se espera que las oficinas y dependencias gubernamentales queden interconectadas mediante una red </w:t>
      </w:r>
      <w:r w:rsidR="00C420BA" w:rsidRPr="00117F08">
        <w:rPr>
          <w:lang w:val="es-ES_tradnl"/>
        </w:rPr>
        <w:t xml:space="preserve">de banda ancha </w:t>
      </w:r>
      <w:r w:rsidR="0075752E" w:rsidRPr="00117F08">
        <w:rPr>
          <w:lang w:val="es-ES_tradnl"/>
        </w:rPr>
        <w:t xml:space="preserve">que permita la transferencia e intercambio digital de información, y la provisión de servicios de Gobierno </w:t>
      </w:r>
      <w:r w:rsidR="00C420BA" w:rsidRPr="00117F08">
        <w:rPr>
          <w:lang w:val="es-ES_tradnl"/>
        </w:rPr>
        <w:t xml:space="preserve">(tramites, servicios de salud, educación y seguridad) </w:t>
      </w:r>
      <w:r w:rsidR="0075752E" w:rsidRPr="00117F08">
        <w:rPr>
          <w:lang w:val="es-ES_tradnl"/>
        </w:rPr>
        <w:t>a la ciudadanía sin que ésta requiera trasladarse a otra comunidad. Por otro lado, se espera que aumente el inventario de aplicaciones en materia de salud, educación y gobierno que serán operadas a través de la red Estatal.</w:t>
      </w:r>
    </w:p>
    <w:p w:rsidR="00982C22" w:rsidRPr="00F07E46" w:rsidRDefault="00763BF9" w:rsidP="00B961B7">
      <w:pPr>
        <w:pStyle w:val="FirstHeading"/>
        <w:rPr>
          <w:lang w:val="es-ES_tradnl"/>
        </w:rPr>
      </w:pPr>
      <w:r>
        <w:rPr>
          <w:lang w:val="es-ES_tradnl"/>
        </w:rPr>
        <w:fldChar w:fldCharType="begin"/>
      </w:r>
      <w:r w:rsidR="00B961B7">
        <w:rPr>
          <w:lang w:val="es-ES_tradnl"/>
        </w:rPr>
        <w:instrText xml:space="preserve"> SEQ "</w:instrText>
      </w:r>
      <w:fldSimple w:instr=" SECTION  \* MERGEFORMAT ">
        <w:r w:rsidR="00B961B7">
          <w:rPr>
            <w:lang w:val="es-ES_tradnl"/>
          </w:rPr>
          <w:instrText>1</w:instrText>
        </w:r>
      </w:fldSimple>
      <w:r w:rsidR="00B961B7">
        <w:rPr>
          <w:lang w:val="es-ES_tradnl"/>
        </w:rPr>
        <w:instrText xml:space="preserve">#"\* ALPHABETIC \* MERGEFORMAT </w:instrText>
      </w:r>
      <w:r>
        <w:rPr>
          <w:lang w:val="es-ES_tradnl"/>
        </w:rPr>
        <w:fldChar w:fldCharType="separate"/>
      </w:r>
      <w:r w:rsidR="00B961B7">
        <w:rPr>
          <w:noProof/>
          <w:lang w:val="es-ES_tradnl"/>
        </w:rPr>
        <w:t>F</w:t>
      </w:r>
      <w:r>
        <w:rPr>
          <w:lang w:val="es-ES_tradnl"/>
        </w:rPr>
        <w:fldChar w:fldCharType="end"/>
      </w:r>
      <w:r w:rsidR="00B961B7">
        <w:rPr>
          <w:lang w:val="es-ES_tradnl"/>
        </w:rPr>
        <w:t>.</w:t>
      </w:r>
      <w:r w:rsidR="00B961B7">
        <w:rPr>
          <w:lang w:val="es-ES_tradnl"/>
        </w:rPr>
        <w:tab/>
      </w:r>
      <w:r w:rsidR="00982C22" w:rsidRPr="00F07E46">
        <w:rPr>
          <w:lang w:val="es-ES_tradnl"/>
        </w:rPr>
        <w:t xml:space="preserve">Arreglos institucionales </w:t>
      </w:r>
      <w:r w:rsidR="00F07E46">
        <w:rPr>
          <w:lang w:val="es-ES_tradnl"/>
        </w:rPr>
        <w:t>para la ejecución</w:t>
      </w:r>
    </w:p>
    <w:p w:rsidR="00BB3788" w:rsidRPr="00117F08" w:rsidRDefault="00483BC2" w:rsidP="00117F08">
      <w:pPr>
        <w:pStyle w:val="Paragraph"/>
        <w:tabs>
          <w:tab w:val="clear" w:pos="1728"/>
          <w:tab w:val="num" w:pos="720"/>
        </w:tabs>
        <w:ind w:left="720" w:hanging="720"/>
        <w:rPr>
          <w:lang w:val="es-ES_tradnl"/>
        </w:rPr>
      </w:pPr>
      <w:r w:rsidRPr="00117F08">
        <w:rPr>
          <w:lang w:val="es-ES_tradnl"/>
        </w:rPr>
        <w:t>En el caso de</w:t>
      </w:r>
      <w:r w:rsidR="003248B9" w:rsidRPr="00117F08">
        <w:rPr>
          <w:lang w:val="es-ES_tradnl"/>
        </w:rPr>
        <w:t xml:space="preserve"> </w:t>
      </w:r>
      <w:r w:rsidRPr="00117F08">
        <w:rPr>
          <w:lang w:val="es-ES_tradnl"/>
        </w:rPr>
        <w:t>l</w:t>
      </w:r>
      <w:r w:rsidR="003248B9" w:rsidRPr="00117F08">
        <w:rPr>
          <w:lang w:val="es-ES_tradnl"/>
        </w:rPr>
        <w:t>a</w:t>
      </w:r>
      <w:r w:rsidRPr="00117F08">
        <w:rPr>
          <w:lang w:val="es-ES_tradnl"/>
        </w:rPr>
        <w:t xml:space="preserve"> </w:t>
      </w:r>
      <w:r w:rsidR="003248B9" w:rsidRPr="00117F08">
        <w:rPr>
          <w:lang w:val="es-ES_tradnl"/>
        </w:rPr>
        <w:t xml:space="preserve">implementación del componente </w:t>
      </w:r>
      <w:r w:rsidRPr="00117F08">
        <w:rPr>
          <w:lang w:val="es-ES_tradnl"/>
        </w:rPr>
        <w:t>SIAF, d</w:t>
      </w:r>
      <w:r w:rsidR="00FC189A" w:rsidRPr="00117F08">
        <w:rPr>
          <w:lang w:val="es-ES_tradnl"/>
        </w:rPr>
        <w:t>eberá ser institui</w:t>
      </w:r>
      <w:r w:rsidR="00C95FCA" w:rsidRPr="00117F08">
        <w:rPr>
          <w:lang w:val="es-ES_tradnl"/>
        </w:rPr>
        <w:t>da una Unidad de Implementación del Sistema Informático, con la participación en tiempo integral de técnicos informáticos de la DGTI, SPP y SH.</w:t>
      </w:r>
      <w:r w:rsidR="00BB3788" w:rsidRPr="00117F08">
        <w:rPr>
          <w:lang w:val="es-ES_tradnl"/>
        </w:rPr>
        <w:t xml:space="preserve"> </w:t>
      </w:r>
      <w:r w:rsidR="0038039A" w:rsidRPr="00117F08">
        <w:rPr>
          <w:lang w:val="es-ES_tradnl"/>
        </w:rPr>
        <w:t>Para definir y coordinar la implementación de la LGCG/PBR en el Gobierno de Yucatán f</w:t>
      </w:r>
      <w:r w:rsidR="00BB3788" w:rsidRPr="00117F08">
        <w:rPr>
          <w:lang w:val="es-ES_tradnl"/>
        </w:rPr>
        <w:t xml:space="preserve">ue </w:t>
      </w:r>
      <w:r w:rsidR="0038039A" w:rsidRPr="00117F08">
        <w:rPr>
          <w:lang w:val="es-ES_tradnl"/>
        </w:rPr>
        <w:t xml:space="preserve">también </w:t>
      </w:r>
      <w:r w:rsidR="00BB3788" w:rsidRPr="00117F08">
        <w:rPr>
          <w:lang w:val="es-ES_tradnl"/>
        </w:rPr>
        <w:t>instituido un Comité Técnico conformado por la SPP, SH, OM, Contraloría y Contaduría Mayor de Hacienda (Poder Legislativo). Fueron creados Grupos de Trabajo, que bajo un calendario específico, presentarán sus conclusiones sobre los temas establecidos.</w:t>
      </w:r>
    </w:p>
    <w:p w:rsidR="00C17D88" w:rsidRDefault="00C17D88" w:rsidP="002B4F0A">
      <w:pPr>
        <w:pStyle w:val="Paragraph"/>
        <w:numPr>
          <w:ilvl w:val="0"/>
          <w:numId w:val="0"/>
        </w:numPr>
        <w:rPr>
          <w:szCs w:val="24"/>
          <w:lang w:val="es-CO"/>
        </w:rPr>
      </w:pPr>
    </w:p>
    <w:p w:rsidR="00C17D88" w:rsidRDefault="00C17D88" w:rsidP="002B4F0A">
      <w:pPr>
        <w:pStyle w:val="Paragraph"/>
        <w:numPr>
          <w:ilvl w:val="0"/>
          <w:numId w:val="0"/>
        </w:numPr>
        <w:rPr>
          <w:szCs w:val="24"/>
          <w:lang w:val="es-CO"/>
        </w:rPr>
      </w:pPr>
      <w:r>
        <w:rPr>
          <w:noProof/>
          <w:szCs w:val="24"/>
        </w:rPr>
        <w:drawing>
          <wp:inline distT="0" distB="0" distL="0" distR="0">
            <wp:extent cx="3868824" cy="2402652"/>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874472" cy="2406160"/>
                    </a:xfrm>
                    <a:prstGeom prst="rect">
                      <a:avLst/>
                    </a:prstGeom>
                    <a:noFill/>
                  </pic:spPr>
                </pic:pic>
              </a:graphicData>
            </a:graphic>
          </wp:inline>
        </w:drawing>
      </w:r>
    </w:p>
    <w:p w:rsidR="00C17D88" w:rsidRDefault="00C17D88" w:rsidP="002B4F0A">
      <w:pPr>
        <w:pStyle w:val="Paragraph"/>
        <w:numPr>
          <w:ilvl w:val="0"/>
          <w:numId w:val="0"/>
        </w:numPr>
        <w:rPr>
          <w:szCs w:val="24"/>
          <w:lang w:val="es-CO"/>
        </w:rPr>
      </w:pPr>
    </w:p>
    <w:p w:rsidR="0046331C" w:rsidRPr="00624880" w:rsidRDefault="00483BC2" w:rsidP="00117F08">
      <w:pPr>
        <w:pStyle w:val="Paragraph"/>
        <w:tabs>
          <w:tab w:val="clear" w:pos="1728"/>
          <w:tab w:val="num" w:pos="720"/>
        </w:tabs>
        <w:ind w:left="720" w:hanging="720"/>
        <w:rPr>
          <w:lang w:val="es-ES_tradnl"/>
        </w:rPr>
      </w:pPr>
      <w:r w:rsidRPr="00117F08">
        <w:rPr>
          <w:lang w:val="es-ES_tradnl"/>
        </w:rPr>
        <w:t xml:space="preserve">En el caso de </w:t>
      </w:r>
      <w:r w:rsidR="00764EB5" w:rsidRPr="00117F08">
        <w:rPr>
          <w:lang w:val="es-ES_tradnl"/>
        </w:rPr>
        <w:t xml:space="preserve">la </w:t>
      </w:r>
      <w:r w:rsidRPr="00117F08">
        <w:rPr>
          <w:lang w:val="es-ES_tradnl"/>
        </w:rPr>
        <w:t xml:space="preserve">REBA, </w:t>
      </w:r>
      <w:r w:rsidR="0053065F" w:rsidRPr="00117F08">
        <w:rPr>
          <w:lang w:val="es-ES_tradnl"/>
        </w:rPr>
        <w:t>se ha</w:t>
      </w:r>
      <w:r w:rsidR="00CD064D">
        <w:rPr>
          <w:lang w:val="es-ES_tradnl"/>
        </w:rPr>
        <w:t>ce</w:t>
      </w:r>
      <w:r w:rsidR="0053065F" w:rsidRPr="00117F08">
        <w:rPr>
          <w:lang w:val="es-ES_tradnl"/>
        </w:rPr>
        <w:t xml:space="preserve"> necesaria la coordinación entre las entidades gubernamentales involucradas: Oficialía Mayor (Dirección General de T</w:t>
      </w:r>
      <w:r w:rsidR="00A0230D">
        <w:rPr>
          <w:lang w:val="es-ES_tradnl"/>
        </w:rPr>
        <w:t>ecnología de Información</w:t>
      </w:r>
      <w:r w:rsidR="0053065F" w:rsidRPr="00117F08">
        <w:rPr>
          <w:lang w:val="es-ES_tradnl"/>
        </w:rPr>
        <w:t>), Secretar</w:t>
      </w:r>
      <w:r w:rsidR="00CD064D">
        <w:rPr>
          <w:lang w:val="es-ES_tradnl"/>
        </w:rPr>
        <w:t>í</w:t>
      </w:r>
      <w:r w:rsidR="0053065F" w:rsidRPr="00117F08">
        <w:rPr>
          <w:lang w:val="es-ES_tradnl"/>
        </w:rPr>
        <w:t>a de Planeación y Presupuesto, Secretar</w:t>
      </w:r>
      <w:r w:rsidR="00CD064D">
        <w:rPr>
          <w:lang w:val="es-ES_tradnl"/>
        </w:rPr>
        <w:t>í</w:t>
      </w:r>
      <w:r w:rsidR="0053065F" w:rsidRPr="00117F08">
        <w:rPr>
          <w:lang w:val="es-ES_tradnl"/>
        </w:rPr>
        <w:t>a de Salud, Secretar</w:t>
      </w:r>
      <w:r w:rsidR="00CD064D">
        <w:rPr>
          <w:lang w:val="es-ES_tradnl"/>
        </w:rPr>
        <w:t>í</w:t>
      </w:r>
      <w:r w:rsidR="0053065F" w:rsidRPr="00117F08">
        <w:rPr>
          <w:lang w:val="es-ES_tradnl"/>
        </w:rPr>
        <w:t xml:space="preserve">a de Educación, Centro de Control, Comando y Comunicaciones – C4. Por acuerdo de los secretarios de </w:t>
      </w:r>
      <w:r w:rsidR="00A0230D">
        <w:rPr>
          <w:lang w:val="es-ES_tradnl"/>
        </w:rPr>
        <w:t xml:space="preserve">Planeación, </w:t>
      </w:r>
      <w:r w:rsidR="0053065F" w:rsidRPr="00117F08">
        <w:rPr>
          <w:lang w:val="es-ES_tradnl"/>
        </w:rPr>
        <w:t>Educación</w:t>
      </w:r>
      <w:r w:rsidR="00A0230D">
        <w:rPr>
          <w:lang w:val="es-ES_tradnl"/>
        </w:rPr>
        <w:t xml:space="preserve">, </w:t>
      </w:r>
      <w:r w:rsidR="0053065F" w:rsidRPr="00117F08">
        <w:rPr>
          <w:lang w:val="es-ES_tradnl"/>
        </w:rPr>
        <w:t xml:space="preserve">Salud y del Oficial Mayor se formó un Comité Técnico, con dos representantes de cada uno de los actores, que será responsable del diseño, implementación, operación y mantenimiento de la red, ya sea directamente o a través de la contratación de terceros, también, de elaborar las normas que deberán observarse para el uso, operación, seguridad y mantenimiento de la Red Estatal. </w:t>
      </w:r>
      <w:r w:rsidR="0046331C" w:rsidRPr="00624880">
        <w:rPr>
          <w:lang w:val="es-ES_tradnl"/>
        </w:rPr>
        <w:t xml:space="preserve">Además se requiere la asignación de un secretario ejecutivo </w:t>
      </w:r>
      <w:r w:rsidR="003E1274" w:rsidRPr="00624880">
        <w:rPr>
          <w:lang w:val="es-ES_tradnl"/>
        </w:rPr>
        <w:t xml:space="preserve">que actuará </w:t>
      </w:r>
      <w:r w:rsidR="0046331C" w:rsidRPr="00624880">
        <w:rPr>
          <w:lang w:val="es-ES_tradnl"/>
        </w:rPr>
        <w:t xml:space="preserve">como </w:t>
      </w:r>
      <w:r w:rsidR="003E1274" w:rsidRPr="00624880">
        <w:rPr>
          <w:lang w:val="es-ES_tradnl"/>
        </w:rPr>
        <w:t>director/</w:t>
      </w:r>
      <w:r w:rsidR="0046331C" w:rsidRPr="00624880">
        <w:rPr>
          <w:lang w:val="es-ES_tradnl"/>
        </w:rPr>
        <w:t xml:space="preserve">coordinador del Comité Técnico y la contratación de 2 consultores con la función de </w:t>
      </w:r>
      <w:r w:rsidR="00A0230D">
        <w:rPr>
          <w:lang w:val="es-ES_tradnl"/>
        </w:rPr>
        <w:t xml:space="preserve">Director y </w:t>
      </w:r>
      <w:r w:rsidR="0046331C" w:rsidRPr="00624880">
        <w:rPr>
          <w:lang w:val="es-ES_tradnl"/>
        </w:rPr>
        <w:t>Gerente de Proyecto</w:t>
      </w:r>
      <w:r w:rsidR="00A0230D">
        <w:rPr>
          <w:lang w:val="es-ES_tradnl"/>
        </w:rPr>
        <w:t xml:space="preserve">, respectivamente, </w:t>
      </w:r>
      <w:r w:rsidR="0046331C" w:rsidRPr="00624880">
        <w:rPr>
          <w:lang w:val="es-ES_tradnl"/>
        </w:rPr>
        <w:t>para la coordinación de las actividades necesarias para el despliegue de la red.</w:t>
      </w:r>
    </w:p>
    <w:p w:rsidR="00982C22" w:rsidRPr="00624880" w:rsidRDefault="00763BF9" w:rsidP="00B961B7">
      <w:pPr>
        <w:pStyle w:val="FirstHeading"/>
        <w:rPr>
          <w:lang w:val="es-ES_tradnl"/>
        </w:rPr>
      </w:pPr>
      <w:r>
        <w:rPr>
          <w:lang w:val="es-ES_tradnl"/>
        </w:rPr>
        <w:fldChar w:fldCharType="begin"/>
      </w:r>
      <w:r w:rsidR="00B961B7">
        <w:rPr>
          <w:lang w:val="es-ES_tradnl"/>
        </w:rPr>
        <w:instrText xml:space="preserve"> SEQ "</w:instrText>
      </w:r>
      <w:fldSimple w:instr=" SECTION  \* MERGEFORMAT ">
        <w:r w:rsidR="00B961B7">
          <w:rPr>
            <w:lang w:val="es-ES_tradnl"/>
          </w:rPr>
          <w:instrText>1</w:instrText>
        </w:r>
      </w:fldSimple>
      <w:r w:rsidR="00B961B7">
        <w:rPr>
          <w:lang w:val="es-ES_tradnl"/>
        </w:rPr>
        <w:instrText xml:space="preserve">#"\* ALPHABETIC \* MERGEFORMAT </w:instrText>
      </w:r>
      <w:r>
        <w:rPr>
          <w:lang w:val="es-ES_tradnl"/>
        </w:rPr>
        <w:fldChar w:fldCharType="separate"/>
      </w:r>
      <w:r w:rsidR="00B961B7">
        <w:rPr>
          <w:noProof/>
          <w:lang w:val="es-ES_tradnl"/>
        </w:rPr>
        <w:t>G</w:t>
      </w:r>
      <w:r>
        <w:rPr>
          <w:lang w:val="es-ES_tradnl"/>
        </w:rPr>
        <w:fldChar w:fldCharType="end"/>
      </w:r>
      <w:r w:rsidR="00B961B7">
        <w:rPr>
          <w:lang w:val="es-ES_tradnl"/>
        </w:rPr>
        <w:t>.</w:t>
      </w:r>
      <w:r w:rsidR="00B961B7">
        <w:rPr>
          <w:lang w:val="es-ES_tradnl"/>
        </w:rPr>
        <w:tab/>
      </w:r>
      <w:r w:rsidR="00982C22" w:rsidRPr="00624880">
        <w:rPr>
          <w:lang w:val="es-ES_tradnl"/>
        </w:rPr>
        <w:t>Riesgos</w:t>
      </w:r>
    </w:p>
    <w:p w:rsidR="00C95FCA" w:rsidRPr="00624880" w:rsidRDefault="00577ECB" w:rsidP="00117F08">
      <w:pPr>
        <w:pStyle w:val="Paragraph"/>
        <w:tabs>
          <w:tab w:val="clear" w:pos="1728"/>
          <w:tab w:val="num" w:pos="720"/>
        </w:tabs>
        <w:ind w:left="720" w:hanging="720"/>
        <w:rPr>
          <w:lang w:val="es-ES_tradnl"/>
        </w:rPr>
      </w:pPr>
      <w:r w:rsidRPr="00624880">
        <w:rPr>
          <w:lang w:val="es-ES_tradnl"/>
        </w:rPr>
        <w:t xml:space="preserve">Riesgos </w:t>
      </w:r>
      <w:r w:rsidR="003248B9" w:rsidRPr="00624880">
        <w:rPr>
          <w:lang w:val="es-ES_tradnl"/>
        </w:rPr>
        <w:t xml:space="preserve">de implementación de la solución </w:t>
      </w:r>
      <w:r w:rsidRPr="00624880">
        <w:rPr>
          <w:lang w:val="es-ES_tradnl"/>
        </w:rPr>
        <w:t>SIAF</w:t>
      </w:r>
      <w:r w:rsidR="003248B9" w:rsidRPr="00624880">
        <w:rPr>
          <w:lang w:val="es-ES_tradnl"/>
        </w:rPr>
        <w:t>yP</w:t>
      </w:r>
      <w:r w:rsidR="009E3C64" w:rsidRPr="00624880">
        <w:rPr>
          <w:lang w:val="es-ES_tradnl"/>
        </w:rPr>
        <w:t>:</w:t>
      </w:r>
    </w:p>
    <w:p w:rsidR="005F1D9B" w:rsidRPr="00E46158" w:rsidRDefault="00C95FCA" w:rsidP="00E46158">
      <w:pPr>
        <w:pStyle w:val="ListParagraph"/>
        <w:numPr>
          <w:ilvl w:val="0"/>
          <w:numId w:val="61"/>
        </w:numPr>
        <w:jc w:val="both"/>
        <w:rPr>
          <w:rFonts w:ascii="Times New Roman" w:hAnsi="Times New Roman"/>
          <w:sz w:val="24"/>
          <w:szCs w:val="24"/>
          <w:lang w:val="es-ES_tradnl"/>
        </w:rPr>
      </w:pPr>
      <w:r w:rsidRPr="00E46158">
        <w:rPr>
          <w:rFonts w:ascii="Times New Roman" w:hAnsi="Times New Roman"/>
          <w:sz w:val="24"/>
          <w:szCs w:val="24"/>
          <w:u w:val="single"/>
          <w:lang w:val="es-ES_tradnl"/>
        </w:rPr>
        <w:t>In</w:t>
      </w:r>
      <w:r w:rsidR="00D32A57" w:rsidRPr="00E46158">
        <w:rPr>
          <w:rFonts w:ascii="Times New Roman" w:hAnsi="Times New Roman"/>
          <w:sz w:val="24"/>
          <w:szCs w:val="24"/>
          <w:u w:val="single"/>
          <w:lang w:val="es-ES_tradnl"/>
        </w:rPr>
        <w:t>observancia</w:t>
      </w:r>
      <w:r w:rsidRPr="00E46158">
        <w:rPr>
          <w:rFonts w:ascii="Times New Roman" w:hAnsi="Times New Roman"/>
          <w:sz w:val="24"/>
          <w:szCs w:val="24"/>
          <w:u w:val="single"/>
          <w:lang w:val="es-ES_tradnl"/>
        </w:rPr>
        <w:t xml:space="preserve"> de plazos</w:t>
      </w:r>
      <w:r w:rsidRPr="00E46158">
        <w:rPr>
          <w:rFonts w:ascii="Times New Roman" w:hAnsi="Times New Roman"/>
          <w:sz w:val="24"/>
          <w:szCs w:val="24"/>
          <w:lang w:val="es-ES_tradnl"/>
        </w:rPr>
        <w:t xml:space="preserve"> (instalación del proyecto, preparación de las instalaciones físicas de la Unidad, licitaciones): alargamiento del tiempo de ejecución del proyecto puede comprometer su eficacia o mismo su utilidad, ya que se estará manteniendo, en paralelo, un sistema informático provisional con adaptaciones a la LGCG;</w:t>
      </w:r>
      <w:r w:rsidR="004126D2" w:rsidRPr="00E46158">
        <w:rPr>
          <w:rFonts w:ascii="Times New Roman" w:hAnsi="Times New Roman"/>
          <w:sz w:val="24"/>
          <w:szCs w:val="24"/>
          <w:lang w:val="es-ES_tradnl"/>
        </w:rPr>
        <w:t xml:space="preserve"> </w:t>
      </w:r>
      <w:r w:rsidR="005F1D9B" w:rsidRPr="00E46158">
        <w:rPr>
          <w:rFonts w:ascii="Times New Roman" w:hAnsi="Times New Roman"/>
          <w:sz w:val="24"/>
          <w:szCs w:val="24"/>
          <w:u w:val="single"/>
          <w:lang w:val="es-ES_tradnl"/>
        </w:rPr>
        <w:t>Mitigación:</w:t>
      </w:r>
      <w:r w:rsidR="005F1D9B" w:rsidRPr="00E46158">
        <w:rPr>
          <w:rFonts w:ascii="Times New Roman" w:hAnsi="Times New Roman"/>
          <w:sz w:val="24"/>
          <w:szCs w:val="24"/>
          <w:lang w:val="es-ES_tradnl"/>
        </w:rPr>
        <w:t xml:space="preserve"> </w:t>
      </w:r>
      <w:r w:rsidR="000F1008" w:rsidRPr="00E46158">
        <w:rPr>
          <w:rFonts w:ascii="Times New Roman" w:hAnsi="Times New Roman"/>
          <w:sz w:val="24"/>
          <w:szCs w:val="24"/>
          <w:lang w:val="es-ES_tradnl"/>
        </w:rPr>
        <w:t xml:space="preserve">El </w:t>
      </w:r>
      <w:r w:rsidR="00D32A57" w:rsidRPr="00E46158">
        <w:rPr>
          <w:rFonts w:ascii="Times New Roman" w:hAnsi="Times New Roman"/>
          <w:sz w:val="24"/>
          <w:szCs w:val="24"/>
          <w:lang w:val="es-ES_tradnl"/>
        </w:rPr>
        <w:t>Director del Proyecto debe dar seguimiento constante a los procesos críticos y tomar providencias para su agilización, accionado instancias superiores en el caso de ser necesarias acciones fuera de su capacidad decisoria; acciones de fiscalización y supervisión.</w:t>
      </w:r>
    </w:p>
    <w:p w:rsidR="00D32A57" w:rsidRPr="00E46158" w:rsidRDefault="006B076D" w:rsidP="00E46158">
      <w:pPr>
        <w:pStyle w:val="ListParagraph"/>
        <w:numPr>
          <w:ilvl w:val="0"/>
          <w:numId w:val="61"/>
        </w:numPr>
        <w:jc w:val="both"/>
        <w:rPr>
          <w:rFonts w:ascii="Times New Roman" w:hAnsi="Times New Roman"/>
          <w:sz w:val="24"/>
          <w:szCs w:val="24"/>
          <w:lang w:val="es-ES_tradnl"/>
        </w:rPr>
      </w:pPr>
      <w:r w:rsidRPr="00E46158">
        <w:rPr>
          <w:rFonts w:ascii="Times New Roman" w:hAnsi="Times New Roman"/>
          <w:sz w:val="24"/>
          <w:szCs w:val="24"/>
          <w:u w:val="single"/>
          <w:lang w:val="es-ES_tradnl"/>
        </w:rPr>
        <w:t>D</w:t>
      </w:r>
      <w:r w:rsidR="005F1D9B" w:rsidRPr="00E46158">
        <w:rPr>
          <w:rFonts w:ascii="Times New Roman" w:hAnsi="Times New Roman"/>
          <w:sz w:val="24"/>
          <w:szCs w:val="24"/>
          <w:u w:val="single"/>
          <w:lang w:val="es-ES_tradnl"/>
        </w:rPr>
        <w:t>eficien</w:t>
      </w:r>
      <w:r w:rsidRPr="00E46158">
        <w:rPr>
          <w:rFonts w:ascii="Times New Roman" w:hAnsi="Times New Roman"/>
          <w:sz w:val="24"/>
          <w:szCs w:val="24"/>
          <w:u w:val="single"/>
          <w:lang w:val="es-ES_tradnl"/>
        </w:rPr>
        <w:t>cias en la puesta en marcha</w:t>
      </w:r>
      <w:r w:rsidR="005F1D9B" w:rsidRPr="00E46158">
        <w:rPr>
          <w:rFonts w:ascii="Times New Roman" w:hAnsi="Times New Roman"/>
          <w:sz w:val="24"/>
          <w:szCs w:val="24"/>
          <w:u w:val="single"/>
          <w:lang w:val="es-ES_tradnl"/>
        </w:rPr>
        <w:t xml:space="preserve"> </w:t>
      </w:r>
      <w:r w:rsidR="00C95FCA" w:rsidRPr="00E46158">
        <w:rPr>
          <w:rFonts w:ascii="Times New Roman" w:hAnsi="Times New Roman"/>
          <w:sz w:val="24"/>
          <w:szCs w:val="24"/>
          <w:u w:val="single"/>
          <w:lang w:val="es-ES_tradnl"/>
        </w:rPr>
        <w:t>de una Unidad de Implementación del Sistema Informático</w:t>
      </w:r>
      <w:r w:rsidR="00C95FCA" w:rsidRPr="00E46158">
        <w:rPr>
          <w:rFonts w:ascii="Times New Roman" w:hAnsi="Times New Roman"/>
          <w:sz w:val="24"/>
          <w:szCs w:val="24"/>
          <w:lang w:val="es-ES_tradnl"/>
        </w:rPr>
        <w:t>, con la pérdida de foco sobre la implementación del nuevo sistema y dispersión de los recursos informáticos del Estado</w:t>
      </w:r>
      <w:r w:rsidR="00892A75" w:rsidRPr="00E46158">
        <w:rPr>
          <w:rFonts w:ascii="Times New Roman" w:hAnsi="Times New Roman"/>
          <w:sz w:val="24"/>
          <w:szCs w:val="24"/>
          <w:lang w:val="es-ES_tradnl"/>
        </w:rPr>
        <w:t>;</w:t>
      </w:r>
      <w:r w:rsidR="004126D2" w:rsidRPr="00E46158">
        <w:rPr>
          <w:rFonts w:ascii="Times New Roman" w:hAnsi="Times New Roman"/>
          <w:sz w:val="24"/>
          <w:szCs w:val="24"/>
          <w:lang w:val="es-ES_tradnl"/>
        </w:rPr>
        <w:t xml:space="preserve"> </w:t>
      </w:r>
      <w:r w:rsidR="00D32A57" w:rsidRPr="00E46158">
        <w:rPr>
          <w:rFonts w:ascii="Times New Roman" w:hAnsi="Times New Roman"/>
          <w:sz w:val="24"/>
          <w:szCs w:val="24"/>
          <w:u w:val="single"/>
          <w:lang w:val="es-ES_tradnl"/>
        </w:rPr>
        <w:t xml:space="preserve">Mitigación: </w:t>
      </w:r>
      <w:r w:rsidR="00D32A57" w:rsidRPr="00E46158">
        <w:rPr>
          <w:rFonts w:ascii="Times New Roman" w:hAnsi="Times New Roman"/>
          <w:sz w:val="24"/>
          <w:szCs w:val="24"/>
          <w:lang w:val="es-ES_tradnl"/>
        </w:rPr>
        <w:t>Director del Proyecto debe accionar instancias superiores para resolución del problema; acciones de fiscalización y supervisión.</w:t>
      </w:r>
    </w:p>
    <w:p w:rsidR="003C0151" w:rsidRPr="00E46158" w:rsidRDefault="003C0151" w:rsidP="00E46158">
      <w:pPr>
        <w:pStyle w:val="ListParagraph"/>
        <w:numPr>
          <w:ilvl w:val="0"/>
          <w:numId w:val="61"/>
        </w:numPr>
        <w:jc w:val="both"/>
        <w:rPr>
          <w:rFonts w:ascii="Times New Roman" w:hAnsi="Times New Roman"/>
          <w:sz w:val="24"/>
          <w:szCs w:val="24"/>
          <w:lang w:val="es-ES_tradnl"/>
        </w:rPr>
      </w:pPr>
      <w:r w:rsidRPr="00E46158">
        <w:rPr>
          <w:rFonts w:ascii="Times New Roman" w:hAnsi="Times New Roman"/>
          <w:sz w:val="24"/>
          <w:szCs w:val="24"/>
          <w:u w:val="single"/>
          <w:lang w:val="es-ES_tradnl"/>
        </w:rPr>
        <w:t>Solución GRP elegida no cumplen expectativas</w:t>
      </w:r>
      <w:r w:rsidRPr="00E46158">
        <w:rPr>
          <w:rFonts w:ascii="Times New Roman" w:hAnsi="Times New Roman"/>
          <w:sz w:val="24"/>
          <w:szCs w:val="24"/>
          <w:lang w:val="es-ES_tradnl"/>
        </w:rPr>
        <w:t xml:space="preserve">: tiempos de desarrollo alargados. </w:t>
      </w:r>
      <w:r w:rsidRPr="00E46158">
        <w:rPr>
          <w:rFonts w:ascii="Times New Roman" w:hAnsi="Times New Roman"/>
          <w:sz w:val="24"/>
          <w:szCs w:val="24"/>
          <w:u w:val="single"/>
          <w:lang w:val="es-ES_tradnl"/>
        </w:rPr>
        <w:t>Mitigación</w:t>
      </w:r>
      <w:r w:rsidRPr="00E46158">
        <w:rPr>
          <w:rFonts w:ascii="Times New Roman" w:hAnsi="Times New Roman"/>
          <w:sz w:val="24"/>
          <w:szCs w:val="24"/>
          <w:lang w:val="es-ES_tradnl"/>
        </w:rPr>
        <w:t>: Establecer cláusulas contractuales bien definidas con relación a plazos de entrega &amp; homologación de productos y pagamentos parciales. Establecer multas contractuales por incumplimientos.</w:t>
      </w:r>
    </w:p>
    <w:p w:rsidR="003C0151" w:rsidRPr="00E46158" w:rsidRDefault="003C0151" w:rsidP="00E46158">
      <w:pPr>
        <w:pStyle w:val="ListParagraph"/>
        <w:numPr>
          <w:ilvl w:val="0"/>
          <w:numId w:val="61"/>
        </w:numPr>
        <w:jc w:val="both"/>
        <w:rPr>
          <w:rFonts w:ascii="Times New Roman" w:hAnsi="Times New Roman"/>
          <w:sz w:val="24"/>
          <w:szCs w:val="24"/>
          <w:lang w:val="es-ES_tradnl"/>
        </w:rPr>
      </w:pPr>
      <w:r w:rsidRPr="00E46158">
        <w:rPr>
          <w:rFonts w:ascii="Times New Roman" w:hAnsi="Times New Roman"/>
          <w:sz w:val="24"/>
          <w:szCs w:val="24"/>
          <w:u w:val="single"/>
          <w:lang w:val="es-ES_tradnl"/>
        </w:rPr>
        <w:t>Necesidad de mantenimiento de 2 plataformas</w:t>
      </w:r>
      <w:r w:rsidRPr="00E46158">
        <w:rPr>
          <w:rFonts w:ascii="Times New Roman" w:hAnsi="Times New Roman"/>
          <w:sz w:val="24"/>
          <w:szCs w:val="24"/>
          <w:lang w:val="es-ES_tradnl"/>
        </w:rPr>
        <w:t xml:space="preserve">: dispersión de recursos técnicos; </w:t>
      </w:r>
      <w:r w:rsidRPr="00E46158">
        <w:rPr>
          <w:rFonts w:ascii="Times New Roman" w:hAnsi="Times New Roman"/>
          <w:sz w:val="24"/>
          <w:szCs w:val="24"/>
          <w:u w:val="single"/>
          <w:lang w:val="es-ES_tradnl"/>
        </w:rPr>
        <w:t>Mitigación</w:t>
      </w:r>
      <w:r w:rsidRPr="00E46158">
        <w:rPr>
          <w:rFonts w:ascii="Times New Roman" w:hAnsi="Times New Roman"/>
          <w:sz w:val="24"/>
          <w:szCs w:val="24"/>
          <w:lang w:val="es-ES_tradnl"/>
        </w:rPr>
        <w:t xml:space="preserve">: Riesgo no crítico, en las condiciones planeadas. </w:t>
      </w:r>
    </w:p>
    <w:p w:rsidR="005F1D9B" w:rsidRPr="00E46158" w:rsidRDefault="00892A75" w:rsidP="00E46158">
      <w:pPr>
        <w:pStyle w:val="ListParagraph"/>
        <w:numPr>
          <w:ilvl w:val="0"/>
          <w:numId w:val="61"/>
        </w:numPr>
        <w:jc w:val="both"/>
        <w:rPr>
          <w:rFonts w:ascii="Times New Roman" w:hAnsi="Times New Roman"/>
          <w:sz w:val="24"/>
          <w:szCs w:val="24"/>
          <w:lang w:val="es-ES_tradnl"/>
        </w:rPr>
      </w:pPr>
      <w:r w:rsidRPr="00E46158">
        <w:rPr>
          <w:rFonts w:ascii="Times New Roman" w:hAnsi="Times New Roman"/>
          <w:sz w:val="24"/>
          <w:szCs w:val="24"/>
          <w:u w:val="single"/>
          <w:lang w:val="es-ES_tradnl"/>
        </w:rPr>
        <w:t>Fallas de diseño</w:t>
      </w:r>
      <w:r w:rsidRPr="00E46158">
        <w:rPr>
          <w:rFonts w:ascii="Times New Roman" w:hAnsi="Times New Roman"/>
          <w:sz w:val="24"/>
          <w:szCs w:val="24"/>
          <w:lang w:val="es-ES_tradnl"/>
        </w:rPr>
        <w:t xml:space="preserve"> en aspectos críticos (integración, escalabilidad, amplia posibilidad de configuración), que resultará en el incumplimiento de los beneficios comprometidos con el Estado.</w:t>
      </w:r>
      <w:r w:rsidR="004126D2" w:rsidRPr="00E46158">
        <w:rPr>
          <w:rFonts w:ascii="Times New Roman" w:hAnsi="Times New Roman"/>
          <w:sz w:val="24"/>
          <w:szCs w:val="24"/>
          <w:lang w:val="es-ES_tradnl"/>
        </w:rPr>
        <w:t xml:space="preserve"> </w:t>
      </w:r>
      <w:r w:rsidR="007562BF" w:rsidRPr="00E46158">
        <w:rPr>
          <w:rFonts w:ascii="Times New Roman" w:hAnsi="Times New Roman"/>
          <w:sz w:val="24"/>
          <w:szCs w:val="24"/>
          <w:u w:val="single"/>
          <w:lang w:val="es-ES_tradnl"/>
        </w:rPr>
        <w:t>Mitigación</w:t>
      </w:r>
      <w:r w:rsidR="007562BF" w:rsidRPr="00E46158">
        <w:rPr>
          <w:rFonts w:ascii="Times New Roman" w:hAnsi="Times New Roman"/>
          <w:sz w:val="24"/>
          <w:szCs w:val="24"/>
          <w:lang w:val="es-ES_tradnl"/>
        </w:rPr>
        <w:t>: Pruebas de concepto realizadas bajo supervisión del Coordinador Técnico; contratación de consultoría de evaluación.</w:t>
      </w:r>
    </w:p>
    <w:p w:rsidR="00A45E5E" w:rsidRPr="00E46158" w:rsidRDefault="00A45E5E" w:rsidP="00E46158">
      <w:pPr>
        <w:pStyle w:val="ListParagraph"/>
        <w:numPr>
          <w:ilvl w:val="0"/>
          <w:numId w:val="61"/>
        </w:numPr>
        <w:jc w:val="both"/>
        <w:rPr>
          <w:rFonts w:ascii="Times New Roman" w:hAnsi="Times New Roman"/>
          <w:sz w:val="24"/>
          <w:szCs w:val="24"/>
          <w:lang w:val="es-ES_tradnl"/>
        </w:rPr>
      </w:pPr>
      <w:r w:rsidRPr="00E46158">
        <w:rPr>
          <w:rFonts w:ascii="Times New Roman" w:hAnsi="Times New Roman"/>
          <w:sz w:val="24"/>
          <w:szCs w:val="24"/>
          <w:u w:val="single"/>
          <w:lang w:val="es-ES_tradnl"/>
        </w:rPr>
        <w:t>Capacitación adicional del equipo técnico</w:t>
      </w:r>
      <w:r w:rsidRPr="00E46158">
        <w:rPr>
          <w:rFonts w:ascii="Times New Roman" w:hAnsi="Times New Roman"/>
          <w:sz w:val="24"/>
          <w:szCs w:val="24"/>
          <w:lang w:val="es-ES_tradnl"/>
        </w:rPr>
        <w:t>: tiempos de desarrollo alargados;</w:t>
      </w:r>
      <w:r w:rsidR="004126D2" w:rsidRPr="00E46158">
        <w:rPr>
          <w:rFonts w:ascii="Times New Roman" w:hAnsi="Times New Roman"/>
          <w:sz w:val="24"/>
          <w:szCs w:val="24"/>
          <w:lang w:val="es-ES_tradnl"/>
        </w:rPr>
        <w:t xml:space="preserve"> </w:t>
      </w:r>
      <w:r w:rsidRPr="00E46158">
        <w:rPr>
          <w:rFonts w:ascii="Times New Roman" w:hAnsi="Times New Roman"/>
          <w:sz w:val="24"/>
          <w:szCs w:val="24"/>
          <w:u w:val="single"/>
          <w:lang w:val="es-ES_tradnl"/>
        </w:rPr>
        <w:t>Mitigación</w:t>
      </w:r>
      <w:r w:rsidRPr="00E46158">
        <w:rPr>
          <w:rFonts w:ascii="Times New Roman" w:hAnsi="Times New Roman"/>
          <w:sz w:val="24"/>
          <w:szCs w:val="24"/>
          <w:lang w:val="es-ES_tradnl"/>
        </w:rPr>
        <w:t xml:space="preserve">: Definir equipo local en los plazos establecidos y realizar capacitación inmediatamente después de la adjudicación del contrato </w:t>
      </w:r>
      <w:r w:rsidR="00FE3936" w:rsidRPr="00E46158">
        <w:rPr>
          <w:rFonts w:ascii="Times New Roman" w:hAnsi="Times New Roman"/>
          <w:sz w:val="24"/>
          <w:szCs w:val="24"/>
          <w:lang w:val="es-ES_tradnl"/>
        </w:rPr>
        <w:t xml:space="preserve">de adquisición </w:t>
      </w:r>
      <w:r w:rsidRPr="00E46158">
        <w:rPr>
          <w:rFonts w:ascii="Times New Roman" w:hAnsi="Times New Roman"/>
          <w:sz w:val="24"/>
          <w:szCs w:val="24"/>
          <w:lang w:val="es-ES_tradnl"/>
        </w:rPr>
        <w:t>de la solución</w:t>
      </w:r>
      <w:r w:rsidR="00FE3936" w:rsidRPr="00E46158">
        <w:rPr>
          <w:rFonts w:ascii="Times New Roman" w:hAnsi="Times New Roman"/>
          <w:sz w:val="24"/>
          <w:szCs w:val="24"/>
          <w:lang w:val="es-ES_tradnl"/>
        </w:rPr>
        <w:t>.</w:t>
      </w:r>
    </w:p>
    <w:p w:rsidR="0061499F" w:rsidRDefault="0061499F" w:rsidP="00E46158">
      <w:pPr>
        <w:jc w:val="both"/>
        <w:rPr>
          <w:rFonts w:ascii="Times New Roman" w:hAnsi="Times New Roman"/>
          <w:b/>
          <w:sz w:val="24"/>
          <w:szCs w:val="24"/>
          <w:lang w:val="es-ES_tradnl"/>
        </w:rPr>
      </w:pPr>
    </w:p>
    <w:p w:rsidR="00D01CA8" w:rsidRPr="00117F08" w:rsidRDefault="00D01CA8" w:rsidP="00117F08">
      <w:pPr>
        <w:pStyle w:val="Paragraph"/>
        <w:tabs>
          <w:tab w:val="clear" w:pos="1728"/>
          <w:tab w:val="num" w:pos="720"/>
        </w:tabs>
        <w:ind w:left="720" w:hanging="720"/>
        <w:rPr>
          <w:lang w:val="es-ES_tradnl"/>
        </w:rPr>
      </w:pPr>
      <w:r w:rsidRPr="00117F08">
        <w:rPr>
          <w:lang w:val="es-ES_tradnl"/>
        </w:rPr>
        <w:t xml:space="preserve">Riesgos </w:t>
      </w:r>
      <w:r w:rsidR="00117F08">
        <w:rPr>
          <w:lang w:val="es-ES_tradnl"/>
        </w:rPr>
        <w:t xml:space="preserve">de implementación de la </w:t>
      </w:r>
      <w:r w:rsidRPr="00117F08">
        <w:rPr>
          <w:lang w:val="es-ES_tradnl"/>
        </w:rPr>
        <w:t>R</w:t>
      </w:r>
      <w:r w:rsidR="00117F08">
        <w:rPr>
          <w:lang w:val="es-ES_tradnl"/>
        </w:rPr>
        <w:t>ed Estatal de Banda Ancha (REBA)</w:t>
      </w:r>
      <w:r w:rsidRPr="00117F08">
        <w:rPr>
          <w:lang w:val="es-ES_tradnl"/>
        </w:rPr>
        <w:t>:</w:t>
      </w:r>
    </w:p>
    <w:p w:rsidR="001575CB" w:rsidRPr="00CE0714" w:rsidRDefault="00A94945" w:rsidP="00E46158">
      <w:pPr>
        <w:pStyle w:val="ListParagraph"/>
        <w:numPr>
          <w:ilvl w:val="0"/>
          <w:numId w:val="62"/>
        </w:numPr>
        <w:jc w:val="both"/>
        <w:rPr>
          <w:rFonts w:ascii="Times New Roman" w:hAnsi="Times New Roman"/>
          <w:sz w:val="24"/>
          <w:szCs w:val="24"/>
          <w:lang w:val="es-ES_tradnl"/>
        </w:rPr>
      </w:pPr>
      <w:r w:rsidRPr="00EB3B93">
        <w:rPr>
          <w:rFonts w:ascii="Times New Roman" w:hAnsi="Times New Roman"/>
          <w:sz w:val="24"/>
          <w:szCs w:val="24"/>
          <w:u w:val="single"/>
          <w:lang w:val="es-ES_tradnl"/>
        </w:rPr>
        <w:t xml:space="preserve">Insuficiencia de recursos para llevar a término, al menos, la </w:t>
      </w:r>
      <w:r w:rsidR="00EB3B93" w:rsidRPr="00EB3B93">
        <w:rPr>
          <w:rFonts w:ascii="Times New Roman" w:hAnsi="Times New Roman"/>
          <w:sz w:val="24"/>
          <w:szCs w:val="24"/>
          <w:u w:val="single"/>
          <w:lang w:val="es-ES_tradnl"/>
        </w:rPr>
        <w:t>Fase I</w:t>
      </w:r>
      <w:r w:rsidRPr="001575CB">
        <w:rPr>
          <w:rFonts w:ascii="Times New Roman" w:hAnsi="Times New Roman"/>
          <w:sz w:val="24"/>
          <w:szCs w:val="24"/>
          <w:lang w:val="es-ES_tradnl"/>
        </w:rPr>
        <w:t>. Asimismo, cualquier otra situación que interrumpiera el desarrollo del proyecto. Esto se debe a que para cumplir con su objetivo deben quedar instalados y puestos en operación todos los elementos comunes de la Red, de lo contrario todas las inversiones que se hubieren hecho hasta el momento de la interrupción serían inútiles.</w:t>
      </w:r>
      <w:r w:rsidR="00230C6C" w:rsidRPr="001575CB">
        <w:rPr>
          <w:rFonts w:ascii="Times New Roman" w:hAnsi="Times New Roman"/>
          <w:sz w:val="24"/>
          <w:szCs w:val="24"/>
          <w:lang w:val="es-ES_tradnl"/>
        </w:rPr>
        <w:t xml:space="preserve"> </w:t>
      </w:r>
      <w:r w:rsidR="00EB3B93" w:rsidRPr="00CE0714">
        <w:rPr>
          <w:rFonts w:ascii="Times New Roman" w:hAnsi="Times New Roman"/>
          <w:sz w:val="24"/>
          <w:szCs w:val="24"/>
          <w:u w:val="single"/>
          <w:lang w:val="es-ES_tradnl"/>
        </w:rPr>
        <w:t>Mitigación</w:t>
      </w:r>
      <w:r w:rsidR="00EB3B93" w:rsidRPr="00CE0714">
        <w:rPr>
          <w:rFonts w:ascii="Times New Roman" w:hAnsi="Times New Roman"/>
          <w:sz w:val="24"/>
          <w:szCs w:val="24"/>
          <w:lang w:val="es-ES_tradnl"/>
        </w:rPr>
        <w:t xml:space="preserve">: tener el compromiso de fondos para ejecutar el proyecto de la Fase I y contratación de un director de proyecto </w:t>
      </w:r>
      <w:r w:rsidR="008C6AA4" w:rsidRPr="00CE0714">
        <w:rPr>
          <w:rFonts w:ascii="Times New Roman" w:hAnsi="Times New Roman"/>
          <w:sz w:val="24"/>
          <w:szCs w:val="24"/>
          <w:lang w:val="es-ES_tradnl"/>
        </w:rPr>
        <w:t xml:space="preserve">y gerente de proyecto </w:t>
      </w:r>
      <w:r w:rsidR="00EB3B93" w:rsidRPr="00CE0714">
        <w:rPr>
          <w:rFonts w:ascii="Times New Roman" w:hAnsi="Times New Roman"/>
          <w:sz w:val="24"/>
          <w:szCs w:val="24"/>
          <w:lang w:val="es-ES_tradnl"/>
        </w:rPr>
        <w:t>responsable</w:t>
      </w:r>
      <w:r w:rsidR="008C6AA4" w:rsidRPr="00CE0714">
        <w:rPr>
          <w:rFonts w:ascii="Times New Roman" w:hAnsi="Times New Roman"/>
          <w:sz w:val="24"/>
          <w:szCs w:val="24"/>
          <w:lang w:val="es-ES_tradnl"/>
        </w:rPr>
        <w:t>s</w:t>
      </w:r>
      <w:r w:rsidR="00EB3B93" w:rsidRPr="00CE0714">
        <w:rPr>
          <w:rFonts w:ascii="Times New Roman" w:hAnsi="Times New Roman"/>
          <w:sz w:val="24"/>
          <w:szCs w:val="24"/>
          <w:lang w:val="es-ES_tradnl"/>
        </w:rPr>
        <w:t xml:space="preserve"> por la ejecución y coordinación de las actividades involucradas.</w:t>
      </w:r>
    </w:p>
    <w:p w:rsidR="001B405F" w:rsidRPr="00CE0714" w:rsidRDefault="00A94945" w:rsidP="00E46158">
      <w:pPr>
        <w:pStyle w:val="ListParagraph"/>
        <w:numPr>
          <w:ilvl w:val="0"/>
          <w:numId w:val="62"/>
        </w:numPr>
        <w:jc w:val="both"/>
        <w:rPr>
          <w:rFonts w:ascii="Times New Roman" w:hAnsi="Times New Roman"/>
          <w:sz w:val="24"/>
          <w:szCs w:val="24"/>
          <w:lang w:val="es-ES_tradnl"/>
        </w:rPr>
      </w:pPr>
      <w:r w:rsidRPr="00EB3B93">
        <w:rPr>
          <w:rFonts w:ascii="Times New Roman" w:hAnsi="Times New Roman"/>
          <w:sz w:val="24"/>
          <w:szCs w:val="24"/>
          <w:u w:val="single"/>
          <w:lang w:val="es-ES_tradnl"/>
        </w:rPr>
        <w:t>Falta de capacitación adecuada y constante de los usuarios en los sitios remotos</w:t>
      </w:r>
      <w:r w:rsidRPr="001575CB">
        <w:rPr>
          <w:rFonts w:ascii="Times New Roman" w:hAnsi="Times New Roman"/>
          <w:sz w:val="24"/>
          <w:szCs w:val="24"/>
          <w:lang w:val="es-ES_tradnl"/>
        </w:rPr>
        <w:t xml:space="preserve">. El éxito de un proyecto como la Red estatal se mide en términos del uso que se le dé. Si los usuarios no están capacitados adecuadamente no la utilizarán y, por tanto, el proyecto </w:t>
      </w:r>
      <w:r w:rsidR="002A6CEA" w:rsidRPr="001575CB">
        <w:rPr>
          <w:rFonts w:ascii="Times New Roman" w:hAnsi="Times New Roman"/>
          <w:sz w:val="24"/>
          <w:szCs w:val="24"/>
          <w:lang w:val="es-ES_tradnl"/>
        </w:rPr>
        <w:t>fracasará.</w:t>
      </w:r>
      <w:r w:rsidR="002A6CEA" w:rsidRPr="00CE0714">
        <w:rPr>
          <w:rFonts w:ascii="Times New Roman" w:hAnsi="Times New Roman"/>
          <w:sz w:val="24"/>
          <w:szCs w:val="24"/>
          <w:u w:val="single"/>
          <w:lang w:val="es-ES_tradnl"/>
        </w:rPr>
        <w:t xml:space="preserve"> Mitigación</w:t>
      </w:r>
      <w:r w:rsidR="00EE0BAC" w:rsidRPr="00CE0714">
        <w:rPr>
          <w:rFonts w:ascii="Times New Roman" w:hAnsi="Times New Roman"/>
          <w:sz w:val="24"/>
          <w:szCs w:val="24"/>
          <w:lang w:val="es-ES_tradnl"/>
        </w:rPr>
        <w:t xml:space="preserve">: </w:t>
      </w:r>
      <w:r w:rsidR="001B405F" w:rsidRPr="00CE0714">
        <w:rPr>
          <w:rFonts w:ascii="Times New Roman" w:hAnsi="Times New Roman"/>
          <w:sz w:val="24"/>
          <w:szCs w:val="24"/>
          <w:lang w:val="es-ES_tradnl"/>
        </w:rPr>
        <w:t>Preparar un plano de capacitación a los usuarios finales que incluya perfil de los capacitadores, perfil del usuario, contenido, tiempo necesario para capacitación, posibilidades de capacitación simultánea de varios usuarios, disponibilidad de la aplicaciones al momento de la capacitación, disponibilidad de los equipos necesarios para el uso de las aplicaciones al momento de la capacitación, responsables.</w:t>
      </w:r>
    </w:p>
    <w:p w:rsidR="001B405F" w:rsidRPr="00CE0714" w:rsidRDefault="001A1670" w:rsidP="00E46158">
      <w:pPr>
        <w:pStyle w:val="ListParagraph"/>
        <w:numPr>
          <w:ilvl w:val="0"/>
          <w:numId w:val="62"/>
        </w:numPr>
        <w:jc w:val="both"/>
        <w:rPr>
          <w:rFonts w:ascii="Times New Roman" w:hAnsi="Times New Roman"/>
          <w:sz w:val="24"/>
          <w:szCs w:val="24"/>
          <w:lang w:val="es-ES_tradnl"/>
        </w:rPr>
      </w:pPr>
      <w:r>
        <w:rPr>
          <w:rFonts w:ascii="Times New Roman" w:hAnsi="Times New Roman"/>
          <w:sz w:val="24"/>
          <w:szCs w:val="24"/>
          <w:u w:val="single"/>
          <w:lang w:val="es-ES_tradnl"/>
        </w:rPr>
        <w:t>Frecuencias de enlaces</w:t>
      </w:r>
      <w:r w:rsidRPr="001A1670">
        <w:rPr>
          <w:rFonts w:ascii="Times New Roman" w:hAnsi="Times New Roman"/>
          <w:sz w:val="24"/>
          <w:szCs w:val="24"/>
          <w:lang w:val="es-ES_tradnl"/>
        </w:rPr>
        <w:t xml:space="preserve">: </w:t>
      </w:r>
      <w:r>
        <w:rPr>
          <w:rFonts w:ascii="Times New Roman" w:hAnsi="Times New Roman"/>
          <w:sz w:val="24"/>
          <w:szCs w:val="24"/>
          <w:lang w:val="es-ES_tradnl"/>
        </w:rPr>
        <w:t>Para la creación de la red inalámbrica es necesaria la o</w:t>
      </w:r>
      <w:r w:rsidR="004F45FF" w:rsidRPr="001A1670">
        <w:rPr>
          <w:rFonts w:ascii="Times New Roman" w:hAnsi="Times New Roman"/>
          <w:sz w:val="24"/>
          <w:szCs w:val="24"/>
          <w:lang w:val="es-ES_tradnl"/>
        </w:rPr>
        <w:t>btención de frecuencias para enlaces de microondas y para WiMax</w:t>
      </w:r>
      <w:r w:rsidR="00EB3B93" w:rsidRPr="001A1670">
        <w:rPr>
          <w:rFonts w:ascii="Times New Roman" w:hAnsi="Times New Roman"/>
          <w:sz w:val="24"/>
          <w:szCs w:val="24"/>
          <w:lang w:val="es-ES_tradnl"/>
        </w:rPr>
        <w:t>.</w:t>
      </w:r>
      <w:r w:rsidRPr="001A1670">
        <w:rPr>
          <w:rFonts w:ascii="Times New Roman" w:hAnsi="Times New Roman"/>
          <w:sz w:val="24"/>
          <w:szCs w:val="24"/>
          <w:lang w:val="es-ES_tradnl"/>
        </w:rPr>
        <w:t xml:space="preserve"> </w:t>
      </w:r>
      <w:r w:rsidR="00EB3B93" w:rsidRPr="00CE0714">
        <w:rPr>
          <w:rFonts w:ascii="Times New Roman" w:hAnsi="Times New Roman"/>
          <w:sz w:val="24"/>
          <w:szCs w:val="24"/>
          <w:u w:val="single"/>
          <w:lang w:val="es-ES_tradnl"/>
        </w:rPr>
        <w:t>Mitigación</w:t>
      </w:r>
      <w:r w:rsidR="00EB3B93" w:rsidRPr="00CE0714">
        <w:rPr>
          <w:rFonts w:ascii="Times New Roman" w:hAnsi="Times New Roman"/>
          <w:sz w:val="24"/>
          <w:szCs w:val="24"/>
          <w:lang w:val="es-ES_tradnl"/>
        </w:rPr>
        <w:t xml:space="preserve">: </w:t>
      </w:r>
      <w:r w:rsidR="001B405F" w:rsidRPr="00CE0714">
        <w:rPr>
          <w:rFonts w:ascii="Times New Roman" w:hAnsi="Times New Roman"/>
          <w:sz w:val="24"/>
          <w:szCs w:val="24"/>
          <w:lang w:val="es-ES_tradnl"/>
        </w:rPr>
        <w:t>Solicitar las frecuencias a la SCT inmediatamente. No se requiere licitación por ser frecuencias para uso oficial, por lo que es sólo un trámite que se puede iniciar inmediatamente.</w:t>
      </w:r>
    </w:p>
    <w:p w:rsidR="00230C6C" w:rsidRPr="00CE0714" w:rsidRDefault="00230C6C" w:rsidP="00E46158">
      <w:pPr>
        <w:pStyle w:val="ListParagraph"/>
        <w:numPr>
          <w:ilvl w:val="0"/>
          <w:numId w:val="62"/>
        </w:numPr>
        <w:jc w:val="both"/>
        <w:rPr>
          <w:rFonts w:ascii="Times New Roman" w:hAnsi="Times New Roman"/>
          <w:sz w:val="24"/>
          <w:szCs w:val="24"/>
          <w:lang w:val="es-ES_tradnl"/>
        </w:rPr>
      </w:pPr>
      <w:r w:rsidRPr="00EB3B93">
        <w:rPr>
          <w:rFonts w:ascii="Times New Roman" w:hAnsi="Times New Roman"/>
          <w:sz w:val="24"/>
          <w:szCs w:val="24"/>
          <w:lang w:val="es-ES_tradnl"/>
        </w:rPr>
        <w:t xml:space="preserve">Las fallas en la red dorsal deberán repararse inmediatamente y se deberá dar atención tan pronto como sea posible a las fallas en los equipos terminales WiMax de los </w:t>
      </w:r>
      <w:r w:rsidR="002A6CEA" w:rsidRPr="00EB3B93">
        <w:rPr>
          <w:rFonts w:ascii="Times New Roman" w:hAnsi="Times New Roman"/>
          <w:sz w:val="24"/>
          <w:szCs w:val="24"/>
          <w:lang w:val="es-ES_tradnl"/>
        </w:rPr>
        <w:t>sitios.</w:t>
      </w:r>
      <w:r w:rsidR="002A6CEA" w:rsidRPr="00CE0714">
        <w:rPr>
          <w:rFonts w:ascii="Times New Roman" w:hAnsi="Times New Roman"/>
          <w:sz w:val="24"/>
          <w:szCs w:val="24"/>
          <w:u w:val="single"/>
          <w:lang w:val="es-ES_tradnl"/>
        </w:rPr>
        <w:t xml:space="preserve"> Mitigación</w:t>
      </w:r>
      <w:r w:rsidR="008C6AA4" w:rsidRPr="00CE0714">
        <w:rPr>
          <w:rFonts w:ascii="Times New Roman" w:hAnsi="Times New Roman"/>
          <w:sz w:val="24"/>
          <w:szCs w:val="24"/>
          <w:lang w:val="es-ES_tradnl"/>
        </w:rPr>
        <w:t xml:space="preserve">: el edital deberá </w:t>
      </w:r>
      <w:r w:rsidR="00E441B4" w:rsidRPr="00CE0714">
        <w:rPr>
          <w:rFonts w:ascii="Times New Roman" w:hAnsi="Times New Roman"/>
          <w:sz w:val="24"/>
          <w:szCs w:val="24"/>
          <w:lang w:val="es-ES_tradnl"/>
        </w:rPr>
        <w:t>especifica</w:t>
      </w:r>
      <w:r w:rsidR="008C6AA4" w:rsidRPr="00CE0714">
        <w:rPr>
          <w:rFonts w:ascii="Times New Roman" w:hAnsi="Times New Roman"/>
          <w:sz w:val="24"/>
          <w:szCs w:val="24"/>
          <w:lang w:val="es-ES_tradnl"/>
        </w:rPr>
        <w:t xml:space="preserve">r los requerimientos necesarios de </w:t>
      </w:r>
      <w:r w:rsidR="00E441B4" w:rsidRPr="00CE0714">
        <w:rPr>
          <w:rFonts w:ascii="Times New Roman" w:hAnsi="Times New Roman"/>
          <w:sz w:val="24"/>
          <w:szCs w:val="24"/>
          <w:lang w:val="es-ES_tradnl"/>
        </w:rPr>
        <w:t xml:space="preserve">disponibilidad </w:t>
      </w:r>
      <w:r w:rsidR="008C6AA4" w:rsidRPr="00CE0714">
        <w:rPr>
          <w:rFonts w:ascii="Times New Roman" w:hAnsi="Times New Roman"/>
          <w:sz w:val="24"/>
          <w:szCs w:val="24"/>
          <w:lang w:val="es-ES_tradnl"/>
        </w:rPr>
        <w:t xml:space="preserve">de la Red dorsal, y tiempos aceptables de reparo. </w:t>
      </w:r>
    </w:p>
    <w:p w:rsidR="00230C6C" w:rsidRPr="00CE0714" w:rsidRDefault="00230C6C" w:rsidP="00E46158">
      <w:pPr>
        <w:pStyle w:val="ListParagraph"/>
        <w:numPr>
          <w:ilvl w:val="0"/>
          <w:numId w:val="62"/>
        </w:numPr>
        <w:jc w:val="both"/>
        <w:rPr>
          <w:rFonts w:ascii="Times New Roman" w:hAnsi="Times New Roman"/>
          <w:sz w:val="24"/>
          <w:szCs w:val="24"/>
          <w:lang w:val="es-ES_tradnl"/>
        </w:rPr>
      </w:pPr>
      <w:r w:rsidRPr="00EB3B93">
        <w:rPr>
          <w:rFonts w:ascii="Times New Roman" w:hAnsi="Times New Roman"/>
          <w:sz w:val="24"/>
          <w:szCs w:val="24"/>
          <w:lang w:val="es-ES_tradnl"/>
        </w:rPr>
        <w:t>Los sitios remotos deberán contar con el equi</w:t>
      </w:r>
      <w:r w:rsidR="00706AC2">
        <w:rPr>
          <w:rFonts w:ascii="Times New Roman" w:hAnsi="Times New Roman"/>
          <w:sz w:val="24"/>
          <w:szCs w:val="24"/>
          <w:lang w:val="es-ES_tradnl"/>
        </w:rPr>
        <w:t>po necesario para aprovechar la</w:t>
      </w:r>
      <w:r w:rsidRPr="00EB3B93">
        <w:rPr>
          <w:rFonts w:ascii="Times New Roman" w:hAnsi="Times New Roman"/>
          <w:sz w:val="24"/>
          <w:szCs w:val="24"/>
          <w:lang w:val="es-ES_tradnl"/>
        </w:rPr>
        <w:t xml:space="preserve"> red (computadoras, impresoras, equipos de telemedicina, etc.), así como el mantenimiento adecuado y oportuno tanto de dicho equipo como del equipo terminal WIMax. Si no existe el equipo en los sitios remotos o si cuando se descomponga no se repara oportunamente, la Red en ese sitio dejará de utilizarse.</w:t>
      </w:r>
      <w:r w:rsidR="00EB3B93">
        <w:rPr>
          <w:rFonts w:ascii="Times New Roman" w:hAnsi="Times New Roman"/>
          <w:sz w:val="24"/>
          <w:szCs w:val="24"/>
          <w:lang w:val="es-ES_tradnl"/>
        </w:rPr>
        <w:t xml:space="preserve"> </w:t>
      </w:r>
      <w:r w:rsidR="00EB3B93" w:rsidRPr="00CE0714">
        <w:rPr>
          <w:rFonts w:ascii="Times New Roman" w:hAnsi="Times New Roman"/>
          <w:sz w:val="24"/>
          <w:szCs w:val="24"/>
          <w:u w:val="single"/>
          <w:lang w:val="es-ES_tradnl"/>
        </w:rPr>
        <w:t>Mitigación</w:t>
      </w:r>
      <w:r w:rsidR="00EB3B93" w:rsidRPr="00CE0714">
        <w:rPr>
          <w:rFonts w:ascii="Times New Roman" w:hAnsi="Times New Roman"/>
          <w:sz w:val="24"/>
          <w:szCs w:val="24"/>
          <w:lang w:val="es-ES_tradnl"/>
        </w:rPr>
        <w:t xml:space="preserve">: </w:t>
      </w:r>
      <w:r w:rsidR="001B405F" w:rsidRPr="00CE0714">
        <w:rPr>
          <w:rFonts w:ascii="Times New Roman" w:hAnsi="Times New Roman"/>
          <w:sz w:val="24"/>
          <w:szCs w:val="24"/>
          <w:lang w:val="es-ES_tradnl"/>
        </w:rPr>
        <w:t>El comité técnico deberá crear un plan de lanzamiento de sitios con reglas y requisitos mínimos para conectárselos</w:t>
      </w:r>
      <w:r w:rsidR="00706AC2" w:rsidRPr="00CE0714">
        <w:rPr>
          <w:rFonts w:ascii="Times New Roman" w:hAnsi="Times New Roman"/>
          <w:sz w:val="24"/>
          <w:szCs w:val="24"/>
          <w:lang w:val="es-ES_tradnl"/>
        </w:rPr>
        <w:t>.</w:t>
      </w:r>
      <w:r w:rsidR="001B405F" w:rsidRPr="00CE0714">
        <w:rPr>
          <w:lang w:val="es-ES_tradnl"/>
        </w:rPr>
        <w:t xml:space="preserve"> </w:t>
      </w:r>
      <w:r w:rsidR="001B405F" w:rsidRPr="00CE0714">
        <w:rPr>
          <w:rFonts w:ascii="Times New Roman" w:hAnsi="Times New Roman"/>
          <w:sz w:val="24"/>
          <w:szCs w:val="24"/>
          <w:lang w:val="es-ES_tradnl"/>
        </w:rPr>
        <w:t>Asimismo, cada "actor" deberá demostrar que cuenta (o contará oportunamente) con los recursos necesarios para la adquisición de dichos equipos.</w:t>
      </w:r>
    </w:p>
    <w:p w:rsidR="000D6515" w:rsidRPr="00CE0714" w:rsidRDefault="00E441B4" w:rsidP="00E46158">
      <w:pPr>
        <w:pStyle w:val="ListParagraph"/>
        <w:numPr>
          <w:ilvl w:val="0"/>
          <w:numId w:val="62"/>
        </w:numPr>
        <w:jc w:val="both"/>
        <w:rPr>
          <w:rFonts w:ascii="Times New Roman" w:hAnsi="Times New Roman"/>
          <w:sz w:val="24"/>
          <w:szCs w:val="24"/>
          <w:lang w:val="es-ES_tradnl"/>
        </w:rPr>
      </w:pPr>
      <w:r w:rsidRPr="00EB3B93">
        <w:rPr>
          <w:rFonts w:ascii="Times New Roman" w:hAnsi="Times New Roman"/>
          <w:sz w:val="24"/>
          <w:szCs w:val="24"/>
          <w:u w:val="single"/>
          <w:lang w:val="es-ES_tradnl"/>
        </w:rPr>
        <w:t>La falta de aplicaciones y servicios accesibles a través de la red</w:t>
      </w:r>
      <w:r w:rsidRPr="001575CB">
        <w:rPr>
          <w:rFonts w:ascii="Times New Roman" w:hAnsi="Times New Roman"/>
          <w:sz w:val="24"/>
          <w:szCs w:val="24"/>
          <w:lang w:val="es-ES_tradnl"/>
        </w:rPr>
        <w:t xml:space="preserve"> representa otro riesgo importante ya que sin aplicaciones y servicios la Red no será utilizada y el proyecto fracasará.</w:t>
      </w:r>
      <w:r>
        <w:rPr>
          <w:rFonts w:ascii="Times New Roman" w:hAnsi="Times New Roman"/>
          <w:sz w:val="24"/>
          <w:szCs w:val="24"/>
          <w:lang w:val="es-ES_tradnl"/>
        </w:rPr>
        <w:t xml:space="preserve"> </w:t>
      </w:r>
      <w:r w:rsidRPr="00CE0714">
        <w:rPr>
          <w:rFonts w:ascii="Times New Roman" w:hAnsi="Times New Roman"/>
          <w:sz w:val="24"/>
          <w:szCs w:val="24"/>
          <w:u w:val="single"/>
          <w:lang w:val="es-ES_tradnl"/>
        </w:rPr>
        <w:t>Mitigación</w:t>
      </w:r>
      <w:r w:rsidRPr="00CE0714">
        <w:rPr>
          <w:rFonts w:ascii="Times New Roman" w:hAnsi="Times New Roman"/>
          <w:sz w:val="24"/>
          <w:szCs w:val="24"/>
          <w:lang w:val="es-ES_tradnl"/>
        </w:rPr>
        <w:t xml:space="preserve">: </w:t>
      </w:r>
      <w:r w:rsidR="001B405F" w:rsidRPr="00CE0714">
        <w:rPr>
          <w:rFonts w:ascii="Times New Roman" w:hAnsi="Times New Roman"/>
          <w:sz w:val="24"/>
          <w:szCs w:val="24"/>
          <w:lang w:val="es-ES_tradnl"/>
        </w:rPr>
        <w:t xml:space="preserve">El comité técnico deberá crear un plan de lanzamiento de sitios con reglas y requisitos mínimos para conectárselos. </w:t>
      </w:r>
      <w:r w:rsidR="000D6515" w:rsidRPr="00CE0714">
        <w:rPr>
          <w:rFonts w:ascii="Times New Roman" w:hAnsi="Times New Roman"/>
          <w:sz w:val="24"/>
          <w:szCs w:val="24"/>
          <w:lang w:val="es-ES_tradnl"/>
        </w:rPr>
        <w:t>Asimismo, cada "actor" deberá demostrar que ya cuenta (o contará oportunamente) con las aplicaciones.</w:t>
      </w:r>
    </w:p>
    <w:p w:rsidR="00230C6C" w:rsidRPr="00CE0714" w:rsidRDefault="00340DA1" w:rsidP="00E46158">
      <w:pPr>
        <w:pStyle w:val="ListParagraph"/>
        <w:numPr>
          <w:ilvl w:val="0"/>
          <w:numId w:val="62"/>
        </w:numPr>
        <w:jc w:val="both"/>
        <w:rPr>
          <w:rFonts w:ascii="Times New Roman" w:hAnsi="Times New Roman"/>
          <w:sz w:val="24"/>
          <w:szCs w:val="24"/>
          <w:lang w:val="es-ES_tradnl"/>
        </w:rPr>
      </w:pPr>
      <w:r w:rsidRPr="000D6515">
        <w:rPr>
          <w:rFonts w:ascii="Times New Roman" w:hAnsi="Times New Roman"/>
          <w:sz w:val="24"/>
          <w:szCs w:val="24"/>
          <w:u w:val="single"/>
          <w:lang w:val="es-ES_tradnl"/>
        </w:rPr>
        <w:t>E</w:t>
      </w:r>
      <w:r w:rsidR="00230C6C" w:rsidRPr="000D6515">
        <w:rPr>
          <w:rFonts w:ascii="Times New Roman" w:hAnsi="Times New Roman"/>
          <w:sz w:val="24"/>
          <w:szCs w:val="24"/>
          <w:u w:val="single"/>
          <w:lang w:val="es-ES_tradnl"/>
        </w:rPr>
        <w:t xml:space="preserve">l uso de </w:t>
      </w:r>
      <w:r w:rsidR="00230C6C" w:rsidRPr="000D6515">
        <w:rPr>
          <w:rFonts w:ascii="Times New Roman" w:hAnsi="Times New Roman"/>
          <w:sz w:val="24"/>
          <w:szCs w:val="24"/>
          <w:lang w:val="es-ES_tradnl"/>
        </w:rPr>
        <w:t>la Red deberá ser percibido por los usuarios como un beneficio real y tangible. De lo contrario, aun cuando toda la infraestructura funcione a la perfección, los usuarios no utilizarán la Red</w:t>
      </w:r>
      <w:r w:rsidR="00EB3B93" w:rsidRPr="000D6515">
        <w:rPr>
          <w:rFonts w:ascii="Times New Roman" w:hAnsi="Times New Roman"/>
          <w:sz w:val="24"/>
          <w:szCs w:val="24"/>
          <w:lang w:val="es-ES_tradnl"/>
        </w:rPr>
        <w:t xml:space="preserve">. </w:t>
      </w:r>
      <w:r w:rsidR="00EB3B93" w:rsidRPr="00CE0714">
        <w:rPr>
          <w:rFonts w:ascii="Times New Roman" w:hAnsi="Times New Roman"/>
          <w:sz w:val="24"/>
          <w:szCs w:val="24"/>
          <w:u w:val="single"/>
          <w:lang w:val="es-ES_tradnl"/>
        </w:rPr>
        <w:t>Mitigación</w:t>
      </w:r>
      <w:r w:rsidR="00EB3B93" w:rsidRPr="00CE0714">
        <w:rPr>
          <w:rFonts w:ascii="Times New Roman" w:hAnsi="Times New Roman"/>
          <w:sz w:val="24"/>
          <w:szCs w:val="24"/>
          <w:lang w:val="es-ES_tradnl"/>
        </w:rPr>
        <w:t xml:space="preserve">: </w:t>
      </w:r>
      <w:r w:rsidRPr="00CE0714">
        <w:rPr>
          <w:rFonts w:ascii="Times New Roman" w:hAnsi="Times New Roman"/>
          <w:sz w:val="24"/>
          <w:szCs w:val="24"/>
          <w:lang w:val="es-ES_tradnl"/>
        </w:rPr>
        <w:t xml:space="preserve">coordinación </w:t>
      </w:r>
      <w:r w:rsidR="00706AC2" w:rsidRPr="00CE0714">
        <w:rPr>
          <w:rFonts w:ascii="Times New Roman" w:hAnsi="Times New Roman"/>
          <w:sz w:val="24"/>
          <w:szCs w:val="24"/>
          <w:lang w:val="es-ES_tradnl"/>
        </w:rPr>
        <w:t xml:space="preserve">de actividades de comunicación para divulgación de </w:t>
      </w:r>
      <w:r w:rsidRPr="00CE0714">
        <w:rPr>
          <w:rFonts w:ascii="Times New Roman" w:hAnsi="Times New Roman"/>
          <w:sz w:val="24"/>
          <w:szCs w:val="24"/>
          <w:lang w:val="es-ES_tradnl"/>
        </w:rPr>
        <w:t xml:space="preserve">aplicaciones disponibles y </w:t>
      </w:r>
      <w:r w:rsidR="00706AC2" w:rsidRPr="00CE0714">
        <w:rPr>
          <w:rFonts w:ascii="Times New Roman" w:hAnsi="Times New Roman"/>
          <w:sz w:val="24"/>
          <w:szCs w:val="24"/>
          <w:lang w:val="es-ES_tradnl"/>
        </w:rPr>
        <w:t>los b</w:t>
      </w:r>
      <w:r w:rsidRPr="00CE0714">
        <w:rPr>
          <w:rFonts w:ascii="Times New Roman" w:hAnsi="Times New Roman"/>
          <w:sz w:val="24"/>
          <w:szCs w:val="24"/>
          <w:lang w:val="es-ES_tradnl"/>
        </w:rPr>
        <w:t>eneficios</w:t>
      </w:r>
      <w:r w:rsidR="00706AC2" w:rsidRPr="00CE0714">
        <w:rPr>
          <w:rFonts w:ascii="Times New Roman" w:hAnsi="Times New Roman"/>
          <w:sz w:val="24"/>
          <w:szCs w:val="24"/>
          <w:lang w:val="es-ES_tradnl"/>
        </w:rPr>
        <w:t xml:space="preserve"> a </w:t>
      </w:r>
      <w:r w:rsidR="002A6CEA" w:rsidRPr="00CE0714">
        <w:rPr>
          <w:rFonts w:ascii="Times New Roman" w:hAnsi="Times New Roman"/>
          <w:sz w:val="24"/>
          <w:szCs w:val="24"/>
          <w:lang w:val="es-ES_tradnl"/>
        </w:rPr>
        <w:t>usuarios</w:t>
      </w:r>
      <w:r w:rsidR="00706AC2" w:rsidRPr="00CE0714">
        <w:rPr>
          <w:rFonts w:ascii="Times New Roman" w:hAnsi="Times New Roman"/>
          <w:sz w:val="24"/>
          <w:szCs w:val="24"/>
          <w:lang w:val="es-ES_tradnl"/>
        </w:rPr>
        <w:t>.</w:t>
      </w:r>
      <w:r w:rsidR="00FD4109" w:rsidRPr="00CE0714">
        <w:rPr>
          <w:rFonts w:ascii="Times New Roman" w:hAnsi="Times New Roman"/>
          <w:sz w:val="24"/>
          <w:szCs w:val="24"/>
          <w:lang w:val="es-ES_tradnl"/>
        </w:rPr>
        <w:t xml:space="preserve"> Asimismo, el uso de las aplicaciones deberá realmente facilitar el trabajo de los usuarios o le permitirá al usuario realizar actividades necesarias que sin la red no podría realizar o que tendría que desplazarse para realizarlas</w:t>
      </w:r>
    </w:p>
    <w:p w:rsidR="00D01CA8" w:rsidRDefault="00D01CA8" w:rsidP="002B4F0A">
      <w:pPr>
        <w:jc w:val="both"/>
        <w:rPr>
          <w:rFonts w:ascii="Times New Roman" w:hAnsi="Times New Roman"/>
          <w:b/>
          <w:sz w:val="24"/>
          <w:szCs w:val="24"/>
          <w:lang w:val="es-ES_tradnl"/>
        </w:rPr>
      </w:pPr>
    </w:p>
    <w:p w:rsidR="00982C22" w:rsidRPr="00F07E46" w:rsidRDefault="00763BF9" w:rsidP="00B961B7">
      <w:pPr>
        <w:pStyle w:val="FirstHeading"/>
        <w:rPr>
          <w:lang w:val="es-ES_tradnl"/>
        </w:rPr>
      </w:pPr>
      <w:r>
        <w:rPr>
          <w:lang w:val="es-ES_tradnl"/>
        </w:rPr>
        <w:fldChar w:fldCharType="begin"/>
      </w:r>
      <w:r w:rsidR="00B961B7">
        <w:rPr>
          <w:lang w:val="es-ES_tradnl"/>
        </w:rPr>
        <w:instrText xml:space="preserve"> SEQ "</w:instrText>
      </w:r>
      <w:fldSimple w:instr=" SECTION  \* MERGEFORMAT ">
        <w:r w:rsidR="00B961B7">
          <w:rPr>
            <w:lang w:val="es-ES_tradnl"/>
          </w:rPr>
          <w:instrText>1</w:instrText>
        </w:r>
      </w:fldSimple>
      <w:r w:rsidR="00B961B7">
        <w:rPr>
          <w:lang w:val="es-ES_tradnl"/>
        </w:rPr>
        <w:instrText xml:space="preserve">#"\* ALPHABETIC \* MERGEFORMAT </w:instrText>
      </w:r>
      <w:r>
        <w:rPr>
          <w:lang w:val="es-ES_tradnl"/>
        </w:rPr>
        <w:fldChar w:fldCharType="separate"/>
      </w:r>
      <w:r w:rsidR="00B961B7">
        <w:rPr>
          <w:noProof/>
          <w:lang w:val="es-ES_tradnl"/>
        </w:rPr>
        <w:t>H</w:t>
      </w:r>
      <w:r>
        <w:rPr>
          <w:lang w:val="es-ES_tradnl"/>
        </w:rPr>
        <w:fldChar w:fldCharType="end"/>
      </w:r>
      <w:r w:rsidR="00B961B7">
        <w:rPr>
          <w:lang w:val="es-ES_tradnl"/>
        </w:rPr>
        <w:t>.</w:t>
      </w:r>
      <w:r w:rsidR="00B961B7">
        <w:rPr>
          <w:lang w:val="es-ES_tradnl"/>
        </w:rPr>
        <w:tab/>
      </w:r>
      <w:r w:rsidR="00F07E46">
        <w:rPr>
          <w:lang w:val="es-ES_tradnl"/>
        </w:rPr>
        <w:t>Presupuestos</w:t>
      </w:r>
      <w:r w:rsidR="00402B28">
        <w:rPr>
          <w:lang w:val="es-ES_tradnl"/>
        </w:rPr>
        <w:t xml:space="preserve"> del componente</w:t>
      </w:r>
      <w:r w:rsidR="00660F46">
        <w:rPr>
          <w:lang w:val="es-ES_tradnl"/>
        </w:rPr>
        <w:t xml:space="preserve">, calendario de implementación y desembolsos </w:t>
      </w:r>
      <w:r w:rsidR="00F07E46">
        <w:rPr>
          <w:lang w:val="es-ES_tradnl"/>
        </w:rPr>
        <w:t xml:space="preserve"> </w:t>
      </w:r>
    </w:p>
    <w:p w:rsidR="00F343F8" w:rsidRDefault="00F343F8" w:rsidP="00F343F8">
      <w:pPr>
        <w:pStyle w:val="Paragraph"/>
        <w:tabs>
          <w:tab w:val="clear" w:pos="1728"/>
          <w:tab w:val="num" w:pos="720"/>
        </w:tabs>
        <w:ind w:left="720" w:hanging="720"/>
        <w:rPr>
          <w:lang w:val="es-ES_tradnl"/>
        </w:rPr>
      </w:pPr>
      <w:r w:rsidRPr="005D5B3C">
        <w:rPr>
          <w:lang w:val="es-ES_tradnl"/>
        </w:rPr>
        <w:t xml:space="preserve">El </w:t>
      </w:r>
      <w:r>
        <w:rPr>
          <w:lang w:val="es-ES_tradnl"/>
        </w:rPr>
        <w:t xml:space="preserve">costo total del componente Agenda Digital </w:t>
      </w:r>
      <w:r w:rsidR="006F54AB">
        <w:rPr>
          <w:lang w:val="es-ES_tradnl"/>
        </w:rPr>
        <w:t xml:space="preserve">con sus dos subcomponentes </w:t>
      </w:r>
      <w:r>
        <w:rPr>
          <w:lang w:val="es-ES_tradnl"/>
        </w:rPr>
        <w:t xml:space="preserve">asciende a US$ </w:t>
      </w:r>
      <w:r w:rsidR="006F54AB">
        <w:rPr>
          <w:lang w:val="es-ES_tradnl"/>
        </w:rPr>
        <w:t>22.7 millones</w:t>
      </w:r>
      <w:r>
        <w:rPr>
          <w:lang w:val="es-ES_tradnl"/>
        </w:rPr>
        <w:t>, según se detalla en los cuadros 1 (SIAF) y 2 (REBA</w:t>
      </w:r>
      <w:r w:rsidR="001F6712">
        <w:rPr>
          <w:lang w:val="es-ES_tradnl"/>
        </w:rPr>
        <w:t xml:space="preserve"> Fase I</w:t>
      </w:r>
      <w:r w:rsidR="006F54AB">
        <w:rPr>
          <w:lang w:val="es-ES_tradnl"/>
        </w:rPr>
        <w:t>)</w:t>
      </w:r>
      <w:r>
        <w:rPr>
          <w:lang w:val="es-ES_tradnl"/>
        </w:rPr>
        <w:t>:</w:t>
      </w:r>
    </w:p>
    <w:p w:rsidR="00660F46" w:rsidRPr="000A1BC8" w:rsidRDefault="00F343F8" w:rsidP="004329F7">
      <w:pPr>
        <w:pStyle w:val="subpar"/>
        <w:tabs>
          <w:tab w:val="clear" w:pos="1584"/>
          <w:tab w:val="num" w:pos="0"/>
        </w:tabs>
        <w:ind w:left="720" w:hanging="360"/>
        <w:rPr>
          <w:lang w:val="es-ES_tradnl"/>
        </w:rPr>
      </w:pPr>
      <w:r w:rsidRPr="00F343F8">
        <w:rPr>
          <w:b/>
          <w:lang w:val="es-ES_tradnl"/>
        </w:rPr>
        <w:t>Subcomponente 1: SIA</w:t>
      </w:r>
      <w:r w:rsidR="002F58F3" w:rsidRPr="000A1BC8">
        <w:rPr>
          <w:b/>
          <w:lang w:val="es-ES_tradnl"/>
        </w:rPr>
        <w:t>F</w:t>
      </w:r>
      <w:r w:rsidR="002F58F3" w:rsidRPr="000A1BC8">
        <w:rPr>
          <w:lang w:val="es-ES_tradnl"/>
        </w:rPr>
        <w:t xml:space="preserve"> </w:t>
      </w:r>
      <w:r w:rsidR="004329F7" w:rsidRPr="00624880">
        <w:rPr>
          <w:b/>
          <w:lang w:val="es-ES_tradnl"/>
        </w:rPr>
        <w:t>Sistema Integrado de Administración Financiera y Presupuestaria</w:t>
      </w:r>
      <w:r w:rsidR="00117F08">
        <w:rPr>
          <w:lang w:val="es-ES_tradnl"/>
        </w:rPr>
        <w:t xml:space="preserve">: </w:t>
      </w:r>
    </w:p>
    <w:p w:rsidR="00F343F8" w:rsidRDefault="00660F46" w:rsidP="0074609F">
      <w:pPr>
        <w:pStyle w:val="SubSubPar"/>
        <w:tabs>
          <w:tab w:val="clear" w:pos="2016"/>
          <w:tab w:val="num" w:pos="1296"/>
        </w:tabs>
        <w:ind w:left="1296"/>
        <w:rPr>
          <w:szCs w:val="24"/>
          <w:lang w:val="es-ES_tradnl"/>
        </w:rPr>
      </w:pPr>
      <w:r w:rsidRPr="0074609F">
        <w:rPr>
          <w:b/>
          <w:szCs w:val="24"/>
          <w:lang w:val="es-ES_tradnl"/>
        </w:rPr>
        <w:t>Presupuesto</w:t>
      </w:r>
      <w:r w:rsidRPr="0074609F">
        <w:rPr>
          <w:szCs w:val="24"/>
          <w:lang w:val="es-ES_tradnl"/>
        </w:rPr>
        <w:t xml:space="preserve">: </w:t>
      </w:r>
      <w:r w:rsidR="009144E5" w:rsidRPr="0074609F">
        <w:rPr>
          <w:szCs w:val="24"/>
          <w:lang w:val="es-ES_tradnl"/>
        </w:rPr>
        <w:t xml:space="preserve">La estimación del </w:t>
      </w:r>
      <w:r w:rsidRPr="0074609F">
        <w:rPr>
          <w:szCs w:val="24"/>
          <w:lang w:val="es-ES_tradnl"/>
        </w:rPr>
        <w:t xml:space="preserve">costo del </w:t>
      </w:r>
      <w:r w:rsidR="009144E5" w:rsidRPr="0074609F">
        <w:rPr>
          <w:szCs w:val="24"/>
          <w:lang w:val="es-ES_tradnl"/>
        </w:rPr>
        <w:t>subcomponente SIAF es de US$ 10,250</w:t>
      </w:r>
      <w:r w:rsidR="00D063DD" w:rsidRPr="0074609F">
        <w:rPr>
          <w:szCs w:val="24"/>
          <w:lang w:val="es-ES_tradnl"/>
        </w:rPr>
        <w:t xml:space="preserve"> millones </w:t>
      </w:r>
      <w:r w:rsidR="001F65CE" w:rsidRPr="0074609F">
        <w:rPr>
          <w:szCs w:val="24"/>
          <w:lang w:val="es-ES_tradnl"/>
        </w:rPr>
        <w:t xml:space="preserve">y </w:t>
      </w:r>
      <w:r w:rsidR="00F343F8" w:rsidRPr="0074609F">
        <w:rPr>
          <w:szCs w:val="24"/>
          <w:lang w:val="es-ES_tradnl"/>
        </w:rPr>
        <w:t>fue</w:t>
      </w:r>
      <w:r w:rsidR="006523AB" w:rsidRPr="0074609F">
        <w:rPr>
          <w:szCs w:val="24"/>
          <w:lang w:val="es-ES_tradnl"/>
        </w:rPr>
        <w:t xml:space="preserve"> basada</w:t>
      </w:r>
      <w:r w:rsidR="00F343F8" w:rsidRPr="0074609F">
        <w:rPr>
          <w:szCs w:val="24"/>
          <w:lang w:val="es-ES_tradnl"/>
        </w:rPr>
        <w:t xml:space="preserve"> en el estudio de pre factibilidad económica elaborado a través de la consultoría contratada de Antonio Seco Ferreira. Los presupuestos incluyen IVA a todos los bienes y servicios.</w:t>
      </w:r>
    </w:p>
    <w:p w:rsidR="00EE4319" w:rsidRPr="0074609F" w:rsidRDefault="00EE4319" w:rsidP="00EE4319">
      <w:pPr>
        <w:pStyle w:val="SubSubPar"/>
        <w:numPr>
          <w:ilvl w:val="0"/>
          <w:numId w:val="0"/>
        </w:numPr>
        <w:spacing w:before="0" w:after="0"/>
        <w:rPr>
          <w:szCs w:val="24"/>
          <w:lang w:val="es-ES_tradnl"/>
        </w:rPr>
      </w:pPr>
      <w:r w:rsidRPr="00EE4319">
        <w:rPr>
          <w:noProof/>
          <w:szCs w:val="24"/>
        </w:rPr>
        <w:drawing>
          <wp:inline distT="0" distB="0" distL="0" distR="0">
            <wp:extent cx="5943600" cy="156597"/>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943600" cy="156597"/>
                    </a:xfrm>
                    <a:prstGeom prst="rect">
                      <a:avLst/>
                    </a:prstGeom>
                    <a:noFill/>
                    <a:ln w="9525">
                      <a:noFill/>
                      <a:miter lim="800000"/>
                      <a:headEnd/>
                      <a:tailEnd/>
                    </a:ln>
                  </pic:spPr>
                </pic:pic>
              </a:graphicData>
            </a:graphic>
          </wp:inline>
        </w:drawing>
      </w:r>
    </w:p>
    <w:p w:rsidR="00D845D5" w:rsidRPr="006D72A1" w:rsidRDefault="009144E5" w:rsidP="002B4F0A">
      <w:pPr>
        <w:jc w:val="both"/>
        <w:rPr>
          <w:rFonts w:ascii="Times New Roman" w:hAnsi="Times New Roman"/>
          <w:sz w:val="20"/>
          <w:szCs w:val="20"/>
          <w:lang w:val="pt-BR"/>
        </w:rPr>
      </w:pPr>
      <w:r w:rsidRPr="009144E5">
        <w:rPr>
          <w:noProof/>
          <w:szCs w:val="20"/>
        </w:rPr>
        <w:drawing>
          <wp:inline distT="0" distB="0" distL="0" distR="0">
            <wp:extent cx="5943600" cy="3117482"/>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943600" cy="3117482"/>
                    </a:xfrm>
                    <a:prstGeom prst="rect">
                      <a:avLst/>
                    </a:prstGeom>
                    <a:noFill/>
                    <a:ln w="9525">
                      <a:noFill/>
                      <a:miter lim="800000"/>
                      <a:headEnd/>
                      <a:tailEnd/>
                    </a:ln>
                  </pic:spPr>
                </pic:pic>
              </a:graphicData>
            </a:graphic>
          </wp:inline>
        </w:drawing>
      </w:r>
    </w:p>
    <w:p w:rsidR="009144E5" w:rsidRDefault="009144E5" w:rsidP="002B4F0A">
      <w:pPr>
        <w:jc w:val="both"/>
        <w:rPr>
          <w:rFonts w:ascii="Times New Roman" w:hAnsi="Times New Roman"/>
          <w:i/>
          <w:sz w:val="20"/>
          <w:szCs w:val="24"/>
          <w:lang w:val="pt-BR"/>
        </w:rPr>
      </w:pPr>
    </w:p>
    <w:p w:rsidR="00660F46" w:rsidRDefault="00660F46" w:rsidP="002B4F0A">
      <w:pPr>
        <w:jc w:val="both"/>
        <w:rPr>
          <w:rFonts w:ascii="Times New Roman" w:hAnsi="Times New Roman"/>
          <w:i/>
          <w:sz w:val="20"/>
          <w:szCs w:val="24"/>
          <w:lang w:val="pt-BR"/>
        </w:rPr>
      </w:pPr>
    </w:p>
    <w:p w:rsidR="00660F46" w:rsidRDefault="00660F46" w:rsidP="00660F46">
      <w:pPr>
        <w:pStyle w:val="SubSubPar"/>
        <w:tabs>
          <w:tab w:val="clear" w:pos="2016"/>
          <w:tab w:val="num" w:pos="1296"/>
        </w:tabs>
        <w:ind w:left="1296"/>
        <w:rPr>
          <w:szCs w:val="24"/>
          <w:lang w:val="es-ES_tradnl"/>
        </w:rPr>
      </w:pPr>
      <w:r w:rsidRPr="00660F46">
        <w:rPr>
          <w:b/>
          <w:lang w:val="es-ES_tradnl"/>
        </w:rPr>
        <w:t>Calendario de Implementación</w:t>
      </w:r>
      <w:r w:rsidRPr="00660F46">
        <w:rPr>
          <w:lang w:val="es-ES_tradnl"/>
        </w:rPr>
        <w:t xml:space="preserve"> de la solución SIAFyP está prevista para 31 meses (fase preparatoria de 8 meses, implementación 23 meses). </w:t>
      </w:r>
      <w:r w:rsidRPr="00660F46">
        <w:rPr>
          <w:b/>
          <w:szCs w:val="24"/>
          <w:lang w:val="es-ES_tradnl"/>
        </w:rPr>
        <w:t>La fase preparatoria: 8 meses (</w:t>
      </w:r>
      <w:r w:rsidRPr="00660F46">
        <w:rPr>
          <w:szCs w:val="24"/>
          <w:lang w:val="es-ES_tradnl"/>
        </w:rPr>
        <w:t xml:space="preserve">Definición del equipo técnico; Puesta en marcha de la Unidad de Implementación del Proyecto; Bases de Licitación (solución GRP), Licitación; Contratación de la solución GRP; Licitación y contratación de los equipos de microinformática; Definición del equipo de técnicos locales participantes). </w:t>
      </w:r>
      <w:r w:rsidRPr="00660F46">
        <w:rPr>
          <w:b/>
          <w:szCs w:val="24"/>
          <w:lang w:val="es-ES_tradnl"/>
        </w:rPr>
        <w:t>Implementación del proyecto: 23 meses (</w:t>
      </w:r>
      <w:r w:rsidRPr="00660F46">
        <w:rPr>
          <w:szCs w:val="24"/>
          <w:lang w:val="es-ES_tradnl"/>
        </w:rPr>
        <w:t>Instalación del proyecto;</w:t>
      </w:r>
      <w:r w:rsidR="0074609F">
        <w:rPr>
          <w:szCs w:val="24"/>
          <w:lang w:val="es-ES_tradnl"/>
        </w:rPr>
        <w:t xml:space="preserve"> </w:t>
      </w:r>
      <w:r w:rsidRPr="00660F46">
        <w:rPr>
          <w:szCs w:val="24"/>
          <w:lang w:val="es-ES_tradnl"/>
        </w:rPr>
        <w:t xml:space="preserve">Análisis, definición de modelos, revisión, reglas de negocio, etc.; Licitación y contratación de los equipos servidores y licencias de base de datos; Desarrollo / ajustes; Pruebas / homologación; Implantación dependencias actuales; Capacitación; Sustentación; Planeación para expansión hacia otras dependencias). </w:t>
      </w:r>
    </w:p>
    <w:p w:rsidR="00660F46" w:rsidRPr="00660F46" w:rsidRDefault="00660F46" w:rsidP="00660F46">
      <w:pPr>
        <w:pStyle w:val="SubSubPar"/>
        <w:tabs>
          <w:tab w:val="clear" w:pos="2016"/>
          <w:tab w:val="num" w:pos="1296"/>
        </w:tabs>
        <w:ind w:left="1296"/>
        <w:rPr>
          <w:szCs w:val="24"/>
          <w:lang w:val="es-ES_tradnl"/>
        </w:rPr>
      </w:pPr>
      <w:r w:rsidRPr="00660F46">
        <w:rPr>
          <w:b/>
          <w:szCs w:val="24"/>
          <w:lang w:val="es-ES_tradnl"/>
        </w:rPr>
        <w:t>Desembolsos</w:t>
      </w:r>
      <w:r>
        <w:rPr>
          <w:szCs w:val="24"/>
          <w:lang w:val="es-ES_tradnl"/>
        </w:rPr>
        <w:t xml:space="preserve">: </w:t>
      </w:r>
      <w:r w:rsidRPr="00660F46">
        <w:rPr>
          <w:lang w:val="es-ES_tradnl"/>
        </w:rPr>
        <w:t>Los desembolsos anuales serán distribuidos de la siguiente forma: Año 1: 30% (US$ 3,075); Año 2: 50% (U</w:t>
      </w:r>
      <w:r w:rsidRPr="00660F46">
        <w:rPr>
          <w:szCs w:val="24"/>
          <w:lang w:val="es-ES_tradnl"/>
        </w:rPr>
        <w:t>S$ 5,125); Año 3: 20% (US$ 2,050)</w:t>
      </w:r>
      <w:r w:rsidR="007C0EE0">
        <w:rPr>
          <w:szCs w:val="24"/>
          <w:lang w:val="es-ES_tradnl"/>
        </w:rPr>
        <w:t>, totalizando</w:t>
      </w:r>
      <w:r w:rsidRPr="00660F46">
        <w:rPr>
          <w:lang w:val="es-ES_tradnl"/>
        </w:rPr>
        <w:t>: US$ 10,250.</w:t>
      </w:r>
    </w:p>
    <w:p w:rsidR="0074609F" w:rsidRPr="002A6F06" w:rsidRDefault="006523AB" w:rsidP="004329F7">
      <w:pPr>
        <w:pStyle w:val="subpar"/>
        <w:tabs>
          <w:tab w:val="clear" w:pos="1584"/>
          <w:tab w:val="num" w:pos="720"/>
        </w:tabs>
        <w:ind w:left="720" w:hanging="360"/>
        <w:rPr>
          <w:lang w:val="pt-BR"/>
        </w:rPr>
      </w:pPr>
      <w:r w:rsidRPr="002A6F06">
        <w:rPr>
          <w:b/>
          <w:lang w:val="pt-BR"/>
        </w:rPr>
        <w:t xml:space="preserve">Subcomponente 2: REBA </w:t>
      </w:r>
      <w:r w:rsidR="004D0D2D" w:rsidRPr="002A6F06">
        <w:rPr>
          <w:b/>
          <w:lang w:val="pt-BR"/>
        </w:rPr>
        <w:t>R</w:t>
      </w:r>
      <w:r w:rsidR="00CA257C" w:rsidRPr="002A6F06">
        <w:rPr>
          <w:b/>
          <w:lang w:val="pt-BR"/>
        </w:rPr>
        <w:t>ede Estatal de Banda Ancha</w:t>
      </w:r>
      <w:r w:rsidR="004D0D2D" w:rsidRPr="002A6F06">
        <w:rPr>
          <w:lang w:val="pt-BR"/>
        </w:rPr>
        <w:t>:</w:t>
      </w:r>
      <w:r w:rsidRPr="002A6F06">
        <w:rPr>
          <w:lang w:val="pt-BR"/>
        </w:rPr>
        <w:t xml:space="preserve"> </w:t>
      </w:r>
    </w:p>
    <w:p w:rsidR="006F54AB" w:rsidRDefault="006523AB" w:rsidP="006F54AB">
      <w:pPr>
        <w:pStyle w:val="SubSubPar"/>
        <w:tabs>
          <w:tab w:val="clear" w:pos="2016"/>
          <w:tab w:val="num" w:pos="1296"/>
        </w:tabs>
        <w:ind w:left="1296"/>
        <w:rPr>
          <w:szCs w:val="24"/>
          <w:lang w:val="es-ES_tradnl"/>
        </w:rPr>
      </w:pPr>
      <w:r w:rsidRPr="007C0EE0">
        <w:rPr>
          <w:szCs w:val="24"/>
          <w:lang w:val="es-ES_tradnl"/>
        </w:rPr>
        <w:t xml:space="preserve">La estimación de los costos del subcomponente REBA </w:t>
      </w:r>
      <w:r w:rsidR="007C0EE0" w:rsidRPr="007C0EE0">
        <w:rPr>
          <w:b/>
          <w:szCs w:val="24"/>
          <w:lang w:val="es-ES_tradnl"/>
        </w:rPr>
        <w:t xml:space="preserve">Fase </w:t>
      </w:r>
      <w:r w:rsidR="007C0EE0">
        <w:rPr>
          <w:b/>
          <w:szCs w:val="24"/>
          <w:lang w:val="es-ES_tradnl"/>
        </w:rPr>
        <w:t>I</w:t>
      </w:r>
      <w:r w:rsidR="007C0EE0" w:rsidRPr="007C0EE0">
        <w:rPr>
          <w:szCs w:val="24"/>
          <w:lang w:val="es-ES_tradnl"/>
        </w:rPr>
        <w:t xml:space="preserve"> </w:t>
      </w:r>
      <w:r w:rsidRPr="007C0EE0">
        <w:rPr>
          <w:szCs w:val="24"/>
          <w:lang w:val="es-ES_tradnl"/>
        </w:rPr>
        <w:t>es de US$ 12.484 millones</w:t>
      </w:r>
      <w:r w:rsidR="006F54AB">
        <w:rPr>
          <w:szCs w:val="24"/>
          <w:lang w:val="es-ES_tradnl"/>
        </w:rPr>
        <w:t xml:space="preserve"> y f</w:t>
      </w:r>
      <w:r w:rsidR="006F54AB" w:rsidRPr="007C0EE0">
        <w:rPr>
          <w:szCs w:val="24"/>
          <w:lang w:val="es-ES_tradnl"/>
        </w:rPr>
        <w:t>ue</w:t>
      </w:r>
      <w:r w:rsidR="006F54AB">
        <w:rPr>
          <w:szCs w:val="24"/>
          <w:lang w:val="es-ES_tradnl"/>
        </w:rPr>
        <w:t xml:space="preserve"> basada</w:t>
      </w:r>
      <w:r w:rsidR="006F54AB" w:rsidRPr="007C0EE0">
        <w:rPr>
          <w:szCs w:val="24"/>
          <w:lang w:val="es-ES_tradnl"/>
        </w:rPr>
        <w:t xml:space="preserve"> en el estudio de pre factibilidad económica elaborado </w:t>
      </w:r>
      <w:r w:rsidR="006F54AB">
        <w:rPr>
          <w:szCs w:val="24"/>
          <w:lang w:val="es-ES_tradnl"/>
        </w:rPr>
        <w:t xml:space="preserve">por los </w:t>
      </w:r>
      <w:r w:rsidR="006F54AB" w:rsidRPr="007C0EE0">
        <w:rPr>
          <w:szCs w:val="24"/>
          <w:lang w:val="es-ES_tradnl"/>
        </w:rPr>
        <w:t>consultor</w:t>
      </w:r>
      <w:r w:rsidR="006F54AB">
        <w:rPr>
          <w:szCs w:val="24"/>
          <w:lang w:val="es-ES_tradnl"/>
        </w:rPr>
        <w:t>es contratados</w:t>
      </w:r>
      <w:r w:rsidR="006F54AB" w:rsidRPr="007C0EE0">
        <w:rPr>
          <w:szCs w:val="24"/>
          <w:lang w:val="es-ES_tradnl"/>
        </w:rPr>
        <w:t xml:space="preserve"> Ricard</w:t>
      </w:r>
      <w:r w:rsidR="006F54AB">
        <w:rPr>
          <w:szCs w:val="24"/>
          <w:lang w:val="es-ES_tradnl"/>
        </w:rPr>
        <w:t>o Martínez Garza y Salma Jalife y c</w:t>
      </w:r>
      <w:r w:rsidR="007C0EE0">
        <w:rPr>
          <w:szCs w:val="24"/>
          <w:lang w:val="es-ES_tradnl"/>
        </w:rPr>
        <w:t>ompre</w:t>
      </w:r>
      <w:r w:rsidR="007C0EE0" w:rsidRPr="007C0EE0">
        <w:rPr>
          <w:szCs w:val="24"/>
          <w:lang w:val="es-ES_tradnl"/>
        </w:rPr>
        <w:t xml:space="preserve">nde </w:t>
      </w:r>
      <w:r w:rsidR="006F54AB">
        <w:rPr>
          <w:szCs w:val="24"/>
          <w:lang w:val="es-ES_tradnl"/>
        </w:rPr>
        <w:t xml:space="preserve">la conectividad para </w:t>
      </w:r>
      <w:r w:rsidR="003C3F58" w:rsidRPr="007C0EE0">
        <w:rPr>
          <w:szCs w:val="24"/>
          <w:lang w:val="es-ES_tradnl"/>
        </w:rPr>
        <w:t>1</w:t>
      </w:r>
      <w:r w:rsidR="00B95D99" w:rsidRPr="007C0EE0">
        <w:rPr>
          <w:szCs w:val="24"/>
          <w:lang w:val="es-ES_tradnl"/>
        </w:rPr>
        <w:t>,</w:t>
      </w:r>
      <w:r w:rsidR="003C3F58" w:rsidRPr="007C0EE0">
        <w:rPr>
          <w:szCs w:val="24"/>
          <w:lang w:val="es-ES_tradnl"/>
        </w:rPr>
        <w:t xml:space="preserve">106 </w:t>
      </w:r>
      <w:r w:rsidR="003F6FC9" w:rsidRPr="007C0EE0">
        <w:rPr>
          <w:szCs w:val="24"/>
          <w:lang w:val="es-ES_tradnl"/>
        </w:rPr>
        <w:t xml:space="preserve">sitios </w:t>
      </w:r>
      <w:r w:rsidR="006F54AB">
        <w:rPr>
          <w:szCs w:val="24"/>
          <w:lang w:val="es-ES_tradnl"/>
        </w:rPr>
        <w:t>(</w:t>
      </w:r>
      <w:r w:rsidR="003C3F58" w:rsidRPr="007C0EE0">
        <w:rPr>
          <w:szCs w:val="24"/>
          <w:lang w:val="es-ES_tradnl"/>
        </w:rPr>
        <w:t xml:space="preserve">893 </w:t>
      </w:r>
      <w:r w:rsidR="003F6FC9" w:rsidRPr="007C0EE0">
        <w:rPr>
          <w:szCs w:val="24"/>
          <w:lang w:val="es-ES_tradnl"/>
        </w:rPr>
        <w:t xml:space="preserve">sitios de educación, </w:t>
      </w:r>
      <w:r w:rsidR="003C3F58" w:rsidRPr="007C0EE0">
        <w:rPr>
          <w:szCs w:val="24"/>
          <w:lang w:val="es-ES_tradnl"/>
        </w:rPr>
        <w:t>47</w:t>
      </w:r>
      <w:r w:rsidR="003F6FC9" w:rsidRPr="007C0EE0">
        <w:rPr>
          <w:szCs w:val="24"/>
          <w:lang w:val="es-ES_tradnl"/>
        </w:rPr>
        <w:t xml:space="preserve"> sitios de gobierno, </w:t>
      </w:r>
      <w:r w:rsidR="003C3F58" w:rsidRPr="007C0EE0">
        <w:rPr>
          <w:szCs w:val="24"/>
          <w:lang w:val="es-ES_tradnl"/>
        </w:rPr>
        <w:t>82</w:t>
      </w:r>
      <w:r w:rsidR="003F6FC9" w:rsidRPr="007C0EE0">
        <w:rPr>
          <w:szCs w:val="24"/>
          <w:lang w:val="es-ES_tradnl"/>
        </w:rPr>
        <w:t xml:space="preserve"> sitios de salud y </w:t>
      </w:r>
      <w:r w:rsidR="003C3F58" w:rsidRPr="007C0EE0">
        <w:rPr>
          <w:szCs w:val="24"/>
          <w:lang w:val="es-ES_tradnl"/>
        </w:rPr>
        <w:t>8</w:t>
      </w:r>
      <w:r w:rsidR="003F6FC9" w:rsidRPr="007C0EE0">
        <w:rPr>
          <w:szCs w:val="24"/>
          <w:lang w:val="es-ES_tradnl"/>
        </w:rPr>
        <w:t>4 sitios de C4</w:t>
      </w:r>
      <w:r w:rsidR="00E96AC6" w:rsidRPr="007C0EE0">
        <w:rPr>
          <w:szCs w:val="24"/>
          <w:lang w:val="es-ES_tradnl"/>
        </w:rPr>
        <w:t>)</w:t>
      </w:r>
      <w:r w:rsidR="007C0EE0">
        <w:rPr>
          <w:szCs w:val="24"/>
          <w:lang w:val="es-ES_tradnl"/>
        </w:rPr>
        <w:t xml:space="preserve">. </w:t>
      </w:r>
    </w:p>
    <w:p w:rsidR="006F54AB" w:rsidRPr="007C0EE0" w:rsidDel="005D5B3C" w:rsidRDefault="007C0EE0" w:rsidP="006F54AB">
      <w:pPr>
        <w:pStyle w:val="SubSubPar"/>
        <w:tabs>
          <w:tab w:val="clear" w:pos="2016"/>
          <w:tab w:val="num" w:pos="1296"/>
        </w:tabs>
        <w:ind w:left="1296"/>
        <w:rPr>
          <w:szCs w:val="24"/>
          <w:lang w:val="es-ES_tradnl"/>
        </w:rPr>
      </w:pPr>
      <w:r>
        <w:rPr>
          <w:szCs w:val="24"/>
          <w:lang w:val="es-ES_tradnl"/>
        </w:rPr>
        <w:t xml:space="preserve">Para la </w:t>
      </w:r>
      <w:r w:rsidRPr="007C0EE0">
        <w:rPr>
          <w:b/>
          <w:szCs w:val="24"/>
          <w:lang w:val="es-ES_tradnl"/>
        </w:rPr>
        <w:t>Fase II</w:t>
      </w:r>
      <w:r w:rsidR="00E96AC6" w:rsidRPr="007C0EE0">
        <w:rPr>
          <w:szCs w:val="24"/>
          <w:lang w:val="es-ES_tradnl"/>
        </w:rPr>
        <w:t xml:space="preserve"> </w:t>
      </w:r>
      <w:r>
        <w:rPr>
          <w:szCs w:val="24"/>
          <w:lang w:val="es-ES_tradnl"/>
        </w:rPr>
        <w:t xml:space="preserve">el costo estimado es </w:t>
      </w:r>
      <w:r w:rsidR="0080062A" w:rsidRPr="007C0EE0">
        <w:rPr>
          <w:szCs w:val="24"/>
          <w:lang w:val="es-ES_tradnl"/>
        </w:rPr>
        <w:t>de</w:t>
      </w:r>
      <w:r w:rsidR="00E96AC6" w:rsidRPr="007C0EE0">
        <w:rPr>
          <w:szCs w:val="24"/>
          <w:lang w:val="es-ES_tradnl"/>
        </w:rPr>
        <w:t xml:space="preserve"> </w:t>
      </w:r>
      <w:r w:rsidR="0080062A" w:rsidRPr="007C0EE0">
        <w:rPr>
          <w:szCs w:val="24"/>
          <w:lang w:val="es-ES_tradnl"/>
        </w:rPr>
        <w:t xml:space="preserve">US$ 14,520 millones </w:t>
      </w:r>
      <w:r w:rsidR="006F54AB">
        <w:rPr>
          <w:szCs w:val="24"/>
          <w:lang w:val="es-ES_tradnl"/>
        </w:rPr>
        <w:t xml:space="preserve">y </w:t>
      </w:r>
      <w:r>
        <w:rPr>
          <w:szCs w:val="24"/>
          <w:lang w:val="es-ES_tradnl"/>
        </w:rPr>
        <w:t xml:space="preserve">comprende la </w:t>
      </w:r>
      <w:r w:rsidR="00B95D99" w:rsidRPr="007C0EE0">
        <w:rPr>
          <w:szCs w:val="24"/>
          <w:lang w:val="es-ES_tradnl"/>
        </w:rPr>
        <w:t xml:space="preserve">expansión de la red dorsal en </w:t>
      </w:r>
      <w:r w:rsidR="006F54AB">
        <w:rPr>
          <w:szCs w:val="24"/>
          <w:lang w:val="es-ES_tradnl"/>
        </w:rPr>
        <w:t xml:space="preserve">más </w:t>
      </w:r>
      <w:r w:rsidR="00B95D99" w:rsidRPr="007C0EE0">
        <w:rPr>
          <w:szCs w:val="24"/>
          <w:lang w:val="es-ES_tradnl"/>
        </w:rPr>
        <w:t>13 puntos para conectar 1</w:t>
      </w:r>
      <w:r w:rsidR="006F54AB">
        <w:rPr>
          <w:szCs w:val="24"/>
          <w:lang w:val="es-ES_tradnl"/>
        </w:rPr>
        <w:t>.</w:t>
      </w:r>
      <w:r w:rsidR="00B95D99" w:rsidRPr="007C0EE0">
        <w:rPr>
          <w:szCs w:val="24"/>
          <w:lang w:val="es-ES_tradnl"/>
        </w:rPr>
        <w:t xml:space="preserve">114 sitios adicionales </w:t>
      </w:r>
      <w:r w:rsidR="003C3F58" w:rsidRPr="007C0EE0">
        <w:rPr>
          <w:szCs w:val="24"/>
          <w:lang w:val="es-ES_tradnl"/>
        </w:rPr>
        <w:t>(</w:t>
      </w:r>
      <w:r w:rsidR="00B95D99" w:rsidRPr="007C0EE0">
        <w:rPr>
          <w:szCs w:val="24"/>
          <w:lang w:val="es-ES_tradnl"/>
        </w:rPr>
        <w:t xml:space="preserve">573 </w:t>
      </w:r>
      <w:r w:rsidR="003F6FC9" w:rsidRPr="007C0EE0">
        <w:rPr>
          <w:szCs w:val="24"/>
          <w:lang w:val="es-ES_tradnl"/>
        </w:rPr>
        <w:t xml:space="preserve">de educación, </w:t>
      </w:r>
      <w:r w:rsidR="00B95D99" w:rsidRPr="007C0EE0">
        <w:rPr>
          <w:szCs w:val="24"/>
          <w:lang w:val="es-ES_tradnl"/>
        </w:rPr>
        <w:t xml:space="preserve">275 </w:t>
      </w:r>
      <w:r w:rsidR="003F6FC9" w:rsidRPr="007C0EE0">
        <w:rPr>
          <w:szCs w:val="24"/>
          <w:lang w:val="es-ES_tradnl"/>
        </w:rPr>
        <w:t>sitios de gobierno, 1</w:t>
      </w:r>
      <w:r w:rsidR="00B95D99" w:rsidRPr="007C0EE0">
        <w:rPr>
          <w:szCs w:val="24"/>
          <w:lang w:val="es-ES_tradnl"/>
        </w:rPr>
        <w:t>10</w:t>
      </w:r>
      <w:r w:rsidR="003F6FC9" w:rsidRPr="007C0EE0">
        <w:rPr>
          <w:szCs w:val="24"/>
          <w:lang w:val="es-ES_tradnl"/>
        </w:rPr>
        <w:t xml:space="preserve"> salud y </w:t>
      </w:r>
      <w:r w:rsidR="00B95D99" w:rsidRPr="007C0EE0">
        <w:rPr>
          <w:szCs w:val="24"/>
          <w:lang w:val="es-ES_tradnl"/>
        </w:rPr>
        <w:t xml:space="preserve">156 </w:t>
      </w:r>
      <w:r w:rsidR="003F6FC9" w:rsidRPr="007C0EE0">
        <w:rPr>
          <w:szCs w:val="24"/>
          <w:lang w:val="es-ES_tradnl"/>
        </w:rPr>
        <w:t xml:space="preserve">de </w:t>
      </w:r>
      <w:r w:rsidR="00B95D99" w:rsidRPr="007C0EE0">
        <w:rPr>
          <w:szCs w:val="24"/>
          <w:lang w:val="es-ES_tradnl"/>
        </w:rPr>
        <w:t>seguridad) que totalizan los 2220 sitios</w:t>
      </w:r>
      <w:r w:rsidR="0080062A" w:rsidRPr="007C0EE0">
        <w:rPr>
          <w:szCs w:val="24"/>
          <w:lang w:val="es-ES_tradnl"/>
        </w:rPr>
        <w:t>)</w:t>
      </w:r>
      <w:r w:rsidR="006B4714" w:rsidRPr="007C0EE0">
        <w:rPr>
          <w:szCs w:val="24"/>
          <w:lang w:val="es-ES_tradnl"/>
        </w:rPr>
        <w:t>.</w:t>
      </w:r>
      <w:r w:rsidR="006F54AB" w:rsidRPr="007C0EE0">
        <w:rPr>
          <w:szCs w:val="24"/>
          <w:lang w:val="es-ES_tradnl"/>
        </w:rPr>
        <w:t xml:space="preserve"> </w:t>
      </w:r>
      <w:r w:rsidR="006F54AB">
        <w:rPr>
          <w:szCs w:val="24"/>
          <w:lang w:val="es-ES_tradnl"/>
        </w:rPr>
        <w:t xml:space="preserve"> </w:t>
      </w:r>
      <w:r w:rsidR="006F54AB" w:rsidRPr="007C0EE0">
        <w:rPr>
          <w:szCs w:val="24"/>
          <w:lang w:val="es-ES_tradnl"/>
        </w:rPr>
        <w:t>Los presupuestos incluyen IVA a todos los bienes y servicios</w:t>
      </w:r>
      <w:r w:rsidR="006F54AB">
        <w:rPr>
          <w:szCs w:val="24"/>
          <w:lang w:val="es-ES_tradnl"/>
        </w:rPr>
        <w:t>.</w:t>
      </w:r>
    </w:p>
    <w:p w:rsidR="00F343F8" w:rsidRPr="007C0EE0" w:rsidRDefault="00C94A3B" w:rsidP="006F54AB">
      <w:pPr>
        <w:pStyle w:val="SubSubPar"/>
        <w:numPr>
          <w:ilvl w:val="0"/>
          <w:numId w:val="0"/>
        </w:numPr>
        <w:ind w:left="1008"/>
        <w:rPr>
          <w:szCs w:val="24"/>
          <w:lang w:val="es-ES_tradnl"/>
        </w:rPr>
      </w:pPr>
      <w:r w:rsidRPr="00C94A3B">
        <w:rPr>
          <w:noProof/>
          <w:szCs w:val="24"/>
        </w:rPr>
        <w:drawing>
          <wp:inline distT="0" distB="0" distL="0" distR="0">
            <wp:extent cx="4619625" cy="324421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4619625" cy="3244215"/>
                    </a:xfrm>
                    <a:prstGeom prst="rect">
                      <a:avLst/>
                    </a:prstGeom>
                    <a:noFill/>
                    <a:ln w="9525">
                      <a:noFill/>
                      <a:miter lim="800000"/>
                      <a:headEnd/>
                      <a:tailEnd/>
                    </a:ln>
                  </pic:spPr>
                </pic:pic>
              </a:graphicData>
            </a:graphic>
          </wp:inline>
        </w:drawing>
      </w:r>
    </w:p>
    <w:p w:rsidR="00B95D99" w:rsidRPr="005D5B3C" w:rsidRDefault="0074609F" w:rsidP="002B4F0A">
      <w:pPr>
        <w:jc w:val="both"/>
        <w:rPr>
          <w:rFonts w:ascii="Times New Roman" w:hAnsi="Times New Roman"/>
          <w:sz w:val="24"/>
          <w:szCs w:val="20"/>
          <w:lang w:val="es-ES_tradnl"/>
        </w:rPr>
      </w:pPr>
      <w:r>
        <w:rPr>
          <w:rFonts w:ascii="Times New Roman" w:hAnsi="Times New Roman"/>
          <w:sz w:val="24"/>
          <w:szCs w:val="20"/>
          <w:lang w:val="es-ES_tradnl"/>
        </w:rPr>
        <w:t xml:space="preserve">                                           </w:t>
      </w:r>
    </w:p>
    <w:p w:rsidR="00B95D99" w:rsidRDefault="00B95D99" w:rsidP="002B4F0A">
      <w:pPr>
        <w:jc w:val="both"/>
        <w:rPr>
          <w:rFonts w:ascii="Times New Roman" w:hAnsi="Times New Roman"/>
          <w:sz w:val="24"/>
          <w:szCs w:val="20"/>
          <w:lang w:val="es-ES_tradnl"/>
        </w:rPr>
      </w:pPr>
    </w:p>
    <w:p w:rsidR="00EC4391" w:rsidRPr="007C0EE0" w:rsidRDefault="0074609F" w:rsidP="007C0EE0">
      <w:pPr>
        <w:pStyle w:val="SubSubPar"/>
        <w:tabs>
          <w:tab w:val="clear" w:pos="2016"/>
          <w:tab w:val="num" w:pos="1296"/>
        </w:tabs>
        <w:ind w:left="1296"/>
        <w:rPr>
          <w:szCs w:val="24"/>
          <w:lang w:val="es-ES_tradnl"/>
        </w:rPr>
      </w:pPr>
      <w:r w:rsidRPr="007C0EE0">
        <w:rPr>
          <w:b/>
          <w:szCs w:val="24"/>
          <w:lang w:val="es-ES_tradnl"/>
        </w:rPr>
        <w:t>Calendario de Implementación</w:t>
      </w:r>
      <w:r w:rsidRPr="007C0EE0">
        <w:rPr>
          <w:szCs w:val="24"/>
          <w:lang w:val="es-ES_tradnl"/>
        </w:rPr>
        <w:t xml:space="preserve">. </w:t>
      </w:r>
      <w:r w:rsidR="00EC4391" w:rsidRPr="007C0EE0">
        <w:rPr>
          <w:szCs w:val="24"/>
          <w:lang w:val="es-ES_tradnl"/>
        </w:rPr>
        <w:t xml:space="preserve">La implementación de la REBA Fase I está prevista en </w:t>
      </w:r>
      <w:r w:rsidR="00EC4391" w:rsidRPr="006B464B">
        <w:rPr>
          <w:szCs w:val="24"/>
          <w:highlight w:val="yellow"/>
          <w:lang w:val="es-ES_tradnl"/>
        </w:rPr>
        <w:t>20</w:t>
      </w:r>
      <w:r w:rsidR="00EC4391" w:rsidRPr="007C0EE0">
        <w:rPr>
          <w:szCs w:val="24"/>
          <w:lang w:val="es-ES_tradnl"/>
        </w:rPr>
        <w:t xml:space="preserve"> meses</w:t>
      </w:r>
      <w:r w:rsidR="006B464B">
        <w:rPr>
          <w:szCs w:val="24"/>
          <w:lang w:val="es-ES_tradnl"/>
        </w:rPr>
        <w:t xml:space="preserve"> (</w:t>
      </w:r>
      <w:r w:rsidR="00AD0C2F">
        <w:rPr>
          <w:szCs w:val="24"/>
          <w:lang w:val="es-ES_tradnl"/>
        </w:rPr>
        <w:t xml:space="preserve">calendario a ser </w:t>
      </w:r>
      <w:r w:rsidR="006B464B">
        <w:rPr>
          <w:szCs w:val="24"/>
          <w:lang w:val="es-ES_tradnl"/>
        </w:rPr>
        <w:t>confirma</w:t>
      </w:r>
      <w:r w:rsidR="00AD0C2F">
        <w:rPr>
          <w:szCs w:val="24"/>
          <w:lang w:val="es-ES_tradnl"/>
        </w:rPr>
        <w:t>do después de ajustes</w:t>
      </w:r>
      <w:r w:rsidR="006B464B">
        <w:rPr>
          <w:szCs w:val="24"/>
          <w:lang w:val="es-ES_tradnl"/>
        </w:rPr>
        <w:t>)</w:t>
      </w:r>
      <w:r w:rsidR="00EC4391" w:rsidRPr="007C0EE0">
        <w:rPr>
          <w:szCs w:val="24"/>
          <w:lang w:val="es-ES_tradnl"/>
        </w:rPr>
        <w:t>.</w:t>
      </w:r>
    </w:p>
    <w:p w:rsidR="005B28DE" w:rsidRPr="007C0EE0" w:rsidRDefault="007C0EE0" w:rsidP="007C0EE0">
      <w:pPr>
        <w:pStyle w:val="SubSubPar"/>
        <w:tabs>
          <w:tab w:val="clear" w:pos="2016"/>
          <w:tab w:val="num" w:pos="1296"/>
        </w:tabs>
        <w:ind w:left="1296"/>
        <w:rPr>
          <w:szCs w:val="24"/>
          <w:lang w:val="es-ES_tradnl"/>
        </w:rPr>
      </w:pPr>
      <w:r w:rsidRPr="007C0EE0">
        <w:rPr>
          <w:b/>
          <w:szCs w:val="24"/>
          <w:lang w:val="es-ES_tradnl"/>
        </w:rPr>
        <w:t>Desembolsos</w:t>
      </w:r>
      <w:r w:rsidRPr="007C0EE0">
        <w:rPr>
          <w:szCs w:val="24"/>
          <w:lang w:val="es-ES_tradnl"/>
        </w:rPr>
        <w:t>: Los desembolsos anuales serán distribuidos de la siguiente forma: Año 1: 60% (US$ 7,490); Año 2: 40% (US$ 4,994)</w:t>
      </w:r>
      <w:r w:rsidR="00E534BE">
        <w:rPr>
          <w:szCs w:val="24"/>
          <w:lang w:val="es-ES_tradnl"/>
        </w:rPr>
        <w:t>, totalizando</w:t>
      </w:r>
      <w:r w:rsidRPr="007C0EE0">
        <w:rPr>
          <w:szCs w:val="24"/>
          <w:lang w:val="es-ES_tradnl"/>
        </w:rPr>
        <w:t>: US$ 12</w:t>
      </w:r>
      <w:r>
        <w:rPr>
          <w:szCs w:val="24"/>
          <w:lang w:val="es-ES_tradnl"/>
        </w:rPr>
        <w:t>,</w:t>
      </w:r>
      <w:r w:rsidRPr="007C0EE0">
        <w:rPr>
          <w:szCs w:val="24"/>
          <w:lang w:val="es-ES_tradnl"/>
        </w:rPr>
        <w:t xml:space="preserve">484 de la Fase I. </w:t>
      </w:r>
      <w:r>
        <w:rPr>
          <w:szCs w:val="24"/>
          <w:lang w:val="es-ES_tradnl"/>
        </w:rPr>
        <w:t>A partir del año 2, el costo de m</w:t>
      </w:r>
      <w:r w:rsidR="005B28DE" w:rsidRPr="007C0EE0">
        <w:rPr>
          <w:szCs w:val="24"/>
          <w:lang w:val="es-ES_tradnl"/>
        </w:rPr>
        <w:t xml:space="preserve">antenimiento anual </w:t>
      </w:r>
      <w:r>
        <w:rPr>
          <w:szCs w:val="24"/>
          <w:lang w:val="es-ES_tradnl"/>
        </w:rPr>
        <w:t xml:space="preserve">es de </w:t>
      </w:r>
      <w:r w:rsidR="005B28DE" w:rsidRPr="007C0EE0">
        <w:rPr>
          <w:szCs w:val="24"/>
          <w:lang w:val="es-ES_tradnl"/>
        </w:rPr>
        <w:t xml:space="preserve">US$ </w:t>
      </w:r>
      <w:r w:rsidR="00EC4391" w:rsidRPr="007C0EE0">
        <w:rPr>
          <w:szCs w:val="24"/>
          <w:lang w:val="es-ES_tradnl"/>
        </w:rPr>
        <w:t>1,2</w:t>
      </w:r>
      <w:r>
        <w:rPr>
          <w:szCs w:val="24"/>
          <w:lang w:val="es-ES_tradnl"/>
        </w:rPr>
        <w:t xml:space="preserve"> millones.</w:t>
      </w:r>
    </w:p>
    <w:p w:rsidR="00022BF3" w:rsidRDefault="00022BF3" w:rsidP="002B4F0A">
      <w:pPr>
        <w:jc w:val="both"/>
        <w:rPr>
          <w:rFonts w:ascii="Times New Roman" w:hAnsi="Times New Roman"/>
          <w:b/>
          <w:sz w:val="24"/>
          <w:szCs w:val="24"/>
          <w:highlight w:val="yellow"/>
          <w:lang w:val="es-ES_tradnl"/>
        </w:rPr>
      </w:pPr>
    </w:p>
    <w:p w:rsidR="00D861AD" w:rsidRPr="004E3867" w:rsidRDefault="00763BF9" w:rsidP="00B961B7">
      <w:pPr>
        <w:pStyle w:val="FirstHeading"/>
        <w:rPr>
          <w:lang w:val="es-ES_tradnl"/>
        </w:rPr>
      </w:pPr>
      <w:r>
        <w:rPr>
          <w:lang w:val="es-ES_tradnl"/>
        </w:rPr>
        <w:fldChar w:fldCharType="begin"/>
      </w:r>
      <w:r w:rsidR="00B961B7">
        <w:rPr>
          <w:lang w:val="es-ES_tradnl"/>
        </w:rPr>
        <w:instrText xml:space="preserve"> SEQ "</w:instrText>
      </w:r>
      <w:fldSimple w:instr=" SECTION  \* MERGEFORMAT ">
        <w:r w:rsidR="00B961B7">
          <w:rPr>
            <w:lang w:val="es-ES_tradnl"/>
          </w:rPr>
          <w:instrText>1</w:instrText>
        </w:r>
      </w:fldSimple>
      <w:r w:rsidR="00B961B7">
        <w:rPr>
          <w:lang w:val="es-ES_tradnl"/>
        </w:rPr>
        <w:instrText xml:space="preserve">#"\* ALPHABETIC \* MERGEFORMAT </w:instrText>
      </w:r>
      <w:r>
        <w:rPr>
          <w:lang w:val="es-ES_tradnl"/>
        </w:rPr>
        <w:fldChar w:fldCharType="separate"/>
      </w:r>
      <w:r w:rsidR="00B961B7">
        <w:rPr>
          <w:noProof/>
          <w:lang w:val="es-ES_tradnl"/>
        </w:rPr>
        <w:t>I</w:t>
      </w:r>
      <w:r>
        <w:rPr>
          <w:lang w:val="es-ES_tradnl"/>
        </w:rPr>
        <w:fldChar w:fldCharType="end"/>
      </w:r>
      <w:r w:rsidR="00B961B7">
        <w:rPr>
          <w:lang w:val="es-ES_tradnl"/>
        </w:rPr>
        <w:t>.</w:t>
      </w:r>
      <w:r w:rsidR="00B961B7">
        <w:rPr>
          <w:lang w:val="es-ES_tradnl"/>
        </w:rPr>
        <w:tab/>
      </w:r>
      <w:r w:rsidR="007C0EE0">
        <w:rPr>
          <w:lang w:val="es-ES_tradnl"/>
        </w:rPr>
        <w:t>C</w:t>
      </w:r>
      <w:r w:rsidR="00D861AD" w:rsidRPr="004E3867">
        <w:rPr>
          <w:lang w:val="es-ES_tradnl"/>
        </w:rPr>
        <w:t>alendario de finalización del proceso de pre-inversión</w:t>
      </w:r>
    </w:p>
    <w:p w:rsidR="00D861AD" w:rsidRPr="00E65FC6" w:rsidRDefault="00D861AD" w:rsidP="00E65FC6">
      <w:pPr>
        <w:pStyle w:val="Paragraph"/>
        <w:tabs>
          <w:tab w:val="clear" w:pos="1728"/>
          <w:tab w:val="num" w:pos="720"/>
        </w:tabs>
        <w:ind w:left="720" w:hanging="720"/>
        <w:rPr>
          <w:lang w:val="es-ES_tradnl"/>
        </w:rPr>
      </w:pPr>
      <w:r w:rsidRPr="00E65FC6">
        <w:rPr>
          <w:lang w:val="es-ES_tradnl"/>
        </w:rPr>
        <w:t xml:space="preserve">Los resultados finales de los dos estudios </w:t>
      </w:r>
      <w:r w:rsidR="00E534BE" w:rsidRPr="00E65FC6">
        <w:rPr>
          <w:lang w:val="es-ES_tradnl"/>
        </w:rPr>
        <w:t xml:space="preserve">de pre factibilidad del SIAF y REBA </w:t>
      </w:r>
      <w:r w:rsidRPr="00E65FC6">
        <w:rPr>
          <w:lang w:val="es-ES_tradnl"/>
        </w:rPr>
        <w:t xml:space="preserve">están previstos para ser entregues al final del mes de Mayo. Sin embargo consultorías adicionales serán necesarias para la preparación de los documentos de licitaciones, </w:t>
      </w:r>
      <w:r w:rsidR="009F1735" w:rsidRPr="00E65FC6">
        <w:rPr>
          <w:lang w:val="es-ES_tradnl"/>
        </w:rPr>
        <w:t xml:space="preserve">análisis del </w:t>
      </w:r>
      <w:r w:rsidRPr="00E65FC6">
        <w:rPr>
          <w:lang w:val="es-ES_tradnl"/>
        </w:rPr>
        <w:t xml:space="preserve">estado de preparación (readiness) </w:t>
      </w:r>
      <w:r w:rsidR="009F1735" w:rsidRPr="00E65FC6">
        <w:rPr>
          <w:lang w:val="es-ES_tradnl"/>
        </w:rPr>
        <w:t xml:space="preserve">para REBA </w:t>
      </w:r>
      <w:r w:rsidRPr="00E65FC6">
        <w:rPr>
          <w:lang w:val="es-ES_tradnl"/>
        </w:rPr>
        <w:t xml:space="preserve">y gerenciamiento de los proyectos teniéndose en cuenta las limitaciones de recursos de tiempo de los profesionales del Estado. </w:t>
      </w:r>
      <w:r w:rsidR="00E534BE" w:rsidRPr="00E65FC6">
        <w:rPr>
          <w:lang w:val="es-ES_tradnl"/>
        </w:rPr>
        <w:t xml:space="preserve">El mismo para el </w:t>
      </w:r>
      <w:r w:rsidR="006F54AB" w:rsidRPr="00E65FC6">
        <w:rPr>
          <w:lang w:val="es-ES_tradnl"/>
        </w:rPr>
        <w:t>análisis</w:t>
      </w:r>
      <w:r w:rsidR="00E534BE" w:rsidRPr="00E65FC6">
        <w:rPr>
          <w:lang w:val="es-ES_tradnl"/>
        </w:rPr>
        <w:t xml:space="preserve"> financiero y económico. </w:t>
      </w:r>
    </w:p>
    <w:p w:rsidR="00E36214" w:rsidRPr="00580A42" w:rsidRDefault="00763BF9" w:rsidP="00B961B7">
      <w:pPr>
        <w:pStyle w:val="FirstHeading"/>
        <w:rPr>
          <w:lang w:val="es-ES_tradnl"/>
        </w:rPr>
      </w:pPr>
      <w:r>
        <w:rPr>
          <w:lang w:val="es-ES_tradnl"/>
        </w:rPr>
        <w:fldChar w:fldCharType="begin"/>
      </w:r>
      <w:r w:rsidR="00B961B7">
        <w:rPr>
          <w:lang w:val="es-ES_tradnl"/>
        </w:rPr>
        <w:instrText xml:space="preserve"> SEQ "</w:instrText>
      </w:r>
      <w:fldSimple w:instr=" SECTION  \* MERGEFORMAT ">
        <w:r w:rsidR="00B961B7">
          <w:rPr>
            <w:lang w:val="es-ES_tradnl"/>
          </w:rPr>
          <w:instrText>1</w:instrText>
        </w:r>
      </w:fldSimple>
      <w:r w:rsidR="00B961B7">
        <w:rPr>
          <w:lang w:val="es-ES_tradnl"/>
        </w:rPr>
        <w:instrText xml:space="preserve">#"\* ALPHABETIC \* MERGEFORMAT </w:instrText>
      </w:r>
      <w:r>
        <w:rPr>
          <w:lang w:val="es-ES_tradnl"/>
        </w:rPr>
        <w:fldChar w:fldCharType="separate"/>
      </w:r>
      <w:r w:rsidR="00B961B7">
        <w:rPr>
          <w:noProof/>
          <w:lang w:val="es-ES_tradnl"/>
        </w:rPr>
        <w:t>J</w:t>
      </w:r>
      <w:r>
        <w:rPr>
          <w:lang w:val="es-ES_tradnl"/>
        </w:rPr>
        <w:fldChar w:fldCharType="end"/>
      </w:r>
      <w:r w:rsidR="00B961B7">
        <w:rPr>
          <w:lang w:val="es-ES_tradnl"/>
        </w:rPr>
        <w:t>.</w:t>
      </w:r>
      <w:r w:rsidR="00B961B7">
        <w:rPr>
          <w:lang w:val="es-ES_tradnl"/>
        </w:rPr>
        <w:tab/>
      </w:r>
      <w:r w:rsidR="00E36214" w:rsidRPr="00580A42">
        <w:rPr>
          <w:lang w:val="es-ES_tradnl"/>
        </w:rPr>
        <w:t>Estimació</w:t>
      </w:r>
      <w:r w:rsidR="00906CF2" w:rsidRPr="00580A42">
        <w:rPr>
          <w:lang w:val="es-ES_tradnl"/>
        </w:rPr>
        <w:t>n de los beneficios</w:t>
      </w:r>
    </w:p>
    <w:p w:rsidR="004143A5" w:rsidRPr="00E65FC6" w:rsidRDefault="00864BF9" w:rsidP="00E65FC6">
      <w:pPr>
        <w:pStyle w:val="Paragraph"/>
        <w:tabs>
          <w:tab w:val="clear" w:pos="1728"/>
          <w:tab w:val="num" w:pos="720"/>
        </w:tabs>
        <w:ind w:left="720" w:hanging="720"/>
        <w:rPr>
          <w:lang w:val="es-ES_tradnl"/>
        </w:rPr>
      </w:pPr>
      <w:r w:rsidRPr="00E65FC6">
        <w:rPr>
          <w:lang w:val="es-ES_tradnl"/>
        </w:rPr>
        <w:t>E</w:t>
      </w:r>
      <w:r w:rsidR="00D1357D" w:rsidRPr="00E65FC6">
        <w:rPr>
          <w:lang w:val="es-ES_tradnl"/>
        </w:rPr>
        <w:t xml:space="preserve">l </w:t>
      </w:r>
      <w:r w:rsidRPr="00E65FC6">
        <w:rPr>
          <w:lang w:val="es-ES_tradnl"/>
        </w:rPr>
        <w:t xml:space="preserve">proyecto </w:t>
      </w:r>
      <w:r w:rsidR="00D1357D" w:rsidRPr="00E65FC6">
        <w:rPr>
          <w:lang w:val="es-ES_tradnl"/>
        </w:rPr>
        <w:t>SIAF</w:t>
      </w:r>
      <w:r w:rsidR="001D4669" w:rsidRPr="00E65FC6">
        <w:rPr>
          <w:lang w:val="es-ES_tradnl"/>
        </w:rPr>
        <w:t xml:space="preserve">yP </w:t>
      </w:r>
      <w:r w:rsidRPr="00E65FC6">
        <w:rPr>
          <w:lang w:val="es-ES_tradnl"/>
        </w:rPr>
        <w:t>beneficiará fundamentalmente la gestión financiera del Estado, proveyendo a los gestores informaciones armonizadas con el Gobierno Federal, además de integradas, oportunas, fidedignas y estructuradas, con reflejos positivos en la toma de decisiones, resultando en mejoría de calidad y en la transparencia de todo el gasto público.</w:t>
      </w:r>
      <w:r w:rsidR="001A0B2B">
        <w:rPr>
          <w:lang w:val="es-ES_tradnl"/>
        </w:rPr>
        <w:t xml:space="preserve"> El alcance de la consultoría SIAF no contemplo el análisis de costo beneficio. </w:t>
      </w:r>
    </w:p>
    <w:p w:rsidR="001A0B2B" w:rsidRDefault="00E06E02" w:rsidP="001A0B2B">
      <w:pPr>
        <w:pStyle w:val="Paragraph"/>
        <w:tabs>
          <w:tab w:val="clear" w:pos="1728"/>
          <w:tab w:val="num" w:pos="720"/>
        </w:tabs>
        <w:ind w:left="720" w:hanging="720"/>
        <w:rPr>
          <w:lang w:val="es-ES_tradnl"/>
        </w:rPr>
      </w:pPr>
      <w:r w:rsidRPr="001A0B2B">
        <w:rPr>
          <w:lang w:val="es-ES_tradnl"/>
        </w:rPr>
        <w:t>Las redes de banda ancha</w:t>
      </w:r>
      <w:r w:rsidR="003F2744">
        <w:rPr>
          <w:rStyle w:val="FootnoteReference"/>
          <w:lang w:val="es-ES_tradnl"/>
        </w:rPr>
        <w:footnoteReference w:id="4"/>
      </w:r>
      <w:r w:rsidRPr="001A0B2B">
        <w:rPr>
          <w:lang w:val="es-ES_tradnl"/>
        </w:rPr>
        <w:t xml:space="preserve"> también se están utilizando cada vez más para entregar los servicios públicos remotamente que previamente </w:t>
      </w:r>
      <w:r w:rsidR="00D23C65" w:rsidRPr="001A0B2B">
        <w:rPr>
          <w:lang w:val="es-ES_tradnl"/>
        </w:rPr>
        <w:t xml:space="preserve">requirieron </w:t>
      </w:r>
      <w:r w:rsidRPr="001A0B2B">
        <w:rPr>
          <w:lang w:val="es-ES_tradnl"/>
        </w:rPr>
        <w:t>presencia física, tal como el aprendiza</w:t>
      </w:r>
      <w:r w:rsidR="00D23C65" w:rsidRPr="001A0B2B">
        <w:rPr>
          <w:lang w:val="es-ES_tradnl"/>
        </w:rPr>
        <w:t>je</w:t>
      </w:r>
      <w:r w:rsidRPr="001A0B2B">
        <w:rPr>
          <w:lang w:val="es-ES_tradnl"/>
        </w:rPr>
        <w:t xml:space="preserve"> a distancia, servicios de Gobierno electrónico, y </w:t>
      </w:r>
      <w:r w:rsidR="00D23C65" w:rsidRPr="001A0B2B">
        <w:rPr>
          <w:lang w:val="es-ES_tradnl"/>
        </w:rPr>
        <w:t xml:space="preserve">de </w:t>
      </w:r>
      <w:r w:rsidRPr="001A0B2B">
        <w:rPr>
          <w:lang w:val="es-ES_tradnl"/>
        </w:rPr>
        <w:t xml:space="preserve">Salud. La implementación del </w:t>
      </w:r>
      <w:r w:rsidR="0089627D" w:rsidRPr="001A0B2B">
        <w:rPr>
          <w:lang w:val="es-ES_tradnl"/>
        </w:rPr>
        <w:t xml:space="preserve">proyecto </w:t>
      </w:r>
      <w:r w:rsidRPr="001A0B2B">
        <w:rPr>
          <w:lang w:val="es-ES_tradnl"/>
        </w:rPr>
        <w:t xml:space="preserve">de la </w:t>
      </w:r>
      <w:r w:rsidR="0089627D" w:rsidRPr="001A0B2B">
        <w:rPr>
          <w:lang w:val="es-ES_tradnl"/>
        </w:rPr>
        <w:t>REBA, p</w:t>
      </w:r>
      <w:r w:rsidRPr="001A0B2B">
        <w:rPr>
          <w:lang w:val="es-ES_tradnl"/>
        </w:rPr>
        <w:t xml:space="preserve">ermitirá </w:t>
      </w:r>
      <w:r w:rsidR="0089627D" w:rsidRPr="001A0B2B">
        <w:rPr>
          <w:lang w:val="es-ES_tradnl"/>
        </w:rPr>
        <w:t xml:space="preserve">llevar servicios </w:t>
      </w:r>
      <w:r w:rsidR="00D23C65" w:rsidRPr="001A0B2B">
        <w:rPr>
          <w:lang w:val="es-ES_tradnl"/>
        </w:rPr>
        <w:t xml:space="preserve">electrónicos </w:t>
      </w:r>
      <w:r w:rsidR="0089627D" w:rsidRPr="001A0B2B">
        <w:rPr>
          <w:lang w:val="es-ES_tradnl"/>
        </w:rPr>
        <w:t xml:space="preserve">que el Gobierno de Yucatán requiere otorgar a su </w:t>
      </w:r>
      <w:r w:rsidR="00CD064D" w:rsidRPr="001A0B2B">
        <w:rPr>
          <w:lang w:val="es-ES_tradnl"/>
        </w:rPr>
        <w:t>p</w:t>
      </w:r>
      <w:r w:rsidR="0089627D" w:rsidRPr="001A0B2B">
        <w:rPr>
          <w:lang w:val="es-ES_tradnl"/>
        </w:rPr>
        <w:t>oblación, evitando que los ciudadanos tengan que desplazarse largas distancias desde sus comunidades para obtener servicios de gobierno, salud y educación y el servicio de Internet ayudando a reducir la Brecha Digital</w:t>
      </w:r>
      <w:r w:rsidR="003F2744">
        <w:rPr>
          <w:rStyle w:val="FootnoteReference"/>
          <w:lang w:val="es-ES_tradnl"/>
        </w:rPr>
        <w:footnoteReference w:id="5"/>
      </w:r>
      <w:r w:rsidR="0089627D" w:rsidRPr="001A0B2B">
        <w:rPr>
          <w:lang w:val="es-ES_tradnl"/>
        </w:rPr>
        <w:t xml:space="preserve">. </w:t>
      </w:r>
    </w:p>
    <w:p w:rsidR="002C3BD0" w:rsidRPr="001A0B2B" w:rsidRDefault="001A0B2B" w:rsidP="001A0B2B">
      <w:pPr>
        <w:pStyle w:val="Paragraph"/>
        <w:tabs>
          <w:tab w:val="clear" w:pos="1728"/>
          <w:tab w:val="num" w:pos="720"/>
        </w:tabs>
        <w:ind w:left="720" w:hanging="720"/>
        <w:rPr>
          <w:lang w:val="es-ES_tradnl"/>
        </w:rPr>
      </w:pPr>
      <w:r>
        <w:rPr>
          <w:lang w:val="es-ES_tradnl"/>
        </w:rPr>
        <w:t>E</w:t>
      </w:r>
      <w:r w:rsidRPr="001A0B2B">
        <w:rPr>
          <w:lang w:val="es-ES_tradnl"/>
        </w:rPr>
        <w:t xml:space="preserve">l alcance de la consultoría de </w:t>
      </w:r>
      <w:r>
        <w:rPr>
          <w:lang w:val="es-ES_tradnl"/>
        </w:rPr>
        <w:t xml:space="preserve">Banda Ancha no contempló al Análisis de costo beneficio.  Una vez que muchos de los datos puedan estar </w:t>
      </w:r>
      <w:r w:rsidRPr="001A0B2B">
        <w:rPr>
          <w:lang w:val="es-ES_tradnl"/>
        </w:rPr>
        <w:t xml:space="preserve">por las dependencias </w:t>
      </w:r>
      <w:r>
        <w:rPr>
          <w:lang w:val="es-ES_tradnl"/>
        </w:rPr>
        <w:t xml:space="preserve">de </w:t>
      </w:r>
      <w:r w:rsidRPr="001A0B2B">
        <w:rPr>
          <w:lang w:val="es-ES_tradnl"/>
        </w:rPr>
        <w:t>(educación, salud, gobierno, seguridad)</w:t>
      </w:r>
      <w:r>
        <w:rPr>
          <w:lang w:val="es-ES_tradnl"/>
        </w:rPr>
        <w:t xml:space="preserve">, es necesario </w:t>
      </w:r>
      <w:r w:rsidRPr="001A0B2B">
        <w:rPr>
          <w:lang w:val="es-ES_tradnl"/>
        </w:rPr>
        <w:t xml:space="preserve">confirmar si </w:t>
      </w:r>
      <w:r>
        <w:rPr>
          <w:lang w:val="es-ES_tradnl"/>
        </w:rPr>
        <w:t>el Gobierno puede</w:t>
      </w:r>
      <w:r w:rsidRPr="001A0B2B">
        <w:rPr>
          <w:lang w:val="es-ES_tradnl"/>
        </w:rPr>
        <w:t xml:space="preserve"> generar el estudio con sus propios datos o si será necesaria la contratación de una consultoría adicional para eso.</w:t>
      </w:r>
    </w:p>
    <w:p w:rsidR="00580A42" w:rsidRDefault="00580A42" w:rsidP="00E06E02">
      <w:pPr>
        <w:jc w:val="both"/>
        <w:rPr>
          <w:rFonts w:ascii="Times New Roman" w:hAnsi="Times New Roman"/>
          <w:b/>
          <w:sz w:val="24"/>
          <w:szCs w:val="24"/>
          <w:lang w:val="es-MX"/>
        </w:rPr>
      </w:pPr>
    </w:p>
    <w:p w:rsidR="00580A42" w:rsidRDefault="00580A42" w:rsidP="00E06E02">
      <w:pPr>
        <w:jc w:val="both"/>
        <w:rPr>
          <w:rFonts w:ascii="Times New Roman" w:hAnsi="Times New Roman"/>
          <w:b/>
          <w:sz w:val="24"/>
          <w:szCs w:val="24"/>
          <w:lang w:val="es-MX"/>
        </w:rPr>
      </w:pPr>
      <w:r>
        <w:rPr>
          <w:rFonts w:ascii="Times New Roman" w:hAnsi="Times New Roman"/>
          <w:b/>
          <w:sz w:val="24"/>
          <w:szCs w:val="24"/>
          <w:lang w:val="es-MX"/>
        </w:rPr>
        <w:t>Anexo 1: Documentos disponibles</w:t>
      </w:r>
    </w:p>
    <w:p w:rsidR="00580A42" w:rsidRDefault="00580A42" w:rsidP="00E06E02">
      <w:pPr>
        <w:jc w:val="both"/>
        <w:rPr>
          <w:rFonts w:ascii="Times New Roman" w:hAnsi="Times New Roman"/>
          <w:b/>
          <w:sz w:val="24"/>
          <w:szCs w:val="24"/>
          <w:lang w:val="es-MX"/>
        </w:rPr>
      </w:pPr>
    </w:p>
    <w:p w:rsidR="006A1912" w:rsidRPr="006A1912" w:rsidRDefault="006A1912" w:rsidP="006A1912">
      <w:pPr>
        <w:pStyle w:val="ListParagraph"/>
        <w:numPr>
          <w:ilvl w:val="0"/>
          <w:numId w:val="78"/>
        </w:numPr>
        <w:rPr>
          <w:rFonts w:ascii="Times New Roman" w:hAnsi="Times New Roman"/>
          <w:sz w:val="24"/>
          <w:szCs w:val="20"/>
          <w:lang w:val="es-ES_tradnl"/>
        </w:rPr>
      </w:pPr>
      <w:r w:rsidRPr="006A1912">
        <w:rPr>
          <w:rFonts w:ascii="Times New Roman" w:hAnsi="Times New Roman"/>
          <w:sz w:val="24"/>
          <w:szCs w:val="20"/>
          <w:lang w:val="es-ES_tradnl"/>
        </w:rPr>
        <w:t>Consideraciones para ajustes al SIAF actual</w:t>
      </w:r>
    </w:p>
    <w:p w:rsidR="006A1912" w:rsidRPr="006A1912" w:rsidRDefault="006A1912" w:rsidP="006A1912">
      <w:pPr>
        <w:pStyle w:val="ListParagraph"/>
        <w:numPr>
          <w:ilvl w:val="0"/>
          <w:numId w:val="78"/>
        </w:numPr>
        <w:rPr>
          <w:rFonts w:ascii="Times New Roman" w:hAnsi="Times New Roman"/>
          <w:sz w:val="24"/>
          <w:szCs w:val="20"/>
          <w:lang w:val="es-ES_tradnl"/>
        </w:rPr>
      </w:pPr>
      <w:r w:rsidRPr="006A1912">
        <w:rPr>
          <w:rFonts w:ascii="Times New Roman" w:hAnsi="Times New Roman"/>
          <w:sz w:val="24"/>
          <w:szCs w:val="20"/>
          <w:lang w:val="es-ES_tradnl"/>
        </w:rPr>
        <w:t>SIAF</w:t>
      </w:r>
      <w:r>
        <w:rPr>
          <w:rFonts w:ascii="Times New Roman" w:hAnsi="Times New Roman"/>
          <w:sz w:val="24"/>
          <w:szCs w:val="20"/>
          <w:lang w:val="es-ES_tradnl"/>
        </w:rPr>
        <w:t xml:space="preserve"> Análi</w:t>
      </w:r>
      <w:r w:rsidRPr="006A1912">
        <w:rPr>
          <w:rFonts w:ascii="Times New Roman" w:hAnsi="Times New Roman"/>
          <w:sz w:val="24"/>
          <w:szCs w:val="20"/>
          <w:lang w:val="es-ES_tradnl"/>
        </w:rPr>
        <w:t>sis</w:t>
      </w:r>
      <w:r>
        <w:rPr>
          <w:rFonts w:ascii="Times New Roman" w:hAnsi="Times New Roman"/>
          <w:sz w:val="24"/>
          <w:szCs w:val="20"/>
          <w:lang w:val="es-ES_tradnl"/>
        </w:rPr>
        <w:t xml:space="preserve"> </w:t>
      </w:r>
      <w:r w:rsidRPr="006A1912">
        <w:rPr>
          <w:rFonts w:ascii="Times New Roman" w:hAnsi="Times New Roman"/>
          <w:sz w:val="24"/>
          <w:szCs w:val="20"/>
          <w:lang w:val="es-ES_tradnl"/>
        </w:rPr>
        <w:t>de</w:t>
      </w:r>
      <w:r>
        <w:rPr>
          <w:rFonts w:ascii="Times New Roman" w:hAnsi="Times New Roman"/>
          <w:sz w:val="24"/>
          <w:szCs w:val="20"/>
          <w:lang w:val="es-ES_tradnl"/>
        </w:rPr>
        <w:t xml:space="preserve"> </w:t>
      </w:r>
      <w:r w:rsidRPr="006A1912">
        <w:rPr>
          <w:rFonts w:ascii="Times New Roman" w:hAnsi="Times New Roman"/>
          <w:sz w:val="24"/>
          <w:szCs w:val="20"/>
          <w:lang w:val="es-ES_tradnl"/>
        </w:rPr>
        <w:t>alternativas(4).docx</w:t>
      </w:r>
    </w:p>
    <w:p w:rsidR="006A1912" w:rsidRPr="006A1912" w:rsidRDefault="006A1912" w:rsidP="006A1912">
      <w:pPr>
        <w:pStyle w:val="ListParagraph"/>
        <w:numPr>
          <w:ilvl w:val="0"/>
          <w:numId w:val="78"/>
        </w:numPr>
        <w:rPr>
          <w:rFonts w:ascii="Times New Roman" w:hAnsi="Times New Roman"/>
          <w:sz w:val="24"/>
          <w:szCs w:val="20"/>
          <w:lang w:val="es-ES_tradnl"/>
        </w:rPr>
      </w:pPr>
      <w:r w:rsidRPr="006A1912">
        <w:rPr>
          <w:rFonts w:ascii="Times New Roman" w:hAnsi="Times New Roman"/>
          <w:sz w:val="24"/>
          <w:szCs w:val="20"/>
          <w:lang w:val="es-ES_tradnl"/>
        </w:rPr>
        <w:t>Reporte Consultoría Antonio Seco</w:t>
      </w:r>
      <w:r>
        <w:rPr>
          <w:rFonts w:ascii="Times New Roman" w:hAnsi="Times New Roman"/>
          <w:sz w:val="24"/>
          <w:szCs w:val="20"/>
          <w:lang w:val="es-ES_tradnl"/>
        </w:rPr>
        <w:t xml:space="preserve"> (en preparación)</w:t>
      </w:r>
    </w:p>
    <w:p w:rsidR="006A1912" w:rsidRPr="006A1912" w:rsidRDefault="006A1912" w:rsidP="006A1912">
      <w:pPr>
        <w:pStyle w:val="ListParagraph"/>
        <w:numPr>
          <w:ilvl w:val="0"/>
          <w:numId w:val="78"/>
        </w:numPr>
        <w:rPr>
          <w:rFonts w:ascii="Times New Roman" w:hAnsi="Times New Roman"/>
          <w:sz w:val="24"/>
          <w:szCs w:val="20"/>
          <w:lang w:val="es-ES_tradnl"/>
        </w:rPr>
      </w:pPr>
      <w:r w:rsidRPr="006A1912">
        <w:rPr>
          <w:rFonts w:ascii="Times New Roman" w:hAnsi="Times New Roman"/>
          <w:sz w:val="24"/>
          <w:szCs w:val="20"/>
          <w:lang w:val="es-ES_tradnl"/>
        </w:rPr>
        <w:t>Reporte Consultoría Ricardo Martínez Garza</w:t>
      </w:r>
      <w:r>
        <w:rPr>
          <w:rFonts w:ascii="Times New Roman" w:hAnsi="Times New Roman"/>
          <w:sz w:val="24"/>
          <w:szCs w:val="20"/>
          <w:lang w:val="es-ES_tradnl"/>
        </w:rPr>
        <w:t xml:space="preserve"> (en preparación)</w:t>
      </w:r>
    </w:p>
    <w:p w:rsidR="00580A42" w:rsidRPr="00F07E46" w:rsidRDefault="00580A42" w:rsidP="006A1912">
      <w:pPr>
        <w:rPr>
          <w:rFonts w:ascii="Times New Roman" w:hAnsi="Times New Roman"/>
          <w:b/>
          <w:sz w:val="24"/>
          <w:szCs w:val="24"/>
          <w:lang w:val="es-MX"/>
        </w:rPr>
      </w:pPr>
    </w:p>
    <w:sectPr w:rsidR="00580A42" w:rsidRPr="00F07E46" w:rsidSect="0022560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2E8" w:rsidRDefault="00CC02E8" w:rsidP="009305F8">
      <w:r>
        <w:separator/>
      </w:r>
    </w:p>
  </w:endnote>
  <w:endnote w:type="continuationSeparator" w:id="0">
    <w:p w:rsidR="00CC02E8" w:rsidRDefault="00CC02E8" w:rsidP="009305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2E8" w:rsidRDefault="00CC02E8" w:rsidP="009305F8">
      <w:r>
        <w:separator/>
      </w:r>
    </w:p>
  </w:footnote>
  <w:footnote w:type="continuationSeparator" w:id="0">
    <w:p w:rsidR="00CC02E8" w:rsidRDefault="00CC02E8" w:rsidP="009305F8">
      <w:r>
        <w:continuationSeparator/>
      </w:r>
    </w:p>
  </w:footnote>
  <w:footnote w:id="1">
    <w:p w:rsidR="006F54AB" w:rsidRPr="00624880" w:rsidRDefault="006F54AB">
      <w:pPr>
        <w:pStyle w:val="FootnoteText"/>
        <w:rPr>
          <w:lang w:val="es-ES_tradnl"/>
        </w:rPr>
      </w:pPr>
      <w:r>
        <w:rPr>
          <w:rStyle w:val="FootnoteReference"/>
        </w:rPr>
        <w:footnoteRef/>
      </w:r>
      <w:r w:rsidRPr="00624880">
        <w:rPr>
          <w:lang w:val="es-ES_tradnl"/>
        </w:rPr>
        <w:t xml:space="preserve"> Government Resource Planning</w:t>
      </w:r>
    </w:p>
  </w:footnote>
  <w:footnote w:id="2">
    <w:p w:rsidR="006F54AB" w:rsidRPr="001B0B55" w:rsidRDefault="006F54AB">
      <w:pPr>
        <w:pStyle w:val="FootnoteText"/>
        <w:rPr>
          <w:lang w:val="es-ES_tradnl"/>
        </w:rPr>
      </w:pPr>
      <w:r>
        <w:rPr>
          <w:rStyle w:val="FootnoteReference"/>
        </w:rPr>
        <w:footnoteRef/>
      </w:r>
      <w:r w:rsidRPr="001B0B55">
        <w:rPr>
          <w:lang w:val="es-ES_tradnl"/>
        </w:rPr>
        <w:t xml:space="preserve"> </w:t>
      </w:r>
      <w:r>
        <w:rPr>
          <w:lang w:val="es-ES_tradnl"/>
        </w:rPr>
        <w:t>Detalles en el documento “Consideraciones para ajustes al SIAF Actual LGCG” parte del Anexo</w:t>
      </w:r>
    </w:p>
  </w:footnote>
  <w:footnote w:id="3">
    <w:p w:rsidR="00A45EC0" w:rsidRPr="00A45EC0" w:rsidRDefault="00A45EC0">
      <w:pPr>
        <w:pStyle w:val="FootnoteText"/>
        <w:rPr>
          <w:lang w:val="es-ES_tradnl"/>
        </w:rPr>
      </w:pPr>
      <w:r>
        <w:rPr>
          <w:rStyle w:val="FootnoteReference"/>
        </w:rPr>
        <w:footnoteRef/>
      </w:r>
      <w:r w:rsidRPr="00A45EC0">
        <w:rPr>
          <w:lang w:val="es-ES_tradnl"/>
        </w:rPr>
        <w:t xml:space="preserve"> </w:t>
      </w:r>
      <w:r>
        <w:rPr>
          <w:lang w:val="es-ES_tradnl"/>
        </w:rPr>
        <w:t xml:space="preserve">Gobierno, Salud, Educación, Seguridad </w:t>
      </w:r>
      <w:r w:rsidR="00A44C00">
        <w:rPr>
          <w:lang w:val="es-ES_tradnl"/>
        </w:rPr>
        <w:t>con interconexión a Internet</w:t>
      </w:r>
    </w:p>
  </w:footnote>
  <w:footnote w:id="4">
    <w:p w:rsidR="003F2744" w:rsidRPr="003F2744" w:rsidRDefault="003F2744">
      <w:pPr>
        <w:pStyle w:val="FootnoteText"/>
        <w:rPr>
          <w:lang w:val="es-ES_tradnl"/>
        </w:rPr>
      </w:pPr>
      <w:r>
        <w:rPr>
          <w:rStyle w:val="FootnoteReference"/>
        </w:rPr>
        <w:footnoteRef/>
      </w:r>
      <w:r w:rsidRPr="003F2744">
        <w:rPr>
          <w:lang w:val="es-ES_tradnl"/>
        </w:rPr>
        <w:t xml:space="preserve"> </w:t>
      </w:r>
      <w:r>
        <w:rPr>
          <w:lang w:val="es-ES_tradnl"/>
        </w:rPr>
        <w:t xml:space="preserve">  </w:t>
      </w:r>
      <w:r w:rsidRPr="003F2744">
        <w:rPr>
          <w:lang w:val="es-ES_tradnl"/>
        </w:rPr>
        <w:t>Un informe reciente del Banco Mundial demuestra que para cada 10 puntos porcentuales de aumento de la penetración de banda ancha en países en desarrollo, hay un crecimiento correspondiente en el PIB e 1.38 puntos porcentuales. Otro informe de la investigación indica que un aumento de 1 por ciento en la penetración de banda ancha conduce a 0.3 aumentos del porcentaje en el empleo.</w:t>
      </w:r>
    </w:p>
  </w:footnote>
  <w:footnote w:id="5">
    <w:p w:rsidR="003F2744" w:rsidRPr="003F2744" w:rsidRDefault="003F2744">
      <w:pPr>
        <w:pStyle w:val="FootnoteText"/>
        <w:rPr>
          <w:lang w:val="es-ES_tradnl"/>
        </w:rPr>
      </w:pPr>
      <w:r>
        <w:rPr>
          <w:rStyle w:val="FootnoteReference"/>
        </w:rPr>
        <w:footnoteRef/>
      </w:r>
      <w:r w:rsidRPr="003F2744">
        <w:rPr>
          <w:lang w:val="es-ES_tradnl"/>
        </w:rPr>
        <w:t xml:space="preserve"> </w:t>
      </w:r>
      <w:r>
        <w:rPr>
          <w:lang w:val="es-ES_tradnl"/>
        </w:rPr>
        <w:t xml:space="preserve">  </w:t>
      </w:r>
      <w:r w:rsidRPr="003F2744">
        <w:rPr>
          <w:lang w:val="es-ES_tradnl"/>
        </w:rPr>
        <w:t>Algunas aplicaciones: i) Interconexión de dependencias del Gobierno del Estado como son Salud, Educación, Registro Civil, Administración, Finanzas, Cultura, etc., ii) Acceso de las oficinas que se encuentran en el interior del Estado a la intranet para el acceso de la información en tiempo real, iii) Unidad de Servicios Electrónicos (USE), iv) Aplicaciones de Telemedicina, v) Herramientas de apoyo para la actividad Turística, vi) Sistema de Telefonía IP Gubernamental, vii) Acceso a Internet para los sitios que integren la Red Estatal del Gobierno del Estado de Yucatán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530409D"/>
    <w:multiLevelType w:val="hybridMultilevel"/>
    <w:tmpl w:val="14A422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812508"/>
    <w:multiLevelType w:val="multilevel"/>
    <w:tmpl w:val="0784A0D2"/>
    <w:lvl w:ilvl="0">
      <w:start w:val="1"/>
      <w:numFmt w:val="none"/>
      <w:lvlRestart w:val="0"/>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rPr>
        <w:b/>
      </w:rPr>
    </w:lvl>
    <w:lvl w:ilvl="2">
      <w:start w:val="1"/>
      <w:numFmt w:val="lowerLetter"/>
      <w:pStyle w:val="SubHeading1"/>
      <w:lvlText w:val="%3)"/>
      <w:lvlJc w:val="left"/>
      <w:pPr>
        <w:tabs>
          <w:tab w:val="num" w:pos="1872"/>
        </w:tabs>
        <w:ind w:left="1872" w:hanging="576"/>
      </w:pPr>
      <w:rPr>
        <w:b/>
      </w:rPr>
    </w:lvl>
    <w:lvl w:ilvl="3">
      <w:start w:val="1"/>
      <w:numFmt w:val="lowerRoman"/>
      <w:pStyle w:val="Subheading2"/>
      <w:lvlText w:val="(%4)"/>
      <w:lvlJc w:val="right"/>
      <w:pPr>
        <w:tabs>
          <w:tab w:val="num" w:pos="2376"/>
        </w:tabs>
        <w:ind w:left="2376" w:hanging="288"/>
      </w:pPr>
      <w:rPr>
        <w:b/>
      </w:r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
    <w:nsid w:val="09ED6FA8"/>
    <w:multiLevelType w:val="multilevel"/>
    <w:tmpl w:val="F726158A"/>
    <w:lvl w:ilvl="0">
      <w:start w:val="1"/>
      <w:numFmt w:val="upperRoman"/>
      <w:lvlRestart w:val="0"/>
      <w:pStyle w:val="Chapter"/>
      <w:lvlText w:val="%1."/>
      <w:lvlJc w:val="center"/>
      <w:pPr>
        <w:tabs>
          <w:tab w:val="num" w:pos="1080"/>
        </w:tabs>
        <w:ind w:left="432" w:firstLine="288"/>
      </w:pPr>
      <w:rPr>
        <w:b/>
        <w:i w:val="0"/>
      </w:rPr>
    </w:lvl>
    <w:lvl w:ilvl="1">
      <w:start w:val="1"/>
      <w:numFmt w:val="decimal"/>
      <w:pStyle w:val="Paragraph"/>
      <w:isLgl/>
      <w:lvlText w:val="%1.%2"/>
      <w:lvlJc w:val="left"/>
      <w:pPr>
        <w:tabs>
          <w:tab w:val="num" w:pos="1728"/>
        </w:tabs>
        <w:ind w:left="1728" w:hanging="1296"/>
      </w:pPr>
    </w:lvl>
    <w:lvl w:ilvl="2">
      <w:start w:val="1"/>
      <w:numFmt w:val="lowerLetter"/>
      <w:pStyle w:val="subpar"/>
      <w:lvlText w:val="%3."/>
      <w:lvlJc w:val="left"/>
      <w:pPr>
        <w:tabs>
          <w:tab w:val="num" w:pos="1584"/>
        </w:tabs>
        <w:ind w:left="1584" w:hanging="432"/>
      </w:pPr>
      <w:rPr>
        <w:lang w:val="es-CO"/>
      </w:rPr>
    </w:lvl>
    <w:lvl w:ilvl="3">
      <w:start w:val="1"/>
      <w:numFmt w:val="lowerRoman"/>
      <w:pStyle w:val="SubSubPar"/>
      <w:lvlText w:val="%4."/>
      <w:lvlJc w:val="right"/>
      <w:pPr>
        <w:tabs>
          <w:tab w:val="num" w:pos="2016"/>
        </w:tabs>
        <w:ind w:left="2016" w:hanging="288"/>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4">
    <w:nsid w:val="167E0221"/>
    <w:multiLevelType w:val="hybridMultilevel"/>
    <w:tmpl w:val="841E0732"/>
    <w:lvl w:ilvl="0" w:tplc="0409000F">
      <w:start w:val="1"/>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5">
    <w:nsid w:val="1B22178B"/>
    <w:multiLevelType w:val="hybridMultilevel"/>
    <w:tmpl w:val="EC60CF20"/>
    <w:lvl w:ilvl="0" w:tplc="A6E2BB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DD32C7"/>
    <w:multiLevelType w:val="hybridMultilevel"/>
    <w:tmpl w:val="F2705682"/>
    <w:lvl w:ilvl="0" w:tplc="557E2886">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AF27B1"/>
    <w:multiLevelType w:val="hybridMultilevel"/>
    <w:tmpl w:val="B49C6AAC"/>
    <w:lvl w:ilvl="0" w:tplc="0816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48A014D"/>
    <w:multiLevelType w:val="hybridMultilevel"/>
    <w:tmpl w:val="81C02A76"/>
    <w:lvl w:ilvl="0" w:tplc="04090011">
      <w:start w:val="1"/>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9">
    <w:nsid w:val="2BFC0BCA"/>
    <w:multiLevelType w:val="hybridMultilevel"/>
    <w:tmpl w:val="BA560042"/>
    <w:lvl w:ilvl="0" w:tplc="80FA560E">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6F4BDF"/>
    <w:multiLevelType w:val="hybridMultilevel"/>
    <w:tmpl w:val="CF744E4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A052D5"/>
    <w:multiLevelType w:val="hybridMultilevel"/>
    <w:tmpl w:val="07F8F8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9877E3"/>
    <w:multiLevelType w:val="hybridMultilevel"/>
    <w:tmpl w:val="48EE30CC"/>
    <w:lvl w:ilvl="0" w:tplc="DEF6F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785DB1"/>
    <w:multiLevelType w:val="hybridMultilevel"/>
    <w:tmpl w:val="32BCD9C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2300E9"/>
    <w:multiLevelType w:val="multilevel"/>
    <w:tmpl w:val="2892B296"/>
    <w:lvl w:ilvl="0">
      <w:start w:val="1"/>
      <w:numFmt w:val="decimal"/>
      <w:lvlText w:val="%1."/>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tabs>
          <w:tab w:val="num" w:pos="2376"/>
        </w:tabs>
        <w:ind w:left="2376" w:hanging="288"/>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444D7CB0"/>
    <w:multiLevelType w:val="hybridMultilevel"/>
    <w:tmpl w:val="96967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BB0A2D"/>
    <w:multiLevelType w:val="hybridMultilevel"/>
    <w:tmpl w:val="44B0682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9E47248"/>
    <w:multiLevelType w:val="hybridMultilevel"/>
    <w:tmpl w:val="1B1C4998"/>
    <w:lvl w:ilvl="0" w:tplc="08160001">
      <w:numFmt w:val="bullet"/>
      <w:lvlText w:val=""/>
      <w:lvlJc w:val="left"/>
      <w:pPr>
        <w:ind w:left="720" w:hanging="360"/>
      </w:pPr>
      <w:rPr>
        <w:rFonts w:ascii="Symbol" w:eastAsia="Times New Roman" w:hAnsi="Symbol" w:cs="Times New Roman"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nsid w:val="4B415034"/>
    <w:multiLevelType w:val="hybridMultilevel"/>
    <w:tmpl w:val="55AE4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6D6230"/>
    <w:multiLevelType w:val="hybridMultilevel"/>
    <w:tmpl w:val="DDE2B080"/>
    <w:lvl w:ilvl="0" w:tplc="9618A91C">
      <w:start w:val="1"/>
      <w:numFmt w:val="lowerRoman"/>
      <w:lvlText w:val="%1)"/>
      <w:lvlJc w:val="left"/>
      <w:pPr>
        <w:ind w:left="720" w:hanging="360"/>
      </w:pPr>
      <w:rPr>
        <w:rFonts w:ascii="Times New Roman" w:eastAsia="Times New Roman"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166330"/>
    <w:multiLevelType w:val="hybridMultilevel"/>
    <w:tmpl w:val="950463E4"/>
    <w:lvl w:ilvl="0" w:tplc="846230A6">
      <w:start w:val="1"/>
      <w:numFmt w:val="lowerLetter"/>
      <w:lvlText w:val="%1."/>
      <w:lvlJc w:val="left"/>
      <w:pPr>
        <w:ind w:left="1800" w:hanging="360"/>
      </w:pPr>
      <w:rPr>
        <w:rFonts w:hint="default"/>
      </w:rPr>
    </w:lvl>
    <w:lvl w:ilvl="1" w:tplc="D4428CC0">
      <w:start w:val="1"/>
      <w:numFmt w:val="bullet"/>
      <w:lvlText w:val="­"/>
      <w:lvlJc w:val="left"/>
      <w:pPr>
        <w:tabs>
          <w:tab w:val="num" w:pos="2520"/>
        </w:tabs>
        <w:ind w:left="2520" w:hanging="360"/>
      </w:pPr>
      <w:rPr>
        <w:rFonts w:ascii="Courier New" w:hAnsi="Courier New"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D424489"/>
    <w:multiLevelType w:val="hybridMultilevel"/>
    <w:tmpl w:val="9146CD48"/>
    <w:lvl w:ilvl="0" w:tplc="EE3631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93308D"/>
    <w:multiLevelType w:val="hybridMultilevel"/>
    <w:tmpl w:val="F1586E48"/>
    <w:lvl w:ilvl="0" w:tplc="0816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BB0748E"/>
    <w:multiLevelType w:val="hybridMultilevel"/>
    <w:tmpl w:val="659EED14"/>
    <w:lvl w:ilvl="0" w:tplc="AED221E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3"/>
  </w:num>
  <w:num w:numId="3">
    <w:abstractNumId w:val="2"/>
  </w:num>
  <w:num w:numId="4">
    <w:abstractNumId w:val="3"/>
  </w:num>
  <w:num w:numId="5">
    <w:abstractNumId w:val="19"/>
  </w:num>
  <w:num w:numId="6">
    <w:abstractNumId w:val="11"/>
  </w:num>
  <w:num w:numId="7">
    <w:abstractNumId w:val="23"/>
  </w:num>
  <w:num w:numId="8">
    <w:abstractNumId w:val="21"/>
  </w:num>
  <w:num w:numId="9">
    <w:abstractNumId w:val="17"/>
  </w:num>
  <w:num w:numId="10">
    <w:abstractNumId w:val="12"/>
  </w:num>
  <w:num w:numId="11">
    <w:abstractNumId w:val="5"/>
  </w:num>
  <w:num w:numId="12">
    <w:abstractNumId w:val="4"/>
  </w:num>
  <w:num w:numId="13">
    <w:abstractNumId w:val="16"/>
  </w:num>
  <w:num w:numId="14">
    <w:abstractNumId w:val="20"/>
  </w:num>
  <w:num w:numId="15">
    <w:abstractNumId w:val="3"/>
  </w:num>
  <w:num w:numId="16">
    <w:abstractNumId w:val="3"/>
  </w:num>
  <w:num w:numId="17">
    <w:abstractNumId w:val="3"/>
  </w:num>
  <w:num w:numId="18">
    <w:abstractNumId w:val="3"/>
  </w:num>
  <w:num w:numId="19">
    <w:abstractNumId w:val="3"/>
  </w:num>
  <w:num w:numId="20">
    <w:abstractNumId w:val="3"/>
  </w:num>
  <w:num w:numId="21">
    <w:abstractNumId w:val="6"/>
  </w:num>
  <w:num w:numId="22">
    <w:abstractNumId w:val="9"/>
  </w:num>
  <w:num w:numId="23">
    <w:abstractNumId w:val="8"/>
  </w:num>
  <w:num w:numId="24">
    <w:abstractNumId w:val="3"/>
  </w:num>
  <w:num w:numId="25">
    <w:abstractNumId w:val="0"/>
  </w:num>
  <w:num w:numId="26">
    <w:abstractNumId w:val="15"/>
  </w:num>
  <w:num w:numId="27">
    <w:abstractNumId w:val="7"/>
  </w:num>
  <w:num w:numId="28">
    <w:abstractNumId w:val="3"/>
  </w:num>
  <w:num w:numId="29">
    <w:abstractNumId w:val="3"/>
  </w:num>
  <w:num w:numId="30">
    <w:abstractNumId w:val="3"/>
  </w:num>
  <w:num w:numId="31">
    <w:abstractNumId w:val="3"/>
  </w:num>
  <w:num w:numId="32">
    <w:abstractNumId w:val="13"/>
  </w:num>
  <w:num w:numId="33">
    <w:abstractNumId w:val="22"/>
  </w:num>
  <w:num w:numId="34">
    <w:abstractNumId w:val="3"/>
  </w:num>
  <w:num w:numId="35">
    <w:abstractNumId w:val="3"/>
  </w:num>
  <w:num w:numId="36">
    <w:abstractNumId w:val="3"/>
  </w:num>
  <w:num w:numId="37">
    <w:abstractNumId w:val="3"/>
  </w:num>
  <w:num w:numId="38">
    <w:abstractNumId w:val="3"/>
  </w:num>
  <w:num w:numId="39">
    <w:abstractNumId w:val="3"/>
  </w:num>
  <w:num w:numId="40">
    <w:abstractNumId w:val="2"/>
  </w:num>
  <w:num w:numId="41">
    <w:abstractNumId w:val="3"/>
  </w:num>
  <w:num w:numId="42">
    <w:abstractNumId w:val="3"/>
  </w:num>
  <w:num w:numId="43">
    <w:abstractNumId w:val="3"/>
  </w:num>
  <w:num w:numId="44">
    <w:abstractNumId w:val="3"/>
  </w:num>
  <w:num w:numId="45">
    <w:abstractNumId w:val="2"/>
  </w:num>
  <w:num w:numId="46">
    <w:abstractNumId w:val="3"/>
  </w:num>
  <w:num w:numId="47">
    <w:abstractNumId w:val="3"/>
  </w:num>
  <w:num w:numId="48">
    <w:abstractNumId w:val="2"/>
  </w:num>
  <w:num w:numId="49">
    <w:abstractNumId w:val="2"/>
  </w:num>
  <w:num w:numId="50">
    <w:abstractNumId w:val="3"/>
  </w:num>
  <w:num w:numId="51">
    <w:abstractNumId w:val="3"/>
  </w:num>
  <w:num w:numId="52">
    <w:abstractNumId w:val="3"/>
  </w:num>
  <w:num w:numId="53">
    <w:abstractNumId w:val="3"/>
  </w:num>
  <w:num w:numId="54">
    <w:abstractNumId w:val="3"/>
  </w:num>
  <w:num w:numId="55">
    <w:abstractNumId w:val="3"/>
  </w:num>
  <w:num w:numId="56">
    <w:abstractNumId w:val="3"/>
  </w:num>
  <w:num w:numId="57">
    <w:abstractNumId w:val="3"/>
  </w:num>
  <w:num w:numId="58">
    <w:abstractNumId w:val="3"/>
  </w:num>
  <w:num w:numId="59">
    <w:abstractNumId w:val="3"/>
  </w:num>
  <w:num w:numId="60">
    <w:abstractNumId w:val="3"/>
  </w:num>
  <w:num w:numId="61">
    <w:abstractNumId w:val="1"/>
  </w:num>
  <w:num w:numId="62">
    <w:abstractNumId w:val="10"/>
  </w:num>
  <w:num w:numId="63">
    <w:abstractNumId w:val="3"/>
  </w:num>
  <w:num w:numId="64">
    <w:abstractNumId w:val="3"/>
  </w:num>
  <w:num w:numId="65">
    <w:abstractNumId w:val="3"/>
  </w:num>
  <w:num w:numId="66">
    <w:abstractNumId w:val="3"/>
  </w:num>
  <w:num w:numId="67">
    <w:abstractNumId w:val="3"/>
  </w:num>
  <w:num w:numId="68">
    <w:abstractNumId w:val="3"/>
  </w:num>
  <w:num w:numId="69">
    <w:abstractNumId w:val="3"/>
  </w:num>
  <w:num w:numId="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
  </w:num>
  <w:num w:numId="72">
    <w:abstractNumId w:val="3"/>
  </w:num>
  <w:num w:numId="73">
    <w:abstractNumId w:val="3"/>
  </w:num>
  <w:num w:numId="74">
    <w:abstractNumId w:val="3"/>
  </w:num>
  <w:num w:numId="75">
    <w:abstractNumId w:val="3"/>
  </w:num>
  <w:num w:numId="76">
    <w:abstractNumId w:val="3"/>
  </w:num>
  <w:num w:numId="77">
    <w:abstractNumId w:val="14"/>
  </w:num>
  <w:num w:numId="78">
    <w:abstractNumId w:val="18"/>
  </w:num>
  <w:num w:numId="79">
    <w:abstractNumId w:val="2"/>
  </w:num>
  <w:num w:numId="80">
    <w:abstractNumId w:val="3"/>
  </w:num>
  <w:numIdMacAtCleanup w:val="8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trackRevisions/>
  <w:defaultTabStop w:val="720"/>
  <w:hyphenationZone w:val="425"/>
  <w:characterSpacingControl w:val="doNotCompress"/>
  <w:footnotePr>
    <w:footnote w:id="-1"/>
    <w:footnote w:id="0"/>
  </w:footnotePr>
  <w:endnotePr>
    <w:endnote w:id="-1"/>
    <w:endnote w:id="0"/>
  </w:endnotePr>
  <w:compat>
    <w:doNotUseHTMLParagraphAutoSpacing/>
  </w:compat>
  <w:rsids>
    <w:rsidRoot w:val="00982C22"/>
    <w:rsid w:val="00003B58"/>
    <w:rsid w:val="00003DB2"/>
    <w:rsid w:val="00004C48"/>
    <w:rsid w:val="00015744"/>
    <w:rsid w:val="00020188"/>
    <w:rsid w:val="00022BF3"/>
    <w:rsid w:val="00032241"/>
    <w:rsid w:val="00040131"/>
    <w:rsid w:val="000404AA"/>
    <w:rsid w:val="00056BA0"/>
    <w:rsid w:val="00057CCB"/>
    <w:rsid w:val="00062026"/>
    <w:rsid w:val="00062C50"/>
    <w:rsid w:val="00071172"/>
    <w:rsid w:val="00073A4E"/>
    <w:rsid w:val="000814B7"/>
    <w:rsid w:val="00090EC5"/>
    <w:rsid w:val="00091D11"/>
    <w:rsid w:val="000A1BC8"/>
    <w:rsid w:val="000A2FC7"/>
    <w:rsid w:val="000B0AF0"/>
    <w:rsid w:val="000B175C"/>
    <w:rsid w:val="000C21E1"/>
    <w:rsid w:val="000C7808"/>
    <w:rsid w:val="000D2ED9"/>
    <w:rsid w:val="000D44F3"/>
    <w:rsid w:val="000D57FD"/>
    <w:rsid w:val="000D6515"/>
    <w:rsid w:val="000E0178"/>
    <w:rsid w:val="000E0C8E"/>
    <w:rsid w:val="000F1008"/>
    <w:rsid w:val="000F1E36"/>
    <w:rsid w:val="000F1E52"/>
    <w:rsid w:val="00113B1A"/>
    <w:rsid w:val="00117F08"/>
    <w:rsid w:val="001266EE"/>
    <w:rsid w:val="001359F9"/>
    <w:rsid w:val="001375ED"/>
    <w:rsid w:val="00147165"/>
    <w:rsid w:val="001575CB"/>
    <w:rsid w:val="001618ED"/>
    <w:rsid w:val="00167C5B"/>
    <w:rsid w:val="001770D6"/>
    <w:rsid w:val="001874B4"/>
    <w:rsid w:val="001A0B2B"/>
    <w:rsid w:val="001A1670"/>
    <w:rsid w:val="001B0B55"/>
    <w:rsid w:val="001B2BDA"/>
    <w:rsid w:val="001B405F"/>
    <w:rsid w:val="001B4539"/>
    <w:rsid w:val="001D4669"/>
    <w:rsid w:val="001E6304"/>
    <w:rsid w:val="001F6425"/>
    <w:rsid w:val="001F65CE"/>
    <w:rsid w:val="001F6712"/>
    <w:rsid w:val="00210E28"/>
    <w:rsid w:val="00213404"/>
    <w:rsid w:val="0021570B"/>
    <w:rsid w:val="00225605"/>
    <w:rsid w:val="00230C6C"/>
    <w:rsid w:val="00233EBA"/>
    <w:rsid w:val="00237AB8"/>
    <w:rsid w:val="002538BE"/>
    <w:rsid w:val="00273656"/>
    <w:rsid w:val="00276B83"/>
    <w:rsid w:val="0029169C"/>
    <w:rsid w:val="00293EB1"/>
    <w:rsid w:val="002A6CEA"/>
    <w:rsid w:val="002A6F06"/>
    <w:rsid w:val="002A7794"/>
    <w:rsid w:val="002B4F0A"/>
    <w:rsid w:val="002C3BD0"/>
    <w:rsid w:val="002D3A4F"/>
    <w:rsid w:val="002E5623"/>
    <w:rsid w:val="002E6967"/>
    <w:rsid w:val="002F0B1C"/>
    <w:rsid w:val="002F58F3"/>
    <w:rsid w:val="00304BB8"/>
    <w:rsid w:val="0031325F"/>
    <w:rsid w:val="00313A1C"/>
    <w:rsid w:val="00321413"/>
    <w:rsid w:val="003248B9"/>
    <w:rsid w:val="003306B5"/>
    <w:rsid w:val="00340243"/>
    <w:rsid w:val="00340DA1"/>
    <w:rsid w:val="0035214A"/>
    <w:rsid w:val="0038039A"/>
    <w:rsid w:val="00381AE3"/>
    <w:rsid w:val="003C0151"/>
    <w:rsid w:val="003C0624"/>
    <w:rsid w:val="003C3F58"/>
    <w:rsid w:val="003C7293"/>
    <w:rsid w:val="003D1968"/>
    <w:rsid w:val="003D5A45"/>
    <w:rsid w:val="003D70F5"/>
    <w:rsid w:val="003E1274"/>
    <w:rsid w:val="003E46A7"/>
    <w:rsid w:val="003F2744"/>
    <w:rsid w:val="003F6FC9"/>
    <w:rsid w:val="0040011F"/>
    <w:rsid w:val="00400B90"/>
    <w:rsid w:val="00402B28"/>
    <w:rsid w:val="0041240D"/>
    <w:rsid w:val="004126D2"/>
    <w:rsid w:val="004143A5"/>
    <w:rsid w:val="00421091"/>
    <w:rsid w:val="00423863"/>
    <w:rsid w:val="00423FCC"/>
    <w:rsid w:val="004329F7"/>
    <w:rsid w:val="004350C9"/>
    <w:rsid w:val="0043518C"/>
    <w:rsid w:val="004377C4"/>
    <w:rsid w:val="0045275E"/>
    <w:rsid w:val="00454EDE"/>
    <w:rsid w:val="00457C56"/>
    <w:rsid w:val="0046331C"/>
    <w:rsid w:val="00481747"/>
    <w:rsid w:val="0048370C"/>
    <w:rsid w:val="00483BC2"/>
    <w:rsid w:val="004924BC"/>
    <w:rsid w:val="00493AB9"/>
    <w:rsid w:val="004A1A96"/>
    <w:rsid w:val="004A1BFB"/>
    <w:rsid w:val="004A277D"/>
    <w:rsid w:val="004B19F9"/>
    <w:rsid w:val="004B3D88"/>
    <w:rsid w:val="004B4046"/>
    <w:rsid w:val="004B54FB"/>
    <w:rsid w:val="004B688C"/>
    <w:rsid w:val="004C3BFD"/>
    <w:rsid w:val="004D0D2D"/>
    <w:rsid w:val="004D2FD6"/>
    <w:rsid w:val="004D4D0C"/>
    <w:rsid w:val="004E01BB"/>
    <w:rsid w:val="004E0EEF"/>
    <w:rsid w:val="004E32B2"/>
    <w:rsid w:val="004E3867"/>
    <w:rsid w:val="004F0DE9"/>
    <w:rsid w:val="004F45FF"/>
    <w:rsid w:val="004F70B8"/>
    <w:rsid w:val="00503647"/>
    <w:rsid w:val="005129A6"/>
    <w:rsid w:val="00514B23"/>
    <w:rsid w:val="00520C07"/>
    <w:rsid w:val="00524B6F"/>
    <w:rsid w:val="00527482"/>
    <w:rsid w:val="00530607"/>
    <w:rsid w:val="0053065F"/>
    <w:rsid w:val="00532148"/>
    <w:rsid w:val="005335C3"/>
    <w:rsid w:val="0055000A"/>
    <w:rsid w:val="0055702D"/>
    <w:rsid w:val="00557A2F"/>
    <w:rsid w:val="00563B74"/>
    <w:rsid w:val="00565B26"/>
    <w:rsid w:val="005701E3"/>
    <w:rsid w:val="00577ECB"/>
    <w:rsid w:val="00580A42"/>
    <w:rsid w:val="00585A52"/>
    <w:rsid w:val="00587237"/>
    <w:rsid w:val="005A5C78"/>
    <w:rsid w:val="005B28DE"/>
    <w:rsid w:val="005B733A"/>
    <w:rsid w:val="005D4FCE"/>
    <w:rsid w:val="005D5B3C"/>
    <w:rsid w:val="005E569F"/>
    <w:rsid w:val="005F1D9B"/>
    <w:rsid w:val="005F7046"/>
    <w:rsid w:val="005F72DD"/>
    <w:rsid w:val="00604F09"/>
    <w:rsid w:val="0060579E"/>
    <w:rsid w:val="00605F87"/>
    <w:rsid w:val="006126E7"/>
    <w:rsid w:val="0061499F"/>
    <w:rsid w:val="006232E1"/>
    <w:rsid w:val="00624880"/>
    <w:rsid w:val="00641F48"/>
    <w:rsid w:val="00645E58"/>
    <w:rsid w:val="006523AB"/>
    <w:rsid w:val="00660F46"/>
    <w:rsid w:val="00665F01"/>
    <w:rsid w:val="0067545E"/>
    <w:rsid w:val="006939E9"/>
    <w:rsid w:val="00695E11"/>
    <w:rsid w:val="00696F83"/>
    <w:rsid w:val="006A1912"/>
    <w:rsid w:val="006B076D"/>
    <w:rsid w:val="006B18BB"/>
    <w:rsid w:val="006B464B"/>
    <w:rsid w:val="006B4714"/>
    <w:rsid w:val="006D2597"/>
    <w:rsid w:val="006D72A1"/>
    <w:rsid w:val="006D7AD8"/>
    <w:rsid w:val="006E281D"/>
    <w:rsid w:val="006F54AB"/>
    <w:rsid w:val="006F662A"/>
    <w:rsid w:val="00706AC2"/>
    <w:rsid w:val="007102ED"/>
    <w:rsid w:val="007125A6"/>
    <w:rsid w:val="00726E09"/>
    <w:rsid w:val="00731F93"/>
    <w:rsid w:val="0073260F"/>
    <w:rsid w:val="0073462E"/>
    <w:rsid w:val="007355B1"/>
    <w:rsid w:val="007420A9"/>
    <w:rsid w:val="0074609F"/>
    <w:rsid w:val="00751CDC"/>
    <w:rsid w:val="00752A37"/>
    <w:rsid w:val="007562BF"/>
    <w:rsid w:val="0075752E"/>
    <w:rsid w:val="00763BF9"/>
    <w:rsid w:val="00764EB5"/>
    <w:rsid w:val="00765802"/>
    <w:rsid w:val="00770EBD"/>
    <w:rsid w:val="00775B12"/>
    <w:rsid w:val="00781631"/>
    <w:rsid w:val="00782295"/>
    <w:rsid w:val="00785522"/>
    <w:rsid w:val="007A0607"/>
    <w:rsid w:val="007A497F"/>
    <w:rsid w:val="007B1563"/>
    <w:rsid w:val="007C0EE0"/>
    <w:rsid w:val="007C7784"/>
    <w:rsid w:val="007D6582"/>
    <w:rsid w:val="007E02D3"/>
    <w:rsid w:val="007E248E"/>
    <w:rsid w:val="007E71E6"/>
    <w:rsid w:val="007F4FB2"/>
    <w:rsid w:val="007F777C"/>
    <w:rsid w:val="0080062A"/>
    <w:rsid w:val="008042B0"/>
    <w:rsid w:val="00810177"/>
    <w:rsid w:val="00820764"/>
    <w:rsid w:val="00831BB3"/>
    <w:rsid w:val="008341F8"/>
    <w:rsid w:val="008368EE"/>
    <w:rsid w:val="008403CD"/>
    <w:rsid w:val="008437C3"/>
    <w:rsid w:val="0084396A"/>
    <w:rsid w:val="008520A0"/>
    <w:rsid w:val="00856159"/>
    <w:rsid w:val="00860266"/>
    <w:rsid w:val="00864BF9"/>
    <w:rsid w:val="008832A4"/>
    <w:rsid w:val="00892A75"/>
    <w:rsid w:val="00894C3D"/>
    <w:rsid w:val="0089627D"/>
    <w:rsid w:val="008A0461"/>
    <w:rsid w:val="008A6F24"/>
    <w:rsid w:val="008B33AB"/>
    <w:rsid w:val="008B3DB1"/>
    <w:rsid w:val="008B7C14"/>
    <w:rsid w:val="008C6AA4"/>
    <w:rsid w:val="008D0F4C"/>
    <w:rsid w:val="008D3002"/>
    <w:rsid w:val="008F2F89"/>
    <w:rsid w:val="008F42CF"/>
    <w:rsid w:val="00902FAA"/>
    <w:rsid w:val="00906CF2"/>
    <w:rsid w:val="009144E5"/>
    <w:rsid w:val="009169CF"/>
    <w:rsid w:val="00923630"/>
    <w:rsid w:val="009305F8"/>
    <w:rsid w:val="00931079"/>
    <w:rsid w:val="00937F2D"/>
    <w:rsid w:val="009549D0"/>
    <w:rsid w:val="009578A5"/>
    <w:rsid w:val="009704C5"/>
    <w:rsid w:val="009712A8"/>
    <w:rsid w:val="0097347B"/>
    <w:rsid w:val="009745C3"/>
    <w:rsid w:val="00982C22"/>
    <w:rsid w:val="009A7262"/>
    <w:rsid w:val="009E3C64"/>
    <w:rsid w:val="009E7D36"/>
    <w:rsid w:val="009F1735"/>
    <w:rsid w:val="00A0230D"/>
    <w:rsid w:val="00A0542C"/>
    <w:rsid w:val="00A05493"/>
    <w:rsid w:val="00A13921"/>
    <w:rsid w:val="00A239E7"/>
    <w:rsid w:val="00A258D2"/>
    <w:rsid w:val="00A258E0"/>
    <w:rsid w:val="00A32366"/>
    <w:rsid w:val="00A347D3"/>
    <w:rsid w:val="00A41E53"/>
    <w:rsid w:val="00A43280"/>
    <w:rsid w:val="00A44C00"/>
    <w:rsid w:val="00A45E5E"/>
    <w:rsid w:val="00A45EC0"/>
    <w:rsid w:val="00A45FC4"/>
    <w:rsid w:val="00A72CA8"/>
    <w:rsid w:val="00A94945"/>
    <w:rsid w:val="00A9628C"/>
    <w:rsid w:val="00AA1810"/>
    <w:rsid w:val="00AB352F"/>
    <w:rsid w:val="00AB6274"/>
    <w:rsid w:val="00AC0621"/>
    <w:rsid w:val="00AC2DD7"/>
    <w:rsid w:val="00AD0C2F"/>
    <w:rsid w:val="00AD2AE1"/>
    <w:rsid w:val="00AE15EB"/>
    <w:rsid w:val="00AF2B8E"/>
    <w:rsid w:val="00AF2C40"/>
    <w:rsid w:val="00B01287"/>
    <w:rsid w:val="00B16F17"/>
    <w:rsid w:val="00B21C76"/>
    <w:rsid w:val="00B21CF2"/>
    <w:rsid w:val="00B40464"/>
    <w:rsid w:val="00B460B1"/>
    <w:rsid w:val="00B60722"/>
    <w:rsid w:val="00B6651D"/>
    <w:rsid w:val="00B729C3"/>
    <w:rsid w:val="00B73015"/>
    <w:rsid w:val="00B77C0A"/>
    <w:rsid w:val="00B8297C"/>
    <w:rsid w:val="00B95D99"/>
    <w:rsid w:val="00B961B7"/>
    <w:rsid w:val="00BB3788"/>
    <w:rsid w:val="00BB4BC5"/>
    <w:rsid w:val="00C00C7D"/>
    <w:rsid w:val="00C0228F"/>
    <w:rsid w:val="00C05E44"/>
    <w:rsid w:val="00C06521"/>
    <w:rsid w:val="00C11BDD"/>
    <w:rsid w:val="00C17D88"/>
    <w:rsid w:val="00C222BA"/>
    <w:rsid w:val="00C23F78"/>
    <w:rsid w:val="00C3130F"/>
    <w:rsid w:val="00C346D0"/>
    <w:rsid w:val="00C420BA"/>
    <w:rsid w:val="00C47E29"/>
    <w:rsid w:val="00C6221F"/>
    <w:rsid w:val="00C75623"/>
    <w:rsid w:val="00C776AD"/>
    <w:rsid w:val="00C92F32"/>
    <w:rsid w:val="00C94A3B"/>
    <w:rsid w:val="00C94B42"/>
    <w:rsid w:val="00C95FCA"/>
    <w:rsid w:val="00CA257C"/>
    <w:rsid w:val="00CA4987"/>
    <w:rsid w:val="00CC02E8"/>
    <w:rsid w:val="00CD064D"/>
    <w:rsid w:val="00CD4613"/>
    <w:rsid w:val="00CE0714"/>
    <w:rsid w:val="00D00AB8"/>
    <w:rsid w:val="00D01CA8"/>
    <w:rsid w:val="00D063DD"/>
    <w:rsid w:val="00D06E97"/>
    <w:rsid w:val="00D070E0"/>
    <w:rsid w:val="00D1357D"/>
    <w:rsid w:val="00D23C65"/>
    <w:rsid w:val="00D32A57"/>
    <w:rsid w:val="00D33C3E"/>
    <w:rsid w:val="00D34271"/>
    <w:rsid w:val="00D4474B"/>
    <w:rsid w:val="00D508F2"/>
    <w:rsid w:val="00D5570B"/>
    <w:rsid w:val="00D60F2B"/>
    <w:rsid w:val="00D63767"/>
    <w:rsid w:val="00D72BDE"/>
    <w:rsid w:val="00D806BD"/>
    <w:rsid w:val="00D838EB"/>
    <w:rsid w:val="00D845D5"/>
    <w:rsid w:val="00D861AD"/>
    <w:rsid w:val="00DA23F6"/>
    <w:rsid w:val="00DB1EA2"/>
    <w:rsid w:val="00DB6A0E"/>
    <w:rsid w:val="00DB78EA"/>
    <w:rsid w:val="00DC330C"/>
    <w:rsid w:val="00DC3926"/>
    <w:rsid w:val="00DC7A89"/>
    <w:rsid w:val="00DD4D56"/>
    <w:rsid w:val="00DD52F0"/>
    <w:rsid w:val="00DD6894"/>
    <w:rsid w:val="00DD6D44"/>
    <w:rsid w:val="00DD73F6"/>
    <w:rsid w:val="00DE43AD"/>
    <w:rsid w:val="00DF7627"/>
    <w:rsid w:val="00E06E02"/>
    <w:rsid w:val="00E358AA"/>
    <w:rsid w:val="00E36214"/>
    <w:rsid w:val="00E36D33"/>
    <w:rsid w:val="00E42CCA"/>
    <w:rsid w:val="00E441B4"/>
    <w:rsid w:val="00E46158"/>
    <w:rsid w:val="00E534BE"/>
    <w:rsid w:val="00E62583"/>
    <w:rsid w:val="00E62D02"/>
    <w:rsid w:val="00E65FC6"/>
    <w:rsid w:val="00E67C88"/>
    <w:rsid w:val="00E70A98"/>
    <w:rsid w:val="00E71BC8"/>
    <w:rsid w:val="00E73BD6"/>
    <w:rsid w:val="00E824E2"/>
    <w:rsid w:val="00E96AC6"/>
    <w:rsid w:val="00EB3B93"/>
    <w:rsid w:val="00EB5E90"/>
    <w:rsid w:val="00EB5F81"/>
    <w:rsid w:val="00EC4391"/>
    <w:rsid w:val="00ED1BD0"/>
    <w:rsid w:val="00EE0BAC"/>
    <w:rsid w:val="00EE4319"/>
    <w:rsid w:val="00EF3F1F"/>
    <w:rsid w:val="00F00A81"/>
    <w:rsid w:val="00F00ECD"/>
    <w:rsid w:val="00F07D13"/>
    <w:rsid w:val="00F07E46"/>
    <w:rsid w:val="00F30211"/>
    <w:rsid w:val="00F343F8"/>
    <w:rsid w:val="00F420BB"/>
    <w:rsid w:val="00F43175"/>
    <w:rsid w:val="00F46D79"/>
    <w:rsid w:val="00F64A8F"/>
    <w:rsid w:val="00F65616"/>
    <w:rsid w:val="00F7433C"/>
    <w:rsid w:val="00F76E39"/>
    <w:rsid w:val="00F822E5"/>
    <w:rsid w:val="00F87F1F"/>
    <w:rsid w:val="00FA05D9"/>
    <w:rsid w:val="00FA159F"/>
    <w:rsid w:val="00FA3EE7"/>
    <w:rsid w:val="00FB0CC1"/>
    <w:rsid w:val="00FC189A"/>
    <w:rsid w:val="00FC2F15"/>
    <w:rsid w:val="00FD4109"/>
    <w:rsid w:val="00FE2963"/>
    <w:rsid w:val="00FE3936"/>
    <w:rsid w:val="00FE7A91"/>
    <w:rsid w:val="00FF53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C22"/>
    <w:pPr>
      <w:spacing w:after="0" w:line="240" w:lineRule="auto"/>
    </w:pPr>
    <w:rPr>
      <w:rFonts w:ascii="Calibri" w:eastAsia="Times New Roman" w:hAnsi="Calibri" w:cs="Times New Roman"/>
    </w:rPr>
  </w:style>
  <w:style w:type="paragraph" w:styleId="Heading5">
    <w:name w:val="heading 5"/>
    <w:basedOn w:val="Normal"/>
    <w:next w:val="Normal"/>
    <w:link w:val="Heading5Char"/>
    <w:qFormat/>
    <w:rsid w:val="00665F01"/>
    <w:pPr>
      <w:numPr>
        <w:ilvl w:val="4"/>
        <w:numId w:val="3"/>
      </w:numPr>
      <w:spacing w:before="240" w:after="60"/>
      <w:outlineLvl w:val="4"/>
    </w:pPr>
    <w:rPr>
      <w:rFonts w:ascii="Times New Roman" w:hAnsi="Times New Roman"/>
      <w:szCs w:val="20"/>
    </w:rPr>
  </w:style>
  <w:style w:type="paragraph" w:styleId="Heading6">
    <w:name w:val="heading 6"/>
    <w:basedOn w:val="Normal"/>
    <w:next w:val="Normal"/>
    <w:link w:val="Heading6Char"/>
    <w:qFormat/>
    <w:rsid w:val="00665F01"/>
    <w:pPr>
      <w:numPr>
        <w:ilvl w:val="5"/>
        <w:numId w:val="3"/>
      </w:numPr>
      <w:spacing w:before="240" w:after="60"/>
      <w:outlineLvl w:val="5"/>
    </w:pPr>
    <w:rPr>
      <w:rFonts w:ascii="Times New Roman" w:hAnsi="Times New Roman"/>
      <w:i/>
      <w:szCs w:val="20"/>
    </w:rPr>
  </w:style>
  <w:style w:type="paragraph" w:styleId="Heading7">
    <w:name w:val="heading 7"/>
    <w:basedOn w:val="Normal"/>
    <w:next w:val="Normal"/>
    <w:link w:val="Heading7Char"/>
    <w:qFormat/>
    <w:rsid w:val="00665F01"/>
    <w:pPr>
      <w:numPr>
        <w:ilvl w:val="6"/>
        <w:numId w:val="3"/>
      </w:numPr>
      <w:spacing w:before="240" w:after="60"/>
      <w:outlineLvl w:val="6"/>
    </w:pPr>
    <w:rPr>
      <w:rFonts w:ascii="Arial" w:hAnsi="Arial"/>
      <w:sz w:val="24"/>
      <w:szCs w:val="20"/>
    </w:rPr>
  </w:style>
  <w:style w:type="paragraph" w:styleId="Heading8">
    <w:name w:val="heading 8"/>
    <w:basedOn w:val="Normal"/>
    <w:next w:val="Normal"/>
    <w:link w:val="Heading8Char"/>
    <w:qFormat/>
    <w:rsid w:val="00665F01"/>
    <w:pPr>
      <w:numPr>
        <w:ilvl w:val="7"/>
        <w:numId w:val="3"/>
      </w:numPr>
      <w:spacing w:before="240" w:after="60"/>
      <w:outlineLvl w:val="7"/>
    </w:pPr>
    <w:rPr>
      <w:rFonts w:ascii="Arial" w:hAnsi="Arial"/>
      <w:i/>
      <w:sz w:val="24"/>
      <w:szCs w:val="20"/>
    </w:rPr>
  </w:style>
  <w:style w:type="paragraph" w:styleId="Heading9">
    <w:name w:val="heading 9"/>
    <w:basedOn w:val="Normal"/>
    <w:next w:val="Normal"/>
    <w:link w:val="Heading9Char"/>
    <w:qFormat/>
    <w:rsid w:val="00665F01"/>
    <w:pPr>
      <w:numPr>
        <w:ilvl w:val="8"/>
        <w:numId w:val="3"/>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2C22"/>
    <w:pPr>
      <w:ind w:left="720"/>
    </w:pPr>
  </w:style>
  <w:style w:type="character" w:customStyle="1" w:styleId="Heading5Char">
    <w:name w:val="Heading 5 Char"/>
    <w:basedOn w:val="DefaultParagraphFont"/>
    <w:link w:val="Heading5"/>
    <w:rsid w:val="00665F01"/>
    <w:rPr>
      <w:rFonts w:ascii="Times New Roman" w:eastAsia="Times New Roman" w:hAnsi="Times New Roman" w:cs="Times New Roman"/>
      <w:szCs w:val="20"/>
    </w:rPr>
  </w:style>
  <w:style w:type="character" w:customStyle="1" w:styleId="Heading6Char">
    <w:name w:val="Heading 6 Char"/>
    <w:basedOn w:val="DefaultParagraphFont"/>
    <w:link w:val="Heading6"/>
    <w:rsid w:val="00665F01"/>
    <w:rPr>
      <w:rFonts w:ascii="Times New Roman" w:eastAsia="Times New Roman" w:hAnsi="Times New Roman" w:cs="Times New Roman"/>
      <w:i/>
      <w:szCs w:val="20"/>
    </w:rPr>
  </w:style>
  <w:style w:type="character" w:customStyle="1" w:styleId="Heading7Char">
    <w:name w:val="Heading 7 Char"/>
    <w:basedOn w:val="DefaultParagraphFont"/>
    <w:link w:val="Heading7"/>
    <w:rsid w:val="00665F01"/>
    <w:rPr>
      <w:rFonts w:ascii="Arial" w:eastAsia="Times New Roman" w:hAnsi="Arial" w:cs="Times New Roman"/>
      <w:sz w:val="24"/>
      <w:szCs w:val="20"/>
    </w:rPr>
  </w:style>
  <w:style w:type="character" w:customStyle="1" w:styleId="Heading8Char">
    <w:name w:val="Heading 8 Char"/>
    <w:basedOn w:val="DefaultParagraphFont"/>
    <w:link w:val="Heading8"/>
    <w:rsid w:val="00665F01"/>
    <w:rPr>
      <w:rFonts w:ascii="Arial" w:eastAsia="Times New Roman" w:hAnsi="Arial" w:cs="Times New Roman"/>
      <w:i/>
      <w:sz w:val="24"/>
      <w:szCs w:val="20"/>
    </w:rPr>
  </w:style>
  <w:style w:type="character" w:customStyle="1" w:styleId="Heading9Char">
    <w:name w:val="Heading 9 Char"/>
    <w:basedOn w:val="DefaultParagraphFont"/>
    <w:link w:val="Heading9"/>
    <w:rsid w:val="00665F01"/>
    <w:rPr>
      <w:rFonts w:ascii="Arial" w:eastAsia="Times New Roman" w:hAnsi="Arial" w:cs="Times New Roman"/>
      <w:b/>
      <w:i/>
      <w:sz w:val="18"/>
      <w:szCs w:val="20"/>
    </w:rPr>
  </w:style>
  <w:style w:type="paragraph" w:customStyle="1" w:styleId="Chapter">
    <w:name w:val="Chapter"/>
    <w:basedOn w:val="Normal"/>
    <w:next w:val="Normal"/>
    <w:rsid w:val="00665F01"/>
    <w:pPr>
      <w:keepNext/>
      <w:numPr>
        <w:numId w:val="2"/>
      </w:numPr>
      <w:tabs>
        <w:tab w:val="left" w:pos="1440"/>
      </w:tabs>
      <w:spacing w:before="240" w:after="240"/>
      <w:jc w:val="center"/>
    </w:pPr>
    <w:rPr>
      <w:rFonts w:ascii="Times New Roman" w:hAnsi="Times New Roman"/>
      <w:b/>
      <w:smallCaps/>
      <w:sz w:val="24"/>
      <w:szCs w:val="20"/>
    </w:rPr>
  </w:style>
  <w:style w:type="paragraph" w:customStyle="1" w:styleId="FirstHeading">
    <w:name w:val="FirstHeading"/>
    <w:basedOn w:val="Normal"/>
    <w:next w:val="Normal"/>
    <w:rsid w:val="00665F01"/>
    <w:pPr>
      <w:keepNext/>
      <w:numPr>
        <w:numId w:val="3"/>
      </w:numPr>
      <w:tabs>
        <w:tab w:val="left" w:pos="0"/>
        <w:tab w:val="left" w:pos="86"/>
      </w:tabs>
      <w:spacing w:before="120" w:after="120"/>
    </w:pPr>
    <w:rPr>
      <w:rFonts w:ascii="Times New Roman" w:hAnsi="Times New Roman"/>
      <w:b/>
      <w:sz w:val="24"/>
      <w:szCs w:val="20"/>
    </w:rPr>
  </w:style>
  <w:style w:type="paragraph" w:styleId="FootnoteText">
    <w:name w:val="footnote text"/>
    <w:aliases w:val="fn,Texto nota pie IIRSA"/>
    <w:basedOn w:val="Normal"/>
    <w:link w:val="FootnoteTextChar"/>
    <w:rsid w:val="009305F8"/>
    <w:pPr>
      <w:keepNext/>
      <w:keepLines/>
      <w:spacing w:after="120"/>
      <w:ind w:left="288" w:hanging="288"/>
      <w:jc w:val="both"/>
    </w:pPr>
    <w:rPr>
      <w:rFonts w:ascii="Times New Roman" w:hAnsi="Times New Roman"/>
      <w:spacing w:val="-3"/>
      <w:sz w:val="20"/>
      <w:szCs w:val="20"/>
    </w:rPr>
  </w:style>
  <w:style w:type="character" w:customStyle="1" w:styleId="FootnoteTextChar">
    <w:name w:val="Footnote Text Char"/>
    <w:aliases w:val="fn Char,Texto nota pie IIRSA Char"/>
    <w:basedOn w:val="DefaultParagraphFont"/>
    <w:link w:val="FootnoteText"/>
    <w:rsid w:val="009305F8"/>
    <w:rPr>
      <w:rFonts w:ascii="Times New Roman" w:eastAsia="Times New Roman" w:hAnsi="Times New Roman" w:cs="Times New Roman"/>
      <w:spacing w:val="-3"/>
      <w:sz w:val="20"/>
      <w:szCs w:val="20"/>
    </w:rPr>
  </w:style>
  <w:style w:type="paragraph" w:customStyle="1" w:styleId="Paragraph">
    <w:name w:val="Paragraph"/>
    <w:aliases w:val="paragraph,p,PARAGRAPH,PG,pa,at"/>
    <w:basedOn w:val="BodyTextIndent"/>
    <w:link w:val="ParagraphCar"/>
    <w:rsid w:val="00665F01"/>
    <w:pPr>
      <w:numPr>
        <w:ilvl w:val="1"/>
        <w:numId w:val="2"/>
      </w:numPr>
      <w:spacing w:before="120"/>
      <w:jc w:val="both"/>
      <w:outlineLvl w:val="1"/>
    </w:pPr>
    <w:rPr>
      <w:szCs w:val="20"/>
    </w:rPr>
  </w:style>
  <w:style w:type="paragraph" w:customStyle="1" w:styleId="SecHeading">
    <w:name w:val="SecHeading"/>
    <w:basedOn w:val="Normal"/>
    <w:next w:val="Paragraph"/>
    <w:rsid w:val="00665F01"/>
    <w:pPr>
      <w:keepNext/>
      <w:numPr>
        <w:ilvl w:val="1"/>
        <w:numId w:val="3"/>
      </w:numPr>
      <w:spacing w:before="120" w:after="120"/>
    </w:pPr>
    <w:rPr>
      <w:rFonts w:ascii="Times New Roman" w:hAnsi="Times New Roman"/>
      <w:b/>
      <w:sz w:val="24"/>
      <w:szCs w:val="20"/>
    </w:rPr>
  </w:style>
  <w:style w:type="paragraph" w:customStyle="1" w:styleId="SubHeading1">
    <w:name w:val="SubHeading1"/>
    <w:basedOn w:val="SecHeading"/>
    <w:rsid w:val="009305F8"/>
    <w:pPr>
      <w:numPr>
        <w:ilvl w:val="2"/>
      </w:numPr>
    </w:pPr>
  </w:style>
  <w:style w:type="paragraph" w:customStyle="1" w:styleId="Subheading2">
    <w:name w:val="Subheading2"/>
    <w:basedOn w:val="SecHeading"/>
    <w:rsid w:val="009305F8"/>
    <w:pPr>
      <w:numPr>
        <w:ilvl w:val="3"/>
      </w:numPr>
    </w:pPr>
  </w:style>
  <w:style w:type="paragraph" w:customStyle="1" w:styleId="subpar">
    <w:name w:val="subpar"/>
    <w:basedOn w:val="BodyTextIndent3"/>
    <w:rsid w:val="00665F01"/>
    <w:pPr>
      <w:numPr>
        <w:ilvl w:val="2"/>
        <w:numId w:val="2"/>
      </w:numPr>
      <w:spacing w:before="120"/>
      <w:jc w:val="both"/>
      <w:outlineLvl w:val="2"/>
    </w:pPr>
    <w:rPr>
      <w:szCs w:val="20"/>
    </w:rPr>
  </w:style>
  <w:style w:type="paragraph" w:customStyle="1" w:styleId="SubSubPar">
    <w:name w:val="SubSubPar"/>
    <w:basedOn w:val="subpar"/>
    <w:rsid w:val="009305F8"/>
    <w:pPr>
      <w:numPr>
        <w:ilvl w:val="3"/>
      </w:numPr>
      <w:tabs>
        <w:tab w:val="left" w:pos="0"/>
      </w:tabs>
    </w:pPr>
  </w:style>
  <w:style w:type="character" w:styleId="FootnoteReference">
    <w:name w:val="footnote reference"/>
    <w:basedOn w:val="DefaultParagraphFont"/>
    <w:rsid w:val="009305F8"/>
    <w:rPr>
      <w:vertAlign w:val="superscript"/>
    </w:rPr>
  </w:style>
  <w:style w:type="character" w:customStyle="1" w:styleId="ParagraphCar">
    <w:name w:val="Paragraph Car"/>
    <w:basedOn w:val="DefaultParagraphFont"/>
    <w:link w:val="Paragraph"/>
    <w:rsid w:val="00665F0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9305F8"/>
    <w:pPr>
      <w:spacing w:after="120"/>
      <w:ind w:left="360"/>
    </w:pPr>
    <w:rPr>
      <w:rFonts w:ascii="Times New Roman" w:hAnsi="Times New Roman"/>
      <w:sz w:val="24"/>
    </w:rPr>
  </w:style>
  <w:style w:type="character" w:customStyle="1" w:styleId="BodyTextIndentChar">
    <w:name w:val="Body Text Indent Char"/>
    <w:basedOn w:val="DefaultParagraphFont"/>
    <w:link w:val="BodyTextIndent"/>
    <w:uiPriority w:val="99"/>
    <w:semiHidden/>
    <w:rsid w:val="009305F8"/>
    <w:rPr>
      <w:rFonts w:ascii="Times New Roman" w:eastAsia="Times New Roman" w:hAnsi="Times New Roman" w:cs="Times New Roman"/>
      <w:sz w:val="24"/>
    </w:rPr>
  </w:style>
  <w:style w:type="paragraph" w:styleId="BodyTextIndent3">
    <w:name w:val="Body Text Indent 3"/>
    <w:basedOn w:val="Normal"/>
    <w:link w:val="BodyTextIndent3Char"/>
    <w:uiPriority w:val="99"/>
    <w:semiHidden/>
    <w:unhideWhenUsed/>
    <w:rsid w:val="009305F8"/>
    <w:pPr>
      <w:spacing w:after="120"/>
      <w:ind w:left="360"/>
    </w:pPr>
    <w:rPr>
      <w:rFonts w:ascii="Times New Roman" w:hAnsi="Times New Roman"/>
      <w:sz w:val="24"/>
      <w:szCs w:val="16"/>
    </w:rPr>
  </w:style>
  <w:style w:type="character" w:customStyle="1" w:styleId="BodyTextIndent3Char">
    <w:name w:val="Body Text Indent 3 Char"/>
    <w:basedOn w:val="DefaultParagraphFont"/>
    <w:link w:val="BodyTextIndent3"/>
    <w:uiPriority w:val="99"/>
    <w:semiHidden/>
    <w:rsid w:val="009305F8"/>
    <w:rPr>
      <w:rFonts w:ascii="Times New Roman" w:eastAsia="Times New Roman" w:hAnsi="Times New Roman" w:cs="Times New Roman"/>
      <w:sz w:val="24"/>
      <w:szCs w:val="16"/>
    </w:rPr>
  </w:style>
  <w:style w:type="table" w:styleId="LightShading-Accent3">
    <w:name w:val="Light Shading Accent 3"/>
    <w:basedOn w:val="TableNormal"/>
    <w:uiPriority w:val="60"/>
    <w:rsid w:val="0073260F"/>
    <w:pPr>
      <w:spacing w:after="0" w:line="240" w:lineRule="auto"/>
    </w:pPr>
    <w:rPr>
      <w:color w:val="76923C" w:themeColor="accent3" w:themeShade="BF"/>
      <w:lang w:val="es-E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BalloonText">
    <w:name w:val="Balloon Text"/>
    <w:basedOn w:val="Normal"/>
    <w:link w:val="BalloonTextChar"/>
    <w:uiPriority w:val="99"/>
    <w:semiHidden/>
    <w:unhideWhenUsed/>
    <w:rsid w:val="00D845D5"/>
    <w:rPr>
      <w:rFonts w:ascii="Tahoma" w:hAnsi="Tahoma" w:cs="Tahoma"/>
      <w:sz w:val="16"/>
      <w:szCs w:val="16"/>
    </w:rPr>
  </w:style>
  <w:style w:type="character" w:customStyle="1" w:styleId="BalloonTextChar">
    <w:name w:val="Balloon Text Char"/>
    <w:basedOn w:val="DefaultParagraphFont"/>
    <w:link w:val="BalloonText"/>
    <w:uiPriority w:val="99"/>
    <w:semiHidden/>
    <w:rsid w:val="00D845D5"/>
    <w:rPr>
      <w:rFonts w:ascii="Tahoma" w:eastAsia="Times New Roman" w:hAnsi="Tahoma" w:cs="Tahoma"/>
      <w:sz w:val="16"/>
      <w:szCs w:val="16"/>
    </w:rPr>
  </w:style>
  <w:style w:type="paragraph" w:styleId="EndnoteText">
    <w:name w:val="endnote text"/>
    <w:basedOn w:val="Normal"/>
    <w:link w:val="EndnoteTextChar"/>
    <w:uiPriority w:val="99"/>
    <w:semiHidden/>
    <w:unhideWhenUsed/>
    <w:rsid w:val="001E6304"/>
    <w:rPr>
      <w:sz w:val="20"/>
      <w:szCs w:val="20"/>
    </w:rPr>
  </w:style>
  <w:style w:type="character" w:customStyle="1" w:styleId="EndnoteTextChar">
    <w:name w:val="Endnote Text Char"/>
    <w:basedOn w:val="DefaultParagraphFont"/>
    <w:link w:val="EndnoteText"/>
    <w:uiPriority w:val="99"/>
    <w:semiHidden/>
    <w:rsid w:val="001E6304"/>
    <w:rPr>
      <w:rFonts w:ascii="Calibri" w:eastAsia="Times New Roman" w:hAnsi="Calibri" w:cs="Times New Roman"/>
      <w:sz w:val="20"/>
      <w:szCs w:val="20"/>
    </w:rPr>
  </w:style>
  <w:style w:type="character" w:styleId="EndnoteReference">
    <w:name w:val="endnote reference"/>
    <w:basedOn w:val="DefaultParagraphFont"/>
    <w:uiPriority w:val="99"/>
    <w:semiHidden/>
    <w:unhideWhenUsed/>
    <w:rsid w:val="001E6304"/>
    <w:rPr>
      <w:vertAlign w:val="superscript"/>
    </w:rPr>
  </w:style>
  <w:style w:type="paragraph" w:customStyle="1" w:styleId="Regtable">
    <w:name w:val="Regtable"/>
    <w:basedOn w:val="Normal"/>
    <w:link w:val="RegtableChar"/>
    <w:rsid w:val="00665F01"/>
    <w:pPr>
      <w:keepLines/>
      <w:framePr w:wrap="around" w:vAnchor="text" w:hAnchor="text" w:y="1"/>
      <w:spacing w:before="20" w:after="20"/>
    </w:pPr>
    <w:rPr>
      <w:sz w:val="20"/>
      <w:szCs w:val="24"/>
      <w:lang w:val="es-ES_tradnl"/>
    </w:rPr>
  </w:style>
  <w:style w:type="character" w:customStyle="1" w:styleId="RegtableChar">
    <w:name w:val="Regtable Char"/>
    <w:basedOn w:val="ParagraphCar"/>
    <w:link w:val="Regtable"/>
    <w:rsid w:val="00665F01"/>
    <w:rPr>
      <w:rFonts w:ascii="Calibri" w:hAnsi="Calibri"/>
      <w:sz w:val="20"/>
      <w:szCs w:val="24"/>
      <w:lang w:val="es-ES_tradnl"/>
    </w:rPr>
  </w:style>
  <w:style w:type="paragraph" w:customStyle="1" w:styleId="TableTitle">
    <w:name w:val="TableTitle"/>
    <w:basedOn w:val="Normal"/>
    <w:link w:val="TableTitleChar"/>
    <w:rsid w:val="00665F01"/>
    <w:pPr>
      <w:keepNext/>
      <w:framePr w:wrap="around" w:vAnchor="text" w:hAnchor="text" w:y="1"/>
      <w:spacing w:before="20" w:after="20"/>
      <w:jc w:val="center"/>
    </w:pPr>
    <w:rPr>
      <w:rFonts w:ascii="Times New Roman Bold" w:hAnsi="Times New Roman Bold"/>
      <w:b/>
      <w:spacing w:val="-3"/>
      <w:sz w:val="20"/>
      <w:szCs w:val="24"/>
      <w:lang w:val="es-ES_tradnl"/>
    </w:rPr>
  </w:style>
  <w:style w:type="character" w:customStyle="1" w:styleId="TableTitleChar">
    <w:name w:val="TableTitle Char"/>
    <w:basedOn w:val="ParagraphCar"/>
    <w:link w:val="TableTitle"/>
    <w:rsid w:val="00665F01"/>
    <w:rPr>
      <w:rFonts w:ascii="Times New Roman Bold" w:hAnsi="Times New Roman Bold"/>
      <w:b/>
      <w:spacing w:val="-3"/>
      <w:sz w:val="20"/>
      <w:szCs w:val="24"/>
      <w:lang w:val="es-ES_tradnl"/>
    </w:rPr>
  </w:style>
  <w:style w:type="character" w:styleId="CommentReference">
    <w:name w:val="annotation reference"/>
    <w:basedOn w:val="DefaultParagraphFont"/>
    <w:uiPriority w:val="99"/>
    <w:semiHidden/>
    <w:unhideWhenUsed/>
    <w:rsid w:val="00CD064D"/>
    <w:rPr>
      <w:sz w:val="16"/>
      <w:szCs w:val="16"/>
    </w:rPr>
  </w:style>
  <w:style w:type="paragraph" w:styleId="CommentText">
    <w:name w:val="annotation text"/>
    <w:basedOn w:val="Normal"/>
    <w:link w:val="CommentTextChar"/>
    <w:uiPriority w:val="99"/>
    <w:semiHidden/>
    <w:unhideWhenUsed/>
    <w:rsid w:val="00CD064D"/>
    <w:rPr>
      <w:sz w:val="20"/>
      <w:szCs w:val="20"/>
    </w:rPr>
  </w:style>
  <w:style w:type="character" w:customStyle="1" w:styleId="CommentTextChar">
    <w:name w:val="Comment Text Char"/>
    <w:basedOn w:val="DefaultParagraphFont"/>
    <w:link w:val="CommentText"/>
    <w:uiPriority w:val="99"/>
    <w:semiHidden/>
    <w:rsid w:val="00CD064D"/>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D064D"/>
    <w:rPr>
      <w:b/>
      <w:bCs/>
    </w:rPr>
  </w:style>
  <w:style w:type="character" w:customStyle="1" w:styleId="CommentSubjectChar">
    <w:name w:val="Comment Subject Char"/>
    <w:basedOn w:val="CommentTextChar"/>
    <w:link w:val="CommentSubject"/>
    <w:uiPriority w:val="99"/>
    <w:semiHidden/>
    <w:rsid w:val="00CD064D"/>
    <w:rPr>
      <w:b/>
      <w:bCs/>
    </w:rPr>
  </w:style>
</w:styles>
</file>

<file path=word/webSettings.xml><?xml version="1.0" encoding="utf-8"?>
<w:webSettings xmlns:r="http://schemas.openxmlformats.org/officeDocument/2006/relationships" xmlns:w="http://schemas.openxmlformats.org/wordprocessingml/2006/main">
  <w:divs>
    <w:div w:id="236131949">
      <w:bodyDiv w:val="1"/>
      <w:marLeft w:val="0"/>
      <w:marRight w:val="0"/>
      <w:marTop w:val="0"/>
      <w:marBottom w:val="0"/>
      <w:divBdr>
        <w:top w:val="none" w:sz="0" w:space="0" w:color="auto"/>
        <w:left w:val="none" w:sz="0" w:space="0" w:color="auto"/>
        <w:bottom w:val="none" w:sz="0" w:space="0" w:color="auto"/>
        <w:right w:val="none" w:sz="0" w:space="0" w:color="auto"/>
      </w:divBdr>
    </w:div>
    <w:div w:id="432096193">
      <w:bodyDiv w:val="1"/>
      <w:marLeft w:val="0"/>
      <w:marRight w:val="0"/>
      <w:marTop w:val="0"/>
      <w:marBottom w:val="0"/>
      <w:divBdr>
        <w:top w:val="none" w:sz="0" w:space="0" w:color="auto"/>
        <w:left w:val="none" w:sz="0" w:space="0" w:color="auto"/>
        <w:bottom w:val="none" w:sz="0" w:space="0" w:color="auto"/>
        <w:right w:val="none" w:sz="0" w:space="0" w:color="auto"/>
      </w:divBdr>
    </w:div>
    <w:div w:id="708529076">
      <w:bodyDiv w:val="1"/>
      <w:marLeft w:val="0"/>
      <w:marRight w:val="0"/>
      <w:marTop w:val="0"/>
      <w:marBottom w:val="0"/>
      <w:divBdr>
        <w:top w:val="none" w:sz="0" w:space="0" w:color="auto"/>
        <w:left w:val="none" w:sz="0" w:space="0" w:color="auto"/>
        <w:bottom w:val="none" w:sz="0" w:space="0" w:color="auto"/>
        <w:right w:val="none" w:sz="0" w:space="0" w:color="auto"/>
      </w:divBdr>
    </w:div>
    <w:div w:id="734543950">
      <w:bodyDiv w:val="1"/>
      <w:marLeft w:val="0"/>
      <w:marRight w:val="0"/>
      <w:marTop w:val="0"/>
      <w:marBottom w:val="0"/>
      <w:divBdr>
        <w:top w:val="none" w:sz="0" w:space="0" w:color="auto"/>
        <w:left w:val="none" w:sz="0" w:space="0" w:color="auto"/>
        <w:bottom w:val="none" w:sz="0" w:space="0" w:color="auto"/>
        <w:right w:val="none" w:sz="0" w:space="0" w:color="auto"/>
      </w:divBdr>
    </w:div>
    <w:div w:id="760250057">
      <w:bodyDiv w:val="1"/>
      <w:marLeft w:val="0"/>
      <w:marRight w:val="0"/>
      <w:marTop w:val="0"/>
      <w:marBottom w:val="0"/>
      <w:divBdr>
        <w:top w:val="none" w:sz="0" w:space="0" w:color="auto"/>
        <w:left w:val="none" w:sz="0" w:space="0" w:color="auto"/>
        <w:bottom w:val="none" w:sz="0" w:space="0" w:color="auto"/>
        <w:right w:val="none" w:sz="0" w:space="0" w:color="auto"/>
      </w:divBdr>
    </w:div>
    <w:div w:id="1064061778">
      <w:bodyDiv w:val="1"/>
      <w:marLeft w:val="0"/>
      <w:marRight w:val="0"/>
      <w:marTop w:val="0"/>
      <w:marBottom w:val="0"/>
      <w:divBdr>
        <w:top w:val="none" w:sz="0" w:space="0" w:color="auto"/>
        <w:left w:val="none" w:sz="0" w:space="0" w:color="auto"/>
        <w:bottom w:val="none" w:sz="0" w:space="0" w:color="auto"/>
        <w:right w:val="none" w:sz="0" w:space="0" w:color="auto"/>
      </w:divBdr>
    </w:div>
    <w:div w:id="1121145275">
      <w:bodyDiv w:val="1"/>
      <w:marLeft w:val="0"/>
      <w:marRight w:val="0"/>
      <w:marTop w:val="0"/>
      <w:marBottom w:val="0"/>
      <w:divBdr>
        <w:top w:val="none" w:sz="0" w:space="0" w:color="auto"/>
        <w:left w:val="none" w:sz="0" w:space="0" w:color="auto"/>
        <w:bottom w:val="none" w:sz="0" w:space="0" w:color="auto"/>
        <w:right w:val="none" w:sz="0" w:space="0" w:color="auto"/>
      </w:divBdr>
    </w:div>
    <w:div w:id="1440101125">
      <w:bodyDiv w:val="1"/>
      <w:marLeft w:val="0"/>
      <w:marRight w:val="0"/>
      <w:marTop w:val="0"/>
      <w:marBottom w:val="0"/>
      <w:divBdr>
        <w:top w:val="none" w:sz="0" w:space="0" w:color="auto"/>
        <w:left w:val="none" w:sz="0" w:space="0" w:color="auto"/>
        <w:bottom w:val="none" w:sz="0" w:space="0" w:color="auto"/>
        <w:right w:val="none" w:sz="0" w:space="0" w:color="auto"/>
      </w:divBdr>
    </w:div>
    <w:div w:id="1455295119">
      <w:bodyDiv w:val="1"/>
      <w:marLeft w:val="0"/>
      <w:marRight w:val="0"/>
      <w:marTop w:val="0"/>
      <w:marBottom w:val="0"/>
      <w:divBdr>
        <w:top w:val="none" w:sz="0" w:space="0" w:color="auto"/>
        <w:left w:val="none" w:sz="0" w:space="0" w:color="auto"/>
        <w:bottom w:val="none" w:sz="0" w:space="0" w:color="auto"/>
        <w:right w:val="none" w:sz="0" w:space="0" w:color="auto"/>
      </w:divBdr>
    </w:div>
    <w:div w:id="1488982586">
      <w:bodyDiv w:val="1"/>
      <w:marLeft w:val="0"/>
      <w:marRight w:val="0"/>
      <w:marTop w:val="0"/>
      <w:marBottom w:val="0"/>
      <w:divBdr>
        <w:top w:val="none" w:sz="0" w:space="0" w:color="auto"/>
        <w:left w:val="none" w:sz="0" w:space="0" w:color="auto"/>
        <w:bottom w:val="none" w:sz="0" w:space="0" w:color="auto"/>
        <w:right w:val="none" w:sz="0" w:space="0" w:color="auto"/>
      </w:divBdr>
    </w:div>
    <w:div w:id="1902909836">
      <w:bodyDiv w:val="1"/>
      <w:marLeft w:val="0"/>
      <w:marRight w:val="0"/>
      <w:marTop w:val="0"/>
      <w:marBottom w:val="0"/>
      <w:divBdr>
        <w:top w:val="none" w:sz="0" w:space="0" w:color="auto"/>
        <w:left w:val="none" w:sz="0" w:space="0" w:color="auto"/>
        <w:bottom w:val="none" w:sz="0" w:space="0" w:color="auto"/>
        <w:right w:val="none" w:sz="0" w:space="0" w:color="auto"/>
      </w:divBdr>
    </w:div>
    <w:div w:id="1929576576">
      <w:bodyDiv w:val="1"/>
      <w:marLeft w:val="0"/>
      <w:marRight w:val="0"/>
      <w:marTop w:val="0"/>
      <w:marBottom w:val="0"/>
      <w:divBdr>
        <w:top w:val="none" w:sz="0" w:space="0" w:color="auto"/>
        <w:left w:val="none" w:sz="0" w:space="0" w:color="auto"/>
        <w:bottom w:val="none" w:sz="0" w:space="0" w:color="auto"/>
        <w:right w:val="none" w:sz="0" w:space="0" w:color="auto"/>
      </w:divBdr>
    </w:div>
    <w:div w:id="194460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image" Target="media/image3.wmf"/><Relationship Id="rId19" Type="http://schemas.openxmlformats.org/officeDocument/2006/relationships/customXml" Target="../customXml/item7.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C21AFD27D28BE4E9588AFC50A1E55F2" ma:contentTypeVersion="941" ma:contentTypeDescription="A content type to manage public (operations) IDB documents" ma:contentTypeScope="" ma:versionID="647843b7f59442b731d610b3458315fe">
  <xsd:schema xmlns:xsd="http://www.w3.org/2001/XMLSchema" xmlns:xs="http://www.w3.org/2001/XMLSchema" xmlns:p="http://schemas.microsoft.com/office/2006/metadata/properties" xmlns:ns2="cdc7663a-08f0-4737-9e8c-148ce897a09c" targetNamespace="http://schemas.microsoft.com/office/2006/metadata/properties" ma:root="true" ma:fieldsID="2fd16fbff7a96c971579ab52e185235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L105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35171471</IDBDocs_x0020_Number>
    <TaxCatchAll xmlns="cdc7663a-08f0-4737-9e8c-148ce897a09c">
      <Value>19</Value>
      <Value>10</Value>
      <Value>1</Value>
    </TaxCatchAll>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2550/OC-ME</Approval_x0020_Number>
    <Document_x0020_Author xmlns="cdc7663a-08f0-4737-9e8c-148ce897a09c">CAROLINEPO</Document_x0020_Author>
    <Fiscal_x0020_Year_x0020_IDB xmlns="cdc7663a-08f0-4737-9e8c-148ce897a09c">2010</Fiscal_x0020_Year_x0020_IDB>
    <Other_x0020_Author xmlns="cdc7663a-08f0-4737-9e8c-148ce897a09c" xsi:nil="true"/>
    <Project_x0020_Number xmlns="cdc7663a-08f0-4737-9e8c-148ce897a09c">ME-L1059</Project_x0020_Number>
    <Package_x0020_Code xmlns="cdc7663a-08f0-4737-9e8c-148ce897a09c" xsi:nil="true"/>
    <Key_x0020_Document xmlns="cdc7663a-08f0-4737-9e8c-148ce897a09c">false</Key_x0020_Document>
    <Migration_x0020_Info xmlns="cdc7663a-08f0-4737-9e8c-148ce897a09c">&lt;div class="ExternalClass629EBC93E5E443CCA056B3FD16AA7BDD"&gt;MS WORDLPLoan Proposal0N&lt;/div&gt;</Migration_x0020_Info>
    <Operation_x0020_Type xmlns="cdc7663a-08f0-4737-9e8c-148ce897a09c" xsi:nil="true"/>
    <Record_x0020_Number xmlns="cdc7663a-08f0-4737-9e8c-148ce897a09c">R0002763231</Record_x0020_Number>
    <Document_x0020_Language_x0020_IDB xmlns="cdc7663a-08f0-4737-9e8c-148ce897a09c">Spanish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Loan Proposal</Disclosure_x0020_Activity>
    <Region xmlns="cdc7663a-08f0-4737-9e8c-148ce897a09c" xsi:nil="true"/>
    <_dlc_DocId xmlns="cdc7663a-08f0-4737-9e8c-148ce897a09c">EZSHARE-1588997856-115</_dlc_DocId>
    <Publication_x0020_Type xmlns="cdc7663a-08f0-4737-9e8c-148ce897a09c" xsi:nil="true"/>
    <Issue_x0020_Date xmlns="cdc7663a-08f0-4737-9e8c-148ce897a09c" xsi:nil="true"/>
    <KP_x0020_Topics xmlns="cdc7663a-08f0-4737-9e8c-148ce897a09c" xsi:nil="true"/>
    <Webtopic xmlns="cdc7663a-08f0-4737-9e8c-148ce897a09c">Urban Rehabilitation and Heritage Preservation</Webtopic>
    <Publishing_x0020_House xmlns="cdc7663a-08f0-4737-9e8c-148ce897a09c" xsi:nil="true"/>
    <Disclosed xmlns="cdc7663a-08f0-4737-9e8c-148ce897a09c">true</Disclosed>
    <_dlc_DocIdUrl xmlns="cdc7663a-08f0-4737-9e8c-148ce897a09c">
      <Url>https://idbg.sharepoint.com/teams/EZ-ME-LON/ME-L1059/_layouts/15/DocIdRedir.aspx?ID=EZSHARE-1588997856-115</Url>
      <Description>EZSHARE-1588997856-115</Description>
    </_dlc_DocIdUrl>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2998188A-5273-4617-A4B7-3E5747EB018B}"/>
</file>

<file path=customXml/itemProps2.xml><?xml version="1.0" encoding="utf-8"?>
<ds:datastoreItem xmlns:ds="http://schemas.openxmlformats.org/officeDocument/2006/customXml" ds:itemID="{CBE635E8-2A82-4580-AC56-D37914611A10}"/>
</file>

<file path=customXml/itemProps3.xml><?xml version="1.0" encoding="utf-8"?>
<ds:datastoreItem xmlns:ds="http://schemas.openxmlformats.org/officeDocument/2006/customXml" ds:itemID="{CA3D306F-C840-418E-A6D3-EE27C0E8A473}"/>
</file>

<file path=customXml/itemProps4.xml><?xml version="1.0" encoding="utf-8"?>
<ds:datastoreItem xmlns:ds="http://schemas.openxmlformats.org/officeDocument/2006/customXml" ds:itemID="{BC43A476-158B-44DF-974F-5006CFAEA62C}"/>
</file>

<file path=customXml/itemProps5.xml><?xml version="1.0" encoding="utf-8"?>
<ds:datastoreItem xmlns:ds="http://schemas.openxmlformats.org/officeDocument/2006/customXml" ds:itemID="{2C3097FC-BF15-4B93-A66C-C5EEFD0D0F7F}"/>
</file>

<file path=customXml/itemProps6.xml><?xml version="1.0" encoding="utf-8"?>
<ds:datastoreItem xmlns:ds="http://schemas.openxmlformats.org/officeDocument/2006/customXml" ds:itemID="{FA628127-AF1F-47A6-930E-13D7F44C26AA}"/>
</file>

<file path=customXml/itemProps7.xml><?xml version="1.0" encoding="utf-8"?>
<ds:datastoreItem xmlns:ds="http://schemas.openxmlformats.org/officeDocument/2006/customXml" ds:itemID="{01E1367B-1DE5-4D89-B888-639FB2DD3F99}"/>
</file>

<file path=docProps/app.xml><?xml version="1.0" encoding="utf-8"?>
<Properties xmlns="http://schemas.openxmlformats.org/officeDocument/2006/extended-properties" xmlns:vt="http://schemas.openxmlformats.org/officeDocument/2006/docPropsVTypes">
  <Template>Normal.dotm</Template>
  <TotalTime>23</TotalTime>
  <Pages>1</Pages>
  <Words>3414</Words>
  <Characters>19464</Characters>
  <Application>Microsoft Office Word</Application>
  <DocSecurity>0</DocSecurity>
  <Lines>162</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22833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Componente Agenda Digital</dc:title>
  <dc:subject/>
  <dc:creator>mbouskela</dc:creator>
  <cp:keywords/>
  <dc:description/>
  <cp:lastModifiedBy>mbouskela</cp:lastModifiedBy>
  <cp:revision>7</cp:revision>
  <cp:lastPrinted>2010-05-06T13:26:00Z</cp:lastPrinted>
  <dcterms:created xsi:type="dcterms:W3CDTF">2010-05-14T20:18:00Z</dcterms:created>
  <dcterms:modified xsi:type="dcterms:W3CDTF">2010-05-14T20:42:00Z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0x0101001A458A224826124E8B45B1D613300CFC00DC21AFD27D28BE4E9588AFC50A1E55F2</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17;#Loan Proposal|6ee86b6f-6e46-485b-8bfb-87a1f44622ac</vt:lpwstr>
  </property>
  <property fmtid="{D5CDD505-2E9C-101B-9397-08002B2CF9AE}" pid="8" name="Country">
    <vt:lpwstr>19;#Mexico|0eba6470-e7ea-46fd-a959-d4c243acaf26</vt:lpwstr>
  </property>
  <property fmtid="{D5CDD505-2E9C-101B-9397-08002B2CF9AE}" pid="9" name="Fund IDB">
    <vt:lpwstr/>
  </property>
  <property fmtid="{D5CDD505-2E9C-101B-9397-08002B2CF9AE}" pid="10" name="Series_x0020_Operations_x0020_IDB">
    <vt:lpwstr>17;#Loan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y fmtid="{D5CDD505-2E9C-101B-9397-08002B2CF9AE}" pid="16" name="Order">
    <vt:r8>11500</vt:r8>
  </property>
  <property fmtid="{D5CDD505-2E9C-101B-9397-08002B2CF9AE}" pid="17" name="_dlc_DocIdItemGuid">
    <vt:lpwstr>879d583a-10a3-46bf-a40f-fb0f1f17ff94</vt:lpwstr>
  </property>
</Properties>
</file>