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8A2A7" w14:textId="1A8EFCF0" w:rsidR="00052090" w:rsidRPr="00C74AED" w:rsidRDefault="00DD793A" w:rsidP="005D6991">
      <w:pPr>
        <w:jc w:val="center"/>
        <w:rPr>
          <w:rFonts w:ascii="Arial" w:hAnsi="Arial"/>
          <w:b/>
          <w:sz w:val="22"/>
          <w:szCs w:val="22"/>
          <w:lang w:val="es-ES_tradnl"/>
        </w:rPr>
      </w:pPr>
      <w:r w:rsidRPr="00C74AED">
        <w:rPr>
          <w:rFonts w:ascii="Arial" w:hAnsi="Arial"/>
          <w:b/>
          <w:sz w:val="22"/>
          <w:szCs w:val="22"/>
          <w:lang w:val="es-ES_tradnl"/>
        </w:rPr>
        <w:t>E</w:t>
      </w:r>
      <w:r w:rsidR="004745F3" w:rsidRPr="00C74AED">
        <w:rPr>
          <w:rFonts w:ascii="Arial" w:hAnsi="Arial"/>
          <w:b/>
          <w:sz w:val="22"/>
          <w:szCs w:val="22"/>
          <w:lang w:val="es-ES_tradnl"/>
        </w:rPr>
        <w:t xml:space="preserve">l desarrollo de los niños </w:t>
      </w:r>
      <w:r w:rsidR="005D6991">
        <w:rPr>
          <w:rFonts w:ascii="Arial" w:hAnsi="Arial"/>
          <w:b/>
          <w:sz w:val="22"/>
          <w:szCs w:val="22"/>
          <w:lang w:val="es-ES_tradnl"/>
        </w:rPr>
        <w:t>u</w:t>
      </w:r>
      <w:r w:rsidRPr="00C74AED">
        <w:rPr>
          <w:rFonts w:ascii="Arial" w:hAnsi="Arial"/>
          <w:b/>
          <w:sz w:val="22"/>
          <w:szCs w:val="22"/>
          <w:lang w:val="es-ES_tradnl"/>
        </w:rPr>
        <w:t>ruguayos en sus primeros a</w:t>
      </w:r>
      <w:r w:rsidR="005D6991">
        <w:rPr>
          <w:rFonts w:ascii="Arial" w:hAnsi="Arial"/>
          <w:b/>
          <w:sz w:val="22"/>
          <w:szCs w:val="22"/>
          <w:lang w:val="es-ES_tradnl"/>
        </w:rPr>
        <w:t>ñ</w:t>
      </w:r>
      <w:r w:rsidRPr="00C74AED">
        <w:rPr>
          <w:rFonts w:ascii="Arial" w:hAnsi="Arial"/>
          <w:b/>
          <w:sz w:val="22"/>
          <w:szCs w:val="22"/>
          <w:lang w:val="es-ES_tradnl"/>
        </w:rPr>
        <w:t>os</w:t>
      </w:r>
    </w:p>
    <w:p w14:paraId="7B34D661" w14:textId="77777777" w:rsidR="009C6E61" w:rsidRPr="00C74AED" w:rsidRDefault="009C6E61" w:rsidP="006919D0">
      <w:pPr>
        <w:jc w:val="both"/>
        <w:rPr>
          <w:rFonts w:ascii="Arial" w:hAnsi="Arial"/>
          <w:b/>
          <w:sz w:val="22"/>
          <w:szCs w:val="22"/>
          <w:lang w:val="es-ES_tradnl"/>
        </w:rPr>
      </w:pPr>
    </w:p>
    <w:p w14:paraId="35112ECA" w14:textId="7A738B5E" w:rsidR="00C11952" w:rsidRPr="00C74AED" w:rsidRDefault="00985D94" w:rsidP="006919D0">
      <w:pPr>
        <w:jc w:val="both"/>
        <w:rPr>
          <w:rFonts w:ascii="Arial" w:hAnsi="Arial"/>
          <w:sz w:val="22"/>
          <w:szCs w:val="22"/>
          <w:lang w:val="es-ES_tradnl"/>
        </w:rPr>
      </w:pPr>
      <w:r w:rsidRPr="00C74AED">
        <w:rPr>
          <w:rFonts w:ascii="Arial" w:hAnsi="Arial"/>
          <w:sz w:val="22"/>
          <w:szCs w:val="22"/>
          <w:lang w:val="es-ES_tradnl"/>
        </w:rPr>
        <w:t>La Encuesta Nacion</w:t>
      </w:r>
      <w:r w:rsidR="009C6E61" w:rsidRPr="00C74AED">
        <w:rPr>
          <w:rFonts w:ascii="Arial" w:hAnsi="Arial"/>
          <w:sz w:val="22"/>
          <w:szCs w:val="22"/>
          <w:lang w:val="es-ES_tradnl"/>
        </w:rPr>
        <w:t>al de Salud Nutrición y Desarrollo Infantil</w:t>
      </w:r>
      <w:r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3F566F" w:rsidRPr="00C74AED">
        <w:rPr>
          <w:rFonts w:ascii="Arial" w:hAnsi="Arial"/>
          <w:sz w:val="22"/>
          <w:szCs w:val="22"/>
          <w:lang w:val="es-ES_tradnl"/>
        </w:rPr>
        <w:t xml:space="preserve">(ENDIS) </w:t>
      </w:r>
      <w:r w:rsidRPr="00C74AED">
        <w:rPr>
          <w:rFonts w:ascii="Arial" w:hAnsi="Arial"/>
          <w:sz w:val="22"/>
          <w:szCs w:val="22"/>
          <w:lang w:val="es-ES_tradnl"/>
        </w:rPr>
        <w:t xml:space="preserve">mide el desarrollo </w:t>
      </w:r>
      <w:r w:rsidR="0024486B" w:rsidRPr="00C74AED">
        <w:rPr>
          <w:rFonts w:ascii="Arial" w:hAnsi="Arial"/>
          <w:sz w:val="22"/>
          <w:szCs w:val="22"/>
          <w:lang w:val="es-ES_tradnl"/>
        </w:rPr>
        <w:t xml:space="preserve">infantil </w:t>
      </w:r>
      <w:r w:rsidR="006919D0" w:rsidRPr="00C74AED">
        <w:rPr>
          <w:rFonts w:ascii="Arial" w:hAnsi="Arial"/>
          <w:sz w:val="22"/>
          <w:szCs w:val="22"/>
          <w:lang w:val="es-ES_tradnl"/>
        </w:rPr>
        <w:t xml:space="preserve">a través del test de </w:t>
      </w:r>
      <w:r w:rsidR="006919D0" w:rsidRPr="005D6991">
        <w:rPr>
          <w:rFonts w:ascii="Arial" w:hAnsi="Arial"/>
          <w:sz w:val="22"/>
          <w:szCs w:val="22"/>
          <w:lang w:val="es-ES_tradnl"/>
        </w:rPr>
        <w:t>Edades y Etapas</w:t>
      </w:r>
      <w:r w:rsidR="006919D0" w:rsidRPr="00C74AED">
        <w:rPr>
          <w:rFonts w:ascii="Arial" w:hAnsi="Arial"/>
          <w:sz w:val="22"/>
          <w:szCs w:val="22"/>
          <w:lang w:val="es-ES_tradnl"/>
        </w:rPr>
        <w:t xml:space="preserve"> (ASQ-3, por su sigla en inglés </w:t>
      </w:r>
      <w:r w:rsidR="006919D0" w:rsidRPr="005D6991">
        <w:rPr>
          <w:rFonts w:ascii="Arial" w:hAnsi="Arial"/>
          <w:i/>
          <w:sz w:val="22"/>
          <w:szCs w:val="22"/>
          <w:lang w:val="es-ES_tradnl"/>
        </w:rPr>
        <w:t>Ages and Stages Questionnaire third edition</w:t>
      </w:r>
      <w:r w:rsidR="006919D0" w:rsidRPr="00C74AED">
        <w:rPr>
          <w:rFonts w:ascii="Arial" w:hAnsi="Arial"/>
          <w:sz w:val="22"/>
          <w:szCs w:val="22"/>
          <w:lang w:val="es-ES_tradnl"/>
        </w:rPr>
        <w:t xml:space="preserve">). El ASQ-3 es un instrumento de detección de rezagos para niños entre 1 y 66 meses de edad ampliamente usado en países </w:t>
      </w:r>
      <w:r w:rsidR="005D6991">
        <w:rPr>
          <w:rFonts w:ascii="Arial" w:hAnsi="Arial"/>
          <w:sz w:val="22"/>
          <w:szCs w:val="22"/>
          <w:lang w:val="es-ES_tradnl"/>
        </w:rPr>
        <w:t>l</w:t>
      </w:r>
      <w:r w:rsidR="006919D0" w:rsidRPr="00C74AED">
        <w:rPr>
          <w:rFonts w:ascii="Arial" w:hAnsi="Arial"/>
          <w:sz w:val="22"/>
          <w:szCs w:val="22"/>
          <w:lang w:val="es-ES_tradnl"/>
        </w:rPr>
        <w:t>atino</w:t>
      </w:r>
      <w:r w:rsidR="005D6991">
        <w:rPr>
          <w:rFonts w:ascii="Arial" w:hAnsi="Arial"/>
          <w:sz w:val="22"/>
          <w:szCs w:val="22"/>
          <w:lang w:val="es-ES_tradnl"/>
        </w:rPr>
        <w:t>a</w:t>
      </w:r>
      <w:r w:rsidR="006919D0" w:rsidRPr="00C74AED">
        <w:rPr>
          <w:rFonts w:ascii="Arial" w:hAnsi="Arial"/>
          <w:sz w:val="22"/>
          <w:szCs w:val="22"/>
          <w:lang w:val="es-ES_tradnl"/>
        </w:rPr>
        <w:t xml:space="preserve">mericanos. El </w:t>
      </w:r>
      <w:r w:rsidR="00A906F5" w:rsidRPr="00C74AED">
        <w:rPr>
          <w:rFonts w:ascii="Arial" w:hAnsi="Arial"/>
          <w:sz w:val="22"/>
          <w:szCs w:val="22"/>
          <w:lang w:val="es-ES_tradnl"/>
        </w:rPr>
        <w:t>ASQ-3</w:t>
      </w:r>
      <w:r w:rsidR="00121D55" w:rsidRPr="00C74AED">
        <w:rPr>
          <w:rFonts w:ascii="Arial" w:hAnsi="Arial"/>
          <w:sz w:val="22"/>
          <w:szCs w:val="22"/>
          <w:lang w:val="es-ES_tradnl"/>
        </w:rPr>
        <w:t xml:space="preserve"> comprende</w:t>
      </w:r>
      <w:r w:rsidR="006919D0"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5D6991">
        <w:rPr>
          <w:rFonts w:ascii="Arial" w:hAnsi="Arial"/>
          <w:sz w:val="22"/>
          <w:szCs w:val="22"/>
          <w:lang w:val="es-ES_tradnl"/>
        </w:rPr>
        <w:t>cinco</w:t>
      </w:r>
      <w:r w:rsidR="006919D0" w:rsidRPr="00C74AED">
        <w:rPr>
          <w:rFonts w:ascii="Arial" w:hAnsi="Arial"/>
          <w:sz w:val="22"/>
          <w:szCs w:val="22"/>
          <w:lang w:val="es-ES_tradnl"/>
        </w:rPr>
        <w:t xml:space="preserve"> dominios</w:t>
      </w:r>
      <w:r w:rsidR="00275AF6" w:rsidRPr="00C74AED">
        <w:rPr>
          <w:rFonts w:ascii="Arial" w:hAnsi="Arial"/>
          <w:sz w:val="22"/>
          <w:szCs w:val="22"/>
          <w:lang w:val="es-ES_tradnl"/>
        </w:rPr>
        <w:t xml:space="preserve"> de </w:t>
      </w:r>
      <w:r w:rsidR="000D5F91" w:rsidRPr="00C74AED">
        <w:rPr>
          <w:rFonts w:ascii="Arial" w:hAnsi="Arial"/>
          <w:sz w:val="22"/>
          <w:szCs w:val="22"/>
          <w:lang w:val="es-ES_tradnl"/>
        </w:rPr>
        <w:t>desarrollo</w:t>
      </w:r>
      <w:r w:rsidR="006919D0" w:rsidRPr="00C74AED">
        <w:rPr>
          <w:rFonts w:ascii="Arial" w:hAnsi="Arial"/>
          <w:sz w:val="22"/>
          <w:szCs w:val="22"/>
          <w:lang w:val="es-ES_tradnl"/>
        </w:rPr>
        <w:t xml:space="preserve">: comunicación, motor gruesa, motor fina, resolución de problemas, y socio-emocional. </w:t>
      </w:r>
    </w:p>
    <w:p w14:paraId="6F3CD66B" w14:textId="77777777" w:rsidR="00C11952" w:rsidRPr="00C74AED" w:rsidRDefault="00C11952" w:rsidP="006919D0">
      <w:pPr>
        <w:jc w:val="both"/>
        <w:rPr>
          <w:rFonts w:ascii="Arial" w:hAnsi="Arial"/>
          <w:sz w:val="22"/>
          <w:szCs w:val="22"/>
          <w:lang w:val="es-ES_tradnl"/>
        </w:rPr>
      </w:pPr>
    </w:p>
    <w:p w14:paraId="0BFABB50" w14:textId="1D8FD1D8" w:rsidR="005F7D85" w:rsidRPr="00C74AED" w:rsidRDefault="00C11952" w:rsidP="006919D0">
      <w:pPr>
        <w:jc w:val="both"/>
        <w:rPr>
          <w:rFonts w:ascii="Arial" w:hAnsi="Arial"/>
          <w:sz w:val="22"/>
          <w:szCs w:val="22"/>
          <w:lang w:val="es-ES_tradnl"/>
        </w:rPr>
      </w:pPr>
      <w:r w:rsidRPr="00C74AED">
        <w:rPr>
          <w:rFonts w:ascii="Arial" w:hAnsi="Arial"/>
          <w:sz w:val="22"/>
          <w:szCs w:val="22"/>
          <w:lang w:val="es-ES_tradnl"/>
        </w:rPr>
        <w:t xml:space="preserve">En base </w:t>
      </w:r>
      <w:r w:rsidR="00FA4B06" w:rsidRPr="00C74AED">
        <w:rPr>
          <w:rFonts w:ascii="Arial" w:hAnsi="Arial"/>
          <w:sz w:val="22"/>
          <w:szCs w:val="22"/>
          <w:lang w:val="es-ES_tradnl"/>
        </w:rPr>
        <w:t>a los datos de la ENDIS</w:t>
      </w:r>
      <w:r w:rsidRPr="00C74AED">
        <w:rPr>
          <w:rFonts w:ascii="Arial" w:hAnsi="Arial"/>
          <w:sz w:val="22"/>
          <w:szCs w:val="22"/>
          <w:lang w:val="es-ES_tradnl"/>
        </w:rPr>
        <w:t>,</w:t>
      </w:r>
      <w:r w:rsidR="00DF6F1F" w:rsidRPr="00C74AED">
        <w:rPr>
          <w:rFonts w:ascii="Arial" w:hAnsi="Arial"/>
          <w:sz w:val="22"/>
          <w:szCs w:val="22"/>
          <w:lang w:val="es-ES_tradnl"/>
        </w:rPr>
        <w:t xml:space="preserve"> se comparan las diferencias en los puntajes de los varios dominios para los n</w:t>
      </w:r>
      <w:r w:rsidR="00453D67" w:rsidRPr="00C74AED">
        <w:rPr>
          <w:rFonts w:ascii="Arial" w:hAnsi="Arial"/>
          <w:sz w:val="22"/>
          <w:szCs w:val="22"/>
          <w:lang w:val="es-ES_tradnl"/>
        </w:rPr>
        <w:t>iños en el quintil de ingreso más pobre (quintil 1) con el quintil má</w:t>
      </w:r>
      <w:r w:rsidR="00DF6F1F" w:rsidRPr="00C74AED">
        <w:rPr>
          <w:rFonts w:ascii="Arial" w:hAnsi="Arial"/>
          <w:sz w:val="22"/>
          <w:szCs w:val="22"/>
          <w:lang w:val="es-ES_tradnl"/>
        </w:rPr>
        <w:t>s rico (quintil 5),</w:t>
      </w:r>
      <w:r w:rsidR="008E4026" w:rsidRPr="00C74AED">
        <w:rPr>
          <w:rFonts w:ascii="Arial" w:hAnsi="Arial"/>
          <w:sz w:val="22"/>
          <w:szCs w:val="22"/>
          <w:lang w:val="es-ES_tradnl"/>
        </w:rPr>
        <w:t xml:space="preserve"> y</w:t>
      </w:r>
      <w:r w:rsidR="00DF6F1F" w:rsidRPr="00C74AED">
        <w:rPr>
          <w:rFonts w:ascii="Arial" w:hAnsi="Arial"/>
          <w:sz w:val="22"/>
          <w:szCs w:val="22"/>
          <w:lang w:val="es-ES_tradnl"/>
        </w:rPr>
        <w:t xml:space="preserve"> según el nivel educativo de la madre</w:t>
      </w:r>
      <w:r w:rsidR="00970FDF" w:rsidRPr="00C74AED">
        <w:rPr>
          <w:rFonts w:ascii="Arial" w:hAnsi="Arial"/>
          <w:sz w:val="22"/>
          <w:szCs w:val="22"/>
          <w:lang w:val="es-ES_tradnl"/>
        </w:rPr>
        <w:t xml:space="preserve"> (ver tabla A1).</w:t>
      </w:r>
      <w:r w:rsidR="00F04C31" w:rsidRPr="00C74AED">
        <w:rPr>
          <w:rStyle w:val="FootnoteReference"/>
          <w:rFonts w:ascii="Arial" w:hAnsi="Arial"/>
          <w:sz w:val="22"/>
          <w:szCs w:val="22"/>
          <w:lang w:val="es-ES_tradnl"/>
        </w:rPr>
        <w:footnoteReference w:id="1"/>
      </w:r>
      <w:r w:rsidR="00970FDF"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39181C" w:rsidRPr="00C74AED">
        <w:rPr>
          <w:rFonts w:ascii="Arial" w:hAnsi="Arial"/>
          <w:sz w:val="22"/>
          <w:szCs w:val="22"/>
          <w:lang w:val="es-ES_tradnl"/>
        </w:rPr>
        <w:t>En ambos casos, l</w:t>
      </w:r>
      <w:r w:rsidR="00734228" w:rsidRPr="00C74AED">
        <w:rPr>
          <w:rFonts w:ascii="Arial" w:hAnsi="Arial"/>
          <w:sz w:val="22"/>
          <w:szCs w:val="22"/>
          <w:lang w:val="es-ES_tradnl"/>
        </w:rPr>
        <w:t>a</w:t>
      </w:r>
      <w:r w:rsidR="0039181C" w:rsidRPr="00C74AED">
        <w:rPr>
          <w:rFonts w:ascii="Arial" w:hAnsi="Arial"/>
          <w:sz w:val="22"/>
          <w:szCs w:val="22"/>
          <w:lang w:val="es-ES_tradnl"/>
        </w:rPr>
        <w:t>s</w:t>
      </w:r>
      <w:r w:rsidR="00734228" w:rsidRPr="00C74AED">
        <w:rPr>
          <w:rFonts w:ascii="Arial" w:hAnsi="Arial"/>
          <w:sz w:val="22"/>
          <w:szCs w:val="22"/>
          <w:lang w:val="es-ES_tradnl"/>
        </w:rPr>
        <w:t xml:space="preserve"> diferencias son significativas para las </w:t>
      </w:r>
      <w:r w:rsidR="0008750A" w:rsidRPr="00C74AED">
        <w:rPr>
          <w:rFonts w:ascii="Arial" w:hAnsi="Arial"/>
          <w:sz w:val="22"/>
          <w:szCs w:val="22"/>
          <w:lang w:val="es-ES_tradnl"/>
        </w:rPr>
        <w:t>áreas</w:t>
      </w:r>
      <w:r w:rsidR="00734228" w:rsidRPr="00C74AED">
        <w:rPr>
          <w:rFonts w:ascii="Arial" w:hAnsi="Arial"/>
          <w:sz w:val="22"/>
          <w:szCs w:val="22"/>
          <w:lang w:val="es-ES_tradnl"/>
        </w:rPr>
        <w:t xml:space="preserve"> de </w:t>
      </w:r>
      <w:r w:rsidR="00734228" w:rsidRPr="005D6991">
        <w:rPr>
          <w:rFonts w:ascii="Arial" w:hAnsi="Arial"/>
          <w:sz w:val="22"/>
          <w:szCs w:val="22"/>
          <w:lang w:val="es-ES_tradnl"/>
        </w:rPr>
        <w:t xml:space="preserve">comunicación, </w:t>
      </w:r>
      <w:r w:rsidR="00843867" w:rsidRPr="005D6991">
        <w:rPr>
          <w:rFonts w:ascii="Arial" w:hAnsi="Arial"/>
          <w:sz w:val="22"/>
          <w:szCs w:val="22"/>
          <w:lang w:val="es-ES_tradnl"/>
        </w:rPr>
        <w:t>motor fina, y</w:t>
      </w:r>
      <w:r w:rsidR="0008750A" w:rsidRPr="005D6991">
        <w:rPr>
          <w:rFonts w:ascii="Arial" w:hAnsi="Arial"/>
          <w:sz w:val="22"/>
          <w:szCs w:val="22"/>
          <w:lang w:val="es-ES_tradnl"/>
        </w:rPr>
        <w:t xml:space="preserve"> resolución de problemas.</w:t>
      </w:r>
      <w:r w:rsidR="0008750A" w:rsidRPr="00C74AED">
        <w:rPr>
          <w:rFonts w:ascii="Arial" w:hAnsi="Arial"/>
          <w:sz w:val="22"/>
          <w:szCs w:val="22"/>
          <w:lang w:val="es-ES_tradnl"/>
        </w:rPr>
        <w:t xml:space="preserve"> La diferencia para el dominio </w:t>
      </w:r>
      <w:r w:rsidR="0008750A" w:rsidRPr="005D6991">
        <w:rPr>
          <w:rFonts w:ascii="Arial" w:hAnsi="Arial"/>
          <w:sz w:val="22"/>
          <w:szCs w:val="22"/>
          <w:lang w:val="es-ES_tradnl"/>
        </w:rPr>
        <w:t>motor gruesa</w:t>
      </w:r>
      <w:r w:rsidR="0008750A" w:rsidRPr="00C74AED">
        <w:rPr>
          <w:rFonts w:ascii="Arial" w:hAnsi="Arial"/>
          <w:i/>
          <w:sz w:val="22"/>
          <w:szCs w:val="22"/>
          <w:lang w:val="es-ES_tradnl"/>
        </w:rPr>
        <w:t xml:space="preserve"> </w:t>
      </w:r>
      <w:r w:rsidR="0008750A" w:rsidRPr="00C74AED">
        <w:rPr>
          <w:rFonts w:ascii="Arial" w:hAnsi="Arial"/>
          <w:sz w:val="22"/>
          <w:szCs w:val="22"/>
          <w:lang w:val="es-ES_tradnl"/>
        </w:rPr>
        <w:t xml:space="preserve">también </w:t>
      </w:r>
      <w:r w:rsidR="00B51468" w:rsidRPr="00C74AED">
        <w:rPr>
          <w:rFonts w:ascii="Arial" w:hAnsi="Arial"/>
          <w:sz w:val="22"/>
          <w:szCs w:val="22"/>
          <w:lang w:val="es-ES_tradnl"/>
        </w:rPr>
        <w:t>es</w:t>
      </w:r>
      <w:r w:rsidR="0008750A" w:rsidRPr="00C74AED">
        <w:rPr>
          <w:rFonts w:ascii="Arial" w:hAnsi="Arial"/>
          <w:sz w:val="22"/>
          <w:szCs w:val="22"/>
          <w:lang w:val="es-ES_tradnl"/>
        </w:rPr>
        <w:t xml:space="preserve"> significativa al comparar los </w:t>
      </w:r>
      <w:r w:rsidR="000C57EF" w:rsidRPr="00C74AED">
        <w:rPr>
          <w:rFonts w:ascii="Arial" w:hAnsi="Arial"/>
          <w:sz w:val="22"/>
          <w:szCs w:val="22"/>
          <w:lang w:val="es-ES_tradnl"/>
        </w:rPr>
        <w:t xml:space="preserve">niños en los </w:t>
      </w:r>
      <w:r w:rsidR="0008750A" w:rsidRPr="00C74AED">
        <w:rPr>
          <w:rFonts w:ascii="Arial" w:hAnsi="Arial"/>
          <w:sz w:val="22"/>
          <w:szCs w:val="22"/>
          <w:lang w:val="es-ES_tradnl"/>
        </w:rPr>
        <w:t xml:space="preserve">quintiles 1 y 5. </w:t>
      </w:r>
      <w:r w:rsidR="00DE6D36" w:rsidRPr="00C74AED">
        <w:rPr>
          <w:rFonts w:ascii="Arial" w:hAnsi="Arial"/>
          <w:sz w:val="22"/>
          <w:szCs w:val="22"/>
          <w:lang w:val="es-ES_tradnl"/>
        </w:rPr>
        <w:t>Con resp</w:t>
      </w:r>
      <w:r w:rsidR="005B59B3" w:rsidRPr="00C74AED">
        <w:rPr>
          <w:rFonts w:ascii="Arial" w:hAnsi="Arial"/>
          <w:sz w:val="22"/>
          <w:szCs w:val="22"/>
          <w:lang w:val="es-ES_tradnl"/>
        </w:rPr>
        <w:t>ecto a la magnitud</w:t>
      </w:r>
      <w:r w:rsidR="00AF7CBD" w:rsidRPr="00C74AED">
        <w:rPr>
          <w:rFonts w:ascii="Arial" w:hAnsi="Arial"/>
          <w:sz w:val="22"/>
          <w:szCs w:val="22"/>
          <w:lang w:val="es-ES_tradnl"/>
        </w:rPr>
        <w:t xml:space="preserve"> de las brechas, </w:t>
      </w:r>
      <w:r w:rsidR="00453D67" w:rsidRPr="00C74AED">
        <w:rPr>
          <w:rFonts w:ascii="Arial" w:hAnsi="Arial"/>
          <w:sz w:val="22"/>
          <w:szCs w:val="22"/>
          <w:lang w:val="es-ES_tradnl"/>
        </w:rPr>
        <w:t xml:space="preserve">y como sucede en varios países de la región, </w:t>
      </w:r>
      <w:r w:rsidR="00AF7CBD" w:rsidRPr="00C74AED">
        <w:rPr>
          <w:rFonts w:ascii="Arial" w:hAnsi="Arial"/>
          <w:sz w:val="22"/>
          <w:szCs w:val="22"/>
          <w:lang w:val="es-ES_tradnl"/>
        </w:rPr>
        <w:t>las diferencia</w:t>
      </w:r>
      <w:r w:rsidR="00453D67" w:rsidRPr="00C74AED">
        <w:rPr>
          <w:rFonts w:ascii="Arial" w:hAnsi="Arial"/>
          <w:sz w:val="22"/>
          <w:szCs w:val="22"/>
          <w:lang w:val="es-ES_tradnl"/>
        </w:rPr>
        <w:t>s socioeconómicas</w:t>
      </w:r>
      <w:r w:rsidR="00DE6D36"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453D67" w:rsidRPr="00C74AED">
        <w:rPr>
          <w:rFonts w:ascii="Arial" w:hAnsi="Arial"/>
          <w:sz w:val="22"/>
          <w:szCs w:val="22"/>
          <w:lang w:val="es-ES_tradnl"/>
        </w:rPr>
        <w:t>más</w:t>
      </w:r>
      <w:r w:rsidR="00DE6D36"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C124DD" w:rsidRPr="00C74AED">
        <w:rPr>
          <w:rFonts w:ascii="Arial" w:hAnsi="Arial"/>
          <w:sz w:val="22"/>
          <w:szCs w:val="22"/>
          <w:lang w:val="es-ES_tradnl"/>
        </w:rPr>
        <w:t>importantes</w:t>
      </w:r>
      <w:r w:rsidR="007C1172" w:rsidRPr="00C74AED">
        <w:rPr>
          <w:rFonts w:ascii="Arial" w:hAnsi="Arial"/>
          <w:sz w:val="22"/>
          <w:szCs w:val="22"/>
          <w:lang w:val="es-ES_tradnl"/>
        </w:rPr>
        <w:t xml:space="preserve"> entre quintiles</w:t>
      </w:r>
      <w:r w:rsidR="00453D67" w:rsidRPr="00C74AED">
        <w:rPr>
          <w:rFonts w:ascii="Arial" w:hAnsi="Arial"/>
          <w:sz w:val="22"/>
          <w:szCs w:val="22"/>
          <w:lang w:val="es-ES_tradnl"/>
        </w:rPr>
        <w:t xml:space="preserve">/educación materna </w:t>
      </w:r>
      <w:r w:rsidR="00931214" w:rsidRPr="00C74AED">
        <w:rPr>
          <w:rFonts w:ascii="Arial" w:hAnsi="Arial"/>
          <w:sz w:val="22"/>
          <w:szCs w:val="22"/>
          <w:lang w:val="es-ES_tradnl"/>
        </w:rPr>
        <w:t>se encue</w:t>
      </w:r>
      <w:r w:rsidR="00AF7CBD" w:rsidRPr="00C74AED">
        <w:rPr>
          <w:rFonts w:ascii="Arial" w:hAnsi="Arial"/>
          <w:sz w:val="22"/>
          <w:szCs w:val="22"/>
          <w:lang w:val="es-ES_tradnl"/>
        </w:rPr>
        <w:t>ntra</w:t>
      </w:r>
      <w:r w:rsidR="00453D67" w:rsidRPr="00C74AED">
        <w:rPr>
          <w:rFonts w:ascii="Arial" w:hAnsi="Arial"/>
          <w:sz w:val="22"/>
          <w:szCs w:val="22"/>
          <w:lang w:val="es-ES_tradnl"/>
        </w:rPr>
        <w:t>n</w:t>
      </w:r>
      <w:r w:rsidR="00040AD6" w:rsidRPr="00C74AED">
        <w:rPr>
          <w:rFonts w:ascii="Arial" w:hAnsi="Arial"/>
          <w:sz w:val="22"/>
          <w:szCs w:val="22"/>
          <w:lang w:val="es-ES_tradnl"/>
        </w:rPr>
        <w:t xml:space="preserve"> en el dominio </w:t>
      </w:r>
      <w:r w:rsidR="00931214" w:rsidRPr="005D6991">
        <w:rPr>
          <w:rFonts w:ascii="Arial" w:hAnsi="Arial"/>
          <w:sz w:val="22"/>
          <w:szCs w:val="22"/>
          <w:lang w:val="es-ES_tradnl"/>
        </w:rPr>
        <w:t>resolució</w:t>
      </w:r>
      <w:r w:rsidR="005E4E78" w:rsidRPr="005D6991">
        <w:rPr>
          <w:rFonts w:ascii="Arial" w:hAnsi="Arial"/>
          <w:sz w:val="22"/>
          <w:szCs w:val="22"/>
          <w:lang w:val="es-ES_tradnl"/>
        </w:rPr>
        <w:t xml:space="preserve">n </w:t>
      </w:r>
      <w:r w:rsidR="00040AD6" w:rsidRPr="005D6991">
        <w:rPr>
          <w:rFonts w:ascii="Arial" w:hAnsi="Arial"/>
          <w:sz w:val="22"/>
          <w:szCs w:val="22"/>
          <w:lang w:val="es-ES_tradnl"/>
        </w:rPr>
        <w:t>de problemas</w:t>
      </w:r>
      <w:r w:rsidR="00CC34EA" w:rsidRPr="00C74AED">
        <w:rPr>
          <w:rFonts w:ascii="Arial" w:hAnsi="Arial"/>
          <w:sz w:val="22"/>
          <w:szCs w:val="22"/>
          <w:lang w:val="es-ES_tradnl"/>
        </w:rPr>
        <w:t>,</w:t>
      </w:r>
      <w:r w:rsidR="00AF7CBD"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EE6B1D" w:rsidRPr="00C74AED">
        <w:rPr>
          <w:rFonts w:ascii="Arial" w:hAnsi="Arial"/>
          <w:sz w:val="22"/>
          <w:szCs w:val="22"/>
          <w:lang w:val="es-ES_tradnl"/>
        </w:rPr>
        <w:t xml:space="preserve">y en el </w:t>
      </w:r>
      <w:r w:rsidR="005E4E78" w:rsidRPr="00C74AED">
        <w:rPr>
          <w:rFonts w:ascii="Arial" w:hAnsi="Arial"/>
          <w:sz w:val="22"/>
          <w:szCs w:val="22"/>
          <w:lang w:val="es-ES_tradnl"/>
        </w:rPr>
        <w:t xml:space="preserve">dominio </w:t>
      </w:r>
      <w:r w:rsidR="005E4E78" w:rsidRPr="005D6991">
        <w:rPr>
          <w:rFonts w:ascii="Arial" w:hAnsi="Arial"/>
          <w:sz w:val="22"/>
          <w:szCs w:val="22"/>
          <w:lang w:val="es-ES_tradnl"/>
        </w:rPr>
        <w:t>motor fina</w:t>
      </w:r>
      <w:r w:rsidR="005E4E78"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453D67" w:rsidRPr="00C74AED">
        <w:rPr>
          <w:rFonts w:ascii="Arial" w:hAnsi="Arial"/>
          <w:sz w:val="22"/>
          <w:szCs w:val="22"/>
          <w:lang w:val="es-ES_tradnl"/>
        </w:rPr>
        <w:t>(ambos proxies del desarrollo cognitivo)</w:t>
      </w:r>
      <w:r w:rsidR="005E4E78" w:rsidRPr="00C74AED">
        <w:rPr>
          <w:rFonts w:ascii="Arial" w:hAnsi="Arial"/>
          <w:sz w:val="22"/>
          <w:szCs w:val="22"/>
          <w:lang w:val="es-ES_tradnl"/>
        </w:rPr>
        <w:t xml:space="preserve">. </w:t>
      </w:r>
      <w:r w:rsidR="00B13C90" w:rsidRPr="00C74AED">
        <w:rPr>
          <w:rFonts w:ascii="Arial" w:hAnsi="Arial"/>
          <w:sz w:val="22"/>
          <w:szCs w:val="22"/>
          <w:lang w:val="es-ES_tradnl"/>
        </w:rPr>
        <w:t>Adicionalmente</w:t>
      </w:r>
      <w:r w:rsidR="005F7D85" w:rsidRPr="00C74AED">
        <w:rPr>
          <w:rFonts w:ascii="Arial" w:hAnsi="Arial"/>
          <w:sz w:val="22"/>
          <w:szCs w:val="22"/>
          <w:lang w:val="es-ES_tradnl"/>
        </w:rPr>
        <w:t xml:space="preserve">, como se puede apreciar </w:t>
      </w:r>
      <w:r w:rsidR="00B13C90" w:rsidRPr="00C74AED">
        <w:rPr>
          <w:rFonts w:ascii="Arial" w:hAnsi="Arial"/>
          <w:sz w:val="22"/>
          <w:szCs w:val="22"/>
          <w:lang w:val="es-ES_tradnl"/>
        </w:rPr>
        <w:t xml:space="preserve">en la figura A1, dichas diferencias </w:t>
      </w:r>
      <w:r w:rsidR="00886690" w:rsidRPr="00C74AED">
        <w:rPr>
          <w:rFonts w:ascii="Arial" w:hAnsi="Arial"/>
          <w:sz w:val="22"/>
          <w:szCs w:val="22"/>
          <w:lang w:val="es-ES_tradnl"/>
        </w:rPr>
        <w:t>en los puntajes van aumentando con la edad del niño</w:t>
      </w:r>
      <w:r w:rsidR="00557EF9" w:rsidRPr="00C74AED">
        <w:rPr>
          <w:rStyle w:val="FootnoteReference"/>
          <w:rFonts w:ascii="Arial" w:hAnsi="Arial"/>
          <w:sz w:val="22"/>
          <w:szCs w:val="22"/>
          <w:lang w:val="es-ES_tradnl"/>
        </w:rPr>
        <w:footnoteReference w:id="2"/>
      </w:r>
      <w:r w:rsidR="005D6991">
        <w:rPr>
          <w:rFonts w:ascii="Arial" w:hAnsi="Arial"/>
          <w:sz w:val="22"/>
          <w:szCs w:val="22"/>
          <w:lang w:val="es-ES_tradnl"/>
        </w:rPr>
        <w:t>.</w:t>
      </w:r>
      <w:r w:rsidR="00886690" w:rsidRPr="00C74AED">
        <w:rPr>
          <w:rFonts w:ascii="Arial" w:hAnsi="Arial"/>
          <w:sz w:val="22"/>
          <w:szCs w:val="22"/>
          <w:lang w:val="es-ES_tradnl"/>
        </w:rPr>
        <w:t xml:space="preserve"> </w:t>
      </w:r>
    </w:p>
    <w:p w14:paraId="27B7B0B3" w14:textId="77777777" w:rsidR="00646A0E" w:rsidRPr="00C74AED" w:rsidRDefault="00646A0E">
      <w:pPr>
        <w:rPr>
          <w:rFonts w:ascii="Arial" w:hAnsi="Arial"/>
          <w:sz w:val="22"/>
          <w:szCs w:val="22"/>
          <w:lang w:val="es-ES_tradnl"/>
        </w:rPr>
      </w:pPr>
    </w:p>
    <w:p w14:paraId="4D029AEB" w14:textId="4F51C579" w:rsidR="00C70A3F" w:rsidRPr="00C74AED" w:rsidRDefault="00B773A5" w:rsidP="005D6991">
      <w:pPr>
        <w:jc w:val="center"/>
        <w:rPr>
          <w:rFonts w:ascii="Arial" w:hAnsi="Arial"/>
          <w:sz w:val="22"/>
          <w:szCs w:val="22"/>
          <w:lang w:val="es-ES_tradnl"/>
        </w:rPr>
      </w:pPr>
      <w:r w:rsidRPr="00C74AED">
        <w:rPr>
          <w:rFonts w:ascii="Arial" w:hAnsi="Arial"/>
          <w:sz w:val="22"/>
          <w:szCs w:val="22"/>
          <w:lang w:val="es-ES_tradnl"/>
        </w:rPr>
        <w:t>Tabla</w:t>
      </w:r>
      <w:r w:rsidR="003008C2" w:rsidRPr="00C74AED">
        <w:rPr>
          <w:rFonts w:ascii="Arial" w:hAnsi="Arial"/>
          <w:sz w:val="22"/>
          <w:szCs w:val="22"/>
          <w:lang w:val="es-ES_tradnl"/>
        </w:rPr>
        <w:t xml:space="preserve"> A1: </w:t>
      </w:r>
      <w:r w:rsidR="00B011C9" w:rsidRPr="00C74AED">
        <w:rPr>
          <w:rFonts w:ascii="Arial" w:hAnsi="Arial"/>
          <w:sz w:val="22"/>
          <w:szCs w:val="22"/>
          <w:lang w:val="es-ES_tradnl"/>
        </w:rPr>
        <w:t>Diferencias en</w:t>
      </w:r>
      <w:r w:rsidR="0099213B" w:rsidRPr="00C74AED">
        <w:rPr>
          <w:rFonts w:ascii="Arial" w:hAnsi="Arial"/>
          <w:sz w:val="22"/>
          <w:szCs w:val="22"/>
          <w:lang w:val="es-ES_tradnl"/>
        </w:rPr>
        <w:t xml:space="preserve"> los puntajes </w:t>
      </w:r>
      <w:r w:rsidR="00DA15C6" w:rsidRPr="00C74AED">
        <w:rPr>
          <w:rFonts w:ascii="Arial" w:hAnsi="Arial"/>
          <w:sz w:val="22"/>
          <w:szCs w:val="22"/>
          <w:lang w:val="es-ES_tradnl"/>
        </w:rPr>
        <w:t>del</w:t>
      </w:r>
      <w:r w:rsidR="0099213B" w:rsidRPr="00C74AED">
        <w:rPr>
          <w:rFonts w:ascii="Arial" w:hAnsi="Arial"/>
          <w:sz w:val="22"/>
          <w:szCs w:val="22"/>
          <w:lang w:val="es-ES_tradnl"/>
        </w:rPr>
        <w:t xml:space="preserve"> </w:t>
      </w:r>
      <w:r w:rsidR="00B011C9" w:rsidRPr="00C74AED">
        <w:rPr>
          <w:rFonts w:ascii="Arial" w:hAnsi="Arial"/>
          <w:sz w:val="22"/>
          <w:szCs w:val="22"/>
          <w:lang w:val="es-ES_tradnl"/>
        </w:rPr>
        <w:t>ASQ-3 y</w:t>
      </w:r>
      <w:r w:rsidR="00453D67" w:rsidRPr="00C74AED">
        <w:rPr>
          <w:rFonts w:ascii="Arial" w:hAnsi="Arial"/>
          <w:sz w:val="22"/>
          <w:szCs w:val="22"/>
          <w:lang w:val="es-ES_tradnl"/>
        </w:rPr>
        <w:t xml:space="preserve"> t-test</w:t>
      </w:r>
      <w:r w:rsidR="005D6991">
        <w:rPr>
          <w:rFonts w:ascii="Arial" w:hAnsi="Arial"/>
          <w:sz w:val="22"/>
          <w:szCs w:val="22"/>
          <w:lang w:val="es-ES_tradnl"/>
        </w:rPr>
        <w:t xml:space="preserve">  </w:t>
      </w:r>
      <w:r w:rsidR="00453D67" w:rsidRPr="00C74AED">
        <w:rPr>
          <w:rFonts w:ascii="Arial" w:hAnsi="Arial"/>
          <w:sz w:val="22"/>
          <w:szCs w:val="22"/>
          <w:lang w:val="es-ES_tradnl"/>
        </w:rPr>
        <w:t>de</w:t>
      </w:r>
      <w:r w:rsidR="005D6991">
        <w:rPr>
          <w:rFonts w:ascii="Arial" w:hAnsi="Arial"/>
          <w:sz w:val="22"/>
          <w:szCs w:val="22"/>
          <w:lang w:val="es-ES_tradnl"/>
        </w:rPr>
        <w:t xml:space="preserve">  </w:t>
      </w:r>
      <w:r w:rsidR="00571156" w:rsidRPr="00C74AED">
        <w:rPr>
          <w:rFonts w:ascii="Arial" w:hAnsi="Arial"/>
          <w:sz w:val="22"/>
          <w:szCs w:val="22"/>
          <w:lang w:val="es-ES_tradnl"/>
        </w:rPr>
        <w:t>diferencia de medias</w:t>
      </w:r>
      <w:r w:rsidR="004D630D" w:rsidRPr="00C74AED">
        <w:rPr>
          <w:rFonts w:ascii="Arial" w:hAnsi="Arial"/>
          <w:sz w:val="22"/>
          <w:szCs w:val="22"/>
          <w:lang w:val="es-ES_tradnl"/>
        </w:rPr>
        <w:t xml:space="preserve">, según </w:t>
      </w:r>
      <w:r w:rsidR="00055739" w:rsidRPr="00C74AED">
        <w:rPr>
          <w:rFonts w:ascii="Arial" w:hAnsi="Arial"/>
          <w:sz w:val="22"/>
          <w:szCs w:val="22"/>
          <w:lang w:val="es-ES_tradnl"/>
        </w:rPr>
        <w:t>ingreso y educación materna</w:t>
      </w:r>
      <w:r w:rsidR="002B23B7" w:rsidRPr="00C74AED">
        <w:rPr>
          <w:rStyle w:val="FootnoteReference"/>
          <w:rFonts w:ascii="Arial" w:hAnsi="Arial"/>
          <w:sz w:val="22"/>
          <w:szCs w:val="22"/>
          <w:lang w:val="es-ES_tradnl"/>
        </w:rPr>
        <w:footnoteReference w:id="3"/>
      </w:r>
    </w:p>
    <w:p w14:paraId="77FE05AE" w14:textId="77777777" w:rsidR="00055739" w:rsidRPr="00C74AED" w:rsidRDefault="00055739">
      <w:pPr>
        <w:rPr>
          <w:rFonts w:ascii="Arial" w:hAnsi="Arial"/>
          <w:sz w:val="22"/>
          <w:szCs w:val="22"/>
          <w:lang w:val="es-ES_tradnl"/>
        </w:rPr>
      </w:pPr>
    </w:p>
    <w:tbl>
      <w:tblPr>
        <w:tblW w:w="6817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728"/>
        <w:gridCol w:w="2380"/>
      </w:tblGrid>
      <w:tr w:rsidR="004A19CB" w:rsidRPr="00C74AED" w14:paraId="24C1D4DA" w14:textId="77777777" w:rsidTr="005D6991">
        <w:trPr>
          <w:trHeight w:val="320"/>
          <w:jc w:val="center"/>
        </w:trPr>
        <w:tc>
          <w:tcPr>
            <w:tcW w:w="2709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14:paraId="672CDC05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>Dominio ASQ-3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14:paraId="3F0196BD" w14:textId="20BDB4EA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>Diferencia</w:t>
            </w:r>
            <w:r w:rsidR="005D6991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 xml:space="preserve">  </w:t>
            </w:r>
            <w:r w:rsidRPr="00C74AED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>según quintiles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14:paraId="3B00B238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>Diferencia según educación materna</w:t>
            </w:r>
          </w:p>
        </w:tc>
      </w:tr>
      <w:tr w:rsidR="004A19CB" w:rsidRPr="00C74AED" w14:paraId="7E54B8DD" w14:textId="77777777" w:rsidTr="005D6991">
        <w:trPr>
          <w:trHeight w:val="280"/>
          <w:jc w:val="center"/>
        </w:trPr>
        <w:tc>
          <w:tcPr>
            <w:tcW w:w="2709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B0F861D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D98D4FC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B2FA834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</w:p>
        </w:tc>
      </w:tr>
      <w:tr w:rsidR="004A19CB" w:rsidRPr="00C74AED" w14:paraId="039CDA26" w14:textId="77777777" w:rsidTr="005D6991">
        <w:trPr>
          <w:trHeight w:val="280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4FEA8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A3CFC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2741A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  <w:lang w:val="es-ES_tradnl"/>
              </w:rPr>
              <w:t> </w:t>
            </w:r>
          </w:p>
        </w:tc>
      </w:tr>
      <w:tr w:rsidR="004A19CB" w:rsidRPr="00C74AED" w14:paraId="6FD5996D" w14:textId="77777777" w:rsidTr="005D6991">
        <w:trPr>
          <w:trHeight w:val="260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988F8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1. Comunicación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86F87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-3,86*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B7B4A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-4,25**</w:t>
            </w:r>
          </w:p>
        </w:tc>
      </w:tr>
      <w:tr w:rsidR="004A19CB" w:rsidRPr="00C74AED" w14:paraId="3C682C77" w14:textId="77777777" w:rsidTr="005D6991">
        <w:trPr>
          <w:trHeight w:val="260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BD8BD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2. Motor Gruesa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6CB76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-2,38*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85100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-1,78</w:t>
            </w:r>
          </w:p>
        </w:tc>
      </w:tr>
      <w:tr w:rsidR="004A19CB" w:rsidRPr="00C74AED" w14:paraId="372E8357" w14:textId="77777777" w:rsidTr="005D6991">
        <w:trPr>
          <w:trHeight w:val="260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EA54E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3. Motor Fina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84D2C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-4,65**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54E6C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-7,68***</w:t>
            </w:r>
          </w:p>
        </w:tc>
      </w:tr>
      <w:tr w:rsidR="004A19CB" w:rsidRPr="00C74AED" w14:paraId="1167C0CE" w14:textId="77777777" w:rsidTr="005D6991">
        <w:trPr>
          <w:trHeight w:val="260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16EFC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4. Resolución de Problemas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B6CE0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  <w:t>-6,21***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C911D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  <w:t>-6,85***</w:t>
            </w:r>
          </w:p>
        </w:tc>
      </w:tr>
      <w:tr w:rsidR="004A19CB" w:rsidRPr="00C74AED" w14:paraId="2CAA0D86" w14:textId="77777777" w:rsidTr="005D6991">
        <w:trPr>
          <w:trHeight w:val="300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C6C50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>5. Socio-Emocional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40BDB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  <w:t>-1,42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7C5BF" w14:textId="77777777" w:rsidR="004A19CB" w:rsidRPr="00C74AED" w:rsidRDefault="004A19CB" w:rsidP="004A19CB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sz w:val="22"/>
                <w:szCs w:val="22"/>
                <w:lang w:val="es-ES_tradnl"/>
              </w:rPr>
              <w:t>-0,90</w:t>
            </w:r>
          </w:p>
        </w:tc>
      </w:tr>
      <w:tr w:rsidR="004A19CB" w:rsidRPr="005D6991" w14:paraId="446887A8" w14:textId="77777777" w:rsidTr="005D6991">
        <w:trPr>
          <w:trHeight w:val="253"/>
          <w:jc w:val="center"/>
        </w:trPr>
        <w:tc>
          <w:tcPr>
            <w:tcW w:w="6817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D59F0E" w14:textId="77777777" w:rsidR="002B23B7" w:rsidRPr="00C74AED" w:rsidRDefault="002B23B7" w:rsidP="002B23B7">
            <w:pPr>
              <w:jc w:val="both"/>
              <w:rPr>
                <w:rFonts w:ascii="Arial" w:hAnsi="Arial" w:cs="Times New Roman"/>
                <w:sz w:val="22"/>
                <w:szCs w:val="22"/>
                <w:lang w:val="es-ES_tradnl"/>
              </w:rPr>
            </w:pPr>
            <w:r w:rsidRPr="00C74AED">
              <w:rPr>
                <w:rFonts w:ascii="Arial" w:hAnsi="Arial"/>
                <w:i/>
                <w:sz w:val="22"/>
                <w:szCs w:val="22"/>
                <w:lang w:val="es-ES_tradnl"/>
              </w:rPr>
              <w:t>Fuente</w:t>
            </w:r>
            <w:r w:rsidRPr="00C74AED">
              <w:rPr>
                <w:rFonts w:ascii="Arial" w:hAnsi="Arial"/>
                <w:sz w:val="22"/>
                <w:szCs w:val="22"/>
                <w:lang w:val="es-ES_tradnl"/>
              </w:rPr>
              <w:t xml:space="preserve">: cálculos propios en base a datos de la </w:t>
            </w:r>
            <w:r w:rsidRPr="00C74AED">
              <w:rPr>
                <w:rFonts w:ascii="Arial" w:hAnsi="Arial" w:cs="Times New Roman"/>
                <w:sz w:val="22"/>
                <w:szCs w:val="22"/>
                <w:lang w:val="es-ES_tradnl"/>
              </w:rPr>
              <w:t xml:space="preserve">ENDIS 2013. </w:t>
            </w:r>
          </w:p>
          <w:p w14:paraId="2843999B" w14:textId="7F8EB25F" w:rsidR="004A19CB" w:rsidRPr="00C74AED" w:rsidRDefault="004A19CB" w:rsidP="00FE32B8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br/>
            </w:r>
            <w:r w:rsidR="005D6991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 xml:space="preserve">    </w:t>
            </w: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br/>
            </w:r>
            <w:r w:rsidR="005D6991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 xml:space="preserve">    </w:t>
            </w:r>
            <w:r w:rsidRPr="00C74AED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  <w:t xml:space="preserve"> </w:t>
            </w:r>
          </w:p>
        </w:tc>
      </w:tr>
      <w:tr w:rsidR="004A19CB" w:rsidRPr="005D6991" w14:paraId="35498496" w14:textId="77777777" w:rsidTr="005D6991">
        <w:trPr>
          <w:trHeight w:val="260"/>
          <w:jc w:val="center"/>
        </w:trPr>
        <w:tc>
          <w:tcPr>
            <w:tcW w:w="6817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9290248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</w:p>
        </w:tc>
      </w:tr>
      <w:tr w:rsidR="004A19CB" w:rsidRPr="005D6991" w14:paraId="4AC26285" w14:textId="77777777" w:rsidTr="005D6991">
        <w:trPr>
          <w:trHeight w:val="260"/>
          <w:jc w:val="center"/>
        </w:trPr>
        <w:tc>
          <w:tcPr>
            <w:tcW w:w="6817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0702EDB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</w:p>
        </w:tc>
      </w:tr>
      <w:tr w:rsidR="004A19CB" w:rsidRPr="005D6991" w14:paraId="29958852" w14:textId="77777777" w:rsidTr="005D6991">
        <w:trPr>
          <w:trHeight w:val="260"/>
          <w:jc w:val="center"/>
        </w:trPr>
        <w:tc>
          <w:tcPr>
            <w:tcW w:w="6817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4A75CA" w14:textId="77777777" w:rsidR="004A19CB" w:rsidRPr="00C74AED" w:rsidRDefault="004A19CB" w:rsidP="004A19CB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s-ES_tradnl"/>
              </w:rPr>
            </w:pPr>
          </w:p>
        </w:tc>
      </w:tr>
    </w:tbl>
    <w:p w14:paraId="689B85A2" w14:textId="77777777" w:rsidR="00055739" w:rsidRPr="00C74AED" w:rsidRDefault="00055739">
      <w:pPr>
        <w:rPr>
          <w:rFonts w:ascii="Arial" w:hAnsi="Arial"/>
          <w:sz w:val="22"/>
          <w:szCs w:val="22"/>
          <w:lang w:val="es-ES_tradnl"/>
        </w:rPr>
      </w:pPr>
    </w:p>
    <w:p w14:paraId="31627B82" w14:textId="77777777" w:rsidR="00DA3E30" w:rsidRPr="00C74AED" w:rsidRDefault="00DA3E30">
      <w:pPr>
        <w:rPr>
          <w:rFonts w:ascii="Arial" w:hAnsi="Arial"/>
          <w:sz w:val="22"/>
          <w:szCs w:val="22"/>
          <w:lang w:val="es-ES_tradnl"/>
        </w:rPr>
      </w:pPr>
    </w:p>
    <w:p w14:paraId="2A28F408" w14:textId="77777777" w:rsidR="00DA3E30" w:rsidRPr="00C74AED" w:rsidRDefault="00DA3E30">
      <w:pPr>
        <w:rPr>
          <w:rFonts w:ascii="Arial" w:hAnsi="Arial"/>
          <w:sz w:val="22"/>
          <w:szCs w:val="22"/>
          <w:lang w:val="es-ES_tradnl"/>
        </w:rPr>
      </w:pPr>
    </w:p>
    <w:p w14:paraId="0026AD87" w14:textId="77777777" w:rsidR="0090788F" w:rsidRPr="00C74AED" w:rsidRDefault="0090788F">
      <w:pPr>
        <w:rPr>
          <w:rFonts w:ascii="Arial" w:hAnsi="Arial"/>
          <w:sz w:val="22"/>
          <w:szCs w:val="22"/>
          <w:lang w:val="es-ES_tradnl"/>
        </w:rPr>
      </w:pPr>
    </w:p>
    <w:p w14:paraId="66DBC69E" w14:textId="77777777" w:rsidR="00C11952" w:rsidRPr="00C74AED" w:rsidRDefault="00C11952">
      <w:pPr>
        <w:rPr>
          <w:rFonts w:ascii="Arial" w:hAnsi="Arial"/>
          <w:sz w:val="22"/>
          <w:szCs w:val="22"/>
          <w:lang w:val="es-ES_tradnl"/>
        </w:rPr>
      </w:pPr>
    </w:p>
    <w:p w14:paraId="185F8C8B" w14:textId="77777777" w:rsidR="00C320A2" w:rsidRPr="00C74AED" w:rsidRDefault="00C320A2">
      <w:pPr>
        <w:rPr>
          <w:rFonts w:ascii="Arial" w:hAnsi="Arial"/>
          <w:sz w:val="22"/>
          <w:szCs w:val="22"/>
          <w:lang w:val="es-ES_tradnl"/>
        </w:rPr>
      </w:pPr>
    </w:p>
    <w:p w14:paraId="249F7D00" w14:textId="77777777" w:rsidR="00C70A3F" w:rsidRPr="00C74AED" w:rsidRDefault="00EB4135">
      <w:pPr>
        <w:rPr>
          <w:rFonts w:ascii="Arial" w:hAnsi="Arial"/>
          <w:sz w:val="22"/>
          <w:szCs w:val="22"/>
          <w:lang w:val="es-ES_tradnl"/>
        </w:rPr>
      </w:pPr>
      <w:r w:rsidRPr="00C74AED">
        <w:rPr>
          <w:rFonts w:ascii="Arial" w:hAnsi="Arial"/>
          <w:sz w:val="22"/>
          <w:szCs w:val="22"/>
          <w:lang w:val="es-ES_tradnl"/>
        </w:rPr>
        <w:t>Figura A1: Gradientes en el desarrollo cognitivo según ingreso y educación materna</w:t>
      </w:r>
      <w:r w:rsidR="009819E0" w:rsidRPr="00C74AED">
        <w:rPr>
          <w:rStyle w:val="FootnoteReference"/>
          <w:rFonts w:ascii="Arial" w:hAnsi="Arial"/>
          <w:sz w:val="22"/>
          <w:szCs w:val="22"/>
          <w:lang w:val="es-ES_tradnl"/>
        </w:rPr>
        <w:footnoteReference w:id="4"/>
      </w:r>
      <w:r w:rsidR="00C11952" w:rsidRPr="00C74AED">
        <w:rPr>
          <w:rFonts w:ascii="Arial" w:hAnsi="Arial"/>
          <w:sz w:val="22"/>
          <w:szCs w:val="22"/>
          <w:lang w:val="es-ES_tradnl"/>
        </w:rPr>
        <w:t xml:space="preserve"> </w:t>
      </w:r>
    </w:p>
    <w:p w14:paraId="158B2DF0" w14:textId="77777777" w:rsidR="00DA5575" w:rsidRPr="00C74AED" w:rsidRDefault="00DA5575">
      <w:pPr>
        <w:rPr>
          <w:rFonts w:ascii="Arial" w:hAnsi="Arial"/>
          <w:sz w:val="22"/>
          <w:szCs w:val="22"/>
          <w:lang w:val="es-ES_tradnl"/>
        </w:rPr>
      </w:pPr>
    </w:p>
    <w:p w14:paraId="176E07DD" w14:textId="77777777" w:rsidR="0030146A" w:rsidRPr="00C74AED" w:rsidRDefault="0030146A">
      <w:pPr>
        <w:rPr>
          <w:rFonts w:ascii="Arial" w:hAnsi="Arial"/>
          <w:sz w:val="22"/>
          <w:szCs w:val="22"/>
          <w:lang w:val="es-ES_tradnl"/>
        </w:rPr>
      </w:pPr>
      <w:r w:rsidRPr="00C74AED">
        <w:rPr>
          <w:rFonts w:ascii="Arial" w:hAnsi="Arial"/>
          <w:noProof/>
          <w:sz w:val="22"/>
          <w:szCs w:val="22"/>
        </w:rPr>
        <w:drawing>
          <wp:inline distT="0" distB="0" distL="0" distR="0" wp14:anchorId="15B228B4" wp14:editId="6ED03BAF">
            <wp:extent cx="50292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05B2F" w14:textId="77777777" w:rsidR="00C70A3F" w:rsidRPr="00C74AED" w:rsidRDefault="00FB2C2B">
      <w:pPr>
        <w:rPr>
          <w:rFonts w:ascii="Arial" w:hAnsi="Arial"/>
          <w:sz w:val="22"/>
          <w:szCs w:val="22"/>
          <w:lang w:val="es-ES_tradnl"/>
        </w:rPr>
      </w:pPr>
      <w:r w:rsidRPr="00C74AED">
        <w:rPr>
          <w:rFonts w:ascii="Arial" w:hAnsi="Arial"/>
          <w:i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58E8E8D" wp14:editId="08FF994F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2986152" cy="2171700"/>
            <wp:effectExtent l="0" t="0" r="1143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152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27193B" w14:textId="77777777" w:rsidR="00FB2C2B" w:rsidRPr="00C74AED" w:rsidRDefault="00FB2C2B">
      <w:pPr>
        <w:rPr>
          <w:rFonts w:ascii="Arial" w:hAnsi="Arial"/>
          <w:sz w:val="22"/>
          <w:szCs w:val="22"/>
          <w:lang w:val="es-ES_tradnl"/>
        </w:rPr>
      </w:pPr>
    </w:p>
    <w:p w14:paraId="73FFA959" w14:textId="77777777" w:rsidR="00FB2C2B" w:rsidRPr="00C74AED" w:rsidRDefault="00FB2C2B">
      <w:pPr>
        <w:rPr>
          <w:rFonts w:ascii="Arial" w:hAnsi="Arial"/>
          <w:sz w:val="22"/>
          <w:szCs w:val="22"/>
          <w:lang w:val="es-ES_tradnl"/>
        </w:rPr>
      </w:pPr>
    </w:p>
    <w:p w14:paraId="3210AF06" w14:textId="77777777" w:rsidR="00243951" w:rsidRPr="00C74AED" w:rsidRDefault="00243951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45173E0A" w14:textId="77777777" w:rsidR="00243951" w:rsidRPr="00C74AED" w:rsidRDefault="00243951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27B3DCB4" w14:textId="77777777" w:rsidR="00243951" w:rsidRPr="00C74AED" w:rsidRDefault="00243951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3A269B6A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762509EC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05FA8977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77784EE7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5D77E85B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5C19CF63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6535EB1E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6089DC27" w14:textId="77777777" w:rsidR="00FB2C2B" w:rsidRPr="00C74AED" w:rsidRDefault="00FB2C2B" w:rsidP="00124147">
      <w:pPr>
        <w:jc w:val="both"/>
        <w:rPr>
          <w:rFonts w:ascii="Arial" w:hAnsi="Arial"/>
          <w:i/>
          <w:sz w:val="22"/>
          <w:szCs w:val="22"/>
          <w:lang w:val="es-ES_tradnl"/>
        </w:rPr>
      </w:pPr>
    </w:p>
    <w:p w14:paraId="23CFA07B" w14:textId="77777777" w:rsidR="00124147" w:rsidRPr="00C74AED" w:rsidRDefault="00124147" w:rsidP="00124147">
      <w:pPr>
        <w:jc w:val="both"/>
        <w:rPr>
          <w:rFonts w:ascii="Arial" w:hAnsi="Arial" w:cs="Times New Roman"/>
          <w:sz w:val="22"/>
          <w:szCs w:val="22"/>
          <w:lang w:val="es-ES_tradnl"/>
        </w:rPr>
      </w:pPr>
      <w:r w:rsidRPr="00C74AED">
        <w:rPr>
          <w:rFonts w:ascii="Arial" w:hAnsi="Arial"/>
          <w:i/>
          <w:sz w:val="22"/>
          <w:szCs w:val="22"/>
          <w:lang w:val="es-ES_tradnl"/>
        </w:rPr>
        <w:t>Fuente</w:t>
      </w:r>
      <w:r w:rsidRPr="00C74AED">
        <w:rPr>
          <w:rFonts w:ascii="Arial" w:hAnsi="Arial"/>
          <w:sz w:val="22"/>
          <w:szCs w:val="22"/>
          <w:lang w:val="es-ES_tradnl"/>
        </w:rPr>
        <w:t xml:space="preserve">: cálculos propios en base a datos de la </w:t>
      </w:r>
      <w:r w:rsidRPr="00C74AED">
        <w:rPr>
          <w:rFonts w:ascii="Arial" w:hAnsi="Arial" w:cs="Times New Roman"/>
          <w:sz w:val="22"/>
          <w:szCs w:val="22"/>
          <w:lang w:val="es-ES_tradnl"/>
        </w:rPr>
        <w:t xml:space="preserve">ENDIS 2013. </w:t>
      </w:r>
    </w:p>
    <w:p w14:paraId="6F4C6021" w14:textId="77777777" w:rsidR="00C70A3F" w:rsidRPr="00C74AED" w:rsidRDefault="00C70A3F">
      <w:pPr>
        <w:rPr>
          <w:rFonts w:ascii="Arial" w:hAnsi="Arial"/>
          <w:sz w:val="22"/>
          <w:szCs w:val="22"/>
          <w:lang w:val="es-ES_tradnl"/>
        </w:rPr>
      </w:pPr>
    </w:p>
    <w:p w14:paraId="6010BCD6" w14:textId="77777777" w:rsidR="003008C2" w:rsidRPr="00C74AED" w:rsidRDefault="003008C2">
      <w:pPr>
        <w:rPr>
          <w:rFonts w:ascii="Arial" w:hAnsi="Arial"/>
          <w:sz w:val="22"/>
          <w:szCs w:val="22"/>
          <w:lang w:val="es-ES_tradnl"/>
        </w:rPr>
      </w:pPr>
    </w:p>
    <w:p w14:paraId="7D29387A" w14:textId="77777777" w:rsidR="00CF0D66" w:rsidRPr="00C74AED" w:rsidRDefault="00CF0D66" w:rsidP="00CF0D66">
      <w:pPr>
        <w:rPr>
          <w:rFonts w:ascii="Arial" w:hAnsi="Arial"/>
          <w:sz w:val="22"/>
          <w:szCs w:val="22"/>
          <w:lang w:val="es-ES_tradnl"/>
        </w:rPr>
      </w:pPr>
    </w:p>
    <w:p w14:paraId="31689F40" w14:textId="77777777" w:rsidR="003008C2" w:rsidRPr="00C74AED" w:rsidRDefault="003008C2">
      <w:pPr>
        <w:rPr>
          <w:rFonts w:ascii="Arial" w:hAnsi="Arial"/>
          <w:sz w:val="22"/>
          <w:szCs w:val="22"/>
          <w:lang w:val="es-ES_tradnl"/>
        </w:rPr>
      </w:pPr>
    </w:p>
    <w:sectPr w:rsidR="003008C2" w:rsidRPr="00C74AED" w:rsidSect="004544B1">
      <w:pgSz w:w="11900" w:h="16840"/>
      <w:pgMar w:top="1440" w:right="1800" w:bottom="141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DD788" w14:textId="77777777" w:rsidR="00D37974" w:rsidRDefault="00D37974" w:rsidP="00090C83">
      <w:r>
        <w:separator/>
      </w:r>
    </w:p>
  </w:endnote>
  <w:endnote w:type="continuationSeparator" w:id="0">
    <w:p w14:paraId="0BD84DB2" w14:textId="77777777" w:rsidR="00D37974" w:rsidRDefault="00D37974" w:rsidP="0009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91642" w14:textId="77777777" w:rsidR="00D37974" w:rsidRDefault="00D37974" w:rsidP="00090C83">
      <w:r>
        <w:separator/>
      </w:r>
    </w:p>
  </w:footnote>
  <w:footnote w:type="continuationSeparator" w:id="0">
    <w:p w14:paraId="677A0737" w14:textId="77777777" w:rsidR="00D37974" w:rsidRDefault="00D37974" w:rsidP="00090C83">
      <w:r>
        <w:continuationSeparator/>
      </w:r>
    </w:p>
  </w:footnote>
  <w:footnote w:id="1">
    <w:p w14:paraId="605A755A" w14:textId="77777777" w:rsidR="000D5F91" w:rsidRPr="00ED4B3F" w:rsidRDefault="000D5F91" w:rsidP="00557EF9">
      <w:pPr>
        <w:jc w:val="both"/>
        <w:rPr>
          <w:rFonts w:ascii="Arial" w:hAnsi="Arial"/>
          <w:sz w:val="20"/>
          <w:szCs w:val="20"/>
          <w:lang w:val="es-ES_tradnl"/>
        </w:rPr>
      </w:pPr>
      <w:r w:rsidRPr="00ED4B3F">
        <w:rPr>
          <w:rStyle w:val="FootnoteReference"/>
          <w:rFonts w:ascii="Arial" w:hAnsi="Arial"/>
          <w:sz w:val="20"/>
          <w:szCs w:val="20"/>
          <w:lang w:val="es-ES_tradnl"/>
        </w:rPr>
        <w:footnoteRef/>
      </w:r>
      <w:r w:rsidRPr="00ED4B3F">
        <w:rPr>
          <w:rFonts w:ascii="Arial" w:hAnsi="Arial"/>
          <w:sz w:val="20"/>
          <w:szCs w:val="20"/>
          <w:lang w:val="es-ES_tradnl"/>
        </w:rPr>
        <w:t xml:space="preserve"> Para estos cálculos, se usan los puntajes crudos del ASQ-3. Los quintiles fueron calculados en base al ingreso </w:t>
      </w:r>
      <w:r w:rsidRPr="00ED4B3F">
        <w:rPr>
          <w:rFonts w:ascii="Arial" w:hAnsi="Arial"/>
          <w:i/>
          <w:sz w:val="20"/>
          <w:szCs w:val="20"/>
          <w:lang w:val="es-ES_tradnl"/>
        </w:rPr>
        <w:t>per capita</w:t>
      </w:r>
      <w:r w:rsidRPr="00ED4B3F">
        <w:rPr>
          <w:rFonts w:ascii="Arial" w:hAnsi="Arial"/>
          <w:sz w:val="20"/>
          <w:szCs w:val="20"/>
          <w:lang w:val="es-ES_tradnl"/>
        </w:rPr>
        <w:t xml:space="preserve"> del hogar. Educación materna compara a madres que tienen entre 0 y 6 años de educación, con madres que tienen más de 12 años de educación. El análisis se concentra en los niños entre los 13 y 36 meses de edad (los meses que tienen un mínimo de 20 observaciones). Diferencias significativas al * p&lt;0.05, ** p&lt;0.01, y *** p&lt;0.001.</w:t>
      </w:r>
    </w:p>
  </w:footnote>
  <w:footnote w:id="2">
    <w:p w14:paraId="0954DAFC" w14:textId="4DF5A5D1" w:rsidR="000D5F91" w:rsidRPr="00DD793A" w:rsidRDefault="000D5F91">
      <w:pPr>
        <w:pStyle w:val="FootnoteText"/>
        <w:rPr>
          <w:rFonts w:ascii="Garamond" w:hAnsi="Garamond"/>
          <w:sz w:val="20"/>
          <w:szCs w:val="20"/>
          <w:lang w:val="es-ES_tradnl"/>
        </w:rPr>
      </w:pPr>
      <w:r w:rsidRPr="00ED4B3F">
        <w:rPr>
          <w:rStyle w:val="FootnoteReference"/>
          <w:rFonts w:ascii="Arial" w:hAnsi="Arial"/>
          <w:sz w:val="20"/>
          <w:szCs w:val="20"/>
          <w:lang w:val="es-ES_tradnl"/>
        </w:rPr>
        <w:footnoteRef/>
      </w:r>
      <w:r w:rsidR="005D6991">
        <w:rPr>
          <w:rFonts w:ascii="Arial" w:hAnsi="Arial"/>
          <w:sz w:val="20"/>
          <w:szCs w:val="20"/>
          <w:lang w:val="es-ES_tradnl"/>
        </w:rPr>
        <w:t xml:space="preserve">  </w:t>
      </w:r>
      <w:r w:rsidRPr="00ED4B3F">
        <w:rPr>
          <w:rFonts w:ascii="Arial" w:hAnsi="Arial"/>
          <w:sz w:val="20"/>
          <w:szCs w:val="20"/>
          <w:lang w:val="es-ES_tradnl"/>
        </w:rPr>
        <w:t xml:space="preserve">Se reportan </w:t>
      </w:r>
      <w:r w:rsidR="00B664AC" w:rsidRPr="00ED4B3F">
        <w:rPr>
          <w:rFonts w:ascii="Arial" w:hAnsi="Arial"/>
          <w:sz w:val="20"/>
          <w:szCs w:val="20"/>
          <w:lang w:val="es-ES_tradnl"/>
        </w:rPr>
        <w:t>únicamente</w:t>
      </w:r>
      <w:r w:rsidRPr="00ED4B3F">
        <w:rPr>
          <w:rFonts w:ascii="Arial" w:hAnsi="Arial"/>
          <w:sz w:val="20"/>
          <w:szCs w:val="20"/>
          <w:lang w:val="es-ES_tradnl"/>
        </w:rPr>
        <w:t xml:space="preserve"> las diferencias significativas al *p&lt;0.05. Los resultados para el dominio </w:t>
      </w:r>
      <w:r w:rsidRPr="00ED4B3F">
        <w:rPr>
          <w:rFonts w:ascii="Arial" w:hAnsi="Arial"/>
          <w:i/>
          <w:sz w:val="20"/>
          <w:szCs w:val="20"/>
          <w:lang w:val="es-ES_tradnl"/>
        </w:rPr>
        <w:t>resolución de problemas</w:t>
      </w:r>
      <w:r w:rsidRPr="00ED4B3F">
        <w:rPr>
          <w:rFonts w:ascii="Arial" w:hAnsi="Arial"/>
          <w:sz w:val="20"/>
          <w:szCs w:val="20"/>
          <w:lang w:val="es-ES_tradnl"/>
        </w:rPr>
        <w:t xml:space="preserve"> se reportan en la figura 1.</w:t>
      </w:r>
      <w:r w:rsidRPr="009134D5">
        <w:rPr>
          <w:rFonts w:ascii="Garamond" w:hAnsi="Garamond"/>
          <w:sz w:val="20"/>
          <w:szCs w:val="20"/>
          <w:lang w:val="es-ES_tradnl"/>
        </w:rPr>
        <w:t xml:space="preserve"> </w:t>
      </w:r>
      <w:bookmarkStart w:id="0" w:name="_GoBack"/>
      <w:bookmarkEnd w:id="0"/>
    </w:p>
  </w:footnote>
  <w:footnote w:id="3">
    <w:p w14:paraId="1761AE7F" w14:textId="77777777" w:rsidR="000D5F91" w:rsidRPr="004255A8" w:rsidRDefault="000D5F91" w:rsidP="002B23B7">
      <w:pPr>
        <w:rPr>
          <w:rFonts w:ascii="Garamond" w:hAnsi="Garamond"/>
          <w:b/>
          <w:sz w:val="20"/>
          <w:szCs w:val="20"/>
          <w:lang w:val="es-ES_tradnl"/>
        </w:rPr>
      </w:pPr>
    </w:p>
    <w:p w14:paraId="196FF36A" w14:textId="77777777" w:rsidR="000D5F91" w:rsidRPr="00DD793A" w:rsidRDefault="000D5F91" w:rsidP="002B23B7">
      <w:pPr>
        <w:pStyle w:val="FootnoteText"/>
        <w:rPr>
          <w:lang w:val="es-ES_tradnl"/>
        </w:rPr>
      </w:pPr>
    </w:p>
  </w:footnote>
  <w:footnote w:id="4">
    <w:p w14:paraId="76D9E29A" w14:textId="77777777" w:rsidR="000D5F91" w:rsidRPr="00ED4B3F" w:rsidRDefault="000D5F91" w:rsidP="0098488C">
      <w:pPr>
        <w:rPr>
          <w:rFonts w:ascii="Arial" w:hAnsi="Arial"/>
          <w:sz w:val="20"/>
          <w:szCs w:val="20"/>
          <w:lang w:val="es-ES_tradnl"/>
        </w:rPr>
      </w:pPr>
      <w:r w:rsidRPr="00ED4B3F">
        <w:rPr>
          <w:rStyle w:val="FootnoteReference"/>
          <w:rFonts w:ascii="Arial" w:hAnsi="Arial"/>
          <w:sz w:val="20"/>
          <w:szCs w:val="20"/>
        </w:rPr>
        <w:footnoteRef/>
      </w:r>
      <w:r w:rsidRPr="00ED4B3F">
        <w:rPr>
          <w:rFonts w:ascii="Arial" w:hAnsi="Arial"/>
          <w:sz w:val="20"/>
          <w:szCs w:val="20"/>
        </w:rPr>
        <w:t xml:space="preserve"> </w:t>
      </w:r>
      <w:r w:rsidRPr="00ED4B3F">
        <w:rPr>
          <w:rFonts w:ascii="Arial" w:hAnsi="Arial"/>
          <w:sz w:val="20"/>
          <w:szCs w:val="20"/>
          <w:lang w:val="es-ES_tradnl"/>
        </w:rPr>
        <w:t>Ibid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25DE"/>
    <w:multiLevelType w:val="hybridMultilevel"/>
    <w:tmpl w:val="5A6A1080"/>
    <w:lvl w:ilvl="0" w:tplc="82A216C2">
      <w:start w:val="3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10"/>
    <w:rsid w:val="000161DD"/>
    <w:rsid w:val="00022F7D"/>
    <w:rsid w:val="00023D99"/>
    <w:rsid w:val="00026518"/>
    <w:rsid w:val="00032DA0"/>
    <w:rsid w:val="00040AD6"/>
    <w:rsid w:val="00043FC7"/>
    <w:rsid w:val="00052090"/>
    <w:rsid w:val="0005527C"/>
    <w:rsid w:val="00055739"/>
    <w:rsid w:val="00064DA8"/>
    <w:rsid w:val="000657D5"/>
    <w:rsid w:val="00080838"/>
    <w:rsid w:val="0008750A"/>
    <w:rsid w:val="00090C83"/>
    <w:rsid w:val="00093B1A"/>
    <w:rsid w:val="000A632A"/>
    <w:rsid w:val="000B1BB9"/>
    <w:rsid w:val="000C3FDD"/>
    <w:rsid w:val="000C57EF"/>
    <w:rsid w:val="000C7F1E"/>
    <w:rsid w:val="000D5F91"/>
    <w:rsid w:val="000E04FD"/>
    <w:rsid w:val="000F0D10"/>
    <w:rsid w:val="00101B9D"/>
    <w:rsid w:val="00107B5B"/>
    <w:rsid w:val="0011057D"/>
    <w:rsid w:val="00121D55"/>
    <w:rsid w:val="00124147"/>
    <w:rsid w:val="00127353"/>
    <w:rsid w:val="00137CF7"/>
    <w:rsid w:val="0014238E"/>
    <w:rsid w:val="00147FC9"/>
    <w:rsid w:val="00150784"/>
    <w:rsid w:val="0016424A"/>
    <w:rsid w:val="001B1061"/>
    <w:rsid w:val="001B1EEE"/>
    <w:rsid w:val="001B23ED"/>
    <w:rsid w:val="001B3961"/>
    <w:rsid w:val="001B7313"/>
    <w:rsid w:val="001B765F"/>
    <w:rsid w:val="001C485E"/>
    <w:rsid w:val="001D226A"/>
    <w:rsid w:val="001E58C7"/>
    <w:rsid w:val="001E7C1D"/>
    <w:rsid w:val="00210C9B"/>
    <w:rsid w:val="00217957"/>
    <w:rsid w:val="00235477"/>
    <w:rsid w:val="00237C0D"/>
    <w:rsid w:val="00243951"/>
    <w:rsid w:val="0024486B"/>
    <w:rsid w:val="00275484"/>
    <w:rsid w:val="00275AF6"/>
    <w:rsid w:val="002834AE"/>
    <w:rsid w:val="002A00A4"/>
    <w:rsid w:val="002B23B7"/>
    <w:rsid w:val="002B3AB8"/>
    <w:rsid w:val="002C1411"/>
    <w:rsid w:val="002D587D"/>
    <w:rsid w:val="003008C2"/>
    <w:rsid w:val="0030146A"/>
    <w:rsid w:val="00362FE2"/>
    <w:rsid w:val="00372A32"/>
    <w:rsid w:val="00376574"/>
    <w:rsid w:val="003770FB"/>
    <w:rsid w:val="0039181C"/>
    <w:rsid w:val="003C5AFB"/>
    <w:rsid w:val="003D6B00"/>
    <w:rsid w:val="003D7622"/>
    <w:rsid w:val="003E1FAB"/>
    <w:rsid w:val="003E5732"/>
    <w:rsid w:val="003F566F"/>
    <w:rsid w:val="00402EC5"/>
    <w:rsid w:val="00403F53"/>
    <w:rsid w:val="004255A8"/>
    <w:rsid w:val="0042692D"/>
    <w:rsid w:val="004273BD"/>
    <w:rsid w:val="00427960"/>
    <w:rsid w:val="00453D67"/>
    <w:rsid w:val="004544B1"/>
    <w:rsid w:val="00454613"/>
    <w:rsid w:val="004745F3"/>
    <w:rsid w:val="00477052"/>
    <w:rsid w:val="00492E8D"/>
    <w:rsid w:val="004A19CB"/>
    <w:rsid w:val="004D630D"/>
    <w:rsid w:val="004E650C"/>
    <w:rsid w:val="004F53FD"/>
    <w:rsid w:val="00522825"/>
    <w:rsid w:val="005373CC"/>
    <w:rsid w:val="00540D50"/>
    <w:rsid w:val="00556D3F"/>
    <w:rsid w:val="00557EF9"/>
    <w:rsid w:val="00571156"/>
    <w:rsid w:val="005B59B3"/>
    <w:rsid w:val="005D6991"/>
    <w:rsid w:val="005E4E78"/>
    <w:rsid w:val="005F7D85"/>
    <w:rsid w:val="006017A6"/>
    <w:rsid w:val="00610B77"/>
    <w:rsid w:val="00612E6E"/>
    <w:rsid w:val="006267F9"/>
    <w:rsid w:val="00637D53"/>
    <w:rsid w:val="0064300B"/>
    <w:rsid w:val="00646A0E"/>
    <w:rsid w:val="00652F60"/>
    <w:rsid w:val="00680009"/>
    <w:rsid w:val="006919D0"/>
    <w:rsid w:val="006D5DE1"/>
    <w:rsid w:val="00725389"/>
    <w:rsid w:val="007333E7"/>
    <w:rsid w:val="00734228"/>
    <w:rsid w:val="0073539F"/>
    <w:rsid w:val="007570AD"/>
    <w:rsid w:val="007677E5"/>
    <w:rsid w:val="00781AA5"/>
    <w:rsid w:val="007B1695"/>
    <w:rsid w:val="007C1172"/>
    <w:rsid w:val="007D1839"/>
    <w:rsid w:val="007F1C06"/>
    <w:rsid w:val="00813360"/>
    <w:rsid w:val="008148AD"/>
    <w:rsid w:val="008370A9"/>
    <w:rsid w:val="00840C5F"/>
    <w:rsid w:val="00843867"/>
    <w:rsid w:val="00843A46"/>
    <w:rsid w:val="008470A0"/>
    <w:rsid w:val="008561B5"/>
    <w:rsid w:val="00886690"/>
    <w:rsid w:val="008E4026"/>
    <w:rsid w:val="0090788F"/>
    <w:rsid w:val="009134D5"/>
    <w:rsid w:val="00931214"/>
    <w:rsid w:val="00952011"/>
    <w:rsid w:val="00960363"/>
    <w:rsid w:val="00970FDF"/>
    <w:rsid w:val="009819E0"/>
    <w:rsid w:val="0098488C"/>
    <w:rsid w:val="00985D94"/>
    <w:rsid w:val="0099213B"/>
    <w:rsid w:val="009955ED"/>
    <w:rsid w:val="009A0EC2"/>
    <w:rsid w:val="009C2013"/>
    <w:rsid w:val="009C6E61"/>
    <w:rsid w:val="00A13A1B"/>
    <w:rsid w:val="00A153F7"/>
    <w:rsid w:val="00A33F25"/>
    <w:rsid w:val="00A54199"/>
    <w:rsid w:val="00A56A7A"/>
    <w:rsid w:val="00A623E2"/>
    <w:rsid w:val="00A63B73"/>
    <w:rsid w:val="00A87C98"/>
    <w:rsid w:val="00A906F5"/>
    <w:rsid w:val="00A97A0F"/>
    <w:rsid w:val="00AB1AD8"/>
    <w:rsid w:val="00AB7461"/>
    <w:rsid w:val="00AB7A07"/>
    <w:rsid w:val="00AC69B6"/>
    <w:rsid w:val="00AD280A"/>
    <w:rsid w:val="00AD63E5"/>
    <w:rsid w:val="00AE20D8"/>
    <w:rsid w:val="00AF7CBD"/>
    <w:rsid w:val="00B0092A"/>
    <w:rsid w:val="00B00DBB"/>
    <w:rsid w:val="00B011C9"/>
    <w:rsid w:val="00B11301"/>
    <w:rsid w:val="00B13C90"/>
    <w:rsid w:val="00B231CA"/>
    <w:rsid w:val="00B51468"/>
    <w:rsid w:val="00B664AC"/>
    <w:rsid w:val="00B773A5"/>
    <w:rsid w:val="00B92A4D"/>
    <w:rsid w:val="00BA17F3"/>
    <w:rsid w:val="00BC1771"/>
    <w:rsid w:val="00BC392F"/>
    <w:rsid w:val="00BC3F32"/>
    <w:rsid w:val="00BE0195"/>
    <w:rsid w:val="00BE6E10"/>
    <w:rsid w:val="00BE77A0"/>
    <w:rsid w:val="00C012EF"/>
    <w:rsid w:val="00C11952"/>
    <w:rsid w:val="00C124DD"/>
    <w:rsid w:val="00C25292"/>
    <w:rsid w:val="00C320A2"/>
    <w:rsid w:val="00C33664"/>
    <w:rsid w:val="00C60DAF"/>
    <w:rsid w:val="00C63394"/>
    <w:rsid w:val="00C70A3F"/>
    <w:rsid w:val="00C74AED"/>
    <w:rsid w:val="00CC34EA"/>
    <w:rsid w:val="00CC4DA3"/>
    <w:rsid w:val="00CD25DE"/>
    <w:rsid w:val="00CE7AFB"/>
    <w:rsid w:val="00CF0D66"/>
    <w:rsid w:val="00CF48E6"/>
    <w:rsid w:val="00D1629B"/>
    <w:rsid w:val="00D37974"/>
    <w:rsid w:val="00DA15C6"/>
    <w:rsid w:val="00DA3E30"/>
    <w:rsid w:val="00DA5575"/>
    <w:rsid w:val="00DB04F8"/>
    <w:rsid w:val="00DB554A"/>
    <w:rsid w:val="00DD387C"/>
    <w:rsid w:val="00DD793A"/>
    <w:rsid w:val="00DE1C6D"/>
    <w:rsid w:val="00DE5256"/>
    <w:rsid w:val="00DE6D36"/>
    <w:rsid w:val="00DF3975"/>
    <w:rsid w:val="00DF6F1F"/>
    <w:rsid w:val="00E367B6"/>
    <w:rsid w:val="00E50E6E"/>
    <w:rsid w:val="00E645B7"/>
    <w:rsid w:val="00E70886"/>
    <w:rsid w:val="00E80866"/>
    <w:rsid w:val="00E85D4E"/>
    <w:rsid w:val="00E93BE6"/>
    <w:rsid w:val="00EB4135"/>
    <w:rsid w:val="00EC2AD3"/>
    <w:rsid w:val="00ED4B3F"/>
    <w:rsid w:val="00EE6B1D"/>
    <w:rsid w:val="00F00FCE"/>
    <w:rsid w:val="00F04C31"/>
    <w:rsid w:val="00F3430B"/>
    <w:rsid w:val="00F60E77"/>
    <w:rsid w:val="00F63566"/>
    <w:rsid w:val="00F94386"/>
    <w:rsid w:val="00FA4B06"/>
    <w:rsid w:val="00FB2C2B"/>
    <w:rsid w:val="00FD4645"/>
    <w:rsid w:val="00FE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25CB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E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E10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90C83"/>
  </w:style>
  <w:style w:type="character" w:customStyle="1" w:styleId="FootnoteTextChar">
    <w:name w:val="Footnote Text Char"/>
    <w:basedOn w:val="DefaultParagraphFont"/>
    <w:link w:val="FootnoteText"/>
    <w:uiPriority w:val="99"/>
    <w:rsid w:val="00090C83"/>
  </w:style>
  <w:style w:type="character" w:styleId="FootnoteReference">
    <w:name w:val="footnote reference"/>
    <w:basedOn w:val="DefaultParagraphFont"/>
    <w:uiPriority w:val="99"/>
    <w:unhideWhenUsed/>
    <w:rsid w:val="00090C83"/>
    <w:rPr>
      <w:vertAlign w:val="superscript"/>
    </w:rPr>
  </w:style>
  <w:style w:type="paragraph" w:styleId="ListParagraph">
    <w:name w:val="List Paragraph"/>
    <w:basedOn w:val="Normal"/>
    <w:uiPriority w:val="34"/>
    <w:qFormat/>
    <w:rsid w:val="00BC17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E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E10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90C83"/>
  </w:style>
  <w:style w:type="character" w:customStyle="1" w:styleId="FootnoteTextChar">
    <w:name w:val="Footnote Text Char"/>
    <w:basedOn w:val="DefaultParagraphFont"/>
    <w:link w:val="FootnoteText"/>
    <w:uiPriority w:val="99"/>
    <w:rsid w:val="00090C83"/>
  </w:style>
  <w:style w:type="character" w:styleId="FootnoteReference">
    <w:name w:val="footnote reference"/>
    <w:basedOn w:val="DefaultParagraphFont"/>
    <w:uiPriority w:val="99"/>
    <w:unhideWhenUsed/>
    <w:rsid w:val="00090C83"/>
    <w:rPr>
      <w:vertAlign w:val="superscript"/>
    </w:rPr>
  </w:style>
  <w:style w:type="paragraph" w:styleId="ListParagraph">
    <w:name w:val="List Paragraph"/>
    <w:basedOn w:val="Normal"/>
    <w:uiPriority w:val="34"/>
    <w:qFormat/>
    <w:rsid w:val="00BC1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97539AEBFB7E6F4387C0787516276B97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97539AEBFB7E6F4387C0787516276B9700E0AB9563F067034FBB69C68989862347" ma:contentTypeVersion="0" ma:contentTypeDescription="The base project type from which other project content types inherit their information" ma:contentTypeScope="" ma:versionID="7d9eb8ec730679e8c79c6f06208fdce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eb9b545def1428ff1c87940f87bf14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5138a91267540169645e33d09c9ddc6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m555d3814edf4817b4410a4e57f94ce9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j8b96605ee2f4c4e988849e658583fee" minOccurs="0"/>
                <xsd:element ref="ns2:e559ffcc31d34167856647188be35015" minOccurs="0"/>
                <xsd:element ref="ns2:c456731dbc904a5fb605ec556c33e883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fd0e48b6a66848a9885f717e5bbf40c4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5138a91267540169645e33d09c9ddc6" ma:index="11" nillable="true" ma:taxonomy="true" ma:internalName="o5138a91267540169645e33d09c9ddc6" ma:taxonomyFieldName="Series_x0020_Operations_x0020_IDB" ma:displayName="Series Operations IDB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6859fe4-cb74-4340-bd92-214c2184d051}" ma:internalName="TaxCatchAll" ma:showField="CatchAllData" ma:web="ee3bda02-a093-425e-9ba3-a093fd0c28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6859fe4-cb74-4340-bd92-214c2184d051}" ma:internalName="TaxCatchAllLabel" ma:readOnly="true" ma:showField="CatchAllDataLabel" ma:web="ee3bda02-a093-425e-9ba3-a093fd0c28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m555d3814edf4817b4410a4e57f94ce9" ma:index="20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27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9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31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3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4" nillable="true" ma:displayName="Key Document" ma:default="0" ma:internalName="Key_x0020_Document">
      <xsd:simpleType>
        <xsd:restriction base="dms:Boolean"/>
      </xsd:simpleType>
    </xsd:element>
    <xsd:element name="Business_x0020_Area" ma:index="35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6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7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8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fd0e48b6a66848a9885f717e5bbf40c4" ma:index="39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1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2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Fiscal_x0020_Year_x0020_IDB" ma:index="44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 xsi:nil="true"/>
    <TaxCatchAll xmlns="9c571b2f-e523-4ab2-ba2e-09e151a03ef4"/>
    <Phase xmlns="9c571b2f-e523-4ab2-ba2e-09e151a03ef4" xsi:nil="true"/>
    <SISCOR_x0020_Number xmlns="9c571b2f-e523-4ab2-ba2e-09e151a03ef4" xsi:nil="true"/>
    <Division_x0020_or_x0020_Unit xmlns="9c571b2f-e523-4ab2-ba2e-09e151a03ef4" xsi:nil="true"/>
    <From_x003a_ xmlns="9c571b2f-e523-4ab2-ba2e-09e151a03ef4" xsi:nil="true"/>
    <o5138a91267540169645e33d09c9ddc6 xmlns="9c571b2f-e523-4ab2-ba2e-09e151a03ef4">
      <Terms xmlns="http://schemas.microsoft.com/office/infopath/2007/PartnerControls"/>
    </o5138a91267540169645e33d09c9ddc6>
    <Approval_x0020_Number xmlns="9c571b2f-e523-4ab2-ba2e-09e151a03ef4" xsi:nil="true"/>
    <Document_x0020_Author xmlns="9c571b2f-e523-4ab2-ba2e-09e151a03ef4" xsi:nil="true"/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=TEXT(TODAY(),"yyyy")</Fiscal_x0020_Year_x0020_IDB>
    <Other_x0020_Author xmlns="9c571b2f-e523-4ab2-ba2e-09e151a03ef4" xsi:nil="true"/>
    <To_x003a_ xmlns="9c571b2f-e523-4ab2-ba2e-09e151a03ef4" xsi:nil="true"/>
    <fd0e48b6a66848a9885f717e5bbf40c4 xmlns="9c571b2f-e523-4ab2-ba2e-09e151a03ef4">
      <Terms xmlns="http://schemas.microsoft.com/office/infopath/2007/PartnerControls"/>
    </fd0e48b6a66848a9885f717e5bbf40c4>
    <Project_x0020_Number xmlns="9c571b2f-e523-4ab2-ba2e-09e151a03ef4"/>
    <Access_x0020_to_x0020_Information_x00a0_Policy xmlns="9c571b2f-e523-4ab2-ba2e-09e151a03ef4">Confidential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 xsi:nil="true"/>
    <Operation_x0020_Type xmlns="9c571b2f-e523-4ab2-ba2e-09e151a03ef4" xsi:nil="true"/>
    <Document_x0020_Language_x0020_IDB xmlns="9c571b2f-e523-4ab2-ba2e-09e151a03ef4" xsi:nil="true"/>
    <Identifier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E247EA7A-72D2-40D6-B1A9-76AB2431084A}"/>
</file>

<file path=customXml/itemProps2.xml><?xml version="1.0" encoding="utf-8"?>
<ds:datastoreItem xmlns:ds="http://schemas.openxmlformats.org/officeDocument/2006/customXml" ds:itemID="{9C25E51E-A2EE-4779-B331-1803B0A61279}"/>
</file>

<file path=customXml/itemProps3.xml><?xml version="1.0" encoding="utf-8"?>
<ds:datastoreItem xmlns:ds="http://schemas.openxmlformats.org/officeDocument/2006/customXml" ds:itemID="{DF21D4D6-DC67-4767-98E9-AF4903443D58}"/>
</file>

<file path=customXml/itemProps4.xml><?xml version="1.0" encoding="utf-8"?>
<ds:datastoreItem xmlns:ds="http://schemas.openxmlformats.org/officeDocument/2006/customXml" ds:itemID="{3FDE1B37-ED30-4942-9529-D084A54FF0AD}"/>
</file>

<file path=customXml/itemProps5.xml><?xml version="1.0" encoding="utf-8"?>
<ds:datastoreItem xmlns:ds="http://schemas.openxmlformats.org/officeDocument/2006/customXml" ds:itemID="{269314F2-0B67-44B1-950A-89A9BEF229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311</Words>
  <Characters>1778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Dormal</dc:creator>
  <cp:lastModifiedBy>Test</cp:lastModifiedBy>
  <cp:revision>2</cp:revision>
  <cp:lastPrinted>2015-11-12T00:06:00Z</cp:lastPrinted>
  <dcterms:created xsi:type="dcterms:W3CDTF">2016-04-28T19:57:00Z</dcterms:created>
  <dcterms:modified xsi:type="dcterms:W3CDTF">2016-04-28T19:57:00Z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0x01010097539AEBFB7E6F4387C0787516276B9700E0AB9563F067034FBB69C68989862347</vt:lpwstr>
  </property>
  <property fmtid="{D5CDD505-2E9C-101B-9397-08002B2CF9AE}" pid="3" name="TaxKeyword">
    <vt:lpwstr/>
  </property>
  <property fmtid="{D5CDD505-2E9C-101B-9397-08002B2CF9AE}" pid="4" name="TaxKeywordTaxHTField">
    <vt:lpwstr/>
  </property>
</Properties>
</file>