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94B975" w14:textId="77777777" w:rsidR="007B14B2" w:rsidRDefault="0075744D" w:rsidP="00F3006B">
      <w:pPr>
        <w:jc w:val="center"/>
      </w:pPr>
      <w:bookmarkStart w:id="0" w:name="_GoBack"/>
      <w:bookmarkEnd w:id="0"/>
      <w:r>
        <w:rPr>
          <w:noProof/>
        </w:rPr>
        <w:drawing>
          <wp:inline distT="0" distB="0" distL="0" distR="0" wp14:anchorId="2D0FEFCD" wp14:editId="576F5A12">
            <wp:extent cx="571500" cy="695325"/>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1500" cy="695325"/>
                    </a:xfrm>
                    <a:prstGeom prst="rect">
                      <a:avLst/>
                    </a:prstGeom>
                    <a:noFill/>
                    <a:ln w="9525">
                      <a:noFill/>
                      <a:miter lim="800000"/>
                      <a:headEnd/>
                      <a:tailEnd/>
                    </a:ln>
                  </pic:spPr>
                </pic:pic>
              </a:graphicData>
            </a:graphic>
          </wp:inline>
        </w:drawing>
      </w:r>
    </w:p>
    <w:p w14:paraId="589B6D62" w14:textId="77777777" w:rsidR="00CF0266" w:rsidRPr="001120FC" w:rsidRDefault="00CF0266" w:rsidP="00454CDA">
      <w:pPr>
        <w:jc w:val="center"/>
        <w:rPr>
          <w:rFonts w:ascii="Arial" w:hAnsi="Arial" w:cs="Arial"/>
          <w:b/>
          <w:sz w:val="22"/>
          <w:szCs w:val="22"/>
        </w:rPr>
      </w:pPr>
      <w:r w:rsidRPr="001120FC">
        <w:rPr>
          <w:rFonts w:ascii="Arial" w:hAnsi="Arial" w:cs="Arial"/>
          <w:b/>
          <w:sz w:val="22"/>
          <w:szCs w:val="22"/>
        </w:rPr>
        <w:t>GOVERNO DO ESTADO DO PARÁ</w:t>
      </w:r>
    </w:p>
    <w:p w14:paraId="5DC02510" w14:textId="77777777" w:rsidR="00DF6707" w:rsidRPr="001120FC" w:rsidRDefault="00DF6707" w:rsidP="00454CDA">
      <w:pPr>
        <w:jc w:val="center"/>
        <w:rPr>
          <w:rFonts w:ascii="Arial" w:hAnsi="Arial" w:cs="Arial"/>
          <w:b/>
          <w:bCs/>
          <w:sz w:val="22"/>
          <w:szCs w:val="22"/>
        </w:rPr>
      </w:pPr>
      <w:r w:rsidRPr="001120FC">
        <w:rPr>
          <w:rFonts w:ascii="Arial" w:hAnsi="Arial" w:cs="Arial"/>
          <w:b/>
          <w:bCs/>
          <w:sz w:val="22"/>
          <w:szCs w:val="22"/>
        </w:rPr>
        <w:t>SECRETARIA DE ESTADO DA FAZENDA</w:t>
      </w:r>
    </w:p>
    <w:p w14:paraId="2F5AB633" w14:textId="77777777" w:rsidR="001120FC" w:rsidRDefault="001120FC" w:rsidP="001120FC">
      <w:pPr>
        <w:rPr>
          <w:rFonts w:cs="Arial"/>
          <w:b/>
          <w:bCs/>
          <w:sz w:val="22"/>
          <w:szCs w:val="22"/>
        </w:rPr>
      </w:pPr>
    </w:p>
    <w:p w14:paraId="460C7EC5" w14:textId="77777777" w:rsidR="00664DBE" w:rsidRDefault="00664DBE" w:rsidP="001120FC">
      <w:pPr>
        <w:rPr>
          <w:rFonts w:cs="Arial"/>
          <w:b/>
          <w:bCs/>
          <w:sz w:val="22"/>
          <w:szCs w:val="22"/>
        </w:rPr>
      </w:pPr>
    </w:p>
    <w:p w14:paraId="686826E7" w14:textId="77777777" w:rsidR="001120FC" w:rsidRDefault="001120FC" w:rsidP="001120FC">
      <w:pPr>
        <w:rPr>
          <w:rFonts w:cs="Arial"/>
          <w:b/>
          <w:bCs/>
          <w:sz w:val="22"/>
          <w:szCs w:val="22"/>
        </w:rPr>
      </w:pPr>
    </w:p>
    <w:p w14:paraId="7EA955DD" w14:textId="77777777" w:rsidR="001120FC" w:rsidRPr="00664DBE" w:rsidRDefault="001120FC" w:rsidP="00664DBE">
      <w:pPr>
        <w:jc w:val="both"/>
        <w:rPr>
          <w:rFonts w:cs="Arial"/>
          <w:b/>
          <w:bCs/>
          <w:sz w:val="22"/>
          <w:szCs w:val="22"/>
        </w:rPr>
      </w:pPr>
      <w:r w:rsidRPr="00664DBE">
        <w:rPr>
          <w:rFonts w:cs="Arial"/>
          <w:b/>
          <w:bCs/>
          <w:sz w:val="22"/>
          <w:szCs w:val="22"/>
        </w:rPr>
        <w:t>Instituição: Banco Interamericano de Desenvolvimento - BID</w:t>
      </w:r>
    </w:p>
    <w:p w14:paraId="414FF958" w14:textId="77777777" w:rsidR="001120FC" w:rsidRPr="00664DBE" w:rsidRDefault="001120FC" w:rsidP="00664DBE">
      <w:pPr>
        <w:jc w:val="both"/>
        <w:rPr>
          <w:rFonts w:cs="Arial"/>
          <w:b/>
          <w:bCs/>
          <w:sz w:val="22"/>
          <w:szCs w:val="22"/>
        </w:rPr>
      </w:pPr>
      <w:r w:rsidRPr="00664DBE">
        <w:rPr>
          <w:rFonts w:cs="Arial"/>
          <w:b/>
          <w:bCs/>
          <w:sz w:val="22"/>
          <w:szCs w:val="22"/>
        </w:rPr>
        <w:t>País: Brasil</w:t>
      </w:r>
    </w:p>
    <w:p w14:paraId="341D7AC3" w14:textId="77777777" w:rsidR="001120FC" w:rsidRPr="00664DBE" w:rsidRDefault="001120FC" w:rsidP="00664DBE">
      <w:pPr>
        <w:jc w:val="both"/>
        <w:rPr>
          <w:rFonts w:cs="Arial"/>
          <w:b/>
          <w:bCs/>
          <w:sz w:val="22"/>
          <w:szCs w:val="22"/>
        </w:rPr>
      </w:pPr>
      <w:r w:rsidRPr="00664DBE">
        <w:rPr>
          <w:rFonts w:cs="Arial"/>
          <w:b/>
          <w:bCs/>
          <w:sz w:val="22"/>
          <w:szCs w:val="22"/>
        </w:rPr>
        <w:t>Projeto: Projeto de Modernização da Gestão Fiscal do Estado do Pará - PROFISCO II</w:t>
      </w:r>
    </w:p>
    <w:p w14:paraId="69FB63DA" w14:textId="77777777" w:rsidR="001120FC" w:rsidRPr="00664DBE" w:rsidRDefault="001120FC" w:rsidP="00664DBE">
      <w:pPr>
        <w:jc w:val="both"/>
        <w:rPr>
          <w:rFonts w:cs="Arial"/>
          <w:b/>
          <w:bCs/>
          <w:sz w:val="22"/>
          <w:szCs w:val="22"/>
        </w:rPr>
      </w:pPr>
      <w:r w:rsidRPr="00664DBE">
        <w:rPr>
          <w:rFonts w:cs="Arial"/>
          <w:b/>
          <w:bCs/>
          <w:sz w:val="22"/>
          <w:szCs w:val="22"/>
        </w:rPr>
        <w:t>Setor: Unidade de Coordenação do Projeto de Modernização da Gestão Fiscal do Estado do Pará</w:t>
      </w:r>
    </w:p>
    <w:p w14:paraId="6C329A4E" w14:textId="77777777" w:rsidR="001120FC" w:rsidRPr="00664DBE" w:rsidRDefault="001120FC" w:rsidP="00664DBE">
      <w:pPr>
        <w:jc w:val="both"/>
        <w:rPr>
          <w:rFonts w:cs="Arial"/>
          <w:b/>
          <w:bCs/>
          <w:sz w:val="22"/>
          <w:szCs w:val="22"/>
        </w:rPr>
      </w:pPr>
      <w:r w:rsidRPr="00664DBE">
        <w:rPr>
          <w:rFonts w:cs="Arial"/>
          <w:b/>
          <w:bCs/>
          <w:sz w:val="22"/>
          <w:szCs w:val="22"/>
        </w:rPr>
        <w:t>Empréstimo/Crédito/Fundo Fiduciário Nº BR-L 1499</w:t>
      </w:r>
    </w:p>
    <w:p w14:paraId="6C5682B1" w14:textId="77777777" w:rsidR="001120FC" w:rsidRPr="00664DBE" w:rsidRDefault="001120FC" w:rsidP="00664DBE">
      <w:pPr>
        <w:jc w:val="both"/>
        <w:rPr>
          <w:rFonts w:cs="Arial"/>
          <w:b/>
          <w:bCs/>
          <w:sz w:val="22"/>
          <w:szCs w:val="22"/>
        </w:rPr>
      </w:pPr>
      <w:r w:rsidRPr="00664DBE">
        <w:rPr>
          <w:rFonts w:cs="Arial"/>
          <w:b/>
          <w:bCs/>
          <w:sz w:val="22"/>
          <w:szCs w:val="22"/>
        </w:rPr>
        <w:t>Contrato de Empréstimo e de Garantia Nº 4459/OC-BR</w:t>
      </w:r>
    </w:p>
    <w:p w14:paraId="4DE0B0EB" w14:textId="77777777" w:rsidR="001120FC" w:rsidRPr="00664DBE" w:rsidRDefault="001120FC" w:rsidP="00664DBE">
      <w:pPr>
        <w:rPr>
          <w:rFonts w:cs="Arial"/>
          <w:b/>
          <w:bCs/>
          <w:sz w:val="22"/>
          <w:szCs w:val="22"/>
        </w:rPr>
      </w:pPr>
    </w:p>
    <w:p w14:paraId="3FF00183" w14:textId="77777777" w:rsidR="001120FC" w:rsidRDefault="001120FC" w:rsidP="00664DBE">
      <w:pPr>
        <w:rPr>
          <w:rFonts w:cs="Arial"/>
          <w:b/>
          <w:bCs/>
          <w:sz w:val="22"/>
          <w:szCs w:val="22"/>
        </w:rPr>
      </w:pPr>
    </w:p>
    <w:p w14:paraId="7576C5C5" w14:textId="77777777" w:rsidR="00664DBE" w:rsidRPr="00664DBE" w:rsidRDefault="00664DBE" w:rsidP="00664DBE">
      <w:pPr>
        <w:rPr>
          <w:rFonts w:cs="Arial"/>
          <w:b/>
          <w:bCs/>
          <w:sz w:val="22"/>
          <w:szCs w:val="22"/>
        </w:rPr>
      </w:pPr>
    </w:p>
    <w:p w14:paraId="688E05D5" w14:textId="77777777" w:rsidR="00297880" w:rsidRPr="00664DBE" w:rsidRDefault="00297880" w:rsidP="00664DBE">
      <w:pPr>
        <w:jc w:val="both"/>
        <w:rPr>
          <w:rFonts w:cs="Arial"/>
          <w:bCs/>
          <w:sz w:val="22"/>
          <w:szCs w:val="22"/>
        </w:rPr>
      </w:pPr>
      <w:r w:rsidRPr="00664DBE">
        <w:rPr>
          <w:rFonts w:cs="Arial"/>
          <w:bCs/>
          <w:sz w:val="22"/>
          <w:szCs w:val="22"/>
        </w:rPr>
        <w:t>O Estado do Pará recebeu um financiamento de um montante equivalente a US$ 35,100.000.00 do Banco Interamericano de Desenvolvimento - BID, e se prop</w:t>
      </w:r>
      <w:r w:rsidR="00A90AE2" w:rsidRPr="00664DBE">
        <w:rPr>
          <w:rFonts w:cs="Arial"/>
          <w:bCs/>
          <w:sz w:val="22"/>
          <w:szCs w:val="22"/>
        </w:rPr>
        <w:t>õ</w:t>
      </w:r>
      <w:r w:rsidRPr="00664DBE">
        <w:rPr>
          <w:rFonts w:cs="Arial"/>
          <w:bCs/>
          <w:sz w:val="22"/>
          <w:szCs w:val="22"/>
        </w:rPr>
        <w:t>e a utilizar os fundos para pagamento de bens, obras, serviços, serviços de consultoria a serem adquiridos pelo Projeto de Modernização da Gestão Fiscal do Estado do Pará. As aquisições serão efetuadas conforme as regras e procedimentos de elegibilidade do Bando Interamericano de Desenvolvimento - BID.</w:t>
      </w:r>
    </w:p>
    <w:p w14:paraId="2B82B28B" w14:textId="77777777" w:rsidR="00297880" w:rsidRPr="00664DBE" w:rsidRDefault="00297880" w:rsidP="00664DBE">
      <w:pPr>
        <w:rPr>
          <w:rFonts w:cs="Arial"/>
          <w:b/>
          <w:bCs/>
          <w:sz w:val="22"/>
          <w:szCs w:val="22"/>
        </w:rPr>
      </w:pPr>
    </w:p>
    <w:p w14:paraId="50084321" w14:textId="77777777" w:rsidR="00297880" w:rsidRDefault="00297880" w:rsidP="00664DBE">
      <w:pPr>
        <w:rPr>
          <w:rFonts w:cs="Arial"/>
          <w:b/>
          <w:bCs/>
          <w:sz w:val="22"/>
          <w:szCs w:val="22"/>
        </w:rPr>
      </w:pPr>
    </w:p>
    <w:p w14:paraId="68043183" w14:textId="77777777" w:rsidR="00664DBE" w:rsidRPr="00664DBE" w:rsidRDefault="00664DBE" w:rsidP="00664DBE">
      <w:pPr>
        <w:rPr>
          <w:rFonts w:cs="Arial"/>
          <w:b/>
          <w:bCs/>
          <w:sz w:val="22"/>
          <w:szCs w:val="22"/>
        </w:rPr>
      </w:pPr>
    </w:p>
    <w:p w14:paraId="03EC5758" w14:textId="77777777" w:rsidR="00297880" w:rsidRPr="00664DBE" w:rsidRDefault="00297880" w:rsidP="00664DBE">
      <w:pPr>
        <w:jc w:val="center"/>
        <w:rPr>
          <w:b/>
          <w:noProof/>
          <w:sz w:val="22"/>
          <w:szCs w:val="22"/>
        </w:rPr>
      </w:pPr>
      <w:r w:rsidRPr="00664DBE">
        <w:rPr>
          <w:b/>
          <w:noProof/>
          <w:sz w:val="22"/>
          <w:szCs w:val="22"/>
        </w:rPr>
        <w:t xml:space="preserve">Projeto de Modernização da Gestão Fiscal do Estado do Pará </w:t>
      </w:r>
    </w:p>
    <w:p w14:paraId="1CDF7BE6" w14:textId="77777777" w:rsidR="00297880" w:rsidRPr="00664DBE" w:rsidRDefault="00297880" w:rsidP="00664DBE">
      <w:pPr>
        <w:jc w:val="center"/>
        <w:rPr>
          <w:b/>
          <w:noProof/>
          <w:sz w:val="22"/>
          <w:szCs w:val="22"/>
        </w:rPr>
      </w:pPr>
    </w:p>
    <w:p w14:paraId="44A0F17C" w14:textId="77777777" w:rsidR="00297880" w:rsidRPr="00664DBE" w:rsidRDefault="00297880" w:rsidP="00664DBE">
      <w:pPr>
        <w:jc w:val="center"/>
        <w:rPr>
          <w:b/>
          <w:noProof/>
          <w:sz w:val="22"/>
          <w:szCs w:val="22"/>
        </w:rPr>
      </w:pPr>
    </w:p>
    <w:p w14:paraId="6D5CEE19" w14:textId="77777777" w:rsidR="00297880" w:rsidRPr="00664DBE" w:rsidRDefault="00297880" w:rsidP="00664DBE">
      <w:pPr>
        <w:tabs>
          <w:tab w:val="left" w:pos="-1440"/>
        </w:tabs>
        <w:jc w:val="both"/>
        <w:rPr>
          <w:noProof/>
          <w:sz w:val="22"/>
          <w:szCs w:val="22"/>
        </w:rPr>
      </w:pPr>
      <w:r w:rsidRPr="00664DBE">
        <w:rPr>
          <w:b/>
          <w:noProof/>
          <w:sz w:val="22"/>
          <w:szCs w:val="22"/>
        </w:rPr>
        <w:t>I.</w:t>
      </w:r>
      <w:r w:rsidRPr="00664DBE">
        <w:rPr>
          <w:b/>
          <w:noProof/>
          <w:sz w:val="22"/>
          <w:szCs w:val="22"/>
        </w:rPr>
        <w:tab/>
      </w:r>
      <w:r w:rsidRPr="00664DBE">
        <w:rPr>
          <w:b/>
          <w:noProof/>
          <w:sz w:val="22"/>
          <w:szCs w:val="22"/>
          <w:u w:val="single"/>
        </w:rPr>
        <w:t>Objetivo</w:t>
      </w:r>
    </w:p>
    <w:p w14:paraId="21271CEF" w14:textId="77777777" w:rsidR="00297880" w:rsidRPr="00664DBE" w:rsidRDefault="00297880" w:rsidP="00664DBE">
      <w:pPr>
        <w:jc w:val="both"/>
        <w:rPr>
          <w:noProof/>
          <w:sz w:val="22"/>
          <w:szCs w:val="22"/>
        </w:rPr>
      </w:pPr>
    </w:p>
    <w:p w14:paraId="748DCD5F" w14:textId="77777777" w:rsidR="00297880" w:rsidRPr="00664DBE" w:rsidRDefault="00297880" w:rsidP="00664DBE">
      <w:pPr>
        <w:widowControl w:val="0"/>
        <w:numPr>
          <w:ilvl w:val="1"/>
          <w:numId w:val="1"/>
        </w:numPr>
        <w:ind w:left="720" w:hanging="720"/>
        <w:jc w:val="both"/>
        <w:rPr>
          <w:noProof/>
          <w:sz w:val="22"/>
          <w:szCs w:val="22"/>
        </w:rPr>
      </w:pPr>
      <w:r w:rsidRPr="00664DBE">
        <w:rPr>
          <w:noProof/>
          <w:sz w:val="22"/>
          <w:szCs w:val="22"/>
        </w:rPr>
        <w:t>O objetivo do Projeto é contribuir para a sustentabilidade fiscal do Estado por meio: (i) da modernização da gestão fazendária; (ii)  da melhoria da administração tributária;  e (iii) da melhoria da gestão do gasto público.</w:t>
      </w:r>
      <w:r w:rsidRPr="00664DBE">
        <w:rPr>
          <w:rFonts w:eastAsia="Arial" w:cs="Arial"/>
          <w:color w:val="000000"/>
          <w:sz w:val="22"/>
          <w:szCs w:val="22"/>
        </w:rPr>
        <w:t xml:space="preserve"> </w:t>
      </w:r>
    </w:p>
    <w:p w14:paraId="7F0C9976" w14:textId="77777777" w:rsidR="00297880" w:rsidRPr="00664DBE" w:rsidRDefault="00297880" w:rsidP="00664DBE">
      <w:pPr>
        <w:ind w:left="720"/>
        <w:jc w:val="both"/>
        <w:rPr>
          <w:noProof/>
          <w:sz w:val="22"/>
          <w:szCs w:val="22"/>
        </w:rPr>
      </w:pPr>
    </w:p>
    <w:p w14:paraId="2168500F" w14:textId="77777777" w:rsidR="00297880" w:rsidRPr="00664DBE" w:rsidRDefault="00297880" w:rsidP="00664DBE">
      <w:pPr>
        <w:tabs>
          <w:tab w:val="left" w:pos="-1440"/>
        </w:tabs>
        <w:jc w:val="both"/>
        <w:rPr>
          <w:noProof/>
          <w:sz w:val="22"/>
          <w:szCs w:val="22"/>
        </w:rPr>
      </w:pPr>
      <w:r w:rsidRPr="00664DBE">
        <w:rPr>
          <w:b/>
          <w:noProof/>
          <w:sz w:val="22"/>
          <w:szCs w:val="22"/>
        </w:rPr>
        <w:t>II.</w:t>
      </w:r>
      <w:r w:rsidRPr="00664DBE">
        <w:rPr>
          <w:b/>
          <w:noProof/>
          <w:sz w:val="22"/>
          <w:szCs w:val="22"/>
        </w:rPr>
        <w:tab/>
      </w:r>
      <w:r w:rsidRPr="00664DBE">
        <w:rPr>
          <w:b/>
          <w:noProof/>
          <w:sz w:val="22"/>
          <w:szCs w:val="22"/>
          <w:u w:val="single"/>
        </w:rPr>
        <w:t>Descrição</w:t>
      </w:r>
    </w:p>
    <w:p w14:paraId="39D42398" w14:textId="77777777" w:rsidR="00297880" w:rsidRPr="00664DBE" w:rsidRDefault="00297880" w:rsidP="00664DBE">
      <w:pPr>
        <w:jc w:val="both"/>
        <w:rPr>
          <w:noProof/>
          <w:sz w:val="22"/>
          <w:szCs w:val="22"/>
        </w:rPr>
      </w:pPr>
    </w:p>
    <w:p w14:paraId="1A665763" w14:textId="77777777" w:rsidR="00297880" w:rsidRPr="00664DBE" w:rsidRDefault="00297880" w:rsidP="00664DBE">
      <w:pPr>
        <w:ind w:left="720" w:hanging="720"/>
        <w:jc w:val="both"/>
        <w:rPr>
          <w:b/>
          <w:noProof/>
          <w:sz w:val="22"/>
          <w:szCs w:val="22"/>
        </w:rPr>
      </w:pPr>
      <w:r w:rsidRPr="00664DBE">
        <w:rPr>
          <w:b/>
          <w:noProof/>
          <w:sz w:val="22"/>
          <w:szCs w:val="22"/>
        </w:rPr>
        <w:t>2.01</w:t>
      </w:r>
      <w:r w:rsidRPr="00664DBE">
        <w:rPr>
          <w:b/>
          <w:noProof/>
          <w:sz w:val="22"/>
          <w:szCs w:val="22"/>
        </w:rPr>
        <w:tab/>
      </w:r>
      <w:r w:rsidRPr="00664DBE">
        <w:rPr>
          <w:noProof/>
          <w:sz w:val="22"/>
          <w:szCs w:val="22"/>
        </w:rPr>
        <w:t>Para atingir o objetivo indicado no parágrafo 1.01, o Projeto</w:t>
      </w:r>
      <w:r w:rsidRPr="00664DBE">
        <w:rPr>
          <w:sz w:val="22"/>
          <w:szCs w:val="22"/>
        </w:rPr>
        <w:t xml:space="preserve"> </w:t>
      </w:r>
      <w:r w:rsidRPr="00664DBE">
        <w:rPr>
          <w:noProof/>
          <w:sz w:val="22"/>
          <w:szCs w:val="22"/>
        </w:rPr>
        <w:t>financiará atividades em torno dos seguintes componentes:</w:t>
      </w:r>
    </w:p>
    <w:p w14:paraId="63332A48" w14:textId="77777777" w:rsidR="00297880" w:rsidRPr="00664DBE" w:rsidRDefault="00297880" w:rsidP="00664DBE">
      <w:pPr>
        <w:ind w:left="720" w:hanging="720"/>
        <w:jc w:val="both"/>
        <w:rPr>
          <w:b/>
          <w:noProof/>
          <w:sz w:val="22"/>
          <w:szCs w:val="22"/>
        </w:rPr>
      </w:pPr>
    </w:p>
    <w:p w14:paraId="3CEA0AA3" w14:textId="77777777" w:rsidR="00297880" w:rsidRPr="00664DBE" w:rsidRDefault="00297880" w:rsidP="00664DBE">
      <w:pPr>
        <w:ind w:left="720" w:hanging="720"/>
        <w:jc w:val="both"/>
        <w:rPr>
          <w:b/>
          <w:noProof/>
          <w:sz w:val="22"/>
          <w:szCs w:val="22"/>
        </w:rPr>
      </w:pPr>
      <w:r w:rsidRPr="00664DBE">
        <w:rPr>
          <w:b/>
          <w:noProof/>
          <w:sz w:val="22"/>
          <w:szCs w:val="22"/>
        </w:rPr>
        <w:tab/>
        <w:t>Componente I. Gestão fazendária e transparência fiscal</w:t>
      </w:r>
    </w:p>
    <w:p w14:paraId="79A6DA11" w14:textId="77777777" w:rsidR="00297880" w:rsidRPr="00664DBE" w:rsidRDefault="00297880" w:rsidP="00664DBE">
      <w:pPr>
        <w:ind w:left="720" w:hanging="720"/>
        <w:jc w:val="both"/>
        <w:rPr>
          <w:b/>
          <w:noProof/>
          <w:sz w:val="22"/>
          <w:szCs w:val="22"/>
        </w:rPr>
      </w:pPr>
    </w:p>
    <w:p w14:paraId="1108A9A0" w14:textId="77777777" w:rsidR="00297880" w:rsidRPr="00664DBE" w:rsidRDefault="00297880" w:rsidP="00664DBE">
      <w:pPr>
        <w:ind w:left="720" w:hanging="720"/>
        <w:jc w:val="both"/>
        <w:rPr>
          <w:noProof/>
          <w:sz w:val="22"/>
          <w:szCs w:val="22"/>
        </w:rPr>
      </w:pPr>
      <w:r w:rsidRPr="00664DBE">
        <w:rPr>
          <w:b/>
          <w:noProof/>
          <w:sz w:val="22"/>
          <w:szCs w:val="22"/>
        </w:rPr>
        <w:t>2.02</w:t>
      </w:r>
      <w:r w:rsidRPr="00664DBE">
        <w:rPr>
          <w:b/>
          <w:noProof/>
          <w:sz w:val="22"/>
          <w:szCs w:val="22"/>
        </w:rPr>
        <w:tab/>
      </w:r>
      <w:r w:rsidRPr="00664DBE">
        <w:rPr>
          <w:noProof/>
          <w:sz w:val="22"/>
          <w:szCs w:val="22"/>
        </w:rPr>
        <w:t>Este componente tem como objetivo melhorar os instrumentos de gestão, modernizar a infraestrutura tecnológica e a relação do fisco com os contribuintes, e financiará:</w:t>
      </w:r>
    </w:p>
    <w:p w14:paraId="146024E3" w14:textId="77777777" w:rsidR="00297880" w:rsidRPr="00664DBE" w:rsidRDefault="00297880" w:rsidP="00664DBE">
      <w:pPr>
        <w:ind w:left="720" w:hanging="720"/>
        <w:jc w:val="both"/>
        <w:rPr>
          <w:noProof/>
          <w:sz w:val="22"/>
          <w:szCs w:val="22"/>
        </w:rPr>
      </w:pPr>
    </w:p>
    <w:p w14:paraId="4773D010" w14:textId="77777777" w:rsidR="00297880" w:rsidRPr="00664DBE" w:rsidRDefault="00297880" w:rsidP="00664DBE">
      <w:pPr>
        <w:pStyle w:val="subpar"/>
        <w:tabs>
          <w:tab w:val="clear" w:pos="2304"/>
          <w:tab w:val="num" w:pos="1170"/>
        </w:tabs>
        <w:spacing w:before="0" w:after="0"/>
        <w:ind w:left="1170"/>
        <w:rPr>
          <w:rFonts w:ascii="Verdana" w:hAnsi="Verdana"/>
          <w:noProof/>
          <w:snapToGrid w:val="0"/>
          <w:sz w:val="22"/>
          <w:szCs w:val="22"/>
          <w:lang w:val="pt-BR"/>
        </w:rPr>
      </w:pPr>
      <w:r w:rsidRPr="00664DBE">
        <w:rPr>
          <w:rFonts w:ascii="Verdana" w:hAnsi="Verdana"/>
          <w:b/>
          <w:snapToGrid w:val="0"/>
          <w:sz w:val="22"/>
          <w:szCs w:val="22"/>
          <w:lang w:val="pt-BR"/>
        </w:rPr>
        <w:t>Fortalecimento da governança pública fazendária</w:t>
      </w:r>
      <w:r w:rsidRPr="00664DBE">
        <w:rPr>
          <w:rFonts w:ascii="Verdana" w:hAnsi="Verdana"/>
          <w:snapToGrid w:val="0"/>
          <w:sz w:val="22"/>
          <w:szCs w:val="22"/>
          <w:lang w:val="pt-BR"/>
        </w:rPr>
        <w:t>. Por meio de: (i) implantação de rede de governança que integra a gestão estratégica da Secretaria de Estado da Fazenda (SEFA) com outros órgãos do Estado; (</w:t>
      </w:r>
      <w:proofErr w:type="spellStart"/>
      <w:r w:rsidRPr="00664DBE">
        <w:rPr>
          <w:rFonts w:ascii="Verdana" w:hAnsi="Verdana"/>
          <w:snapToGrid w:val="0"/>
          <w:sz w:val="22"/>
          <w:szCs w:val="22"/>
          <w:lang w:val="pt-BR"/>
        </w:rPr>
        <w:t>ii</w:t>
      </w:r>
      <w:proofErr w:type="spellEnd"/>
      <w:r w:rsidRPr="00664DBE">
        <w:rPr>
          <w:rFonts w:ascii="Verdana" w:hAnsi="Verdana"/>
          <w:snapToGrid w:val="0"/>
          <w:sz w:val="22"/>
          <w:szCs w:val="22"/>
          <w:lang w:val="pt-BR"/>
        </w:rPr>
        <w:t>) nova estrutura organizacional da SEFA; (</w:t>
      </w:r>
      <w:proofErr w:type="spellStart"/>
      <w:r w:rsidRPr="00664DBE">
        <w:rPr>
          <w:rFonts w:ascii="Verdana" w:hAnsi="Verdana"/>
          <w:snapToGrid w:val="0"/>
          <w:sz w:val="22"/>
          <w:szCs w:val="22"/>
          <w:lang w:val="pt-BR"/>
        </w:rPr>
        <w:t>iii</w:t>
      </w:r>
      <w:proofErr w:type="spellEnd"/>
      <w:r w:rsidRPr="00664DBE">
        <w:rPr>
          <w:rFonts w:ascii="Verdana" w:hAnsi="Verdana"/>
          <w:snapToGrid w:val="0"/>
          <w:sz w:val="22"/>
          <w:szCs w:val="22"/>
          <w:lang w:val="pt-BR"/>
        </w:rPr>
        <w:t xml:space="preserve">) novos procedimentos de </w:t>
      </w:r>
      <w:r w:rsidRPr="00664DBE">
        <w:rPr>
          <w:rFonts w:ascii="Verdana" w:hAnsi="Verdana"/>
          <w:snapToGrid w:val="0"/>
          <w:sz w:val="22"/>
          <w:szCs w:val="22"/>
          <w:lang w:val="pt-BR"/>
        </w:rPr>
        <w:lastRenderedPageBreak/>
        <w:t>controle interno e disciplinar com base na análise de risco; e (</w:t>
      </w:r>
      <w:proofErr w:type="spellStart"/>
      <w:r w:rsidRPr="00664DBE">
        <w:rPr>
          <w:rFonts w:ascii="Verdana" w:hAnsi="Verdana"/>
          <w:snapToGrid w:val="0"/>
          <w:sz w:val="22"/>
          <w:szCs w:val="22"/>
          <w:lang w:val="pt-BR"/>
        </w:rPr>
        <w:t>iv</w:t>
      </w:r>
      <w:proofErr w:type="spellEnd"/>
      <w:r w:rsidRPr="00664DBE">
        <w:rPr>
          <w:rFonts w:ascii="Verdana" w:hAnsi="Verdana"/>
          <w:snapToGrid w:val="0"/>
          <w:sz w:val="22"/>
          <w:szCs w:val="22"/>
          <w:lang w:val="pt-BR"/>
        </w:rPr>
        <w:t>) desenvolvimento de normas e diretrizes para o gerenciamento de TIC</w:t>
      </w:r>
      <w:r w:rsidRPr="00664DBE">
        <w:rPr>
          <w:rFonts w:ascii="Verdana" w:hAnsi="Verdana"/>
          <w:noProof/>
          <w:snapToGrid w:val="0"/>
          <w:sz w:val="22"/>
          <w:szCs w:val="22"/>
          <w:lang w:val="pt-BR"/>
        </w:rPr>
        <w:t>.</w:t>
      </w:r>
    </w:p>
    <w:p w14:paraId="4101C71C" w14:textId="77777777" w:rsidR="00297880" w:rsidRPr="00664DBE" w:rsidRDefault="00297880" w:rsidP="00664DBE">
      <w:pPr>
        <w:pStyle w:val="subpar"/>
        <w:numPr>
          <w:ilvl w:val="0"/>
          <w:numId w:val="0"/>
        </w:numPr>
        <w:spacing w:before="0" w:after="0"/>
        <w:ind w:left="1170"/>
        <w:rPr>
          <w:rFonts w:ascii="Verdana" w:hAnsi="Verdana"/>
          <w:noProof/>
          <w:snapToGrid w:val="0"/>
          <w:sz w:val="22"/>
          <w:szCs w:val="22"/>
          <w:lang w:val="pt-BR"/>
        </w:rPr>
      </w:pPr>
    </w:p>
    <w:p w14:paraId="7C405A14" w14:textId="77777777" w:rsidR="00297880" w:rsidRPr="00664DBE" w:rsidRDefault="00297880" w:rsidP="00664DBE">
      <w:pPr>
        <w:pStyle w:val="subpar"/>
        <w:tabs>
          <w:tab w:val="clear" w:pos="2304"/>
          <w:tab w:val="num" w:pos="1170"/>
        </w:tabs>
        <w:spacing w:before="0" w:after="0"/>
        <w:ind w:left="1170"/>
        <w:rPr>
          <w:rFonts w:ascii="Verdana" w:hAnsi="Verdana"/>
          <w:noProof/>
          <w:snapToGrid w:val="0"/>
          <w:sz w:val="22"/>
          <w:szCs w:val="22"/>
          <w:lang w:val="pt-BR"/>
        </w:rPr>
      </w:pPr>
      <w:r w:rsidRPr="00664DBE">
        <w:rPr>
          <w:rFonts w:ascii="Verdana" w:hAnsi="Verdana"/>
          <w:b/>
          <w:snapToGrid w:val="0"/>
          <w:sz w:val="22"/>
          <w:szCs w:val="22"/>
          <w:lang w:val="pt-BR"/>
        </w:rPr>
        <w:t>Implantação da gestão estratégica fazendária</w:t>
      </w:r>
      <w:r w:rsidRPr="00664DBE">
        <w:rPr>
          <w:rFonts w:ascii="Verdana" w:hAnsi="Verdana"/>
          <w:snapToGrid w:val="0"/>
          <w:sz w:val="22"/>
          <w:szCs w:val="22"/>
          <w:lang w:val="pt-BR"/>
        </w:rPr>
        <w:t>. Por meio de: (i) novos procedimentos de planejamento e gestão orientados a resultados; (</w:t>
      </w:r>
      <w:proofErr w:type="spellStart"/>
      <w:r w:rsidRPr="00664DBE">
        <w:rPr>
          <w:rFonts w:ascii="Verdana" w:hAnsi="Verdana"/>
          <w:snapToGrid w:val="0"/>
          <w:sz w:val="22"/>
          <w:szCs w:val="22"/>
          <w:lang w:val="pt-BR"/>
        </w:rPr>
        <w:t>ii</w:t>
      </w:r>
      <w:proofErr w:type="spellEnd"/>
      <w:r w:rsidRPr="00664DBE">
        <w:rPr>
          <w:rFonts w:ascii="Verdana" w:hAnsi="Verdana"/>
          <w:snapToGrid w:val="0"/>
          <w:sz w:val="22"/>
          <w:szCs w:val="22"/>
          <w:lang w:val="pt-BR"/>
        </w:rPr>
        <w:t>) redesenho dos principais processos estratégicos da gestão fazendária; (</w:t>
      </w:r>
      <w:proofErr w:type="spellStart"/>
      <w:r w:rsidRPr="00664DBE">
        <w:rPr>
          <w:rFonts w:ascii="Verdana" w:hAnsi="Verdana"/>
          <w:snapToGrid w:val="0"/>
          <w:sz w:val="22"/>
          <w:szCs w:val="22"/>
          <w:lang w:val="pt-BR"/>
        </w:rPr>
        <w:t>iii</w:t>
      </w:r>
      <w:proofErr w:type="spellEnd"/>
      <w:r w:rsidRPr="00664DBE">
        <w:rPr>
          <w:rFonts w:ascii="Verdana" w:hAnsi="Verdana"/>
          <w:snapToGrid w:val="0"/>
          <w:sz w:val="22"/>
          <w:szCs w:val="22"/>
          <w:lang w:val="pt-BR"/>
        </w:rPr>
        <w:t>) criação de escritórios de processos e projetos; e (</w:t>
      </w:r>
      <w:proofErr w:type="spellStart"/>
      <w:r w:rsidRPr="00664DBE">
        <w:rPr>
          <w:rFonts w:ascii="Verdana" w:hAnsi="Verdana"/>
          <w:snapToGrid w:val="0"/>
          <w:sz w:val="22"/>
          <w:szCs w:val="22"/>
          <w:lang w:val="pt-BR"/>
        </w:rPr>
        <w:t>iv</w:t>
      </w:r>
      <w:proofErr w:type="spellEnd"/>
      <w:r w:rsidRPr="00664DBE">
        <w:rPr>
          <w:rFonts w:ascii="Verdana" w:hAnsi="Verdana"/>
          <w:snapToGrid w:val="0"/>
          <w:sz w:val="22"/>
          <w:szCs w:val="22"/>
          <w:lang w:val="pt-BR"/>
        </w:rPr>
        <w:t>) procedimentos para programação, preparação, execução e avaliação de projetos</w:t>
      </w:r>
      <w:r w:rsidRPr="00664DBE">
        <w:rPr>
          <w:rFonts w:ascii="Verdana" w:hAnsi="Verdana"/>
          <w:noProof/>
          <w:snapToGrid w:val="0"/>
          <w:sz w:val="22"/>
          <w:szCs w:val="22"/>
          <w:lang w:val="pt-BR"/>
        </w:rPr>
        <w:t>.</w:t>
      </w:r>
    </w:p>
    <w:p w14:paraId="4BCCBA75" w14:textId="77777777" w:rsidR="00297880" w:rsidRPr="00664DBE" w:rsidRDefault="00297880" w:rsidP="00664DBE">
      <w:pPr>
        <w:pStyle w:val="subpar"/>
        <w:numPr>
          <w:ilvl w:val="0"/>
          <w:numId w:val="0"/>
        </w:numPr>
        <w:spacing w:before="0" w:after="0"/>
        <w:ind w:left="1170"/>
        <w:rPr>
          <w:rFonts w:ascii="Verdana" w:hAnsi="Verdana"/>
          <w:noProof/>
          <w:snapToGrid w:val="0"/>
          <w:sz w:val="22"/>
          <w:szCs w:val="22"/>
          <w:lang w:val="pt-BR"/>
        </w:rPr>
      </w:pPr>
    </w:p>
    <w:p w14:paraId="081A0AD3" w14:textId="77777777" w:rsidR="00297880" w:rsidRPr="00664DBE" w:rsidRDefault="00297880" w:rsidP="00664DBE">
      <w:pPr>
        <w:pStyle w:val="subpar"/>
        <w:tabs>
          <w:tab w:val="clear" w:pos="2304"/>
          <w:tab w:val="num" w:pos="1170"/>
        </w:tabs>
        <w:spacing w:before="0" w:after="0"/>
        <w:ind w:left="1170"/>
        <w:rPr>
          <w:rFonts w:ascii="Verdana" w:hAnsi="Verdana"/>
          <w:noProof/>
          <w:snapToGrid w:val="0"/>
          <w:sz w:val="22"/>
          <w:szCs w:val="22"/>
          <w:lang w:val="pt-BR"/>
        </w:rPr>
      </w:pPr>
      <w:r w:rsidRPr="00664DBE">
        <w:rPr>
          <w:rFonts w:ascii="Verdana" w:hAnsi="Verdana"/>
          <w:b/>
          <w:snapToGrid w:val="0"/>
          <w:sz w:val="22"/>
          <w:szCs w:val="22"/>
          <w:lang w:val="pt-BR"/>
        </w:rPr>
        <w:t>Implantação da gestão de pessoas por competências.</w:t>
      </w:r>
      <w:r w:rsidRPr="00664DBE">
        <w:rPr>
          <w:rFonts w:ascii="Verdana" w:hAnsi="Verdana"/>
          <w:snapToGrid w:val="0"/>
          <w:sz w:val="22"/>
          <w:szCs w:val="22"/>
          <w:lang w:val="pt-BR"/>
        </w:rPr>
        <w:t xml:space="preserve"> Por meio de: (i) novos procedimentos de gestão do conhecimento baseados em competências organizacionais; (</w:t>
      </w:r>
      <w:proofErr w:type="spellStart"/>
      <w:r w:rsidRPr="00664DBE">
        <w:rPr>
          <w:rFonts w:ascii="Verdana" w:hAnsi="Verdana"/>
          <w:snapToGrid w:val="0"/>
          <w:sz w:val="22"/>
          <w:szCs w:val="22"/>
          <w:lang w:val="pt-BR"/>
        </w:rPr>
        <w:t>ii</w:t>
      </w:r>
      <w:proofErr w:type="spellEnd"/>
      <w:r w:rsidRPr="00664DBE">
        <w:rPr>
          <w:rFonts w:ascii="Verdana" w:hAnsi="Verdana"/>
          <w:snapToGrid w:val="0"/>
          <w:sz w:val="22"/>
          <w:szCs w:val="22"/>
          <w:lang w:val="pt-BR"/>
        </w:rPr>
        <w:t>) sistema informatizado de gestão de pessoas; e (</w:t>
      </w:r>
      <w:proofErr w:type="spellStart"/>
      <w:r w:rsidRPr="00664DBE">
        <w:rPr>
          <w:rFonts w:ascii="Verdana" w:hAnsi="Verdana"/>
          <w:snapToGrid w:val="0"/>
          <w:sz w:val="22"/>
          <w:szCs w:val="22"/>
          <w:lang w:val="pt-BR"/>
        </w:rPr>
        <w:t>iii</w:t>
      </w:r>
      <w:proofErr w:type="spellEnd"/>
      <w:r w:rsidRPr="00664DBE">
        <w:rPr>
          <w:rFonts w:ascii="Verdana" w:hAnsi="Verdana"/>
          <w:snapToGrid w:val="0"/>
          <w:sz w:val="22"/>
          <w:szCs w:val="22"/>
          <w:lang w:val="pt-BR"/>
        </w:rPr>
        <w:t>) plano de desenvolvimento de recursos humanos baseado em competências</w:t>
      </w:r>
      <w:r w:rsidRPr="00664DBE">
        <w:rPr>
          <w:rFonts w:ascii="Verdana" w:hAnsi="Verdana"/>
          <w:noProof/>
          <w:snapToGrid w:val="0"/>
          <w:sz w:val="22"/>
          <w:szCs w:val="22"/>
          <w:lang w:val="pt-BR"/>
        </w:rPr>
        <w:t>.</w:t>
      </w:r>
    </w:p>
    <w:p w14:paraId="6A1DFED7" w14:textId="77777777" w:rsidR="00297880" w:rsidRPr="00664DBE" w:rsidRDefault="00297880" w:rsidP="00664DBE">
      <w:pPr>
        <w:pStyle w:val="subpar"/>
        <w:numPr>
          <w:ilvl w:val="0"/>
          <w:numId w:val="0"/>
        </w:numPr>
        <w:spacing w:before="0" w:after="0"/>
        <w:ind w:left="1170"/>
        <w:rPr>
          <w:rFonts w:ascii="Verdana" w:hAnsi="Verdana"/>
          <w:noProof/>
          <w:sz w:val="22"/>
          <w:szCs w:val="22"/>
          <w:lang w:val="pt-BR"/>
        </w:rPr>
      </w:pPr>
    </w:p>
    <w:p w14:paraId="1BC6752B" w14:textId="77777777" w:rsidR="00297880" w:rsidRDefault="00297880" w:rsidP="00664DBE">
      <w:pPr>
        <w:pStyle w:val="subpar"/>
        <w:tabs>
          <w:tab w:val="clear" w:pos="2304"/>
          <w:tab w:val="left" w:pos="1170"/>
        </w:tabs>
        <w:spacing w:before="0" w:after="0"/>
        <w:ind w:left="1170"/>
        <w:rPr>
          <w:rFonts w:ascii="Verdana" w:hAnsi="Verdana"/>
          <w:noProof/>
          <w:snapToGrid w:val="0"/>
          <w:sz w:val="22"/>
          <w:szCs w:val="22"/>
          <w:lang w:val="pt-BR"/>
        </w:rPr>
      </w:pPr>
      <w:r w:rsidRPr="00664DBE">
        <w:rPr>
          <w:rFonts w:ascii="Verdana" w:hAnsi="Verdana"/>
          <w:b/>
          <w:snapToGrid w:val="0"/>
          <w:sz w:val="22"/>
          <w:szCs w:val="22"/>
          <w:lang w:val="pt-BR"/>
        </w:rPr>
        <w:t>Fortalecimento da governança de Tecnologia da Informação e Comunicação (TIC).</w:t>
      </w:r>
      <w:r w:rsidRPr="00664DBE">
        <w:rPr>
          <w:rFonts w:ascii="Verdana" w:hAnsi="Verdana"/>
          <w:snapToGrid w:val="0"/>
          <w:sz w:val="22"/>
          <w:szCs w:val="22"/>
          <w:lang w:val="pt-BR"/>
        </w:rPr>
        <w:t xml:space="preserve"> Por meio de: (i) política institucional de segurança da informação; (</w:t>
      </w:r>
      <w:proofErr w:type="spellStart"/>
      <w:r w:rsidRPr="00664DBE">
        <w:rPr>
          <w:rFonts w:ascii="Verdana" w:hAnsi="Verdana"/>
          <w:snapToGrid w:val="0"/>
          <w:sz w:val="22"/>
          <w:szCs w:val="22"/>
          <w:lang w:val="pt-BR"/>
        </w:rPr>
        <w:t>ii</w:t>
      </w:r>
      <w:proofErr w:type="spellEnd"/>
      <w:r w:rsidRPr="00664DBE">
        <w:rPr>
          <w:rFonts w:ascii="Verdana" w:hAnsi="Verdana"/>
          <w:snapToGrid w:val="0"/>
          <w:sz w:val="22"/>
          <w:szCs w:val="22"/>
          <w:lang w:val="pt-BR"/>
        </w:rPr>
        <w:t>) planejamento estratégico de TIC; (</w:t>
      </w:r>
      <w:proofErr w:type="spellStart"/>
      <w:r w:rsidRPr="00664DBE">
        <w:rPr>
          <w:rFonts w:ascii="Verdana" w:hAnsi="Verdana"/>
          <w:snapToGrid w:val="0"/>
          <w:sz w:val="22"/>
          <w:szCs w:val="22"/>
          <w:lang w:val="pt-BR"/>
        </w:rPr>
        <w:t>iii</w:t>
      </w:r>
      <w:proofErr w:type="spellEnd"/>
      <w:r w:rsidRPr="00664DBE">
        <w:rPr>
          <w:rFonts w:ascii="Verdana" w:hAnsi="Verdana"/>
          <w:snapToGrid w:val="0"/>
          <w:sz w:val="22"/>
          <w:szCs w:val="22"/>
          <w:lang w:val="pt-BR"/>
        </w:rPr>
        <w:t>) instalação de Data Center seguro com instrumentos e procedimentos de backup; e (</w:t>
      </w:r>
      <w:proofErr w:type="spellStart"/>
      <w:r w:rsidRPr="00664DBE">
        <w:rPr>
          <w:rFonts w:ascii="Verdana" w:hAnsi="Verdana"/>
          <w:snapToGrid w:val="0"/>
          <w:sz w:val="22"/>
          <w:szCs w:val="22"/>
          <w:lang w:val="pt-BR"/>
        </w:rPr>
        <w:t>iv</w:t>
      </w:r>
      <w:proofErr w:type="spellEnd"/>
      <w:r w:rsidRPr="00664DBE">
        <w:rPr>
          <w:rFonts w:ascii="Verdana" w:hAnsi="Verdana"/>
          <w:snapToGrid w:val="0"/>
          <w:sz w:val="22"/>
          <w:szCs w:val="22"/>
          <w:lang w:val="pt-BR"/>
        </w:rPr>
        <w:t>) atualização de hardware e software do parque tecnológico</w:t>
      </w:r>
      <w:r w:rsidRPr="00664DBE">
        <w:rPr>
          <w:rFonts w:ascii="Verdana" w:hAnsi="Verdana"/>
          <w:noProof/>
          <w:snapToGrid w:val="0"/>
          <w:sz w:val="22"/>
          <w:szCs w:val="22"/>
          <w:lang w:val="pt-BR"/>
        </w:rPr>
        <w:t>.</w:t>
      </w:r>
    </w:p>
    <w:p w14:paraId="2789BE27" w14:textId="77777777" w:rsidR="00664DBE" w:rsidRPr="00664DBE" w:rsidRDefault="00664DBE" w:rsidP="00664DBE">
      <w:pPr>
        <w:pStyle w:val="subpar"/>
        <w:numPr>
          <w:ilvl w:val="0"/>
          <w:numId w:val="0"/>
        </w:numPr>
        <w:tabs>
          <w:tab w:val="left" w:pos="1170"/>
        </w:tabs>
        <w:spacing w:before="0" w:after="0"/>
        <w:ind w:left="1170"/>
        <w:rPr>
          <w:rFonts w:ascii="Verdana" w:hAnsi="Verdana"/>
          <w:noProof/>
          <w:snapToGrid w:val="0"/>
          <w:sz w:val="22"/>
          <w:szCs w:val="22"/>
          <w:lang w:val="pt-BR"/>
        </w:rPr>
      </w:pPr>
    </w:p>
    <w:p w14:paraId="6A50953D" w14:textId="77777777" w:rsidR="00297880" w:rsidRDefault="00297880" w:rsidP="00664DBE">
      <w:pPr>
        <w:pStyle w:val="subpar"/>
        <w:tabs>
          <w:tab w:val="clear" w:pos="2304"/>
          <w:tab w:val="left" w:pos="1170"/>
        </w:tabs>
        <w:spacing w:before="0" w:after="0"/>
        <w:ind w:left="1170"/>
        <w:rPr>
          <w:rFonts w:ascii="Verdana" w:hAnsi="Verdana"/>
          <w:noProof/>
          <w:snapToGrid w:val="0"/>
          <w:sz w:val="22"/>
          <w:szCs w:val="22"/>
          <w:lang w:val="pt-BR"/>
        </w:rPr>
      </w:pPr>
      <w:r w:rsidRPr="00664DBE">
        <w:rPr>
          <w:rFonts w:ascii="Verdana" w:hAnsi="Verdana"/>
          <w:b/>
          <w:snapToGrid w:val="0"/>
          <w:sz w:val="22"/>
          <w:szCs w:val="22"/>
          <w:lang w:val="pt-BR"/>
        </w:rPr>
        <w:t>Fortalecimento da gestão de compras e material</w:t>
      </w:r>
      <w:r w:rsidRPr="00664DBE">
        <w:rPr>
          <w:rFonts w:ascii="Verdana" w:hAnsi="Verdana"/>
          <w:snapToGrid w:val="0"/>
          <w:sz w:val="22"/>
          <w:szCs w:val="22"/>
          <w:lang w:val="pt-BR"/>
        </w:rPr>
        <w:t>. Por meio de: (i) novos procedimentos automatizados de aquisição e contratação; e (</w:t>
      </w:r>
      <w:proofErr w:type="spellStart"/>
      <w:r w:rsidRPr="00664DBE">
        <w:rPr>
          <w:rFonts w:ascii="Verdana" w:hAnsi="Verdana"/>
          <w:snapToGrid w:val="0"/>
          <w:sz w:val="22"/>
          <w:szCs w:val="22"/>
          <w:lang w:val="pt-BR"/>
        </w:rPr>
        <w:t>ii</w:t>
      </w:r>
      <w:proofErr w:type="spellEnd"/>
      <w:r w:rsidRPr="00664DBE">
        <w:rPr>
          <w:rFonts w:ascii="Verdana" w:hAnsi="Verdana"/>
          <w:snapToGrid w:val="0"/>
          <w:sz w:val="22"/>
          <w:szCs w:val="22"/>
          <w:lang w:val="pt-BR"/>
        </w:rPr>
        <w:t>) novos procedimentos automatizados de gestão de materiais.</w:t>
      </w:r>
    </w:p>
    <w:p w14:paraId="307A3268" w14:textId="77777777" w:rsidR="00664DBE" w:rsidRPr="00664DBE" w:rsidRDefault="00664DBE" w:rsidP="00664DBE">
      <w:pPr>
        <w:pStyle w:val="subpar"/>
        <w:numPr>
          <w:ilvl w:val="0"/>
          <w:numId w:val="0"/>
        </w:numPr>
        <w:spacing w:before="0" w:after="0"/>
        <w:ind w:left="1134"/>
        <w:rPr>
          <w:rFonts w:ascii="Verdana" w:hAnsi="Verdana"/>
          <w:snapToGrid w:val="0"/>
          <w:sz w:val="22"/>
          <w:szCs w:val="22"/>
          <w:lang w:val="pt-BR"/>
        </w:rPr>
      </w:pPr>
    </w:p>
    <w:p w14:paraId="5AEC932D" w14:textId="77777777" w:rsidR="00297880" w:rsidRDefault="00297880" w:rsidP="00664DBE">
      <w:pPr>
        <w:pStyle w:val="subpar"/>
        <w:tabs>
          <w:tab w:val="clear" w:pos="2304"/>
          <w:tab w:val="num" w:pos="1134"/>
        </w:tabs>
        <w:spacing w:before="0" w:after="0"/>
        <w:ind w:left="1134" w:hanging="425"/>
        <w:rPr>
          <w:rFonts w:ascii="Verdana" w:hAnsi="Verdana"/>
          <w:snapToGrid w:val="0"/>
          <w:sz w:val="22"/>
          <w:szCs w:val="22"/>
          <w:lang w:val="pt-BR"/>
        </w:rPr>
      </w:pPr>
      <w:r w:rsidRPr="00664DBE">
        <w:rPr>
          <w:rFonts w:ascii="Verdana" w:hAnsi="Verdana"/>
          <w:b/>
          <w:snapToGrid w:val="0"/>
          <w:sz w:val="22"/>
          <w:szCs w:val="22"/>
          <w:lang w:val="pt-BR"/>
        </w:rPr>
        <w:t>Melhoria da transparência e cidadania fiscal</w:t>
      </w:r>
      <w:r w:rsidRPr="00664DBE">
        <w:rPr>
          <w:rFonts w:ascii="Verdana" w:hAnsi="Verdana"/>
          <w:snapToGrid w:val="0"/>
          <w:sz w:val="22"/>
          <w:szCs w:val="22"/>
          <w:lang w:val="pt-BR"/>
        </w:rPr>
        <w:t>.  Por meio de: (i) reestruturação do Portal da Transparência do Estado, com uma melhor interação com a sociedade, inclusive o setor privado; (</w:t>
      </w:r>
      <w:proofErr w:type="spellStart"/>
      <w:r w:rsidRPr="00664DBE">
        <w:rPr>
          <w:rFonts w:ascii="Verdana" w:hAnsi="Verdana"/>
          <w:snapToGrid w:val="0"/>
          <w:sz w:val="22"/>
          <w:szCs w:val="22"/>
          <w:lang w:val="pt-BR"/>
        </w:rPr>
        <w:t>ii</w:t>
      </w:r>
      <w:proofErr w:type="spellEnd"/>
      <w:r w:rsidRPr="00664DBE">
        <w:rPr>
          <w:rFonts w:ascii="Verdana" w:hAnsi="Verdana"/>
          <w:snapToGrid w:val="0"/>
          <w:sz w:val="22"/>
          <w:szCs w:val="22"/>
          <w:lang w:val="pt-BR"/>
        </w:rPr>
        <w:t>) Melhoria do programa de educação fiscal e da nota fiscal cidadã; e (</w:t>
      </w:r>
      <w:proofErr w:type="spellStart"/>
      <w:r w:rsidRPr="00664DBE">
        <w:rPr>
          <w:rFonts w:ascii="Verdana" w:hAnsi="Verdana"/>
          <w:snapToGrid w:val="0"/>
          <w:sz w:val="22"/>
          <w:szCs w:val="22"/>
          <w:lang w:val="pt-BR"/>
        </w:rPr>
        <w:t>iii</w:t>
      </w:r>
      <w:proofErr w:type="spellEnd"/>
      <w:r w:rsidRPr="00664DBE">
        <w:rPr>
          <w:rFonts w:ascii="Verdana" w:hAnsi="Verdana"/>
          <w:snapToGrid w:val="0"/>
          <w:sz w:val="22"/>
          <w:szCs w:val="22"/>
          <w:lang w:val="pt-BR"/>
        </w:rPr>
        <w:t>) fortalecimento dos principais canais de comunicação.</w:t>
      </w:r>
    </w:p>
    <w:p w14:paraId="40D7058E" w14:textId="77777777" w:rsidR="00664DBE" w:rsidRPr="00664DBE" w:rsidRDefault="00664DBE" w:rsidP="00664DBE">
      <w:pPr>
        <w:pStyle w:val="subpar"/>
        <w:numPr>
          <w:ilvl w:val="0"/>
          <w:numId w:val="0"/>
        </w:numPr>
        <w:spacing w:before="0" w:after="0"/>
        <w:ind w:left="1134"/>
        <w:rPr>
          <w:rFonts w:ascii="Verdana" w:hAnsi="Verdana"/>
          <w:snapToGrid w:val="0"/>
          <w:sz w:val="22"/>
          <w:szCs w:val="22"/>
          <w:lang w:val="pt-BR"/>
        </w:rPr>
      </w:pPr>
    </w:p>
    <w:p w14:paraId="13FCFB1F" w14:textId="77777777" w:rsidR="00297880" w:rsidRPr="00664DBE" w:rsidRDefault="00297880" w:rsidP="00664DBE">
      <w:pPr>
        <w:pStyle w:val="subpar"/>
        <w:tabs>
          <w:tab w:val="clear" w:pos="2304"/>
          <w:tab w:val="left" w:pos="1170"/>
        </w:tabs>
        <w:spacing w:before="0" w:after="0"/>
        <w:ind w:left="1170"/>
        <w:rPr>
          <w:rFonts w:ascii="Verdana" w:hAnsi="Verdana"/>
          <w:noProof/>
          <w:snapToGrid w:val="0"/>
          <w:sz w:val="22"/>
          <w:szCs w:val="22"/>
          <w:lang w:val="pt-BR"/>
        </w:rPr>
      </w:pPr>
      <w:r w:rsidRPr="00664DBE">
        <w:rPr>
          <w:rFonts w:ascii="Verdana" w:hAnsi="Verdana"/>
          <w:b/>
          <w:snapToGrid w:val="0"/>
          <w:sz w:val="22"/>
          <w:szCs w:val="22"/>
          <w:lang w:val="pt-BR"/>
        </w:rPr>
        <w:t>Modernização das unidades de prestação de serviços do SEFA</w:t>
      </w:r>
      <w:r w:rsidRPr="00664DBE">
        <w:rPr>
          <w:rFonts w:ascii="Verdana" w:hAnsi="Verdana"/>
          <w:snapToGrid w:val="0"/>
          <w:sz w:val="22"/>
          <w:szCs w:val="22"/>
          <w:lang w:val="pt-BR"/>
        </w:rPr>
        <w:t>. Por meio de procedimentos automatizados de gestão do patrimônio, incluindo a melhoria da infraestrutura das unidades fazendárias.</w:t>
      </w:r>
    </w:p>
    <w:p w14:paraId="6B3A8244" w14:textId="77777777" w:rsidR="00297880" w:rsidRPr="00911C0E" w:rsidRDefault="00297880" w:rsidP="00664DBE">
      <w:pPr>
        <w:pStyle w:val="subpar"/>
        <w:numPr>
          <w:ilvl w:val="0"/>
          <w:numId w:val="0"/>
        </w:numPr>
        <w:spacing w:before="0" w:after="0"/>
        <w:ind w:left="2304" w:hanging="432"/>
        <w:rPr>
          <w:rFonts w:ascii="Verdana" w:hAnsi="Verdana"/>
          <w:b/>
          <w:noProof/>
          <w:sz w:val="22"/>
          <w:szCs w:val="22"/>
          <w:lang w:val="pt-BR"/>
        </w:rPr>
      </w:pPr>
    </w:p>
    <w:p w14:paraId="3EA458C6" w14:textId="77777777" w:rsidR="00664DBE" w:rsidRPr="00911C0E" w:rsidRDefault="00664DBE" w:rsidP="00664DBE">
      <w:pPr>
        <w:pStyle w:val="subpar"/>
        <w:numPr>
          <w:ilvl w:val="0"/>
          <w:numId w:val="0"/>
        </w:numPr>
        <w:spacing w:before="0" w:after="0"/>
        <w:ind w:left="2304" w:hanging="432"/>
        <w:rPr>
          <w:rFonts w:ascii="Verdana" w:hAnsi="Verdana"/>
          <w:b/>
          <w:noProof/>
          <w:sz w:val="22"/>
          <w:szCs w:val="22"/>
          <w:lang w:val="pt-BR"/>
        </w:rPr>
      </w:pPr>
    </w:p>
    <w:p w14:paraId="41EE7753" w14:textId="77777777" w:rsidR="00297880" w:rsidRPr="00664DBE" w:rsidRDefault="00297880" w:rsidP="00664DBE">
      <w:pPr>
        <w:ind w:firstLine="720"/>
        <w:jc w:val="both"/>
        <w:rPr>
          <w:b/>
          <w:noProof/>
          <w:sz w:val="22"/>
          <w:szCs w:val="22"/>
        </w:rPr>
      </w:pPr>
      <w:r w:rsidRPr="00664DBE">
        <w:rPr>
          <w:b/>
          <w:noProof/>
          <w:sz w:val="22"/>
          <w:szCs w:val="22"/>
        </w:rPr>
        <w:t>Componente II. Administração tributária e contencioso fiscal</w:t>
      </w:r>
    </w:p>
    <w:p w14:paraId="74648B5B" w14:textId="77777777" w:rsidR="00297880" w:rsidRPr="00664DBE" w:rsidRDefault="00297880" w:rsidP="00664DBE">
      <w:pPr>
        <w:ind w:firstLine="720"/>
        <w:jc w:val="both"/>
        <w:rPr>
          <w:b/>
          <w:noProof/>
          <w:sz w:val="22"/>
          <w:szCs w:val="22"/>
        </w:rPr>
      </w:pPr>
    </w:p>
    <w:p w14:paraId="50432AF4" w14:textId="77777777" w:rsidR="00297880" w:rsidRPr="00664DBE" w:rsidRDefault="00297880" w:rsidP="00664DBE">
      <w:pPr>
        <w:ind w:left="720" w:hanging="720"/>
        <w:jc w:val="both"/>
        <w:rPr>
          <w:noProof/>
          <w:sz w:val="22"/>
          <w:szCs w:val="22"/>
        </w:rPr>
      </w:pPr>
      <w:r w:rsidRPr="00664DBE">
        <w:rPr>
          <w:b/>
          <w:noProof/>
          <w:sz w:val="22"/>
          <w:szCs w:val="22"/>
        </w:rPr>
        <w:t>2.03</w:t>
      </w:r>
      <w:r w:rsidRPr="00664DBE">
        <w:rPr>
          <w:noProof/>
          <w:sz w:val="22"/>
          <w:szCs w:val="22"/>
        </w:rPr>
        <w:tab/>
        <w:t>Este componente tem como objetivo aumentar as receitas próprias e simplificar o cumprimento das obrigações tributarias, e financiará:</w:t>
      </w:r>
    </w:p>
    <w:p w14:paraId="3BD3A716" w14:textId="77777777" w:rsidR="00297880" w:rsidRPr="00664DBE" w:rsidRDefault="00297880" w:rsidP="00664DBE">
      <w:pPr>
        <w:ind w:hanging="720"/>
        <w:jc w:val="both"/>
        <w:rPr>
          <w:noProof/>
          <w:sz w:val="22"/>
          <w:szCs w:val="22"/>
        </w:rPr>
      </w:pPr>
    </w:p>
    <w:p w14:paraId="41BDC5AB" w14:textId="77777777" w:rsidR="00297880" w:rsidRPr="00664DBE" w:rsidRDefault="00297880" w:rsidP="00664DBE">
      <w:pPr>
        <w:pStyle w:val="subpar"/>
        <w:numPr>
          <w:ilvl w:val="2"/>
          <w:numId w:val="4"/>
        </w:numPr>
        <w:tabs>
          <w:tab w:val="clear" w:pos="2304"/>
          <w:tab w:val="num" w:pos="360"/>
          <w:tab w:val="num" w:pos="1170"/>
        </w:tabs>
        <w:spacing w:before="0" w:after="0"/>
        <w:ind w:left="1170"/>
        <w:rPr>
          <w:rFonts w:ascii="Verdana" w:hAnsi="Verdana"/>
          <w:noProof/>
          <w:snapToGrid w:val="0"/>
          <w:sz w:val="22"/>
          <w:szCs w:val="22"/>
          <w:lang w:val="pt-BR"/>
        </w:rPr>
      </w:pPr>
      <w:r w:rsidRPr="00664DBE">
        <w:rPr>
          <w:rFonts w:ascii="Verdana" w:hAnsi="Verdana"/>
          <w:b/>
          <w:snapToGrid w:val="0"/>
          <w:sz w:val="22"/>
          <w:szCs w:val="22"/>
          <w:lang w:val="pt-BR"/>
        </w:rPr>
        <w:t>Fortalecimento dos sistemas de administração tributária</w:t>
      </w:r>
      <w:r w:rsidRPr="00664DBE">
        <w:rPr>
          <w:rFonts w:ascii="Verdana" w:hAnsi="Verdana"/>
          <w:snapToGrid w:val="0"/>
          <w:sz w:val="22"/>
          <w:szCs w:val="22"/>
          <w:lang w:val="pt-BR"/>
        </w:rPr>
        <w:t>. Por meio de: (i) novo sistema informatizado de administração tributária, incluindo cadastro de contribuintes, arrecadação e cobrança, fiscalização, contencioso fiscal e concessão de benefícios; e (</w:t>
      </w:r>
      <w:proofErr w:type="spellStart"/>
      <w:r w:rsidRPr="00664DBE">
        <w:rPr>
          <w:rFonts w:ascii="Verdana" w:hAnsi="Verdana"/>
          <w:snapToGrid w:val="0"/>
          <w:sz w:val="22"/>
          <w:szCs w:val="22"/>
          <w:lang w:val="pt-BR"/>
        </w:rPr>
        <w:t>ii</w:t>
      </w:r>
      <w:proofErr w:type="spellEnd"/>
      <w:r w:rsidRPr="00664DBE">
        <w:rPr>
          <w:rFonts w:ascii="Verdana" w:hAnsi="Verdana"/>
          <w:snapToGrid w:val="0"/>
          <w:sz w:val="22"/>
          <w:szCs w:val="22"/>
          <w:lang w:val="pt-BR"/>
        </w:rPr>
        <w:t>) processo eletrônico do contencioso tributário integrando a SEFA e a PGE</w:t>
      </w:r>
      <w:r w:rsidRPr="00664DBE">
        <w:rPr>
          <w:rFonts w:ascii="Verdana" w:hAnsi="Verdana"/>
          <w:noProof/>
          <w:snapToGrid w:val="0"/>
          <w:sz w:val="22"/>
          <w:szCs w:val="22"/>
          <w:lang w:val="pt-BR"/>
        </w:rPr>
        <w:t>.</w:t>
      </w:r>
    </w:p>
    <w:p w14:paraId="28550052" w14:textId="77777777" w:rsidR="00297880" w:rsidRPr="00664DBE" w:rsidRDefault="00297880" w:rsidP="00664DBE">
      <w:pPr>
        <w:pStyle w:val="subpar"/>
        <w:numPr>
          <w:ilvl w:val="0"/>
          <w:numId w:val="0"/>
        </w:numPr>
        <w:tabs>
          <w:tab w:val="num" w:pos="1800"/>
        </w:tabs>
        <w:spacing w:before="0" w:after="0"/>
        <w:ind w:left="1170"/>
        <w:rPr>
          <w:rFonts w:ascii="Verdana" w:hAnsi="Verdana"/>
          <w:noProof/>
          <w:snapToGrid w:val="0"/>
          <w:sz w:val="22"/>
          <w:szCs w:val="22"/>
          <w:lang w:val="pt-BR"/>
        </w:rPr>
      </w:pPr>
    </w:p>
    <w:p w14:paraId="5FFA2367" w14:textId="77777777" w:rsidR="00297880" w:rsidRPr="00664DBE" w:rsidRDefault="00297880" w:rsidP="00664DBE">
      <w:pPr>
        <w:pStyle w:val="subpar"/>
        <w:numPr>
          <w:ilvl w:val="2"/>
          <w:numId w:val="4"/>
        </w:numPr>
        <w:tabs>
          <w:tab w:val="clear" w:pos="2304"/>
          <w:tab w:val="num" w:pos="360"/>
          <w:tab w:val="num" w:pos="1170"/>
        </w:tabs>
        <w:spacing w:before="0" w:after="0"/>
        <w:ind w:left="1170"/>
        <w:rPr>
          <w:rFonts w:ascii="Verdana" w:hAnsi="Verdana"/>
          <w:noProof/>
          <w:snapToGrid w:val="0"/>
          <w:sz w:val="22"/>
          <w:szCs w:val="22"/>
          <w:lang w:val="pt-BR"/>
        </w:rPr>
      </w:pPr>
      <w:r w:rsidRPr="00664DBE">
        <w:rPr>
          <w:rFonts w:ascii="Verdana" w:hAnsi="Verdana"/>
          <w:b/>
          <w:snapToGrid w:val="0"/>
          <w:sz w:val="22"/>
          <w:szCs w:val="22"/>
          <w:lang w:val="pt-BR"/>
        </w:rPr>
        <w:t>Simplificação das obrigações tributárias</w:t>
      </w:r>
      <w:r w:rsidRPr="00664DBE">
        <w:rPr>
          <w:rFonts w:ascii="Verdana" w:hAnsi="Verdana"/>
          <w:snapToGrid w:val="0"/>
          <w:sz w:val="22"/>
          <w:szCs w:val="22"/>
          <w:lang w:val="pt-BR"/>
        </w:rPr>
        <w:t>. Por meio de: (i) implantação da Rede Nacional para Simplificação de Registro e Legalização de Empresas - (REDESIM); (</w:t>
      </w:r>
      <w:proofErr w:type="spellStart"/>
      <w:r w:rsidRPr="00664DBE">
        <w:rPr>
          <w:rFonts w:ascii="Verdana" w:hAnsi="Verdana"/>
          <w:snapToGrid w:val="0"/>
          <w:sz w:val="22"/>
          <w:szCs w:val="22"/>
          <w:lang w:val="pt-BR"/>
        </w:rPr>
        <w:t>ii</w:t>
      </w:r>
      <w:proofErr w:type="spellEnd"/>
      <w:r w:rsidRPr="00664DBE">
        <w:rPr>
          <w:rFonts w:ascii="Verdana" w:hAnsi="Verdana"/>
          <w:snapToGrid w:val="0"/>
          <w:sz w:val="22"/>
          <w:szCs w:val="22"/>
          <w:lang w:val="pt-BR"/>
        </w:rPr>
        <w:t>) simplificação das obrigações dos contribuintes no SPED; e (</w:t>
      </w:r>
      <w:proofErr w:type="spellStart"/>
      <w:r w:rsidRPr="00664DBE">
        <w:rPr>
          <w:rFonts w:ascii="Verdana" w:hAnsi="Verdana"/>
          <w:snapToGrid w:val="0"/>
          <w:sz w:val="22"/>
          <w:szCs w:val="22"/>
          <w:lang w:val="pt-BR"/>
        </w:rPr>
        <w:t>iii</w:t>
      </w:r>
      <w:proofErr w:type="spellEnd"/>
      <w:r w:rsidRPr="00664DBE">
        <w:rPr>
          <w:rFonts w:ascii="Verdana" w:hAnsi="Verdana"/>
          <w:snapToGrid w:val="0"/>
          <w:sz w:val="22"/>
          <w:szCs w:val="22"/>
          <w:lang w:val="pt-BR"/>
        </w:rPr>
        <w:t>) integração do sistema de administração tributária ao Portal de Comércio Exterior</w:t>
      </w:r>
      <w:r w:rsidRPr="00664DBE">
        <w:rPr>
          <w:rFonts w:ascii="Verdana" w:hAnsi="Verdana"/>
          <w:noProof/>
          <w:snapToGrid w:val="0"/>
          <w:sz w:val="22"/>
          <w:szCs w:val="22"/>
          <w:lang w:val="pt-BR"/>
        </w:rPr>
        <w:t>.</w:t>
      </w:r>
    </w:p>
    <w:p w14:paraId="1A2D098D" w14:textId="77777777" w:rsidR="00297880" w:rsidRPr="00911C0E" w:rsidRDefault="00297880" w:rsidP="00664DBE">
      <w:pPr>
        <w:pStyle w:val="subpar"/>
        <w:numPr>
          <w:ilvl w:val="0"/>
          <w:numId w:val="0"/>
        </w:numPr>
        <w:tabs>
          <w:tab w:val="num" w:pos="1800"/>
        </w:tabs>
        <w:spacing w:before="0" w:after="0"/>
        <w:ind w:left="1170"/>
        <w:rPr>
          <w:rFonts w:ascii="Verdana" w:hAnsi="Verdana"/>
          <w:noProof/>
          <w:sz w:val="22"/>
          <w:szCs w:val="22"/>
          <w:lang w:val="pt-BR"/>
        </w:rPr>
      </w:pPr>
    </w:p>
    <w:p w14:paraId="4CD4259D" w14:textId="77777777" w:rsidR="00297880" w:rsidRPr="00664DBE" w:rsidRDefault="00297880" w:rsidP="00664DBE">
      <w:pPr>
        <w:pStyle w:val="subpar"/>
        <w:numPr>
          <w:ilvl w:val="2"/>
          <w:numId w:val="4"/>
        </w:numPr>
        <w:tabs>
          <w:tab w:val="clear" w:pos="2304"/>
          <w:tab w:val="num" w:pos="360"/>
          <w:tab w:val="num" w:pos="1170"/>
        </w:tabs>
        <w:spacing w:before="0" w:after="0"/>
        <w:ind w:left="1170"/>
        <w:rPr>
          <w:rFonts w:ascii="Verdana" w:hAnsi="Verdana"/>
          <w:noProof/>
          <w:snapToGrid w:val="0"/>
          <w:sz w:val="22"/>
          <w:szCs w:val="22"/>
          <w:lang w:val="pt-BR"/>
        </w:rPr>
      </w:pPr>
      <w:r w:rsidRPr="00664DBE">
        <w:rPr>
          <w:rFonts w:ascii="Verdana" w:hAnsi="Verdana"/>
          <w:b/>
          <w:snapToGrid w:val="0"/>
          <w:sz w:val="22"/>
          <w:szCs w:val="22"/>
          <w:lang w:val="pt-BR"/>
        </w:rPr>
        <w:lastRenderedPageBreak/>
        <w:t>Fortalecimento dos instrumentos de política fiscal.</w:t>
      </w:r>
      <w:r w:rsidRPr="00664DBE">
        <w:rPr>
          <w:rFonts w:ascii="Verdana" w:hAnsi="Verdana"/>
          <w:snapToGrid w:val="0"/>
          <w:sz w:val="22"/>
          <w:szCs w:val="22"/>
          <w:lang w:val="pt-BR"/>
        </w:rPr>
        <w:t xml:space="preserve"> Por meio de: (i) Simplificação da legislação tributária e de ferramenta de suporte à consulta; e (</w:t>
      </w:r>
      <w:proofErr w:type="spellStart"/>
      <w:r w:rsidRPr="00664DBE">
        <w:rPr>
          <w:rFonts w:ascii="Verdana" w:hAnsi="Verdana"/>
          <w:snapToGrid w:val="0"/>
          <w:sz w:val="22"/>
          <w:szCs w:val="22"/>
          <w:lang w:val="pt-BR"/>
        </w:rPr>
        <w:t>ii</w:t>
      </w:r>
      <w:proofErr w:type="spellEnd"/>
      <w:r w:rsidRPr="00664DBE">
        <w:rPr>
          <w:rFonts w:ascii="Verdana" w:hAnsi="Verdana"/>
          <w:snapToGrid w:val="0"/>
          <w:sz w:val="22"/>
          <w:szCs w:val="22"/>
          <w:lang w:val="pt-BR"/>
        </w:rPr>
        <w:t>) revisão e ajuste dos procedimentos de gestão de concessão de benefícios fiscais</w:t>
      </w:r>
      <w:r w:rsidRPr="00664DBE">
        <w:rPr>
          <w:rFonts w:ascii="Verdana" w:hAnsi="Verdana"/>
          <w:noProof/>
          <w:snapToGrid w:val="0"/>
          <w:sz w:val="22"/>
          <w:szCs w:val="22"/>
          <w:lang w:val="pt-BR"/>
        </w:rPr>
        <w:t xml:space="preserve">. </w:t>
      </w:r>
    </w:p>
    <w:p w14:paraId="01B3C524" w14:textId="77777777" w:rsidR="00297880" w:rsidRPr="00664DBE" w:rsidRDefault="00297880" w:rsidP="00664DBE">
      <w:pPr>
        <w:pStyle w:val="subpar"/>
        <w:numPr>
          <w:ilvl w:val="0"/>
          <w:numId w:val="0"/>
        </w:numPr>
        <w:tabs>
          <w:tab w:val="num" w:pos="1800"/>
        </w:tabs>
        <w:spacing w:before="0" w:after="0"/>
        <w:ind w:left="1170"/>
        <w:rPr>
          <w:rFonts w:ascii="Verdana" w:hAnsi="Verdana"/>
          <w:noProof/>
          <w:snapToGrid w:val="0"/>
          <w:sz w:val="22"/>
          <w:szCs w:val="22"/>
          <w:lang w:val="pt-BR"/>
        </w:rPr>
      </w:pPr>
    </w:p>
    <w:p w14:paraId="689EA608" w14:textId="77777777" w:rsidR="00297880" w:rsidRPr="00664DBE" w:rsidRDefault="00297880" w:rsidP="00664DBE">
      <w:pPr>
        <w:pStyle w:val="subpar"/>
        <w:numPr>
          <w:ilvl w:val="2"/>
          <w:numId w:val="4"/>
        </w:numPr>
        <w:tabs>
          <w:tab w:val="clear" w:pos="2304"/>
          <w:tab w:val="num" w:pos="360"/>
          <w:tab w:val="num" w:pos="1170"/>
        </w:tabs>
        <w:spacing w:before="0" w:after="0"/>
        <w:ind w:left="1170"/>
        <w:rPr>
          <w:rFonts w:ascii="Verdana" w:hAnsi="Verdana"/>
          <w:noProof/>
          <w:snapToGrid w:val="0"/>
          <w:sz w:val="22"/>
          <w:szCs w:val="22"/>
          <w:lang w:val="pt-BR"/>
        </w:rPr>
      </w:pPr>
      <w:r w:rsidRPr="00664DBE">
        <w:rPr>
          <w:rFonts w:ascii="Verdana" w:hAnsi="Verdana"/>
          <w:b/>
          <w:snapToGrid w:val="0"/>
          <w:sz w:val="22"/>
          <w:szCs w:val="22"/>
          <w:lang w:val="pt-BR"/>
        </w:rPr>
        <w:t>Melhoria do controle das obrigações tributárias</w:t>
      </w:r>
      <w:r w:rsidRPr="00664DBE">
        <w:rPr>
          <w:rFonts w:ascii="Verdana" w:hAnsi="Verdana"/>
          <w:snapToGrid w:val="0"/>
          <w:sz w:val="22"/>
          <w:szCs w:val="22"/>
          <w:lang w:val="pt-BR"/>
        </w:rPr>
        <w:t>. Por meio de: (i) novo sistema de monitoramento e controle do cumprimento das obrigações dos contribuintes; e (</w:t>
      </w:r>
      <w:proofErr w:type="spellStart"/>
      <w:r w:rsidRPr="00664DBE">
        <w:rPr>
          <w:rFonts w:ascii="Verdana" w:hAnsi="Verdana"/>
          <w:snapToGrid w:val="0"/>
          <w:sz w:val="22"/>
          <w:szCs w:val="22"/>
          <w:lang w:val="pt-BR"/>
        </w:rPr>
        <w:t>ii</w:t>
      </w:r>
      <w:proofErr w:type="spellEnd"/>
      <w:r w:rsidRPr="00664DBE">
        <w:rPr>
          <w:rFonts w:ascii="Verdana" w:hAnsi="Verdana"/>
          <w:snapToGrid w:val="0"/>
          <w:sz w:val="22"/>
          <w:szCs w:val="22"/>
          <w:lang w:val="pt-BR"/>
        </w:rPr>
        <w:t>) implantação de plataforma tecnológica de integração dos os órgãos estaduais que gerenciam informação dos contribuintes</w:t>
      </w:r>
      <w:r w:rsidRPr="00664DBE">
        <w:rPr>
          <w:rFonts w:ascii="Verdana" w:hAnsi="Verdana"/>
          <w:noProof/>
          <w:snapToGrid w:val="0"/>
          <w:sz w:val="22"/>
          <w:szCs w:val="22"/>
          <w:lang w:val="pt-BR"/>
        </w:rPr>
        <w:t>.</w:t>
      </w:r>
    </w:p>
    <w:p w14:paraId="29546457" w14:textId="77777777" w:rsidR="00297880" w:rsidRPr="00664DBE" w:rsidRDefault="00297880" w:rsidP="00664DBE">
      <w:pPr>
        <w:pStyle w:val="subpar"/>
        <w:numPr>
          <w:ilvl w:val="0"/>
          <w:numId w:val="0"/>
        </w:numPr>
        <w:tabs>
          <w:tab w:val="num" w:pos="1800"/>
        </w:tabs>
        <w:spacing w:before="0" w:after="0"/>
        <w:ind w:left="1170"/>
        <w:rPr>
          <w:rFonts w:ascii="Verdana" w:hAnsi="Verdana"/>
          <w:noProof/>
          <w:sz w:val="22"/>
          <w:szCs w:val="22"/>
          <w:lang w:val="pt-BR"/>
        </w:rPr>
      </w:pPr>
    </w:p>
    <w:p w14:paraId="259A2983" w14:textId="77777777" w:rsidR="00297880" w:rsidRPr="00664DBE" w:rsidRDefault="00297880" w:rsidP="00664DBE">
      <w:pPr>
        <w:pStyle w:val="subpar"/>
        <w:numPr>
          <w:ilvl w:val="2"/>
          <w:numId w:val="4"/>
        </w:numPr>
        <w:tabs>
          <w:tab w:val="clear" w:pos="2304"/>
          <w:tab w:val="num" w:pos="360"/>
          <w:tab w:val="num" w:pos="1170"/>
        </w:tabs>
        <w:spacing w:before="0" w:after="0"/>
        <w:ind w:left="1170"/>
        <w:rPr>
          <w:rFonts w:ascii="Verdana" w:hAnsi="Verdana"/>
          <w:noProof/>
          <w:snapToGrid w:val="0"/>
          <w:sz w:val="22"/>
          <w:szCs w:val="22"/>
          <w:lang w:val="pt-BR"/>
        </w:rPr>
      </w:pPr>
      <w:r w:rsidRPr="00664DBE">
        <w:rPr>
          <w:rFonts w:ascii="Verdana" w:hAnsi="Verdana"/>
          <w:b/>
          <w:snapToGrid w:val="0"/>
          <w:sz w:val="22"/>
          <w:szCs w:val="22"/>
          <w:lang w:val="pt-BR"/>
        </w:rPr>
        <w:t>Implantação de novos instrumentos de fiscalização progressiva.</w:t>
      </w:r>
      <w:r w:rsidRPr="00664DBE">
        <w:rPr>
          <w:rFonts w:ascii="Verdana" w:hAnsi="Verdana"/>
          <w:snapToGrid w:val="0"/>
          <w:sz w:val="22"/>
          <w:szCs w:val="22"/>
          <w:lang w:val="pt-BR"/>
        </w:rPr>
        <w:t xml:space="preserve"> Por meio do: (i) fortalecimento e informatização da fiscalização preventiva, incluindo a malha fiscal e o domicílio tributário eletrônico; e (</w:t>
      </w:r>
      <w:proofErr w:type="spellStart"/>
      <w:r w:rsidRPr="00664DBE">
        <w:rPr>
          <w:rFonts w:ascii="Verdana" w:hAnsi="Verdana"/>
          <w:snapToGrid w:val="0"/>
          <w:sz w:val="22"/>
          <w:szCs w:val="22"/>
          <w:lang w:val="pt-BR"/>
        </w:rPr>
        <w:t>ii</w:t>
      </w:r>
      <w:proofErr w:type="spellEnd"/>
      <w:r w:rsidRPr="00664DBE">
        <w:rPr>
          <w:rFonts w:ascii="Verdana" w:hAnsi="Verdana"/>
          <w:snapToGrid w:val="0"/>
          <w:sz w:val="22"/>
          <w:szCs w:val="22"/>
          <w:lang w:val="pt-BR"/>
        </w:rPr>
        <w:t>) sistema de fiscalização repressiva, incluindo fiscalização de fronteiras e metodologias de combate às fraudes estruturadas e aos devedores contumazes</w:t>
      </w:r>
      <w:r w:rsidRPr="00664DBE">
        <w:rPr>
          <w:rFonts w:ascii="Verdana" w:hAnsi="Verdana"/>
          <w:noProof/>
          <w:snapToGrid w:val="0"/>
          <w:sz w:val="22"/>
          <w:szCs w:val="22"/>
          <w:lang w:val="pt-BR"/>
        </w:rPr>
        <w:t>.</w:t>
      </w:r>
    </w:p>
    <w:p w14:paraId="26373A24" w14:textId="77777777" w:rsidR="00297880" w:rsidRPr="00664DBE" w:rsidRDefault="00297880" w:rsidP="00664DBE">
      <w:pPr>
        <w:pStyle w:val="subpar"/>
        <w:numPr>
          <w:ilvl w:val="0"/>
          <w:numId w:val="0"/>
        </w:numPr>
        <w:tabs>
          <w:tab w:val="num" w:pos="1800"/>
        </w:tabs>
        <w:spacing w:before="0" w:after="0"/>
        <w:ind w:left="1170"/>
        <w:rPr>
          <w:rFonts w:ascii="Verdana" w:hAnsi="Verdana"/>
          <w:noProof/>
          <w:snapToGrid w:val="0"/>
          <w:sz w:val="22"/>
          <w:szCs w:val="22"/>
          <w:lang w:val="pt-BR"/>
        </w:rPr>
      </w:pPr>
    </w:p>
    <w:p w14:paraId="2FBE4FB8" w14:textId="77777777" w:rsidR="00297880" w:rsidRPr="00664DBE" w:rsidRDefault="00297880" w:rsidP="00664DBE">
      <w:pPr>
        <w:pStyle w:val="subpar"/>
        <w:numPr>
          <w:ilvl w:val="2"/>
          <w:numId w:val="4"/>
        </w:numPr>
        <w:tabs>
          <w:tab w:val="clear" w:pos="2304"/>
          <w:tab w:val="num" w:pos="360"/>
          <w:tab w:val="num" w:pos="1170"/>
        </w:tabs>
        <w:spacing w:before="0" w:after="0"/>
        <w:ind w:left="1166"/>
        <w:rPr>
          <w:rFonts w:ascii="Verdana" w:hAnsi="Verdana"/>
          <w:noProof/>
          <w:snapToGrid w:val="0"/>
          <w:sz w:val="22"/>
          <w:szCs w:val="22"/>
          <w:lang w:val="pt-BR"/>
        </w:rPr>
      </w:pPr>
      <w:r w:rsidRPr="00664DBE">
        <w:rPr>
          <w:rFonts w:ascii="Verdana" w:hAnsi="Verdana"/>
          <w:b/>
          <w:snapToGrid w:val="0"/>
          <w:sz w:val="22"/>
          <w:szCs w:val="22"/>
          <w:lang w:val="pt-BR"/>
        </w:rPr>
        <w:t>Melhoria e integração dos procedimentos de controle do contencioso fiscal</w:t>
      </w:r>
      <w:r w:rsidRPr="00664DBE">
        <w:rPr>
          <w:rFonts w:ascii="Verdana" w:hAnsi="Verdana"/>
          <w:snapToGrid w:val="0"/>
          <w:sz w:val="22"/>
          <w:szCs w:val="22"/>
          <w:lang w:val="pt-BR"/>
        </w:rPr>
        <w:t>. Por meio de: (i) redesenho dos processos dos órgãos do contencioso; (</w:t>
      </w:r>
      <w:proofErr w:type="spellStart"/>
      <w:r w:rsidRPr="00664DBE">
        <w:rPr>
          <w:rFonts w:ascii="Verdana" w:hAnsi="Verdana"/>
          <w:snapToGrid w:val="0"/>
          <w:sz w:val="22"/>
          <w:szCs w:val="22"/>
          <w:lang w:val="pt-BR"/>
        </w:rPr>
        <w:t>ii</w:t>
      </w:r>
      <w:proofErr w:type="spellEnd"/>
      <w:r w:rsidRPr="00664DBE">
        <w:rPr>
          <w:rFonts w:ascii="Verdana" w:hAnsi="Verdana"/>
          <w:snapToGrid w:val="0"/>
          <w:sz w:val="22"/>
          <w:szCs w:val="22"/>
          <w:lang w:val="pt-BR"/>
        </w:rPr>
        <w:t>) gestão do contencioso fiscal orientado para resultados; e (</w:t>
      </w:r>
      <w:proofErr w:type="spellStart"/>
      <w:r w:rsidRPr="00664DBE">
        <w:rPr>
          <w:rFonts w:ascii="Verdana" w:hAnsi="Verdana"/>
          <w:snapToGrid w:val="0"/>
          <w:sz w:val="22"/>
          <w:szCs w:val="22"/>
          <w:lang w:val="pt-BR"/>
        </w:rPr>
        <w:t>iii</w:t>
      </w:r>
      <w:proofErr w:type="spellEnd"/>
      <w:r w:rsidRPr="00664DBE">
        <w:rPr>
          <w:rFonts w:ascii="Verdana" w:hAnsi="Verdana"/>
          <w:snapToGrid w:val="0"/>
          <w:sz w:val="22"/>
          <w:szCs w:val="22"/>
          <w:lang w:val="pt-BR"/>
        </w:rPr>
        <w:t>) implantação de sistema de gerenciamento do contencioso tributário, integrado aos processos administrativos de primeira e segunda instância e a PGE</w:t>
      </w:r>
      <w:r w:rsidRPr="00664DBE">
        <w:rPr>
          <w:rFonts w:ascii="Verdana" w:hAnsi="Verdana"/>
          <w:noProof/>
          <w:snapToGrid w:val="0"/>
          <w:sz w:val="22"/>
          <w:szCs w:val="22"/>
          <w:lang w:val="pt-BR"/>
        </w:rPr>
        <w:t>.</w:t>
      </w:r>
    </w:p>
    <w:p w14:paraId="33051B1D" w14:textId="77777777" w:rsidR="00297880" w:rsidRPr="00664DBE" w:rsidRDefault="00297880" w:rsidP="00664DBE">
      <w:pPr>
        <w:pStyle w:val="subpar"/>
        <w:numPr>
          <w:ilvl w:val="0"/>
          <w:numId w:val="0"/>
        </w:numPr>
        <w:tabs>
          <w:tab w:val="num" w:pos="1800"/>
        </w:tabs>
        <w:spacing w:before="0" w:after="0"/>
        <w:ind w:left="1166"/>
        <w:rPr>
          <w:rFonts w:ascii="Verdana" w:hAnsi="Verdana"/>
          <w:noProof/>
          <w:snapToGrid w:val="0"/>
          <w:sz w:val="22"/>
          <w:szCs w:val="22"/>
          <w:lang w:val="pt-BR"/>
        </w:rPr>
      </w:pPr>
    </w:p>
    <w:p w14:paraId="65EDF622" w14:textId="77777777" w:rsidR="00297880" w:rsidRPr="00664DBE" w:rsidRDefault="00297880" w:rsidP="00664DBE">
      <w:pPr>
        <w:pStyle w:val="subpar"/>
        <w:numPr>
          <w:ilvl w:val="2"/>
          <w:numId w:val="4"/>
        </w:numPr>
        <w:tabs>
          <w:tab w:val="clear" w:pos="2304"/>
          <w:tab w:val="num" w:pos="360"/>
          <w:tab w:val="num" w:pos="1170"/>
        </w:tabs>
        <w:spacing w:before="0" w:after="0"/>
        <w:ind w:left="1166"/>
        <w:rPr>
          <w:rFonts w:ascii="Verdana" w:hAnsi="Verdana"/>
          <w:noProof/>
          <w:snapToGrid w:val="0"/>
          <w:sz w:val="22"/>
          <w:szCs w:val="22"/>
          <w:lang w:val="pt-BR"/>
        </w:rPr>
      </w:pPr>
      <w:r w:rsidRPr="00664DBE">
        <w:rPr>
          <w:rFonts w:ascii="Verdana" w:hAnsi="Verdana"/>
          <w:b/>
          <w:snapToGrid w:val="0"/>
          <w:sz w:val="22"/>
          <w:szCs w:val="22"/>
          <w:lang w:val="pt-BR"/>
        </w:rPr>
        <w:t>Melhoria dos serviços de relacionamento com os contribuintes</w:t>
      </w:r>
      <w:r w:rsidRPr="00664DBE">
        <w:rPr>
          <w:rFonts w:ascii="Verdana" w:hAnsi="Verdana"/>
          <w:snapToGrid w:val="0"/>
          <w:sz w:val="22"/>
          <w:szCs w:val="22"/>
          <w:lang w:val="pt-BR"/>
        </w:rPr>
        <w:t>. Por meio de: (i) melhoria e expansão dos serviços prestados pela Web, incluindo a atualização do Portal do Contribuinte e a criação de canais de mídia eletrônicos; e (</w:t>
      </w:r>
      <w:proofErr w:type="spellStart"/>
      <w:r w:rsidRPr="00664DBE">
        <w:rPr>
          <w:rFonts w:ascii="Verdana" w:hAnsi="Verdana"/>
          <w:snapToGrid w:val="0"/>
          <w:sz w:val="22"/>
          <w:szCs w:val="22"/>
          <w:lang w:val="pt-BR"/>
        </w:rPr>
        <w:t>ii</w:t>
      </w:r>
      <w:proofErr w:type="spellEnd"/>
      <w:r w:rsidRPr="00664DBE">
        <w:rPr>
          <w:rFonts w:ascii="Verdana" w:hAnsi="Verdana"/>
          <w:snapToGrid w:val="0"/>
          <w:sz w:val="22"/>
          <w:szCs w:val="22"/>
          <w:lang w:val="pt-BR"/>
        </w:rPr>
        <w:t>) reformulação dos procedimentos de atendimento presencial, incluindo a padronização das unidades de atendimento e do sistema de gestão da qualidade do atendimento</w:t>
      </w:r>
      <w:r w:rsidRPr="00664DBE">
        <w:rPr>
          <w:rFonts w:ascii="Verdana" w:hAnsi="Verdana"/>
          <w:noProof/>
          <w:snapToGrid w:val="0"/>
          <w:sz w:val="22"/>
          <w:szCs w:val="22"/>
          <w:lang w:val="pt-BR"/>
        </w:rPr>
        <w:t>.</w:t>
      </w:r>
    </w:p>
    <w:p w14:paraId="750864F1" w14:textId="77777777" w:rsidR="00297880" w:rsidRPr="00664DBE" w:rsidRDefault="00297880" w:rsidP="00664DBE">
      <w:pPr>
        <w:pStyle w:val="subpar"/>
        <w:numPr>
          <w:ilvl w:val="0"/>
          <w:numId w:val="0"/>
        </w:numPr>
        <w:tabs>
          <w:tab w:val="num" w:pos="1800"/>
        </w:tabs>
        <w:spacing w:before="0" w:after="0"/>
        <w:ind w:left="1166"/>
        <w:rPr>
          <w:rFonts w:ascii="Verdana" w:hAnsi="Verdana"/>
          <w:noProof/>
          <w:snapToGrid w:val="0"/>
          <w:sz w:val="22"/>
          <w:szCs w:val="22"/>
          <w:lang w:val="pt-BR"/>
        </w:rPr>
      </w:pPr>
    </w:p>
    <w:p w14:paraId="5E1575A6" w14:textId="77777777" w:rsidR="00297880" w:rsidRPr="00664DBE" w:rsidRDefault="00297880" w:rsidP="00664DBE">
      <w:pPr>
        <w:pStyle w:val="subpar"/>
        <w:numPr>
          <w:ilvl w:val="2"/>
          <w:numId w:val="4"/>
        </w:numPr>
        <w:tabs>
          <w:tab w:val="clear" w:pos="2304"/>
          <w:tab w:val="num" w:pos="360"/>
          <w:tab w:val="num" w:pos="1170"/>
        </w:tabs>
        <w:spacing w:before="0" w:after="0"/>
        <w:ind w:left="1166"/>
        <w:rPr>
          <w:rFonts w:ascii="Verdana" w:hAnsi="Verdana"/>
          <w:noProof/>
          <w:snapToGrid w:val="0"/>
          <w:sz w:val="22"/>
          <w:szCs w:val="22"/>
          <w:lang w:val="pt-BR"/>
        </w:rPr>
      </w:pPr>
      <w:r w:rsidRPr="00664DBE">
        <w:rPr>
          <w:rFonts w:ascii="Verdana" w:hAnsi="Verdana"/>
          <w:b/>
          <w:snapToGrid w:val="0"/>
          <w:sz w:val="22"/>
          <w:szCs w:val="22"/>
          <w:lang w:val="pt-BR"/>
        </w:rPr>
        <w:t>Fortalecimento da gestão de cobrança e arrecadação</w:t>
      </w:r>
      <w:r w:rsidRPr="00664DBE">
        <w:rPr>
          <w:rFonts w:ascii="Verdana" w:hAnsi="Verdana"/>
          <w:snapToGrid w:val="0"/>
          <w:sz w:val="22"/>
          <w:szCs w:val="22"/>
          <w:lang w:val="pt-BR"/>
        </w:rPr>
        <w:t>. Por meio de: (i) redesenho de procedimentos de cobrança e arrecadação, incluindo a conta corrente; (</w:t>
      </w:r>
      <w:proofErr w:type="spellStart"/>
      <w:r w:rsidRPr="00664DBE">
        <w:rPr>
          <w:rFonts w:ascii="Verdana" w:hAnsi="Verdana"/>
          <w:snapToGrid w:val="0"/>
          <w:sz w:val="22"/>
          <w:szCs w:val="22"/>
          <w:lang w:val="pt-BR"/>
        </w:rPr>
        <w:t>ii</w:t>
      </w:r>
      <w:proofErr w:type="spellEnd"/>
      <w:r w:rsidRPr="00664DBE">
        <w:rPr>
          <w:rFonts w:ascii="Verdana" w:hAnsi="Verdana"/>
          <w:snapToGrid w:val="0"/>
          <w:sz w:val="22"/>
          <w:szCs w:val="22"/>
          <w:lang w:val="pt-BR"/>
        </w:rPr>
        <w:t>) novos procedimentos de crédito tributário informatizados; e (</w:t>
      </w:r>
      <w:proofErr w:type="spellStart"/>
      <w:r w:rsidRPr="00664DBE">
        <w:rPr>
          <w:rFonts w:ascii="Verdana" w:hAnsi="Verdana"/>
          <w:snapToGrid w:val="0"/>
          <w:sz w:val="22"/>
          <w:szCs w:val="22"/>
          <w:lang w:val="pt-BR"/>
        </w:rPr>
        <w:t>iii</w:t>
      </w:r>
      <w:proofErr w:type="spellEnd"/>
      <w:r w:rsidRPr="00664DBE">
        <w:rPr>
          <w:rFonts w:ascii="Verdana" w:hAnsi="Verdana"/>
          <w:snapToGrid w:val="0"/>
          <w:sz w:val="22"/>
          <w:szCs w:val="22"/>
          <w:lang w:val="pt-BR"/>
        </w:rPr>
        <w:t xml:space="preserve">) criação de um centro avançado para estudos e pesquisas econômicas e fiscais, incluindo uma metodologia para o cálculo da brecha </w:t>
      </w:r>
      <w:proofErr w:type="gramStart"/>
      <w:r w:rsidRPr="00664DBE">
        <w:rPr>
          <w:rFonts w:ascii="Verdana" w:hAnsi="Verdana"/>
          <w:snapToGrid w:val="0"/>
          <w:sz w:val="22"/>
          <w:szCs w:val="22"/>
          <w:lang w:val="pt-BR"/>
        </w:rPr>
        <w:t>tributaria</w:t>
      </w:r>
      <w:proofErr w:type="gramEnd"/>
      <w:r w:rsidRPr="00664DBE">
        <w:rPr>
          <w:rFonts w:ascii="Verdana" w:hAnsi="Verdana"/>
          <w:noProof/>
          <w:snapToGrid w:val="0"/>
          <w:sz w:val="22"/>
          <w:szCs w:val="22"/>
          <w:lang w:val="pt-BR"/>
        </w:rPr>
        <w:t>.</w:t>
      </w:r>
    </w:p>
    <w:p w14:paraId="784F4422" w14:textId="77777777" w:rsidR="00297880" w:rsidRPr="00911C0E" w:rsidRDefault="00297880" w:rsidP="00664DBE">
      <w:pPr>
        <w:pStyle w:val="subpar"/>
        <w:numPr>
          <w:ilvl w:val="0"/>
          <w:numId w:val="0"/>
        </w:numPr>
        <w:tabs>
          <w:tab w:val="num" w:pos="1800"/>
        </w:tabs>
        <w:spacing w:before="0" w:after="0"/>
        <w:ind w:left="1166"/>
        <w:rPr>
          <w:rFonts w:ascii="Verdana" w:hAnsi="Verdana"/>
          <w:noProof/>
          <w:snapToGrid w:val="0"/>
          <w:sz w:val="22"/>
          <w:szCs w:val="22"/>
          <w:lang w:val="pt-BR"/>
        </w:rPr>
      </w:pPr>
    </w:p>
    <w:p w14:paraId="13F5BC99" w14:textId="77777777" w:rsidR="00664DBE" w:rsidRPr="00911C0E" w:rsidRDefault="00664DBE" w:rsidP="00664DBE">
      <w:pPr>
        <w:pStyle w:val="subpar"/>
        <w:numPr>
          <w:ilvl w:val="0"/>
          <w:numId w:val="0"/>
        </w:numPr>
        <w:tabs>
          <w:tab w:val="num" w:pos="1800"/>
        </w:tabs>
        <w:spacing w:before="0" w:after="0"/>
        <w:ind w:left="1166"/>
        <w:rPr>
          <w:rFonts w:ascii="Verdana" w:hAnsi="Verdana"/>
          <w:noProof/>
          <w:snapToGrid w:val="0"/>
          <w:sz w:val="22"/>
          <w:szCs w:val="22"/>
          <w:lang w:val="pt-BR"/>
        </w:rPr>
      </w:pPr>
    </w:p>
    <w:p w14:paraId="5550F0F4" w14:textId="77777777" w:rsidR="00297880" w:rsidRPr="00664DBE" w:rsidRDefault="00297880" w:rsidP="00664DBE">
      <w:pPr>
        <w:ind w:left="720"/>
        <w:jc w:val="both"/>
        <w:rPr>
          <w:b/>
          <w:noProof/>
          <w:sz w:val="22"/>
          <w:szCs w:val="22"/>
        </w:rPr>
      </w:pPr>
      <w:r w:rsidRPr="00664DBE">
        <w:rPr>
          <w:b/>
          <w:noProof/>
          <w:sz w:val="22"/>
          <w:szCs w:val="22"/>
        </w:rPr>
        <w:t>Componente III. Administração financeira e gasto público</w:t>
      </w:r>
    </w:p>
    <w:p w14:paraId="1D38A366" w14:textId="77777777" w:rsidR="00297880" w:rsidRPr="00664DBE" w:rsidRDefault="00297880" w:rsidP="00664DBE">
      <w:pPr>
        <w:ind w:left="720"/>
        <w:jc w:val="both"/>
        <w:rPr>
          <w:b/>
          <w:noProof/>
          <w:sz w:val="22"/>
          <w:szCs w:val="22"/>
        </w:rPr>
      </w:pPr>
    </w:p>
    <w:p w14:paraId="20E142F8" w14:textId="77777777" w:rsidR="00297880" w:rsidRPr="00664DBE" w:rsidRDefault="00297880" w:rsidP="00664DBE">
      <w:pPr>
        <w:ind w:left="720" w:hanging="720"/>
        <w:jc w:val="both"/>
        <w:rPr>
          <w:noProof/>
          <w:sz w:val="22"/>
          <w:szCs w:val="22"/>
        </w:rPr>
      </w:pPr>
      <w:r w:rsidRPr="00664DBE">
        <w:rPr>
          <w:b/>
          <w:noProof/>
          <w:sz w:val="22"/>
          <w:szCs w:val="22"/>
        </w:rPr>
        <w:t>2.04</w:t>
      </w:r>
      <w:r w:rsidRPr="00664DBE">
        <w:rPr>
          <w:b/>
          <w:noProof/>
          <w:sz w:val="22"/>
          <w:szCs w:val="22"/>
        </w:rPr>
        <w:tab/>
      </w:r>
      <w:r w:rsidRPr="00664DBE">
        <w:rPr>
          <w:noProof/>
          <w:sz w:val="22"/>
          <w:szCs w:val="22"/>
        </w:rPr>
        <w:t xml:space="preserve">Este componente </w:t>
      </w:r>
      <w:r w:rsidRPr="00664DBE">
        <w:rPr>
          <w:sz w:val="22"/>
          <w:szCs w:val="22"/>
        </w:rPr>
        <w:t>está orientado a aumentar a eficiência do planejamento e execução financeira, e financiará</w:t>
      </w:r>
      <w:r w:rsidRPr="00664DBE">
        <w:rPr>
          <w:noProof/>
          <w:sz w:val="22"/>
          <w:szCs w:val="22"/>
        </w:rPr>
        <w:t xml:space="preserve">: </w:t>
      </w:r>
    </w:p>
    <w:p w14:paraId="7CD2DF6F" w14:textId="77777777" w:rsidR="00297880" w:rsidRPr="00664DBE" w:rsidRDefault="00297880" w:rsidP="00664DBE">
      <w:pPr>
        <w:ind w:left="720" w:hanging="720"/>
        <w:jc w:val="both"/>
        <w:rPr>
          <w:noProof/>
          <w:sz w:val="22"/>
          <w:szCs w:val="22"/>
        </w:rPr>
      </w:pPr>
    </w:p>
    <w:p w14:paraId="40D2A022" w14:textId="77777777" w:rsidR="00297880" w:rsidRPr="00664DBE" w:rsidRDefault="00297880" w:rsidP="00664DBE">
      <w:pPr>
        <w:pStyle w:val="Paragraph"/>
        <w:numPr>
          <w:ilvl w:val="0"/>
          <w:numId w:val="3"/>
        </w:numPr>
        <w:tabs>
          <w:tab w:val="left" w:pos="1080"/>
        </w:tabs>
        <w:spacing w:before="0" w:after="0"/>
        <w:rPr>
          <w:rFonts w:ascii="Verdana" w:hAnsi="Verdana"/>
          <w:noProof/>
          <w:snapToGrid w:val="0"/>
          <w:sz w:val="22"/>
          <w:szCs w:val="22"/>
          <w:lang w:val="pt-BR"/>
        </w:rPr>
      </w:pPr>
      <w:r w:rsidRPr="00664DBE">
        <w:rPr>
          <w:rFonts w:ascii="Verdana" w:hAnsi="Verdana"/>
          <w:b/>
          <w:snapToGrid w:val="0"/>
          <w:sz w:val="22"/>
          <w:szCs w:val="22"/>
          <w:lang w:val="pt-BR"/>
        </w:rPr>
        <w:t>Modernização da administração financeira do Estado</w:t>
      </w:r>
      <w:r w:rsidRPr="00664DBE">
        <w:rPr>
          <w:rFonts w:ascii="Verdana" w:hAnsi="Verdana"/>
          <w:snapToGrid w:val="0"/>
          <w:sz w:val="22"/>
          <w:szCs w:val="22"/>
          <w:lang w:val="pt-BR"/>
        </w:rPr>
        <w:t>. Por meio da implantação de novo SIAFEM com as seguintes funcionalidades: (i) banco de dados; (</w:t>
      </w:r>
      <w:proofErr w:type="spellStart"/>
      <w:r w:rsidRPr="00664DBE">
        <w:rPr>
          <w:rFonts w:ascii="Verdana" w:hAnsi="Verdana"/>
          <w:snapToGrid w:val="0"/>
          <w:sz w:val="22"/>
          <w:szCs w:val="22"/>
          <w:lang w:val="pt-BR"/>
        </w:rPr>
        <w:t>ii</w:t>
      </w:r>
      <w:proofErr w:type="spellEnd"/>
      <w:r w:rsidRPr="00664DBE">
        <w:rPr>
          <w:rFonts w:ascii="Verdana" w:hAnsi="Verdana"/>
          <w:snapToGrid w:val="0"/>
          <w:sz w:val="22"/>
          <w:szCs w:val="22"/>
          <w:lang w:val="pt-BR"/>
        </w:rPr>
        <w:t>) módulos de planejamento e orçamento; (</w:t>
      </w:r>
      <w:proofErr w:type="spellStart"/>
      <w:r w:rsidRPr="00664DBE">
        <w:rPr>
          <w:rFonts w:ascii="Verdana" w:hAnsi="Verdana"/>
          <w:snapToGrid w:val="0"/>
          <w:sz w:val="22"/>
          <w:szCs w:val="22"/>
          <w:lang w:val="pt-BR"/>
        </w:rPr>
        <w:t>iii</w:t>
      </w:r>
      <w:proofErr w:type="spellEnd"/>
      <w:r w:rsidRPr="00664DBE">
        <w:rPr>
          <w:rFonts w:ascii="Verdana" w:hAnsi="Verdana"/>
          <w:snapToGrid w:val="0"/>
          <w:sz w:val="22"/>
          <w:szCs w:val="22"/>
          <w:lang w:val="pt-BR"/>
        </w:rPr>
        <w:t>) módulo de execução orçamentária, financeira, patrimonial e contábil; (</w:t>
      </w:r>
      <w:proofErr w:type="spellStart"/>
      <w:r w:rsidRPr="00664DBE">
        <w:rPr>
          <w:rFonts w:ascii="Verdana" w:hAnsi="Verdana"/>
          <w:snapToGrid w:val="0"/>
          <w:sz w:val="22"/>
          <w:szCs w:val="22"/>
          <w:lang w:val="pt-BR"/>
        </w:rPr>
        <w:t>iv</w:t>
      </w:r>
      <w:proofErr w:type="spellEnd"/>
      <w:r w:rsidRPr="00664DBE">
        <w:rPr>
          <w:rFonts w:ascii="Verdana" w:hAnsi="Verdana"/>
          <w:snapToGrid w:val="0"/>
          <w:sz w:val="22"/>
          <w:szCs w:val="22"/>
          <w:lang w:val="pt-BR"/>
        </w:rPr>
        <w:t>) módulo de alterações orçamentárias; (v) módulo de gestão de programas; (vi) módulo de gestão da dívida pública; e (</w:t>
      </w:r>
      <w:proofErr w:type="spellStart"/>
      <w:r w:rsidRPr="00664DBE">
        <w:rPr>
          <w:rFonts w:ascii="Verdana" w:hAnsi="Verdana"/>
          <w:snapToGrid w:val="0"/>
          <w:sz w:val="22"/>
          <w:szCs w:val="22"/>
          <w:lang w:val="pt-BR"/>
        </w:rPr>
        <w:t>vii</w:t>
      </w:r>
      <w:proofErr w:type="spellEnd"/>
      <w:r w:rsidRPr="00664DBE">
        <w:rPr>
          <w:rFonts w:ascii="Verdana" w:hAnsi="Verdana"/>
          <w:snapToGrid w:val="0"/>
          <w:sz w:val="22"/>
          <w:szCs w:val="22"/>
          <w:lang w:val="pt-BR"/>
        </w:rPr>
        <w:t>) integração com outros sistemas corporativos, incluindo de custos públicos</w:t>
      </w:r>
      <w:r w:rsidRPr="00664DBE">
        <w:rPr>
          <w:rFonts w:ascii="Verdana" w:hAnsi="Verdana"/>
          <w:noProof/>
          <w:snapToGrid w:val="0"/>
          <w:sz w:val="22"/>
          <w:szCs w:val="22"/>
          <w:lang w:val="pt-BR"/>
        </w:rPr>
        <w:t>.</w:t>
      </w:r>
    </w:p>
    <w:p w14:paraId="6B560719" w14:textId="77777777" w:rsidR="00297880" w:rsidRPr="00664DBE" w:rsidRDefault="00297880" w:rsidP="00664DBE">
      <w:pPr>
        <w:pStyle w:val="Paragraph"/>
        <w:numPr>
          <w:ilvl w:val="0"/>
          <w:numId w:val="0"/>
        </w:numPr>
        <w:tabs>
          <w:tab w:val="left" w:pos="1080"/>
        </w:tabs>
        <w:spacing w:before="0" w:after="0"/>
        <w:ind w:left="1080"/>
        <w:rPr>
          <w:rFonts w:ascii="Verdana" w:hAnsi="Verdana"/>
          <w:noProof/>
          <w:snapToGrid w:val="0"/>
          <w:sz w:val="22"/>
          <w:szCs w:val="22"/>
          <w:lang w:val="pt-BR"/>
        </w:rPr>
      </w:pPr>
    </w:p>
    <w:p w14:paraId="5E5B469D" w14:textId="77777777" w:rsidR="00297880" w:rsidRPr="00664DBE" w:rsidRDefault="00297880" w:rsidP="00664DBE">
      <w:pPr>
        <w:pStyle w:val="Paragraph"/>
        <w:numPr>
          <w:ilvl w:val="0"/>
          <w:numId w:val="3"/>
        </w:numPr>
        <w:tabs>
          <w:tab w:val="left" w:pos="1080"/>
        </w:tabs>
        <w:spacing w:before="0" w:after="0"/>
        <w:rPr>
          <w:rFonts w:ascii="Verdana" w:hAnsi="Verdana"/>
          <w:noProof/>
          <w:snapToGrid w:val="0"/>
          <w:sz w:val="22"/>
          <w:szCs w:val="22"/>
          <w:lang w:val="pt-BR"/>
        </w:rPr>
      </w:pPr>
      <w:r w:rsidRPr="00664DBE">
        <w:rPr>
          <w:rFonts w:ascii="Verdana" w:hAnsi="Verdana"/>
          <w:b/>
          <w:snapToGrid w:val="0"/>
          <w:sz w:val="22"/>
          <w:szCs w:val="22"/>
          <w:lang w:val="pt-BR"/>
        </w:rPr>
        <w:t>Melhoria do planejamento financeiro</w:t>
      </w:r>
      <w:r w:rsidRPr="00664DBE">
        <w:rPr>
          <w:rFonts w:ascii="Verdana" w:hAnsi="Verdana"/>
          <w:snapToGrid w:val="0"/>
          <w:sz w:val="22"/>
          <w:szCs w:val="22"/>
          <w:lang w:val="pt-BR"/>
        </w:rPr>
        <w:t>. Por meio de novos procedimentos informatizados para a projeção das receitas e despesas do Estado</w:t>
      </w:r>
      <w:r w:rsidRPr="00664DBE">
        <w:rPr>
          <w:rFonts w:ascii="Verdana" w:hAnsi="Verdana"/>
          <w:noProof/>
          <w:snapToGrid w:val="0"/>
          <w:sz w:val="22"/>
          <w:szCs w:val="22"/>
          <w:lang w:val="pt-BR"/>
        </w:rPr>
        <w:t>.</w:t>
      </w:r>
    </w:p>
    <w:p w14:paraId="6EB0CAAD" w14:textId="77777777" w:rsidR="00297880" w:rsidRPr="00911C0E" w:rsidRDefault="00297880" w:rsidP="00664DBE">
      <w:pPr>
        <w:pStyle w:val="ListParagraph"/>
        <w:rPr>
          <w:rFonts w:ascii="Verdana" w:hAnsi="Verdana"/>
          <w:noProof/>
          <w:sz w:val="22"/>
          <w:szCs w:val="22"/>
          <w:lang w:val="pt-BR"/>
        </w:rPr>
      </w:pPr>
    </w:p>
    <w:p w14:paraId="0F5C404B" w14:textId="77777777" w:rsidR="00297880" w:rsidRPr="00664DBE" w:rsidRDefault="00297880" w:rsidP="00664DBE">
      <w:pPr>
        <w:pStyle w:val="Paragraph"/>
        <w:numPr>
          <w:ilvl w:val="0"/>
          <w:numId w:val="3"/>
        </w:numPr>
        <w:tabs>
          <w:tab w:val="left" w:pos="1080"/>
        </w:tabs>
        <w:spacing w:before="0" w:after="0"/>
        <w:rPr>
          <w:rFonts w:ascii="Verdana" w:hAnsi="Verdana"/>
          <w:noProof/>
          <w:snapToGrid w:val="0"/>
          <w:sz w:val="22"/>
          <w:szCs w:val="22"/>
          <w:lang w:val="pt-BR"/>
        </w:rPr>
      </w:pPr>
      <w:r w:rsidRPr="00664DBE">
        <w:rPr>
          <w:rFonts w:ascii="Verdana" w:hAnsi="Verdana"/>
          <w:b/>
          <w:snapToGrid w:val="0"/>
          <w:sz w:val="22"/>
          <w:szCs w:val="22"/>
          <w:lang w:val="pt-BR"/>
        </w:rPr>
        <w:lastRenderedPageBreak/>
        <w:t>Implantação de novos procedimentos de gestão de custos públicos</w:t>
      </w:r>
      <w:r w:rsidRPr="00664DBE">
        <w:rPr>
          <w:rFonts w:ascii="Verdana" w:hAnsi="Verdana"/>
          <w:snapToGrid w:val="0"/>
          <w:sz w:val="22"/>
          <w:szCs w:val="22"/>
          <w:lang w:val="pt-BR"/>
        </w:rPr>
        <w:t>. Por meio de: (i) metodologias para estimar os custos públicos; e (</w:t>
      </w:r>
      <w:proofErr w:type="spellStart"/>
      <w:r w:rsidRPr="00664DBE">
        <w:rPr>
          <w:rFonts w:ascii="Verdana" w:hAnsi="Verdana"/>
          <w:snapToGrid w:val="0"/>
          <w:sz w:val="22"/>
          <w:szCs w:val="22"/>
          <w:lang w:val="pt-BR"/>
        </w:rPr>
        <w:t>ii</w:t>
      </w:r>
      <w:proofErr w:type="spellEnd"/>
      <w:r w:rsidRPr="00664DBE">
        <w:rPr>
          <w:rFonts w:ascii="Verdana" w:hAnsi="Verdana"/>
          <w:snapToGrid w:val="0"/>
          <w:sz w:val="22"/>
          <w:szCs w:val="22"/>
          <w:lang w:val="pt-BR"/>
        </w:rPr>
        <w:t>) sistema informatizado e integrado aos sistemas corporativos do Estado que geram informações para estimar os custos dos serviços públicos</w:t>
      </w:r>
      <w:r w:rsidRPr="00664DBE">
        <w:rPr>
          <w:rFonts w:ascii="Verdana" w:hAnsi="Verdana"/>
          <w:noProof/>
          <w:snapToGrid w:val="0"/>
          <w:sz w:val="22"/>
          <w:szCs w:val="22"/>
          <w:lang w:val="pt-BR"/>
        </w:rPr>
        <w:t>.</w:t>
      </w:r>
    </w:p>
    <w:p w14:paraId="611B3105" w14:textId="77777777" w:rsidR="00664DBE" w:rsidRDefault="00664DBE" w:rsidP="00664DBE">
      <w:pPr>
        <w:rPr>
          <w:rFonts w:cs="Arial"/>
          <w:b/>
          <w:bCs/>
          <w:sz w:val="22"/>
          <w:szCs w:val="22"/>
        </w:rPr>
      </w:pPr>
    </w:p>
    <w:p w14:paraId="6B347A5C" w14:textId="77777777" w:rsidR="00297880" w:rsidRDefault="00297880" w:rsidP="001120FC">
      <w:pPr>
        <w:rPr>
          <w:rFonts w:cs="Arial"/>
          <w:b/>
          <w:bCs/>
          <w:sz w:val="22"/>
          <w:szCs w:val="22"/>
        </w:rPr>
      </w:pPr>
    </w:p>
    <w:p w14:paraId="57470AB0" w14:textId="77777777" w:rsidR="00A90AE2" w:rsidRPr="00664DBE" w:rsidRDefault="00297880" w:rsidP="00A90AE2">
      <w:pPr>
        <w:ind w:right="28"/>
        <w:jc w:val="both"/>
        <w:rPr>
          <w:bCs/>
          <w:sz w:val="22"/>
          <w:szCs w:val="22"/>
        </w:rPr>
      </w:pPr>
      <w:r w:rsidRPr="00664DBE">
        <w:rPr>
          <w:bCs/>
          <w:sz w:val="22"/>
          <w:szCs w:val="22"/>
        </w:rPr>
        <w:t>Os processos das</w:t>
      </w:r>
      <w:r w:rsidR="00A90AE2" w:rsidRPr="00664DBE">
        <w:rPr>
          <w:bCs/>
          <w:sz w:val="22"/>
          <w:szCs w:val="22"/>
        </w:rPr>
        <w:t xml:space="preserve"> </w:t>
      </w:r>
      <w:r w:rsidRPr="00664DBE">
        <w:rPr>
          <w:bCs/>
          <w:sz w:val="22"/>
          <w:szCs w:val="22"/>
        </w:rPr>
        <w:t xml:space="preserve">aquisições de contratos financiados pelo Banco Interamericano de Desenvolvimento </w:t>
      </w:r>
      <w:r w:rsidR="00A90AE2" w:rsidRPr="00664DBE">
        <w:rPr>
          <w:bCs/>
          <w:sz w:val="22"/>
          <w:szCs w:val="22"/>
        </w:rPr>
        <w:t xml:space="preserve">- BID, </w:t>
      </w:r>
      <w:r w:rsidRPr="00664DBE">
        <w:rPr>
          <w:bCs/>
          <w:sz w:val="22"/>
          <w:szCs w:val="22"/>
        </w:rPr>
        <w:t xml:space="preserve">serão efetuados conforme os procedimentos estabelecidos nas </w:t>
      </w:r>
      <w:hyperlink r:id="rId9" w:history="1">
        <w:r w:rsidRPr="00664DBE">
          <w:rPr>
            <w:rStyle w:val="Hyperlink"/>
            <w:i/>
            <w:sz w:val="22"/>
            <w:szCs w:val="22"/>
            <w:u w:val="single"/>
          </w:rPr>
          <w:t>Políticas para a Aquisição de Bens e Contratação de Obras Financiadas pelo Banco Interamericano de Desenvolvimento</w:t>
        </w:r>
      </w:hyperlink>
      <w:r w:rsidR="00A90AE2" w:rsidRPr="00664DBE">
        <w:rPr>
          <w:sz w:val="22"/>
          <w:szCs w:val="22"/>
        </w:rPr>
        <w:t xml:space="preserve"> </w:t>
      </w:r>
      <w:r w:rsidRPr="00664DBE">
        <w:rPr>
          <w:bCs/>
          <w:sz w:val="22"/>
          <w:szCs w:val="22"/>
        </w:rPr>
        <w:t xml:space="preserve">edição atual, e estão abertos a todos os </w:t>
      </w:r>
      <w:r w:rsidRPr="00664DBE">
        <w:rPr>
          <w:bCs/>
          <w:iCs/>
          <w:sz w:val="22"/>
          <w:szCs w:val="22"/>
        </w:rPr>
        <w:t xml:space="preserve">licitantes </w:t>
      </w:r>
      <w:r w:rsidRPr="00664DBE">
        <w:rPr>
          <w:bCs/>
          <w:sz w:val="22"/>
          <w:szCs w:val="22"/>
        </w:rPr>
        <w:t xml:space="preserve">de países elegíveis, conforme definido nestas normas. </w:t>
      </w:r>
    </w:p>
    <w:p w14:paraId="5B71F819" w14:textId="77777777" w:rsidR="00A90AE2" w:rsidRPr="00664DBE" w:rsidRDefault="00A90AE2" w:rsidP="00A90AE2">
      <w:pPr>
        <w:jc w:val="both"/>
        <w:rPr>
          <w:bCs/>
          <w:sz w:val="22"/>
          <w:szCs w:val="22"/>
        </w:rPr>
      </w:pPr>
    </w:p>
    <w:p w14:paraId="3E47C214" w14:textId="77777777" w:rsidR="00297880" w:rsidRPr="00664DBE" w:rsidRDefault="00297880" w:rsidP="00A90AE2">
      <w:pPr>
        <w:jc w:val="both"/>
        <w:rPr>
          <w:sz w:val="22"/>
          <w:szCs w:val="22"/>
        </w:rPr>
      </w:pPr>
      <w:r w:rsidRPr="00664DBE">
        <w:rPr>
          <w:bCs/>
          <w:iCs/>
          <w:sz w:val="22"/>
          <w:szCs w:val="22"/>
        </w:rPr>
        <w:t>P</w:t>
      </w:r>
      <w:r w:rsidRPr="00664DBE">
        <w:rPr>
          <w:bCs/>
          <w:sz w:val="22"/>
          <w:szCs w:val="22"/>
        </w:rPr>
        <w:t xml:space="preserve">ara a seleção e contratação de serviços de consultoria serão seguidos os procedimentos estabelecidos nas </w:t>
      </w:r>
      <w:hyperlink r:id="rId10" w:history="1">
        <w:r w:rsidRPr="00664DBE">
          <w:rPr>
            <w:rStyle w:val="Hyperlink"/>
            <w:bCs/>
            <w:i/>
            <w:iCs/>
            <w:sz w:val="22"/>
            <w:szCs w:val="22"/>
            <w:u w:val="single"/>
          </w:rPr>
          <w:t>Políticas para Seleção e Contratação de Consultores Financiadas pelo Banco Interamericano de Desenvolvimento</w:t>
        </w:r>
      </w:hyperlink>
      <w:r w:rsidRPr="00664DBE">
        <w:rPr>
          <w:bCs/>
          <w:i/>
          <w:iCs/>
          <w:sz w:val="22"/>
          <w:szCs w:val="22"/>
        </w:rPr>
        <w:t xml:space="preserve">, </w:t>
      </w:r>
      <w:r w:rsidRPr="00664DBE">
        <w:rPr>
          <w:bCs/>
          <w:sz w:val="22"/>
          <w:szCs w:val="22"/>
        </w:rPr>
        <w:t>edição atual.</w:t>
      </w:r>
    </w:p>
    <w:p w14:paraId="61ED61CA" w14:textId="77777777" w:rsidR="00297880" w:rsidRPr="00664DBE" w:rsidRDefault="00297880" w:rsidP="00A90AE2">
      <w:pPr>
        <w:autoSpaceDE w:val="0"/>
        <w:autoSpaceDN w:val="0"/>
        <w:adjustRightInd w:val="0"/>
        <w:jc w:val="both"/>
        <w:rPr>
          <w:bCs/>
          <w:sz w:val="22"/>
          <w:szCs w:val="22"/>
        </w:rPr>
      </w:pPr>
    </w:p>
    <w:p w14:paraId="6ACD6B21" w14:textId="77777777" w:rsidR="00297880" w:rsidRPr="00664DBE" w:rsidRDefault="00297880" w:rsidP="00A90AE2">
      <w:pPr>
        <w:jc w:val="both"/>
        <w:rPr>
          <w:sz w:val="22"/>
          <w:szCs w:val="22"/>
        </w:rPr>
      </w:pPr>
      <w:r w:rsidRPr="00664DBE">
        <w:rPr>
          <w:sz w:val="22"/>
          <w:szCs w:val="22"/>
        </w:rPr>
        <w:t>À medida que estejam disponíveis serão publicados a</w:t>
      </w:r>
      <w:bookmarkStart w:id="1" w:name="OLE_LINK1"/>
      <w:r w:rsidRPr="00664DBE">
        <w:rPr>
          <w:sz w:val="22"/>
          <w:szCs w:val="22"/>
        </w:rPr>
        <w:t>visos específicos de licitação</w:t>
      </w:r>
      <w:r w:rsidR="00A90AE2" w:rsidRPr="00664DBE">
        <w:rPr>
          <w:sz w:val="22"/>
          <w:szCs w:val="22"/>
        </w:rPr>
        <w:t xml:space="preserve"> </w:t>
      </w:r>
      <w:r w:rsidRPr="00664DBE">
        <w:rPr>
          <w:sz w:val="22"/>
          <w:szCs w:val="22"/>
        </w:rPr>
        <w:t>para contratos</w:t>
      </w:r>
      <w:bookmarkEnd w:id="1"/>
      <w:r w:rsidRPr="00664DBE">
        <w:rPr>
          <w:sz w:val="22"/>
          <w:szCs w:val="22"/>
        </w:rPr>
        <w:t xml:space="preserve"> a serem licitados de acordo com os procedimentos de Licitação Pública Internacional (LPI) estabelecidos pelo Banco Interamericano de Desenvolvimento. </w:t>
      </w:r>
    </w:p>
    <w:p w14:paraId="6593CEA4" w14:textId="77777777" w:rsidR="00A90AE2" w:rsidRPr="00664DBE" w:rsidRDefault="00A90AE2" w:rsidP="00A90AE2">
      <w:pPr>
        <w:jc w:val="both"/>
        <w:rPr>
          <w:sz w:val="22"/>
          <w:szCs w:val="22"/>
        </w:rPr>
      </w:pPr>
    </w:p>
    <w:p w14:paraId="726B5AF1" w14:textId="77777777" w:rsidR="00297880" w:rsidRPr="00664DBE" w:rsidRDefault="00297880" w:rsidP="00A90AE2">
      <w:pPr>
        <w:jc w:val="both"/>
        <w:rPr>
          <w:sz w:val="22"/>
          <w:szCs w:val="22"/>
        </w:rPr>
      </w:pPr>
      <w:r w:rsidRPr="00664DBE">
        <w:rPr>
          <w:sz w:val="22"/>
          <w:szCs w:val="22"/>
        </w:rPr>
        <w:t>Para os contratos de consultoria cujo valor estimado sej</w:t>
      </w:r>
      <w:r w:rsidR="00A90AE2" w:rsidRPr="00664DBE">
        <w:rPr>
          <w:sz w:val="22"/>
          <w:szCs w:val="22"/>
        </w:rPr>
        <w:t>a superior ao equivalente de US</w:t>
      </w:r>
      <w:r w:rsidRPr="00664DBE">
        <w:rPr>
          <w:sz w:val="22"/>
          <w:szCs w:val="22"/>
        </w:rPr>
        <w:t xml:space="preserve">$ 200 mil, uma solicitação de manifestação de interesse deverá ser publicada no </w:t>
      </w:r>
      <w:hyperlink r:id="rId11" w:history="1">
        <w:r w:rsidRPr="00664DBE">
          <w:rPr>
            <w:rStyle w:val="Hyperlink"/>
            <w:i/>
            <w:iCs/>
            <w:sz w:val="22"/>
            <w:szCs w:val="22"/>
          </w:rPr>
          <w:t xml:space="preserve">UN </w:t>
        </w:r>
        <w:proofErr w:type="spellStart"/>
        <w:r w:rsidRPr="00664DBE">
          <w:rPr>
            <w:rStyle w:val="Hyperlink"/>
            <w:i/>
            <w:sz w:val="22"/>
            <w:szCs w:val="22"/>
          </w:rPr>
          <w:t>Development</w:t>
        </w:r>
        <w:proofErr w:type="spellEnd"/>
        <w:r w:rsidRPr="00664DBE">
          <w:rPr>
            <w:rStyle w:val="Hyperlink"/>
            <w:i/>
            <w:sz w:val="22"/>
            <w:szCs w:val="22"/>
          </w:rPr>
          <w:t xml:space="preserve"> Business</w:t>
        </w:r>
      </w:hyperlink>
      <w:r w:rsidRPr="00664DBE">
        <w:rPr>
          <w:sz w:val="22"/>
          <w:szCs w:val="22"/>
        </w:rPr>
        <w:t xml:space="preserve"> e no </w:t>
      </w:r>
      <w:r w:rsidRPr="00664DBE">
        <w:rPr>
          <w:i/>
          <w:sz w:val="22"/>
          <w:szCs w:val="22"/>
        </w:rPr>
        <w:t>site</w:t>
      </w:r>
      <w:r w:rsidRPr="00664DBE">
        <w:rPr>
          <w:sz w:val="22"/>
          <w:szCs w:val="22"/>
        </w:rPr>
        <w:t xml:space="preserve"> do </w:t>
      </w:r>
      <w:hyperlink r:id="rId12" w:history="1">
        <w:r w:rsidRPr="00664DBE">
          <w:rPr>
            <w:rStyle w:val="Hyperlink"/>
            <w:sz w:val="22"/>
            <w:szCs w:val="22"/>
          </w:rPr>
          <w:t>Banco Interamericano do Desenvolvimento</w:t>
        </w:r>
      </w:hyperlink>
      <w:r w:rsidRPr="00664DBE">
        <w:rPr>
          <w:rStyle w:val="Hyperlink"/>
          <w:sz w:val="22"/>
          <w:szCs w:val="22"/>
        </w:rPr>
        <w:t xml:space="preserve"> e/ou em jornais e</w:t>
      </w:r>
      <w:r w:rsidR="00A90AE2" w:rsidRPr="00664DBE">
        <w:rPr>
          <w:rStyle w:val="Hyperlink"/>
          <w:sz w:val="22"/>
          <w:szCs w:val="22"/>
        </w:rPr>
        <w:t xml:space="preserve"> </w:t>
      </w:r>
      <w:r w:rsidRPr="00664DBE">
        <w:rPr>
          <w:sz w:val="22"/>
          <w:szCs w:val="22"/>
        </w:rPr>
        <w:t>publicações comerciais de ampla distribuição nacional.</w:t>
      </w:r>
    </w:p>
    <w:p w14:paraId="1B8CC8F0" w14:textId="77777777" w:rsidR="00297880" w:rsidRPr="00664DBE" w:rsidRDefault="00297880" w:rsidP="00A90AE2">
      <w:pPr>
        <w:suppressAutoHyphens/>
        <w:jc w:val="both"/>
        <w:rPr>
          <w:bCs/>
          <w:sz w:val="22"/>
          <w:szCs w:val="22"/>
        </w:rPr>
      </w:pPr>
    </w:p>
    <w:p w14:paraId="03055C8F" w14:textId="77777777" w:rsidR="00664DBE" w:rsidRDefault="00C05C5E" w:rsidP="00664DBE">
      <w:pPr>
        <w:jc w:val="both"/>
        <w:rPr>
          <w:sz w:val="22"/>
          <w:szCs w:val="22"/>
        </w:rPr>
      </w:pPr>
      <w:r w:rsidRPr="00664DBE">
        <w:rPr>
          <w:sz w:val="22"/>
          <w:szCs w:val="22"/>
        </w:rPr>
        <w:t>Os licitantes elegíveis interessados em serem incluídos na lista para receber solicitações para pré-qualificação/licitação de acordo com os procedimentos de LPI, assim como consultores interessados em receber uma cópia dos anúncios para apresentar manifestação de interesse para contratos de consultoria ou qualquer interessado em receber informaçõ</w:t>
      </w:r>
      <w:r w:rsidR="00664DBE">
        <w:rPr>
          <w:sz w:val="22"/>
          <w:szCs w:val="22"/>
        </w:rPr>
        <w:t>es adicionais poderão contatar</w:t>
      </w:r>
      <w:r w:rsidR="00023C7F">
        <w:rPr>
          <w:sz w:val="22"/>
          <w:szCs w:val="22"/>
        </w:rPr>
        <w:t>:</w:t>
      </w:r>
    </w:p>
    <w:p w14:paraId="7FBC845B" w14:textId="77777777" w:rsidR="00C05C5E" w:rsidRPr="00664DBE" w:rsidRDefault="00C05C5E" w:rsidP="00664DBE">
      <w:pPr>
        <w:jc w:val="both"/>
        <w:rPr>
          <w:sz w:val="22"/>
          <w:szCs w:val="22"/>
        </w:rPr>
      </w:pPr>
      <w:r w:rsidRPr="00664DBE">
        <w:rPr>
          <w:sz w:val="22"/>
          <w:szCs w:val="22"/>
        </w:rPr>
        <w:t>Endereço:</w:t>
      </w:r>
    </w:p>
    <w:p w14:paraId="7E2E8FEB" w14:textId="77777777" w:rsidR="00C05C5E" w:rsidRPr="00664DBE" w:rsidRDefault="00C05C5E" w:rsidP="00C05C5E">
      <w:pPr>
        <w:rPr>
          <w:sz w:val="22"/>
          <w:szCs w:val="22"/>
        </w:rPr>
      </w:pPr>
    </w:p>
    <w:p w14:paraId="5B541AB0" w14:textId="77777777" w:rsidR="00C05C5E" w:rsidRPr="00664DBE" w:rsidRDefault="00C05C5E" w:rsidP="00C05C5E">
      <w:pPr>
        <w:rPr>
          <w:b/>
          <w:sz w:val="22"/>
          <w:szCs w:val="22"/>
        </w:rPr>
      </w:pPr>
      <w:r w:rsidRPr="00664DBE">
        <w:rPr>
          <w:b/>
          <w:sz w:val="22"/>
          <w:szCs w:val="22"/>
        </w:rPr>
        <w:t>SECRETARIA DE FAZENDA DO ESTADO DO PARÁ</w:t>
      </w:r>
    </w:p>
    <w:p w14:paraId="4490B691" w14:textId="77777777" w:rsidR="00C05C5E" w:rsidRPr="00664DBE" w:rsidRDefault="00C05C5E" w:rsidP="00C05C5E">
      <w:pPr>
        <w:rPr>
          <w:b/>
          <w:sz w:val="22"/>
          <w:szCs w:val="22"/>
        </w:rPr>
      </w:pPr>
      <w:r w:rsidRPr="00664DBE">
        <w:rPr>
          <w:iCs/>
          <w:sz w:val="22"/>
          <w:szCs w:val="22"/>
        </w:rPr>
        <w:t xml:space="preserve">Em Atenção: </w:t>
      </w:r>
      <w:r w:rsidRPr="00664DBE">
        <w:rPr>
          <w:b/>
          <w:iCs/>
          <w:sz w:val="22"/>
          <w:szCs w:val="22"/>
        </w:rPr>
        <w:t>Sr. Raimundo Augusto Cardoso de Miranda</w:t>
      </w:r>
      <w:r w:rsidRPr="00664DBE">
        <w:rPr>
          <w:iCs/>
          <w:sz w:val="22"/>
          <w:szCs w:val="22"/>
        </w:rPr>
        <w:t xml:space="preserve"> </w:t>
      </w:r>
    </w:p>
    <w:p w14:paraId="7EB8B057" w14:textId="77777777" w:rsidR="00C05C5E" w:rsidRPr="00664DBE" w:rsidRDefault="00C05C5E" w:rsidP="00C05C5E">
      <w:pPr>
        <w:rPr>
          <w:sz w:val="22"/>
          <w:szCs w:val="22"/>
        </w:rPr>
      </w:pPr>
      <w:r w:rsidRPr="00664DBE">
        <w:rPr>
          <w:sz w:val="22"/>
          <w:szCs w:val="22"/>
        </w:rPr>
        <w:t>Coordenadora Geral do PROFISCO II/PA</w:t>
      </w:r>
    </w:p>
    <w:p w14:paraId="0E51E761" w14:textId="77777777" w:rsidR="00C05C5E" w:rsidRPr="00664DBE" w:rsidRDefault="00C05C5E" w:rsidP="00C05C5E">
      <w:pPr>
        <w:rPr>
          <w:iCs/>
          <w:sz w:val="22"/>
          <w:szCs w:val="22"/>
        </w:rPr>
      </w:pPr>
    </w:p>
    <w:p w14:paraId="77262BC2" w14:textId="77777777" w:rsidR="00C05C5E" w:rsidRPr="00664DBE" w:rsidRDefault="00C05C5E" w:rsidP="00C05C5E">
      <w:pPr>
        <w:rPr>
          <w:sz w:val="22"/>
          <w:szCs w:val="22"/>
        </w:rPr>
      </w:pPr>
      <w:r w:rsidRPr="00664DBE">
        <w:rPr>
          <w:sz w:val="22"/>
          <w:szCs w:val="22"/>
        </w:rPr>
        <w:t>Av. Visconde de Souza Franco, 110</w:t>
      </w:r>
    </w:p>
    <w:p w14:paraId="0E69A22C" w14:textId="77777777" w:rsidR="00C05C5E" w:rsidRPr="00664DBE" w:rsidRDefault="00C05C5E" w:rsidP="00C05C5E">
      <w:pPr>
        <w:rPr>
          <w:sz w:val="22"/>
          <w:szCs w:val="22"/>
        </w:rPr>
      </w:pPr>
      <w:r w:rsidRPr="00664DBE">
        <w:rPr>
          <w:sz w:val="22"/>
          <w:szCs w:val="22"/>
        </w:rPr>
        <w:t>CEP: 66.053-000</w:t>
      </w:r>
    </w:p>
    <w:p w14:paraId="057F2CA8" w14:textId="77777777" w:rsidR="00C05C5E" w:rsidRPr="00664DBE" w:rsidRDefault="00C05C5E" w:rsidP="00C05C5E">
      <w:pPr>
        <w:rPr>
          <w:sz w:val="22"/>
          <w:szCs w:val="22"/>
        </w:rPr>
      </w:pPr>
      <w:r w:rsidRPr="00664DBE">
        <w:rPr>
          <w:sz w:val="22"/>
          <w:szCs w:val="22"/>
        </w:rPr>
        <w:t>Belém - PA</w:t>
      </w:r>
    </w:p>
    <w:p w14:paraId="7AE0E51F" w14:textId="77777777" w:rsidR="00C05C5E" w:rsidRPr="00664DBE" w:rsidRDefault="00664DBE" w:rsidP="00C05C5E">
      <w:pPr>
        <w:rPr>
          <w:iCs/>
          <w:sz w:val="22"/>
          <w:szCs w:val="22"/>
        </w:rPr>
      </w:pPr>
      <w:r>
        <w:rPr>
          <w:iCs/>
          <w:sz w:val="22"/>
          <w:szCs w:val="22"/>
        </w:rPr>
        <w:t xml:space="preserve">Contato: </w:t>
      </w:r>
      <w:r w:rsidR="00C05C5E" w:rsidRPr="00664DBE">
        <w:rPr>
          <w:iCs/>
          <w:sz w:val="22"/>
          <w:szCs w:val="22"/>
        </w:rPr>
        <w:t>(91) 3323-4227/3222-0378</w:t>
      </w:r>
    </w:p>
    <w:p w14:paraId="20C2CA07" w14:textId="77777777" w:rsidR="00C05C5E" w:rsidRPr="00664DBE" w:rsidRDefault="00C05C5E" w:rsidP="00C05C5E">
      <w:pPr>
        <w:rPr>
          <w:iCs/>
          <w:sz w:val="22"/>
          <w:szCs w:val="22"/>
        </w:rPr>
      </w:pPr>
      <w:r w:rsidRPr="00664DBE">
        <w:rPr>
          <w:iCs/>
          <w:sz w:val="22"/>
          <w:szCs w:val="22"/>
        </w:rPr>
        <w:t>E-mail: augusto@sefa.pa.gov.br</w:t>
      </w:r>
    </w:p>
    <w:p w14:paraId="6BCD3A71" w14:textId="77777777" w:rsidR="00C05C5E" w:rsidRPr="00664DBE" w:rsidRDefault="00C05C5E" w:rsidP="00C05C5E">
      <w:pPr>
        <w:rPr>
          <w:iCs/>
          <w:sz w:val="22"/>
          <w:szCs w:val="22"/>
        </w:rPr>
      </w:pPr>
    </w:p>
    <w:p w14:paraId="3B480154" w14:textId="77777777" w:rsidR="00C05C5E" w:rsidRPr="00664DBE" w:rsidRDefault="00C05C5E" w:rsidP="00A90AE2">
      <w:pPr>
        <w:jc w:val="both"/>
        <w:rPr>
          <w:sz w:val="22"/>
          <w:szCs w:val="22"/>
        </w:rPr>
      </w:pPr>
    </w:p>
    <w:p w14:paraId="5467CC28" w14:textId="77777777" w:rsidR="00C05C5E" w:rsidRPr="00664DBE" w:rsidRDefault="00C05C5E">
      <w:pPr>
        <w:rPr>
          <w:sz w:val="22"/>
          <w:szCs w:val="22"/>
        </w:rPr>
      </w:pPr>
    </w:p>
    <w:sectPr w:rsidR="00C05C5E" w:rsidRPr="00664DBE" w:rsidSect="00EF1D11">
      <w:pgSz w:w="11906" w:h="16838" w:code="9"/>
      <w:pgMar w:top="1134" w:right="1134" w:bottom="1134" w:left="1134"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84C19" w14:textId="77777777" w:rsidR="00AB33F4" w:rsidRDefault="00AB33F4" w:rsidP="00297880">
      <w:r>
        <w:separator/>
      </w:r>
    </w:p>
  </w:endnote>
  <w:endnote w:type="continuationSeparator" w:id="0">
    <w:p w14:paraId="6327DA80" w14:textId="77777777" w:rsidR="00AB33F4" w:rsidRDefault="00AB33F4" w:rsidP="00297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DF5322" w14:textId="77777777" w:rsidR="00AB33F4" w:rsidRDefault="00AB33F4" w:rsidP="00297880">
      <w:r>
        <w:separator/>
      </w:r>
    </w:p>
  </w:footnote>
  <w:footnote w:type="continuationSeparator" w:id="0">
    <w:p w14:paraId="64B9B7BF" w14:textId="77777777" w:rsidR="00AB33F4" w:rsidRDefault="00AB33F4" w:rsidP="002978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1293C"/>
    <w:multiLevelType w:val="multilevel"/>
    <w:tmpl w:val="AE6AB3DE"/>
    <w:lvl w:ilvl="0">
      <w:start w:val="1"/>
      <w:numFmt w:val="decimal"/>
      <w:lvlText w:val="%1"/>
      <w:lvlJc w:val="left"/>
      <w:pPr>
        <w:ind w:left="360" w:hanging="360"/>
      </w:pPr>
      <w:rPr>
        <w:rFonts w:hint="default"/>
        <w:b/>
      </w:rPr>
    </w:lvl>
    <w:lvl w:ilvl="1">
      <w:start w:val="1"/>
      <w:numFmt w:val="decimalZero"/>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2E3C7837"/>
    <w:multiLevelType w:val="hybridMultilevel"/>
    <w:tmpl w:val="5A18AF9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59B4991"/>
    <w:multiLevelType w:val="multilevel"/>
    <w:tmpl w:val="DB9EC8E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0"/>
  </w:num>
  <w:num w:numId="2">
    <w:abstractNumId w:val="2"/>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8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707"/>
    <w:rsid w:val="00023C7F"/>
    <w:rsid w:val="001120FC"/>
    <w:rsid w:val="001B55C7"/>
    <w:rsid w:val="001F3075"/>
    <w:rsid w:val="002043FC"/>
    <w:rsid w:val="002118F2"/>
    <w:rsid w:val="00274DE9"/>
    <w:rsid w:val="00275852"/>
    <w:rsid w:val="00297880"/>
    <w:rsid w:val="00375E26"/>
    <w:rsid w:val="00381E1F"/>
    <w:rsid w:val="003D4783"/>
    <w:rsid w:val="00454CDA"/>
    <w:rsid w:val="00456E99"/>
    <w:rsid w:val="00470BAB"/>
    <w:rsid w:val="0051401D"/>
    <w:rsid w:val="005269C2"/>
    <w:rsid w:val="00664DBE"/>
    <w:rsid w:val="00693467"/>
    <w:rsid w:val="006A2D14"/>
    <w:rsid w:val="006C2C18"/>
    <w:rsid w:val="00700771"/>
    <w:rsid w:val="0075744D"/>
    <w:rsid w:val="007B14B2"/>
    <w:rsid w:val="00804284"/>
    <w:rsid w:val="00825C05"/>
    <w:rsid w:val="00830A10"/>
    <w:rsid w:val="00862933"/>
    <w:rsid w:val="008B3D8A"/>
    <w:rsid w:val="008E58BC"/>
    <w:rsid w:val="00911C0E"/>
    <w:rsid w:val="0091456F"/>
    <w:rsid w:val="009342BC"/>
    <w:rsid w:val="009348D9"/>
    <w:rsid w:val="009C478B"/>
    <w:rsid w:val="009F7EFE"/>
    <w:rsid w:val="00A245B7"/>
    <w:rsid w:val="00A87462"/>
    <w:rsid w:val="00A909BE"/>
    <w:rsid w:val="00A90AE2"/>
    <w:rsid w:val="00AB33F4"/>
    <w:rsid w:val="00B535E4"/>
    <w:rsid w:val="00B908BE"/>
    <w:rsid w:val="00C05C5E"/>
    <w:rsid w:val="00C435DD"/>
    <w:rsid w:val="00CC395B"/>
    <w:rsid w:val="00CD2BB7"/>
    <w:rsid w:val="00CF0266"/>
    <w:rsid w:val="00DF6707"/>
    <w:rsid w:val="00E40D6E"/>
    <w:rsid w:val="00E95C74"/>
    <w:rsid w:val="00EF1D11"/>
    <w:rsid w:val="00F07CEB"/>
    <w:rsid w:val="00F3006B"/>
    <w:rsid w:val="00FA5317"/>
    <w:rsid w:val="00FE68E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29E2BA"/>
  <w15:docId w15:val="{72CB83BA-1ED5-4F51-AB78-782A19F4F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48D9"/>
    <w:rPr>
      <w:rFonts w:ascii="Verdana" w:hAnsi="Verdana"/>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F6707"/>
    <w:pPr>
      <w:spacing w:before="100" w:beforeAutospacing="1" w:after="100" w:afterAutospacing="1"/>
    </w:pPr>
    <w:rPr>
      <w:rFonts w:ascii="Times New Roman" w:hAnsi="Times New Roman"/>
      <w:sz w:val="24"/>
      <w:szCs w:val="24"/>
    </w:rPr>
  </w:style>
  <w:style w:type="paragraph" w:styleId="BodyText">
    <w:name w:val="Body Text"/>
    <w:basedOn w:val="Normal"/>
    <w:rsid w:val="00DF6707"/>
    <w:pPr>
      <w:spacing w:before="100" w:beforeAutospacing="1" w:after="100" w:afterAutospacing="1"/>
    </w:pPr>
    <w:rPr>
      <w:rFonts w:ascii="Times New Roman" w:hAnsi="Times New Roman"/>
      <w:sz w:val="24"/>
      <w:szCs w:val="24"/>
    </w:rPr>
  </w:style>
  <w:style w:type="paragraph" w:styleId="BalloonText">
    <w:name w:val="Balloon Text"/>
    <w:basedOn w:val="Normal"/>
    <w:semiHidden/>
    <w:rsid w:val="00CF0266"/>
    <w:rPr>
      <w:rFonts w:ascii="Tahoma" w:hAnsi="Tahoma" w:cs="Tahoma"/>
    </w:rPr>
  </w:style>
  <w:style w:type="character" w:customStyle="1" w:styleId="hlon3">
    <w:name w:val="hlon3"/>
    <w:basedOn w:val="DefaultParagraphFont"/>
    <w:rsid w:val="006C2C18"/>
    <w:rPr>
      <w:shd w:val="clear" w:color="auto" w:fill="DDE7C8"/>
    </w:rPr>
  </w:style>
  <w:style w:type="paragraph" w:styleId="ListParagraph">
    <w:name w:val="List Paragraph"/>
    <w:basedOn w:val="Normal"/>
    <w:uiPriority w:val="34"/>
    <w:qFormat/>
    <w:rsid w:val="00297880"/>
    <w:pPr>
      <w:widowControl w:val="0"/>
      <w:ind w:left="720"/>
    </w:pPr>
    <w:rPr>
      <w:rFonts w:ascii="Baskerville Old Face" w:hAnsi="Baskerville Old Face"/>
      <w:snapToGrid w:val="0"/>
      <w:sz w:val="24"/>
      <w:szCs w:val="20"/>
      <w:lang w:val="en-US" w:eastAsia="en-US"/>
    </w:rPr>
  </w:style>
  <w:style w:type="paragraph" w:customStyle="1" w:styleId="Chapter">
    <w:name w:val="Chapter"/>
    <w:basedOn w:val="Normal"/>
    <w:next w:val="Normal"/>
    <w:rsid w:val="00297880"/>
    <w:pPr>
      <w:keepNext/>
      <w:numPr>
        <w:numId w:val="2"/>
      </w:numPr>
      <w:tabs>
        <w:tab w:val="left" w:pos="1440"/>
      </w:tabs>
      <w:spacing w:before="240" w:after="240"/>
      <w:jc w:val="center"/>
    </w:pPr>
    <w:rPr>
      <w:rFonts w:ascii="Times New Roman" w:hAnsi="Times New Roman"/>
      <w:b/>
      <w:smallCaps/>
      <w:sz w:val="24"/>
      <w:szCs w:val="20"/>
      <w:lang w:val="es-ES" w:eastAsia="en-US"/>
    </w:rPr>
  </w:style>
  <w:style w:type="paragraph" w:customStyle="1" w:styleId="Paragraph">
    <w:name w:val="Paragraph"/>
    <w:aliases w:val="paragraph,p,PARAGRAPH,PG,pa,at"/>
    <w:basedOn w:val="BodyTextIndent"/>
    <w:qFormat/>
    <w:rsid w:val="00297880"/>
    <w:pPr>
      <w:numPr>
        <w:ilvl w:val="1"/>
        <w:numId w:val="2"/>
      </w:numPr>
      <w:spacing w:before="120"/>
      <w:jc w:val="both"/>
      <w:outlineLvl w:val="1"/>
    </w:pPr>
    <w:rPr>
      <w:rFonts w:ascii="Times New Roman" w:hAnsi="Times New Roman"/>
      <w:sz w:val="24"/>
      <w:szCs w:val="20"/>
      <w:lang w:val="es-ES" w:eastAsia="en-US"/>
    </w:rPr>
  </w:style>
  <w:style w:type="paragraph" w:customStyle="1" w:styleId="subpar">
    <w:name w:val="subpar"/>
    <w:basedOn w:val="BodyTextIndent3"/>
    <w:uiPriority w:val="99"/>
    <w:rsid w:val="00297880"/>
    <w:pPr>
      <w:numPr>
        <w:ilvl w:val="2"/>
        <w:numId w:val="2"/>
      </w:numPr>
      <w:spacing w:before="120"/>
      <w:jc w:val="both"/>
      <w:outlineLvl w:val="2"/>
    </w:pPr>
    <w:rPr>
      <w:rFonts w:ascii="Times New Roman" w:hAnsi="Times New Roman"/>
      <w:sz w:val="24"/>
      <w:szCs w:val="20"/>
      <w:lang w:val="es-ES_tradnl" w:eastAsia="en-US"/>
    </w:rPr>
  </w:style>
  <w:style w:type="paragraph" w:customStyle="1" w:styleId="SubSubPar">
    <w:name w:val="SubSubPar"/>
    <w:basedOn w:val="subpar"/>
    <w:rsid w:val="00297880"/>
    <w:pPr>
      <w:numPr>
        <w:ilvl w:val="3"/>
      </w:numPr>
      <w:tabs>
        <w:tab w:val="clear" w:pos="2736"/>
        <w:tab w:val="left" w:pos="0"/>
        <w:tab w:val="num" w:pos="360"/>
        <w:tab w:val="num" w:pos="720"/>
        <w:tab w:val="num" w:pos="1296"/>
      </w:tabs>
      <w:ind w:left="1296" w:hanging="720"/>
    </w:pPr>
  </w:style>
  <w:style w:type="paragraph" w:styleId="BodyTextIndent">
    <w:name w:val="Body Text Indent"/>
    <w:basedOn w:val="Normal"/>
    <w:link w:val="BodyTextIndentChar"/>
    <w:rsid w:val="00297880"/>
    <w:pPr>
      <w:spacing w:after="120"/>
      <w:ind w:left="283"/>
    </w:pPr>
  </w:style>
  <w:style w:type="character" w:customStyle="1" w:styleId="BodyTextIndentChar">
    <w:name w:val="Body Text Indent Char"/>
    <w:basedOn w:val="DefaultParagraphFont"/>
    <w:link w:val="BodyTextIndent"/>
    <w:rsid w:val="00297880"/>
    <w:rPr>
      <w:rFonts w:ascii="Verdana" w:hAnsi="Verdana"/>
      <w:sz w:val="16"/>
      <w:szCs w:val="16"/>
    </w:rPr>
  </w:style>
  <w:style w:type="paragraph" w:styleId="BodyTextIndent3">
    <w:name w:val="Body Text Indent 3"/>
    <w:basedOn w:val="Normal"/>
    <w:link w:val="BodyTextIndent3Char"/>
    <w:rsid w:val="00297880"/>
    <w:pPr>
      <w:spacing w:after="120"/>
      <w:ind w:left="283"/>
    </w:pPr>
  </w:style>
  <w:style w:type="character" w:customStyle="1" w:styleId="BodyTextIndent3Char">
    <w:name w:val="Body Text Indent 3 Char"/>
    <w:basedOn w:val="DefaultParagraphFont"/>
    <w:link w:val="BodyTextIndent3"/>
    <w:rsid w:val="00297880"/>
    <w:rPr>
      <w:rFonts w:ascii="Verdana" w:hAnsi="Verdana"/>
      <w:sz w:val="16"/>
      <w:szCs w:val="16"/>
    </w:rPr>
  </w:style>
  <w:style w:type="character" w:styleId="Hyperlink">
    <w:name w:val="Hyperlink"/>
    <w:rsid w:val="00297880"/>
    <w:rPr>
      <w:color w:val="auto"/>
      <w:u w:val="none"/>
    </w:rPr>
  </w:style>
  <w:style w:type="paragraph" w:styleId="EndnoteText">
    <w:name w:val="endnote text"/>
    <w:basedOn w:val="Normal"/>
    <w:link w:val="EndnoteTextChar"/>
    <w:rsid w:val="00A90AE2"/>
    <w:rPr>
      <w:sz w:val="20"/>
      <w:szCs w:val="20"/>
    </w:rPr>
  </w:style>
  <w:style w:type="character" w:customStyle="1" w:styleId="EndnoteTextChar">
    <w:name w:val="Endnote Text Char"/>
    <w:basedOn w:val="DefaultParagraphFont"/>
    <w:link w:val="EndnoteText"/>
    <w:rsid w:val="00A90AE2"/>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19233">
      <w:bodyDiv w:val="1"/>
      <w:marLeft w:val="0"/>
      <w:marRight w:val="0"/>
      <w:marTop w:val="0"/>
      <w:marBottom w:val="0"/>
      <w:divBdr>
        <w:top w:val="none" w:sz="0" w:space="0" w:color="auto"/>
        <w:left w:val="none" w:sz="0" w:space="0" w:color="auto"/>
        <w:bottom w:val="none" w:sz="0" w:space="0" w:color="auto"/>
        <w:right w:val="none" w:sz="0" w:space="0" w:color="auto"/>
      </w:divBdr>
    </w:div>
    <w:div w:id="1491407270">
      <w:bodyDiv w:val="1"/>
      <w:marLeft w:val="0"/>
      <w:marRight w:val="0"/>
      <w:marTop w:val="0"/>
      <w:marBottom w:val="0"/>
      <w:divBdr>
        <w:top w:val="none" w:sz="0" w:space="0" w:color="auto"/>
        <w:left w:val="none" w:sz="0" w:space="0" w:color="auto"/>
        <w:bottom w:val="none" w:sz="0" w:space="0" w:color="auto"/>
        <w:right w:val="none" w:sz="0" w:space="0" w:color="auto"/>
      </w:divBdr>
      <w:divsChild>
        <w:div w:id="1647710308">
          <w:marLeft w:val="0"/>
          <w:marRight w:val="0"/>
          <w:marTop w:val="0"/>
          <w:marBottom w:val="0"/>
          <w:divBdr>
            <w:top w:val="none" w:sz="0" w:space="0" w:color="auto"/>
            <w:left w:val="none" w:sz="0" w:space="0" w:color="auto"/>
            <w:bottom w:val="none" w:sz="0" w:space="0" w:color="auto"/>
            <w:right w:val="none" w:sz="0" w:space="0" w:color="auto"/>
          </w:divBdr>
          <w:divsChild>
            <w:div w:id="537548118">
              <w:marLeft w:val="0"/>
              <w:marRight w:val="0"/>
              <w:marTop w:val="0"/>
              <w:marBottom w:val="0"/>
              <w:divBdr>
                <w:top w:val="none" w:sz="0" w:space="0" w:color="auto"/>
                <w:left w:val="none" w:sz="0" w:space="0" w:color="auto"/>
                <w:bottom w:val="none" w:sz="0" w:space="0" w:color="auto"/>
                <w:right w:val="none" w:sz="0" w:space="0" w:color="auto"/>
              </w:divBdr>
              <w:divsChild>
                <w:div w:id="490292249">
                  <w:marLeft w:val="0"/>
                  <w:marRight w:val="0"/>
                  <w:marTop w:val="825"/>
                  <w:marBottom w:val="0"/>
                  <w:divBdr>
                    <w:top w:val="none" w:sz="0" w:space="0" w:color="auto"/>
                    <w:left w:val="none" w:sz="0" w:space="0" w:color="auto"/>
                    <w:bottom w:val="none" w:sz="0" w:space="0" w:color="auto"/>
                    <w:right w:val="none" w:sz="0" w:space="0" w:color="auto"/>
                  </w:divBdr>
                  <w:divsChild>
                    <w:div w:id="1330980093">
                      <w:marLeft w:val="0"/>
                      <w:marRight w:val="0"/>
                      <w:marTop w:val="0"/>
                      <w:marBottom w:val="0"/>
                      <w:divBdr>
                        <w:top w:val="none" w:sz="0" w:space="0" w:color="auto"/>
                        <w:left w:val="none" w:sz="0" w:space="0" w:color="auto"/>
                        <w:bottom w:val="none" w:sz="0" w:space="0" w:color="auto"/>
                        <w:right w:val="none" w:sz="0" w:space="0" w:color="auto"/>
                      </w:divBdr>
                      <w:divsChild>
                        <w:div w:id="151458646">
                          <w:marLeft w:val="0"/>
                          <w:marRight w:val="0"/>
                          <w:marTop w:val="0"/>
                          <w:marBottom w:val="0"/>
                          <w:divBdr>
                            <w:top w:val="none" w:sz="0" w:space="0" w:color="auto"/>
                            <w:left w:val="none" w:sz="0" w:space="0" w:color="auto"/>
                            <w:bottom w:val="none" w:sz="0" w:space="0" w:color="auto"/>
                            <w:right w:val="none" w:sz="0" w:space="0" w:color="auto"/>
                          </w:divBdr>
                          <w:divsChild>
                            <w:div w:id="138374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adb.org/pt/aquisicao-de-projetos,8148.html" TargetMode="Externa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evbusiness.com/"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www.iadb.org/document.cfm?id=780811" TargetMode="External"/><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hyperlink" Target="http://www.iadb.org/document.cfm?id=780806"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90B970F6EB85D4EBFFB9FA09D3FB7A2" ma:contentTypeVersion="3768" ma:contentTypeDescription="A content type to manage public (operations) IDB documents" ma:contentTypeScope="" ma:versionID="a01140ae4f2a3708ab7e25065508fdce">
  <xsd:schema xmlns:xsd="http://www.w3.org/2001/XMLSchema" xmlns:xs="http://www.w3.org/2001/XMLSchema" xmlns:p="http://schemas.microsoft.com/office/2006/metadata/properties" xmlns:ns2="cdc7663a-08f0-4737-9e8c-148ce897a09c" targetNamespace="http://schemas.microsoft.com/office/2006/metadata/properties" ma:root="true" ma:fieldsID="0b82c80b9c93b34e4d6674f98e72c64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49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CSC/CBR</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4459/OC-BR;</Approval_x0020_Number>
    <Phase xmlns="cdc7663a-08f0-4737-9e8c-148ce897a09c" xsi:nil="true"/>
    <Document_x0020_Author xmlns="cdc7663a-08f0-4737-9e8c-148ce897a09c">Da Rosa Fernandes,Leonardo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 xsi:nil="true"/>
    <Key_x0020_Document xmlns="cdc7663a-08f0-4737-9e8c-148ce897a09c">false</Key_x0020_Document>
    <Document_x0020_Language_x0020_IDB xmlns="cdc7663a-08f0-4737-9e8c-148ce897a09c">Portuguese</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32</Value>
      <Value>31</Value>
      <Value>30</Value>
      <Value>7</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BR-L1499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EZSHARE-1598605058-8</_dlc_DocId>
    <_dlc_DocIdUrl xmlns="cdc7663a-08f0-4737-9e8c-148ce897a09c">
      <Url>https://idbg.sharepoint.com/teams/EZ-BR-LON/BR-L1499/_layouts/15/DocIdRedir.aspx?ID=EZSHARE-1598605058-8</Url>
      <Description>EZSHARE-1598605058-8</Description>
    </_dlc_DocIdUrl>
    <Disclosure_x0020_Activity xmlns="cdc7663a-08f0-4737-9e8c-148ce897a09c">General Procurement Notices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DFEE5E27-8FB9-4BD5-A143-86148A9EF986}">
  <ds:schemaRefs>
    <ds:schemaRef ds:uri="http://schemas.openxmlformats.org/officeDocument/2006/bibliography"/>
  </ds:schemaRefs>
</ds:datastoreItem>
</file>

<file path=customXml/itemProps2.xml><?xml version="1.0" encoding="utf-8"?>
<ds:datastoreItem xmlns:ds="http://schemas.openxmlformats.org/officeDocument/2006/customXml" ds:itemID="{CEB84439-478C-441C-80D7-CF29DD3752E6}"/>
</file>

<file path=customXml/itemProps3.xml><?xml version="1.0" encoding="utf-8"?>
<ds:datastoreItem xmlns:ds="http://schemas.openxmlformats.org/officeDocument/2006/customXml" ds:itemID="{58EA1A19-E674-4681-BAF3-F967F22AAF67}"/>
</file>

<file path=customXml/itemProps4.xml><?xml version="1.0" encoding="utf-8"?>
<ds:datastoreItem xmlns:ds="http://schemas.openxmlformats.org/officeDocument/2006/customXml" ds:itemID="{6A6369B2-784D-4466-8D58-7A0C26D6693B}"/>
</file>

<file path=customXml/itemProps5.xml><?xml version="1.0" encoding="utf-8"?>
<ds:datastoreItem xmlns:ds="http://schemas.openxmlformats.org/officeDocument/2006/customXml" ds:itemID="{746A733D-F7B8-437A-A831-577C41C68752}"/>
</file>

<file path=customXml/itemProps6.xml><?xml version="1.0" encoding="utf-8"?>
<ds:datastoreItem xmlns:ds="http://schemas.openxmlformats.org/officeDocument/2006/customXml" ds:itemID="{BA48E051-B5DE-42D9-95E0-6BB8A103FB02}"/>
</file>

<file path=customXml/itemProps7.xml><?xml version="1.0" encoding="utf-8"?>
<ds:datastoreItem xmlns:ds="http://schemas.openxmlformats.org/officeDocument/2006/customXml" ds:itemID="{C42AF3D0-6B19-4434-BE89-1D03118044BA}"/>
</file>

<file path=docProps/app.xml><?xml version="1.0" encoding="utf-8"?>
<Properties xmlns="http://schemas.openxmlformats.org/officeDocument/2006/extended-properties" xmlns:vt="http://schemas.openxmlformats.org/officeDocument/2006/docPropsVTypes">
  <Template>Normal</Template>
  <TotalTime>1</TotalTime>
  <Pages>4</Pages>
  <Words>1430</Words>
  <Characters>8157</Characters>
  <Application>Microsoft Office Word</Application>
  <DocSecurity>4</DocSecurity>
  <Lines>67</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LINCOLN</dc:creator>
  <cp:keywords/>
  <cp:lastModifiedBy>Da Rosa Fernandes, Leonardo</cp:lastModifiedBy>
  <cp:revision>2</cp:revision>
  <cp:lastPrinted>2010-01-21T14:38:00Z</cp:lastPrinted>
  <dcterms:created xsi:type="dcterms:W3CDTF">2019-05-13T12:49:00Z</dcterms:created>
  <dcterms:modified xsi:type="dcterms:W3CDTF">2019-05-13T12:49:00Z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32;#FISCAL POLICY FOR SUSTAINABILITY AND GROWTH|6e15b5e0-ae82-4b06-920a-eef6dd27cc8b</vt:lpwstr>
  </property>
  <property fmtid="{D5CDD505-2E9C-101B-9397-08002B2CF9AE}" pid="7" name="Fund IDB">
    <vt:lpwstr/>
  </property>
  <property fmtid="{D5CDD505-2E9C-101B-9397-08002B2CF9AE}" pid="8" name="Country">
    <vt:lpwstr>30;#Brazil|7deb27ec-6837-4974-9aa8-6cfbac841ef8</vt:lpwstr>
  </property>
  <property fmtid="{D5CDD505-2E9C-101B-9397-08002B2CF9AE}" pid="9" name="Sector IDB">
    <vt:lpwstr>31;#REFORM / MODERNIZATION OF THE STATE|c8fda4a7-691a-4c65-b227-9825197b5cd2</vt:lpwstr>
  </property>
  <property fmtid="{D5CDD505-2E9C-101B-9397-08002B2CF9AE}" pid="10" name="Function Operations IDB">
    <vt:lpwstr>7;#Goods and Services|5bfebf1b-9f1f-4411-b1dd-4c19b807b799</vt:lpwstr>
  </property>
  <property fmtid="{D5CDD505-2E9C-101B-9397-08002B2CF9AE}" pid="11" name="_dlc_DocIdItemGuid">
    <vt:lpwstr>09edbe29-b438-49f2-99e0-972810795a7b</vt:lpwstr>
  </property>
  <property fmtid="{D5CDD505-2E9C-101B-9397-08002B2CF9AE}" pid="12" name="ContentTypeId">
    <vt:lpwstr>0x0101001A458A224826124E8B45B1D613300CFC00190B970F6EB85D4EBFFB9FA09D3FB7A2</vt:lpwstr>
  </property>
</Properties>
</file>