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6AD4A" w14:textId="77777777" w:rsidR="001B0D10" w:rsidRDefault="00422F47">
      <w:pPr>
        <w:spacing w:before="200" w:after="200"/>
        <w:jc w:val="center"/>
      </w:pPr>
      <w:r>
        <w:rPr>
          <w:rFonts w:ascii="Arial" w:hAnsi="Arial" w:cs="Arial"/>
          <w:b/>
        </w:rPr>
        <w:t>TC ABSTRACT</w:t>
      </w:r>
    </w:p>
    <w:p w14:paraId="2232BF62" w14:textId="77777777" w:rsidR="001B0D10" w:rsidRDefault="00422F47">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15"/>
        <w:gridCol w:w="5005"/>
      </w:tblGrid>
      <w:tr w:rsidR="001B0D10" w14:paraId="571B783B" w14:textId="77777777" w:rsidTr="00191F01">
        <w:trPr>
          <w:jc w:val="center"/>
        </w:trPr>
        <w:tc>
          <w:tcPr>
            <w:tcW w:w="4105" w:type="dxa"/>
          </w:tcPr>
          <w:p w14:paraId="0FE4E1BB" w14:textId="77777777" w:rsidR="001B0D10" w:rsidRDefault="00422F47">
            <w:pPr>
              <w:spacing w:before="40" w:after="40"/>
              <w:ind w:left="115" w:hanging="115"/>
            </w:pPr>
            <w:r>
              <w:rPr>
                <w:rFonts w:ascii="Arial" w:hAnsi="Arial" w:cs="Arial"/>
                <w:sz w:val="18"/>
                <w:szCs w:val="18"/>
              </w:rPr>
              <w:t>▪ Country/Region:</w:t>
            </w:r>
          </w:p>
        </w:tc>
        <w:tc>
          <w:tcPr>
            <w:tcW w:w="5137" w:type="dxa"/>
          </w:tcPr>
          <w:p w14:paraId="5AB46F37" w14:textId="77777777" w:rsidR="001B0D10" w:rsidRDefault="00422F47">
            <w:pPr>
              <w:spacing w:before="40" w:after="40"/>
            </w:pPr>
            <w:r>
              <w:rPr>
                <w:rFonts w:ascii="Arial" w:hAnsi="Arial" w:cs="Arial"/>
                <w:sz w:val="18"/>
                <w:szCs w:val="18"/>
              </w:rPr>
              <w:t>PARAGUAY/CSC - Southern Cone</w:t>
            </w:r>
          </w:p>
        </w:tc>
      </w:tr>
      <w:tr w:rsidR="001B0D10" w14:paraId="269C7600" w14:textId="77777777" w:rsidTr="00191F01">
        <w:trPr>
          <w:jc w:val="center"/>
        </w:trPr>
        <w:tc>
          <w:tcPr>
            <w:tcW w:w="4105" w:type="dxa"/>
          </w:tcPr>
          <w:p w14:paraId="53E054D0" w14:textId="77777777" w:rsidR="001B0D10" w:rsidRDefault="00422F47">
            <w:pPr>
              <w:spacing w:before="40" w:after="40"/>
              <w:ind w:left="115" w:hanging="115"/>
            </w:pPr>
            <w:r>
              <w:rPr>
                <w:rFonts w:ascii="Arial" w:hAnsi="Arial" w:cs="Arial"/>
                <w:sz w:val="18"/>
                <w:szCs w:val="18"/>
              </w:rPr>
              <w:t>▪ TC Name:</w:t>
            </w:r>
          </w:p>
        </w:tc>
        <w:tc>
          <w:tcPr>
            <w:tcW w:w="5137" w:type="dxa"/>
          </w:tcPr>
          <w:p w14:paraId="6022802F" w14:textId="77777777" w:rsidR="001B0D10" w:rsidRDefault="00422F47">
            <w:pPr>
              <w:spacing w:before="40" w:after="40"/>
            </w:pPr>
            <w:r>
              <w:rPr>
                <w:rFonts w:ascii="Arial" w:hAnsi="Arial" w:cs="Arial"/>
                <w:sz w:val="18"/>
                <w:szCs w:val="18"/>
              </w:rPr>
              <w:t>Supporting the Preparation and Implementation of Clean Energy Projects under PR-O0004 and PR-L1156</w:t>
            </w:r>
          </w:p>
        </w:tc>
      </w:tr>
      <w:tr w:rsidR="001B0D10" w14:paraId="5AE77266" w14:textId="77777777" w:rsidTr="00191F01">
        <w:trPr>
          <w:jc w:val="center"/>
        </w:trPr>
        <w:tc>
          <w:tcPr>
            <w:tcW w:w="4105" w:type="dxa"/>
          </w:tcPr>
          <w:p w14:paraId="5B679931" w14:textId="77777777" w:rsidR="001B0D10" w:rsidRDefault="00422F47">
            <w:pPr>
              <w:spacing w:before="40" w:after="40"/>
              <w:ind w:left="115" w:hanging="115"/>
            </w:pPr>
            <w:r>
              <w:rPr>
                <w:rFonts w:ascii="Arial" w:hAnsi="Arial" w:cs="Arial"/>
                <w:sz w:val="18"/>
                <w:szCs w:val="18"/>
              </w:rPr>
              <w:t>▪ TC Number:</w:t>
            </w:r>
          </w:p>
        </w:tc>
        <w:tc>
          <w:tcPr>
            <w:tcW w:w="5137" w:type="dxa"/>
          </w:tcPr>
          <w:p w14:paraId="306CD9AC" w14:textId="77777777" w:rsidR="001B0D10" w:rsidRDefault="00422F47">
            <w:pPr>
              <w:spacing w:before="40" w:after="40"/>
            </w:pPr>
            <w:r>
              <w:rPr>
                <w:rFonts w:ascii="Arial" w:hAnsi="Arial" w:cs="Arial"/>
                <w:sz w:val="18"/>
                <w:szCs w:val="18"/>
              </w:rPr>
              <w:t>PR-T1285</w:t>
            </w:r>
          </w:p>
        </w:tc>
      </w:tr>
      <w:tr w:rsidR="001B0D10" w14:paraId="07242678" w14:textId="77777777" w:rsidTr="00191F01">
        <w:trPr>
          <w:jc w:val="center"/>
        </w:trPr>
        <w:tc>
          <w:tcPr>
            <w:tcW w:w="4105" w:type="dxa"/>
          </w:tcPr>
          <w:p w14:paraId="7C1CA7DD" w14:textId="77777777" w:rsidR="001B0D10" w:rsidRDefault="00422F47">
            <w:pPr>
              <w:spacing w:before="40" w:after="40"/>
              <w:ind w:left="115" w:hanging="115"/>
            </w:pPr>
            <w:r>
              <w:rPr>
                <w:rFonts w:ascii="Arial" w:hAnsi="Arial" w:cs="Arial"/>
                <w:sz w:val="18"/>
                <w:szCs w:val="18"/>
              </w:rPr>
              <w:t>▪ Team Leader/Members:</w:t>
            </w:r>
          </w:p>
        </w:tc>
        <w:tc>
          <w:tcPr>
            <w:tcW w:w="5137" w:type="dxa"/>
          </w:tcPr>
          <w:p w14:paraId="7260D04E" w14:textId="00E70478" w:rsidR="001B0D10" w:rsidRDefault="001748BC">
            <w:pPr>
              <w:spacing w:before="40" w:after="40"/>
            </w:pPr>
            <w:r w:rsidRPr="00CE58F4">
              <w:rPr>
                <w:rFonts w:ascii="Arial" w:hAnsi="Arial" w:cs="Arial"/>
                <w:sz w:val="18"/>
                <w:szCs w:val="18"/>
              </w:rPr>
              <w:t xml:space="preserve">Aiello, Roberto (INE/ENE) </w:t>
            </w:r>
            <w:r w:rsidR="00191F01">
              <w:rPr>
                <w:rFonts w:ascii="Arial" w:hAnsi="Arial" w:cs="Arial"/>
                <w:sz w:val="18"/>
                <w:szCs w:val="18"/>
              </w:rPr>
              <w:t>Team Leader</w:t>
            </w:r>
            <w:r w:rsidRPr="00CE58F4">
              <w:rPr>
                <w:rFonts w:ascii="Arial" w:hAnsi="Arial" w:cs="Arial"/>
                <w:sz w:val="18"/>
                <w:szCs w:val="18"/>
              </w:rPr>
              <w:t xml:space="preserve">; Alarcón, Arturo (INE/ENE) </w:t>
            </w:r>
            <w:r w:rsidR="00191F01">
              <w:rPr>
                <w:rFonts w:ascii="Arial" w:hAnsi="Arial" w:cs="Arial"/>
                <w:sz w:val="18"/>
                <w:szCs w:val="18"/>
              </w:rPr>
              <w:t>Alternate Team Leader</w:t>
            </w:r>
            <w:r w:rsidRPr="00CE58F4">
              <w:rPr>
                <w:rFonts w:ascii="Arial" w:hAnsi="Arial" w:cs="Arial"/>
                <w:sz w:val="18"/>
                <w:szCs w:val="18"/>
              </w:rPr>
              <w:t>; Sawada, Emilio; Snyder, Virginia; Correa, Cecilia; Márquez, Fidel; Aoki, Isse</w:t>
            </w:r>
            <w:r>
              <w:rPr>
                <w:rFonts w:ascii="Arial" w:hAnsi="Arial" w:cs="Arial"/>
                <w:sz w:val="18"/>
                <w:szCs w:val="18"/>
              </w:rPr>
              <w:t>i</w:t>
            </w:r>
            <w:r w:rsidR="00A5190C">
              <w:rPr>
                <w:rFonts w:ascii="Arial" w:hAnsi="Arial" w:cs="Arial"/>
                <w:sz w:val="18"/>
                <w:szCs w:val="18"/>
              </w:rPr>
              <w:t xml:space="preserve"> y</w:t>
            </w:r>
            <w:r w:rsidRPr="00CE58F4">
              <w:rPr>
                <w:rFonts w:ascii="Arial" w:hAnsi="Arial" w:cs="Arial"/>
                <w:sz w:val="18"/>
                <w:szCs w:val="18"/>
              </w:rPr>
              <w:t xml:space="preserve"> S</w:t>
            </w:r>
            <w:r>
              <w:rPr>
                <w:rFonts w:ascii="Arial" w:hAnsi="Arial" w:cs="Arial"/>
                <w:sz w:val="18"/>
                <w:szCs w:val="18"/>
              </w:rPr>
              <w:t>uber</w:t>
            </w:r>
            <w:r w:rsidRPr="00CE58F4">
              <w:rPr>
                <w:rFonts w:ascii="Arial" w:hAnsi="Arial" w:cs="Arial"/>
                <w:sz w:val="18"/>
                <w:szCs w:val="18"/>
              </w:rPr>
              <w:t>, S</w:t>
            </w:r>
            <w:r>
              <w:rPr>
                <w:rFonts w:ascii="Arial" w:hAnsi="Arial" w:cs="Arial"/>
                <w:sz w:val="18"/>
                <w:szCs w:val="18"/>
              </w:rPr>
              <w:t xml:space="preserve">tephanie </w:t>
            </w:r>
            <w:r w:rsidRPr="00CE58F4">
              <w:rPr>
                <w:rFonts w:ascii="Arial" w:hAnsi="Arial" w:cs="Arial"/>
                <w:sz w:val="18"/>
                <w:szCs w:val="18"/>
              </w:rPr>
              <w:t>(INE/ENE); S</w:t>
            </w:r>
            <w:r>
              <w:rPr>
                <w:rFonts w:ascii="Arial" w:hAnsi="Arial" w:cs="Arial"/>
                <w:sz w:val="18"/>
                <w:szCs w:val="18"/>
              </w:rPr>
              <w:t>eminario</w:t>
            </w:r>
            <w:r w:rsidRPr="00CE58F4">
              <w:rPr>
                <w:rFonts w:ascii="Arial" w:hAnsi="Arial" w:cs="Arial"/>
                <w:sz w:val="18"/>
                <w:szCs w:val="18"/>
              </w:rPr>
              <w:t>,</w:t>
            </w:r>
            <w:r>
              <w:rPr>
                <w:rFonts w:ascii="Arial" w:hAnsi="Arial" w:cs="Arial"/>
                <w:sz w:val="18"/>
                <w:szCs w:val="18"/>
              </w:rPr>
              <w:t xml:space="preserve"> </w:t>
            </w:r>
            <w:r w:rsidRPr="00CE58F4">
              <w:rPr>
                <w:rFonts w:ascii="Arial" w:hAnsi="Arial" w:cs="Arial"/>
                <w:sz w:val="18"/>
                <w:szCs w:val="18"/>
              </w:rPr>
              <w:t>C</w:t>
            </w:r>
            <w:r>
              <w:rPr>
                <w:rFonts w:ascii="Arial" w:hAnsi="Arial" w:cs="Arial"/>
                <w:sz w:val="18"/>
                <w:szCs w:val="18"/>
              </w:rPr>
              <w:t>ecilia</w:t>
            </w:r>
            <w:r w:rsidRPr="00CE58F4">
              <w:rPr>
                <w:rFonts w:ascii="Arial" w:hAnsi="Arial" w:cs="Arial"/>
                <w:sz w:val="18"/>
                <w:szCs w:val="18"/>
              </w:rPr>
              <w:t xml:space="preserve"> (ITE/ITE)</w:t>
            </w:r>
          </w:p>
        </w:tc>
      </w:tr>
      <w:tr w:rsidR="001B0D10" w14:paraId="6895B19F" w14:textId="77777777" w:rsidTr="00191F01">
        <w:trPr>
          <w:jc w:val="center"/>
        </w:trPr>
        <w:tc>
          <w:tcPr>
            <w:tcW w:w="4105" w:type="dxa"/>
          </w:tcPr>
          <w:p w14:paraId="10E46CE3" w14:textId="77777777" w:rsidR="001B0D10" w:rsidRDefault="00422F47">
            <w:pPr>
              <w:spacing w:before="40" w:after="40"/>
              <w:ind w:left="115" w:hanging="115"/>
            </w:pPr>
            <w:r>
              <w:rPr>
                <w:rFonts w:ascii="Arial" w:hAnsi="Arial" w:cs="Arial"/>
                <w:sz w:val="18"/>
                <w:szCs w:val="18"/>
              </w:rPr>
              <w:t>▪ Taxonomy:</w:t>
            </w:r>
          </w:p>
        </w:tc>
        <w:tc>
          <w:tcPr>
            <w:tcW w:w="5137" w:type="dxa"/>
          </w:tcPr>
          <w:p w14:paraId="26320926" w14:textId="77777777" w:rsidR="001B0D10" w:rsidRDefault="00422F47">
            <w:pPr>
              <w:spacing w:before="40" w:after="40"/>
            </w:pPr>
            <w:r>
              <w:rPr>
                <w:rFonts w:ascii="Arial" w:hAnsi="Arial" w:cs="Arial"/>
                <w:sz w:val="18"/>
                <w:szCs w:val="18"/>
              </w:rPr>
              <w:t>Operational Support</w:t>
            </w:r>
          </w:p>
        </w:tc>
      </w:tr>
      <w:tr w:rsidR="001B0D10" w14:paraId="4AB082E1" w14:textId="77777777" w:rsidTr="00191F01">
        <w:trPr>
          <w:jc w:val="center"/>
        </w:trPr>
        <w:tc>
          <w:tcPr>
            <w:tcW w:w="4105" w:type="dxa"/>
          </w:tcPr>
          <w:p w14:paraId="51CC1127" w14:textId="77777777" w:rsidR="001B0D10" w:rsidRDefault="00422F47">
            <w:pPr>
              <w:spacing w:before="40" w:after="40"/>
              <w:ind w:left="115" w:hanging="115"/>
            </w:pPr>
            <w:r>
              <w:rPr>
                <w:rFonts w:ascii="Arial" w:hAnsi="Arial" w:cs="Arial"/>
                <w:sz w:val="18"/>
                <w:szCs w:val="18"/>
              </w:rPr>
              <w:t>▪ Number and name of operation supported by the TC:</w:t>
            </w:r>
          </w:p>
        </w:tc>
        <w:tc>
          <w:tcPr>
            <w:tcW w:w="5137" w:type="dxa"/>
          </w:tcPr>
          <w:p w14:paraId="1CBAF0B1" w14:textId="6E92C3EE" w:rsidR="001B0D10" w:rsidRDefault="00422F47">
            <w:pPr>
              <w:spacing w:before="40" w:after="40"/>
            </w:pPr>
            <w:r>
              <w:rPr>
                <w:rFonts w:ascii="Arial" w:hAnsi="Arial" w:cs="Arial"/>
                <w:sz w:val="18"/>
                <w:szCs w:val="18"/>
              </w:rPr>
              <w:t>Rehabilitation and Modernization Program for the Acaray Hydropower Plant - PR-L1156</w:t>
            </w:r>
          </w:p>
        </w:tc>
      </w:tr>
      <w:tr w:rsidR="001B0D10" w14:paraId="7224B869" w14:textId="77777777" w:rsidTr="00191F01">
        <w:trPr>
          <w:jc w:val="center"/>
        </w:trPr>
        <w:tc>
          <w:tcPr>
            <w:tcW w:w="4105" w:type="dxa"/>
          </w:tcPr>
          <w:p w14:paraId="7099BDA3" w14:textId="77777777" w:rsidR="001B0D10" w:rsidRDefault="00422F47">
            <w:pPr>
              <w:spacing w:before="40" w:after="40"/>
              <w:ind w:left="115" w:hanging="115"/>
            </w:pPr>
            <w:r>
              <w:rPr>
                <w:rFonts w:ascii="Arial" w:hAnsi="Arial" w:cs="Arial"/>
                <w:sz w:val="18"/>
                <w:szCs w:val="18"/>
              </w:rPr>
              <w:t>▪ Date of TC Abstract:</w:t>
            </w:r>
          </w:p>
        </w:tc>
        <w:tc>
          <w:tcPr>
            <w:tcW w:w="5137" w:type="dxa"/>
          </w:tcPr>
          <w:p w14:paraId="550D167E" w14:textId="240C4A74" w:rsidR="001B0D10" w:rsidRDefault="00422F47">
            <w:pPr>
              <w:spacing w:before="40" w:after="40"/>
            </w:pPr>
            <w:r>
              <w:rPr>
                <w:rFonts w:ascii="Arial" w:hAnsi="Arial" w:cs="Arial"/>
                <w:sz w:val="18"/>
                <w:szCs w:val="18"/>
              </w:rPr>
              <w:t>Oct</w:t>
            </w:r>
            <w:r w:rsidR="001748BC">
              <w:rPr>
                <w:rFonts w:ascii="Arial" w:hAnsi="Arial" w:cs="Arial"/>
                <w:sz w:val="18"/>
                <w:szCs w:val="18"/>
              </w:rPr>
              <w:t>ober 15,</w:t>
            </w:r>
            <w:r>
              <w:rPr>
                <w:rFonts w:ascii="Arial" w:hAnsi="Arial" w:cs="Arial"/>
                <w:sz w:val="18"/>
                <w:szCs w:val="18"/>
              </w:rPr>
              <w:t xml:space="preserve"> 2019</w:t>
            </w:r>
          </w:p>
        </w:tc>
      </w:tr>
      <w:tr w:rsidR="001B0D10" w14:paraId="658F4029" w14:textId="77777777" w:rsidTr="00191F01">
        <w:trPr>
          <w:jc w:val="center"/>
        </w:trPr>
        <w:tc>
          <w:tcPr>
            <w:tcW w:w="4105" w:type="dxa"/>
          </w:tcPr>
          <w:p w14:paraId="05C38FC8" w14:textId="77777777" w:rsidR="001B0D10" w:rsidRDefault="00422F47">
            <w:pPr>
              <w:spacing w:before="40" w:after="40"/>
              <w:ind w:left="115" w:hanging="115"/>
            </w:pPr>
            <w:r>
              <w:rPr>
                <w:rFonts w:ascii="Arial" w:hAnsi="Arial" w:cs="Arial"/>
                <w:sz w:val="18"/>
                <w:szCs w:val="18"/>
              </w:rPr>
              <w:t>▪ Beneficiary:</w:t>
            </w:r>
          </w:p>
        </w:tc>
        <w:tc>
          <w:tcPr>
            <w:tcW w:w="5137" w:type="dxa"/>
          </w:tcPr>
          <w:p w14:paraId="3A6F940B" w14:textId="77777777" w:rsidR="001B0D10" w:rsidRDefault="00422F47">
            <w:pPr>
              <w:spacing w:before="40" w:after="40"/>
            </w:pPr>
            <w:r>
              <w:rPr>
                <w:rFonts w:ascii="Arial" w:hAnsi="Arial" w:cs="Arial"/>
                <w:sz w:val="18"/>
                <w:szCs w:val="18"/>
              </w:rPr>
              <w:t>National Electricity Administration (ANDE)</w:t>
            </w:r>
          </w:p>
        </w:tc>
      </w:tr>
      <w:tr w:rsidR="001B0D10" w14:paraId="0EBF64D9" w14:textId="77777777" w:rsidTr="00191F01">
        <w:trPr>
          <w:jc w:val="center"/>
        </w:trPr>
        <w:tc>
          <w:tcPr>
            <w:tcW w:w="4105" w:type="dxa"/>
          </w:tcPr>
          <w:p w14:paraId="439D60C0" w14:textId="77777777" w:rsidR="001B0D10" w:rsidRDefault="00422F47">
            <w:pPr>
              <w:spacing w:before="40" w:after="40"/>
              <w:ind w:left="115" w:hanging="115"/>
            </w:pPr>
            <w:r>
              <w:rPr>
                <w:rFonts w:ascii="Arial" w:hAnsi="Arial" w:cs="Arial"/>
                <w:sz w:val="18"/>
                <w:szCs w:val="18"/>
              </w:rPr>
              <w:t>▪ Executing Agency:</w:t>
            </w:r>
          </w:p>
        </w:tc>
        <w:tc>
          <w:tcPr>
            <w:tcW w:w="5137" w:type="dxa"/>
          </w:tcPr>
          <w:p w14:paraId="07958942" w14:textId="00D1DFB4" w:rsidR="001B0D10" w:rsidRDefault="00422F47">
            <w:pPr>
              <w:spacing w:before="40" w:after="40"/>
            </w:pPr>
            <w:r>
              <w:rPr>
                <w:rFonts w:ascii="Arial" w:hAnsi="Arial" w:cs="Arial"/>
                <w:sz w:val="18"/>
                <w:szCs w:val="18"/>
              </w:rPr>
              <w:t>I</w:t>
            </w:r>
            <w:r w:rsidR="001748BC">
              <w:rPr>
                <w:rFonts w:ascii="Arial" w:hAnsi="Arial" w:cs="Arial"/>
                <w:sz w:val="18"/>
                <w:szCs w:val="18"/>
              </w:rPr>
              <w:t>nter-American Development Bank (IDB)</w:t>
            </w:r>
          </w:p>
        </w:tc>
      </w:tr>
      <w:tr w:rsidR="001B0D10" w14:paraId="3523C094" w14:textId="77777777" w:rsidTr="00191F01">
        <w:trPr>
          <w:jc w:val="center"/>
        </w:trPr>
        <w:tc>
          <w:tcPr>
            <w:tcW w:w="4105" w:type="dxa"/>
          </w:tcPr>
          <w:p w14:paraId="5F8C9154" w14:textId="77777777" w:rsidR="001B0D10" w:rsidRDefault="00422F47">
            <w:pPr>
              <w:spacing w:before="40" w:after="40"/>
              <w:ind w:left="115" w:hanging="115"/>
            </w:pPr>
            <w:r>
              <w:rPr>
                <w:rFonts w:ascii="Arial" w:hAnsi="Arial" w:cs="Arial"/>
                <w:sz w:val="18"/>
                <w:szCs w:val="18"/>
              </w:rPr>
              <w:t>▪ IDB funding requested:</w:t>
            </w:r>
          </w:p>
        </w:tc>
        <w:tc>
          <w:tcPr>
            <w:tcW w:w="5137" w:type="dxa"/>
          </w:tcPr>
          <w:p w14:paraId="2EB01BB5" w14:textId="77777777" w:rsidR="001B0D10" w:rsidRDefault="00422F47" w:rsidP="001748BC">
            <w:pPr>
              <w:bidi/>
              <w:spacing w:before="40" w:after="40"/>
              <w:jc w:val="right"/>
            </w:pPr>
            <w:r>
              <w:rPr>
                <w:rFonts w:ascii="Arial" w:hAnsi="Arial" w:cs="Arial"/>
                <w:sz w:val="18"/>
                <w:szCs w:val="18"/>
              </w:rPr>
              <w:t>US$850,000.00</w:t>
            </w:r>
          </w:p>
        </w:tc>
      </w:tr>
      <w:tr w:rsidR="001B0D10" w14:paraId="68F960DF" w14:textId="77777777" w:rsidTr="00191F01">
        <w:trPr>
          <w:jc w:val="center"/>
        </w:trPr>
        <w:tc>
          <w:tcPr>
            <w:tcW w:w="4105" w:type="dxa"/>
          </w:tcPr>
          <w:p w14:paraId="379FAEBB" w14:textId="77777777" w:rsidR="001B0D10" w:rsidRDefault="00422F47">
            <w:pPr>
              <w:spacing w:before="40" w:after="40"/>
              <w:ind w:left="115" w:hanging="115"/>
            </w:pPr>
            <w:r>
              <w:rPr>
                <w:rFonts w:ascii="Arial" w:hAnsi="Arial" w:cs="Arial"/>
                <w:sz w:val="18"/>
                <w:szCs w:val="18"/>
              </w:rPr>
              <w:t>▪ Local counterpart funding:</w:t>
            </w:r>
          </w:p>
        </w:tc>
        <w:tc>
          <w:tcPr>
            <w:tcW w:w="5137" w:type="dxa"/>
          </w:tcPr>
          <w:p w14:paraId="03FF01EC" w14:textId="77777777" w:rsidR="001B0D10" w:rsidRDefault="00422F47" w:rsidP="001748BC">
            <w:pPr>
              <w:bidi/>
              <w:spacing w:before="40" w:after="40"/>
              <w:jc w:val="right"/>
            </w:pPr>
            <w:r>
              <w:rPr>
                <w:rFonts w:ascii="Arial" w:hAnsi="Arial" w:cs="Arial"/>
                <w:sz w:val="18"/>
                <w:szCs w:val="18"/>
              </w:rPr>
              <w:t>US$0.00</w:t>
            </w:r>
          </w:p>
        </w:tc>
      </w:tr>
      <w:tr w:rsidR="001B0D10" w14:paraId="5498CE90" w14:textId="77777777" w:rsidTr="00191F01">
        <w:trPr>
          <w:jc w:val="center"/>
        </w:trPr>
        <w:tc>
          <w:tcPr>
            <w:tcW w:w="4105" w:type="dxa"/>
          </w:tcPr>
          <w:p w14:paraId="4206364F" w14:textId="77777777" w:rsidR="001B0D10" w:rsidRDefault="00422F47">
            <w:pPr>
              <w:spacing w:before="40" w:after="40"/>
              <w:ind w:left="115" w:hanging="115"/>
            </w:pPr>
            <w:r>
              <w:rPr>
                <w:rFonts w:ascii="Arial" w:hAnsi="Arial" w:cs="Arial"/>
                <w:sz w:val="18"/>
                <w:szCs w:val="18"/>
              </w:rPr>
              <w:t>▪ Disbursement period:</w:t>
            </w:r>
          </w:p>
        </w:tc>
        <w:tc>
          <w:tcPr>
            <w:tcW w:w="5137" w:type="dxa"/>
          </w:tcPr>
          <w:p w14:paraId="035E52BD" w14:textId="77777777" w:rsidR="001B0D10" w:rsidRDefault="00422F47" w:rsidP="001748BC">
            <w:pPr>
              <w:bidi/>
              <w:spacing w:before="40" w:after="40"/>
              <w:jc w:val="right"/>
            </w:pPr>
            <w:r>
              <w:rPr>
                <w:rFonts w:ascii="Arial" w:hAnsi="Arial" w:cs="Arial"/>
                <w:sz w:val="18"/>
                <w:szCs w:val="18"/>
              </w:rPr>
              <w:t>36 months</w:t>
            </w:r>
          </w:p>
        </w:tc>
      </w:tr>
      <w:tr w:rsidR="001B0D10" w14:paraId="4B5B1006" w14:textId="77777777" w:rsidTr="00191F01">
        <w:trPr>
          <w:jc w:val="center"/>
        </w:trPr>
        <w:tc>
          <w:tcPr>
            <w:tcW w:w="4105" w:type="dxa"/>
          </w:tcPr>
          <w:p w14:paraId="0539431B" w14:textId="77777777" w:rsidR="001B0D10" w:rsidRDefault="00422F47">
            <w:pPr>
              <w:spacing w:before="40" w:after="40"/>
              <w:ind w:left="115" w:hanging="115"/>
            </w:pPr>
            <w:r>
              <w:rPr>
                <w:rFonts w:ascii="Arial" w:hAnsi="Arial" w:cs="Arial"/>
                <w:sz w:val="18"/>
                <w:szCs w:val="18"/>
              </w:rPr>
              <w:t>▪ Types of consultants:</w:t>
            </w:r>
          </w:p>
        </w:tc>
        <w:tc>
          <w:tcPr>
            <w:tcW w:w="5137" w:type="dxa"/>
          </w:tcPr>
          <w:p w14:paraId="00D01FA8" w14:textId="77777777" w:rsidR="001B0D10" w:rsidRDefault="00422F47">
            <w:pPr>
              <w:spacing w:before="40" w:after="40"/>
            </w:pPr>
            <w:r>
              <w:rPr>
                <w:rFonts w:ascii="Arial" w:hAnsi="Arial" w:cs="Arial"/>
                <w:sz w:val="18"/>
                <w:szCs w:val="18"/>
              </w:rPr>
              <w:t>Individuals</w:t>
            </w:r>
          </w:p>
        </w:tc>
      </w:tr>
      <w:tr w:rsidR="001B0D10" w14:paraId="070ED4C9" w14:textId="77777777" w:rsidTr="00191F01">
        <w:trPr>
          <w:jc w:val="center"/>
        </w:trPr>
        <w:tc>
          <w:tcPr>
            <w:tcW w:w="4105" w:type="dxa"/>
          </w:tcPr>
          <w:p w14:paraId="7F82A585" w14:textId="77777777" w:rsidR="001B0D10" w:rsidRDefault="00422F47">
            <w:pPr>
              <w:spacing w:before="40" w:after="40"/>
              <w:ind w:left="115" w:hanging="115"/>
            </w:pPr>
            <w:r>
              <w:rPr>
                <w:rFonts w:ascii="Arial" w:hAnsi="Arial" w:cs="Arial"/>
                <w:sz w:val="18"/>
                <w:szCs w:val="18"/>
              </w:rPr>
              <w:t>▪ Prepared by Unit:</w:t>
            </w:r>
          </w:p>
        </w:tc>
        <w:tc>
          <w:tcPr>
            <w:tcW w:w="5137" w:type="dxa"/>
          </w:tcPr>
          <w:p w14:paraId="5214E7D6" w14:textId="003F07B6" w:rsidR="001B0D10" w:rsidRDefault="00422F47">
            <w:pPr>
              <w:spacing w:before="40" w:after="40"/>
            </w:pPr>
            <w:r>
              <w:rPr>
                <w:rFonts w:ascii="Arial" w:hAnsi="Arial" w:cs="Arial"/>
                <w:sz w:val="18"/>
                <w:szCs w:val="18"/>
              </w:rPr>
              <w:t>Energy</w:t>
            </w:r>
            <w:r w:rsidR="001748BC">
              <w:rPr>
                <w:rFonts w:ascii="Arial" w:hAnsi="Arial" w:cs="Arial"/>
                <w:sz w:val="18"/>
                <w:szCs w:val="18"/>
              </w:rPr>
              <w:t xml:space="preserve"> Division (INE/ENE)</w:t>
            </w:r>
          </w:p>
        </w:tc>
      </w:tr>
      <w:tr w:rsidR="001B0D10" w14:paraId="1AC34FA6" w14:textId="77777777" w:rsidTr="00191F01">
        <w:trPr>
          <w:jc w:val="center"/>
        </w:trPr>
        <w:tc>
          <w:tcPr>
            <w:tcW w:w="4105" w:type="dxa"/>
          </w:tcPr>
          <w:p w14:paraId="5F05E6E7" w14:textId="77777777" w:rsidR="001B0D10" w:rsidRDefault="00422F47">
            <w:pPr>
              <w:spacing w:before="40" w:after="40"/>
              <w:ind w:left="115" w:hanging="115"/>
            </w:pPr>
            <w:r>
              <w:rPr>
                <w:rFonts w:ascii="Arial" w:hAnsi="Arial" w:cs="Arial"/>
                <w:sz w:val="18"/>
                <w:szCs w:val="18"/>
              </w:rPr>
              <w:t>▪ Unit of Disbursement Responsibility:</w:t>
            </w:r>
          </w:p>
        </w:tc>
        <w:tc>
          <w:tcPr>
            <w:tcW w:w="5137" w:type="dxa"/>
          </w:tcPr>
          <w:p w14:paraId="00781B7E" w14:textId="77777777" w:rsidR="001B0D10" w:rsidRDefault="00422F47">
            <w:pPr>
              <w:spacing w:before="40" w:after="40"/>
            </w:pPr>
            <w:r>
              <w:rPr>
                <w:rFonts w:ascii="Arial" w:hAnsi="Arial" w:cs="Arial"/>
                <w:sz w:val="18"/>
                <w:szCs w:val="18"/>
              </w:rPr>
              <w:t>Country Office Paraguay</w:t>
            </w:r>
          </w:p>
        </w:tc>
      </w:tr>
      <w:tr w:rsidR="001B0D10" w14:paraId="19CF4534" w14:textId="77777777" w:rsidTr="00191F01">
        <w:trPr>
          <w:jc w:val="center"/>
        </w:trPr>
        <w:tc>
          <w:tcPr>
            <w:tcW w:w="4105" w:type="dxa"/>
          </w:tcPr>
          <w:p w14:paraId="51D3407D" w14:textId="131A293E" w:rsidR="001B0D10" w:rsidRDefault="00422F47">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5137" w:type="dxa"/>
          </w:tcPr>
          <w:p w14:paraId="305DCEB2" w14:textId="6DACF7AD" w:rsidR="001B0D10" w:rsidRDefault="00422F47">
            <w:pPr>
              <w:spacing w:before="40" w:after="40"/>
            </w:pPr>
            <w:r>
              <w:rPr>
                <w:rFonts w:ascii="Arial" w:hAnsi="Arial" w:cs="Arial"/>
                <w:sz w:val="18"/>
                <w:szCs w:val="18"/>
              </w:rPr>
              <w:t>Yes</w:t>
            </w:r>
            <w:r>
              <w:rPr>
                <w:rFonts w:ascii="Arial" w:hAnsi="Arial" w:cs="Arial"/>
                <w:sz w:val="18"/>
                <w:szCs w:val="18"/>
              </w:rPr>
              <w:br/>
              <w:t>No</w:t>
            </w:r>
          </w:p>
        </w:tc>
      </w:tr>
      <w:tr w:rsidR="001B0D10" w14:paraId="201C6310" w14:textId="77777777" w:rsidTr="00191F01">
        <w:trPr>
          <w:jc w:val="center"/>
        </w:trPr>
        <w:tc>
          <w:tcPr>
            <w:tcW w:w="4105" w:type="dxa"/>
          </w:tcPr>
          <w:p w14:paraId="3F9E9AC1" w14:textId="77777777" w:rsidR="001B0D10" w:rsidRDefault="00422F47">
            <w:pPr>
              <w:spacing w:before="40" w:after="40"/>
              <w:ind w:left="115" w:hanging="115"/>
            </w:pPr>
            <w:r>
              <w:rPr>
                <w:rFonts w:ascii="Arial" w:hAnsi="Arial" w:cs="Arial"/>
                <w:sz w:val="18"/>
                <w:szCs w:val="18"/>
              </w:rPr>
              <w:t>▪ Alignment to the Update to the Institutional Strategy 2010-2020:</w:t>
            </w:r>
          </w:p>
        </w:tc>
        <w:tc>
          <w:tcPr>
            <w:tcW w:w="5137" w:type="dxa"/>
          </w:tcPr>
          <w:p w14:paraId="42A3C72A" w14:textId="1FA6A4FB" w:rsidR="001B0D10" w:rsidRDefault="00422F47">
            <w:pPr>
              <w:spacing w:before="40" w:after="40"/>
            </w:pPr>
            <w:r>
              <w:rPr>
                <w:rFonts w:ascii="Arial" w:hAnsi="Arial" w:cs="Arial"/>
                <w:sz w:val="18"/>
                <w:szCs w:val="18"/>
              </w:rPr>
              <w:t>Productivity and innovation; Environmental sustainability</w:t>
            </w:r>
          </w:p>
        </w:tc>
      </w:tr>
    </w:tbl>
    <w:p w14:paraId="2EF65FC6" w14:textId="77777777" w:rsidR="001B0D10" w:rsidRDefault="00422F47">
      <w:pPr>
        <w:spacing w:before="120" w:after="120"/>
        <w:ind w:left="579" w:hanging="579"/>
      </w:pPr>
      <w:r>
        <w:rPr>
          <w:rFonts w:ascii="Arial" w:hAnsi="Arial" w:cs="Arial"/>
          <w:b/>
        </w:rPr>
        <w:t>II.</w:t>
      </w:r>
      <w:r>
        <w:rPr>
          <w:rFonts w:ascii="Arial" w:hAnsi="Arial" w:cs="Arial"/>
          <w:b/>
        </w:rPr>
        <w:tab/>
        <w:t>Objective and Justification</w:t>
      </w:r>
    </w:p>
    <w:p w14:paraId="3CC50852" w14:textId="43A4AE48" w:rsidR="001B0D10" w:rsidRDefault="00422F47">
      <w:pPr>
        <w:spacing w:before="120" w:after="120"/>
        <w:ind w:left="579" w:hanging="579"/>
        <w:jc w:val="both"/>
      </w:pPr>
      <w:r>
        <w:rPr>
          <w:rFonts w:ascii="Arial" w:hAnsi="Arial" w:cs="Arial"/>
        </w:rPr>
        <w:t>2.1</w:t>
      </w:r>
      <w:r>
        <w:rPr>
          <w:rFonts w:ascii="Arial" w:hAnsi="Arial" w:cs="Arial"/>
        </w:rPr>
        <w:tab/>
        <w:t>The objective of the proposed</w:t>
      </w:r>
      <w:r w:rsidR="00191F01">
        <w:rPr>
          <w:rFonts w:ascii="Arial" w:hAnsi="Arial" w:cs="Arial"/>
        </w:rPr>
        <w:t xml:space="preserve"> Technical Cooperation (</w:t>
      </w:r>
      <w:r>
        <w:rPr>
          <w:rFonts w:ascii="Arial" w:hAnsi="Arial" w:cs="Arial"/>
        </w:rPr>
        <w:t>TC</w:t>
      </w:r>
      <w:r w:rsidR="00191F01">
        <w:rPr>
          <w:rFonts w:ascii="Arial" w:hAnsi="Arial" w:cs="Arial"/>
        </w:rPr>
        <w:t>)</w:t>
      </w:r>
      <w:r>
        <w:rPr>
          <w:rFonts w:ascii="Arial" w:hAnsi="Arial" w:cs="Arial"/>
        </w:rPr>
        <w:t xml:space="preserve"> is to support the National Electricity Administration (ANDE) in the preparation and implementation of </w:t>
      </w:r>
      <w:r w:rsidR="00A42007">
        <w:rPr>
          <w:rFonts w:ascii="Arial" w:hAnsi="Arial" w:cs="Arial"/>
        </w:rPr>
        <w:t>C</w:t>
      </w:r>
      <w:r>
        <w:rPr>
          <w:rFonts w:ascii="Arial" w:hAnsi="Arial" w:cs="Arial"/>
        </w:rPr>
        <w:t xml:space="preserve">lean </w:t>
      </w:r>
      <w:r w:rsidR="00A42007">
        <w:rPr>
          <w:rFonts w:ascii="Arial" w:hAnsi="Arial" w:cs="Arial"/>
        </w:rPr>
        <w:t>E</w:t>
      </w:r>
      <w:r>
        <w:rPr>
          <w:rFonts w:ascii="Arial" w:hAnsi="Arial" w:cs="Arial"/>
        </w:rPr>
        <w:t xml:space="preserve">nergy </w:t>
      </w:r>
      <w:r w:rsidR="000842F2">
        <w:rPr>
          <w:rFonts w:ascii="Arial" w:hAnsi="Arial" w:cs="Arial"/>
        </w:rPr>
        <w:t xml:space="preserve">(CE) </w:t>
      </w:r>
      <w:r>
        <w:rPr>
          <w:rFonts w:ascii="Arial" w:hAnsi="Arial" w:cs="Arial"/>
        </w:rPr>
        <w:t>projects under the PR-O0004, including its first operation PR-L1173, and the implementation of operation PR-L1156.</w:t>
      </w:r>
    </w:p>
    <w:p w14:paraId="5D102D63" w14:textId="75201B70" w:rsidR="00191F01" w:rsidRDefault="00422F47" w:rsidP="00191F01">
      <w:pPr>
        <w:spacing w:before="120" w:after="120"/>
        <w:ind w:left="579" w:hanging="579"/>
        <w:jc w:val="both"/>
        <w:rPr>
          <w:rFonts w:ascii="Arial" w:hAnsi="Arial" w:cs="Arial"/>
        </w:rPr>
      </w:pPr>
      <w:r>
        <w:rPr>
          <w:rFonts w:ascii="Arial" w:hAnsi="Arial" w:cs="Arial"/>
        </w:rPr>
        <w:t>2.2</w:t>
      </w:r>
      <w:r>
        <w:rPr>
          <w:rFonts w:ascii="Arial" w:hAnsi="Arial" w:cs="Arial"/>
        </w:rPr>
        <w:tab/>
        <w:t>Paraguay has a power generation capacity of 8,814 Megawatts (MW) and a maximum demand of 3,481 MW (</w:t>
      </w:r>
      <w:r w:rsidR="00191F01">
        <w:rPr>
          <w:rFonts w:ascii="Arial" w:hAnsi="Arial" w:cs="Arial"/>
        </w:rPr>
        <w:t>February</w:t>
      </w:r>
      <w:r>
        <w:rPr>
          <w:rFonts w:ascii="Arial" w:hAnsi="Arial" w:cs="Arial"/>
        </w:rPr>
        <w:t xml:space="preserve"> 2019).</w:t>
      </w:r>
      <w:r w:rsidR="00191F01">
        <w:rPr>
          <w:rFonts w:ascii="Arial" w:hAnsi="Arial" w:cs="Arial"/>
        </w:rPr>
        <w:t xml:space="preserve"> </w:t>
      </w:r>
      <w:r>
        <w:rPr>
          <w:rFonts w:ascii="Arial" w:hAnsi="Arial" w:cs="Arial"/>
        </w:rPr>
        <w:t xml:space="preserve">The National Interconnected System (NIS) has 720 </w:t>
      </w:r>
      <w:r w:rsidR="00191F01">
        <w:rPr>
          <w:rFonts w:ascii="Arial" w:hAnsi="Arial" w:cs="Arial"/>
        </w:rPr>
        <w:t>kilometers (</w:t>
      </w:r>
      <w:r>
        <w:rPr>
          <w:rFonts w:ascii="Arial" w:hAnsi="Arial" w:cs="Arial"/>
        </w:rPr>
        <w:t>km</w:t>
      </w:r>
      <w:r w:rsidR="00191F01">
        <w:rPr>
          <w:rFonts w:ascii="Arial" w:hAnsi="Arial" w:cs="Arial"/>
        </w:rPr>
        <w:t>)</w:t>
      </w:r>
      <w:r>
        <w:rPr>
          <w:rFonts w:ascii="Arial" w:hAnsi="Arial" w:cs="Arial"/>
        </w:rPr>
        <w:t xml:space="preserve"> of </w:t>
      </w:r>
      <w:r w:rsidR="00191F01">
        <w:rPr>
          <w:rFonts w:ascii="Arial" w:hAnsi="Arial" w:cs="Arial"/>
        </w:rPr>
        <w:t xml:space="preserve">transmission </w:t>
      </w:r>
      <w:r>
        <w:rPr>
          <w:rFonts w:ascii="Arial" w:hAnsi="Arial" w:cs="Arial"/>
        </w:rPr>
        <w:t>lines</w:t>
      </w:r>
      <w:r w:rsidR="00191F01">
        <w:rPr>
          <w:rFonts w:ascii="Arial" w:hAnsi="Arial" w:cs="Arial"/>
        </w:rPr>
        <w:t xml:space="preserve"> (TL)</w:t>
      </w:r>
      <w:r>
        <w:rPr>
          <w:rFonts w:ascii="Arial" w:hAnsi="Arial" w:cs="Arial"/>
        </w:rPr>
        <w:t xml:space="preserve"> in 500 kilovolts (kV) and 4,600 km in </w:t>
      </w:r>
      <w:r w:rsidR="00A5190C">
        <w:rPr>
          <w:rFonts w:ascii="Arial" w:hAnsi="Arial" w:cs="Arial"/>
        </w:rPr>
        <w:t>220 </w:t>
      </w:r>
      <w:r>
        <w:rPr>
          <w:rFonts w:ascii="Arial" w:hAnsi="Arial" w:cs="Arial"/>
        </w:rPr>
        <w:t>kV. The country</w:t>
      </w:r>
      <w:r w:rsidR="00D368E4">
        <w:rPr>
          <w:rFonts w:ascii="Arial" w:hAnsi="Arial" w:cs="Arial"/>
        </w:rPr>
        <w:t>’s</w:t>
      </w:r>
      <w:r>
        <w:rPr>
          <w:rFonts w:ascii="Arial" w:hAnsi="Arial" w:cs="Arial"/>
        </w:rPr>
        <w:t xml:space="preserve"> electricity coverage </w:t>
      </w:r>
      <w:r w:rsidR="00191F01">
        <w:rPr>
          <w:rFonts w:ascii="Arial" w:hAnsi="Arial" w:cs="Arial"/>
        </w:rPr>
        <w:t>stands at</w:t>
      </w:r>
      <w:r>
        <w:rPr>
          <w:rFonts w:ascii="Arial" w:hAnsi="Arial" w:cs="Arial"/>
        </w:rPr>
        <w:t xml:space="preserve"> 99.1% (99.6% in urban areas and 96% in rural areas). </w:t>
      </w:r>
      <w:r w:rsidR="00D368E4">
        <w:rPr>
          <w:rFonts w:ascii="Arial" w:hAnsi="Arial" w:cs="Arial"/>
        </w:rPr>
        <w:t>A</w:t>
      </w:r>
      <w:r>
        <w:rPr>
          <w:rFonts w:ascii="Arial" w:hAnsi="Arial" w:cs="Arial"/>
        </w:rPr>
        <w:t>nnual electricity demand in 2018 was 16,579 Gigawatt hours (GWh) with an average annual growth of 5.2% in the last five years</w:t>
      </w:r>
      <w:r w:rsidR="00191F01">
        <w:rPr>
          <w:rFonts w:ascii="Arial" w:hAnsi="Arial" w:cs="Arial"/>
        </w:rPr>
        <w:t>,</w:t>
      </w:r>
      <w:r>
        <w:rPr>
          <w:rFonts w:ascii="Arial" w:hAnsi="Arial" w:cs="Arial"/>
        </w:rPr>
        <w:t xml:space="preserve"> and an average annual increase in the maximum power demand of 5.6%. Approximately 65% of demand is concentrated in the central and metropolitan area, fed by </w:t>
      </w:r>
      <w:r w:rsidR="00191F01">
        <w:rPr>
          <w:rFonts w:ascii="Arial" w:hAnsi="Arial" w:cs="Arial"/>
        </w:rPr>
        <w:t>TL</w:t>
      </w:r>
      <w:r>
        <w:rPr>
          <w:rFonts w:ascii="Arial" w:hAnsi="Arial" w:cs="Arial"/>
        </w:rPr>
        <w:t xml:space="preserve"> from Itaipú and Yacyretá. Securing</w:t>
      </w:r>
      <w:r w:rsidR="00191F01">
        <w:rPr>
          <w:rFonts w:ascii="Arial" w:hAnsi="Arial" w:cs="Arial"/>
        </w:rPr>
        <w:t xml:space="preserve"> the</w:t>
      </w:r>
      <w:r>
        <w:rPr>
          <w:rFonts w:ascii="Arial" w:hAnsi="Arial" w:cs="Arial"/>
        </w:rPr>
        <w:t xml:space="preserve"> supply</w:t>
      </w:r>
      <w:r w:rsidR="00191F01">
        <w:rPr>
          <w:rFonts w:ascii="Arial" w:hAnsi="Arial" w:cs="Arial"/>
        </w:rPr>
        <w:t>,</w:t>
      </w:r>
      <w:r>
        <w:rPr>
          <w:rFonts w:ascii="Arial" w:hAnsi="Arial" w:cs="Arial"/>
        </w:rPr>
        <w:t xml:space="preserve"> considering such</w:t>
      </w:r>
      <w:r w:rsidR="007C015D">
        <w:rPr>
          <w:rFonts w:ascii="Arial" w:hAnsi="Arial" w:cs="Arial"/>
        </w:rPr>
        <w:t xml:space="preserve"> a</w:t>
      </w:r>
      <w:r>
        <w:rPr>
          <w:rFonts w:ascii="Arial" w:hAnsi="Arial" w:cs="Arial"/>
        </w:rPr>
        <w:t xml:space="preserve"> sustained demand</w:t>
      </w:r>
      <w:r w:rsidR="007C015D">
        <w:rPr>
          <w:rFonts w:ascii="Arial" w:hAnsi="Arial" w:cs="Arial"/>
        </w:rPr>
        <w:t xml:space="preserve"> for</w:t>
      </w:r>
      <w:r>
        <w:rPr>
          <w:rFonts w:ascii="Arial" w:hAnsi="Arial" w:cs="Arial"/>
        </w:rPr>
        <w:t xml:space="preserve"> </w:t>
      </w:r>
      <w:r w:rsidR="00191F01">
        <w:rPr>
          <w:rFonts w:ascii="Arial" w:hAnsi="Arial" w:cs="Arial"/>
        </w:rPr>
        <w:t>growth</w:t>
      </w:r>
      <w:r w:rsidR="007C015D">
        <w:rPr>
          <w:rFonts w:ascii="Arial" w:hAnsi="Arial" w:cs="Arial"/>
        </w:rPr>
        <w:t>,</w:t>
      </w:r>
      <w:r w:rsidR="00191F01">
        <w:rPr>
          <w:rFonts w:ascii="Arial" w:hAnsi="Arial" w:cs="Arial"/>
        </w:rPr>
        <w:t xml:space="preserve"> </w:t>
      </w:r>
      <w:r>
        <w:rPr>
          <w:rFonts w:ascii="Arial" w:hAnsi="Arial" w:cs="Arial"/>
        </w:rPr>
        <w:t>is a challenge for the country.</w:t>
      </w:r>
    </w:p>
    <w:p w14:paraId="25B2F349" w14:textId="48231EF9" w:rsidR="00943ABC" w:rsidRDefault="00191F01" w:rsidP="00191F01">
      <w:pPr>
        <w:spacing w:before="120" w:after="120"/>
        <w:ind w:left="579" w:hanging="579"/>
        <w:jc w:val="both"/>
        <w:rPr>
          <w:rFonts w:ascii="Arial" w:hAnsi="Arial" w:cs="Arial"/>
        </w:rPr>
      </w:pPr>
      <w:r>
        <w:rPr>
          <w:rFonts w:ascii="Arial" w:hAnsi="Arial" w:cs="Arial"/>
        </w:rPr>
        <w:t>2.</w:t>
      </w:r>
      <w:r w:rsidR="007C015D">
        <w:rPr>
          <w:rFonts w:ascii="Arial" w:hAnsi="Arial" w:cs="Arial"/>
        </w:rPr>
        <w:t>3</w:t>
      </w:r>
      <w:r>
        <w:rPr>
          <w:rFonts w:ascii="Arial" w:hAnsi="Arial" w:cs="Arial"/>
        </w:rPr>
        <w:tab/>
      </w:r>
      <w:r w:rsidR="00422F47" w:rsidRPr="007C015D">
        <w:rPr>
          <w:rFonts w:ascii="Arial" w:hAnsi="Arial" w:cs="Arial"/>
          <w:b/>
          <w:bCs/>
        </w:rPr>
        <w:t xml:space="preserve">Potential for Nonconventional Renewable Energy (NCRE) and Energy Efficiency (EE). </w:t>
      </w:r>
      <w:r w:rsidR="00422F47">
        <w:rPr>
          <w:rFonts w:ascii="Arial" w:hAnsi="Arial" w:cs="Arial"/>
        </w:rPr>
        <w:t>Almost 100% of electricity supplied to the NIS is hydroelectric (</w:t>
      </w:r>
      <w:r w:rsidR="007C015D">
        <w:rPr>
          <w:rFonts w:ascii="Arial" w:hAnsi="Arial" w:cs="Arial"/>
        </w:rPr>
        <w:t xml:space="preserve">in 2017 </w:t>
      </w:r>
      <w:r w:rsidR="00422F47">
        <w:rPr>
          <w:rFonts w:ascii="Arial" w:hAnsi="Arial" w:cs="Arial"/>
        </w:rPr>
        <w:t>Itaipú</w:t>
      </w:r>
      <w:r w:rsidR="007C015D">
        <w:rPr>
          <w:rFonts w:ascii="Arial" w:hAnsi="Arial" w:cs="Arial"/>
        </w:rPr>
        <w:t xml:space="preserve"> generated</w:t>
      </w:r>
      <w:r w:rsidR="00422F47">
        <w:rPr>
          <w:rFonts w:ascii="Arial" w:hAnsi="Arial" w:cs="Arial"/>
        </w:rPr>
        <w:t xml:space="preserve"> 73.2%, Yacyretá 20.7% and Acaray 6.1%). </w:t>
      </w:r>
      <w:r w:rsidR="007C015D">
        <w:rPr>
          <w:rFonts w:ascii="Arial" w:hAnsi="Arial" w:cs="Arial"/>
        </w:rPr>
        <w:t xml:space="preserve">Despite </w:t>
      </w:r>
      <w:r w:rsidR="00422F47">
        <w:rPr>
          <w:rFonts w:ascii="Arial" w:hAnsi="Arial" w:cs="Arial"/>
        </w:rPr>
        <w:t xml:space="preserve">Paraguay’s </w:t>
      </w:r>
      <w:r w:rsidR="007C015D">
        <w:rPr>
          <w:rFonts w:ascii="Arial" w:hAnsi="Arial" w:cs="Arial"/>
        </w:rPr>
        <w:t xml:space="preserve">considerable </w:t>
      </w:r>
      <w:r w:rsidR="00422F47">
        <w:rPr>
          <w:rFonts w:ascii="Arial" w:hAnsi="Arial" w:cs="Arial"/>
        </w:rPr>
        <w:t>potential for NCRE</w:t>
      </w:r>
      <w:r w:rsidR="007C015D" w:rsidRPr="007C015D">
        <w:rPr>
          <w:rFonts w:ascii="Arial" w:hAnsi="Arial" w:cs="Arial"/>
        </w:rPr>
        <w:t xml:space="preserve"> </w:t>
      </w:r>
      <w:r w:rsidR="007C015D">
        <w:rPr>
          <w:rFonts w:ascii="Arial" w:hAnsi="Arial" w:cs="Arial"/>
        </w:rPr>
        <w:t>development</w:t>
      </w:r>
      <w:r w:rsidR="00422F47">
        <w:rPr>
          <w:rFonts w:ascii="Arial" w:hAnsi="Arial" w:cs="Arial"/>
        </w:rPr>
        <w:t>, its use has not been extended. The country’s average solar irradiance is 1,725 kWh/m2/year</w:t>
      </w:r>
      <w:r w:rsidR="007C015D">
        <w:rPr>
          <w:rFonts w:ascii="Arial" w:hAnsi="Arial" w:cs="Arial"/>
        </w:rPr>
        <w:t>,</w:t>
      </w:r>
      <w:r w:rsidR="00422F47">
        <w:rPr>
          <w:rFonts w:ascii="Arial" w:hAnsi="Arial" w:cs="Arial"/>
        </w:rPr>
        <w:t xml:space="preserve"> which could be used mainly for residentia</w:t>
      </w:r>
      <w:r w:rsidR="007C015D">
        <w:rPr>
          <w:rFonts w:ascii="Arial" w:hAnsi="Arial" w:cs="Arial"/>
        </w:rPr>
        <w:t>l</w:t>
      </w:r>
      <w:r w:rsidR="00260616">
        <w:rPr>
          <w:rFonts w:ascii="Arial" w:hAnsi="Arial" w:cs="Arial"/>
        </w:rPr>
        <w:t xml:space="preserve"> </w:t>
      </w:r>
      <w:r w:rsidR="00422F47">
        <w:rPr>
          <w:rFonts w:ascii="Arial" w:hAnsi="Arial" w:cs="Arial"/>
        </w:rPr>
        <w:t>generation</w:t>
      </w:r>
      <w:r w:rsidR="00260616">
        <w:rPr>
          <w:rFonts w:ascii="Arial" w:hAnsi="Arial" w:cs="Arial"/>
        </w:rPr>
        <w:t xml:space="preserve"> or in isolated systems</w:t>
      </w:r>
      <w:r w:rsidR="00422F47">
        <w:rPr>
          <w:rFonts w:ascii="Arial" w:hAnsi="Arial" w:cs="Arial"/>
        </w:rPr>
        <w:t xml:space="preserve">. </w:t>
      </w:r>
      <w:r w:rsidR="003C5D5E">
        <w:rPr>
          <w:rFonts w:ascii="Arial" w:hAnsi="Arial" w:cs="Arial"/>
        </w:rPr>
        <w:t>S</w:t>
      </w:r>
      <w:r w:rsidR="00422F47">
        <w:rPr>
          <w:rFonts w:ascii="Arial" w:hAnsi="Arial" w:cs="Arial"/>
        </w:rPr>
        <w:t>table winds would allow</w:t>
      </w:r>
      <w:r w:rsidR="003C5D5E">
        <w:rPr>
          <w:rFonts w:ascii="Arial" w:hAnsi="Arial" w:cs="Arial"/>
        </w:rPr>
        <w:t xml:space="preserve"> for</w:t>
      </w:r>
      <w:r w:rsidR="00422F47">
        <w:rPr>
          <w:rFonts w:ascii="Arial" w:hAnsi="Arial" w:cs="Arial"/>
        </w:rPr>
        <w:t xml:space="preserve"> energy generation</w:t>
      </w:r>
      <w:r w:rsidR="00F26571">
        <w:rPr>
          <w:rFonts w:ascii="Arial" w:hAnsi="Arial" w:cs="Arial"/>
        </w:rPr>
        <w:t>,</w:t>
      </w:r>
      <w:r w:rsidR="00422F47">
        <w:rPr>
          <w:rFonts w:ascii="Arial" w:hAnsi="Arial" w:cs="Arial"/>
        </w:rPr>
        <w:t xml:space="preserve"> especially in the northwest</w:t>
      </w:r>
      <w:r w:rsidR="00F26571">
        <w:rPr>
          <w:rFonts w:ascii="Arial" w:hAnsi="Arial" w:cs="Arial"/>
        </w:rPr>
        <w:t>ern</w:t>
      </w:r>
      <w:r w:rsidR="00422F47">
        <w:rPr>
          <w:rFonts w:ascii="Arial" w:hAnsi="Arial" w:cs="Arial"/>
        </w:rPr>
        <w:t xml:space="preserve"> Chaco region</w:t>
      </w:r>
      <w:r w:rsidR="00F26571">
        <w:rPr>
          <w:rFonts w:ascii="Arial" w:hAnsi="Arial" w:cs="Arial"/>
        </w:rPr>
        <w:t>;</w:t>
      </w:r>
      <w:r w:rsidR="00422F47">
        <w:rPr>
          <w:rFonts w:ascii="Arial" w:hAnsi="Arial" w:cs="Arial"/>
        </w:rPr>
        <w:t xml:space="preserve"> and the livestock industry has good prospects for biogas projects. </w:t>
      </w:r>
      <w:r w:rsidR="00F26571">
        <w:rPr>
          <w:rFonts w:ascii="Arial" w:hAnsi="Arial" w:cs="Arial"/>
        </w:rPr>
        <w:t xml:space="preserve">Such </w:t>
      </w:r>
      <w:r w:rsidR="00422F47">
        <w:rPr>
          <w:rFonts w:ascii="Arial" w:hAnsi="Arial" w:cs="Arial"/>
        </w:rPr>
        <w:t>technologies could</w:t>
      </w:r>
      <w:r w:rsidR="00F26571">
        <w:rPr>
          <w:rFonts w:ascii="Arial" w:hAnsi="Arial" w:cs="Arial"/>
        </w:rPr>
        <w:t xml:space="preserve"> deliver</w:t>
      </w:r>
      <w:r w:rsidR="00422F47">
        <w:rPr>
          <w:rFonts w:ascii="Arial" w:hAnsi="Arial" w:cs="Arial"/>
        </w:rPr>
        <w:t xml:space="preserve"> electri</w:t>
      </w:r>
      <w:r w:rsidR="003C5D5E">
        <w:rPr>
          <w:rFonts w:ascii="Arial" w:hAnsi="Arial" w:cs="Arial"/>
        </w:rPr>
        <w:t>city</w:t>
      </w:r>
      <w:r w:rsidR="00422F47">
        <w:rPr>
          <w:rFonts w:ascii="Arial" w:hAnsi="Arial" w:cs="Arial"/>
        </w:rPr>
        <w:t xml:space="preserve"> </w:t>
      </w:r>
      <w:r w:rsidR="00F26571">
        <w:rPr>
          <w:rFonts w:ascii="Arial" w:hAnsi="Arial" w:cs="Arial"/>
        </w:rPr>
        <w:t xml:space="preserve">to </w:t>
      </w:r>
      <w:r w:rsidR="003C5D5E">
        <w:rPr>
          <w:rFonts w:ascii="Arial" w:hAnsi="Arial" w:cs="Arial"/>
        </w:rPr>
        <w:t>communities</w:t>
      </w:r>
      <w:r w:rsidR="00422F47">
        <w:rPr>
          <w:rFonts w:ascii="Arial" w:hAnsi="Arial" w:cs="Arial"/>
        </w:rPr>
        <w:t xml:space="preserve"> </w:t>
      </w:r>
      <w:r w:rsidR="00422F47">
        <w:rPr>
          <w:rFonts w:ascii="Arial" w:hAnsi="Arial" w:cs="Arial"/>
        </w:rPr>
        <w:lastRenderedPageBreak/>
        <w:t xml:space="preserve">with no access to </w:t>
      </w:r>
      <w:r w:rsidR="00F26571">
        <w:rPr>
          <w:rFonts w:ascii="Arial" w:hAnsi="Arial" w:cs="Arial"/>
        </w:rPr>
        <w:t xml:space="preserve">the </w:t>
      </w:r>
      <w:r w:rsidR="003C5D5E">
        <w:rPr>
          <w:rFonts w:ascii="Arial" w:hAnsi="Arial" w:cs="Arial"/>
        </w:rPr>
        <w:t>service</w:t>
      </w:r>
      <w:r w:rsidR="00422F47">
        <w:rPr>
          <w:rFonts w:ascii="Arial" w:hAnsi="Arial" w:cs="Arial"/>
        </w:rPr>
        <w:t xml:space="preserve"> and replace some very small isolated diesel generators under operation. These technologies would also contribute </w:t>
      </w:r>
      <w:r w:rsidR="00260616">
        <w:rPr>
          <w:rFonts w:ascii="Arial" w:hAnsi="Arial" w:cs="Arial"/>
        </w:rPr>
        <w:t xml:space="preserve">to </w:t>
      </w:r>
      <w:r w:rsidR="00422F47">
        <w:rPr>
          <w:rFonts w:ascii="Arial" w:hAnsi="Arial" w:cs="Arial"/>
        </w:rPr>
        <w:t>Paraguay</w:t>
      </w:r>
      <w:r w:rsidR="003C5D5E">
        <w:rPr>
          <w:rFonts w:ascii="Arial" w:hAnsi="Arial" w:cs="Arial"/>
        </w:rPr>
        <w:t>’s Nationally Determined Contributions (NDC</w:t>
      </w:r>
      <w:r w:rsidR="00260616">
        <w:rPr>
          <w:rFonts w:ascii="Arial" w:hAnsi="Arial" w:cs="Arial"/>
        </w:rPr>
        <w:t>s</w:t>
      </w:r>
      <w:r w:rsidR="003C5D5E">
        <w:rPr>
          <w:rFonts w:ascii="Arial" w:hAnsi="Arial" w:cs="Arial"/>
        </w:rPr>
        <w:t>)</w:t>
      </w:r>
      <w:r w:rsidR="00D368E4">
        <w:rPr>
          <w:rFonts w:ascii="Arial" w:hAnsi="Arial" w:cs="Arial"/>
        </w:rPr>
        <w:t xml:space="preserve"> under the </w:t>
      </w:r>
      <w:r w:rsidR="00422F47">
        <w:rPr>
          <w:rFonts w:ascii="Arial" w:hAnsi="Arial" w:cs="Arial"/>
        </w:rPr>
        <w:t>Paris Agreement f</w:t>
      </w:r>
      <w:r w:rsidR="00260616">
        <w:rPr>
          <w:rFonts w:ascii="Arial" w:hAnsi="Arial" w:cs="Arial"/>
        </w:rPr>
        <w:t>or</w:t>
      </w:r>
      <w:r w:rsidR="00422F47">
        <w:rPr>
          <w:rFonts w:ascii="Arial" w:hAnsi="Arial" w:cs="Arial"/>
        </w:rPr>
        <w:t xml:space="preserve"> reducing fossil fuels consumption by </w:t>
      </w:r>
      <w:r w:rsidR="00260616">
        <w:rPr>
          <w:rFonts w:ascii="Arial" w:hAnsi="Arial" w:cs="Arial"/>
        </w:rPr>
        <w:t>20% and</w:t>
      </w:r>
      <w:r w:rsidR="00422F47">
        <w:rPr>
          <w:rFonts w:ascii="Arial" w:hAnsi="Arial" w:cs="Arial"/>
        </w:rPr>
        <w:t xml:space="preserve"> developing a sustainable energy matrix with NCRE. Likewise, there is high potential to implement EE measures both on the demand (EE in buildings based on the age of facilities and equipment) </w:t>
      </w:r>
      <w:r w:rsidR="00260616">
        <w:rPr>
          <w:rFonts w:ascii="Arial" w:hAnsi="Arial" w:cs="Arial"/>
        </w:rPr>
        <w:t>and the</w:t>
      </w:r>
      <w:r w:rsidR="00422F47">
        <w:rPr>
          <w:rFonts w:ascii="Arial" w:hAnsi="Arial" w:cs="Arial"/>
        </w:rPr>
        <w:t xml:space="preserve"> supply side (loss reduction). Electrical losses are of 24.5% (</w:t>
      </w:r>
      <w:r w:rsidR="00943ABC">
        <w:rPr>
          <w:rFonts w:ascii="Arial" w:hAnsi="Arial" w:cs="Arial"/>
        </w:rPr>
        <w:t xml:space="preserve">as of </w:t>
      </w:r>
      <w:r w:rsidR="00422F47">
        <w:rPr>
          <w:rFonts w:ascii="Arial" w:hAnsi="Arial" w:cs="Arial"/>
        </w:rPr>
        <w:t>2018), with 5.7% corresponding to transmission and 19.9% to distribution.</w:t>
      </w:r>
    </w:p>
    <w:p w14:paraId="6FC37E53" w14:textId="66521568" w:rsidR="00943ABC" w:rsidRDefault="00943ABC" w:rsidP="00943ABC">
      <w:pPr>
        <w:spacing w:before="120" w:after="120"/>
        <w:ind w:left="579" w:hanging="579"/>
        <w:jc w:val="both"/>
        <w:rPr>
          <w:rFonts w:ascii="Arial" w:hAnsi="Arial" w:cs="Arial"/>
        </w:rPr>
      </w:pPr>
      <w:r>
        <w:rPr>
          <w:rFonts w:ascii="Arial" w:hAnsi="Arial" w:cs="Arial"/>
        </w:rPr>
        <w:t>2.4</w:t>
      </w:r>
      <w:r>
        <w:rPr>
          <w:rFonts w:ascii="Arial" w:hAnsi="Arial" w:cs="Arial"/>
        </w:rPr>
        <w:tab/>
      </w:r>
      <w:r w:rsidR="00422F47" w:rsidRPr="003C7A9E">
        <w:rPr>
          <w:rFonts w:ascii="Arial" w:hAnsi="Arial" w:cs="Arial"/>
          <w:b/>
          <w:bCs/>
        </w:rPr>
        <w:t>Energy sector programs and requested support.</w:t>
      </w:r>
      <w:r w:rsidR="00422F47">
        <w:rPr>
          <w:rFonts w:ascii="Arial" w:hAnsi="Arial" w:cs="Arial"/>
        </w:rPr>
        <w:t xml:space="preserve"> ANDE is updating its power sector development plan with</w:t>
      </w:r>
      <w:r w:rsidR="001D48F4">
        <w:rPr>
          <w:rFonts w:ascii="Arial" w:hAnsi="Arial" w:cs="Arial"/>
        </w:rPr>
        <w:t>:</w:t>
      </w:r>
      <w:r w:rsidR="00422F47">
        <w:rPr>
          <w:rFonts w:ascii="Arial" w:hAnsi="Arial" w:cs="Arial"/>
        </w:rPr>
        <w:t xml:space="preserve"> (i) an expansion program in high and very high voltage (estimated cost US$ 650 million)</w:t>
      </w:r>
      <w:r w:rsidR="00A5190C">
        <w:rPr>
          <w:rFonts w:ascii="Arial" w:hAnsi="Arial" w:cs="Arial"/>
        </w:rPr>
        <w:t>;</w:t>
      </w:r>
      <w:r w:rsidR="00422F47">
        <w:rPr>
          <w:rFonts w:ascii="Arial" w:hAnsi="Arial" w:cs="Arial"/>
        </w:rPr>
        <w:t xml:space="preserve"> (ii) an EE program</w:t>
      </w:r>
      <w:r w:rsidR="00A5190C">
        <w:rPr>
          <w:rFonts w:ascii="Arial" w:hAnsi="Arial" w:cs="Arial"/>
        </w:rPr>
        <w:t>;</w:t>
      </w:r>
      <w:r w:rsidR="00422F47">
        <w:rPr>
          <w:rFonts w:ascii="Arial" w:hAnsi="Arial" w:cs="Arial"/>
        </w:rPr>
        <w:t xml:space="preserve"> and (iii) potential renewable energy solutions in isolated populations. The CCLIP (PR-O0004) and its first </w:t>
      </w:r>
      <w:r w:rsidR="001D48F4">
        <w:rPr>
          <w:rFonts w:ascii="Arial" w:hAnsi="Arial" w:cs="Arial"/>
        </w:rPr>
        <w:t>investment project</w:t>
      </w:r>
      <w:r w:rsidR="001D48F4" w:rsidDel="001D48F4">
        <w:rPr>
          <w:rFonts w:ascii="Arial" w:hAnsi="Arial" w:cs="Arial"/>
        </w:rPr>
        <w:t xml:space="preserve"> </w:t>
      </w:r>
      <w:r w:rsidR="00422F47">
        <w:rPr>
          <w:rFonts w:ascii="Arial" w:hAnsi="Arial" w:cs="Arial"/>
        </w:rPr>
        <w:t xml:space="preserve">(PR-L1173) will support the implementation of projects under this plan. </w:t>
      </w:r>
      <w:r w:rsidR="005C5470">
        <w:rPr>
          <w:rFonts w:ascii="Arial" w:hAnsi="Arial" w:cs="Arial"/>
        </w:rPr>
        <w:t xml:space="preserve">Along </w:t>
      </w:r>
      <w:r w:rsidR="00422F47">
        <w:rPr>
          <w:rFonts w:ascii="Arial" w:hAnsi="Arial" w:cs="Arial"/>
        </w:rPr>
        <w:t>this line, ANDE requested comprehensive assistance from the Bank</w:t>
      </w:r>
      <w:r w:rsidR="001D48F4">
        <w:rPr>
          <w:rFonts w:ascii="Arial" w:hAnsi="Arial" w:cs="Arial"/>
        </w:rPr>
        <w:t xml:space="preserve"> in</w:t>
      </w:r>
      <w:r w:rsidR="00422F47">
        <w:rPr>
          <w:rFonts w:ascii="Arial" w:hAnsi="Arial" w:cs="Arial"/>
        </w:rPr>
        <w:t xml:space="preserve"> support</w:t>
      </w:r>
      <w:r w:rsidR="001D48F4">
        <w:rPr>
          <w:rFonts w:ascii="Arial" w:hAnsi="Arial" w:cs="Arial"/>
        </w:rPr>
        <w:t>ing</w:t>
      </w:r>
      <w:r w:rsidR="00A5190C">
        <w:rPr>
          <w:rFonts w:ascii="Arial" w:hAnsi="Arial" w:cs="Arial"/>
        </w:rPr>
        <w:t xml:space="preserve"> the</w:t>
      </w:r>
      <w:r w:rsidR="001D48F4">
        <w:rPr>
          <w:rFonts w:ascii="Arial" w:hAnsi="Arial" w:cs="Arial"/>
        </w:rPr>
        <w:t>:</w:t>
      </w:r>
      <w:r w:rsidR="00422F47">
        <w:rPr>
          <w:rFonts w:ascii="Arial" w:hAnsi="Arial" w:cs="Arial"/>
        </w:rPr>
        <w:t xml:space="preserve"> (i)</w:t>
      </w:r>
      <w:r w:rsidR="00A5190C">
        <w:rPr>
          <w:rFonts w:ascii="Arial" w:hAnsi="Arial" w:cs="Arial"/>
        </w:rPr>
        <w:t> </w:t>
      </w:r>
      <w:r w:rsidR="00422F47">
        <w:rPr>
          <w:rFonts w:ascii="Arial" w:hAnsi="Arial" w:cs="Arial"/>
        </w:rPr>
        <w:t>implementation</w:t>
      </w:r>
      <w:r w:rsidR="001D48F4">
        <w:rPr>
          <w:rFonts w:ascii="Arial" w:hAnsi="Arial" w:cs="Arial"/>
        </w:rPr>
        <w:t xml:space="preserve"> of </w:t>
      </w:r>
      <w:r w:rsidR="00422F47">
        <w:rPr>
          <w:rFonts w:ascii="Arial" w:hAnsi="Arial" w:cs="Arial"/>
        </w:rPr>
        <w:t>PR-L1173; (ii) identification and preparation of subsequent investment projects under PR-O0004, including potentially small</w:t>
      </w:r>
      <w:r w:rsidR="001D48F4">
        <w:rPr>
          <w:rFonts w:ascii="Arial" w:hAnsi="Arial" w:cs="Arial"/>
        </w:rPr>
        <w:t xml:space="preserve"> </w:t>
      </w:r>
      <w:r w:rsidR="00422F47">
        <w:rPr>
          <w:rFonts w:ascii="Arial" w:hAnsi="Arial" w:cs="Arial"/>
        </w:rPr>
        <w:t>scale innovative pilot projects; and (iii) implementation of the investment project</w:t>
      </w:r>
      <w:r w:rsidR="0007550F">
        <w:rPr>
          <w:rFonts w:ascii="Arial" w:hAnsi="Arial" w:cs="Arial"/>
        </w:rPr>
        <w:t xml:space="preserve"> Rehabilitation and Modernization of the Acaray Hydroelectric Plant (4690/OC-PR).</w:t>
      </w:r>
    </w:p>
    <w:p w14:paraId="6DDD0B83" w14:textId="3BAD702A" w:rsidR="001B0D10" w:rsidRPr="00191F01" w:rsidRDefault="00E256A0" w:rsidP="000842F2">
      <w:pPr>
        <w:spacing w:before="120" w:after="120"/>
        <w:ind w:left="579" w:hanging="579"/>
        <w:jc w:val="both"/>
        <w:rPr>
          <w:rFonts w:ascii="Arial" w:hAnsi="Arial" w:cs="Arial"/>
        </w:rPr>
      </w:pPr>
      <w:r>
        <w:rPr>
          <w:rFonts w:ascii="Arial" w:hAnsi="Arial" w:cs="Arial"/>
        </w:rPr>
        <w:t>2.5</w:t>
      </w:r>
      <w:r>
        <w:rPr>
          <w:rFonts w:ascii="Arial" w:hAnsi="Arial" w:cs="Arial"/>
        </w:rPr>
        <w:tab/>
      </w:r>
      <w:r w:rsidR="00422F47" w:rsidRPr="003C7A9E">
        <w:rPr>
          <w:rFonts w:ascii="Arial" w:hAnsi="Arial" w:cs="Arial"/>
          <w:b/>
          <w:bCs/>
        </w:rPr>
        <w:t>IDB experience with ANDE.</w:t>
      </w:r>
      <w:r w:rsidR="00422F47">
        <w:rPr>
          <w:rFonts w:ascii="Arial" w:hAnsi="Arial" w:cs="Arial"/>
        </w:rPr>
        <w:t xml:space="preserve"> </w:t>
      </w:r>
      <w:r w:rsidR="00422F47" w:rsidRPr="000842F2">
        <w:rPr>
          <w:rFonts w:ascii="Arial" w:hAnsi="Arial" w:cs="Arial"/>
        </w:rPr>
        <w:t>The IDB has extensive</w:t>
      </w:r>
      <w:r w:rsidR="00422F47">
        <w:rPr>
          <w:rFonts w:ascii="Arial" w:hAnsi="Arial" w:cs="Arial"/>
        </w:rPr>
        <w:t xml:space="preserve"> knowledge of the sector and has been a strategic partner of ANDE. In recent years</w:t>
      </w:r>
      <w:r w:rsidR="004D7732">
        <w:rPr>
          <w:rFonts w:ascii="Arial" w:hAnsi="Arial" w:cs="Arial"/>
        </w:rPr>
        <w:t>,</w:t>
      </w:r>
      <w:r w:rsidR="00422F47">
        <w:rPr>
          <w:rFonts w:ascii="Arial" w:hAnsi="Arial" w:cs="Arial"/>
        </w:rPr>
        <w:t xml:space="preserve"> the Bank financed</w:t>
      </w:r>
      <w:r w:rsidR="004D7732">
        <w:rPr>
          <w:rFonts w:ascii="Arial" w:hAnsi="Arial" w:cs="Arial"/>
        </w:rPr>
        <w:t xml:space="preserve"> the</w:t>
      </w:r>
      <w:r w:rsidR="00422F47">
        <w:rPr>
          <w:rFonts w:ascii="Arial" w:hAnsi="Arial" w:cs="Arial"/>
        </w:rPr>
        <w:t xml:space="preserve"> Multi-Phase Electric Transmission Program of ANDE-Phase I (1835/OC-PR</w:t>
      </w:r>
      <w:r w:rsidR="004D7732">
        <w:rPr>
          <w:rFonts w:ascii="Arial" w:hAnsi="Arial" w:cs="Arial"/>
        </w:rPr>
        <w:t>) for</w:t>
      </w:r>
      <w:r w:rsidR="00422F47">
        <w:rPr>
          <w:rFonts w:ascii="Arial" w:hAnsi="Arial" w:cs="Arial"/>
        </w:rPr>
        <w:t xml:space="preserve"> US$69 million</w:t>
      </w:r>
      <w:r w:rsidR="004D7732">
        <w:rPr>
          <w:rFonts w:ascii="Arial" w:hAnsi="Arial" w:cs="Arial"/>
        </w:rPr>
        <w:t>, in</w:t>
      </w:r>
      <w:r w:rsidR="00422F47">
        <w:rPr>
          <w:rFonts w:ascii="Arial" w:hAnsi="Arial" w:cs="Arial"/>
        </w:rPr>
        <w:t xml:space="preserve"> 2006</w:t>
      </w:r>
      <w:r w:rsidR="004D7732">
        <w:rPr>
          <w:rFonts w:ascii="Arial" w:hAnsi="Arial" w:cs="Arial"/>
        </w:rPr>
        <w:t>,</w:t>
      </w:r>
      <w:r w:rsidR="00422F47">
        <w:rPr>
          <w:rFonts w:ascii="Arial" w:hAnsi="Arial" w:cs="Arial"/>
        </w:rPr>
        <w:t xml:space="preserve"> and</w:t>
      </w:r>
      <w:r w:rsidR="0007550F">
        <w:rPr>
          <w:rFonts w:ascii="Arial" w:hAnsi="Arial" w:cs="Arial"/>
        </w:rPr>
        <w:t xml:space="preserve"> </w:t>
      </w:r>
      <w:r w:rsidR="00422F47">
        <w:rPr>
          <w:rFonts w:ascii="Arial" w:hAnsi="Arial" w:cs="Arial"/>
        </w:rPr>
        <w:t>Phase II (2891/OC</w:t>
      </w:r>
      <w:r w:rsidR="0007550F">
        <w:rPr>
          <w:rFonts w:ascii="Arial" w:hAnsi="Arial" w:cs="Arial"/>
        </w:rPr>
        <w:t>-</w:t>
      </w:r>
      <w:r w:rsidR="00422F47">
        <w:rPr>
          <w:rFonts w:ascii="Arial" w:hAnsi="Arial" w:cs="Arial"/>
        </w:rPr>
        <w:t>PR</w:t>
      </w:r>
      <w:r w:rsidR="0007550F">
        <w:rPr>
          <w:rFonts w:ascii="Arial" w:hAnsi="Arial" w:cs="Arial"/>
        </w:rPr>
        <w:t>) – in 2012 – for</w:t>
      </w:r>
      <w:r w:rsidR="00422F47">
        <w:rPr>
          <w:rFonts w:ascii="Arial" w:hAnsi="Arial" w:cs="Arial"/>
        </w:rPr>
        <w:t xml:space="preserve"> US$50 million. More recently, a loan has been approved for the </w:t>
      </w:r>
      <w:r w:rsidR="00422F47" w:rsidRPr="003C7A9E">
        <w:rPr>
          <w:rFonts w:ascii="Arial" w:hAnsi="Arial" w:cs="Arial"/>
        </w:rPr>
        <w:t>Rehabilitation and Modernization of the Acaray Hydroelectric Plant</w:t>
      </w:r>
      <w:r w:rsidR="00422F47">
        <w:rPr>
          <w:rFonts w:ascii="Arial" w:hAnsi="Arial" w:cs="Arial"/>
        </w:rPr>
        <w:t xml:space="preserve"> (</w:t>
      </w:r>
      <w:r w:rsidR="0007550F">
        <w:rPr>
          <w:rFonts w:ascii="Arial" w:hAnsi="Arial" w:cs="Arial"/>
        </w:rPr>
        <w:t>4690/OC-PR)</w:t>
      </w:r>
      <w:r w:rsidR="00422F47">
        <w:rPr>
          <w:rFonts w:ascii="Arial" w:hAnsi="Arial" w:cs="Arial"/>
        </w:rPr>
        <w:t>,</w:t>
      </w:r>
      <w:r w:rsidR="0007550F">
        <w:rPr>
          <w:rFonts w:ascii="Arial" w:hAnsi="Arial" w:cs="Arial"/>
        </w:rPr>
        <w:t xml:space="preserve"> for </w:t>
      </w:r>
      <w:r w:rsidR="00422F47">
        <w:rPr>
          <w:rFonts w:ascii="Arial" w:hAnsi="Arial" w:cs="Arial"/>
        </w:rPr>
        <w:t>US$125 million. In addition, the Bank is executing a non</w:t>
      </w:r>
      <w:r w:rsidR="0007550F">
        <w:rPr>
          <w:rFonts w:ascii="Arial" w:hAnsi="Arial" w:cs="Arial"/>
        </w:rPr>
        <w:noBreakHyphen/>
      </w:r>
      <w:r w:rsidR="00422F47">
        <w:rPr>
          <w:rFonts w:ascii="Arial" w:hAnsi="Arial" w:cs="Arial"/>
        </w:rPr>
        <w:t xml:space="preserve">reimbursable TC (ATN/OC-15910-PR) </w:t>
      </w:r>
      <w:r w:rsidR="002430F8">
        <w:rPr>
          <w:rFonts w:ascii="Arial" w:hAnsi="Arial" w:cs="Arial"/>
        </w:rPr>
        <w:t>which</w:t>
      </w:r>
      <w:r w:rsidR="00422F47">
        <w:rPr>
          <w:rFonts w:ascii="Arial" w:hAnsi="Arial" w:cs="Arial"/>
        </w:rPr>
        <w:t xml:space="preserve"> includes technical support for the</w:t>
      </w:r>
      <w:r w:rsidR="002430F8">
        <w:rPr>
          <w:rFonts w:ascii="Arial" w:hAnsi="Arial" w:cs="Arial"/>
        </w:rPr>
        <w:t xml:space="preserve"> </w:t>
      </w:r>
      <w:r w:rsidR="00422F47">
        <w:rPr>
          <w:rFonts w:ascii="Arial" w:hAnsi="Arial" w:cs="Arial"/>
        </w:rPr>
        <w:t>modernization</w:t>
      </w:r>
      <w:r w:rsidR="002430F8">
        <w:rPr>
          <w:rFonts w:ascii="Arial" w:hAnsi="Arial" w:cs="Arial"/>
        </w:rPr>
        <w:t xml:space="preserve"> of infrastructure</w:t>
      </w:r>
      <w:r w:rsidR="00422F47">
        <w:rPr>
          <w:rFonts w:ascii="Arial" w:hAnsi="Arial" w:cs="Arial"/>
        </w:rPr>
        <w:t>, EE in public lighting</w:t>
      </w:r>
      <w:r w:rsidR="002430F8">
        <w:rPr>
          <w:rFonts w:ascii="Arial" w:hAnsi="Arial" w:cs="Arial"/>
        </w:rPr>
        <w:t xml:space="preserve"> and energy access in isolated areas of the country.</w:t>
      </w:r>
    </w:p>
    <w:p w14:paraId="540FA151" w14:textId="77777777" w:rsidR="001B0D10" w:rsidRDefault="00422F47">
      <w:pPr>
        <w:spacing w:before="120" w:after="120"/>
        <w:ind w:left="579" w:hanging="579"/>
      </w:pPr>
      <w:r>
        <w:rPr>
          <w:rFonts w:ascii="Arial" w:hAnsi="Arial" w:cs="Arial"/>
          <w:b/>
        </w:rPr>
        <w:t>III.</w:t>
      </w:r>
      <w:r>
        <w:rPr>
          <w:rFonts w:ascii="Arial" w:hAnsi="Arial" w:cs="Arial"/>
          <w:b/>
        </w:rPr>
        <w:tab/>
        <w:t>Description of Activities and Outputs</w:t>
      </w:r>
    </w:p>
    <w:p w14:paraId="76AC7CA9" w14:textId="2281286A" w:rsidR="001B0D10" w:rsidRDefault="00422F47">
      <w:pPr>
        <w:spacing w:before="120" w:after="120"/>
        <w:ind w:left="579" w:hanging="579"/>
        <w:jc w:val="both"/>
      </w:pPr>
      <w:r>
        <w:rPr>
          <w:rFonts w:ascii="Arial" w:hAnsi="Arial" w:cs="Arial"/>
        </w:rPr>
        <w:t>3.1</w:t>
      </w:r>
      <w:r>
        <w:rPr>
          <w:rFonts w:ascii="Arial" w:hAnsi="Arial" w:cs="Arial"/>
        </w:rPr>
        <w:tab/>
      </w:r>
      <w:r w:rsidR="002430F8" w:rsidRPr="003C7A9E">
        <w:rPr>
          <w:rFonts w:ascii="Arial" w:hAnsi="Arial" w:cs="Arial"/>
          <w:b/>
        </w:rPr>
        <w:t>Component I</w:t>
      </w:r>
      <w:r w:rsidR="002430F8">
        <w:rPr>
          <w:rFonts w:ascii="Arial" w:hAnsi="Arial" w:cs="Arial"/>
          <w:b/>
        </w:rPr>
        <w:t xml:space="preserve">. Support project preparation. </w:t>
      </w:r>
      <w:r w:rsidR="002430F8">
        <w:rPr>
          <w:rFonts w:ascii="Arial" w:hAnsi="Arial" w:cs="Arial"/>
        </w:rPr>
        <w:t>Th</w:t>
      </w:r>
      <w:r w:rsidR="000842F2">
        <w:rPr>
          <w:rFonts w:ascii="Arial" w:hAnsi="Arial" w:cs="Arial"/>
        </w:rPr>
        <w:t>e</w:t>
      </w:r>
      <w:r w:rsidR="002430F8">
        <w:rPr>
          <w:rFonts w:ascii="Arial" w:hAnsi="Arial" w:cs="Arial"/>
        </w:rPr>
        <w:t xml:space="preserve"> component will finance</w:t>
      </w:r>
      <w:r w:rsidR="00B45F01">
        <w:rPr>
          <w:rFonts w:ascii="Arial" w:hAnsi="Arial" w:cs="Arial"/>
        </w:rPr>
        <w:t>:</w:t>
      </w:r>
      <w:r w:rsidR="002430F8">
        <w:rPr>
          <w:rFonts w:ascii="Arial" w:hAnsi="Arial" w:cs="Arial"/>
        </w:rPr>
        <w:t xml:space="preserve"> (i)</w:t>
      </w:r>
      <w:r w:rsidR="00B45F01">
        <w:rPr>
          <w:rFonts w:ascii="Arial" w:hAnsi="Arial" w:cs="Arial"/>
        </w:rPr>
        <w:t> </w:t>
      </w:r>
      <w:r w:rsidR="002430F8">
        <w:rPr>
          <w:rFonts w:ascii="Arial" w:hAnsi="Arial" w:cs="Arial"/>
        </w:rPr>
        <w:t>assessments to evaluate technical, economic, and environmental/social feasibility of EE and</w:t>
      </w:r>
      <w:r w:rsidR="000842F2">
        <w:rPr>
          <w:rFonts w:ascii="Arial" w:hAnsi="Arial" w:cs="Arial"/>
        </w:rPr>
        <w:t xml:space="preserve"> CE</w:t>
      </w:r>
      <w:r w:rsidR="002430F8">
        <w:rPr>
          <w:rFonts w:ascii="Arial" w:hAnsi="Arial" w:cs="Arial"/>
        </w:rPr>
        <w:t xml:space="preserve"> projects</w:t>
      </w:r>
      <w:r w:rsidR="00B45F01">
        <w:rPr>
          <w:rFonts w:ascii="Arial" w:hAnsi="Arial" w:cs="Arial"/>
        </w:rPr>
        <w:t xml:space="preserve">; and </w:t>
      </w:r>
      <w:r w:rsidR="002430F8">
        <w:rPr>
          <w:rFonts w:ascii="Arial" w:hAnsi="Arial" w:cs="Arial"/>
        </w:rPr>
        <w:t>(ii)</w:t>
      </w:r>
      <w:r w:rsidR="00B45F01">
        <w:rPr>
          <w:rFonts w:ascii="Arial" w:hAnsi="Arial" w:cs="Arial"/>
        </w:rPr>
        <w:t xml:space="preserve"> </w:t>
      </w:r>
      <w:r w:rsidR="002430F8">
        <w:rPr>
          <w:rFonts w:ascii="Arial" w:hAnsi="Arial" w:cs="Arial"/>
        </w:rPr>
        <w:t xml:space="preserve">preliminary design studies for the implementation of EE and </w:t>
      </w:r>
      <w:r w:rsidR="000842F2">
        <w:rPr>
          <w:rFonts w:ascii="Arial" w:hAnsi="Arial" w:cs="Arial"/>
        </w:rPr>
        <w:t>CE</w:t>
      </w:r>
      <w:r w:rsidR="002430F8">
        <w:rPr>
          <w:rFonts w:ascii="Arial" w:hAnsi="Arial" w:cs="Arial"/>
        </w:rPr>
        <w:t xml:space="preserve"> projects. The products will be studies and technical designs for innovative technologies </w:t>
      </w:r>
      <w:r w:rsidR="000842F2">
        <w:rPr>
          <w:rFonts w:ascii="Arial" w:hAnsi="Arial" w:cs="Arial"/>
        </w:rPr>
        <w:t>to</w:t>
      </w:r>
      <w:r w:rsidR="002430F8">
        <w:rPr>
          <w:rFonts w:ascii="Arial" w:hAnsi="Arial" w:cs="Arial"/>
        </w:rPr>
        <w:t xml:space="preserve"> support the structuring of new sustainable infrastructure operations under PR-O0004. Projects will be design</w:t>
      </w:r>
      <w:r w:rsidR="000842F2">
        <w:rPr>
          <w:rFonts w:ascii="Arial" w:hAnsi="Arial" w:cs="Arial"/>
        </w:rPr>
        <w:t>ed</w:t>
      </w:r>
      <w:r w:rsidR="002430F8">
        <w:rPr>
          <w:rFonts w:ascii="Arial" w:hAnsi="Arial" w:cs="Arial"/>
        </w:rPr>
        <w:t xml:space="preserve"> considering the application of the latest technologies.</w:t>
      </w:r>
    </w:p>
    <w:p w14:paraId="2F0DFCEB" w14:textId="168D9F8B" w:rsidR="001B0D10" w:rsidRDefault="00422F47">
      <w:pPr>
        <w:spacing w:before="120" w:after="120"/>
        <w:ind w:left="579" w:hanging="579"/>
        <w:jc w:val="both"/>
      </w:pPr>
      <w:r>
        <w:rPr>
          <w:rFonts w:ascii="Arial" w:hAnsi="Arial" w:cs="Arial"/>
        </w:rPr>
        <w:t>3.</w:t>
      </w:r>
      <w:r w:rsidR="002430F8">
        <w:rPr>
          <w:rFonts w:ascii="Arial" w:hAnsi="Arial" w:cs="Arial"/>
        </w:rPr>
        <w:t>2</w:t>
      </w:r>
      <w:r>
        <w:rPr>
          <w:rFonts w:ascii="Arial" w:hAnsi="Arial" w:cs="Arial"/>
        </w:rPr>
        <w:tab/>
      </w:r>
      <w:r>
        <w:rPr>
          <w:rFonts w:ascii="Arial" w:hAnsi="Arial" w:cs="Arial"/>
          <w:b/>
        </w:rPr>
        <w:t>Component II</w:t>
      </w:r>
      <w:r w:rsidR="00B45F01">
        <w:rPr>
          <w:rFonts w:ascii="Arial" w:hAnsi="Arial" w:cs="Arial"/>
          <w:b/>
        </w:rPr>
        <w:t>.</w:t>
      </w:r>
      <w:r>
        <w:rPr>
          <w:rFonts w:ascii="Arial" w:hAnsi="Arial" w:cs="Arial"/>
          <w:b/>
        </w:rPr>
        <w:t xml:space="preserve"> Support project implementation. </w:t>
      </w:r>
      <w:r>
        <w:rPr>
          <w:rFonts w:ascii="Arial" w:hAnsi="Arial" w:cs="Arial"/>
        </w:rPr>
        <w:t>Th</w:t>
      </w:r>
      <w:r w:rsidR="000842F2">
        <w:rPr>
          <w:rFonts w:ascii="Arial" w:hAnsi="Arial" w:cs="Arial"/>
        </w:rPr>
        <w:t>e</w:t>
      </w:r>
      <w:r>
        <w:rPr>
          <w:rFonts w:ascii="Arial" w:hAnsi="Arial" w:cs="Arial"/>
        </w:rPr>
        <w:t xml:space="preserve"> component will finance activities to support the implementation of PR-L1173 </w:t>
      </w:r>
      <w:r w:rsidR="000842F2">
        <w:rPr>
          <w:rFonts w:ascii="Arial" w:hAnsi="Arial" w:cs="Arial"/>
        </w:rPr>
        <w:t>(</w:t>
      </w:r>
      <w:r>
        <w:rPr>
          <w:rFonts w:ascii="Arial" w:hAnsi="Arial" w:cs="Arial"/>
        </w:rPr>
        <w:t>includ</w:t>
      </w:r>
      <w:r w:rsidR="000842F2">
        <w:rPr>
          <w:rFonts w:ascii="Arial" w:hAnsi="Arial" w:cs="Arial"/>
        </w:rPr>
        <w:t>ing</w:t>
      </w:r>
      <w:r>
        <w:rPr>
          <w:rFonts w:ascii="Arial" w:hAnsi="Arial" w:cs="Arial"/>
        </w:rPr>
        <w:t xml:space="preserve"> investments to promote sustainable energy in Paraguay such as </w:t>
      </w:r>
      <w:r w:rsidR="000842F2">
        <w:rPr>
          <w:rFonts w:ascii="Arial" w:hAnsi="Arial" w:cs="Arial"/>
        </w:rPr>
        <w:t>TL and</w:t>
      </w:r>
      <w:r>
        <w:rPr>
          <w:rFonts w:ascii="Arial" w:hAnsi="Arial" w:cs="Arial"/>
        </w:rPr>
        <w:t xml:space="preserve"> EE on public buildings) and the </w:t>
      </w:r>
      <w:r w:rsidR="000842F2">
        <w:rPr>
          <w:rFonts w:ascii="Arial" w:hAnsi="Arial" w:cs="Arial"/>
        </w:rPr>
        <w:t>4690/OC-PR</w:t>
      </w:r>
      <w:r>
        <w:rPr>
          <w:rFonts w:ascii="Arial" w:hAnsi="Arial" w:cs="Arial"/>
        </w:rPr>
        <w:t>, including technical assistances, workshops, trainings, and implementation support to ensure the achievement of quality infrastructure.</w:t>
      </w:r>
    </w:p>
    <w:p w14:paraId="46AC8528" w14:textId="54DD2147" w:rsidR="001B0D10" w:rsidRDefault="00422F47">
      <w:pPr>
        <w:spacing w:before="120" w:after="120"/>
        <w:ind w:left="579" w:hanging="579"/>
        <w:jc w:val="both"/>
      </w:pPr>
      <w:r>
        <w:rPr>
          <w:rFonts w:ascii="Arial" w:hAnsi="Arial" w:cs="Arial"/>
        </w:rPr>
        <w:t>3.4</w:t>
      </w:r>
      <w:r>
        <w:rPr>
          <w:rFonts w:ascii="Arial" w:hAnsi="Arial" w:cs="Arial"/>
        </w:rPr>
        <w:tab/>
      </w:r>
      <w:r>
        <w:rPr>
          <w:rFonts w:ascii="Arial" w:hAnsi="Arial" w:cs="Arial"/>
          <w:b/>
        </w:rPr>
        <w:t>Component III</w:t>
      </w:r>
      <w:r w:rsidR="000842F2">
        <w:rPr>
          <w:rFonts w:ascii="Arial" w:hAnsi="Arial" w:cs="Arial"/>
          <w:b/>
        </w:rPr>
        <w:t>.</w:t>
      </w:r>
      <w:r>
        <w:rPr>
          <w:rFonts w:ascii="Arial" w:hAnsi="Arial" w:cs="Arial"/>
          <w:b/>
        </w:rPr>
        <w:t xml:space="preserve"> Support for the design and testing of innovative</w:t>
      </w:r>
      <w:r w:rsidR="000842F2">
        <w:rPr>
          <w:rFonts w:ascii="Arial" w:hAnsi="Arial" w:cs="Arial"/>
          <w:b/>
        </w:rPr>
        <w:t xml:space="preserve"> CE</w:t>
      </w:r>
      <w:r>
        <w:rPr>
          <w:rFonts w:ascii="Arial" w:hAnsi="Arial" w:cs="Arial"/>
          <w:b/>
        </w:rPr>
        <w:t xml:space="preserve"> projects. </w:t>
      </w:r>
      <w:r>
        <w:rPr>
          <w:rFonts w:ascii="Arial" w:hAnsi="Arial" w:cs="Arial"/>
        </w:rPr>
        <w:t>Th</w:t>
      </w:r>
      <w:r w:rsidR="000842F2">
        <w:rPr>
          <w:rFonts w:ascii="Arial" w:hAnsi="Arial" w:cs="Arial"/>
        </w:rPr>
        <w:t>e</w:t>
      </w:r>
      <w:r>
        <w:rPr>
          <w:rFonts w:ascii="Arial" w:hAnsi="Arial" w:cs="Arial"/>
        </w:rPr>
        <w:t xml:space="preserve"> component will finance</w:t>
      </w:r>
      <w:r w:rsidR="000842F2">
        <w:rPr>
          <w:rFonts w:ascii="Arial" w:hAnsi="Arial" w:cs="Arial"/>
        </w:rPr>
        <w:t>:</w:t>
      </w:r>
      <w:r>
        <w:rPr>
          <w:rFonts w:ascii="Arial" w:hAnsi="Arial" w:cs="Arial"/>
        </w:rPr>
        <w:t xml:space="preserve"> (i)</w:t>
      </w:r>
      <w:r w:rsidR="000842F2">
        <w:rPr>
          <w:rFonts w:ascii="Arial" w:hAnsi="Arial" w:cs="Arial"/>
        </w:rPr>
        <w:t xml:space="preserve"> </w:t>
      </w:r>
      <w:r>
        <w:rPr>
          <w:rFonts w:ascii="Arial" w:hAnsi="Arial" w:cs="Arial"/>
        </w:rPr>
        <w:t xml:space="preserve">identification of innovative CE projects, like floating and inland solar </w:t>
      </w:r>
      <w:r w:rsidR="000842F2">
        <w:rPr>
          <w:rFonts w:ascii="Arial" w:hAnsi="Arial" w:cs="Arial"/>
        </w:rPr>
        <w:t>photovoltaic</w:t>
      </w:r>
      <w:r>
        <w:rPr>
          <w:rFonts w:ascii="Arial" w:hAnsi="Arial" w:cs="Arial"/>
        </w:rPr>
        <w:t>, to be tested within ANDE’s Acaray Hydropower Complex premises; (ii)</w:t>
      </w:r>
      <w:r w:rsidR="000842F2">
        <w:rPr>
          <w:rFonts w:ascii="Arial" w:hAnsi="Arial" w:cs="Arial"/>
        </w:rPr>
        <w:t xml:space="preserve"> </w:t>
      </w:r>
      <w:r>
        <w:rPr>
          <w:rFonts w:ascii="Arial" w:hAnsi="Arial" w:cs="Arial"/>
        </w:rPr>
        <w:t>commercial and technical feasibility studies for a CE pilot project</w:t>
      </w:r>
      <w:r w:rsidR="000842F2">
        <w:rPr>
          <w:rFonts w:ascii="Arial" w:hAnsi="Arial" w:cs="Arial"/>
        </w:rPr>
        <w:t>;</w:t>
      </w:r>
      <w:r w:rsidR="009032E6">
        <w:rPr>
          <w:rFonts w:ascii="Arial" w:hAnsi="Arial" w:cs="Arial"/>
        </w:rPr>
        <w:t xml:space="preserve"> </w:t>
      </w:r>
      <w:r>
        <w:rPr>
          <w:rFonts w:ascii="Arial" w:hAnsi="Arial" w:cs="Arial"/>
        </w:rPr>
        <w:t>and (iii)</w:t>
      </w:r>
      <w:r w:rsidR="009032E6">
        <w:rPr>
          <w:rFonts w:ascii="Arial" w:hAnsi="Arial" w:cs="Arial"/>
        </w:rPr>
        <w:t xml:space="preserve"> the </w:t>
      </w:r>
      <w:r>
        <w:rPr>
          <w:rFonts w:ascii="Arial" w:hAnsi="Arial" w:cs="Arial"/>
        </w:rPr>
        <w:t xml:space="preserve">procurement and construction of the project. The product will be </w:t>
      </w:r>
      <w:r w:rsidR="009032E6">
        <w:rPr>
          <w:rFonts w:ascii="Arial" w:hAnsi="Arial" w:cs="Arial"/>
        </w:rPr>
        <w:t xml:space="preserve">a </w:t>
      </w:r>
      <w:r>
        <w:rPr>
          <w:rFonts w:ascii="Arial" w:hAnsi="Arial" w:cs="Arial"/>
        </w:rPr>
        <w:t>commissioned CE pilot project (</w:t>
      </w:r>
      <w:r w:rsidR="009032E6">
        <w:rPr>
          <w:rFonts w:ascii="Arial" w:hAnsi="Arial" w:cs="Arial"/>
        </w:rPr>
        <w:t xml:space="preserve">to </w:t>
      </w:r>
      <w:r>
        <w:rPr>
          <w:rFonts w:ascii="Arial" w:hAnsi="Arial" w:cs="Arial"/>
        </w:rPr>
        <w:t>act as a testing platform for further replication and scalation to commercial size) including transfer</w:t>
      </w:r>
      <w:r w:rsidR="009032E6">
        <w:rPr>
          <w:rFonts w:ascii="Arial" w:hAnsi="Arial" w:cs="Arial"/>
        </w:rPr>
        <w:t xml:space="preserve"> of knowledge</w:t>
      </w:r>
      <w:r>
        <w:rPr>
          <w:rFonts w:ascii="Arial" w:hAnsi="Arial" w:cs="Arial"/>
        </w:rPr>
        <w:t xml:space="preserve"> to AND</w:t>
      </w:r>
      <w:r w:rsidR="009032E6">
        <w:rPr>
          <w:rFonts w:ascii="Arial" w:hAnsi="Arial" w:cs="Arial"/>
        </w:rPr>
        <w:t xml:space="preserve">E </w:t>
      </w:r>
      <w:r>
        <w:rPr>
          <w:rFonts w:ascii="Arial" w:hAnsi="Arial" w:cs="Arial"/>
        </w:rPr>
        <w:t>staff</w:t>
      </w:r>
      <w:r w:rsidR="009032E6">
        <w:rPr>
          <w:rFonts w:ascii="Arial" w:hAnsi="Arial" w:cs="Arial"/>
        </w:rPr>
        <w:t>.</w:t>
      </w:r>
    </w:p>
    <w:p w14:paraId="637D3BCD" w14:textId="139954D4" w:rsidR="001B0D10" w:rsidRDefault="00422F47">
      <w:pPr>
        <w:spacing w:before="120" w:after="120"/>
        <w:ind w:left="579" w:hanging="579"/>
        <w:jc w:val="both"/>
      </w:pPr>
      <w:r>
        <w:rPr>
          <w:rFonts w:ascii="Arial" w:hAnsi="Arial" w:cs="Arial"/>
        </w:rPr>
        <w:t>3.5</w:t>
      </w:r>
      <w:r>
        <w:rPr>
          <w:rFonts w:ascii="Arial" w:hAnsi="Arial" w:cs="Arial"/>
        </w:rPr>
        <w:tab/>
      </w:r>
      <w:r>
        <w:rPr>
          <w:rFonts w:ascii="Arial" w:hAnsi="Arial" w:cs="Arial"/>
          <w:b/>
        </w:rPr>
        <w:t>Component IV</w:t>
      </w:r>
      <w:r w:rsidR="004E7D66">
        <w:rPr>
          <w:rFonts w:ascii="Arial" w:hAnsi="Arial" w:cs="Arial"/>
          <w:b/>
        </w:rPr>
        <w:t>.</w:t>
      </w:r>
      <w:bookmarkStart w:id="0" w:name="_GoBack"/>
      <w:bookmarkEnd w:id="0"/>
      <w:r>
        <w:rPr>
          <w:rFonts w:ascii="Arial" w:hAnsi="Arial" w:cs="Arial"/>
          <w:b/>
        </w:rPr>
        <w:t xml:space="preserve"> Component IV: Knowledge dissemination and execution support. </w:t>
      </w:r>
      <w:r>
        <w:rPr>
          <w:rFonts w:ascii="Arial" w:hAnsi="Arial" w:cs="Arial"/>
        </w:rPr>
        <w:t>Th</w:t>
      </w:r>
      <w:r w:rsidR="00FB0DCB">
        <w:rPr>
          <w:rFonts w:ascii="Arial" w:hAnsi="Arial" w:cs="Arial"/>
        </w:rPr>
        <w:t>e</w:t>
      </w:r>
      <w:r>
        <w:rPr>
          <w:rFonts w:ascii="Arial" w:hAnsi="Arial" w:cs="Arial"/>
        </w:rPr>
        <w:t xml:space="preserve"> component will finance</w:t>
      </w:r>
      <w:r w:rsidR="00FB0DCB">
        <w:rPr>
          <w:rFonts w:ascii="Arial" w:hAnsi="Arial" w:cs="Arial"/>
        </w:rPr>
        <w:t>:</w:t>
      </w:r>
      <w:r>
        <w:rPr>
          <w:rFonts w:ascii="Arial" w:hAnsi="Arial" w:cs="Arial"/>
        </w:rPr>
        <w:t xml:space="preserve"> (i) knowledge dissemination events such as trainings on sustainable energy technologies</w:t>
      </w:r>
      <w:r w:rsidR="00FB0DCB">
        <w:rPr>
          <w:rFonts w:ascii="Arial" w:hAnsi="Arial" w:cs="Arial"/>
        </w:rPr>
        <w:t>,</w:t>
      </w:r>
      <w:r>
        <w:rPr>
          <w:rFonts w:ascii="Arial" w:hAnsi="Arial" w:cs="Arial"/>
        </w:rPr>
        <w:t xml:space="preserve"> and workshops to disseminate experiences and findings of the pilot project; and (ii) complementary support for the execution of the TC. </w:t>
      </w:r>
    </w:p>
    <w:p w14:paraId="566C135E" w14:textId="0BF246CD" w:rsidR="001B0D10" w:rsidRDefault="00422F47">
      <w:pPr>
        <w:spacing w:before="120" w:after="120"/>
        <w:ind w:left="579" w:hanging="579"/>
        <w:rPr>
          <w:rFonts w:ascii="Arial" w:hAnsi="Arial" w:cs="Arial"/>
          <w:b/>
        </w:rPr>
      </w:pPr>
      <w:r>
        <w:rPr>
          <w:rFonts w:ascii="Arial" w:hAnsi="Arial" w:cs="Arial"/>
          <w:b/>
        </w:rPr>
        <w:lastRenderedPageBreak/>
        <w:t>IV.</w:t>
      </w:r>
      <w:r>
        <w:rPr>
          <w:rFonts w:ascii="Arial" w:hAnsi="Arial" w:cs="Arial"/>
          <w:b/>
        </w:rPr>
        <w:tab/>
        <w:t>Budget</w:t>
      </w:r>
    </w:p>
    <w:p w14:paraId="6892F080" w14:textId="75A12A5F" w:rsidR="00EA42BD" w:rsidRDefault="00EA42BD" w:rsidP="003C7A9E">
      <w:pPr>
        <w:spacing w:before="120" w:after="120"/>
        <w:ind w:left="579" w:hanging="579"/>
        <w:jc w:val="both"/>
      </w:pPr>
      <w:r>
        <w:rPr>
          <w:rFonts w:ascii="Arial" w:hAnsi="Arial" w:cs="Arial"/>
        </w:rPr>
        <w:t>4.1</w:t>
      </w:r>
      <w:r>
        <w:rPr>
          <w:rFonts w:ascii="Arial" w:hAnsi="Arial" w:cs="Arial"/>
        </w:rPr>
        <w:tab/>
      </w:r>
      <w:r w:rsidRPr="003C7A9E">
        <w:rPr>
          <w:rFonts w:ascii="Arial" w:hAnsi="Arial" w:cs="Arial"/>
        </w:rPr>
        <w:t>T</w:t>
      </w:r>
      <w:r>
        <w:rPr>
          <w:rFonts w:ascii="Arial" w:hAnsi="Arial" w:cs="Arial"/>
        </w:rPr>
        <w:t>otal amount of funding needed for the TC will be US$850,000.00.</w:t>
      </w:r>
      <w:r w:rsidR="00060BA3">
        <w:rPr>
          <w:rFonts w:ascii="Arial" w:hAnsi="Arial" w:cs="Arial"/>
        </w:rPr>
        <w:t xml:space="preserve"> The funding needed for each component </w:t>
      </w:r>
      <w:r w:rsidR="00A42007">
        <w:rPr>
          <w:rFonts w:ascii="Arial" w:hAnsi="Arial" w:cs="Arial"/>
        </w:rPr>
        <w:t xml:space="preserve">is </w:t>
      </w:r>
      <w:r w:rsidR="00060BA3">
        <w:rPr>
          <w:rFonts w:ascii="Arial" w:hAnsi="Arial" w:cs="Arial"/>
        </w:rPr>
        <w:t>detailed in the table</w:t>
      </w:r>
      <w:r w:rsidR="00DE14FF">
        <w:rPr>
          <w:rFonts w:ascii="Arial" w:hAnsi="Arial" w:cs="Arial"/>
        </w:rPr>
        <w:t xml:space="preserve"> below</w:t>
      </w:r>
      <w:r w:rsidR="00060BA3">
        <w:rPr>
          <w:rFonts w:ascii="Arial" w:hAnsi="Arial" w:cs="Arial"/>
        </w:rPr>
        <w:t>.</w:t>
      </w:r>
    </w:p>
    <w:p w14:paraId="0B2FEC92" w14:textId="77777777" w:rsidR="001B0D10" w:rsidRPr="003C7A9E" w:rsidRDefault="00422F47">
      <w:pPr>
        <w:spacing w:before="240" w:after="120"/>
        <w:jc w:val="center"/>
        <w:rPr>
          <w:sz w:val="20"/>
          <w:szCs w:val="20"/>
        </w:rPr>
      </w:pPr>
      <w:r w:rsidRPr="003C7A9E">
        <w:rPr>
          <w:rFonts w:ascii="Arial" w:hAnsi="Arial" w:cs="Arial"/>
          <w:b/>
          <w:sz w:val="20"/>
          <w:szCs w:val="20"/>
        </w:rPr>
        <w:t>Indicative Budget</w:t>
      </w:r>
    </w:p>
    <w:tbl>
      <w:tblPr>
        <w:tblStyle w:val="TableGrid"/>
        <w:tblW w:w="5000" w:type="auto"/>
        <w:tblLook w:val="04A0" w:firstRow="1" w:lastRow="0" w:firstColumn="1" w:lastColumn="0" w:noHBand="0" w:noVBand="1"/>
      </w:tblPr>
      <w:tblGrid>
        <w:gridCol w:w="2282"/>
        <w:gridCol w:w="2250"/>
        <w:gridCol w:w="2234"/>
        <w:gridCol w:w="2250"/>
      </w:tblGrid>
      <w:tr w:rsidR="001B0D10" w14:paraId="2A890E49" w14:textId="77777777">
        <w:tc>
          <w:tcPr>
            <w:tcW w:w="2310" w:type="dxa"/>
            <w:vAlign w:val="center"/>
          </w:tcPr>
          <w:p w14:paraId="48935456" w14:textId="77777777" w:rsidR="001B0D10" w:rsidRDefault="00422F47">
            <w:pPr>
              <w:spacing w:before="40" w:after="40"/>
              <w:jc w:val="center"/>
            </w:pPr>
            <w:r>
              <w:rPr>
                <w:rFonts w:ascii="Arial" w:hAnsi="Arial" w:cs="Arial"/>
                <w:b/>
                <w:sz w:val="18"/>
                <w:szCs w:val="18"/>
              </w:rPr>
              <w:t>Activity/Component</w:t>
            </w:r>
          </w:p>
        </w:tc>
        <w:tc>
          <w:tcPr>
            <w:tcW w:w="2310" w:type="dxa"/>
          </w:tcPr>
          <w:p w14:paraId="57174307" w14:textId="77777777" w:rsidR="001B0D10" w:rsidRDefault="00422F47">
            <w:pPr>
              <w:spacing w:before="40" w:after="40"/>
              <w:jc w:val="center"/>
            </w:pPr>
            <w:r>
              <w:rPr>
                <w:rFonts w:ascii="Arial" w:hAnsi="Arial" w:cs="Arial"/>
                <w:b/>
                <w:sz w:val="18"/>
                <w:szCs w:val="18"/>
              </w:rPr>
              <w:t>IDB/Fund Funding</w:t>
            </w:r>
          </w:p>
        </w:tc>
        <w:tc>
          <w:tcPr>
            <w:tcW w:w="2310" w:type="dxa"/>
          </w:tcPr>
          <w:p w14:paraId="327350F0" w14:textId="77777777" w:rsidR="001B0D10" w:rsidRDefault="00422F47">
            <w:pPr>
              <w:spacing w:before="40" w:after="40"/>
              <w:jc w:val="center"/>
            </w:pPr>
            <w:r>
              <w:rPr>
                <w:rFonts w:ascii="Arial" w:hAnsi="Arial" w:cs="Arial"/>
                <w:b/>
                <w:sz w:val="18"/>
                <w:szCs w:val="18"/>
              </w:rPr>
              <w:t>Counterpart Funding</w:t>
            </w:r>
          </w:p>
        </w:tc>
        <w:tc>
          <w:tcPr>
            <w:tcW w:w="2310" w:type="dxa"/>
          </w:tcPr>
          <w:p w14:paraId="0CF4E886" w14:textId="77777777" w:rsidR="001B0D10" w:rsidRDefault="00422F47">
            <w:pPr>
              <w:spacing w:before="40" w:after="40"/>
              <w:jc w:val="center"/>
            </w:pPr>
            <w:r>
              <w:rPr>
                <w:rFonts w:ascii="Arial" w:hAnsi="Arial" w:cs="Arial"/>
                <w:b/>
                <w:sz w:val="18"/>
                <w:szCs w:val="18"/>
              </w:rPr>
              <w:t>Total Funding</w:t>
            </w:r>
          </w:p>
        </w:tc>
      </w:tr>
      <w:tr w:rsidR="001B0D10" w14:paraId="7753A13E" w14:textId="77777777">
        <w:tc>
          <w:tcPr>
            <w:tcW w:w="2310" w:type="dxa"/>
            <w:vAlign w:val="center"/>
          </w:tcPr>
          <w:p w14:paraId="66F5C36F" w14:textId="7325D447" w:rsidR="001B0D10" w:rsidRDefault="00422F47">
            <w:pPr>
              <w:spacing w:before="40" w:after="40"/>
            </w:pPr>
            <w:r>
              <w:rPr>
                <w:rFonts w:ascii="Arial" w:hAnsi="Arial" w:cs="Arial"/>
                <w:sz w:val="18"/>
                <w:szCs w:val="18"/>
              </w:rPr>
              <w:t>Component I</w:t>
            </w:r>
            <w:r w:rsidR="00FB0DCB">
              <w:rPr>
                <w:rFonts w:ascii="Arial" w:hAnsi="Arial" w:cs="Arial"/>
                <w:sz w:val="18"/>
                <w:szCs w:val="18"/>
              </w:rPr>
              <w:t>.</w:t>
            </w:r>
            <w:r>
              <w:rPr>
                <w:rFonts w:ascii="Arial" w:hAnsi="Arial" w:cs="Arial"/>
                <w:sz w:val="18"/>
                <w:szCs w:val="18"/>
              </w:rPr>
              <w:t xml:space="preserve"> Support project preparation. </w:t>
            </w:r>
          </w:p>
        </w:tc>
        <w:tc>
          <w:tcPr>
            <w:tcW w:w="2310" w:type="dxa"/>
            <w:vAlign w:val="center"/>
          </w:tcPr>
          <w:p w14:paraId="7D576D03" w14:textId="77777777" w:rsidR="001B0D10" w:rsidRDefault="00422F47">
            <w:pPr>
              <w:spacing w:before="40" w:after="40"/>
              <w:jc w:val="right"/>
            </w:pPr>
            <w:r>
              <w:rPr>
                <w:rFonts w:ascii="Arial" w:hAnsi="Arial" w:cs="Arial"/>
                <w:sz w:val="18"/>
                <w:szCs w:val="18"/>
              </w:rPr>
              <w:t>US$350,000.00</w:t>
            </w:r>
          </w:p>
        </w:tc>
        <w:tc>
          <w:tcPr>
            <w:tcW w:w="2310" w:type="dxa"/>
            <w:vAlign w:val="center"/>
          </w:tcPr>
          <w:p w14:paraId="1DFDF751" w14:textId="77777777" w:rsidR="001B0D10" w:rsidRDefault="00422F47">
            <w:pPr>
              <w:spacing w:before="40" w:after="40"/>
              <w:jc w:val="right"/>
            </w:pPr>
            <w:r>
              <w:rPr>
                <w:rFonts w:ascii="Arial" w:hAnsi="Arial" w:cs="Arial"/>
                <w:sz w:val="18"/>
                <w:szCs w:val="18"/>
              </w:rPr>
              <w:t>US$0.00</w:t>
            </w:r>
          </w:p>
        </w:tc>
        <w:tc>
          <w:tcPr>
            <w:tcW w:w="2310" w:type="dxa"/>
            <w:vAlign w:val="center"/>
          </w:tcPr>
          <w:p w14:paraId="33058F35" w14:textId="77777777" w:rsidR="001B0D10" w:rsidRDefault="00422F47">
            <w:pPr>
              <w:spacing w:before="40" w:after="40"/>
              <w:jc w:val="right"/>
            </w:pPr>
            <w:r>
              <w:rPr>
                <w:rFonts w:ascii="Arial" w:hAnsi="Arial" w:cs="Arial"/>
                <w:sz w:val="18"/>
                <w:szCs w:val="18"/>
              </w:rPr>
              <w:t>US$350,000.00</w:t>
            </w:r>
          </w:p>
        </w:tc>
      </w:tr>
      <w:tr w:rsidR="001B0D10" w14:paraId="434E4286" w14:textId="77777777">
        <w:tc>
          <w:tcPr>
            <w:tcW w:w="2310" w:type="dxa"/>
            <w:vAlign w:val="center"/>
          </w:tcPr>
          <w:p w14:paraId="5E5DC22E" w14:textId="0D4D9544" w:rsidR="001B0D10" w:rsidRDefault="00422F47">
            <w:pPr>
              <w:spacing w:before="40" w:after="40"/>
            </w:pPr>
            <w:r>
              <w:rPr>
                <w:rFonts w:ascii="Arial" w:hAnsi="Arial" w:cs="Arial"/>
                <w:sz w:val="18"/>
                <w:szCs w:val="18"/>
              </w:rPr>
              <w:t>Component II</w:t>
            </w:r>
            <w:r w:rsidR="00FB0DCB">
              <w:rPr>
                <w:rFonts w:ascii="Arial" w:hAnsi="Arial" w:cs="Arial"/>
                <w:sz w:val="18"/>
                <w:szCs w:val="18"/>
              </w:rPr>
              <w:t>.</w:t>
            </w:r>
            <w:r>
              <w:rPr>
                <w:rFonts w:ascii="Arial" w:hAnsi="Arial" w:cs="Arial"/>
                <w:sz w:val="18"/>
                <w:szCs w:val="18"/>
              </w:rPr>
              <w:t xml:space="preserve"> Support project implementation </w:t>
            </w:r>
          </w:p>
        </w:tc>
        <w:tc>
          <w:tcPr>
            <w:tcW w:w="2310" w:type="dxa"/>
            <w:vAlign w:val="center"/>
          </w:tcPr>
          <w:p w14:paraId="4DEF45E3" w14:textId="77777777" w:rsidR="001B0D10" w:rsidRDefault="00422F47">
            <w:pPr>
              <w:spacing w:before="40" w:after="40"/>
              <w:jc w:val="right"/>
            </w:pPr>
            <w:r>
              <w:rPr>
                <w:rFonts w:ascii="Arial" w:hAnsi="Arial" w:cs="Arial"/>
                <w:sz w:val="18"/>
                <w:szCs w:val="18"/>
              </w:rPr>
              <w:t>US$300,000.00</w:t>
            </w:r>
          </w:p>
        </w:tc>
        <w:tc>
          <w:tcPr>
            <w:tcW w:w="2310" w:type="dxa"/>
            <w:vAlign w:val="center"/>
          </w:tcPr>
          <w:p w14:paraId="6F58F3DF" w14:textId="77777777" w:rsidR="001B0D10" w:rsidRDefault="00422F47">
            <w:pPr>
              <w:spacing w:before="40" w:after="40"/>
              <w:jc w:val="right"/>
            </w:pPr>
            <w:r>
              <w:rPr>
                <w:rFonts w:ascii="Arial" w:hAnsi="Arial" w:cs="Arial"/>
                <w:sz w:val="18"/>
                <w:szCs w:val="18"/>
              </w:rPr>
              <w:t>US$0.00</w:t>
            </w:r>
          </w:p>
        </w:tc>
        <w:tc>
          <w:tcPr>
            <w:tcW w:w="2310" w:type="dxa"/>
            <w:vAlign w:val="center"/>
          </w:tcPr>
          <w:p w14:paraId="4290AD1E" w14:textId="77777777" w:rsidR="001B0D10" w:rsidRDefault="00422F47">
            <w:pPr>
              <w:spacing w:before="40" w:after="40"/>
              <w:jc w:val="right"/>
            </w:pPr>
            <w:r>
              <w:rPr>
                <w:rFonts w:ascii="Arial" w:hAnsi="Arial" w:cs="Arial"/>
                <w:sz w:val="18"/>
                <w:szCs w:val="18"/>
              </w:rPr>
              <w:t>US$300,000.00</w:t>
            </w:r>
          </w:p>
        </w:tc>
      </w:tr>
      <w:tr w:rsidR="001B0D10" w14:paraId="3E375818" w14:textId="77777777">
        <w:tc>
          <w:tcPr>
            <w:tcW w:w="2310" w:type="dxa"/>
            <w:vAlign w:val="center"/>
          </w:tcPr>
          <w:p w14:paraId="2C5AD45D" w14:textId="3E552E4B" w:rsidR="001B0D10" w:rsidRDefault="00422F47">
            <w:pPr>
              <w:spacing w:before="40" w:after="40"/>
            </w:pPr>
            <w:r>
              <w:rPr>
                <w:rFonts w:ascii="Arial" w:hAnsi="Arial" w:cs="Arial"/>
                <w:sz w:val="18"/>
                <w:szCs w:val="18"/>
              </w:rPr>
              <w:t>Component III</w:t>
            </w:r>
            <w:r w:rsidR="00FB0DCB">
              <w:rPr>
                <w:rFonts w:ascii="Arial" w:hAnsi="Arial" w:cs="Arial"/>
                <w:sz w:val="18"/>
                <w:szCs w:val="18"/>
              </w:rPr>
              <w:t>.</w:t>
            </w:r>
            <w:r>
              <w:rPr>
                <w:rFonts w:ascii="Arial" w:hAnsi="Arial" w:cs="Arial"/>
                <w:sz w:val="18"/>
                <w:szCs w:val="18"/>
              </w:rPr>
              <w:t xml:space="preserve"> Support for the design and testing of innovative </w:t>
            </w:r>
            <w:r w:rsidR="00FB0DCB">
              <w:rPr>
                <w:rFonts w:ascii="Arial" w:hAnsi="Arial" w:cs="Arial"/>
                <w:sz w:val="18"/>
                <w:szCs w:val="18"/>
              </w:rPr>
              <w:t>CE</w:t>
            </w:r>
            <w:r>
              <w:rPr>
                <w:rFonts w:ascii="Arial" w:hAnsi="Arial" w:cs="Arial"/>
                <w:sz w:val="18"/>
                <w:szCs w:val="18"/>
              </w:rPr>
              <w:t xml:space="preserve"> projects</w:t>
            </w:r>
          </w:p>
        </w:tc>
        <w:tc>
          <w:tcPr>
            <w:tcW w:w="2310" w:type="dxa"/>
            <w:vAlign w:val="center"/>
          </w:tcPr>
          <w:p w14:paraId="3391CAC7" w14:textId="77777777" w:rsidR="001B0D10" w:rsidRDefault="00422F47">
            <w:pPr>
              <w:spacing w:before="40" w:after="40"/>
              <w:jc w:val="right"/>
            </w:pPr>
            <w:r>
              <w:rPr>
                <w:rFonts w:ascii="Arial" w:hAnsi="Arial" w:cs="Arial"/>
                <w:sz w:val="18"/>
                <w:szCs w:val="18"/>
              </w:rPr>
              <w:t>US$170,000.00</w:t>
            </w:r>
          </w:p>
        </w:tc>
        <w:tc>
          <w:tcPr>
            <w:tcW w:w="2310" w:type="dxa"/>
            <w:vAlign w:val="center"/>
          </w:tcPr>
          <w:p w14:paraId="7B1D09B5" w14:textId="77777777" w:rsidR="001B0D10" w:rsidRDefault="00422F47">
            <w:pPr>
              <w:spacing w:before="40" w:after="40"/>
              <w:jc w:val="right"/>
            </w:pPr>
            <w:r>
              <w:rPr>
                <w:rFonts w:ascii="Arial" w:hAnsi="Arial" w:cs="Arial"/>
                <w:sz w:val="18"/>
                <w:szCs w:val="18"/>
              </w:rPr>
              <w:t>US$0.00</w:t>
            </w:r>
          </w:p>
        </w:tc>
        <w:tc>
          <w:tcPr>
            <w:tcW w:w="2310" w:type="dxa"/>
            <w:vAlign w:val="center"/>
          </w:tcPr>
          <w:p w14:paraId="240A67A8" w14:textId="77777777" w:rsidR="001B0D10" w:rsidRDefault="00422F47">
            <w:pPr>
              <w:spacing w:before="40" w:after="40"/>
              <w:jc w:val="right"/>
            </w:pPr>
            <w:r>
              <w:rPr>
                <w:rFonts w:ascii="Arial" w:hAnsi="Arial" w:cs="Arial"/>
                <w:sz w:val="18"/>
                <w:szCs w:val="18"/>
              </w:rPr>
              <w:t>US$170,000.00</w:t>
            </w:r>
          </w:p>
        </w:tc>
      </w:tr>
      <w:tr w:rsidR="001B0D10" w14:paraId="57BEA687" w14:textId="77777777">
        <w:tc>
          <w:tcPr>
            <w:tcW w:w="2310" w:type="dxa"/>
            <w:vAlign w:val="center"/>
          </w:tcPr>
          <w:p w14:paraId="6C3B762B" w14:textId="64DDD2C7" w:rsidR="001B0D10" w:rsidRDefault="00422F47">
            <w:pPr>
              <w:spacing w:before="40" w:after="40"/>
            </w:pPr>
            <w:r>
              <w:rPr>
                <w:rFonts w:ascii="Arial" w:hAnsi="Arial" w:cs="Arial"/>
                <w:sz w:val="18"/>
                <w:szCs w:val="18"/>
              </w:rPr>
              <w:t>Component IV</w:t>
            </w:r>
            <w:r w:rsidR="00FB0DCB">
              <w:rPr>
                <w:rFonts w:ascii="Arial" w:hAnsi="Arial" w:cs="Arial"/>
                <w:sz w:val="18"/>
                <w:szCs w:val="18"/>
              </w:rPr>
              <w:t>.</w:t>
            </w:r>
            <w:r>
              <w:rPr>
                <w:rFonts w:ascii="Arial" w:hAnsi="Arial" w:cs="Arial"/>
                <w:sz w:val="18"/>
                <w:szCs w:val="18"/>
              </w:rPr>
              <w:t xml:space="preserve"> Knowledge dissemination and execution support</w:t>
            </w:r>
          </w:p>
        </w:tc>
        <w:tc>
          <w:tcPr>
            <w:tcW w:w="2310" w:type="dxa"/>
            <w:vAlign w:val="center"/>
          </w:tcPr>
          <w:p w14:paraId="40314D93" w14:textId="77777777" w:rsidR="001B0D10" w:rsidRDefault="00422F47">
            <w:pPr>
              <w:spacing w:before="40" w:after="40"/>
              <w:jc w:val="right"/>
            </w:pPr>
            <w:r>
              <w:rPr>
                <w:rFonts w:ascii="Arial" w:hAnsi="Arial" w:cs="Arial"/>
                <w:sz w:val="18"/>
                <w:szCs w:val="18"/>
              </w:rPr>
              <w:t>US$30,000.00</w:t>
            </w:r>
          </w:p>
        </w:tc>
        <w:tc>
          <w:tcPr>
            <w:tcW w:w="2310" w:type="dxa"/>
            <w:vAlign w:val="center"/>
          </w:tcPr>
          <w:p w14:paraId="3E79E748" w14:textId="77777777" w:rsidR="001B0D10" w:rsidRDefault="00422F47">
            <w:pPr>
              <w:spacing w:before="40" w:after="40"/>
              <w:jc w:val="right"/>
            </w:pPr>
            <w:r>
              <w:rPr>
                <w:rFonts w:ascii="Arial" w:hAnsi="Arial" w:cs="Arial"/>
                <w:sz w:val="18"/>
                <w:szCs w:val="18"/>
              </w:rPr>
              <w:t>US$0.00</w:t>
            </w:r>
          </w:p>
        </w:tc>
        <w:tc>
          <w:tcPr>
            <w:tcW w:w="2310" w:type="dxa"/>
            <w:vAlign w:val="center"/>
          </w:tcPr>
          <w:p w14:paraId="65AA77B1" w14:textId="77777777" w:rsidR="001B0D10" w:rsidRDefault="00422F47">
            <w:pPr>
              <w:spacing w:before="40" w:after="40"/>
              <w:jc w:val="right"/>
            </w:pPr>
            <w:r>
              <w:rPr>
                <w:rFonts w:ascii="Arial" w:hAnsi="Arial" w:cs="Arial"/>
                <w:sz w:val="18"/>
                <w:szCs w:val="18"/>
              </w:rPr>
              <w:t>US$30,000.00</w:t>
            </w:r>
          </w:p>
        </w:tc>
      </w:tr>
      <w:tr w:rsidR="001B0D10" w14:paraId="25EFBF30" w14:textId="77777777">
        <w:tc>
          <w:tcPr>
            <w:tcW w:w="2310" w:type="dxa"/>
            <w:vAlign w:val="center"/>
          </w:tcPr>
          <w:p w14:paraId="48077218" w14:textId="77777777" w:rsidR="001B0D10" w:rsidRDefault="00422F47">
            <w:pPr>
              <w:spacing w:before="40" w:after="40"/>
            </w:pPr>
            <w:r>
              <w:rPr>
                <w:rFonts w:ascii="Arial" w:hAnsi="Arial" w:cs="Arial"/>
                <w:b/>
                <w:sz w:val="18"/>
                <w:szCs w:val="18"/>
              </w:rPr>
              <w:t>Total</w:t>
            </w:r>
          </w:p>
        </w:tc>
        <w:tc>
          <w:tcPr>
            <w:tcW w:w="2310" w:type="dxa"/>
            <w:vAlign w:val="center"/>
          </w:tcPr>
          <w:p w14:paraId="60B0CF85" w14:textId="77777777" w:rsidR="001B0D10" w:rsidRDefault="00422F47">
            <w:pPr>
              <w:spacing w:before="40" w:after="40"/>
              <w:jc w:val="right"/>
            </w:pPr>
            <w:r>
              <w:rPr>
                <w:rFonts w:ascii="Arial" w:hAnsi="Arial" w:cs="Arial"/>
                <w:b/>
                <w:sz w:val="18"/>
                <w:szCs w:val="18"/>
              </w:rPr>
              <w:t>US$850,000.00</w:t>
            </w:r>
          </w:p>
        </w:tc>
        <w:tc>
          <w:tcPr>
            <w:tcW w:w="2310" w:type="dxa"/>
            <w:vAlign w:val="center"/>
          </w:tcPr>
          <w:p w14:paraId="7A16021F" w14:textId="77777777" w:rsidR="001B0D10" w:rsidRDefault="00422F47">
            <w:pPr>
              <w:spacing w:before="40" w:after="40"/>
              <w:jc w:val="right"/>
            </w:pPr>
            <w:r>
              <w:rPr>
                <w:rFonts w:ascii="Arial" w:hAnsi="Arial" w:cs="Arial"/>
                <w:b/>
                <w:sz w:val="18"/>
                <w:szCs w:val="18"/>
              </w:rPr>
              <w:t>US$0.00</w:t>
            </w:r>
          </w:p>
        </w:tc>
        <w:tc>
          <w:tcPr>
            <w:tcW w:w="2310" w:type="dxa"/>
            <w:vAlign w:val="center"/>
          </w:tcPr>
          <w:p w14:paraId="395C532D" w14:textId="77777777" w:rsidR="001B0D10" w:rsidRDefault="00422F47">
            <w:pPr>
              <w:spacing w:before="40" w:after="40"/>
              <w:jc w:val="right"/>
            </w:pPr>
            <w:r>
              <w:rPr>
                <w:rFonts w:ascii="Arial" w:hAnsi="Arial" w:cs="Arial"/>
                <w:b/>
                <w:sz w:val="18"/>
                <w:szCs w:val="18"/>
              </w:rPr>
              <w:t>US$850,000.00</w:t>
            </w:r>
          </w:p>
        </w:tc>
      </w:tr>
    </w:tbl>
    <w:p w14:paraId="7986661B" w14:textId="77777777" w:rsidR="001B0D10" w:rsidRDefault="00422F47">
      <w:pPr>
        <w:spacing w:before="120" w:after="120"/>
        <w:ind w:left="579" w:hanging="579"/>
      </w:pPr>
      <w:r>
        <w:rPr>
          <w:rFonts w:ascii="Arial" w:hAnsi="Arial" w:cs="Arial"/>
          <w:b/>
        </w:rPr>
        <w:t>V.</w:t>
      </w:r>
      <w:r>
        <w:rPr>
          <w:rFonts w:ascii="Arial" w:hAnsi="Arial" w:cs="Arial"/>
          <w:b/>
        </w:rPr>
        <w:tab/>
        <w:t>Executing Agency and Execution Structure</w:t>
      </w:r>
    </w:p>
    <w:p w14:paraId="34081990" w14:textId="005EE336" w:rsidR="001B0D10" w:rsidRDefault="00422F47">
      <w:pPr>
        <w:spacing w:before="200" w:after="200"/>
        <w:ind w:left="579" w:hanging="579"/>
        <w:jc w:val="both"/>
      </w:pPr>
      <w:r>
        <w:rPr>
          <w:rFonts w:ascii="Arial" w:hAnsi="Arial" w:cs="Arial"/>
        </w:rPr>
        <w:t>5.1</w:t>
      </w:r>
      <w:r>
        <w:rPr>
          <w:rFonts w:ascii="Arial" w:hAnsi="Arial" w:cs="Arial"/>
        </w:rPr>
        <w:tab/>
        <w:t>At the request of the beneficiary and in line with the Operational Guidelines for Technical Cooperation Products (GN-2629-2), the Bank will act as the executing agency for th</w:t>
      </w:r>
      <w:r w:rsidR="00FB0DCB">
        <w:rPr>
          <w:rFonts w:ascii="Arial" w:hAnsi="Arial" w:cs="Arial"/>
        </w:rPr>
        <w:t>e</w:t>
      </w:r>
      <w:r>
        <w:rPr>
          <w:rFonts w:ascii="Arial" w:hAnsi="Arial" w:cs="Arial"/>
        </w:rPr>
        <w:t xml:space="preserve"> TC. This condition has been established as a special circumstance considering that the benefited entity has limited operational capacity to </w:t>
      </w:r>
      <w:r w:rsidR="00FB0DCB">
        <w:rPr>
          <w:rFonts w:ascii="Arial" w:hAnsi="Arial" w:cs="Arial"/>
        </w:rPr>
        <w:t xml:space="preserve">properly </w:t>
      </w:r>
      <w:r>
        <w:rPr>
          <w:rFonts w:ascii="Arial" w:hAnsi="Arial" w:cs="Arial"/>
        </w:rPr>
        <w:t>execute, in time and manner</w:t>
      </w:r>
      <w:r w:rsidR="00FB0DCB">
        <w:rPr>
          <w:rFonts w:ascii="Arial" w:hAnsi="Arial" w:cs="Arial"/>
        </w:rPr>
        <w:t>,</w:t>
      </w:r>
      <w:r>
        <w:rPr>
          <w:rFonts w:ascii="Arial" w:hAnsi="Arial" w:cs="Arial"/>
        </w:rPr>
        <w:t xml:space="preserve"> the activities of this TC. The Bank will be responsible for the selection and contracting of </w:t>
      </w:r>
      <w:r w:rsidR="00CF1896">
        <w:rPr>
          <w:rFonts w:ascii="Arial" w:hAnsi="Arial" w:cs="Arial"/>
        </w:rPr>
        <w:t xml:space="preserve">both </w:t>
      </w:r>
      <w:r>
        <w:rPr>
          <w:rFonts w:ascii="Arial" w:hAnsi="Arial" w:cs="Arial"/>
        </w:rPr>
        <w:t>consulting firms and individual consultants</w:t>
      </w:r>
      <w:r w:rsidR="006B2349">
        <w:rPr>
          <w:rFonts w:ascii="Arial" w:hAnsi="Arial" w:cs="Arial"/>
        </w:rPr>
        <w:t>;</w:t>
      </w:r>
      <w:r>
        <w:rPr>
          <w:rFonts w:ascii="Arial" w:hAnsi="Arial" w:cs="Arial"/>
        </w:rPr>
        <w:t xml:space="preserve"> in accordance with the policies for the selection of consultants (GN-2765-1)</w:t>
      </w:r>
      <w:r w:rsidR="006B2349">
        <w:rPr>
          <w:rFonts w:ascii="Arial" w:hAnsi="Arial" w:cs="Arial"/>
        </w:rPr>
        <w:t xml:space="preserve">, </w:t>
      </w:r>
      <w:r>
        <w:rPr>
          <w:rFonts w:ascii="Arial" w:hAnsi="Arial" w:cs="Arial"/>
        </w:rPr>
        <w:t xml:space="preserve">operational guidelines (OP-1155-4) for the contracting of consulting firms and human resources standards (AM-650) for the hiring of individual consultants. </w:t>
      </w:r>
      <w:r w:rsidR="006B2349">
        <w:rPr>
          <w:rFonts w:ascii="Arial" w:hAnsi="Arial" w:cs="Arial"/>
        </w:rPr>
        <w:t>Additionally</w:t>
      </w:r>
      <w:r>
        <w:rPr>
          <w:rFonts w:ascii="Arial" w:hAnsi="Arial" w:cs="Arial"/>
        </w:rPr>
        <w:t>, the Financial Management Guide OP</w:t>
      </w:r>
      <w:r w:rsidR="003C7A9E">
        <w:rPr>
          <w:rFonts w:ascii="Arial" w:hAnsi="Arial" w:cs="Arial"/>
        </w:rPr>
        <w:t>-</w:t>
      </w:r>
      <w:r>
        <w:rPr>
          <w:rFonts w:ascii="Arial" w:hAnsi="Arial" w:cs="Arial"/>
        </w:rPr>
        <w:t>273-6 (GN</w:t>
      </w:r>
      <w:r w:rsidR="003C7A9E">
        <w:rPr>
          <w:rFonts w:ascii="Arial" w:hAnsi="Arial" w:cs="Arial"/>
        </w:rPr>
        <w:noBreakHyphen/>
      </w:r>
      <w:r>
        <w:rPr>
          <w:rFonts w:ascii="Arial" w:hAnsi="Arial" w:cs="Arial"/>
        </w:rPr>
        <w:t>2811) will be applied. The initial procurement plan provides information on the foreseen</w:t>
      </w:r>
      <w:r w:rsidR="006B2349" w:rsidRPr="006B2349">
        <w:rPr>
          <w:rFonts w:ascii="Arial" w:hAnsi="Arial" w:cs="Arial"/>
        </w:rPr>
        <w:t xml:space="preserve"> </w:t>
      </w:r>
      <w:r w:rsidR="006B2349">
        <w:rPr>
          <w:rFonts w:ascii="Arial" w:hAnsi="Arial" w:cs="Arial"/>
        </w:rPr>
        <w:t>contracts,</w:t>
      </w:r>
      <w:r>
        <w:rPr>
          <w:rFonts w:ascii="Arial" w:hAnsi="Arial" w:cs="Arial"/>
        </w:rPr>
        <w:t xml:space="preserve"> their applicable monitoring</w:t>
      </w:r>
      <w:r w:rsidR="006B2349">
        <w:rPr>
          <w:rFonts w:ascii="Arial" w:hAnsi="Arial" w:cs="Arial"/>
        </w:rPr>
        <w:t>,</w:t>
      </w:r>
      <w:r>
        <w:rPr>
          <w:rFonts w:ascii="Arial" w:hAnsi="Arial" w:cs="Arial"/>
        </w:rPr>
        <w:t xml:space="preserve"> and contracting methods. In accordance with the Operational Guidelines for Technical Cooperation Products</w:t>
      </w:r>
      <w:r w:rsidR="006B2349">
        <w:rPr>
          <w:rFonts w:ascii="Arial" w:hAnsi="Arial" w:cs="Arial"/>
        </w:rPr>
        <w:t>,</w:t>
      </w:r>
      <w:r>
        <w:rPr>
          <w:rFonts w:ascii="Arial" w:hAnsi="Arial" w:cs="Arial"/>
        </w:rPr>
        <w:t xml:space="preserve"> Revised Version (GN-2629-1), th</w:t>
      </w:r>
      <w:r w:rsidR="006B2349">
        <w:rPr>
          <w:rFonts w:ascii="Arial" w:hAnsi="Arial" w:cs="Arial"/>
        </w:rPr>
        <w:t>e</w:t>
      </w:r>
      <w:r>
        <w:rPr>
          <w:rFonts w:ascii="Arial" w:hAnsi="Arial" w:cs="Arial"/>
        </w:rPr>
        <w:t xml:space="preserve"> TC is classified as a Client Support product.</w:t>
      </w:r>
    </w:p>
    <w:p w14:paraId="35C9779D" w14:textId="7D1F09CC" w:rsidR="001B0D10" w:rsidRDefault="00422F47">
      <w:pPr>
        <w:spacing w:before="200" w:after="200"/>
        <w:ind w:left="579" w:hanging="579"/>
        <w:jc w:val="both"/>
      </w:pPr>
      <w:r>
        <w:rPr>
          <w:rFonts w:ascii="Arial" w:hAnsi="Arial" w:cs="Arial"/>
        </w:rPr>
        <w:t>5.2</w:t>
      </w:r>
      <w:r>
        <w:rPr>
          <w:rFonts w:ascii="Arial" w:hAnsi="Arial" w:cs="Arial"/>
        </w:rPr>
        <w:tab/>
        <w:t xml:space="preserve">The technical responsibility will </w:t>
      </w:r>
      <w:r w:rsidR="00F93BF5">
        <w:rPr>
          <w:rFonts w:ascii="Arial" w:hAnsi="Arial" w:cs="Arial"/>
        </w:rPr>
        <w:t>fall upon</w:t>
      </w:r>
      <w:r>
        <w:rPr>
          <w:rFonts w:ascii="Arial" w:hAnsi="Arial" w:cs="Arial"/>
        </w:rPr>
        <w:t xml:space="preserve"> the Energy Division (INE/ENE), which will receive support from the </w:t>
      </w:r>
      <w:r w:rsidR="00F93BF5">
        <w:rPr>
          <w:rFonts w:ascii="Arial" w:hAnsi="Arial" w:cs="Arial"/>
        </w:rPr>
        <w:t>Bank</w:t>
      </w:r>
      <w:r>
        <w:rPr>
          <w:rFonts w:ascii="Arial" w:hAnsi="Arial" w:cs="Arial"/>
        </w:rPr>
        <w:t xml:space="preserve"> Country Office in Paraguay (CPR). The focal point designated and responsible for executing th</w:t>
      </w:r>
      <w:r w:rsidR="00F93BF5">
        <w:rPr>
          <w:rFonts w:ascii="Arial" w:hAnsi="Arial" w:cs="Arial"/>
        </w:rPr>
        <w:t>e</w:t>
      </w:r>
      <w:r>
        <w:rPr>
          <w:rFonts w:ascii="Arial" w:hAnsi="Arial" w:cs="Arial"/>
        </w:rPr>
        <w:t xml:space="preserve"> TC will be the Energy Principal Specialist, Roberto Aiello, with support from other ENE</w:t>
      </w:r>
      <w:r w:rsidR="00F93BF5">
        <w:rPr>
          <w:rFonts w:ascii="Arial" w:hAnsi="Arial" w:cs="Arial"/>
        </w:rPr>
        <w:t>’</w:t>
      </w:r>
      <w:r>
        <w:rPr>
          <w:rFonts w:ascii="Arial" w:hAnsi="Arial" w:cs="Arial"/>
        </w:rPr>
        <w:t>s energy specialists. ANDE has designated a technical focal point for coordination with the Bank regarding TC execution.</w:t>
      </w:r>
    </w:p>
    <w:p w14:paraId="0CFE94C2" w14:textId="77777777" w:rsidR="001B0D10" w:rsidRDefault="00422F47">
      <w:pPr>
        <w:spacing w:before="120" w:after="120"/>
        <w:ind w:left="579" w:hanging="579"/>
      </w:pPr>
      <w:r>
        <w:rPr>
          <w:rFonts w:ascii="Arial" w:hAnsi="Arial" w:cs="Arial"/>
          <w:b/>
        </w:rPr>
        <w:t>VI.</w:t>
      </w:r>
      <w:r>
        <w:rPr>
          <w:rFonts w:ascii="Arial" w:hAnsi="Arial" w:cs="Arial"/>
          <w:b/>
        </w:rPr>
        <w:tab/>
        <w:t>Project Risks and Issues</w:t>
      </w:r>
    </w:p>
    <w:p w14:paraId="1D9D9E56" w14:textId="515C55A2" w:rsidR="001B0D10" w:rsidRDefault="00422F47">
      <w:pPr>
        <w:spacing w:before="200" w:after="200"/>
        <w:ind w:left="579" w:hanging="579"/>
        <w:jc w:val="both"/>
      </w:pPr>
      <w:r>
        <w:rPr>
          <w:rFonts w:ascii="Arial" w:hAnsi="Arial" w:cs="Arial"/>
        </w:rPr>
        <w:t>6.1</w:t>
      </w:r>
      <w:r>
        <w:rPr>
          <w:rFonts w:ascii="Arial" w:hAnsi="Arial" w:cs="Arial"/>
        </w:rPr>
        <w:tab/>
        <w:t xml:space="preserve">The main risks of this TC are potential delays that could arise due to inadequate coordination with the beneficiary. These risks will be mitigated by involving the counterpart from the beginning of the execution of the TC </w:t>
      </w:r>
      <w:r w:rsidR="00D10FA2">
        <w:rPr>
          <w:rFonts w:ascii="Arial" w:hAnsi="Arial" w:cs="Arial"/>
        </w:rPr>
        <w:t xml:space="preserve">through </w:t>
      </w:r>
      <w:r>
        <w:rPr>
          <w:rFonts w:ascii="Arial" w:hAnsi="Arial" w:cs="Arial"/>
        </w:rPr>
        <w:t>the exchange of the required information and discussing the project progress and schedule on a regular basis.</w:t>
      </w:r>
    </w:p>
    <w:p w14:paraId="42D00423" w14:textId="77777777" w:rsidR="001B0D10" w:rsidRDefault="00422F47">
      <w:pPr>
        <w:spacing w:before="120" w:after="120"/>
        <w:ind w:left="579" w:hanging="579"/>
      </w:pPr>
      <w:r>
        <w:rPr>
          <w:rFonts w:ascii="Arial" w:hAnsi="Arial" w:cs="Arial"/>
          <w:b/>
        </w:rPr>
        <w:t>VII.</w:t>
      </w:r>
      <w:r>
        <w:rPr>
          <w:rFonts w:ascii="Arial" w:hAnsi="Arial" w:cs="Arial"/>
          <w:b/>
        </w:rPr>
        <w:tab/>
        <w:t>Environmental and Social Classification</w:t>
      </w:r>
    </w:p>
    <w:p w14:paraId="413B83B6" w14:textId="77777777" w:rsidR="001B0D10" w:rsidRDefault="00422F47">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1B0D10" w:rsidSect="00FC302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2CAEE" w14:textId="77777777" w:rsidR="0003183C" w:rsidRDefault="0003183C">
      <w:r>
        <w:separator/>
      </w:r>
    </w:p>
  </w:endnote>
  <w:endnote w:type="continuationSeparator" w:id="0">
    <w:p w14:paraId="60E0503D" w14:textId="77777777" w:rsidR="0003183C" w:rsidRDefault="0003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005FC" w14:textId="77777777" w:rsidR="001B0D10" w:rsidRDefault="00422F47">
    <w:pPr>
      <w:pStyle w:val="FooterStyle"/>
      <w:jc w:val="center"/>
    </w:pPr>
    <w:r>
      <w:t xml:space="preserve"> - </w:t>
    </w:r>
    <w:r>
      <w:fldChar w:fldCharType="begin"/>
    </w:r>
    <w:r>
      <w:instrText xml:space="preserve"> PAGE </w:instrText>
    </w:r>
    <w:r>
      <w:fldChar w:fldCharType="separate"/>
    </w:r>
    <w:r w:rsidR="001748BC">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9508A" w14:textId="77777777" w:rsidR="0003183C" w:rsidRDefault="0003183C">
      <w:r>
        <w:separator/>
      </w:r>
    </w:p>
  </w:footnote>
  <w:footnote w:type="continuationSeparator" w:id="0">
    <w:p w14:paraId="6ABDB4A6" w14:textId="77777777" w:rsidR="0003183C" w:rsidRDefault="00031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3183C"/>
    <w:rsid w:val="00060BA3"/>
    <w:rsid w:val="0007550F"/>
    <w:rsid w:val="000842F2"/>
    <w:rsid w:val="001748BC"/>
    <w:rsid w:val="001915A3"/>
    <w:rsid w:val="00191F01"/>
    <w:rsid w:val="001B0D10"/>
    <w:rsid w:val="001D48F4"/>
    <w:rsid w:val="00217F62"/>
    <w:rsid w:val="002430F8"/>
    <w:rsid w:val="00260616"/>
    <w:rsid w:val="00340265"/>
    <w:rsid w:val="003C5D5E"/>
    <w:rsid w:val="003C7A9E"/>
    <w:rsid w:val="00422F47"/>
    <w:rsid w:val="004D7732"/>
    <w:rsid w:val="004E1206"/>
    <w:rsid w:val="004E7D66"/>
    <w:rsid w:val="005C5470"/>
    <w:rsid w:val="005E1E00"/>
    <w:rsid w:val="00651654"/>
    <w:rsid w:val="006B2349"/>
    <w:rsid w:val="007C015D"/>
    <w:rsid w:val="008602C1"/>
    <w:rsid w:val="009032E6"/>
    <w:rsid w:val="00943ABC"/>
    <w:rsid w:val="009E1493"/>
    <w:rsid w:val="00A42007"/>
    <w:rsid w:val="00A5190C"/>
    <w:rsid w:val="00A906D8"/>
    <w:rsid w:val="00AB5A74"/>
    <w:rsid w:val="00B45F01"/>
    <w:rsid w:val="00CF1896"/>
    <w:rsid w:val="00D10FA2"/>
    <w:rsid w:val="00D368E4"/>
    <w:rsid w:val="00DE14FF"/>
    <w:rsid w:val="00E256A0"/>
    <w:rsid w:val="00E33868"/>
    <w:rsid w:val="00EA42BD"/>
    <w:rsid w:val="00F071AE"/>
    <w:rsid w:val="00F26571"/>
    <w:rsid w:val="00F93BF5"/>
    <w:rsid w:val="00FB0D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9F1EF"/>
  <w15:docId w15:val="{117D66C5-AC32-47DC-B687-BC1139838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BalloonText">
    <w:name w:val="Balloon Text"/>
    <w:basedOn w:val="Normal"/>
    <w:link w:val="BalloonTextChar"/>
    <w:uiPriority w:val="99"/>
    <w:semiHidden/>
    <w:unhideWhenUsed/>
    <w:rsid w:val="005C54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54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907AA66D11B449B8319FC9AB751960" ma:contentTypeVersion="1505" ma:contentTypeDescription="A content type to manage public (operations) IDB documents" ma:contentTypeScope="" ma:versionID="8bd499ffc764cd8e1353d37601779ae3">
  <xsd:schema xmlns:xsd="http://www.w3.org/2001/XMLSchema" xmlns:xs="http://www.w3.org/2001/XMLSchema" xmlns:p="http://schemas.microsoft.com/office/2006/metadata/properties" xmlns:ns2="cdc7663a-08f0-4737-9e8c-148ce897a09c" targetNamespace="http://schemas.microsoft.com/office/2006/metadata/properties" ma:root="true" ma:fieldsID="de730823b010e9c295bb5e009e4dc2c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Rodrigues do Prado Veronica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62</Value>
      <Value>97</Value>
      <Value>95</Value>
      <Value>29</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PR-T1285;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EZSHARE-1608677523-1</_dlc_DocId>
    <_dlc_DocIdUrl xmlns="cdc7663a-08f0-4737-9e8c-148ce897a09c">
      <Url>https://idbg.sharepoint.com/teams/EZ-PR-TCP/PR-T1285/_layouts/15/DocIdRedir.aspx?ID=EZSHARE-1608677523-1</Url>
      <Description>EZSHARE-1608677523-1</Description>
    </_dlc_DocIdUrl>
    <Extracted_x0020_Keywords xmlns="cdc7663a-08f0-4737-9e8c-148ce897a09c">
      <Value>Energy Division</Value>
      <Value>INE/ENE</Value>
      <Value>TL</Value>
      <Value>PR-L1173</Value>
      <Value>identification</Value>
      <Value>small scale innovative pilot projects</Value>
      <Value>small isolated diesel generators</Value>
      <Value>Paraguays Nationally Determined Contributions</Value>
      <Value>The National Interconnected System</Value>
      <Value>Basic Project Data Country</Value>
      <Value>Clean Energy (CE) projects</Value>
      <Value>potential renewable energy solutions</Value>
      <Value>Multi-Phase Electric Transmission Program</Value>
      <Value>Southern Cone TC Name</Value>
      <Value>power sector development plan</Value>
      <Value>Country Office Paraguay TC</Value>
      <Value>Clean Energy Projects</Value>
      <Value>Nonconventional Renewable Energy</Value>
      <Value>average annual increase</Value>
      <Value>average solar irradiance</Value>
      <Value>fossil fuels consumption</Value>
      <Value>sustainable energy matrix</Value>
      <Value>power generation capacity</Value>
      <Value>4Energy sector programs</Value>
      <Value>subsequent investment projects</Value>
    </Extracted_x0020_Keywords>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F774924-5E0D-41A5-AB6D-9DC394D85B34}"/>
</file>

<file path=customXml/itemProps2.xml><?xml version="1.0" encoding="utf-8"?>
<ds:datastoreItem xmlns:ds="http://schemas.openxmlformats.org/officeDocument/2006/customXml" ds:itemID="{38F6DDD6-8B8B-42BF-B4AA-6788BD5FD0D1}">
  <ds:schemaRefs>
    <ds:schemaRef ds:uri="http://schemas.microsoft.com/sharepoint/v3/contenttype/forms"/>
  </ds:schemaRefs>
</ds:datastoreItem>
</file>

<file path=customXml/itemProps3.xml><?xml version="1.0" encoding="utf-8"?>
<ds:datastoreItem xmlns:ds="http://schemas.openxmlformats.org/officeDocument/2006/customXml" ds:itemID="{5EAA30AF-8E19-4981-A5F9-9D52D482704A}">
  <ds:schemaRefs>
    <ds:schemaRef ds:uri="http://schemas.microsoft.com/sharepoint/events"/>
  </ds:schemaRefs>
</ds:datastoreItem>
</file>

<file path=customXml/itemProps4.xml><?xml version="1.0" encoding="utf-8"?>
<ds:datastoreItem xmlns:ds="http://schemas.openxmlformats.org/officeDocument/2006/customXml" ds:itemID="{C52B0597-F469-45B8-B587-3605ACFC2748}"/>
</file>

<file path=customXml/itemProps5.xml><?xml version="1.0" encoding="utf-8"?>
<ds:datastoreItem xmlns:ds="http://schemas.openxmlformats.org/officeDocument/2006/customXml" ds:itemID="{FA529EB0-0BF9-4233-8770-78F8C326B413}"/>
</file>

<file path=customXml/itemProps6.xml><?xml version="1.0" encoding="utf-8"?>
<ds:datastoreItem xmlns:ds="http://schemas.openxmlformats.org/officeDocument/2006/customXml" ds:itemID="{FC4270BE-7610-4EBF-A320-A14F775B8D49}">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1449</Words>
  <Characters>8263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Correa Poseiro, Cecilia</dc:creator>
  <cp:keywords/>
  <cp:lastModifiedBy>Marquez Barroeta, Fidel</cp:lastModifiedBy>
  <cp:revision>7</cp:revision>
  <dcterms:created xsi:type="dcterms:W3CDTF">2019-10-23T20:39:00Z</dcterms:created>
  <dcterms:modified xsi:type="dcterms:W3CDTF">2019-12-03T20:20:00Z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97;#ENERGY EFFICIENCY AND RENEWABLE ENERGY IN END USE|ab88142a-aa14-42df-80f4-969425d6f976</vt:lpwstr>
  </property>
  <property fmtid="{D5CDD505-2E9C-101B-9397-08002B2CF9AE}" pid="7" name="Fund IDB">
    <vt:lpwstr>62;#TBD|d62f6e05-3e80-4abd-9bb4-5f10b4906ff6</vt:lpwstr>
  </property>
  <property fmtid="{D5CDD505-2E9C-101B-9397-08002B2CF9AE}" pid="8" name="Country">
    <vt:lpwstr>29;#Paraguay|50282442-27e7-4526-9d04-55bf5da33a10</vt:lpwstr>
  </property>
  <property fmtid="{D5CDD505-2E9C-101B-9397-08002B2CF9AE}" pid="9" name="Sector IDB">
    <vt:lpwstr>95;#ENERGY|4fed196a-cd0b-4970-87de-42da17f9b203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d20765c8-ad92-4ffd-8098-486385bd78a0</vt:lpwstr>
  </property>
  <property fmtid="{D5CDD505-2E9C-101B-9397-08002B2CF9AE}" pid="13" name="ContentTypeId">
    <vt:lpwstr>0x0101001A458A224826124E8B45B1D613300CFC0071907AA66D11B449B8319FC9AB751960</vt:lpwstr>
  </property>
</Properties>
</file>