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37D5" w:rsidRPr="005C5B91" w:rsidRDefault="00CA37D5" w:rsidP="00CF1BCF"/>
    <w:p w:rsidR="00CA37D5" w:rsidRPr="005C5B91" w:rsidRDefault="00CA37D5" w:rsidP="00CF1BCF"/>
    <w:tbl>
      <w:tblPr>
        <w:tblW w:w="5000" w:type="pct"/>
        <w:jc w:val="center"/>
        <w:tblLook w:val="04A0"/>
      </w:tblPr>
      <w:tblGrid>
        <w:gridCol w:w="9576"/>
      </w:tblGrid>
      <w:tr w:rsidR="00CA37D5" w:rsidRPr="00445188" w:rsidTr="005C5B91">
        <w:trPr>
          <w:trHeight w:val="3843"/>
          <w:jc w:val="center"/>
        </w:trPr>
        <w:tc>
          <w:tcPr>
            <w:tcW w:w="5000" w:type="pct"/>
          </w:tcPr>
          <w:p w:rsidR="00CA37D5" w:rsidRPr="005C5B91" w:rsidRDefault="00CA37D5" w:rsidP="00CF1BCF">
            <w:pPr>
              <w:pStyle w:val="NoSpacing"/>
              <w:jc w:val="center"/>
              <w:rPr>
                <w:rFonts w:ascii="Cambria" w:hAnsi="Cambria"/>
                <w:caps/>
                <w:noProof/>
                <w:lang w:val="es-ES"/>
              </w:rPr>
            </w:pPr>
            <w:r w:rsidRPr="005C5B91">
              <w:rPr>
                <w:rFonts w:ascii="Times New Roman" w:hAnsi="Times New Roman"/>
                <w:b/>
                <w:noProof/>
                <w:sz w:val="28"/>
                <w:szCs w:val="28"/>
                <w:lang w:val="es-ES"/>
              </w:rPr>
              <w:t>DOCUMENTO DEL BANCO INTERAMERICANO DE DESARROLLO</w:t>
            </w:r>
          </w:p>
        </w:tc>
      </w:tr>
      <w:tr w:rsidR="00CA37D5" w:rsidRPr="00445188" w:rsidTr="005C5B91">
        <w:trPr>
          <w:trHeight w:val="2340"/>
          <w:jc w:val="center"/>
        </w:trPr>
        <w:tc>
          <w:tcPr>
            <w:tcW w:w="5000" w:type="pct"/>
            <w:tcBorders>
              <w:bottom w:val="single" w:sz="4" w:space="0" w:color="4F81BD"/>
            </w:tcBorders>
            <w:vAlign w:val="center"/>
          </w:tcPr>
          <w:p w:rsidR="00CA37D5" w:rsidRPr="005C5B91" w:rsidRDefault="008B2D3B" w:rsidP="00CF1BCF">
            <w:pPr>
              <w:pStyle w:val="NoSpacing"/>
              <w:jc w:val="center"/>
              <w:rPr>
                <w:rFonts w:ascii="Cambria" w:hAnsi="Cambria"/>
                <w:noProof/>
                <w:sz w:val="80"/>
                <w:szCs w:val="80"/>
                <w:lang w:val="es-ES"/>
              </w:rPr>
            </w:pPr>
            <w:r>
              <w:rPr>
                <w:rFonts w:ascii="Cambria" w:hAnsi="Cambria"/>
                <w:noProof/>
                <w:sz w:val="32"/>
                <w:szCs w:val="32"/>
                <w:lang w:val="es-ES"/>
              </w:rPr>
              <w:t>Bolivia</w:t>
            </w:r>
          </w:p>
        </w:tc>
      </w:tr>
      <w:tr w:rsidR="00CA37D5" w:rsidRPr="00445188">
        <w:trPr>
          <w:trHeight w:val="720"/>
          <w:jc w:val="center"/>
        </w:trPr>
        <w:tc>
          <w:tcPr>
            <w:tcW w:w="5000" w:type="pct"/>
            <w:tcBorders>
              <w:top w:val="single" w:sz="4" w:space="0" w:color="4F81BD"/>
            </w:tcBorders>
            <w:vAlign w:val="center"/>
          </w:tcPr>
          <w:p w:rsidR="008B2D3B" w:rsidRPr="008B2D3B" w:rsidRDefault="008B2D3B" w:rsidP="008B2D3B">
            <w:pPr>
              <w:pStyle w:val="NoSpacing"/>
              <w:jc w:val="center"/>
              <w:rPr>
                <w:rFonts w:ascii="Times New Roman" w:hAnsi="Times New Roman"/>
                <w:b/>
                <w:smallCaps/>
                <w:noProof/>
                <w:sz w:val="24"/>
                <w:szCs w:val="24"/>
                <w:lang w:val="es-ES"/>
              </w:rPr>
            </w:pPr>
            <w:r w:rsidRPr="008B2D3B">
              <w:rPr>
                <w:rFonts w:ascii="Times New Roman" w:hAnsi="Times New Roman"/>
                <w:b/>
                <w:smallCaps/>
                <w:noProof/>
                <w:sz w:val="24"/>
                <w:szCs w:val="24"/>
                <w:lang w:val="es-ES"/>
              </w:rPr>
              <w:t>PROGRAMA DE APOYO A LA POLÍTICA FISCAL Y SU DESCENTRALIZACIÓN</w:t>
            </w:r>
          </w:p>
          <w:p w:rsidR="008B2D3B" w:rsidRDefault="008B2D3B" w:rsidP="008B2D3B">
            <w:pPr>
              <w:pStyle w:val="NoSpacing"/>
              <w:jc w:val="center"/>
              <w:rPr>
                <w:rFonts w:ascii="Times New Roman" w:hAnsi="Times New Roman"/>
                <w:b/>
                <w:smallCaps/>
                <w:noProof/>
                <w:sz w:val="24"/>
                <w:szCs w:val="24"/>
                <w:lang w:val="es-ES"/>
              </w:rPr>
            </w:pPr>
            <w:r w:rsidRPr="008B2D3B">
              <w:rPr>
                <w:rFonts w:ascii="Times New Roman" w:hAnsi="Times New Roman"/>
                <w:b/>
                <w:smallCaps/>
                <w:noProof/>
                <w:sz w:val="24"/>
                <w:szCs w:val="24"/>
                <w:lang w:val="es-ES"/>
              </w:rPr>
              <w:t>SEGUNDA OPERACIÓN PROGRAMÁTICA</w:t>
            </w:r>
            <w:r>
              <w:rPr>
                <w:rFonts w:ascii="Times New Roman" w:hAnsi="Times New Roman"/>
                <w:b/>
                <w:smallCaps/>
                <w:noProof/>
                <w:sz w:val="24"/>
                <w:szCs w:val="24"/>
                <w:lang w:val="es-ES"/>
              </w:rPr>
              <w:t xml:space="preserve"> </w:t>
            </w:r>
          </w:p>
          <w:p w:rsidR="00CA37D5" w:rsidRPr="005C5B91" w:rsidRDefault="008B2D3B" w:rsidP="008B2D3B">
            <w:pPr>
              <w:pStyle w:val="NoSpacing"/>
              <w:jc w:val="center"/>
              <w:rPr>
                <w:rFonts w:ascii="Cambria" w:hAnsi="Cambria"/>
                <w:noProof/>
                <w:sz w:val="44"/>
                <w:szCs w:val="44"/>
                <w:lang w:val="es-ES"/>
              </w:rPr>
            </w:pPr>
            <w:r w:rsidRPr="008B2D3B">
              <w:rPr>
                <w:rFonts w:ascii="Times New Roman" w:hAnsi="Times New Roman"/>
                <w:b/>
                <w:smallCaps/>
                <w:noProof/>
                <w:sz w:val="24"/>
                <w:szCs w:val="24"/>
                <w:lang w:val="es-ES"/>
              </w:rPr>
              <w:t>(BO-L1062)</w:t>
            </w:r>
          </w:p>
        </w:tc>
      </w:tr>
      <w:tr w:rsidR="00CA37D5" w:rsidRPr="00445188">
        <w:trPr>
          <w:trHeight w:val="360"/>
          <w:jc w:val="center"/>
        </w:trPr>
        <w:tc>
          <w:tcPr>
            <w:tcW w:w="5000" w:type="pct"/>
            <w:vAlign w:val="center"/>
          </w:tcPr>
          <w:p w:rsidR="00CA37D5" w:rsidRPr="00445188" w:rsidRDefault="00CA37D5" w:rsidP="00CF1BCF">
            <w:pPr>
              <w:pStyle w:val="NoSpacing"/>
              <w:jc w:val="center"/>
              <w:rPr>
                <w:noProof/>
                <w:lang w:val="es-ES"/>
              </w:rPr>
            </w:pPr>
          </w:p>
        </w:tc>
      </w:tr>
      <w:tr w:rsidR="00CA37D5" w:rsidRPr="00445188">
        <w:trPr>
          <w:trHeight w:val="360"/>
          <w:jc w:val="center"/>
        </w:trPr>
        <w:tc>
          <w:tcPr>
            <w:tcW w:w="5000" w:type="pct"/>
            <w:vAlign w:val="center"/>
          </w:tcPr>
          <w:p w:rsidR="00CA37D5" w:rsidRPr="00445188" w:rsidRDefault="00CA37D5" w:rsidP="00CF1BCF">
            <w:pPr>
              <w:pStyle w:val="NoSpacing"/>
              <w:jc w:val="center"/>
              <w:rPr>
                <w:b/>
                <w:bCs/>
                <w:noProof/>
                <w:sz w:val="24"/>
                <w:szCs w:val="24"/>
                <w:lang w:val="es-ES"/>
              </w:rPr>
            </w:pPr>
            <w:r w:rsidRPr="00445188">
              <w:rPr>
                <w:rFonts w:ascii="Times New Roman" w:hAnsi="Times New Roman"/>
                <w:b/>
                <w:bCs/>
                <w:noProof/>
                <w:sz w:val="24"/>
                <w:szCs w:val="24"/>
                <w:lang w:val="es-ES"/>
              </w:rPr>
              <w:t>Anexo de Análisis Económico</w:t>
            </w:r>
          </w:p>
        </w:tc>
      </w:tr>
      <w:tr w:rsidR="00CA37D5" w:rsidRPr="00445188">
        <w:trPr>
          <w:trHeight w:val="360"/>
          <w:jc w:val="center"/>
        </w:trPr>
        <w:tc>
          <w:tcPr>
            <w:tcW w:w="5000" w:type="pct"/>
            <w:vAlign w:val="center"/>
          </w:tcPr>
          <w:p w:rsidR="00CA37D5" w:rsidRPr="00445188" w:rsidRDefault="00CA37D5" w:rsidP="00CF1BCF">
            <w:pPr>
              <w:pStyle w:val="NoSpacing"/>
              <w:jc w:val="center"/>
              <w:rPr>
                <w:b/>
                <w:bCs/>
                <w:noProof/>
                <w:sz w:val="24"/>
                <w:szCs w:val="24"/>
                <w:lang w:val="es-ES"/>
              </w:rPr>
            </w:pPr>
          </w:p>
        </w:tc>
      </w:tr>
    </w:tbl>
    <w:p w:rsidR="00CA37D5" w:rsidRPr="005C5B91" w:rsidRDefault="00CA37D5" w:rsidP="00CF1BCF"/>
    <w:tbl>
      <w:tblPr>
        <w:tblpPr w:leftFromText="187" w:rightFromText="187" w:horzAnchor="margin" w:tblpXSpec="center" w:tblpYSpec="bottom"/>
        <w:tblW w:w="5000" w:type="pct"/>
        <w:tblLook w:val="04A0"/>
      </w:tblPr>
      <w:tblGrid>
        <w:gridCol w:w="9576"/>
      </w:tblGrid>
      <w:tr w:rsidR="00CA37D5" w:rsidRPr="00445188">
        <w:tc>
          <w:tcPr>
            <w:tcW w:w="5000" w:type="pct"/>
          </w:tcPr>
          <w:p w:rsidR="00CA37D5" w:rsidRPr="00445188" w:rsidRDefault="00CA37D5" w:rsidP="008B2D3B">
            <w:pPr>
              <w:pStyle w:val="NoSpacing"/>
              <w:jc w:val="both"/>
              <w:rPr>
                <w:noProof/>
                <w:lang w:val="es-ES"/>
              </w:rPr>
            </w:pPr>
          </w:p>
        </w:tc>
      </w:tr>
    </w:tbl>
    <w:p w:rsidR="00CA37D5" w:rsidRPr="005C5B91" w:rsidRDefault="00CA37D5" w:rsidP="00CF1BCF">
      <w:pPr>
        <w:jc w:val="both"/>
      </w:pPr>
    </w:p>
    <w:p w:rsidR="00CA37D5" w:rsidRPr="005C5B91" w:rsidRDefault="00CA37D5" w:rsidP="00CF1BCF">
      <w:pPr>
        <w:rPr>
          <w:rFonts w:ascii="Times New Roman" w:hAnsi="Times New Roman"/>
          <w:b/>
          <w:caps/>
          <w:sz w:val="24"/>
          <w:szCs w:val="24"/>
        </w:rPr>
      </w:pPr>
      <w:r w:rsidRPr="005C5B91">
        <w:rPr>
          <w:caps/>
          <w:smallCaps/>
          <w:szCs w:val="24"/>
        </w:rPr>
        <w:br w:type="page"/>
      </w:r>
    </w:p>
    <w:p w:rsidR="00A2262D" w:rsidRPr="00A2262D" w:rsidRDefault="00A2262D" w:rsidP="00A2262D">
      <w:pPr>
        <w:spacing w:after="0" w:line="240" w:lineRule="auto"/>
        <w:jc w:val="center"/>
        <w:rPr>
          <w:rFonts w:ascii="Times New Roman Bold" w:hAnsi="Times New Roman Bold"/>
          <w:b/>
          <w:smallCaps/>
          <w:sz w:val="24"/>
          <w:szCs w:val="24"/>
        </w:rPr>
      </w:pPr>
      <w:r w:rsidRPr="00A2262D">
        <w:rPr>
          <w:rFonts w:ascii="Times New Roman Bold" w:hAnsi="Times New Roman Bold"/>
          <w:b/>
          <w:smallCaps/>
          <w:sz w:val="24"/>
          <w:szCs w:val="24"/>
        </w:rPr>
        <w:lastRenderedPageBreak/>
        <w:t>PROGRAMA DE APOYO A LA POLÍTICA FISCAL Y SU DESCENTRALIZACIÓN</w:t>
      </w:r>
    </w:p>
    <w:p w:rsidR="00CA37D5" w:rsidRPr="005C5B91" w:rsidRDefault="00A2262D" w:rsidP="00A2262D">
      <w:pPr>
        <w:spacing w:after="0" w:line="240" w:lineRule="auto"/>
        <w:jc w:val="center"/>
        <w:rPr>
          <w:rFonts w:ascii="Times New Roman Bold" w:hAnsi="Times New Roman Bold"/>
          <w:b/>
          <w:smallCaps/>
          <w:sz w:val="24"/>
          <w:szCs w:val="24"/>
        </w:rPr>
      </w:pPr>
      <w:r w:rsidRPr="00A2262D">
        <w:rPr>
          <w:rFonts w:ascii="Times New Roman Bold" w:hAnsi="Times New Roman Bold"/>
          <w:b/>
          <w:smallCaps/>
          <w:sz w:val="24"/>
          <w:szCs w:val="24"/>
        </w:rPr>
        <w:t xml:space="preserve">SEGUNDA OPERACIÓN PROGRAMÁTICA </w:t>
      </w:r>
    </w:p>
    <w:p w:rsidR="00CA37D5" w:rsidRDefault="00CA37D5" w:rsidP="00CF1BCF">
      <w:pPr>
        <w:pStyle w:val="ListParagraph"/>
        <w:spacing w:before="240" w:after="240"/>
        <w:contextualSpacing w:val="0"/>
        <w:jc w:val="center"/>
        <w:rPr>
          <w:rFonts w:ascii="Times New Roman Bold" w:hAnsi="Times New Roman Bold"/>
          <w:b/>
          <w:smallCaps/>
          <w:sz w:val="24"/>
          <w:szCs w:val="24"/>
        </w:rPr>
      </w:pPr>
      <w:r w:rsidRPr="005C5B91">
        <w:rPr>
          <w:rFonts w:ascii="Times New Roman Bold" w:hAnsi="Times New Roman Bold"/>
          <w:b/>
          <w:smallCaps/>
          <w:sz w:val="24"/>
          <w:szCs w:val="24"/>
        </w:rPr>
        <w:t>Resumen Ejecutivo</w:t>
      </w:r>
    </w:p>
    <w:p w:rsidR="00CA37D5" w:rsidRDefault="00CA37D5" w:rsidP="00CF1BCF">
      <w:pPr>
        <w:pStyle w:val="ListParagraph"/>
        <w:spacing w:before="120" w:after="120"/>
        <w:ind w:left="0"/>
        <w:contextualSpacing w:val="0"/>
        <w:jc w:val="both"/>
        <w:rPr>
          <w:rFonts w:ascii="Times New Roman" w:hAnsi="Times New Roman"/>
          <w:sz w:val="24"/>
          <w:szCs w:val="24"/>
        </w:rPr>
      </w:pPr>
      <w:r w:rsidRPr="005C5B91">
        <w:rPr>
          <w:rFonts w:ascii="Times New Roman" w:hAnsi="Times New Roman"/>
          <w:sz w:val="24"/>
          <w:szCs w:val="24"/>
        </w:rPr>
        <w:t xml:space="preserve">Este estudio tiene como finalidad demostrar el beneficio financiero que se generará a partir de la modernización y mejora de los instrumentos de gestión </w:t>
      </w:r>
      <w:r w:rsidR="00A2262D">
        <w:rPr>
          <w:rFonts w:ascii="Times New Roman" w:hAnsi="Times New Roman"/>
          <w:sz w:val="24"/>
          <w:szCs w:val="24"/>
        </w:rPr>
        <w:t>fiscal</w:t>
      </w:r>
      <w:r w:rsidRPr="005C5B91">
        <w:rPr>
          <w:rFonts w:ascii="Times New Roman" w:hAnsi="Times New Roman"/>
          <w:sz w:val="24"/>
          <w:szCs w:val="24"/>
        </w:rPr>
        <w:t xml:space="preserve"> de </w:t>
      </w:r>
      <w:r w:rsidR="00A2262D">
        <w:rPr>
          <w:rFonts w:ascii="Times New Roman" w:hAnsi="Times New Roman"/>
          <w:sz w:val="24"/>
          <w:szCs w:val="24"/>
        </w:rPr>
        <w:t>Bolivia</w:t>
      </w:r>
      <w:r w:rsidRPr="005C5B91">
        <w:rPr>
          <w:rFonts w:ascii="Times New Roman" w:hAnsi="Times New Roman"/>
          <w:sz w:val="24"/>
          <w:szCs w:val="24"/>
        </w:rPr>
        <w:t>. Estos beneficios son la base para que el proyecto pueda cumplir con su principal objetivo, que es apoyar al gobierno a elevar los niveles de inversión para hacer frente a la gran demanda por inversión social para l</w:t>
      </w:r>
      <w:r w:rsidR="002A3C66">
        <w:rPr>
          <w:rFonts w:ascii="Times New Roman" w:hAnsi="Times New Roman"/>
          <w:sz w:val="24"/>
          <w:szCs w:val="24"/>
        </w:rPr>
        <w:t>a</w:t>
      </w:r>
      <w:r w:rsidRPr="005C5B91">
        <w:rPr>
          <w:rFonts w:ascii="Times New Roman" w:hAnsi="Times New Roman"/>
          <w:sz w:val="24"/>
          <w:szCs w:val="24"/>
        </w:rPr>
        <w:t xml:space="preserve"> reducción de la pobreza, con beneficios directos sobre la población.</w:t>
      </w:r>
    </w:p>
    <w:p w:rsidR="00CA37D5" w:rsidRPr="005C5B91" w:rsidRDefault="00CA37D5" w:rsidP="00CF1BCF">
      <w:pPr>
        <w:pStyle w:val="ListParagraph"/>
        <w:spacing w:before="120" w:after="120"/>
        <w:ind w:left="0"/>
        <w:contextualSpacing w:val="0"/>
        <w:jc w:val="both"/>
        <w:rPr>
          <w:rFonts w:ascii="Times New Roman" w:hAnsi="Times New Roman"/>
          <w:sz w:val="24"/>
          <w:szCs w:val="24"/>
        </w:rPr>
      </w:pPr>
      <w:r w:rsidRPr="009E3913">
        <w:rPr>
          <w:rFonts w:ascii="Times New Roman" w:hAnsi="Times New Roman"/>
          <w:sz w:val="24"/>
          <w:szCs w:val="24"/>
        </w:rPr>
        <w:t xml:space="preserve">El tipo de análisis realizado es de Costo </w:t>
      </w:r>
      <w:r w:rsidR="00A2262D" w:rsidRPr="009E3913">
        <w:rPr>
          <w:rFonts w:ascii="Times New Roman" w:hAnsi="Times New Roman"/>
          <w:sz w:val="24"/>
          <w:szCs w:val="24"/>
        </w:rPr>
        <w:t>Beneficio</w:t>
      </w:r>
      <w:r w:rsidRPr="009E3913">
        <w:rPr>
          <w:rFonts w:ascii="Times New Roman" w:hAnsi="Times New Roman"/>
          <w:sz w:val="24"/>
          <w:szCs w:val="24"/>
        </w:rPr>
        <w:t xml:space="preserve">. Para ello, fueron seleccionados solamente </w:t>
      </w:r>
      <w:r w:rsidR="00C81E56" w:rsidRPr="009E3913">
        <w:rPr>
          <w:rFonts w:ascii="Times New Roman" w:hAnsi="Times New Roman"/>
          <w:sz w:val="24"/>
          <w:szCs w:val="24"/>
        </w:rPr>
        <w:t>tres</w:t>
      </w:r>
      <w:r w:rsidRPr="009E3913">
        <w:rPr>
          <w:rFonts w:ascii="Times New Roman" w:hAnsi="Times New Roman"/>
          <w:sz w:val="24"/>
          <w:szCs w:val="24"/>
        </w:rPr>
        <w:t xml:space="preserve"> resultados principales esperados del proyecto: (i) </w:t>
      </w:r>
      <w:r w:rsidR="009E3913">
        <w:rPr>
          <w:rFonts w:ascii="Times New Roman" w:hAnsi="Times New Roman"/>
          <w:sz w:val="24"/>
          <w:szCs w:val="24"/>
        </w:rPr>
        <w:t>r</w:t>
      </w:r>
      <w:r w:rsidR="00C81E56" w:rsidRPr="009E3913">
        <w:rPr>
          <w:rFonts w:ascii="Times New Roman" w:hAnsi="Times New Roman"/>
          <w:sz w:val="24"/>
          <w:szCs w:val="24"/>
        </w:rPr>
        <w:t xml:space="preserve">educción en la tasa de interes que paga el </w:t>
      </w:r>
      <w:r w:rsidR="002A3C66">
        <w:rPr>
          <w:rFonts w:ascii="Times New Roman" w:hAnsi="Times New Roman"/>
          <w:sz w:val="24"/>
          <w:szCs w:val="24"/>
        </w:rPr>
        <w:t>Tesore General de la Nación (</w:t>
      </w:r>
      <w:r w:rsidR="00C81E56" w:rsidRPr="009E3913">
        <w:rPr>
          <w:rFonts w:ascii="Times New Roman" w:hAnsi="Times New Roman"/>
          <w:sz w:val="24"/>
          <w:szCs w:val="24"/>
        </w:rPr>
        <w:t>TGN</w:t>
      </w:r>
      <w:r w:rsidR="002A3C66">
        <w:rPr>
          <w:rFonts w:ascii="Times New Roman" w:hAnsi="Times New Roman"/>
          <w:sz w:val="24"/>
          <w:szCs w:val="24"/>
        </w:rPr>
        <w:t>)</w:t>
      </w:r>
      <w:r w:rsidR="00C81E56" w:rsidRPr="009E3913">
        <w:rPr>
          <w:rFonts w:ascii="Times New Roman" w:hAnsi="Times New Roman"/>
          <w:sz w:val="24"/>
          <w:szCs w:val="24"/>
        </w:rPr>
        <w:t xml:space="preserve"> por la emision de letras de tesorería</w:t>
      </w:r>
      <w:r w:rsidRPr="009E3913">
        <w:rPr>
          <w:rFonts w:ascii="Times New Roman" w:hAnsi="Times New Roman"/>
          <w:sz w:val="24"/>
          <w:szCs w:val="24"/>
        </w:rPr>
        <w:t xml:space="preserve">; </w:t>
      </w:r>
      <w:r w:rsidR="00C81E56" w:rsidRPr="009E3913">
        <w:rPr>
          <w:rFonts w:ascii="Times New Roman" w:hAnsi="Times New Roman"/>
          <w:sz w:val="24"/>
          <w:szCs w:val="24"/>
        </w:rPr>
        <w:t xml:space="preserve">ii) </w:t>
      </w:r>
      <w:r w:rsidR="009E3913">
        <w:rPr>
          <w:rFonts w:ascii="Times New Roman" w:hAnsi="Times New Roman"/>
          <w:sz w:val="24"/>
          <w:szCs w:val="24"/>
        </w:rPr>
        <w:t>a</w:t>
      </w:r>
      <w:r w:rsidR="00C81E56" w:rsidRPr="009E3913">
        <w:rPr>
          <w:rFonts w:ascii="Times New Roman" w:hAnsi="Times New Roman"/>
          <w:sz w:val="24"/>
          <w:szCs w:val="24"/>
        </w:rPr>
        <w:t xml:space="preserve">cceso a los mercados de capitales en condiciones mas ventajosas; </w:t>
      </w:r>
      <w:r w:rsidRPr="009E3913">
        <w:rPr>
          <w:rFonts w:ascii="Times New Roman" w:hAnsi="Times New Roman"/>
          <w:sz w:val="24"/>
          <w:szCs w:val="24"/>
        </w:rPr>
        <w:t>y (</w:t>
      </w:r>
      <w:r w:rsidR="00C81E56" w:rsidRPr="009E3913">
        <w:rPr>
          <w:rFonts w:ascii="Times New Roman" w:hAnsi="Times New Roman"/>
          <w:sz w:val="24"/>
          <w:szCs w:val="24"/>
        </w:rPr>
        <w:t>i</w:t>
      </w:r>
      <w:r w:rsidRPr="009E3913">
        <w:rPr>
          <w:rFonts w:ascii="Times New Roman" w:hAnsi="Times New Roman"/>
          <w:sz w:val="24"/>
          <w:szCs w:val="24"/>
        </w:rPr>
        <w:t>ii)</w:t>
      </w:r>
      <w:r w:rsidR="00A2262D" w:rsidRPr="009E3913">
        <w:rPr>
          <w:rFonts w:ascii="Times New Roman" w:hAnsi="Times New Roman"/>
          <w:sz w:val="24"/>
          <w:szCs w:val="24"/>
        </w:rPr>
        <w:t xml:space="preserve"> </w:t>
      </w:r>
      <w:r w:rsidRPr="009E3913">
        <w:rPr>
          <w:rFonts w:ascii="Times New Roman" w:hAnsi="Times New Roman"/>
          <w:sz w:val="24"/>
          <w:szCs w:val="24"/>
        </w:rPr>
        <w:t>aumento de los intereses recibidos sobre los saldos de los recursos financieros del tesoro, generados a partir de la implantación de la cuenta única.</w:t>
      </w:r>
    </w:p>
    <w:p w:rsidR="00CA37D5" w:rsidRPr="00CF1BCF" w:rsidRDefault="009E3913" w:rsidP="00CF1BCF">
      <w:pPr>
        <w:pStyle w:val="ListParagraph"/>
        <w:spacing w:before="120" w:after="120"/>
        <w:ind w:left="0"/>
        <w:contextualSpacing w:val="0"/>
        <w:jc w:val="both"/>
        <w:rPr>
          <w:rFonts w:ascii="Times New Roman" w:hAnsi="Times New Roman"/>
          <w:sz w:val="24"/>
          <w:szCs w:val="24"/>
        </w:rPr>
      </w:pPr>
      <w:r w:rsidRPr="009E3913">
        <w:rPr>
          <w:rFonts w:ascii="Times New Roman" w:hAnsi="Times New Roman"/>
          <w:sz w:val="24"/>
          <w:szCs w:val="24"/>
        </w:rPr>
        <w:t xml:space="preserve">Siendo conservadores, se estima que las </w:t>
      </w:r>
      <w:r w:rsidR="00CA37D5" w:rsidRPr="009E3913">
        <w:rPr>
          <w:rFonts w:ascii="Times New Roman" w:hAnsi="Times New Roman"/>
          <w:sz w:val="24"/>
          <w:szCs w:val="24"/>
        </w:rPr>
        <w:t xml:space="preserve">mejoras a ser introducidas por el proyecto resultarán en una </w:t>
      </w:r>
      <w:r w:rsidRPr="009E3913">
        <w:rPr>
          <w:rFonts w:ascii="Times New Roman" w:hAnsi="Times New Roman"/>
          <w:sz w:val="24"/>
          <w:szCs w:val="24"/>
        </w:rPr>
        <w:t xml:space="preserve">reducción promedio del </w:t>
      </w:r>
      <w:r w:rsidR="002A3C66">
        <w:rPr>
          <w:rFonts w:ascii="Times New Roman" w:hAnsi="Times New Roman"/>
          <w:sz w:val="24"/>
          <w:szCs w:val="24"/>
        </w:rPr>
        <w:t>20</w:t>
      </w:r>
      <w:r w:rsidRPr="009E3913">
        <w:rPr>
          <w:rFonts w:ascii="Times New Roman" w:hAnsi="Times New Roman"/>
          <w:sz w:val="24"/>
          <w:szCs w:val="24"/>
        </w:rPr>
        <w:t>% en el costo del financiero del TGN</w:t>
      </w:r>
      <w:r w:rsidR="00CA37D5" w:rsidRPr="009E3913">
        <w:rPr>
          <w:rFonts w:ascii="Times New Roman" w:hAnsi="Times New Roman"/>
          <w:sz w:val="24"/>
          <w:szCs w:val="24"/>
        </w:rPr>
        <w:t xml:space="preserve"> generando un beneficio financiero de aproximadamente </w:t>
      </w:r>
      <w:r w:rsidR="002A3C66">
        <w:rPr>
          <w:rFonts w:ascii="Times New Roman" w:hAnsi="Times New Roman"/>
          <w:sz w:val="24"/>
          <w:szCs w:val="24"/>
        </w:rPr>
        <w:t>10</w:t>
      </w:r>
      <w:r w:rsidR="00CA37D5" w:rsidRPr="009E3913">
        <w:rPr>
          <w:rFonts w:ascii="Times New Roman" w:hAnsi="Times New Roman"/>
          <w:sz w:val="24"/>
          <w:szCs w:val="24"/>
        </w:rPr>
        <w:t xml:space="preserve"> millones </w:t>
      </w:r>
      <w:r w:rsidR="002A3C66">
        <w:rPr>
          <w:rFonts w:ascii="Times New Roman" w:hAnsi="Times New Roman"/>
          <w:sz w:val="24"/>
          <w:szCs w:val="24"/>
        </w:rPr>
        <w:t xml:space="preserve">de dólares </w:t>
      </w:r>
      <w:r w:rsidR="00CA37D5" w:rsidRPr="009E3913">
        <w:rPr>
          <w:rFonts w:ascii="Times New Roman" w:hAnsi="Times New Roman"/>
          <w:sz w:val="24"/>
          <w:szCs w:val="24"/>
        </w:rPr>
        <w:t>anuales, a partir del año 201</w:t>
      </w:r>
      <w:r w:rsidRPr="009E3913">
        <w:rPr>
          <w:rFonts w:ascii="Times New Roman" w:hAnsi="Times New Roman"/>
          <w:sz w:val="24"/>
          <w:szCs w:val="24"/>
        </w:rPr>
        <w:t xml:space="preserve">2. </w:t>
      </w:r>
    </w:p>
    <w:p w:rsidR="00CA37D5" w:rsidRPr="00CF1BCF" w:rsidRDefault="00CA37D5" w:rsidP="00CF1BCF">
      <w:pPr>
        <w:pStyle w:val="ListParagraph"/>
        <w:spacing w:before="120" w:after="120"/>
        <w:ind w:left="0"/>
        <w:contextualSpacing w:val="0"/>
        <w:jc w:val="both"/>
        <w:rPr>
          <w:rFonts w:ascii="Times New Roman" w:hAnsi="Times New Roman"/>
          <w:sz w:val="24"/>
          <w:szCs w:val="24"/>
        </w:rPr>
      </w:pPr>
      <w:r w:rsidRPr="00CF1BCF">
        <w:rPr>
          <w:rFonts w:ascii="Times New Roman" w:hAnsi="Times New Roman"/>
          <w:sz w:val="24"/>
          <w:szCs w:val="24"/>
        </w:rPr>
        <w:t>Por otra parte, con la implantación de la Cuenta Única del Tesoro, se espera</w:t>
      </w:r>
      <w:r w:rsidR="002A3C66">
        <w:rPr>
          <w:rFonts w:ascii="Times New Roman" w:hAnsi="Times New Roman"/>
          <w:sz w:val="24"/>
          <w:szCs w:val="24"/>
        </w:rPr>
        <w:t>,</w:t>
      </w:r>
      <w:r w:rsidRPr="00CF1BCF">
        <w:rPr>
          <w:rFonts w:ascii="Times New Roman" w:hAnsi="Times New Roman"/>
          <w:sz w:val="24"/>
          <w:szCs w:val="24"/>
        </w:rPr>
        <w:t xml:space="preserve"> </w:t>
      </w:r>
      <w:r w:rsidR="009B5A59">
        <w:rPr>
          <w:rFonts w:ascii="Times New Roman" w:hAnsi="Times New Roman"/>
          <w:sz w:val="24"/>
          <w:szCs w:val="24"/>
        </w:rPr>
        <w:t xml:space="preserve">bajo un escenario </w:t>
      </w:r>
      <w:r w:rsidRPr="00CF1BCF">
        <w:rPr>
          <w:rFonts w:ascii="Times New Roman" w:hAnsi="Times New Roman"/>
          <w:sz w:val="24"/>
          <w:szCs w:val="24"/>
        </w:rPr>
        <w:t>conservador</w:t>
      </w:r>
      <w:r w:rsidR="002A3C66">
        <w:rPr>
          <w:rFonts w:ascii="Times New Roman" w:hAnsi="Times New Roman"/>
          <w:sz w:val="24"/>
          <w:szCs w:val="24"/>
        </w:rPr>
        <w:t>,</w:t>
      </w:r>
      <w:r w:rsidRPr="00CF1BCF">
        <w:rPr>
          <w:rFonts w:ascii="Times New Roman" w:hAnsi="Times New Roman"/>
          <w:sz w:val="24"/>
          <w:szCs w:val="24"/>
        </w:rPr>
        <w:t xml:space="preserve"> un beneficio financiero del orden de los </w:t>
      </w:r>
      <w:r w:rsidR="009E3913">
        <w:rPr>
          <w:rFonts w:ascii="Times New Roman" w:hAnsi="Times New Roman"/>
          <w:sz w:val="24"/>
          <w:szCs w:val="24"/>
        </w:rPr>
        <w:t>14</w:t>
      </w:r>
      <w:r w:rsidRPr="00CF1BCF">
        <w:rPr>
          <w:rFonts w:ascii="Times New Roman" w:hAnsi="Times New Roman"/>
          <w:sz w:val="24"/>
          <w:szCs w:val="24"/>
        </w:rPr>
        <w:t xml:space="preserve"> millones </w:t>
      </w:r>
      <w:r w:rsidR="009B5A59">
        <w:rPr>
          <w:rFonts w:ascii="Times New Roman" w:hAnsi="Times New Roman"/>
          <w:sz w:val="24"/>
          <w:szCs w:val="24"/>
        </w:rPr>
        <w:t xml:space="preserve">de dolares </w:t>
      </w:r>
      <w:r w:rsidRPr="00CF1BCF">
        <w:rPr>
          <w:rFonts w:ascii="Times New Roman" w:hAnsi="Times New Roman"/>
          <w:sz w:val="24"/>
          <w:szCs w:val="24"/>
        </w:rPr>
        <w:t xml:space="preserve">anuales, </w:t>
      </w:r>
      <w:r w:rsidR="002A3C66">
        <w:rPr>
          <w:rFonts w:ascii="Times New Roman" w:hAnsi="Times New Roman"/>
          <w:sz w:val="24"/>
          <w:szCs w:val="24"/>
        </w:rPr>
        <w:t xml:space="preserve">como </w:t>
      </w:r>
      <w:r w:rsidRPr="00CF1BCF">
        <w:rPr>
          <w:rFonts w:ascii="Times New Roman" w:hAnsi="Times New Roman"/>
          <w:sz w:val="24"/>
          <w:szCs w:val="24"/>
        </w:rPr>
        <w:t xml:space="preserve">consecuencia de los intereses pagados por el banco corresponsal </w:t>
      </w:r>
      <w:r w:rsidR="002A3C66">
        <w:rPr>
          <w:rFonts w:ascii="Times New Roman" w:hAnsi="Times New Roman"/>
          <w:sz w:val="24"/>
          <w:szCs w:val="24"/>
        </w:rPr>
        <w:t xml:space="preserve">o agente financiero </w:t>
      </w:r>
      <w:r w:rsidRPr="00CF1BCF">
        <w:rPr>
          <w:rFonts w:ascii="Times New Roman" w:hAnsi="Times New Roman"/>
          <w:sz w:val="24"/>
          <w:szCs w:val="24"/>
        </w:rPr>
        <w:t>a</w:t>
      </w:r>
      <w:r w:rsidR="002A3C66">
        <w:rPr>
          <w:rFonts w:ascii="Times New Roman" w:hAnsi="Times New Roman"/>
          <w:sz w:val="24"/>
          <w:szCs w:val="24"/>
        </w:rPr>
        <w:t xml:space="preserve">l TGN por los saldos inmobilizados </w:t>
      </w:r>
      <w:r w:rsidRPr="00CF1BCF">
        <w:rPr>
          <w:rFonts w:ascii="Times New Roman" w:hAnsi="Times New Roman"/>
          <w:sz w:val="24"/>
          <w:szCs w:val="24"/>
        </w:rPr>
        <w:t>a causa de que el proceso de ejecución presupuestaria presenta una brecha entre la realización del compromiso, devengado y pagado. Se espera que este beneficio empiece a ocurrir a partir del año 201</w:t>
      </w:r>
      <w:r w:rsidR="009B5A59">
        <w:rPr>
          <w:rFonts w:ascii="Times New Roman" w:hAnsi="Times New Roman"/>
          <w:sz w:val="24"/>
          <w:szCs w:val="24"/>
        </w:rPr>
        <w:t>2</w:t>
      </w:r>
      <w:r w:rsidRPr="00CF1BCF">
        <w:rPr>
          <w:rFonts w:ascii="Times New Roman" w:hAnsi="Times New Roman"/>
          <w:sz w:val="24"/>
          <w:szCs w:val="24"/>
        </w:rPr>
        <w:t>.</w:t>
      </w:r>
    </w:p>
    <w:p w:rsidR="00CA37D5" w:rsidRPr="00CF1BCF" w:rsidRDefault="00CA37D5" w:rsidP="00CF1BCF">
      <w:pPr>
        <w:pStyle w:val="ListParagraph"/>
        <w:spacing w:before="120" w:after="120"/>
        <w:ind w:left="0"/>
        <w:jc w:val="both"/>
        <w:rPr>
          <w:rFonts w:ascii="Times New Roman" w:hAnsi="Times New Roman"/>
          <w:sz w:val="24"/>
          <w:szCs w:val="24"/>
        </w:rPr>
      </w:pPr>
      <w:r w:rsidRPr="009E3913">
        <w:rPr>
          <w:rFonts w:ascii="Times New Roman" w:hAnsi="Times New Roman"/>
          <w:sz w:val="24"/>
          <w:szCs w:val="24"/>
        </w:rPr>
        <w:t xml:space="preserve">El análisis de costo </w:t>
      </w:r>
      <w:r w:rsidR="002A3C66">
        <w:rPr>
          <w:rFonts w:ascii="Times New Roman" w:hAnsi="Times New Roman"/>
          <w:sz w:val="24"/>
          <w:szCs w:val="24"/>
        </w:rPr>
        <w:t>beneficio</w:t>
      </w:r>
      <w:r w:rsidRPr="009E3913">
        <w:rPr>
          <w:rFonts w:ascii="Times New Roman" w:hAnsi="Times New Roman"/>
          <w:sz w:val="24"/>
          <w:szCs w:val="24"/>
        </w:rPr>
        <w:t xml:space="preserve"> realizado arroja una TIR de </w:t>
      </w:r>
      <w:r w:rsidR="002A3C66">
        <w:rPr>
          <w:rFonts w:ascii="Times New Roman" w:hAnsi="Times New Roman"/>
          <w:sz w:val="24"/>
          <w:szCs w:val="24"/>
        </w:rPr>
        <w:t>34</w:t>
      </w:r>
      <w:r w:rsidRPr="009E3913">
        <w:rPr>
          <w:rFonts w:ascii="Times New Roman" w:hAnsi="Times New Roman"/>
          <w:sz w:val="24"/>
          <w:szCs w:val="24"/>
        </w:rPr>
        <w:t xml:space="preserve">% y un VPN de </w:t>
      </w:r>
      <w:r w:rsidR="002A3C66">
        <w:rPr>
          <w:rFonts w:ascii="Times New Roman" w:hAnsi="Times New Roman"/>
          <w:sz w:val="24"/>
          <w:szCs w:val="24"/>
        </w:rPr>
        <w:t>74</w:t>
      </w:r>
      <w:r w:rsidRPr="009E3913">
        <w:rPr>
          <w:rFonts w:ascii="Times New Roman" w:hAnsi="Times New Roman"/>
          <w:sz w:val="24"/>
          <w:szCs w:val="24"/>
        </w:rPr>
        <w:t xml:space="preserve"> millones</w:t>
      </w:r>
      <w:r w:rsidR="002A3C66">
        <w:rPr>
          <w:rFonts w:ascii="Times New Roman" w:hAnsi="Times New Roman"/>
          <w:sz w:val="24"/>
          <w:szCs w:val="24"/>
        </w:rPr>
        <w:t xml:space="preserve"> de dólares descontados a una tasa del 10%</w:t>
      </w:r>
      <w:r w:rsidRPr="009E3913">
        <w:rPr>
          <w:rFonts w:ascii="Times New Roman" w:hAnsi="Times New Roman"/>
          <w:sz w:val="24"/>
          <w:szCs w:val="24"/>
        </w:rPr>
        <w:t>, lo cual justifica el financiamiento del BID. Se debe notar que otros beneficios económicos no fueron cuantificados, lo cual podría mejorar aún más el robusto resultado de la evaluación financiera.</w:t>
      </w:r>
    </w:p>
    <w:p w:rsidR="00CA37D5" w:rsidRDefault="00CA37D5" w:rsidP="009B5A59">
      <w:pPr>
        <w:pStyle w:val="ListParagraph"/>
        <w:spacing w:before="120" w:after="120"/>
        <w:ind w:left="0"/>
        <w:contextualSpacing w:val="0"/>
        <w:jc w:val="both"/>
        <w:rPr>
          <w:rFonts w:ascii="Times New Roman" w:hAnsi="Times New Roman"/>
          <w:sz w:val="24"/>
          <w:szCs w:val="24"/>
        </w:rPr>
      </w:pPr>
      <w:r w:rsidRPr="00CF1BCF">
        <w:rPr>
          <w:rFonts w:ascii="Times New Roman" w:hAnsi="Times New Roman"/>
          <w:sz w:val="24"/>
          <w:szCs w:val="24"/>
        </w:rPr>
        <w:t xml:space="preserve">En vista de la evaluación financiera de costo </w:t>
      </w:r>
      <w:r w:rsidR="009E3913">
        <w:rPr>
          <w:rFonts w:ascii="Times New Roman" w:hAnsi="Times New Roman"/>
          <w:sz w:val="24"/>
          <w:szCs w:val="24"/>
        </w:rPr>
        <w:t>beneficio</w:t>
      </w:r>
      <w:r w:rsidRPr="00CF1BCF">
        <w:rPr>
          <w:rFonts w:ascii="Times New Roman" w:hAnsi="Times New Roman"/>
          <w:sz w:val="24"/>
          <w:szCs w:val="24"/>
        </w:rPr>
        <w:t xml:space="preserve"> realizada, se recomienda el financiamiento por parte del Banco al programa propuesto de </w:t>
      </w:r>
      <w:r w:rsidR="009B5A59">
        <w:rPr>
          <w:rFonts w:ascii="Times New Roman" w:hAnsi="Times New Roman"/>
          <w:sz w:val="24"/>
          <w:szCs w:val="24"/>
        </w:rPr>
        <w:t>Programa de Apoyo a la Política Fiscal y su Descentralización. Segunda Operación Programatica</w:t>
      </w:r>
      <w:r w:rsidRPr="00CF1BCF">
        <w:rPr>
          <w:rFonts w:ascii="Times New Roman" w:hAnsi="Times New Roman"/>
          <w:sz w:val="24"/>
          <w:szCs w:val="24"/>
        </w:rPr>
        <w:t>.</w:t>
      </w:r>
    </w:p>
    <w:p w:rsidR="009B5A59" w:rsidRDefault="009B5A59" w:rsidP="009B5A59">
      <w:pPr>
        <w:pStyle w:val="ListParagraph"/>
        <w:spacing w:before="120" w:after="120"/>
        <w:ind w:left="0"/>
        <w:contextualSpacing w:val="0"/>
        <w:jc w:val="both"/>
        <w:rPr>
          <w:rFonts w:ascii="Times New Roman" w:hAnsi="Times New Roman"/>
          <w:sz w:val="24"/>
          <w:szCs w:val="24"/>
        </w:rPr>
      </w:pPr>
    </w:p>
    <w:p w:rsidR="009B5A59" w:rsidRDefault="009B5A59">
      <w:pPr>
        <w:spacing w:after="0" w:line="240" w:lineRule="auto"/>
        <w:rPr>
          <w:rFonts w:ascii="Times New Roman" w:hAnsi="Times New Roman"/>
          <w:sz w:val="24"/>
          <w:szCs w:val="24"/>
        </w:rPr>
      </w:pPr>
      <w:r>
        <w:rPr>
          <w:rFonts w:ascii="Times New Roman" w:hAnsi="Times New Roman"/>
          <w:sz w:val="24"/>
          <w:szCs w:val="24"/>
        </w:rPr>
        <w:br w:type="page"/>
      </w:r>
    </w:p>
    <w:p w:rsidR="00CA37D5" w:rsidRPr="005C5B91" w:rsidRDefault="00CA37D5" w:rsidP="00CF1BCF">
      <w:pPr>
        <w:spacing w:before="240" w:after="240"/>
        <w:jc w:val="center"/>
        <w:rPr>
          <w:rFonts w:ascii="Times New Roman Bold" w:hAnsi="Times New Roman Bold"/>
          <w:b/>
          <w:smallCaps/>
          <w:sz w:val="24"/>
          <w:szCs w:val="24"/>
        </w:rPr>
      </w:pPr>
      <w:r w:rsidRPr="005C5B91">
        <w:rPr>
          <w:rFonts w:ascii="Times New Roman" w:hAnsi="Times New Roman"/>
          <w:b/>
          <w:sz w:val="24"/>
          <w:szCs w:val="24"/>
        </w:rPr>
        <w:lastRenderedPageBreak/>
        <w:t>I.</w:t>
      </w:r>
      <w:r w:rsidRPr="005C5B91">
        <w:rPr>
          <w:rFonts w:ascii="Times New Roman" w:hAnsi="Times New Roman"/>
          <w:b/>
          <w:sz w:val="24"/>
          <w:szCs w:val="24"/>
        </w:rPr>
        <w:tab/>
      </w:r>
      <w:r w:rsidRPr="005C5B91">
        <w:rPr>
          <w:rFonts w:ascii="Times New Roman Bold" w:hAnsi="Times New Roman Bold"/>
          <w:b/>
          <w:smallCaps/>
          <w:sz w:val="24"/>
          <w:szCs w:val="24"/>
        </w:rPr>
        <w:t>Introducción</w:t>
      </w:r>
    </w:p>
    <w:p w:rsidR="00CA37D5" w:rsidRPr="005C5B91" w:rsidRDefault="00CA37D5" w:rsidP="00CF1BCF">
      <w:pPr>
        <w:jc w:val="both"/>
        <w:rPr>
          <w:rFonts w:ascii="Times New Roman" w:hAnsi="Times New Roman"/>
          <w:b/>
          <w:sz w:val="24"/>
          <w:szCs w:val="24"/>
        </w:rPr>
      </w:pPr>
      <w:r>
        <w:rPr>
          <w:rFonts w:ascii="Times New Roman Bold" w:hAnsi="Times New Roman Bold"/>
          <w:b/>
          <w:smallCaps/>
          <w:sz w:val="24"/>
          <w:szCs w:val="24"/>
        </w:rPr>
        <w:t>A.</w:t>
      </w:r>
      <w:r>
        <w:rPr>
          <w:rFonts w:ascii="Times New Roman Bold" w:hAnsi="Times New Roman Bold"/>
          <w:b/>
          <w:smallCaps/>
          <w:sz w:val="24"/>
          <w:szCs w:val="24"/>
        </w:rPr>
        <w:tab/>
      </w:r>
      <w:r w:rsidRPr="005C5B91">
        <w:rPr>
          <w:rFonts w:ascii="Times New Roman Bold" w:hAnsi="Times New Roman Bold"/>
          <w:b/>
          <w:smallCaps/>
          <w:sz w:val="24"/>
          <w:szCs w:val="24"/>
        </w:rPr>
        <w:t>Aproximación cualitativa al Análisis Costo-beneficio</w:t>
      </w:r>
    </w:p>
    <w:p w:rsidR="00CA37D5" w:rsidRPr="003541CB" w:rsidRDefault="00CA37D5" w:rsidP="003541CB">
      <w:pPr>
        <w:spacing w:before="120" w:after="120"/>
        <w:jc w:val="both"/>
        <w:rPr>
          <w:rFonts w:ascii="Times New Roman" w:hAnsi="Times New Roman"/>
          <w:sz w:val="24"/>
          <w:szCs w:val="24"/>
        </w:rPr>
      </w:pPr>
      <w:r w:rsidRPr="003541CB">
        <w:rPr>
          <w:rFonts w:ascii="Times New Roman" w:hAnsi="Times New Roman"/>
          <w:sz w:val="24"/>
          <w:szCs w:val="24"/>
        </w:rPr>
        <w:t xml:space="preserve">El presente estudio tiene como finalidad demonstrar el beneficio financiero que se generará a partir de la modernización y mejora de los instrumentos de gestión </w:t>
      </w:r>
      <w:r w:rsidR="00B01ADC" w:rsidRPr="003541CB">
        <w:rPr>
          <w:rFonts w:ascii="Times New Roman" w:hAnsi="Times New Roman"/>
          <w:sz w:val="24"/>
          <w:szCs w:val="24"/>
        </w:rPr>
        <w:t xml:space="preserve">fiscal </w:t>
      </w:r>
      <w:r w:rsidRPr="003541CB">
        <w:rPr>
          <w:rFonts w:ascii="Times New Roman" w:hAnsi="Times New Roman"/>
          <w:sz w:val="24"/>
          <w:szCs w:val="24"/>
        </w:rPr>
        <w:t xml:space="preserve">de </w:t>
      </w:r>
      <w:r w:rsidR="00B01ADC" w:rsidRPr="003541CB">
        <w:rPr>
          <w:rFonts w:ascii="Times New Roman" w:hAnsi="Times New Roman"/>
          <w:sz w:val="24"/>
          <w:szCs w:val="24"/>
        </w:rPr>
        <w:t>Bolivia</w:t>
      </w:r>
      <w:r w:rsidRPr="003541CB">
        <w:rPr>
          <w:rFonts w:ascii="Times New Roman" w:hAnsi="Times New Roman"/>
          <w:sz w:val="24"/>
          <w:szCs w:val="24"/>
        </w:rPr>
        <w:t xml:space="preserve">. Estos beneficios son la base para que el proyecto pueda cumplir con su principal objetivo, que es apoyar al gobierno a elevar los niveles de inversión para hacer frente a la gran demanda por inversión social para </w:t>
      </w:r>
      <w:r w:rsidR="002A3C66">
        <w:rPr>
          <w:rFonts w:ascii="Times New Roman" w:hAnsi="Times New Roman"/>
          <w:sz w:val="24"/>
          <w:szCs w:val="24"/>
        </w:rPr>
        <w:t>la</w:t>
      </w:r>
      <w:r w:rsidRPr="003541CB">
        <w:rPr>
          <w:rFonts w:ascii="Times New Roman" w:hAnsi="Times New Roman"/>
          <w:sz w:val="24"/>
          <w:szCs w:val="24"/>
        </w:rPr>
        <w:t xml:space="preserve"> reducción de la pobreza, con beneficios directos sobre la población. A pesar de que este proyecto no genera beneficios </w:t>
      </w:r>
      <w:r w:rsidR="002A3C66">
        <w:rPr>
          <w:rFonts w:ascii="Times New Roman" w:hAnsi="Times New Roman"/>
          <w:sz w:val="24"/>
          <w:szCs w:val="24"/>
        </w:rPr>
        <w:t>–</w:t>
      </w:r>
      <w:r w:rsidR="002A3C66" w:rsidRPr="003541CB">
        <w:rPr>
          <w:rFonts w:ascii="Times New Roman" w:hAnsi="Times New Roman"/>
          <w:sz w:val="24"/>
          <w:szCs w:val="24"/>
        </w:rPr>
        <w:t>económicos</w:t>
      </w:r>
      <w:r w:rsidR="002A3C66">
        <w:rPr>
          <w:rFonts w:ascii="Times New Roman" w:hAnsi="Times New Roman"/>
          <w:sz w:val="24"/>
          <w:szCs w:val="24"/>
        </w:rPr>
        <w:t>-</w:t>
      </w:r>
      <w:r w:rsidR="002A3C66" w:rsidRPr="003541CB">
        <w:rPr>
          <w:rFonts w:ascii="Times New Roman" w:hAnsi="Times New Roman"/>
          <w:sz w:val="24"/>
          <w:szCs w:val="24"/>
        </w:rPr>
        <w:t xml:space="preserve"> </w:t>
      </w:r>
      <w:r w:rsidRPr="003541CB">
        <w:rPr>
          <w:rFonts w:ascii="Times New Roman" w:hAnsi="Times New Roman"/>
          <w:sz w:val="24"/>
          <w:szCs w:val="24"/>
        </w:rPr>
        <w:t xml:space="preserve">directos para la sociedad, por ser un proyecto de características estrictamente fiscales, los beneficios financieros provenientes de la mejora de los instrumentos de gestión fiscal serán direccionados a inversiones en los sectores sociales, por lo tanto los beneficios financieros directos se convertirán en beneficios económicos indirectos tan pronto el gobierno asigne los ingresos excedentes </w:t>
      </w:r>
      <w:r w:rsidR="00B01ADC" w:rsidRPr="003541CB">
        <w:rPr>
          <w:rFonts w:ascii="Times New Roman" w:hAnsi="Times New Roman"/>
          <w:sz w:val="24"/>
          <w:szCs w:val="24"/>
        </w:rPr>
        <w:t xml:space="preserve">a la ejecución del Plan de Inversiones Públicas </w:t>
      </w:r>
      <w:r w:rsidR="00B01ADC" w:rsidRPr="003541CB">
        <w:rPr>
          <w:rFonts w:ascii="Times New Roman" w:hAnsi="Times New Roman"/>
          <w:i/>
          <w:sz w:val="24"/>
          <w:szCs w:val="24"/>
        </w:rPr>
        <w:t>Bolivia, para vivir bien</w:t>
      </w:r>
      <w:r w:rsidR="00B01ADC" w:rsidRPr="003541CB">
        <w:rPr>
          <w:rFonts w:ascii="Times New Roman" w:hAnsi="Times New Roman"/>
          <w:sz w:val="24"/>
          <w:szCs w:val="24"/>
        </w:rPr>
        <w:t>, que constituye un compendio de planes y programas a ser ejecutados por el Gobierno del Estado Plurinacional de Bolivia (GBO) hasta el 2029.</w:t>
      </w:r>
    </w:p>
    <w:p w:rsidR="00AA0E22" w:rsidRPr="003541CB" w:rsidRDefault="00AA0E22" w:rsidP="003541CB">
      <w:pPr>
        <w:spacing w:before="120" w:after="120"/>
        <w:jc w:val="both"/>
        <w:rPr>
          <w:rFonts w:ascii="Times New Roman" w:hAnsi="Times New Roman"/>
          <w:sz w:val="24"/>
          <w:szCs w:val="24"/>
        </w:rPr>
      </w:pPr>
      <w:r w:rsidRPr="003541CB">
        <w:rPr>
          <w:rFonts w:ascii="Times New Roman" w:hAnsi="Times New Roman"/>
          <w:sz w:val="24"/>
          <w:szCs w:val="24"/>
        </w:rPr>
        <w:t xml:space="preserve">El </w:t>
      </w:r>
      <w:r w:rsidR="00B01ADC" w:rsidRPr="003541CB">
        <w:rPr>
          <w:rFonts w:ascii="Times New Roman" w:hAnsi="Times New Roman"/>
          <w:sz w:val="24"/>
          <w:szCs w:val="24"/>
        </w:rPr>
        <w:t>programa propuesto</w:t>
      </w:r>
      <w:r w:rsidRPr="003541CB">
        <w:rPr>
          <w:rFonts w:ascii="Times New Roman" w:hAnsi="Times New Roman"/>
          <w:sz w:val="24"/>
          <w:szCs w:val="24"/>
        </w:rPr>
        <w:t xml:space="preserve"> apoyará mediante asistencia técnica y financiera los esfuerzos del GBO para impulsar reformas estructurales en el fortalecimiento de la política fiscal y </w:t>
      </w:r>
      <w:r w:rsidR="000E4298" w:rsidRPr="003541CB">
        <w:rPr>
          <w:rFonts w:ascii="Times New Roman" w:hAnsi="Times New Roman"/>
          <w:sz w:val="24"/>
          <w:szCs w:val="24"/>
        </w:rPr>
        <w:t>su</w:t>
      </w:r>
      <w:r w:rsidRPr="003541CB">
        <w:rPr>
          <w:rFonts w:ascii="Times New Roman" w:hAnsi="Times New Roman"/>
          <w:sz w:val="24"/>
          <w:szCs w:val="24"/>
        </w:rPr>
        <w:t xml:space="preserve"> descentralización, requeridas por el nuevo contexto institucional. El programa fue diseñado </w:t>
      </w:r>
      <w:r w:rsidR="000E4298" w:rsidRPr="003541CB">
        <w:rPr>
          <w:rFonts w:ascii="Times New Roman" w:hAnsi="Times New Roman"/>
          <w:sz w:val="24"/>
          <w:szCs w:val="24"/>
        </w:rPr>
        <w:t>en d</w:t>
      </w:r>
      <w:r w:rsidRPr="003541CB">
        <w:rPr>
          <w:rFonts w:ascii="Times New Roman" w:hAnsi="Times New Roman"/>
          <w:sz w:val="24"/>
          <w:szCs w:val="24"/>
        </w:rPr>
        <w:t xml:space="preserve">os operaciones consecutivas. Ambas operaciones están vinculadas técnicamente entre sí por medio de tres áreas de política que aseguran una coherencia temporal, sujetas a la verificación de medidas dirigidas a la adecuación y rediseño del marco normativo para el fortalecimiento de la política fiscal y la mejora de los procesos de gestión de las finanzas públicas. La </w:t>
      </w:r>
      <w:r w:rsidR="000E4298" w:rsidRPr="003541CB">
        <w:rPr>
          <w:rFonts w:ascii="Times New Roman" w:hAnsi="Times New Roman"/>
          <w:sz w:val="24"/>
          <w:szCs w:val="24"/>
        </w:rPr>
        <w:t>segunda</w:t>
      </w:r>
      <w:r w:rsidRPr="003541CB">
        <w:rPr>
          <w:rFonts w:ascii="Times New Roman" w:hAnsi="Times New Roman"/>
          <w:sz w:val="24"/>
          <w:szCs w:val="24"/>
        </w:rPr>
        <w:t xml:space="preserve"> operación del programa acordada por 62 millones</w:t>
      </w:r>
      <w:r w:rsidR="002A3C66">
        <w:rPr>
          <w:rFonts w:ascii="Times New Roman" w:hAnsi="Times New Roman"/>
          <w:sz w:val="24"/>
          <w:szCs w:val="24"/>
        </w:rPr>
        <w:t xml:space="preserve"> de dólares</w:t>
      </w:r>
      <w:r w:rsidRPr="003541CB">
        <w:rPr>
          <w:rFonts w:ascii="Times New Roman" w:hAnsi="Times New Roman"/>
          <w:sz w:val="24"/>
          <w:szCs w:val="24"/>
        </w:rPr>
        <w:t xml:space="preserve">, consolidará los resultados alcanzados mediante </w:t>
      </w:r>
      <w:r w:rsidR="000E4298" w:rsidRPr="003541CB">
        <w:rPr>
          <w:rFonts w:ascii="Times New Roman" w:hAnsi="Times New Roman"/>
          <w:sz w:val="24"/>
          <w:szCs w:val="24"/>
        </w:rPr>
        <w:t xml:space="preserve">el </w:t>
      </w:r>
      <w:r w:rsidRPr="003541CB">
        <w:rPr>
          <w:rFonts w:ascii="Times New Roman" w:hAnsi="Times New Roman"/>
          <w:sz w:val="24"/>
          <w:szCs w:val="24"/>
        </w:rPr>
        <w:t>apoyo al G</w:t>
      </w:r>
      <w:r w:rsidR="000E4298" w:rsidRPr="003541CB">
        <w:rPr>
          <w:rFonts w:ascii="Times New Roman" w:hAnsi="Times New Roman"/>
          <w:sz w:val="24"/>
          <w:szCs w:val="24"/>
        </w:rPr>
        <w:t xml:space="preserve">obierno </w:t>
      </w:r>
      <w:r w:rsidRPr="003541CB">
        <w:rPr>
          <w:rFonts w:ascii="Times New Roman" w:hAnsi="Times New Roman"/>
          <w:sz w:val="24"/>
          <w:szCs w:val="24"/>
        </w:rPr>
        <w:t>C</w:t>
      </w:r>
      <w:r w:rsidR="000E4298" w:rsidRPr="003541CB">
        <w:rPr>
          <w:rFonts w:ascii="Times New Roman" w:hAnsi="Times New Roman"/>
          <w:sz w:val="24"/>
          <w:szCs w:val="24"/>
        </w:rPr>
        <w:t>entral</w:t>
      </w:r>
      <w:r w:rsidRPr="003541CB">
        <w:rPr>
          <w:rFonts w:ascii="Times New Roman" w:hAnsi="Times New Roman"/>
          <w:sz w:val="24"/>
          <w:szCs w:val="24"/>
        </w:rPr>
        <w:t xml:space="preserve"> </w:t>
      </w:r>
      <w:r w:rsidR="002A3C66">
        <w:rPr>
          <w:rFonts w:ascii="Times New Roman" w:hAnsi="Times New Roman"/>
          <w:sz w:val="24"/>
          <w:szCs w:val="24"/>
        </w:rPr>
        <w:t xml:space="preserve">(GC) </w:t>
      </w:r>
      <w:r w:rsidRPr="003541CB">
        <w:rPr>
          <w:rFonts w:ascii="Times New Roman" w:hAnsi="Times New Roman"/>
          <w:sz w:val="24"/>
          <w:szCs w:val="24"/>
        </w:rPr>
        <w:t xml:space="preserve">en: (i) la revisión, adecuación y reglamentación del marco fiscal derivado del mandato de la LMAD, incluyendo la aprobación por parte del órgano ejecutivo de los proyectos de Ley de Endeudamiento Público, Tesorería, y Clasificación de Impuestos, los cuales incluirán a las autonomías territoriales; y (ii) el apoyo a la implementación de acciones tendientes a mejorar los mecanismos de coordinación entre el GC y los gobiernos subnacionales. Las actividades de este programa se enfocan en las áreas de </w:t>
      </w:r>
      <w:r w:rsidR="000E4298" w:rsidRPr="003541CB">
        <w:rPr>
          <w:rFonts w:ascii="Times New Roman" w:hAnsi="Times New Roman"/>
          <w:sz w:val="24"/>
          <w:szCs w:val="24"/>
        </w:rPr>
        <w:t>administración financiera</w:t>
      </w:r>
      <w:r w:rsidRPr="003541CB">
        <w:rPr>
          <w:rFonts w:ascii="Times New Roman" w:hAnsi="Times New Roman"/>
          <w:sz w:val="24"/>
          <w:szCs w:val="24"/>
        </w:rPr>
        <w:t xml:space="preserve"> y </w:t>
      </w:r>
      <w:r w:rsidR="002A3C66">
        <w:rPr>
          <w:rFonts w:ascii="Times New Roman" w:hAnsi="Times New Roman"/>
          <w:sz w:val="24"/>
          <w:szCs w:val="24"/>
        </w:rPr>
        <w:t xml:space="preserve">gestión de </w:t>
      </w:r>
      <w:r w:rsidRPr="003541CB">
        <w:rPr>
          <w:rFonts w:ascii="Times New Roman" w:hAnsi="Times New Roman"/>
          <w:sz w:val="24"/>
          <w:szCs w:val="24"/>
        </w:rPr>
        <w:t>deuda pública para todas las autonomías de los distintos niveles de gobierno definidos en la CPE.</w:t>
      </w:r>
    </w:p>
    <w:p w:rsidR="000E4298" w:rsidRPr="003541CB" w:rsidRDefault="000E4298" w:rsidP="003541CB">
      <w:pPr>
        <w:spacing w:before="120" w:after="120"/>
        <w:jc w:val="both"/>
        <w:rPr>
          <w:rFonts w:ascii="Times New Roman" w:hAnsi="Times New Roman"/>
          <w:sz w:val="24"/>
          <w:szCs w:val="24"/>
        </w:rPr>
      </w:pPr>
      <w:r w:rsidRPr="003541CB">
        <w:rPr>
          <w:rFonts w:ascii="Times New Roman" w:hAnsi="Times New Roman"/>
          <w:sz w:val="24"/>
          <w:szCs w:val="24"/>
        </w:rPr>
        <w:t xml:space="preserve">El Proyecto de Ley de Endeudamiento Púbico tiene por objeto regular los principios, procesos y procedimientos de crédito público en los diferentes niveles de gobierno, para satisfacer las necesidades financieras del estado y sus obligaciones de pago al menor costo posible, en las condiciones más ventajosas, y preservando la sostenibilidad de las finanzas públicas. El apoyo del Banco se centra en el cumplimiento de los principios de: (i) eficiencia y prudencia, para que la contratación de deuda cubra los requerimientos de financiamiento del sector público a los más bajos costos posibles, sujeto a un grado de riesgo prudente y en concordancia con la capacidad </w:t>
      </w:r>
      <w:r w:rsidRPr="003541CB">
        <w:rPr>
          <w:rFonts w:ascii="Times New Roman" w:hAnsi="Times New Roman"/>
          <w:sz w:val="24"/>
          <w:szCs w:val="24"/>
        </w:rPr>
        <w:lastRenderedPageBreak/>
        <w:t xml:space="preserve">de pago de la entidad que contrae la deuda; (ii) sostenibilidad fiscal, para que la contratación de deuda pública no amenace la estabilidad de la economía en su conjunto ni la equidad inter-generacional; (iii) transparencia y credibilidad, para que el proceso de endeudamiento público se lleve a cabo mediante mecanismos transparentes y previsibles previstos por ley; y (iv) centralización normativa y descentralización operativa, para que el endeudamiento público se sujete a una normativa única para todo el sector público consolidado, pero donde cada jurisdicción realice la gestión de su deuda de manera descentralizada. </w:t>
      </w:r>
    </w:p>
    <w:p w:rsidR="00E47F62" w:rsidRPr="003541CB" w:rsidRDefault="00E47F62" w:rsidP="003541CB">
      <w:pPr>
        <w:spacing w:before="120" w:after="120"/>
        <w:jc w:val="both"/>
        <w:rPr>
          <w:rFonts w:ascii="Times New Roman" w:hAnsi="Times New Roman"/>
          <w:sz w:val="24"/>
          <w:szCs w:val="24"/>
        </w:rPr>
      </w:pPr>
      <w:r w:rsidRPr="003541CB">
        <w:rPr>
          <w:rFonts w:ascii="Times New Roman" w:hAnsi="Times New Roman"/>
          <w:sz w:val="24"/>
          <w:szCs w:val="24"/>
        </w:rPr>
        <w:t>El P</w:t>
      </w:r>
      <w:r w:rsidR="000E4298" w:rsidRPr="003541CB">
        <w:rPr>
          <w:rFonts w:ascii="Times New Roman" w:hAnsi="Times New Roman"/>
          <w:sz w:val="24"/>
          <w:szCs w:val="24"/>
        </w:rPr>
        <w:t xml:space="preserve">royeco de </w:t>
      </w:r>
      <w:r w:rsidRPr="003541CB">
        <w:rPr>
          <w:rFonts w:ascii="Times New Roman" w:hAnsi="Times New Roman"/>
          <w:sz w:val="24"/>
          <w:szCs w:val="24"/>
        </w:rPr>
        <w:t>L</w:t>
      </w:r>
      <w:r w:rsidR="000E4298" w:rsidRPr="003541CB">
        <w:rPr>
          <w:rFonts w:ascii="Times New Roman" w:hAnsi="Times New Roman"/>
          <w:sz w:val="24"/>
          <w:szCs w:val="24"/>
        </w:rPr>
        <w:t xml:space="preserve">ey de </w:t>
      </w:r>
      <w:r w:rsidRPr="003541CB">
        <w:rPr>
          <w:rFonts w:ascii="Times New Roman" w:hAnsi="Times New Roman"/>
          <w:sz w:val="24"/>
          <w:szCs w:val="24"/>
        </w:rPr>
        <w:t>T</w:t>
      </w:r>
      <w:r w:rsidR="000E4298" w:rsidRPr="003541CB">
        <w:rPr>
          <w:rFonts w:ascii="Times New Roman" w:hAnsi="Times New Roman"/>
          <w:sz w:val="24"/>
          <w:szCs w:val="24"/>
        </w:rPr>
        <w:t>esoreria</w:t>
      </w:r>
      <w:r w:rsidRPr="003541CB">
        <w:rPr>
          <w:rFonts w:ascii="Times New Roman" w:hAnsi="Times New Roman"/>
          <w:sz w:val="24"/>
          <w:szCs w:val="24"/>
        </w:rPr>
        <w:t xml:space="preserve"> tiene por objeto establecer principios, procesos y funciones del TGN, así como de las tesorerías de los gobiernos subnacionales. Con el objetivo de lograr la mayor eficiencia, rentabilidad y seguridad en la administración de los fondos públicos, el apoyo del Banco se concentra en el cumplimiento de los principios de: (i) eficiencia, para lograr una gestión que vele por la obtención de ingresos y financiamiento, programando oportunamente los compromisos, obligaciones y pagos para ejecutar el presupuesto de gastos al menor costo; (ii) sostenibilidad fiscal, para que las entidades públicas elaboren y administren sus presupuestos en un marco del equilibrio fiscal; (iii) unicidad de caja, para la consolidación de una cuenta única donde se acrediten todos los ingresos públicos, independientemente de su concepto u origen y contra la cual se debiten todos los pagos que corresponda realizar por las obligaciones legalmente asumidas por las instituciones comprendidas en el ámbito de la competencia del MEFP; (iv) prudencia, en la gestión de las tesorerías para asegurar la obtención de retornos minimizando riesgos; (v) oportunidad, en la ejecución de los procedimientos relacionados a la tesorería; (vi) generación de información veraz, oportuna, y confiable; y (vii) transparencia, en el acceso a la información de los recursos y gastos del estado. </w:t>
      </w:r>
    </w:p>
    <w:p w:rsidR="00AD17A3" w:rsidRPr="003541CB" w:rsidRDefault="00AD17A3" w:rsidP="003541CB">
      <w:pPr>
        <w:spacing w:before="120" w:after="120"/>
        <w:jc w:val="both"/>
        <w:rPr>
          <w:rFonts w:ascii="Times New Roman" w:hAnsi="Times New Roman"/>
          <w:sz w:val="24"/>
          <w:szCs w:val="24"/>
        </w:rPr>
      </w:pPr>
      <w:r w:rsidRPr="003541CB">
        <w:rPr>
          <w:rFonts w:ascii="Times New Roman" w:hAnsi="Times New Roman"/>
          <w:sz w:val="24"/>
          <w:szCs w:val="24"/>
        </w:rPr>
        <w:t xml:space="preserve">La implementación de </w:t>
      </w:r>
      <w:r w:rsidR="006A089F" w:rsidRPr="003541CB">
        <w:rPr>
          <w:rFonts w:ascii="Times New Roman" w:hAnsi="Times New Roman"/>
          <w:sz w:val="24"/>
          <w:szCs w:val="24"/>
        </w:rPr>
        <w:t xml:space="preserve">esta segunda fase </w:t>
      </w:r>
      <w:r w:rsidRPr="003541CB">
        <w:rPr>
          <w:rFonts w:ascii="Times New Roman" w:hAnsi="Times New Roman"/>
          <w:sz w:val="24"/>
          <w:szCs w:val="24"/>
        </w:rPr>
        <w:t>del Programa de Apoyo a la Política Fiscal y su Descentralización tendrá importantes beneficios en términos de eficiencia, eficacia y economías en la gestión de los recursos públicos. En particular, la formulación e implementación del nuevo Sistema Nacional de Tesorería y Crédito Público permitirá mejorar el desempeño de la gestión de las finanzas públicas en todos los niveles de gobierno y con ello contribuir a la estabilidad macroeconómica y al crecimiento económico.</w:t>
      </w:r>
    </w:p>
    <w:p w:rsidR="00FD304D" w:rsidRPr="003541CB" w:rsidRDefault="00AD17A3" w:rsidP="003541CB">
      <w:pPr>
        <w:spacing w:before="120" w:after="120"/>
        <w:jc w:val="both"/>
        <w:rPr>
          <w:rFonts w:ascii="Times New Roman" w:hAnsi="Times New Roman"/>
          <w:sz w:val="24"/>
          <w:szCs w:val="24"/>
        </w:rPr>
      </w:pPr>
      <w:r w:rsidRPr="003541CB">
        <w:rPr>
          <w:rFonts w:ascii="Times New Roman" w:hAnsi="Times New Roman"/>
          <w:sz w:val="24"/>
          <w:szCs w:val="24"/>
        </w:rPr>
        <w:t xml:space="preserve">En general la evaluación económica de los proyectos de reforma y modernización del Estado presentan un enorme desafío metodológico en virtud de la multiplicidad de beneficios e impactos simultáneos que estos generan. </w:t>
      </w:r>
    </w:p>
    <w:p w:rsidR="00AD17A3" w:rsidRDefault="00AD17A3" w:rsidP="003541CB">
      <w:pPr>
        <w:spacing w:before="120" w:after="120"/>
        <w:jc w:val="both"/>
        <w:rPr>
          <w:rFonts w:ascii="Times New Roman" w:hAnsi="Times New Roman"/>
          <w:sz w:val="24"/>
          <w:szCs w:val="24"/>
        </w:rPr>
      </w:pPr>
      <w:r w:rsidRPr="003541CB">
        <w:rPr>
          <w:rFonts w:ascii="Times New Roman" w:hAnsi="Times New Roman"/>
          <w:sz w:val="24"/>
          <w:szCs w:val="24"/>
        </w:rPr>
        <w:t>En materia de tesorería, la implementación de la Cuenta Única de Tesorería, permitirá mediante un manejo centralizado y ordenado de los fondos públicos</w:t>
      </w:r>
      <w:r w:rsidR="00BF2BD0">
        <w:rPr>
          <w:rFonts w:ascii="Times New Roman" w:hAnsi="Times New Roman"/>
          <w:sz w:val="24"/>
          <w:szCs w:val="24"/>
        </w:rPr>
        <w:t xml:space="preserve"> (optimización del manejo de caja)</w:t>
      </w:r>
      <w:r w:rsidRPr="003541CB">
        <w:rPr>
          <w:rFonts w:ascii="Times New Roman" w:hAnsi="Times New Roman"/>
          <w:sz w:val="24"/>
          <w:szCs w:val="24"/>
        </w:rPr>
        <w:t>, generar excedentes financieros transitorios que podrán ser capitalizados mediante colocaciones de corto plazo</w:t>
      </w:r>
      <w:r w:rsidR="00BF2BD0">
        <w:rPr>
          <w:rFonts w:ascii="Times New Roman" w:hAnsi="Times New Roman"/>
          <w:sz w:val="24"/>
          <w:szCs w:val="24"/>
        </w:rPr>
        <w:t xml:space="preserve"> y reducir el número y monto de las operaciones de financiamiento de mercado abierto efectuadas conjuntamente por el Banco Central de Bolivia y el Ministerio de Economía y Finanzas Publicas</w:t>
      </w:r>
      <w:r w:rsidRPr="003541CB">
        <w:rPr>
          <w:rFonts w:ascii="Times New Roman" w:hAnsi="Times New Roman"/>
          <w:sz w:val="24"/>
          <w:szCs w:val="24"/>
        </w:rPr>
        <w:t xml:space="preserve">. Los saldos de caja del Sector Público No Financiero serán consolidados diariamente, lo que redundará en una gestión financiera mucho más eficiente. El Tesoro General de la Nación, registró en los últimos años importantes excedentes financieros que no han podido </w:t>
      </w:r>
      <w:r w:rsidRPr="003541CB">
        <w:rPr>
          <w:rFonts w:ascii="Times New Roman" w:hAnsi="Times New Roman"/>
          <w:sz w:val="24"/>
          <w:szCs w:val="24"/>
        </w:rPr>
        <w:lastRenderedPageBreak/>
        <w:t>ser utilizados eficientemente por no disponer de una cuenta unificada de tesorería. La reducción de cuentas fiscales inactivas con recursos ociosos, que tienden a deformar el manejo de caja y generan costos administrativos al país constituye otro beneficio del proyecto.</w:t>
      </w:r>
    </w:p>
    <w:p w:rsidR="00AD17A3" w:rsidRPr="003541CB" w:rsidRDefault="00AD17A3" w:rsidP="003541CB">
      <w:pPr>
        <w:spacing w:before="120" w:after="120"/>
        <w:jc w:val="both"/>
        <w:rPr>
          <w:rFonts w:ascii="Times New Roman" w:hAnsi="Times New Roman"/>
          <w:sz w:val="24"/>
          <w:szCs w:val="24"/>
        </w:rPr>
      </w:pPr>
      <w:r w:rsidRPr="003541CB">
        <w:rPr>
          <w:rFonts w:ascii="Times New Roman" w:hAnsi="Times New Roman"/>
          <w:sz w:val="24"/>
          <w:szCs w:val="24"/>
        </w:rPr>
        <w:t xml:space="preserve">En relación al endeudamiento, con la implementación del nuevo Sistema de Crédito Público, el Ministerio de Economía y Finanzas Públicas, que actuará como Órgano Rector del sistema, recuperará el control de las autorizaciones de inicio de gestión de </w:t>
      </w:r>
      <w:r w:rsidR="006B3B79" w:rsidRPr="003541CB">
        <w:rPr>
          <w:rFonts w:ascii="Times New Roman" w:hAnsi="Times New Roman"/>
          <w:sz w:val="24"/>
          <w:szCs w:val="24"/>
        </w:rPr>
        <w:t>O</w:t>
      </w:r>
      <w:r w:rsidRPr="003541CB">
        <w:rPr>
          <w:rFonts w:ascii="Times New Roman" w:hAnsi="Times New Roman"/>
          <w:sz w:val="24"/>
          <w:szCs w:val="24"/>
        </w:rPr>
        <w:t xml:space="preserve">peraciones de </w:t>
      </w:r>
      <w:r w:rsidR="006B3B79" w:rsidRPr="003541CB">
        <w:rPr>
          <w:rFonts w:ascii="Times New Roman" w:hAnsi="Times New Roman"/>
          <w:sz w:val="24"/>
          <w:szCs w:val="24"/>
        </w:rPr>
        <w:t>C</w:t>
      </w:r>
      <w:r w:rsidRPr="003541CB">
        <w:rPr>
          <w:rFonts w:ascii="Times New Roman" w:hAnsi="Times New Roman"/>
          <w:sz w:val="24"/>
          <w:szCs w:val="24"/>
        </w:rPr>
        <w:t xml:space="preserve">rédito </w:t>
      </w:r>
      <w:r w:rsidR="006B3B79" w:rsidRPr="003541CB">
        <w:rPr>
          <w:rFonts w:ascii="Times New Roman" w:hAnsi="Times New Roman"/>
          <w:sz w:val="24"/>
          <w:szCs w:val="24"/>
        </w:rPr>
        <w:t>P</w:t>
      </w:r>
      <w:r w:rsidRPr="003541CB">
        <w:rPr>
          <w:rFonts w:ascii="Times New Roman" w:hAnsi="Times New Roman"/>
          <w:sz w:val="24"/>
          <w:szCs w:val="24"/>
        </w:rPr>
        <w:t xml:space="preserve">úblico para todos los niveles de gobierno. Esto redundará en un uso más eficiente del financiamiento interno y externo, y una mejora </w:t>
      </w:r>
      <w:r w:rsidR="006B3B79" w:rsidRPr="003541CB">
        <w:rPr>
          <w:rFonts w:ascii="Times New Roman" w:hAnsi="Times New Roman"/>
          <w:sz w:val="24"/>
          <w:szCs w:val="24"/>
        </w:rPr>
        <w:t xml:space="preserve">general </w:t>
      </w:r>
      <w:r w:rsidRPr="003541CB">
        <w:rPr>
          <w:rFonts w:ascii="Times New Roman" w:hAnsi="Times New Roman"/>
          <w:sz w:val="24"/>
          <w:szCs w:val="24"/>
        </w:rPr>
        <w:t xml:space="preserve">en los términos y condiciones de las operaciones de crédito público. </w:t>
      </w:r>
      <w:r w:rsidR="00BF2BD0">
        <w:rPr>
          <w:rFonts w:ascii="Times New Roman" w:hAnsi="Times New Roman"/>
          <w:sz w:val="24"/>
          <w:szCs w:val="24"/>
        </w:rPr>
        <w:t xml:space="preserve">Mediante el proyecto se espera poder alcanzar una reduccion en el costo de financiamiento en el mercado interno. </w:t>
      </w:r>
      <w:r w:rsidRPr="003541CB">
        <w:rPr>
          <w:rFonts w:ascii="Times New Roman" w:hAnsi="Times New Roman"/>
          <w:sz w:val="24"/>
          <w:szCs w:val="24"/>
        </w:rPr>
        <w:t>El nuevo marco institucional para el endeudamiento público permitirá</w:t>
      </w:r>
      <w:r w:rsidR="006B3B79" w:rsidRPr="003541CB">
        <w:rPr>
          <w:rFonts w:ascii="Times New Roman" w:hAnsi="Times New Roman"/>
          <w:sz w:val="24"/>
          <w:szCs w:val="24"/>
        </w:rPr>
        <w:t>, además,</w:t>
      </w:r>
      <w:r w:rsidRPr="003541CB">
        <w:rPr>
          <w:rFonts w:ascii="Times New Roman" w:hAnsi="Times New Roman"/>
          <w:sz w:val="24"/>
          <w:szCs w:val="24"/>
        </w:rPr>
        <w:t xml:space="preserve"> ampliar las fuentes de crédito a través de la realización de emisiones soberanas en mercados internacionales</w:t>
      </w:r>
      <w:r w:rsidR="002A3C66">
        <w:rPr>
          <w:rFonts w:ascii="Times New Roman" w:hAnsi="Times New Roman"/>
          <w:sz w:val="24"/>
          <w:szCs w:val="24"/>
        </w:rPr>
        <w:t xml:space="preserve"> de capitales </w:t>
      </w:r>
      <w:r w:rsidRPr="003541CB">
        <w:rPr>
          <w:rFonts w:ascii="Times New Roman" w:hAnsi="Times New Roman"/>
          <w:sz w:val="24"/>
          <w:szCs w:val="24"/>
        </w:rPr>
        <w:t xml:space="preserve">para emprender proyectos de inversión de gran envergadura que el mercado interno no </w:t>
      </w:r>
      <w:r w:rsidR="002A3C66">
        <w:rPr>
          <w:rFonts w:ascii="Times New Roman" w:hAnsi="Times New Roman"/>
          <w:sz w:val="24"/>
          <w:szCs w:val="24"/>
        </w:rPr>
        <w:t>puede cubrir</w:t>
      </w:r>
      <w:r w:rsidRPr="003541CB">
        <w:rPr>
          <w:rFonts w:ascii="Times New Roman" w:hAnsi="Times New Roman"/>
          <w:sz w:val="24"/>
          <w:szCs w:val="24"/>
        </w:rPr>
        <w:t xml:space="preserve">. Además, la posibilidad de obtener financiamiento externo traerá consigo una disminución en las tasas de interés </w:t>
      </w:r>
      <w:r w:rsidR="002A3C66">
        <w:rPr>
          <w:rFonts w:ascii="Times New Roman" w:hAnsi="Times New Roman"/>
          <w:sz w:val="24"/>
          <w:szCs w:val="24"/>
        </w:rPr>
        <w:t>que enfrentan las empresas privadas nacionales</w:t>
      </w:r>
      <w:r w:rsidR="00B50539">
        <w:rPr>
          <w:rFonts w:ascii="Times New Roman" w:hAnsi="Times New Roman"/>
          <w:sz w:val="24"/>
          <w:szCs w:val="24"/>
        </w:rPr>
        <w:t>.</w:t>
      </w:r>
    </w:p>
    <w:p w:rsidR="00AD17A3" w:rsidRPr="003541CB" w:rsidRDefault="00AD17A3" w:rsidP="003541CB">
      <w:pPr>
        <w:spacing w:before="120" w:after="120"/>
        <w:jc w:val="both"/>
        <w:rPr>
          <w:rFonts w:ascii="Times New Roman" w:hAnsi="Times New Roman"/>
          <w:sz w:val="24"/>
          <w:szCs w:val="24"/>
        </w:rPr>
      </w:pPr>
      <w:r w:rsidRPr="003541CB">
        <w:rPr>
          <w:rFonts w:ascii="Times New Roman" w:hAnsi="Times New Roman"/>
          <w:sz w:val="24"/>
          <w:szCs w:val="24"/>
        </w:rPr>
        <w:t xml:space="preserve">En el ámbito territorial, el Sistema Nacional de Tesorería y Crédito Público establece un nuevo ciclo </w:t>
      </w:r>
      <w:r w:rsidR="006B3B79" w:rsidRPr="003541CB">
        <w:rPr>
          <w:rFonts w:ascii="Times New Roman" w:hAnsi="Times New Roman"/>
          <w:sz w:val="24"/>
          <w:szCs w:val="24"/>
        </w:rPr>
        <w:t>para el endeudamiento público subnacional</w:t>
      </w:r>
      <w:r w:rsidRPr="003541CB">
        <w:rPr>
          <w:rFonts w:ascii="Times New Roman" w:hAnsi="Times New Roman"/>
          <w:sz w:val="24"/>
          <w:szCs w:val="24"/>
        </w:rPr>
        <w:t xml:space="preserve">. Se establecen nuevas reglas de responsabilidad fiscal con el propósito de garantizar la sustentabilidad de la deuda de las entidades territoriales. Con estos nuevos procedimientos y reglas fiscales se intentará mitigar los </w:t>
      </w:r>
      <w:r w:rsidR="006B3B79" w:rsidRPr="003541CB">
        <w:rPr>
          <w:rFonts w:ascii="Times New Roman" w:hAnsi="Times New Roman"/>
          <w:sz w:val="24"/>
          <w:szCs w:val="24"/>
        </w:rPr>
        <w:t xml:space="preserve">problems de liquidez y </w:t>
      </w:r>
      <w:r w:rsidRPr="003541CB">
        <w:rPr>
          <w:rFonts w:ascii="Times New Roman" w:hAnsi="Times New Roman"/>
          <w:sz w:val="24"/>
          <w:szCs w:val="24"/>
        </w:rPr>
        <w:t>riesgos de insolvencia que atravesaron algunos municipios en el pasado y la necesidad de rescate por parte del nivel central de gobierno.</w:t>
      </w:r>
    </w:p>
    <w:p w:rsidR="00CA37D5" w:rsidRPr="003541CB" w:rsidRDefault="00FD304D" w:rsidP="003541CB">
      <w:pPr>
        <w:spacing w:before="120" w:after="120"/>
        <w:jc w:val="both"/>
        <w:rPr>
          <w:rFonts w:ascii="Times New Roman" w:hAnsi="Times New Roman"/>
          <w:sz w:val="24"/>
          <w:szCs w:val="24"/>
        </w:rPr>
      </w:pPr>
      <w:r w:rsidRPr="003541CB">
        <w:rPr>
          <w:rFonts w:ascii="Times New Roman" w:hAnsi="Times New Roman"/>
          <w:sz w:val="24"/>
          <w:szCs w:val="24"/>
        </w:rPr>
        <w:t>No obstante, es posible identificar algunos beneficios tangibles y cuantificables considerado ciertos supuestos básicos.</w:t>
      </w:r>
      <w:r w:rsidR="00CA37D5" w:rsidRPr="003541CB">
        <w:rPr>
          <w:rFonts w:ascii="Times New Roman" w:hAnsi="Times New Roman"/>
          <w:sz w:val="24"/>
          <w:szCs w:val="24"/>
        </w:rPr>
        <w:t xml:space="preserve"> El análisis costo </w:t>
      </w:r>
      <w:r w:rsidRPr="003541CB">
        <w:rPr>
          <w:rFonts w:ascii="Times New Roman" w:hAnsi="Times New Roman"/>
          <w:sz w:val="24"/>
          <w:szCs w:val="24"/>
        </w:rPr>
        <w:t>beneficio</w:t>
      </w:r>
      <w:r w:rsidR="00CA37D5" w:rsidRPr="003541CB">
        <w:rPr>
          <w:rFonts w:ascii="Times New Roman" w:hAnsi="Times New Roman"/>
          <w:sz w:val="24"/>
          <w:szCs w:val="24"/>
        </w:rPr>
        <w:t xml:space="preserve"> de estas intervenciones se puede enfocar desde un punto de vista más económico que financiero, aunque también se puede hacer un cálculo parcial de beneficios financieros para generar una TIR y un VPN del programa.</w:t>
      </w:r>
    </w:p>
    <w:p w:rsidR="00CA37D5" w:rsidRPr="003541CB" w:rsidRDefault="00FD304D" w:rsidP="003541CB">
      <w:pPr>
        <w:spacing w:before="120" w:after="120"/>
        <w:jc w:val="both"/>
        <w:rPr>
          <w:rFonts w:ascii="Times New Roman" w:hAnsi="Times New Roman"/>
          <w:sz w:val="24"/>
          <w:szCs w:val="24"/>
        </w:rPr>
      </w:pPr>
      <w:r w:rsidRPr="003541CB">
        <w:rPr>
          <w:rFonts w:ascii="Times New Roman" w:hAnsi="Times New Roman"/>
          <w:sz w:val="24"/>
          <w:szCs w:val="24"/>
        </w:rPr>
        <w:t xml:space="preserve">Es importante indicar que el </w:t>
      </w:r>
      <w:r w:rsidR="00CA37D5" w:rsidRPr="003541CB">
        <w:rPr>
          <w:rFonts w:ascii="Times New Roman" w:hAnsi="Times New Roman"/>
          <w:sz w:val="24"/>
          <w:szCs w:val="24"/>
        </w:rPr>
        <w:t xml:space="preserve">análisis económico </w:t>
      </w:r>
      <w:r w:rsidRPr="003541CB">
        <w:rPr>
          <w:rFonts w:ascii="Times New Roman" w:hAnsi="Times New Roman"/>
          <w:sz w:val="24"/>
          <w:szCs w:val="24"/>
        </w:rPr>
        <w:t xml:space="preserve">propuesto </w:t>
      </w:r>
      <w:r w:rsidR="00CA37D5" w:rsidRPr="003541CB">
        <w:rPr>
          <w:rFonts w:ascii="Times New Roman" w:hAnsi="Times New Roman"/>
          <w:sz w:val="24"/>
          <w:szCs w:val="24"/>
        </w:rPr>
        <w:t xml:space="preserve">no considera los efectos de mayor recaudación de impuestos debido a un mayor nivel de inversión privada por </w:t>
      </w:r>
      <w:r w:rsidR="00F277B9" w:rsidRPr="003541CB">
        <w:rPr>
          <w:rFonts w:ascii="Times New Roman" w:hAnsi="Times New Roman"/>
          <w:sz w:val="24"/>
          <w:szCs w:val="24"/>
        </w:rPr>
        <w:t xml:space="preserve">una reduccion del riesgo país, mayor </w:t>
      </w:r>
      <w:r w:rsidR="00CA37D5" w:rsidRPr="003541CB">
        <w:rPr>
          <w:rFonts w:ascii="Times New Roman" w:hAnsi="Times New Roman"/>
          <w:sz w:val="24"/>
          <w:szCs w:val="24"/>
        </w:rPr>
        <w:t xml:space="preserve">confianza, menor vulnerabilidad fiscal y la credibilidad que generaría un manejo eficiente y programado </w:t>
      </w:r>
      <w:r w:rsidR="00F277B9" w:rsidRPr="003541CB">
        <w:rPr>
          <w:rFonts w:ascii="Times New Roman" w:hAnsi="Times New Roman"/>
          <w:sz w:val="24"/>
          <w:szCs w:val="24"/>
        </w:rPr>
        <w:t>de los fondos publicos.</w:t>
      </w:r>
      <w:r w:rsidR="00CA37D5" w:rsidRPr="003541CB">
        <w:rPr>
          <w:rFonts w:ascii="Times New Roman" w:hAnsi="Times New Roman"/>
          <w:sz w:val="24"/>
          <w:szCs w:val="24"/>
        </w:rPr>
        <w:t xml:space="preserve"> Así mismo no considera el beneficio intangible que representa poder ejecutar un nivel sostenido de inversión pública con calidad, transparencia y rapidez, debido a una adecuada y oportuna asignación de recursos y su orientación a objetivos y metas explícitas, para aumentar el crecimiento en sectores estratégicamente prioritarios.</w:t>
      </w:r>
    </w:p>
    <w:p w:rsidR="00CA37D5" w:rsidRPr="003541CB" w:rsidRDefault="00CA37D5" w:rsidP="003541CB">
      <w:pPr>
        <w:spacing w:before="120" w:after="120"/>
        <w:jc w:val="both"/>
        <w:rPr>
          <w:rFonts w:ascii="Times New Roman" w:hAnsi="Times New Roman"/>
          <w:sz w:val="24"/>
          <w:szCs w:val="24"/>
        </w:rPr>
      </w:pPr>
      <w:r w:rsidRPr="003541CB">
        <w:rPr>
          <w:rFonts w:ascii="Times New Roman" w:hAnsi="Times New Roman"/>
          <w:sz w:val="24"/>
          <w:szCs w:val="24"/>
        </w:rPr>
        <w:t xml:space="preserve">Otro beneficio indirecto (cuyos efectos se pueden solo medir a largo plazo) </w:t>
      </w:r>
      <w:r w:rsidR="006901C2">
        <w:rPr>
          <w:rFonts w:ascii="Times New Roman" w:hAnsi="Times New Roman"/>
          <w:sz w:val="24"/>
          <w:szCs w:val="24"/>
        </w:rPr>
        <w:t xml:space="preserve">sería </w:t>
      </w:r>
      <w:r w:rsidRPr="003541CB">
        <w:rPr>
          <w:rFonts w:ascii="Times New Roman" w:hAnsi="Times New Roman"/>
          <w:sz w:val="24"/>
          <w:szCs w:val="24"/>
        </w:rPr>
        <w:t>la posibilidad de financiar sostenidamente un alto nivel de inversión social en sectores que reducen la pobreza y aumentan el capital humano.</w:t>
      </w:r>
    </w:p>
    <w:p w:rsidR="00CA37D5" w:rsidRPr="003541CB" w:rsidRDefault="00CA37D5" w:rsidP="003541CB">
      <w:pPr>
        <w:spacing w:before="120" w:after="120"/>
        <w:jc w:val="both"/>
        <w:rPr>
          <w:rFonts w:ascii="Times New Roman" w:hAnsi="Times New Roman"/>
          <w:sz w:val="24"/>
          <w:szCs w:val="24"/>
        </w:rPr>
      </w:pPr>
      <w:r w:rsidRPr="003541CB">
        <w:rPr>
          <w:rFonts w:ascii="Times New Roman" w:hAnsi="Times New Roman"/>
          <w:sz w:val="24"/>
          <w:szCs w:val="24"/>
        </w:rPr>
        <w:t xml:space="preserve">Por todos los elementos anteriores, se considera que el programa traerá consigo efectos económicos positivos para </w:t>
      </w:r>
      <w:r w:rsidR="00F277B9" w:rsidRPr="003541CB">
        <w:rPr>
          <w:rFonts w:ascii="Times New Roman" w:hAnsi="Times New Roman"/>
          <w:sz w:val="24"/>
          <w:szCs w:val="24"/>
        </w:rPr>
        <w:t>Bolivia</w:t>
      </w:r>
      <w:r w:rsidRPr="003541CB">
        <w:rPr>
          <w:rFonts w:ascii="Times New Roman" w:hAnsi="Times New Roman"/>
          <w:sz w:val="24"/>
          <w:szCs w:val="24"/>
        </w:rPr>
        <w:t>.</w:t>
      </w:r>
    </w:p>
    <w:p w:rsidR="00CA37D5" w:rsidRPr="005C5B91" w:rsidRDefault="00CA37D5" w:rsidP="00C26DB5">
      <w:pPr>
        <w:pStyle w:val="ListParagraph"/>
        <w:spacing w:before="120" w:after="120"/>
        <w:ind w:left="0"/>
        <w:contextualSpacing w:val="0"/>
        <w:jc w:val="both"/>
        <w:rPr>
          <w:rFonts w:ascii="Times New Roman Bold" w:hAnsi="Times New Roman Bold"/>
          <w:b/>
          <w:smallCaps/>
          <w:sz w:val="24"/>
          <w:szCs w:val="24"/>
        </w:rPr>
      </w:pPr>
      <w:r>
        <w:rPr>
          <w:rFonts w:ascii="Times New Roman" w:hAnsi="Times New Roman"/>
          <w:b/>
          <w:sz w:val="24"/>
          <w:szCs w:val="24"/>
        </w:rPr>
        <w:lastRenderedPageBreak/>
        <w:t>B.</w:t>
      </w:r>
      <w:r>
        <w:rPr>
          <w:rFonts w:ascii="Times New Roman" w:hAnsi="Times New Roman"/>
          <w:b/>
          <w:sz w:val="24"/>
          <w:szCs w:val="24"/>
        </w:rPr>
        <w:tab/>
      </w:r>
      <w:r w:rsidRPr="005C5B91">
        <w:rPr>
          <w:rFonts w:ascii="Times New Roman Bold" w:hAnsi="Times New Roman Bold"/>
          <w:b/>
          <w:smallCaps/>
          <w:sz w:val="24"/>
          <w:szCs w:val="24"/>
        </w:rPr>
        <w:t xml:space="preserve">Análisis Financiero de Costo </w:t>
      </w:r>
      <w:r w:rsidR="00F277B9">
        <w:rPr>
          <w:rFonts w:ascii="Times New Roman Bold" w:hAnsi="Times New Roman Bold"/>
          <w:b/>
          <w:smallCaps/>
          <w:sz w:val="24"/>
          <w:szCs w:val="24"/>
        </w:rPr>
        <w:t>Beneficio</w:t>
      </w:r>
    </w:p>
    <w:p w:rsidR="00F277B9" w:rsidRPr="003541CB" w:rsidRDefault="00CA37D5" w:rsidP="003541CB">
      <w:pPr>
        <w:spacing w:before="120" w:after="120"/>
        <w:jc w:val="both"/>
        <w:rPr>
          <w:rFonts w:ascii="Times New Roman" w:hAnsi="Times New Roman"/>
          <w:sz w:val="24"/>
          <w:szCs w:val="24"/>
        </w:rPr>
      </w:pPr>
      <w:r w:rsidRPr="003541CB">
        <w:rPr>
          <w:rFonts w:ascii="Times New Roman" w:hAnsi="Times New Roman"/>
          <w:sz w:val="24"/>
          <w:szCs w:val="24"/>
        </w:rPr>
        <w:t xml:space="preserve">Para la estimación y cálculo de los beneficios financieros fueron seleccionados solamente </w:t>
      </w:r>
      <w:r w:rsidR="006901C2">
        <w:rPr>
          <w:rFonts w:ascii="Times New Roman" w:hAnsi="Times New Roman"/>
          <w:sz w:val="24"/>
          <w:szCs w:val="24"/>
        </w:rPr>
        <w:t>tres</w:t>
      </w:r>
      <w:r w:rsidRPr="003541CB">
        <w:rPr>
          <w:rFonts w:ascii="Times New Roman" w:hAnsi="Times New Roman"/>
          <w:sz w:val="24"/>
          <w:szCs w:val="24"/>
        </w:rPr>
        <w:t xml:space="preserve"> resultados principales esperados del proyecto: </w:t>
      </w:r>
      <w:r w:rsidR="00FD304D" w:rsidRPr="003541CB">
        <w:rPr>
          <w:rFonts w:ascii="Times New Roman" w:hAnsi="Times New Roman"/>
          <w:sz w:val="24"/>
          <w:szCs w:val="24"/>
        </w:rPr>
        <w:t xml:space="preserve">(i) reducción en la tasa de interes que paga el TGN por la emision de letras de tesorería; ii) acceso a los mercados de capitales en condiciones mas ventajosas; y (iii) aumento de los intereses recibidos sobre los saldos de los recursos financieros </w:t>
      </w:r>
      <w:r w:rsidR="006901C2">
        <w:rPr>
          <w:rFonts w:ascii="Times New Roman" w:hAnsi="Times New Roman"/>
          <w:sz w:val="24"/>
          <w:szCs w:val="24"/>
        </w:rPr>
        <w:t xml:space="preserve">excedentes </w:t>
      </w:r>
      <w:r w:rsidR="00FD304D" w:rsidRPr="003541CB">
        <w:rPr>
          <w:rFonts w:ascii="Times New Roman" w:hAnsi="Times New Roman"/>
          <w:sz w:val="24"/>
          <w:szCs w:val="24"/>
        </w:rPr>
        <w:t>del tesoro, generados a partir de la implantación de la cuenta única.</w:t>
      </w:r>
    </w:p>
    <w:p w:rsidR="00CA37D5" w:rsidRPr="00EE0DB5" w:rsidRDefault="00CA37D5" w:rsidP="00EE0DB5">
      <w:pPr>
        <w:spacing w:before="240" w:after="240"/>
        <w:ind w:left="-360"/>
        <w:jc w:val="center"/>
        <w:rPr>
          <w:rFonts w:ascii="Times New Roman Bold" w:hAnsi="Times New Roman Bold"/>
          <w:b/>
          <w:smallCaps/>
          <w:sz w:val="24"/>
          <w:szCs w:val="24"/>
        </w:rPr>
      </w:pPr>
      <w:r w:rsidRPr="00EE0DB5">
        <w:rPr>
          <w:rFonts w:ascii="Times New Roman" w:hAnsi="Times New Roman"/>
          <w:b/>
          <w:sz w:val="24"/>
          <w:szCs w:val="24"/>
        </w:rPr>
        <w:t xml:space="preserve">II. </w:t>
      </w:r>
      <w:r w:rsidRPr="00EE0DB5">
        <w:rPr>
          <w:rFonts w:ascii="Times New Roman Bold" w:hAnsi="Times New Roman Bold"/>
          <w:b/>
          <w:smallCaps/>
          <w:sz w:val="24"/>
          <w:szCs w:val="24"/>
        </w:rPr>
        <w:t>Supuestos y Alternativas</w:t>
      </w:r>
    </w:p>
    <w:p w:rsidR="00CA37D5" w:rsidRPr="005C5B91" w:rsidRDefault="00CA37D5" w:rsidP="00C26DB5">
      <w:pPr>
        <w:pStyle w:val="ListParagraph"/>
        <w:spacing w:before="120" w:after="120"/>
        <w:ind w:left="0"/>
        <w:contextualSpacing w:val="0"/>
        <w:jc w:val="both"/>
        <w:rPr>
          <w:rFonts w:ascii="Times New Roman" w:hAnsi="Times New Roman"/>
          <w:b/>
          <w:sz w:val="24"/>
          <w:szCs w:val="24"/>
        </w:rPr>
      </w:pPr>
      <w:r>
        <w:rPr>
          <w:rFonts w:ascii="Times New Roman" w:hAnsi="Times New Roman"/>
          <w:b/>
          <w:sz w:val="24"/>
          <w:szCs w:val="24"/>
        </w:rPr>
        <w:t>A.</w:t>
      </w:r>
      <w:r>
        <w:rPr>
          <w:rFonts w:ascii="Times New Roman" w:hAnsi="Times New Roman"/>
          <w:b/>
          <w:sz w:val="24"/>
          <w:szCs w:val="24"/>
        </w:rPr>
        <w:tab/>
      </w:r>
      <w:r w:rsidRPr="005C5B91">
        <w:rPr>
          <w:rFonts w:ascii="Times New Roman Bold" w:hAnsi="Times New Roman Bold"/>
          <w:b/>
          <w:smallCaps/>
          <w:sz w:val="24"/>
          <w:szCs w:val="24"/>
        </w:rPr>
        <w:t xml:space="preserve">Administración </w:t>
      </w:r>
      <w:r w:rsidR="00D76B2F">
        <w:rPr>
          <w:rFonts w:ascii="Times New Roman Bold" w:hAnsi="Times New Roman Bold"/>
          <w:b/>
          <w:smallCaps/>
          <w:sz w:val="24"/>
          <w:szCs w:val="24"/>
        </w:rPr>
        <w:t>Financiera (Implememntación de un nuevo marco normativo para la Administracion Financiera y Credito Publico)</w:t>
      </w:r>
    </w:p>
    <w:p w:rsidR="00CA37D5" w:rsidRPr="003541CB" w:rsidRDefault="00CA37D5" w:rsidP="003541CB">
      <w:pPr>
        <w:spacing w:before="120" w:after="120"/>
        <w:jc w:val="both"/>
        <w:rPr>
          <w:rFonts w:ascii="Times New Roman" w:hAnsi="Times New Roman"/>
          <w:sz w:val="24"/>
          <w:szCs w:val="24"/>
        </w:rPr>
      </w:pPr>
      <w:r w:rsidRPr="003541CB">
        <w:rPr>
          <w:rFonts w:ascii="Times New Roman" w:hAnsi="Times New Roman"/>
          <w:b/>
          <w:sz w:val="24"/>
          <w:szCs w:val="24"/>
        </w:rPr>
        <w:t xml:space="preserve">Supuesto 1: </w:t>
      </w:r>
      <w:r w:rsidRPr="006901C2">
        <w:rPr>
          <w:rFonts w:ascii="Times New Roman" w:hAnsi="Times New Roman"/>
          <w:b/>
          <w:i/>
          <w:sz w:val="24"/>
          <w:szCs w:val="24"/>
        </w:rPr>
        <w:t xml:space="preserve">Se genera un beneficio financiero a partir de la disminución de la </w:t>
      </w:r>
      <w:r w:rsidR="0096451F" w:rsidRPr="006901C2">
        <w:rPr>
          <w:rFonts w:ascii="Times New Roman" w:hAnsi="Times New Roman"/>
          <w:b/>
          <w:i/>
          <w:sz w:val="24"/>
          <w:szCs w:val="24"/>
        </w:rPr>
        <w:t xml:space="preserve">tasa de interes que </w:t>
      </w:r>
      <w:r w:rsidR="0032544E" w:rsidRPr="006901C2">
        <w:rPr>
          <w:rFonts w:ascii="Times New Roman" w:hAnsi="Times New Roman"/>
          <w:b/>
          <w:i/>
          <w:sz w:val="24"/>
          <w:szCs w:val="24"/>
        </w:rPr>
        <w:t>enfrenta</w:t>
      </w:r>
      <w:r w:rsidR="0096451F" w:rsidRPr="006901C2">
        <w:rPr>
          <w:rFonts w:ascii="Times New Roman" w:hAnsi="Times New Roman"/>
          <w:b/>
          <w:i/>
          <w:sz w:val="24"/>
          <w:szCs w:val="24"/>
        </w:rPr>
        <w:t xml:space="preserve"> el Tesoro General de la Nación </w:t>
      </w:r>
      <w:r w:rsidR="00E74E78" w:rsidRPr="006901C2">
        <w:rPr>
          <w:rFonts w:ascii="Times New Roman" w:hAnsi="Times New Roman"/>
          <w:b/>
          <w:i/>
          <w:sz w:val="24"/>
          <w:szCs w:val="24"/>
        </w:rPr>
        <w:t xml:space="preserve">(TGN) </w:t>
      </w:r>
      <w:r w:rsidR="0096451F" w:rsidRPr="006901C2">
        <w:rPr>
          <w:rFonts w:ascii="Times New Roman" w:hAnsi="Times New Roman"/>
          <w:b/>
          <w:i/>
          <w:sz w:val="24"/>
          <w:szCs w:val="24"/>
        </w:rPr>
        <w:t>en sus emisiones de valores públicos para financiamiento fiscal.</w:t>
      </w:r>
      <w:r w:rsidR="0032544E" w:rsidRPr="003541CB">
        <w:rPr>
          <w:rFonts w:ascii="Times New Roman" w:hAnsi="Times New Roman"/>
          <w:i/>
          <w:sz w:val="24"/>
          <w:szCs w:val="24"/>
        </w:rPr>
        <w:t xml:space="preserve"> </w:t>
      </w:r>
      <w:r w:rsidR="0032544E" w:rsidRPr="003541CB">
        <w:rPr>
          <w:rFonts w:ascii="Times New Roman" w:hAnsi="Times New Roman"/>
          <w:sz w:val="24"/>
          <w:szCs w:val="24"/>
        </w:rPr>
        <w:t>Con el nuevo Sistema Nacional de Tesoreria y Credito Publico</w:t>
      </w:r>
      <w:r w:rsidR="0032544E" w:rsidRPr="003541CB">
        <w:rPr>
          <w:rFonts w:ascii="Times New Roman" w:hAnsi="Times New Roman"/>
          <w:i/>
          <w:sz w:val="24"/>
          <w:szCs w:val="24"/>
        </w:rPr>
        <w:t xml:space="preserve"> </w:t>
      </w:r>
      <w:r w:rsidR="0032544E" w:rsidRPr="003541CB">
        <w:rPr>
          <w:rFonts w:ascii="Times New Roman" w:hAnsi="Times New Roman"/>
          <w:sz w:val="24"/>
          <w:szCs w:val="24"/>
        </w:rPr>
        <w:t>la oferta y las colocaciones a mediano y largo plazo efectuadas conjuntamente por el Banco Central de Bolivia y el TGN para facilitar la administración de la deuda interna y de</w:t>
      </w:r>
      <w:r w:rsidR="00B96E3B" w:rsidRPr="003541CB">
        <w:rPr>
          <w:rFonts w:ascii="Times New Roman" w:hAnsi="Times New Roman"/>
          <w:sz w:val="24"/>
          <w:szCs w:val="24"/>
        </w:rPr>
        <w:t xml:space="preserve"> </w:t>
      </w:r>
      <w:r w:rsidR="0032544E" w:rsidRPr="003541CB">
        <w:rPr>
          <w:rFonts w:ascii="Times New Roman" w:hAnsi="Times New Roman"/>
          <w:sz w:val="24"/>
          <w:szCs w:val="24"/>
        </w:rPr>
        <w:t>sus flujos de caja se efect</w:t>
      </w:r>
      <w:r w:rsidR="006901C2">
        <w:rPr>
          <w:rFonts w:ascii="Times New Roman" w:hAnsi="Times New Roman"/>
          <w:sz w:val="24"/>
          <w:szCs w:val="24"/>
        </w:rPr>
        <w:t>ú</w:t>
      </w:r>
      <w:r w:rsidR="0032544E" w:rsidRPr="003541CB">
        <w:rPr>
          <w:rFonts w:ascii="Times New Roman" w:hAnsi="Times New Roman"/>
          <w:sz w:val="24"/>
          <w:szCs w:val="24"/>
        </w:rPr>
        <w:t>an en un marco de mayor certidumbre y oportunidad lo que redundará en un disminución del costo finaciero para todo el Sector Publico.</w:t>
      </w:r>
    </w:p>
    <w:p w:rsidR="00EE0DB5" w:rsidRPr="003541CB" w:rsidRDefault="0032544E" w:rsidP="003541CB">
      <w:pPr>
        <w:spacing w:before="120" w:after="120"/>
        <w:jc w:val="both"/>
        <w:rPr>
          <w:rFonts w:ascii="Times New Roman" w:hAnsi="Times New Roman"/>
          <w:sz w:val="24"/>
          <w:szCs w:val="24"/>
        </w:rPr>
      </w:pPr>
      <w:r w:rsidRPr="003541CB">
        <w:rPr>
          <w:rFonts w:ascii="Times New Roman" w:hAnsi="Times New Roman"/>
          <w:sz w:val="24"/>
          <w:szCs w:val="24"/>
        </w:rPr>
        <w:t xml:space="preserve">Según datos del ultimo </w:t>
      </w:r>
      <w:r w:rsidRPr="003541CB">
        <w:rPr>
          <w:rFonts w:ascii="Times New Roman" w:hAnsi="Times New Roman"/>
          <w:i/>
          <w:sz w:val="24"/>
          <w:szCs w:val="24"/>
        </w:rPr>
        <w:t>Dossier Fiscal 2010</w:t>
      </w:r>
      <w:r w:rsidRPr="003541CB">
        <w:rPr>
          <w:rFonts w:ascii="Times New Roman" w:hAnsi="Times New Roman"/>
          <w:sz w:val="24"/>
          <w:szCs w:val="24"/>
        </w:rPr>
        <w:t xml:space="preserve"> del Ministerio de Economia y Finanzas Publicas</w:t>
      </w:r>
      <w:r w:rsidR="006E5BBB" w:rsidRPr="003541CB">
        <w:rPr>
          <w:rFonts w:ascii="Times New Roman" w:hAnsi="Times New Roman"/>
          <w:sz w:val="24"/>
          <w:szCs w:val="24"/>
        </w:rPr>
        <w:t>,</w:t>
      </w:r>
      <w:r w:rsidRPr="003541CB">
        <w:rPr>
          <w:rFonts w:ascii="Times New Roman" w:hAnsi="Times New Roman"/>
          <w:sz w:val="24"/>
          <w:szCs w:val="24"/>
        </w:rPr>
        <w:t xml:space="preserve"> </w:t>
      </w:r>
      <w:r w:rsidR="006901C2">
        <w:rPr>
          <w:rFonts w:ascii="Times New Roman" w:hAnsi="Times New Roman"/>
          <w:sz w:val="24"/>
          <w:szCs w:val="24"/>
        </w:rPr>
        <w:t xml:space="preserve">en 2010 </w:t>
      </w:r>
      <w:r w:rsidRPr="003541CB">
        <w:rPr>
          <w:rFonts w:ascii="Times New Roman" w:hAnsi="Times New Roman"/>
          <w:sz w:val="24"/>
          <w:szCs w:val="24"/>
        </w:rPr>
        <w:t xml:space="preserve">el TGN obtuvo financiamiento de mediano y largo plazo </w:t>
      </w:r>
      <w:r w:rsidR="00E74E78">
        <w:rPr>
          <w:rFonts w:ascii="Times New Roman" w:hAnsi="Times New Roman"/>
          <w:sz w:val="24"/>
          <w:szCs w:val="24"/>
        </w:rPr>
        <w:t xml:space="preserve">en el mercado doméstico </w:t>
      </w:r>
      <w:r w:rsidRPr="003541CB">
        <w:rPr>
          <w:rFonts w:ascii="Times New Roman" w:hAnsi="Times New Roman"/>
          <w:sz w:val="24"/>
          <w:szCs w:val="24"/>
        </w:rPr>
        <w:t>mediante subastas publicas de operaciones de mercado abie</w:t>
      </w:r>
      <w:r w:rsidR="00E74E78">
        <w:rPr>
          <w:rFonts w:ascii="Times New Roman" w:hAnsi="Times New Roman"/>
          <w:sz w:val="24"/>
          <w:szCs w:val="24"/>
        </w:rPr>
        <w:t>r</w:t>
      </w:r>
      <w:r w:rsidRPr="003541CB">
        <w:rPr>
          <w:rFonts w:ascii="Times New Roman" w:hAnsi="Times New Roman"/>
          <w:sz w:val="24"/>
          <w:szCs w:val="24"/>
        </w:rPr>
        <w:t xml:space="preserve">to por </w:t>
      </w:r>
      <w:r w:rsidR="00B47A94">
        <w:rPr>
          <w:rFonts w:ascii="Times New Roman" w:hAnsi="Times New Roman"/>
          <w:sz w:val="24"/>
          <w:szCs w:val="24"/>
        </w:rPr>
        <w:t>443</w:t>
      </w:r>
      <w:r w:rsidRPr="003541CB">
        <w:rPr>
          <w:rFonts w:ascii="Times New Roman" w:hAnsi="Times New Roman"/>
          <w:sz w:val="24"/>
          <w:szCs w:val="24"/>
        </w:rPr>
        <w:t xml:space="preserve"> millones </w:t>
      </w:r>
      <w:r w:rsidR="006901C2">
        <w:rPr>
          <w:rFonts w:ascii="Times New Roman" w:hAnsi="Times New Roman"/>
          <w:sz w:val="24"/>
          <w:szCs w:val="24"/>
        </w:rPr>
        <w:t xml:space="preserve">de dólares </w:t>
      </w:r>
      <w:r w:rsidR="00B47A94">
        <w:rPr>
          <w:rFonts w:ascii="Times New Roman" w:hAnsi="Times New Roman"/>
          <w:sz w:val="24"/>
          <w:szCs w:val="24"/>
        </w:rPr>
        <w:t>(3.100 millones de Bolivianos)</w:t>
      </w:r>
      <w:r w:rsidRPr="003541CB">
        <w:rPr>
          <w:rFonts w:ascii="Times New Roman" w:hAnsi="Times New Roman"/>
          <w:sz w:val="24"/>
          <w:szCs w:val="24"/>
        </w:rPr>
        <w:t xml:space="preserve">. A una tasa de interes promedio del </w:t>
      </w:r>
      <w:r w:rsidR="00B47A94">
        <w:rPr>
          <w:rFonts w:ascii="Times New Roman" w:hAnsi="Times New Roman"/>
          <w:sz w:val="24"/>
          <w:szCs w:val="24"/>
        </w:rPr>
        <w:t>2</w:t>
      </w:r>
      <w:r w:rsidRPr="003541CB">
        <w:rPr>
          <w:rFonts w:ascii="Times New Roman" w:hAnsi="Times New Roman"/>
          <w:sz w:val="24"/>
          <w:szCs w:val="24"/>
        </w:rPr>
        <w:t>,5% anual el costo financiero de estas operaciones ascendió a unos 11</w:t>
      </w:r>
      <w:r w:rsidR="00B47A94">
        <w:rPr>
          <w:rFonts w:ascii="Times New Roman" w:hAnsi="Times New Roman"/>
          <w:sz w:val="24"/>
          <w:szCs w:val="24"/>
        </w:rPr>
        <w:t xml:space="preserve"> </w:t>
      </w:r>
      <w:r w:rsidRPr="003541CB">
        <w:rPr>
          <w:rFonts w:ascii="Times New Roman" w:hAnsi="Times New Roman"/>
          <w:sz w:val="24"/>
          <w:szCs w:val="24"/>
        </w:rPr>
        <w:t xml:space="preserve">millones </w:t>
      </w:r>
      <w:r w:rsidR="006901C2">
        <w:rPr>
          <w:rFonts w:ascii="Times New Roman" w:hAnsi="Times New Roman"/>
          <w:sz w:val="24"/>
          <w:szCs w:val="24"/>
        </w:rPr>
        <w:t xml:space="preserve">de dólares </w:t>
      </w:r>
      <w:r w:rsidRPr="003541CB">
        <w:rPr>
          <w:rFonts w:ascii="Times New Roman" w:hAnsi="Times New Roman"/>
          <w:sz w:val="24"/>
          <w:szCs w:val="24"/>
        </w:rPr>
        <w:t>anuales.</w:t>
      </w:r>
    </w:p>
    <w:p w:rsidR="00EE0DB5" w:rsidRPr="003541CB" w:rsidRDefault="00EE0DB5" w:rsidP="003541CB">
      <w:pPr>
        <w:spacing w:before="120" w:after="120"/>
        <w:jc w:val="both"/>
        <w:rPr>
          <w:rFonts w:ascii="Times New Roman" w:hAnsi="Times New Roman"/>
          <w:sz w:val="24"/>
          <w:szCs w:val="24"/>
        </w:rPr>
      </w:pPr>
      <w:r w:rsidRPr="003541CB">
        <w:rPr>
          <w:rFonts w:ascii="Times New Roman" w:hAnsi="Times New Roman"/>
          <w:b/>
          <w:sz w:val="24"/>
          <w:szCs w:val="24"/>
        </w:rPr>
        <w:t>R</w:t>
      </w:r>
      <w:r w:rsidR="00CA37D5" w:rsidRPr="003541CB">
        <w:rPr>
          <w:rFonts w:ascii="Times New Roman" w:hAnsi="Times New Roman"/>
          <w:b/>
          <w:sz w:val="24"/>
          <w:szCs w:val="24"/>
        </w:rPr>
        <w:t>esultado</w:t>
      </w:r>
      <w:r w:rsidR="00CA37D5" w:rsidRPr="003541CB">
        <w:rPr>
          <w:rFonts w:ascii="Times New Roman" w:hAnsi="Times New Roman"/>
          <w:sz w:val="24"/>
          <w:szCs w:val="24"/>
        </w:rPr>
        <w:t>:</w:t>
      </w:r>
      <w:r w:rsidR="005E3D83" w:rsidRPr="003541CB">
        <w:rPr>
          <w:rFonts w:ascii="Times New Roman" w:hAnsi="Times New Roman"/>
          <w:sz w:val="24"/>
          <w:szCs w:val="24"/>
        </w:rPr>
        <w:t xml:space="preserve"> Suponiendo una reduccion </w:t>
      </w:r>
      <w:r w:rsidR="006901C2">
        <w:rPr>
          <w:rFonts w:ascii="Times New Roman" w:hAnsi="Times New Roman"/>
          <w:sz w:val="24"/>
          <w:szCs w:val="24"/>
        </w:rPr>
        <w:t xml:space="preserve">del 20% </w:t>
      </w:r>
      <w:r w:rsidR="005E3D83" w:rsidRPr="003541CB">
        <w:rPr>
          <w:rFonts w:ascii="Times New Roman" w:hAnsi="Times New Roman"/>
          <w:sz w:val="24"/>
          <w:szCs w:val="24"/>
        </w:rPr>
        <w:t xml:space="preserve">en la tasa de interes que paga el TGN en sus operaciones de financiamienro en el mercado abierto </w:t>
      </w:r>
      <w:r w:rsidR="006901C2">
        <w:rPr>
          <w:rFonts w:ascii="Times New Roman" w:hAnsi="Times New Roman"/>
          <w:sz w:val="24"/>
          <w:szCs w:val="24"/>
        </w:rPr>
        <w:t>-</w:t>
      </w:r>
      <w:r w:rsidR="009477B9" w:rsidRPr="003541CB">
        <w:rPr>
          <w:rFonts w:ascii="Times New Roman" w:hAnsi="Times New Roman"/>
          <w:sz w:val="24"/>
          <w:szCs w:val="24"/>
        </w:rPr>
        <w:t xml:space="preserve">la tasa promedio pasaría de </w:t>
      </w:r>
      <w:r w:rsidR="00B47A94">
        <w:rPr>
          <w:rFonts w:ascii="Times New Roman" w:hAnsi="Times New Roman"/>
          <w:sz w:val="24"/>
          <w:szCs w:val="24"/>
        </w:rPr>
        <w:t>2</w:t>
      </w:r>
      <w:r w:rsidR="009477B9" w:rsidRPr="003541CB">
        <w:rPr>
          <w:rFonts w:ascii="Times New Roman" w:hAnsi="Times New Roman"/>
          <w:sz w:val="24"/>
          <w:szCs w:val="24"/>
        </w:rPr>
        <w:t xml:space="preserve">,5% a </w:t>
      </w:r>
      <w:r w:rsidR="00B47A94">
        <w:rPr>
          <w:rFonts w:ascii="Times New Roman" w:hAnsi="Times New Roman"/>
          <w:sz w:val="24"/>
          <w:szCs w:val="24"/>
        </w:rPr>
        <w:t>2</w:t>
      </w:r>
      <w:r w:rsidR="009477B9" w:rsidRPr="003541CB">
        <w:rPr>
          <w:rFonts w:ascii="Times New Roman" w:hAnsi="Times New Roman"/>
          <w:sz w:val="24"/>
          <w:szCs w:val="24"/>
        </w:rPr>
        <w:t>,0%</w:t>
      </w:r>
      <w:r w:rsidR="006901C2">
        <w:rPr>
          <w:rFonts w:ascii="Times New Roman" w:hAnsi="Times New Roman"/>
          <w:sz w:val="24"/>
          <w:szCs w:val="24"/>
        </w:rPr>
        <w:t>-,</w:t>
      </w:r>
      <w:r w:rsidR="009477B9" w:rsidRPr="003541CB">
        <w:rPr>
          <w:rFonts w:ascii="Times New Roman" w:hAnsi="Times New Roman"/>
          <w:sz w:val="24"/>
          <w:szCs w:val="24"/>
        </w:rPr>
        <w:t xml:space="preserve"> </w:t>
      </w:r>
      <w:r w:rsidR="005E3D83" w:rsidRPr="003541CB">
        <w:rPr>
          <w:rFonts w:ascii="Times New Roman" w:hAnsi="Times New Roman"/>
          <w:sz w:val="24"/>
          <w:szCs w:val="24"/>
        </w:rPr>
        <w:t xml:space="preserve">mediante las mejoras en los sistemas de administración </w:t>
      </w:r>
      <w:r w:rsidR="00281169">
        <w:rPr>
          <w:rFonts w:ascii="Times New Roman" w:hAnsi="Times New Roman"/>
          <w:sz w:val="24"/>
          <w:szCs w:val="24"/>
        </w:rPr>
        <w:t xml:space="preserve">financiera </w:t>
      </w:r>
      <w:r w:rsidR="005E3D83" w:rsidRPr="003541CB">
        <w:rPr>
          <w:rFonts w:ascii="Times New Roman" w:hAnsi="Times New Roman"/>
          <w:sz w:val="24"/>
          <w:szCs w:val="24"/>
        </w:rPr>
        <w:t xml:space="preserve">y crédito público </w:t>
      </w:r>
      <w:r w:rsidR="006901C2">
        <w:rPr>
          <w:rFonts w:ascii="Times New Roman" w:hAnsi="Times New Roman"/>
          <w:sz w:val="24"/>
          <w:szCs w:val="24"/>
        </w:rPr>
        <w:t xml:space="preserve">se podría generar </w:t>
      </w:r>
      <w:r w:rsidR="005E3D83" w:rsidRPr="003541CB">
        <w:rPr>
          <w:rFonts w:ascii="Times New Roman" w:hAnsi="Times New Roman"/>
          <w:sz w:val="24"/>
          <w:szCs w:val="24"/>
        </w:rPr>
        <w:t xml:space="preserve">un ahorro fiscal de aproximadamente </w:t>
      </w:r>
      <w:r w:rsidR="00B47A94">
        <w:rPr>
          <w:rFonts w:ascii="Times New Roman" w:hAnsi="Times New Roman"/>
          <w:sz w:val="24"/>
          <w:szCs w:val="24"/>
        </w:rPr>
        <w:t>2,2</w:t>
      </w:r>
      <w:r w:rsidR="005E3D83" w:rsidRPr="003541CB">
        <w:rPr>
          <w:rFonts w:ascii="Times New Roman" w:hAnsi="Times New Roman"/>
          <w:sz w:val="24"/>
          <w:szCs w:val="24"/>
        </w:rPr>
        <w:t xml:space="preserve"> millones </w:t>
      </w:r>
      <w:r w:rsidR="006901C2">
        <w:rPr>
          <w:rFonts w:ascii="Times New Roman" w:hAnsi="Times New Roman"/>
          <w:sz w:val="24"/>
          <w:szCs w:val="24"/>
        </w:rPr>
        <w:t xml:space="preserve">de dólares </w:t>
      </w:r>
      <w:r w:rsidR="005E3D83" w:rsidRPr="003541CB">
        <w:rPr>
          <w:rFonts w:ascii="Times New Roman" w:hAnsi="Times New Roman"/>
          <w:sz w:val="24"/>
          <w:szCs w:val="24"/>
        </w:rPr>
        <w:t>anuales.</w:t>
      </w:r>
    </w:p>
    <w:p w:rsidR="00B96E3B" w:rsidRPr="003541CB" w:rsidRDefault="00B96E3B" w:rsidP="003541CB">
      <w:pPr>
        <w:spacing w:before="120" w:after="120"/>
        <w:jc w:val="both"/>
        <w:rPr>
          <w:rFonts w:ascii="Times New Roman" w:hAnsi="Times New Roman"/>
          <w:sz w:val="24"/>
          <w:szCs w:val="24"/>
        </w:rPr>
      </w:pPr>
      <w:r w:rsidRPr="003541CB">
        <w:rPr>
          <w:rFonts w:ascii="Times New Roman" w:hAnsi="Times New Roman"/>
          <w:b/>
          <w:sz w:val="24"/>
          <w:szCs w:val="24"/>
        </w:rPr>
        <w:t xml:space="preserve">Supuesto </w:t>
      </w:r>
      <w:r w:rsidR="006B61DA" w:rsidRPr="003541CB">
        <w:rPr>
          <w:rFonts w:ascii="Times New Roman" w:hAnsi="Times New Roman"/>
          <w:b/>
          <w:sz w:val="24"/>
          <w:szCs w:val="24"/>
        </w:rPr>
        <w:t>2</w:t>
      </w:r>
      <w:r w:rsidRPr="003541CB">
        <w:rPr>
          <w:rFonts w:ascii="Times New Roman" w:hAnsi="Times New Roman"/>
          <w:sz w:val="24"/>
          <w:szCs w:val="24"/>
        </w:rPr>
        <w:t xml:space="preserve">: </w:t>
      </w:r>
      <w:r w:rsidRPr="006901C2">
        <w:rPr>
          <w:rFonts w:ascii="Times New Roman" w:hAnsi="Times New Roman"/>
          <w:b/>
          <w:i/>
          <w:sz w:val="24"/>
          <w:szCs w:val="24"/>
        </w:rPr>
        <w:t>El Gobierno Central accede al mercado internacional de capitales a un costo financiero mas ventajoso.</w:t>
      </w:r>
      <w:r w:rsidRPr="003541CB">
        <w:rPr>
          <w:rFonts w:ascii="Times New Roman" w:hAnsi="Times New Roman"/>
          <w:sz w:val="24"/>
          <w:szCs w:val="24"/>
        </w:rPr>
        <w:t xml:space="preserve"> </w:t>
      </w:r>
      <w:r w:rsidR="00EE0DB5" w:rsidRPr="003541CB">
        <w:rPr>
          <w:rFonts w:ascii="Times New Roman" w:hAnsi="Times New Roman"/>
          <w:sz w:val="24"/>
          <w:szCs w:val="24"/>
        </w:rPr>
        <w:t>Como consecuencia de</w:t>
      </w:r>
      <w:r w:rsidR="00E96E52" w:rsidRPr="003541CB">
        <w:rPr>
          <w:rFonts w:ascii="Times New Roman" w:hAnsi="Times New Roman"/>
          <w:sz w:val="24"/>
          <w:szCs w:val="24"/>
        </w:rPr>
        <w:t xml:space="preserve"> </w:t>
      </w:r>
      <w:r w:rsidR="00EE0DB5" w:rsidRPr="003541CB">
        <w:rPr>
          <w:rFonts w:ascii="Times New Roman" w:hAnsi="Times New Roman"/>
          <w:sz w:val="24"/>
          <w:szCs w:val="24"/>
        </w:rPr>
        <w:t>l</w:t>
      </w:r>
      <w:r w:rsidR="00E96E52" w:rsidRPr="003541CB">
        <w:rPr>
          <w:rFonts w:ascii="Times New Roman" w:hAnsi="Times New Roman"/>
          <w:sz w:val="24"/>
          <w:szCs w:val="24"/>
        </w:rPr>
        <w:t xml:space="preserve">a adecuación y rediseño del marco normativo para el fortalecimiento de la política fiscal y la mejora de los procesos de administración financiera y gestión de la deuda pública Bolivia consigue acceder a los mercados de capitales a una tasa del </w:t>
      </w:r>
      <w:r w:rsidR="009477B9" w:rsidRPr="003541CB">
        <w:rPr>
          <w:rFonts w:ascii="Times New Roman" w:hAnsi="Times New Roman"/>
          <w:sz w:val="24"/>
          <w:szCs w:val="24"/>
        </w:rPr>
        <w:t>8</w:t>
      </w:r>
      <w:r w:rsidR="00E96E52" w:rsidRPr="003541CB">
        <w:rPr>
          <w:rFonts w:ascii="Times New Roman" w:hAnsi="Times New Roman"/>
          <w:sz w:val="24"/>
          <w:szCs w:val="24"/>
        </w:rPr>
        <w:t>,</w:t>
      </w:r>
      <w:r w:rsidR="00D14454">
        <w:rPr>
          <w:rFonts w:ascii="Times New Roman" w:hAnsi="Times New Roman"/>
          <w:sz w:val="24"/>
          <w:szCs w:val="24"/>
        </w:rPr>
        <w:t>0</w:t>
      </w:r>
      <w:r w:rsidR="00E96E52" w:rsidRPr="003541CB">
        <w:rPr>
          <w:rFonts w:ascii="Times New Roman" w:hAnsi="Times New Roman"/>
          <w:sz w:val="24"/>
          <w:szCs w:val="24"/>
        </w:rPr>
        <w:t>% anual</w:t>
      </w:r>
      <w:r w:rsidR="006901C2">
        <w:rPr>
          <w:rFonts w:ascii="Times New Roman" w:hAnsi="Times New Roman"/>
          <w:sz w:val="24"/>
          <w:szCs w:val="24"/>
        </w:rPr>
        <w:t>, suponiendo una reducción hipotetica del costos financiero del 20%</w:t>
      </w:r>
      <w:r w:rsidR="00E96E52" w:rsidRPr="003541CB">
        <w:rPr>
          <w:rFonts w:ascii="Times New Roman" w:hAnsi="Times New Roman"/>
          <w:sz w:val="24"/>
          <w:szCs w:val="24"/>
        </w:rPr>
        <w:t xml:space="preserve">. </w:t>
      </w:r>
    </w:p>
    <w:p w:rsidR="00E96E52" w:rsidRDefault="00E96E52" w:rsidP="003541CB">
      <w:pPr>
        <w:spacing w:before="120" w:after="120"/>
        <w:jc w:val="both"/>
        <w:rPr>
          <w:rFonts w:ascii="Times New Roman" w:hAnsi="Times New Roman"/>
          <w:sz w:val="24"/>
          <w:szCs w:val="24"/>
        </w:rPr>
      </w:pPr>
      <w:r w:rsidRPr="003541CB">
        <w:rPr>
          <w:rFonts w:ascii="Times New Roman" w:hAnsi="Times New Roman"/>
          <w:b/>
          <w:sz w:val="24"/>
          <w:szCs w:val="24"/>
        </w:rPr>
        <w:t>Resultado</w:t>
      </w:r>
      <w:r w:rsidRPr="003541CB">
        <w:rPr>
          <w:rFonts w:ascii="Times New Roman" w:hAnsi="Times New Roman"/>
          <w:sz w:val="24"/>
          <w:szCs w:val="24"/>
        </w:rPr>
        <w:t xml:space="preserve">: En un escenario conservador y suponiendo un programa de emisión de </w:t>
      </w:r>
      <w:r w:rsidR="009477B9" w:rsidRPr="003541CB">
        <w:rPr>
          <w:rFonts w:ascii="Times New Roman" w:hAnsi="Times New Roman"/>
          <w:sz w:val="24"/>
          <w:szCs w:val="24"/>
        </w:rPr>
        <w:t>350</w:t>
      </w:r>
      <w:r w:rsidR="006B61DA" w:rsidRPr="003541CB">
        <w:rPr>
          <w:rFonts w:ascii="Times New Roman" w:hAnsi="Times New Roman"/>
          <w:sz w:val="24"/>
          <w:szCs w:val="24"/>
        </w:rPr>
        <w:t xml:space="preserve"> </w:t>
      </w:r>
      <w:r w:rsidRPr="003541CB">
        <w:rPr>
          <w:rFonts w:ascii="Times New Roman" w:hAnsi="Times New Roman"/>
          <w:sz w:val="24"/>
          <w:szCs w:val="24"/>
        </w:rPr>
        <w:t>millones</w:t>
      </w:r>
      <w:r w:rsidR="006901C2">
        <w:rPr>
          <w:rFonts w:ascii="Times New Roman" w:hAnsi="Times New Roman"/>
          <w:sz w:val="24"/>
          <w:szCs w:val="24"/>
        </w:rPr>
        <w:t xml:space="preserve"> de dólares </w:t>
      </w:r>
      <w:r w:rsidR="00D14454">
        <w:rPr>
          <w:rFonts w:ascii="Times New Roman" w:hAnsi="Times New Roman"/>
          <w:sz w:val="24"/>
          <w:szCs w:val="24"/>
        </w:rPr>
        <w:t>anuales,</w:t>
      </w:r>
      <w:r w:rsidRPr="003541CB">
        <w:rPr>
          <w:rFonts w:ascii="Times New Roman" w:hAnsi="Times New Roman"/>
          <w:sz w:val="24"/>
          <w:szCs w:val="24"/>
        </w:rPr>
        <w:t xml:space="preserve"> mediante el proyecto se logra un ahorro fiscal de </w:t>
      </w:r>
      <w:r w:rsidR="006901C2">
        <w:rPr>
          <w:rFonts w:ascii="Times New Roman" w:hAnsi="Times New Roman"/>
          <w:sz w:val="24"/>
          <w:szCs w:val="24"/>
        </w:rPr>
        <w:t>7</w:t>
      </w:r>
      <w:r w:rsidRPr="003541CB">
        <w:rPr>
          <w:rFonts w:ascii="Times New Roman" w:hAnsi="Times New Roman"/>
          <w:sz w:val="24"/>
          <w:szCs w:val="24"/>
        </w:rPr>
        <w:t xml:space="preserve"> millones</w:t>
      </w:r>
      <w:r w:rsidR="00D14454">
        <w:rPr>
          <w:rFonts w:ascii="Times New Roman" w:hAnsi="Times New Roman"/>
          <w:sz w:val="24"/>
          <w:szCs w:val="24"/>
        </w:rPr>
        <w:t xml:space="preserve"> </w:t>
      </w:r>
      <w:r w:rsidR="006901C2">
        <w:rPr>
          <w:rFonts w:ascii="Times New Roman" w:hAnsi="Times New Roman"/>
          <w:sz w:val="24"/>
          <w:szCs w:val="24"/>
        </w:rPr>
        <w:t xml:space="preserve">de dólares </w:t>
      </w:r>
      <w:r w:rsidR="00D14454">
        <w:rPr>
          <w:rFonts w:ascii="Times New Roman" w:hAnsi="Times New Roman"/>
          <w:sz w:val="24"/>
          <w:szCs w:val="24"/>
        </w:rPr>
        <w:t>por reducción en la tasa de interes que deberá pagar el TGN por las colocaciones externas</w:t>
      </w:r>
      <w:r w:rsidRPr="003541CB">
        <w:rPr>
          <w:rFonts w:ascii="Times New Roman" w:hAnsi="Times New Roman"/>
          <w:sz w:val="24"/>
          <w:szCs w:val="24"/>
        </w:rPr>
        <w:t>.</w:t>
      </w:r>
    </w:p>
    <w:p w:rsidR="00E2181B" w:rsidRDefault="00E2181B">
      <w:pPr>
        <w:spacing w:after="0" w:line="240" w:lineRule="auto"/>
        <w:rPr>
          <w:rFonts w:ascii="Times New Roman" w:hAnsi="Times New Roman"/>
          <w:sz w:val="24"/>
          <w:szCs w:val="24"/>
        </w:rPr>
      </w:pPr>
      <w:r>
        <w:rPr>
          <w:rFonts w:ascii="Times New Roman" w:hAnsi="Times New Roman"/>
          <w:sz w:val="24"/>
          <w:szCs w:val="24"/>
        </w:rPr>
        <w:br w:type="page"/>
      </w:r>
    </w:p>
    <w:p w:rsidR="00F16D55" w:rsidRDefault="00F16D55" w:rsidP="00D14454">
      <w:pPr>
        <w:spacing w:after="0"/>
        <w:jc w:val="both"/>
        <w:rPr>
          <w:rFonts w:ascii="Times New Roman" w:hAnsi="Times New Roman"/>
          <w:sz w:val="24"/>
          <w:szCs w:val="24"/>
        </w:rPr>
      </w:pPr>
    </w:p>
    <w:tbl>
      <w:tblPr>
        <w:tblW w:w="8600" w:type="dxa"/>
        <w:jc w:val="center"/>
        <w:tblInd w:w="55" w:type="dxa"/>
        <w:tblCellMar>
          <w:left w:w="70" w:type="dxa"/>
          <w:right w:w="70" w:type="dxa"/>
        </w:tblCellMar>
        <w:tblLook w:val="04A0"/>
      </w:tblPr>
      <w:tblGrid>
        <w:gridCol w:w="3040"/>
        <w:gridCol w:w="1420"/>
        <w:gridCol w:w="800"/>
        <w:gridCol w:w="680"/>
        <w:gridCol w:w="880"/>
        <w:gridCol w:w="760"/>
        <w:gridCol w:w="1020"/>
      </w:tblGrid>
      <w:tr w:rsidR="00F16D55" w:rsidRPr="00CC5897" w:rsidTr="009430E5">
        <w:trPr>
          <w:trHeight w:val="570"/>
          <w:jc w:val="center"/>
        </w:trPr>
        <w:tc>
          <w:tcPr>
            <w:tcW w:w="8600" w:type="dxa"/>
            <w:gridSpan w:val="7"/>
            <w:tcBorders>
              <w:top w:val="nil"/>
              <w:left w:val="nil"/>
              <w:bottom w:val="nil"/>
              <w:right w:val="nil"/>
            </w:tcBorders>
            <w:shd w:val="clear" w:color="auto" w:fill="auto"/>
            <w:vAlign w:val="center"/>
            <w:hideMark/>
          </w:tcPr>
          <w:p w:rsidR="00F16D55" w:rsidRPr="00CC5897" w:rsidRDefault="00F16D55" w:rsidP="00F16D55">
            <w:pPr>
              <w:spacing w:after="0" w:line="240" w:lineRule="auto"/>
              <w:rPr>
                <w:rFonts w:ascii="Times New Roman" w:hAnsi="Times New Roman"/>
                <w:b/>
                <w:bCs/>
                <w:noProof w:val="0"/>
                <w:color w:val="000000"/>
                <w:sz w:val="20"/>
                <w:szCs w:val="20"/>
                <w:lang w:val="es-AR" w:eastAsia="es-AR"/>
              </w:rPr>
            </w:pPr>
            <w:r w:rsidRPr="00CC5897">
              <w:rPr>
                <w:rFonts w:ascii="Times New Roman" w:hAnsi="Times New Roman"/>
                <w:b/>
                <w:bCs/>
                <w:noProof w:val="0"/>
                <w:color w:val="000000"/>
                <w:sz w:val="20"/>
                <w:szCs w:val="20"/>
                <w:lang w:eastAsia="es-AR"/>
              </w:rPr>
              <w:t>Administración Financiera: Implementación de un nuevo marco normativo para la Administración Financiera y Crédito Público</w:t>
            </w:r>
          </w:p>
        </w:tc>
      </w:tr>
      <w:tr w:rsidR="00F16D55" w:rsidRPr="00CC5897" w:rsidTr="009430E5">
        <w:trPr>
          <w:trHeight w:val="300"/>
          <w:jc w:val="center"/>
        </w:trPr>
        <w:tc>
          <w:tcPr>
            <w:tcW w:w="3040" w:type="dxa"/>
            <w:tcBorders>
              <w:top w:val="nil"/>
              <w:left w:val="nil"/>
              <w:bottom w:val="nil"/>
              <w:right w:val="nil"/>
            </w:tcBorders>
            <w:shd w:val="clear" w:color="auto" w:fill="auto"/>
            <w:vAlign w:val="center"/>
            <w:hideMark/>
          </w:tcPr>
          <w:p w:rsidR="00F16D55" w:rsidRPr="00CC5897" w:rsidRDefault="00F16D55" w:rsidP="006901C2">
            <w:pPr>
              <w:spacing w:after="0" w:line="240" w:lineRule="auto"/>
              <w:rPr>
                <w:rFonts w:ascii="Times New Roman" w:hAnsi="Times New Roman"/>
                <w:b/>
                <w:bCs/>
                <w:noProof w:val="0"/>
                <w:color w:val="000000"/>
                <w:sz w:val="20"/>
                <w:szCs w:val="20"/>
                <w:lang w:val="es-AR" w:eastAsia="es-AR"/>
              </w:rPr>
            </w:pPr>
            <w:r w:rsidRPr="00CC5897">
              <w:rPr>
                <w:rFonts w:ascii="Times New Roman" w:hAnsi="Times New Roman"/>
                <w:b/>
                <w:bCs/>
                <w:noProof w:val="0"/>
                <w:color w:val="000000"/>
                <w:sz w:val="20"/>
                <w:szCs w:val="20"/>
                <w:lang w:val="es-AR" w:eastAsia="es-AR"/>
              </w:rPr>
              <w:t xml:space="preserve">en millones de </w:t>
            </w:r>
            <w:r w:rsidR="006901C2" w:rsidRPr="00CC5897">
              <w:rPr>
                <w:rFonts w:ascii="Times New Roman" w:hAnsi="Times New Roman"/>
                <w:b/>
                <w:bCs/>
                <w:noProof w:val="0"/>
                <w:color w:val="000000"/>
                <w:sz w:val="20"/>
                <w:szCs w:val="20"/>
                <w:lang w:val="es-AR" w:eastAsia="es-AR"/>
              </w:rPr>
              <w:t>dólares</w:t>
            </w:r>
          </w:p>
        </w:tc>
        <w:tc>
          <w:tcPr>
            <w:tcW w:w="1420" w:type="dxa"/>
            <w:tcBorders>
              <w:top w:val="nil"/>
              <w:left w:val="nil"/>
              <w:bottom w:val="nil"/>
              <w:right w:val="nil"/>
            </w:tcBorders>
            <w:shd w:val="clear" w:color="auto" w:fill="auto"/>
            <w:vAlign w:val="center"/>
            <w:hideMark/>
          </w:tcPr>
          <w:p w:rsidR="00F16D55" w:rsidRPr="00CC5897" w:rsidRDefault="00F16D55" w:rsidP="00F16D55">
            <w:pPr>
              <w:spacing w:after="0" w:line="240" w:lineRule="auto"/>
              <w:rPr>
                <w:rFonts w:ascii="Times New Roman" w:hAnsi="Times New Roman"/>
                <w:b/>
                <w:bCs/>
                <w:noProof w:val="0"/>
                <w:color w:val="000000"/>
                <w:sz w:val="20"/>
                <w:szCs w:val="20"/>
                <w:lang w:val="es-AR" w:eastAsia="es-AR"/>
              </w:rPr>
            </w:pPr>
          </w:p>
        </w:tc>
        <w:tc>
          <w:tcPr>
            <w:tcW w:w="800" w:type="dxa"/>
            <w:tcBorders>
              <w:top w:val="nil"/>
              <w:left w:val="nil"/>
              <w:bottom w:val="nil"/>
              <w:right w:val="nil"/>
            </w:tcBorders>
            <w:shd w:val="clear" w:color="auto" w:fill="auto"/>
            <w:vAlign w:val="center"/>
            <w:hideMark/>
          </w:tcPr>
          <w:p w:rsidR="00F16D55" w:rsidRPr="00CC5897" w:rsidRDefault="00F16D55" w:rsidP="00F16D55">
            <w:pPr>
              <w:spacing w:after="0" w:line="240" w:lineRule="auto"/>
              <w:rPr>
                <w:rFonts w:ascii="Times New Roman" w:hAnsi="Times New Roman"/>
                <w:b/>
                <w:bCs/>
                <w:noProof w:val="0"/>
                <w:color w:val="000000"/>
                <w:sz w:val="20"/>
                <w:szCs w:val="20"/>
                <w:lang w:val="es-AR" w:eastAsia="es-AR"/>
              </w:rPr>
            </w:pPr>
          </w:p>
        </w:tc>
        <w:tc>
          <w:tcPr>
            <w:tcW w:w="680" w:type="dxa"/>
            <w:tcBorders>
              <w:top w:val="nil"/>
              <w:left w:val="nil"/>
              <w:bottom w:val="nil"/>
              <w:right w:val="nil"/>
            </w:tcBorders>
            <w:shd w:val="clear" w:color="auto" w:fill="auto"/>
            <w:vAlign w:val="center"/>
            <w:hideMark/>
          </w:tcPr>
          <w:p w:rsidR="00F16D55" w:rsidRPr="00CC5897" w:rsidRDefault="00F16D55" w:rsidP="00F16D55">
            <w:pPr>
              <w:spacing w:after="0" w:line="240" w:lineRule="auto"/>
              <w:rPr>
                <w:rFonts w:ascii="Times New Roman" w:hAnsi="Times New Roman"/>
                <w:b/>
                <w:bCs/>
                <w:noProof w:val="0"/>
                <w:color w:val="000000"/>
                <w:sz w:val="20"/>
                <w:szCs w:val="20"/>
                <w:lang w:val="es-AR" w:eastAsia="es-AR"/>
              </w:rPr>
            </w:pPr>
          </w:p>
        </w:tc>
        <w:tc>
          <w:tcPr>
            <w:tcW w:w="880" w:type="dxa"/>
            <w:tcBorders>
              <w:top w:val="nil"/>
              <w:left w:val="nil"/>
              <w:bottom w:val="nil"/>
              <w:right w:val="nil"/>
            </w:tcBorders>
            <w:shd w:val="clear" w:color="auto" w:fill="auto"/>
            <w:vAlign w:val="center"/>
            <w:hideMark/>
          </w:tcPr>
          <w:p w:rsidR="00F16D55" w:rsidRPr="00CC5897" w:rsidRDefault="00F16D55" w:rsidP="00F16D55">
            <w:pPr>
              <w:spacing w:after="0" w:line="240" w:lineRule="auto"/>
              <w:rPr>
                <w:rFonts w:ascii="Times New Roman" w:hAnsi="Times New Roman"/>
                <w:b/>
                <w:bCs/>
                <w:noProof w:val="0"/>
                <w:color w:val="000000"/>
                <w:sz w:val="20"/>
                <w:szCs w:val="20"/>
                <w:lang w:val="es-AR" w:eastAsia="es-AR"/>
              </w:rPr>
            </w:pPr>
          </w:p>
        </w:tc>
        <w:tc>
          <w:tcPr>
            <w:tcW w:w="760" w:type="dxa"/>
            <w:tcBorders>
              <w:top w:val="nil"/>
              <w:left w:val="nil"/>
              <w:bottom w:val="nil"/>
              <w:right w:val="nil"/>
            </w:tcBorders>
            <w:shd w:val="clear" w:color="auto" w:fill="auto"/>
            <w:vAlign w:val="center"/>
            <w:hideMark/>
          </w:tcPr>
          <w:p w:rsidR="00F16D55" w:rsidRPr="00CC5897" w:rsidRDefault="00F16D55" w:rsidP="00F16D55">
            <w:pPr>
              <w:spacing w:after="0" w:line="240" w:lineRule="auto"/>
              <w:rPr>
                <w:rFonts w:ascii="Times New Roman" w:hAnsi="Times New Roman"/>
                <w:b/>
                <w:bCs/>
                <w:noProof w:val="0"/>
                <w:color w:val="000000"/>
                <w:sz w:val="20"/>
                <w:szCs w:val="20"/>
                <w:lang w:val="es-AR" w:eastAsia="es-AR"/>
              </w:rPr>
            </w:pPr>
          </w:p>
        </w:tc>
        <w:tc>
          <w:tcPr>
            <w:tcW w:w="1020" w:type="dxa"/>
            <w:tcBorders>
              <w:top w:val="nil"/>
              <w:left w:val="nil"/>
              <w:bottom w:val="nil"/>
              <w:right w:val="nil"/>
            </w:tcBorders>
            <w:shd w:val="clear" w:color="auto" w:fill="auto"/>
            <w:vAlign w:val="center"/>
            <w:hideMark/>
          </w:tcPr>
          <w:p w:rsidR="00F16D55" w:rsidRPr="00CC5897" w:rsidRDefault="00F16D55" w:rsidP="00F16D55">
            <w:pPr>
              <w:spacing w:after="0" w:line="240" w:lineRule="auto"/>
              <w:rPr>
                <w:rFonts w:ascii="Times New Roman" w:hAnsi="Times New Roman"/>
                <w:b/>
                <w:bCs/>
                <w:noProof w:val="0"/>
                <w:color w:val="000000"/>
                <w:sz w:val="20"/>
                <w:szCs w:val="20"/>
                <w:lang w:val="es-AR" w:eastAsia="es-AR"/>
              </w:rPr>
            </w:pPr>
          </w:p>
        </w:tc>
      </w:tr>
      <w:tr w:rsidR="00F16D55" w:rsidRPr="00CC5897" w:rsidTr="009430E5">
        <w:trPr>
          <w:trHeight w:val="840"/>
          <w:jc w:val="center"/>
        </w:trPr>
        <w:tc>
          <w:tcPr>
            <w:tcW w:w="30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16D55" w:rsidRPr="00CC5897" w:rsidRDefault="00F16D55" w:rsidP="00F16D55">
            <w:pPr>
              <w:spacing w:after="0" w:line="240" w:lineRule="auto"/>
              <w:jc w:val="center"/>
              <w:rPr>
                <w:rFonts w:ascii="Times New Roman" w:hAnsi="Times New Roman"/>
                <w:b/>
                <w:bCs/>
                <w:noProof w:val="0"/>
                <w:color w:val="000000"/>
                <w:sz w:val="20"/>
                <w:szCs w:val="20"/>
                <w:lang w:val="es-AR" w:eastAsia="es-AR"/>
              </w:rPr>
            </w:pPr>
            <w:r w:rsidRPr="00CC5897">
              <w:rPr>
                <w:rFonts w:ascii="Times New Roman" w:hAnsi="Times New Roman"/>
                <w:b/>
                <w:bCs/>
                <w:noProof w:val="0"/>
                <w:color w:val="000000"/>
                <w:sz w:val="20"/>
                <w:szCs w:val="20"/>
                <w:lang w:val="es-AR" w:eastAsia="es-AR"/>
              </w:rPr>
              <w:t>Supuestos</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F16D55" w:rsidRPr="00CC5897" w:rsidRDefault="00F16D55" w:rsidP="00F16D55">
            <w:pPr>
              <w:spacing w:after="0" w:line="240" w:lineRule="auto"/>
              <w:jc w:val="center"/>
              <w:rPr>
                <w:rFonts w:ascii="Times New Roman" w:hAnsi="Times New Roman"/>
                <w:b/>
                <w:bCs/>
                <w:noProof w:val="0"/>
                <w:color w:val="000000"/>
                <w:sz w:val="20"/>
                <w:szCs w:val="20"/>
                <w:lang w:val="es-AR" w:eastAsia="es-AR"/>
              </w:rPr>
            </w:pPr>
            <w:r w:rsidRPr="00CC5897">
              <w:rPr>
                <w:rFonts w:ascii="Times New Roman" w:hAnsi="Times New Roman"/>
                <w:b/>
                <w:bCs/>
                <w:noProof w:val="0"/>
                <w:color w:val="000000"/>
                <w:sz w:val="20"/>
                <w:szCs w:val="20"/>
                <w:lang w:val="es-AR" w:eastAsia="es-AR"/>
              </w:rPr>
              <w:t>Monto anual de financiamiento TGN</w:t>
            </w:r>
          </w:p>
        </w:tc>
        <w:tc>
          <w:tcPr>
            <w:tcW w:w="1480" w:type="dxa"/>
            <w:gridSpan w:val="2"/>
            <w:tcBorders>
              <w:top w:val="single" w:sz="4" w:space="0" w:color="auto"/>
              <w:left w:val="nil"/>
              <w:bottom w:val="single" w:sz="4" w:space="0" w:color="auto"/>
              <w:right w:val="single" w:sz="4" w:space="0" w:color="auto"/>
            </w:tcBorders>
            <w:shd w:val="clear" w:color="auto" w:fill="auto"/>
            <w:vAlign w:val="center"/>
            <w:hideMark/>
          </w:tcPr>
          <w:p w:rsidR="00F16D55" w:rsidRPr="00CC5897" w:rsidRDefault="00F16D55" w:rsidP="00F16D55">
            <w:pPr>
              <w:spacing w:after="0" w:line="240" w:lineRule="auto"/>
              <w:jc w:val="center"/>
              <w:rPr>
                <w:rFonts w:ascii="Times New Roman" w:hAnsi="Times New Roman"/>
                <w:b/>
                <w:bCs/>
                <w:noProof w:val="0"/>
                <w:color w:val="000000"/>
                <w:sz w:val="20"/>
                <w:szCs w:val="20"/>
                <w:lang w:val="es-AR" w:eastAsia="es-AR"/>
              </w:rPr>
            </w:pPr>
            <w:r w:rsidRPr="00CC5897">
              <w:rPr>
                <w:rFonts w:ascii="Times New Roman" w:hAnsi="Times New Roman"/>
                <w:b/>
                <w:bCs/>
                <w:noProof w:val="0"/>
                <w:color w:val="000000"/>
                <w:sz w:val="20"/>
                <w:szCs w:val="20"/>
                <w:lang w:val="es-AR" w:eastAsia="es-AR"/>
              </w:rPr>
              <w:t>Estimación Costo de Financiamiento actual</w:t>
            </w:r>
          </w:p>
        </w:tc>
        <w:tc>
          <w:tcPr>
            <w:tcW w:w="1640" w:type="dxa"/>
            <w:gridSpan w:val="2"/>
            <w:tcBorders>
              <w:top w:val="single" w:sz="4" w:space="0" w:color="auto"/>
              <w:left w:val="nil"/>
              <w:bottom w:val="single" w:sz="4" w:space="0" w:color="auto"/>
              <w:right w:val="single" w:sz="4" w:space="0" w:color="auto"/>
            </w:tcBorders>
            <w:shd w:val="clear" w:color="auto" w:fill="auto"/>
            <w:vAlign w:val="center"/>
            <w:hideMark/>
          </w:tcPr>
          <w:p w:rsidR="00F16D55" w:rsidRPr="00CC5897" w:rsidRDefault="00F16D55" w:rsidP="00F16D55">
            <w:pPr>
              <w:spacing w:after="0" w:line="240" w:lineRule="auto"/>
              <w:jc w:val="center"/>
              <w:rPr>
                <w:rFonts w:ascii="Times New Roman" w:hAnsi="Times New Roman"/>
                <w:b/>
                <w:bCs/>
                <w:noProof w:val="0"/>
                <w:color w:val="000000"/>
                <w:sz w:val="20"/>
                <w:szCs w:val="20"/>
                <w:lang w:val="es-AR" w:eastAsia="es-AR"/>
              </w:rPr>
            </w:pPr>
            <w:r w:rsidRPr="00CC5897">
              <w:rPr>
                <w:rFonts w:ascii="Times New Roman" w:hAnsi="Times New Roman"/>
                <w:b/>
                <w:bCs/>
                <w:noProof w:val="0"/>
                <w:color w:val="000000"/>
                <w:sz w:val="20"/>
                <w:szCs w:val="20"/>
                <w:lang w:val="es-AR" w:eastAsia="es-AR"/>
              </w:rPr>
              <w:t>Estimación Costo de Financiamiento con Proyecto</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rsidR="00F16D55" w:rsidRPr="00CC5897" w:rsidRDefault="00F16D55" w:rsidP="00F16D55">
            <w:pPr>
              <w:spacing w:after="0" w:line="240" w:lineRule="auto"/>
              <w:jc w:val="center"/>
              <w:rPr>
                <w:rFonts w:ascii="Times New Roman" w:hAnsi="Times New Roman"/>
                <w:b/>
                <w:bCs/>
                <w:noProof w:val="0"/>
                <w:color w:val="000000"/>
                <w:sz w:val="20"/>
                <w:szCs w:val="20"/>
                <w:lang w:val="es-AR" w:eastAsia="es-AR"/>
              </w:rPr>
            </w:pPr>
            <w:r w:rsidRPr="00CC5897">
              <w:rPr>
                <w:rFonts w:ascii="Times New Roman" w:hAnsi="Times New Roman"/>
                <w:b/>
                <w:bCs/>
                <w:noProof w:val="0"/>
                <w:color w:val="000000"/>
                <w:sz w:val="20"/>
                <w:szCs w:val="20"/>
                <w:lang w:val="es-AR" w:eastAsia="es-AR"/>
              </w:rPr>
              <w:t>Ahorro anual estimado</w:t>
            </w:r>
          </w:p>
        </w:tc>
      </w:tr>
      <w:tr w:rsidR="00F16D55" w:rsidRPr="00CC5897" w:rsidTr="009430E5">
        <w:trPr>
          <w:trHeight w:val="480"/>
          <w:jc w:val="center"/>
        </w:trPr>
        <w:tc>
          <w:tcPr>
            <w:tcW w:w="3040" w:type="dxa"/>
            <w:vMerge/>
            <w:tcBorders>
              <w:top w:val="single" w:sz="4" w:space="0" w:color="auto"/>
              <w:left w:val="single" w:sz="4" w:space="0" w:color="auto"/>
              <w:bottom w:val="single" w:sz="4" w:space="0" w:color="000000"/>
              <w:right w:val="single" w:sz="4" w:space="0" w:color="auto"/>
            </w:tcBorders>
            <w:vAlign w:val="center"/>
            <w:hideMark/>
          </w:tcPr>
          <w:p w:rsidR="00F16D55" w:rsidRPr="00CC5897" w:rsidRDefault="00F16D55" w:rsidP="00F16D55">
            <w:pPr>
              <w:spacing w:after="0" w:line="240" w:lineRule="auto"/>
              <w:rPr>
                <w:rFonts w:ascii="Times New Roman" w:hAnsi="Times New Roman"/>
                <w:b/>
                <w:bCs/>
                <w:noProof w:val="0"/>
                <w:color w:val="000000"/>
                <w:sz w:val="20"/>
                <w:szCs w:val="20"/>
                <w:lang w:val="es-AR" w:eastAsia="es-AR"/>
              </w:rPr>
            </w:pPr>
          </w:p>
        </w:tc>
        <w:tc>
          <w:tcPr>
            <w:tcW w:w="1420" w:type="dxa"/>
            <w:tcBorders>
              <w:top w:val="nil"/>
              <w:left w:val="nil"/>
              <w:bottom w:val="single" w:sz="4" w:space="0" w:color="auto"/>
              <w:right w:val="single" w:sz="4" w:space="0" w:color="auto"/>
            </w:tcBorders>
            <w:shd w:val="clear" w:color="auto" w:fill="auto"/>
            <w:vAlign w:val="center"/>
            <w:hideMark/>
          </w:tcPr>
          <w:p w:rsidR="00F16D55" w:rsidRPr="00CC5897" w:rsidRDefault="00F16D55" w:rsidP="00F16D55">
            <w:pPr>
              <w:spacing w:after="0" w:line="240" w:lineRule="auto"/>
              <w:jc w:val="center"/>
              <w:rPr>
                <w:rFonts w:ascii="Times New Roman" w:hAnsi="Times New Roman"/>
                <w:noProof w:val="0"/>
                <w:color w:val="000000"/>
                <w:sz w:val="20"/>
                <w:szCs w:val="20"/>
                <w:lang w:val="es-AR" w:eastAsia="es-AR"/>
              </w:rPr>
            </w:pPr>
            <w:r w:rsidRPr="00CC5897">
              <w:rPr>
                <w:rFonts w:ascii="Times New Roman" w:hAnsi="Times New Roman"/>
                <w:noProof w:val="0"/>
                <w:color w:val="000000"/>
                <w:sz w:val="20"/>
                <w:szCs w:val="20"/>
                <w:lang w:val="es-AR" w:eastAsia="es-AR"/>
              </w:rPr>
              <w:t>monto</w:t>
            </w:r>
          </w:p>
        </w:tc>
        <w:tc>
          <w:tcPr>
            <w:tcW w:w="800" w:type="dxa"/>
            <w:tcBorders>
              <w:top w:val="nil"/>
              <w:left w:val="nil"/>
              <w:bottom w:val="single" w:sz="4" w:space="0" w:color="auto"/>
              <w:right w:val="single" w:sz="4" w:space="0" w:color="auto"/>
            </w:tcBorders>
            <w:shd w:val="clear" w:color="auto" w:fill="auto"/>
            <w:vAlign w:val="center"/>
            <w:hideMark/>
          </w:tcPr>
          <w:p w:rsidR="00F16D55" w:rsidRPr="00CC5897" w:rsidRDefault="00F16D55" w:rsidP="00F16D55">
            <w:pPr>
              <w:spacing w:after="0" w:line="240" w:lineRule="auto"/>
              <w:jc w:val="center"/>
              <w:rPr>
                <w:rFonts w:ascii="Times New Roman" w:hAnsi="Times New Roman"/>
                <w:noProof w:val="0"/>
                <w:color w:val="000000"/>
                <w:sz w:val="20"/>
                <w:szCs w:val="20"/>
                <w:lang w:val="es-AR" w:eastAsia="es-AR"/>
              </w:rPr>
            </w:pPr>
            <w:r w:rsidRPr="00CC5897">
              <w:rPr>
                <w:rFonts w:ascii="Times New Roman" w:hAnsi="Times New Roman"/>
                <w:noProof w:val="0"/>
                <w:color w:val="000000"/>
                <w:sz w:val="20"/>
                <w:szCs w:val="20"/>
                <w:lang w:val="es-AR" w:eastAsia="es-AR"/>
              </w:rPr>
              <w:t>tasa de interés</w:t>
            </w:r>
          </w:p>
        </w:tc>
        <w:tc>
          <w:tcPr>
            <w:tcW w:w="680" w:type="dxa"/>
            <w:tcBorders>
              <w:top w:val="nil"/>
              <w:left w:val="nil"/>
              <w:bottom w:val="single" w:sz="4" w:space="0" w:color="auto"/>
              <w:right w:val="single" w:sz="4" w:space="0" w:color="auto"/>
            </w:tcBorders>
            <w:shd w:val="clear" w:color="auto" w:fill="auto"/>
            <w:vAlign w:val="center"/>
            <w:hideMark/>
          </w:tcPr>
          <w:p w:rsidR="00F16D55" w:rsidRPr="00CC5897" w:rsidRDefault="00F16D55" w:rsidP="00F16D55">
            <w:pPr>
              <w:spacing w:after="0" w:line="240" w:lineRule="auto"/>
              <w:jc w:val="center"/>
              <w:rPr>
                <w:rFonts w:ascii="Times New Roman" w:hAnsi="Times New Roman"/>
                <w:noProof w:val="0"/>
                <w:color w:val="000000"/>
                <w:sz w:val="20"/>
                <w:szCs w:val="20"/>
                <w:lang w:val="es-AR" w:eastAsia="es-AR"/>
              </w:rPr>
            </w:pPr>
            <w:r w:rsidRPr="00CC5897">
              <w:rPr>
                <w:rFonts w:ascii="Times New Roman" w:hAnsi="Times New Roman"/>
                <w:noProof w:val="0"/>
                <w:color w:val="000000"/>
                <w:sz w:val="20"/>
                <w:szCs w:val="20"/>
                <w:lang w:val="es-AR" w:eastAsia="es-AR"/>
              </w:rPr>
              <w:t>monto</w:t>
            </w:r>
          </w:p>
        </w:tc>
        <w:tc>
          <w:tcPr>
            <w:tcW w:w="880" w:type="dxa"/>
            <w:tcBorders>
              <w:top w:val="nil"/>
              <w:left w:val="nil"/>
              <w:bottom w:val="single" w:sz="4" w:space="0" w:color="auto"/>
              <w:right w:val="single" w:sz="4" w:space="0" w:color="auto"/>
            </w:tcBorders>
            <w:shd w:val="clear" w:color="auto" w:fill="auto"/>
            <w:vAlign w:val="center"/>
            <w:hideMark/>
          </w:tcPr>
          <w:p w:rsidR="00F16D55" w:rsidRPr="00CC5897" w:rsidRDefault="00F16D55" w:rsidP="00F16D55">
            <w:pPr>
              <w:spacing w:after="0" w:line="240" w:lineRule="auto"/>
              <w:jc w:val="center"/>
              <w:rPr>
                <w:rFonts w:ascii="Times New Roman" w:hAnsi="Times New Roman"/>
                <w:noProof w:val="0"/>
                <w:color w:val="000000"/>
                <w:sz w:val="20"/>
                <w:szCs w:val="20"/>
                <w:lang w:val="es-AR" w:eastAsia="es-AR"/>
              </w:rPr>
            </w:pPr>
            <w:r w:rsidRPr="00CC5897">
              <w:rPr>
                <w:rFonts w:ascii="Times New Roman" w:hAnsi="Times New Roman"/>
                <w:noProof w:val="0"/>
                <w:color w:val="000000"/>
                <w:sz w:val="20"/>
                <w:szCs w:val="20"/>
                <w:lang w:val="es-AR" w:eastAsia="es-AR"/>
              </w:rPr>
              <w:t>tasa de interés</w:t>
            </w:r>
          </w:p>
        </w:tc>
        <w:tc>
          <w:tcPr>
            <w:tcW w:w="760" w:type="dxa"/>
            <w:tcBorders>
              <w:top w:val="nil"/>
              <w:left w:val="nil"/>
              <w:bottom w:val="single" w:sz="4" w:space="0" w:color="auto"/>
              <w:right w:val="single" w:sz="4" w:space="0" w:color="auto"/>
            </w:tcBorders>
            <w:shd w:val="clear" w:color="auto" w:fill="auto"/>
            <w:vAlign w:val="center"/>
            <w:hideMark/>
          </w:tcPr>
          <w:p w:rsidR="00F16D55" w:rsidRPr="00CC5897" w:rsidRDefault="00F16D55" w:rsidP="00F16D55">
            <w:pPr>
              <w:spacing w:after="0" w:line="240" w:lineRule="auto"/>
              <w:jc w:val="center"/>
              <w:rPr>
                <w:rFonts w:ascii="Times New Roman" w:hAnsi="Times New Roman"/>
                <w:noProof w:val="0"/>
                <w:color w:val="000000"/>
                <w:sz w:val="20"/>
                <w:szCs w:val="20"/>
                <w:lang w:val="es-AR" w:eastAsia="es-AR"/>
              </w:rPr>
            </w:pPr>
            <w:r w:rsidRPr="00CC5897">
              <w:rPr>
                <w:rFonts w:ascii="Times New Roman" w:hAnsi="Times New Roman"/>
                <w:noProof w:val="0"/>
                <w:color w:val="000000"/>
                <w:sz w:val="20"/>
                <w:szCs w:val="20"/>
                <w:lang w:val="es-AR" w:eastAsia="es-AR"/>
              </w:rPr>
              <w:t>monto</w:t>
            </w:r>
          </w:p>
        </w:tc>
        <w:tc>
          <w:tcPr>
            <w:tcW w:w="1020" w:type="dxa"/>
            <w:tcBorders>
              <w:top w:val="nil"/>
              <w:left w:val="nil"/>
              <w:bottom w:val="single" w:sz="4" w:space="0" w:color="auto"/>
              <w:right w:val="single" w:sz="4" w:space="0" w:color="auto"/>
            </w:tcBorders>
            <w:shd w:val="clear" w:color="auto" w:fill="auto"/>
            <w:vAlign w:val="center"/>
            <w:hideMark/>
          </w:tcPr>
          <w:p w:rsidR="00F16D55" w:rsidRPr="00CC5897" w:rsidRDefault="00F16D55" w:rsidP="00F16D55">
            <w:pPr>
              <w:spacing w:after="0" w:line="240" w:lineRule="auto"/>
              <w:jc w:val="center"/>
              <w:rPr>
                <w:rFonts w:ascii="Times New Roman" w:hAnsi="Times New Roman"/>
                <w:noProof w:val="0"/>
                <w:color w:val="000000"/>
                <w:sz w:val="20"/>
                <w:szCs w:val="20"/>
                <w:lang w:val="es-AR" w:eastAsia="es-AR"/>
              </w:rPr>
            </w:pPr>
            <w:r w:rsidRPr="00CC5897">
              <w:rPr>
                <w:rFonts w:ascii="Times New Roman" w:hAnsi="Times New Roman"/>
                <w:noProof w:val="0"/>
                <w:color w:val="000000"/>
                <w:sz w:val="20"/>
                <w:szCs w:val="20"/>
                <w:lang w:val="es-AR" w:eastAsia="es-AR"/>
              </w:rPr>
              <w:t>monto</w:t>
            </w:r>
          </w:p>
        </w:tc>
      </w:tr>
      <w:tr w:rsidR="00F16D55" w:rsidRPr="00CC5897" w:rsidTr="009430E5">
        <w:trPr>
          <w:trHeight w:val="705"/>
          <w:jc w:val="center"/>
        </w:trPr>
        <w:tc>
          <w:tcPr>
            <w:tcW w:w="3040" w:type="dxa"/>
            <w:tcBorders>
              <w:top w:val="nil"/>
              <w:left w:val="single" w:sz="4" w:space="0" w:color="auto"/>
              <w:bottom w:val="single" w:sz="4" w:space="0" w:color="auto"/>
              <w:right w:val="single" w:sz="4" w:space="0" w:color="auto"/>
            </w:tcBorders>
            <w:shd w:val="clear" w:color="auto" w:fill="auto"/>
            <w:vAlign w:val="center"/>
            <w:hideMark/>
          </w:tcPr>
          <w:p w:rsidR="00F16D55" w:rsidRPr="00CC5897" w:rsidRDefault="00F16D55" w:rsidP="00F16D55">
            <w:pPr>
              <w:spacing w:after="0" w:line="240" w:lineRule="auto"/>
              <w:rPr>
                <w:rFonts w:ascii="Times New Roman" w:hAnsi="Times New Roman"/>
                <w:noProof w:val="0"/>
                <w:color w:val="000000"/>
                <w:sz w:val="20"/>
                <w:szCs w:val="20"/>
                <w:lang w:val="es-AR" w:eastAsia="es-AR"/>
              </w:rPr>
            </w:pPr>
            <w:r w:rsidRPr="00CC5897">
              <w:rPr>
                <w:rFonts w:ascii="Times New Roman" w:hAnsi="Times New Roman"/>
                <w:noProof w:val="0"/>
                <w:color w:val="000000"/>
                <w:sz w:val="20"/>
                <w:szCs w:val="20"/>
                <w:lang w:val="es-AR" w:eastAsia="es-AR"/>
              </w:rPr>
              <w:t xml:space="preserve">Disminución en la tasa de </w:t>
            </w:r>
            <w:r w:rsidR="0051129A" w:rsidRPr="00CC5897">
              <w:rPr>
                <w:rFonts w:ascii="Times New Roman" w:hAnsi="Times New Roman"/>
                <w:noProof w:val="0"/>
                <w:color w:val="000000"/>
                <w:sz w:val="20"/>
                <w:szCs w:val="20"/>
                <w:lang w:val="es-AR" w:eastAsia="es-AR"/>
              </w:rPr>
              <w:t>interés</w:t>
            </w:r>
            <w:r w:rsidRPr="00CC5897">
              <w:rPr>
                <w:rFonts w:ascii="Times New Roman" w:hAnsi="Times New Roman"/>
                <w:noProof w:val="0"/>
                <w:color w:val="000000"/>
                <w:sz w:val="20"/>
                <w:szCs w:val="20"/>
                <w:lang w:val="es-AR" w:eastAsia="es-AR"/>
              </w:rPr>
              <w:t xml:space="preserve"> pagada por la TGN</w:t>
            </w:r>
          </w:p>
        </w:tc>
        <w:tc>
          <w:tcPr>
            <w:tcW w:w="1420" w:type="dxa"/>
            <w:tcBorders>
              <w:top w:val="nil"/>
              <w:left w:val="nil"/>
              <w:bottom w:val="single" w:sz="4" w:space="0" w:color="auto"/>
              <w:right w:val="single" w:sz="4" w:space="0" w:color="auto"/>
            </w:tcBorders>
            <w:shd w:val="clear" w:color="auto" w:fill="auto"/>
            <w:vAlign w:val="center"/>
            <w:hideMark/>
          </w:tcPr>
          <w:p w:rsidR="00F16D55" w:rsidRPr="00CC5897" w:rsidRDefault="00F16D55" w:rsidP="00F16D55">
            <w:pPr>
              <w:spacing w:after="0" w:line="240" w:lineRule="auto"/>
              <w:jc w:val="center"/>
              <w:rPr>
                <w:rFonts w:ascii="Times New Roman" w:hAnsi="Times New Roman"/>
                <w:noProof w:val="0"/>
                <w:color w:val="000000"/>
                <w:sz w:val="20"/>
                <w:szCs w:val="20"/>
                <w:lang w:val="es-AR" w:eastAsia="es-AR"/>
              </w:rPr>
            </w:pPr>
            <w:r w:rsidRPr="00CC5897">
              <w:rPr>
                <w:rFonts w:ascii="Times New Roman" w:hAnsi="Times New Roman"/>
                <w:noProof w:val="0"/>
                <w:color w:val="000000"/>
                <w:sz w:val="20"/>
                <w:szCs w:val="20"/>
                <w:lang w:val="es-AR" w:eastAsia="es-AR"/>
              </w:rPr>
              <w:t>442,9</w:t>
            </w:r>
          </w:p>
        </w:tc>
        <w:tc>
          <w:tcPr>
            <w:tcW w:w="800" w:type="dxa"/>
            <w:tcBorders>
              <w:top w:val="nil"/>
              <w:left w:val="nil"/>
              <w:bottom w:val="single" w:sz="4" w:space="0" w:color="auto"/>
              <w:right w:val="single" w:sz="4" w:space="0" w:color="auto"/>
            </w:tcBorders>
            <w:shd w:val="clear" w:color="auto" w:fill="auto"/>
            <w:vAlign w:val="center"/>
            <w:hideMark/>
          </w:tcPr>
          <w:p w:rsidR="00F16D55" w:rsidRPr="00CC5897" w:rsidRDefault="00F16D55" w:rsidP="00F16D55">
            <w:pPr>
              <w:spacing w:after="0" w:line="240" w:lineRule="auto"/>
              <w:jc w:val="center"/>
              <w:rPr>
                <w:rFonts w:ascii="Times New Roman" w:hAnsi="Times New Roman"/>
                <w:noProof w:val="0"/>
                <w:color w:val="000000"/>
                <w:sz w:val="20"/>
                <w:szCs w:val="20"/>
                <w:lang w:val="es-AR" w:eastAsia="es-AR"/>
              </w:rPr>
            </w:pPr>
            <w:r w:rsidRPr="00CC5897">
              <w:rPr>
                <w:rFonts w:ascii="Times New Roman" w:hAnsi="Times New Roman"/>
                <w:noProof w:val="0"/>
                <w:color w:val="000000"/>
                <w:sz w:val="20"/>
                <w:szCs w:val="20"/>
                <w:lang w:val="es-AR" w:eastAsia="es-AR"/>
              </w:rPr>
              <w:t>2,5%</w:t>
            </w:r>
          </w:p>
        </w:tc>
        <w:tc>
          <w:tcPr>
            <w:tcW w:w="680" w:type="dxa"/>
            <w:tcBorders>
              <w:top w:val="nil"/>
              <w:left w:val="nil"/>
              <w:bottom w:val="single" w:sz="4" w:space="0" w:color="auto"/>
              <w:right w:val="single" w:sz="4" w:space="0" w:color="auto"/>
            </w:tcBorders>
            <w:shd w:val="clear" w:color="auto" w:fill="auto"/>
            <w:vAlign w:val="center"/>
            <w:hideMark/>
          </w:tcPr>
          <w:p w:rsidR="00F16D55" w:rsidRPr="00CC5897" w:rsidRDefault="00F16D55" w:rsidP="00F16D55">
            <w:pPr>
              <w:spacing w:after="0" w:line="240" w:lineRule="auto"/>
              <w:jc w:val="center"/>
              <w:rPr>
                <w:rFonts w:ascii="Times New Roman" w:hAnsi="Times New Roman"/>
                <w:noProof w:val="0"/>
                <w:color w:val="000000"/>
                <w:sz w:val="20"/>
                <w:szCs w:val="20"/>
                <w:lang w:val="es-AR" w:eastAsia="es-AR"/>
              </w:rPr>
            </w:pPr>
            <w:r w:rsidRPr="00CC5897">
              <w:rPr>
                <w:rFonts w:ascii="Times New Roman" w:hAnsi="Times New Roman"/>
                <w:noProof w:val="0"/>
                <w:color w:val="000000"/>
                <w:sz w:val="20"/>
                <w:szCs w:val="20"/>
                <w:lang w:val="es-AR" w:eastAsia="es-AR"/>
              </w:rPr>
              <w:t>11,1</w:t>
            </w:r>
          </w:p>
        </w:tc>
        <w:tc>
          <w:tcPr>
            <w:tcW w:w="880" w:type="dxa"/>
            <w:tcBorders>
              <w:top w:val="nil"/>
              <w:left w:val="nil"/>
              <w:bottom w:val="single" w:sz="4" w:space="0" w:color="auto"/>
              <w:right w:val="single" w:sz="4" w:space="0" w:color="auto"/>
            </w:tcBorders>
            <w:shd w:val="clear" w:color="auto" w:fill="auto"/>
            <w:vAlign w:val="center"/>
            <w:hideMark/>
          </w:tcPr>
          <w:p w:rsidR="00F16D55" w:rsidRPr="00CC5897" w:rsidRDefault="00F16D55" w:rsidP="00F16D55">
            <w:pPr>
              <w:spacing w:after="0" w:line="240" w:lineRule="auto"/>
              <w:jc w:val="center"/>
              <w:rPr>
                <w:rFonts w:ascii="Times New Roman" w:hAnsi="Times New Roman"/>
                <w:noProof w:val="0"/>
                <w:color w:val="000000"/>
                <w:sz w:val="20"/>
                <w:szCs w:val="20"/>
                <w:lang w:val="es-AR" w:eastAsia="es-AR"/>
              </w:rPr>
            </w:pPr>
            <w:r w:rsidRPr="00CC5897">
              <w:rPr>
                <w:rFonts w:ascii="Times New Roman" w:hAnsi="Times New Roman"/>
                <w:noProof w:val="0"/>
                <w:color w:val="000000"/>
                <w:sz w:val="20"/>
                <w:szCs w:val="20"/>
                <w:lang w:val="es-AR" w:eastAsia="es-AR"/>
              </w:rPr>
              <w:t>2,0%</w:t>
            </w:r>
          </w:p>
        </w:tc>
        <w:tc>
          <w:tcPr>
            <w:tcW w:w="760" w:type="dxa"/>
            <w:tcBorders>
              <w:top w:val="nil"/>
              <w:left w:val="nil"/>
              <w:bottom w:val="single" w:sz="4" w:space="0" w:color="auto"/>
              <w:right w:val="single" w:sz="4" w:space="0" w:color="auto"/>
            </w:tcBorders>
            <w:shd w:val="clear" w:color="auto" w:fill="auto"/>
            <w:vAlign w:val="center"/>
            <w:hideMark/>
          </w:tcPr>
          <w:p w:rsidR="00F16D55" w:rsidRPr="00CC5897" w:rsidRDefault="00F16D55" w:rsidP="00F16D55">
            <w:pPr>
              <w:spacing w:after="0" w:line="240" w:lineRule="auto"/>
              <w:jc w:val="center"/>
              <w:rPr>
                <w:rFonts w:ascii="Times New Roman" w:hAnsi="Times New Roman"/>
                <w:noProof w:val="0"/>
                <w:color w:val="000000"/>
                <w:sz w:val="20"/>
                <w:szCs w:val="20"/>
                <w:lang w:val="es-AR" w:eastAsia="es-AR"/>
              </w:rPr>
            </w:pPr>
            <w:r w:rsidRPr="00CC5897">
              <w:rPr>
                <w:rFonts w:ascii="Times New Roman" w:hAnsi="Times New Roman"/>
                <w:noProof w:val="0"/>
                <w:color w:val="000000"/>
                <w:sz w:val="20"/>
                <w:szCs w:val="20"/>
                <w:lang w:val="es-AR" w:eastAsia="es-AR"/>
              </w:rPr>
              <w:t>8,9</w:t>
            </w:r>
          </w:p>
        </w:tc>
        <w:tc>
          <w:tcPr>
            <w:tcW w:w="1020" w:type="dxa"/>
            <w:tcBorders>
              <w:top w:val="nil"/>
              <w:left w:val="nil"/>
              <w:bottom w:val="single" w:sz="4" w:space="0" w:color="auto"/>
              <w:right w:val="single" w:sz="4" w:space="0" w:color="auto"/>
            </w:tcBorders>
            <w:shd w:val="clear" w:color="auto" w:fill="auto"/>
            <w:vAlign w:val="center"/>
            <w:hideMark/>
          </w:tcPr>
          <w:p w:rsidR="00F16D55" w:rsidRPr="00CC5897" w:rsidRDefault="00F16D55" w:rsidP="00F16D55">
            <w:pPr>
              <w:spacing w:after="0" w:line="240" w:lineRule="auto"/>
              <w:jc w:val="center"/>
              <w:rPr>
                <w:rFonts w:ascii="Times New Roman" w:hAnsi="Times New Roman"/>
                <w:noProof w:val="0"/>
                <w:color w:val="000000"/>
                <w:sz w:val="20"/>
                <w:szCs w:val="20"/>
                <w:lang w:val="es-AR" w:eastAsia="es-AR"/>
              </w:rPr>
            </w:pPr>
            <w:r w:rsidRPr="00CC5897">
              <w:rPr>
                <w:rFonts w:ascii="Times New Roman" w:hAnsi="Times New Roman"/>
                <w:noProof w:val="0"/>
                <w:color w:val="000000"/>
                <w:sz w:val="20"/>
                <w:szCs w:val="20"/>
                <w:lang w:val="es-AR" w:eastAsia="es-AR"/>
              </w:rPr>
              <w:t>2,2</w:t>
            </w:r>
          </w:p>
        </w:tc>
      </w:tr>
      <w:tr w:rsidR="00F16D55" w:rsidRPr="00CC5897" w:rsidTr="009430E5">
        <w:trPr>
          <w:trHeight w:val="780"/>
          <w:jc w:val="center"/>
        </w:trPr>
        <w:tc>
          <w:tcPr>
            <w:tcW w:w="3040" w:type="dxa"/>
            <w:tcBorders>
              <w:top w:val="nil"/>
              <w:left w:val="single" w:sz="4" w:space="0" w:color="auto"/>
              <w:bottom w:val="single" w:sz="4" w:space="0" w:color="auto"/>
              <w:right w:val="single" w:sz="4" w:space="0" w:color="auto"/>
            </w:tcBorders>
            <w:shd w:val="clear" w:color="auto" w:fill="auto"/>
            <w:vAlign w:val="center"/>
            <w:hideMark/>
          </w:tcPr>
          <w:p w:rsidR="00F16D55" w:rsidRPr="00CC5897" w:rsidRDefault="00F16D55" w:rsidP="00F16D55">
            <w:pPr>
              <w:spacing w:after="0" w:line="240" w:lineRule="auto"/>
              <w:rPr>
                <w:rFonts w:ascii="Times New Roman" w:hAnsi="Times New Roman"/>
                <w:noProof w:val="0"/>
                <w:color w:val="000000"/>
                <w:sz w:val="20"/>
                <w:szCs w:val="20"/>
                <w:lang w:val="es-AR" w:eastAsia="es-AR"/>
              </w:rPr>
            </w:pPr>
            <w:r w:rsidRPr="00CC5897">
              <w:rPr>
                <w:rFonts w:ascii="Times New Roman" w:hAnsi="Times New Roman"/>
                <w:noProof w:val="0"/>
                <w:color w:val="000000"/>
                <w:sz w:val="20"/>
                <w:szCs w:val="20"/>
                <w:lang w:val="es-AR" w:eastAsia="es-AR"/>
              </w:rPr>
              <w:t>Acceso al mercado internacional de capitales en condiciones mas ventajosas</w:t>
            </w:r>
          </w:p>
        </w:tc>
        <w:tc>
          <w:tcPr>
            <w:tcW w:w="1420" w:type="dxa"/>
            <w:tcBorders>
              <w:top w:val="nil"/>
              <w:left w:val="nil"/>
              <w:bottom w:val="single" w:sz="4" w:space="0" w:color="auto"/>
              <w:right w:val="single" w:sz="4" w:space="0" w:color="auto"/>
            </w:tcBorders>
            <w:shd w:val="clear" w:color="auto" w:fill="auto"/>
            <w:vAlign w:val="center"/>
            <w:hideMark/>
          </w:tcPr>
          <w:p w:rsidR="00F16D55" w:rsidRPr="00CC5897" w:rsidRDefault="00F16D55" w:rsidP="00F16D55">
            <w:pPr>
              <w:spacing w:after="0" w:line="240" w:lineRule="auto"/>
              <w:jc w:val="center"/>
              <w:rPr>
                <w:rFonts w:ascii="Times New Roman" w:hAnsi="Times New Roman"/>
                <w:noProof w:val="0"/>
                <w:color w:val="000000"/>
                <w:sz w:val="20"/>
                <w:szCs w:val="20"/>
                <w:lang w:val="es-AR" w:eastAsia="es-AR"/>
              </w:rPr>
            </w:pPr>
            <w:r w:rsidRPr="00CC5897">
              <w:rPr>
                <w:rFonts w:ascii="Times New Roman" w:hAnsi="Times New Roman"/>
                <w:noProof w:val="0"/>
                <w:color w:val="000000"/>
                <w:sz w:val="20"/>
                <w:szCs w:val="20"/>
                <w:lang w:val="es-AR" w:eastAsia="es-AR"/>
              </w:rPr>
              <w:t>350,0</w:t>
            </w:r>
          </w:p>
        </w:tc>
        <w:tc>
          <w:tcPr>
            <w:tcW w:w="800" w:type="dxa"/>
            <w:tcBorders>
              <w:top w:val="nil"/>
              <w:left w:val="nil"/>
              <w:bottom w:val="single" w:sz="4" w:space="0" w:color="auto"/>
              <w:right w:val="single" w:sz="4" w:space="0" w:color="auto"/>
            </w:tcBorders>
            <w:shd w:val="clear" w:color="auto" w:fill="auto"/>
            <w:vAlign w:val="center"/>
            <w:hideMark/>
          </w:tcPr>
          <w:p w:rsidR="00F16D55" w:rsidRPr="00CC5897" w:rsidRDefault="00F16D55" w:rsidP="00F16D55">
            <w:pPr>
              <w:spacing w:after="0" w:line="240" w:lineRule="auto"/>
              <w:jc w:val="center"/>
              <w:rPr>
                <w:rFonts w:ascii="Times New Roman" w:hAnsi="Times New Roman"/>
                <w:noProof w:val="0"/>
                <w:color w:val="000000"/>
                <w:sz w:val="20"/>
                <w:szCs w:val="20"/>
                <w:lang w:val="es-AR" w:eastAsia="es-AR"/>
              </w:rPr>
            </w:pPr>
            <w:r w:rsidRPr="00CC5897">
              <w:rPr>
                <w:rFonts w:ascii="Times New Roman" w:hAnsi="Times New Roman"/>
                <w:noProof w:val="0"/>
                <w:color w:val="000000"/>
                <w:sz w:val="20"/>
                <w:szCs w:val="20"/>
                <w:lang w:val="es-AR" w:eastAsia="es-AR"/>
              </w:rPr>
              <w:t>10,0%</w:t>
            </w:r>
          </w:p>
        </w:tc>
        <w:tc>
          <w:tcPr>
            <w:tcW w:w="680" w:type="dxa"/>
            <w:tcBorders>
              <w:top w:val="nil"/>
              <w:left w:val="nil"/>
              <w:bottom w:val="single" w:sz="4" w:space="0" w:color="auto"/>
              <w:right w:val="single" w:sz="4" w:space="0" w:color="auto"/>
            </w:tcBorders>
            <w:shd w:val="clear" w:color="auto" w:fill="auto"/>
            <w:vAlign w:val="center"/>
            <w:hideMark/>
          </w:tcPr>
          <w:p w:rsidR="00F16D55" w:rsidRPr="00CC5897" w:rsidRDefault="00F16D55" w:rsidP="00F16D55">
            <w:pPr>
              <w:spacing w:after="0" w:line="240" w:lineRule="auto"/>
              <w:jc w:val="center"/>
              <w:rPr>
                <w:rFonts w:ascii="Times New Roman" w:hAnsi="Times New Roman"/>
                <w:noProof w:val="0"/>
                <w:color w:val="000000"/>
                <w:sz w:val="20"/>
                <w:szCs w:val="20"/>
                <w:lang w:val="es-AR" w:eastAsia="es-AR"/>
              </w:rPr>
            </w:pPr>
            <w:r w:rsidRPr="00CC5897">
              <w:rPr>
                <w:rFonts w:ascii="Times New Roman" w:hAnsi="Times New Roman"/>
                <w:noProof w:val="0"/>
                <w:color w:val="000000"/>
                <w:sz w:val="20"/>
                <w:szCs w:val="20"/>
                <w:lang w:val="es-AR" w:eastAsia="es-AR"/>
              </w:rPr>
              <w:t>35</w:t>
            </w:r>
          </w:p>
        </w:tc>
        <w:tc>
          <w:tcPr>
            <w:tcW w:w="880" w:type="dxa"/>
            <w:tcBorders>
              <w:top w:val="nil"/>
              <w:left w:val="nil"/>
              <w:bottom w:val="single" w:sz="4" w:space="0" w:color="auto"/>
              <w:right w:val="single" w:sz="4" w:space="0" w:color="auto"/>
            </w:tcBorders>
            <w:shd w:val="clear" w:color="auto" w:fill="auto"/>
            <w:vAlign w:val="center"/>
            <w:hideMark/>
          </w:tcPr>
          <w:p w:rsidR="00F16D55" w:rsidRPr="00CC5897" w:rsidRDefault="00F16D55" w:rsidP="00F16D55">
            <w:pPr>
              <w:spacing w:after="0" w:line="240" w:lineRule="auto"/>
              <w:jc w:val="center"/>
              <w:rPr>
                <w:rFonts w:ascii="Times New Roman" w:hAnsi="Times New Roman"/>
                <w:noProof w:val="0"/>
                <w:color w:val="000000"/>
                <w:sz w:val="20"/>
                <w:szCs w:val="20"/>
                <w:lang w:val="es-AR" w:eastAsia="es-AR"/>
              </w:rPr>
            </w:pPr>
            <w:r w:rsidRPr="00CC5897">
              <w:rPr>
                <w:rFonts w:ascii="Times New Roman" w:hAnsi="Times New Roman"/>
                <w:noProof w:val="0"/>
                <w:color w:val="000000"/>
                <w:sz w:val="20"/>
                <w:szCs w:val="20"/>
                <w:lang w:val="es-AR" w:eastAsia="es-AR"/>
              </w:rPr>
              <w:t>8,0%</w:t>
            </w:r>
          </w:p>
        </w:tc>
        <w:tc>
          <w:tcPr>
            <w:tcW w:w="760" w:type="dxa"/>
            <w:tcBorders>
              <w:top w:val="nil"/>
              <w:left w:val="nil"/>
              <w:bottom w:val="single" w:sz="4" w:space="0" w:color="auto"/>
              <w:right w:val="single" w:sz="4" w:space="0" w:color="auto"/>
            </w:tcBorders>
            <w:shd w:val="clear" w:color="auto" w:fill="auto"/>
            <w:vAlign w:val="center"/>
            <w:hideMark/>
          </w:tcPr>
          <w:p w:rsidR="00F16D55" w:rsidRPr="00CC5897" w:rsidRDefault="00F16D55" w:rsidP="00F16D55">
            <w:pPr>
              <w:spacing w:after="0" w:line="240" w:lineRule="auto"/>
              <w:jc w:val="center"/>
              <w:rPr>
                <w:rFonts w:ascii="Times New Roman" w:hAnsi="Times New Roman"/>
                <w:noProof w:val="0"/>
                <w:color w:val="000000"/>
                <w:sz w:val="20"/>
                <w:szCs w:val="20"/>
                <w:lang w:val="es-AR" w:eastAsia="es-AR"/>
              </w:rPr>
            </w:pPr>
            <w:r w:rsidRPr="00CC5897">
              <w:rPr>
                <w:rFonts w:ascii="Times New Roman" w:hAnsi="Times New Roman"/>
                <w:noProof w:val="0"/>
                <w:color w:val="000000"/>
                <w:sz w:val="20"/>
                <w:szCs w:val="20"/>
                <w:lang w:val="es-AR" w:eastAsia="es-AR"/>
              </w:rPr>
              <w:t>28,0</w:t>
            </w:r>
          </w:p>
        </w:tc>
        <w:tc>
          <w:tcPr>
            <w:tcW w:w="1020" w:type="dxa"/>
            <w:tcBorders>
              <w:top w:val="nil"/>
              <w:left w:val="nil"/>
              <w:bottom w:val="single" w:sz="4" w:space="0" w:color="auto"/>
              <w:right w:val="single" w:sz="4" w:space="0" w:color="auto"/>
            </w:tcBorders>
            <w:shd w:val="clear" w:color="auto" w:fill="auto"/>
            <w:vAlign w:val="center"/>
            <w:hideMark/>
          </w:tcPr>
          <w:p w:rsidR="00F16D55" w:rsidRPr="00CC5897" w:rsidRDefault="00F16D55" w:rsidP="00F16D55">
            <w:pPr>
              <w:spacing w:after="0" w:line="240" w:lineRule="auto"/>
              <w:jc w:val="center"/>
              <w:rPr>
                <w:rFonts w:ascii="Times New Roman" w:hAnsi="Times New Roman"/>
                <w:noProof w:val="0"/>
                <w:color w:val="000000"/>
                <w:sz w:val="20"/>
                <w:szCs w:val="20"/>
                <w:lang w:val="es-AR" w:eastAsia="es-AR"/>
              </w:rPr>
            </w:pPr>
            <w:r w:rsidRPr="00CC5897">
              <w:rPr>
                <w:rFonts w:ascii="Times New Roman" w:hAnsi="Times New Roman"/>
                <w:noProof w:val="0"/>
                <w:color w:val="000000"/>
                <w:sz w:val="20"/>
                <w:szCs w:val="20"/>
                <w:lang w:val="es-AR" w:eastAsia="es-AR"/>
              </w:rPr>
              <w:t>7,0</w:t>
            </w:r>
          </w:p>
        </w:tc>
      </w:tr>
    </w:tbl>
    <w:p w:rsidR="00F16D55" w:rsidRPr="003541CB" w:rsidRDefault="00F16D55" w:rsidP="003541CB">
      <w:pPr>
        <w:spacing w:before="120" w:after="120"/>
        <w:jc w:val="both"/>
        <w:rPr>
          <w:rFonts w:ascii="Times New Roman" w:hAnsi="Times New Roman"/>
          <w:sz w:val="24"/>
          <w:szCs w:val="24"/>
        </w:rPr>
      </w:pPr>
    </w:p>
    <w:p w:rsidR="00CA37D5" w:rsidRPr="005C5B91" w:rsidRDefault="00CA37D5" w:rsidP="00FD4A49">
      <w:pPr>
        <w:spacing w:before="240" w:after="120"/>
        <w:jc w:val="both"/>
        <w:rPr>
          <w:rFonts w:ascii="Times New Roman" w:hAnsi="Times New Roman"/>
          <w:b/>
          <w:sz w:val="24"/>
          <w:szCs w:val="24"/>
        </w:rPr>
      </w:pPr>
      <w:r>
        <w:rPr>
          <w:rFonts w:ascii="Times New Roman" w:hAnsi="Times New Roman"/>
          <w:b/>
          <w:sz w:val="24"/>
          <w:szCs w:val="24"/>
        </w:rPr>
        <w:t>B.</w:t>
      </w:r>
      <w:r>
        <w:rPr>
          <w:rFonts w:ascii="Times New Roman" w:hAnsi="Times New Roman"/>
          <w:b/>
          <w:sz w:val="24"/>
          <w:szCs w:val="24"/>
        </w:rPr>
        <w:tab/>
      </w:r>
      <w:r w:rsidRPr="005C5B91">
        <w:rPr>
          <w:rFonts w:ascii="Times New Roman Bold" w:hAnsi="Times New Roman Bold"/>
          <w:b/>
          <w:smallCaps/>
          <w:sz w:val="24"/>
          <w:szCs w:val="24"/>
        </w:rPr>
        <w:t>Administración Financiera (Cuenta Única del Tesoro)</w:t>
      </w:r>
    </w:p>
    <w:p w:rsidR="00CA37D5" w:rsidRPr="003541CB" w:rsidRDefault="003541CB" w:rsidP="003541CB">
      <w:pPr>
        <w:spacing w:before="120" w:after="120"/>
        <w:jc w:val="both"/>
        <w:rPr>
          <w:rFonts w:ascii="Times New Roman" w:hAnsi="Times New Roman"/>
          <w:sz w:val="24"/>
          <w:szCs w:val="24"/>
        </w:rPr>
      </w:pPr>
      <w:r>
        <w:rPr>
          <w:rFonts w:ascii="Times New Roman" w:hAnsi="Times New Roman"/>
          <w:b/>
          <w:sz w:val="24"/>
          <w:szCs w:val="24"/>
        </w:rPr>
        <w:t>S</w:t>
      </w:r>
      <w:r w:rsidR="00CA37D5" w:rsidRPr="003541CB">
        <w:rPr>
          <w:rFonts w:ascii="Times New Roman" w:hAnsi="Times New Roman"/>
          <w:b/>
          <w:sz w:val="24"/>
          <w:szCs w:val="24"/>
        </w:rPr>
        <w:t xml:space="preserve">upuesto </w:t>
      </w:r>
      <w:r w:rsidR="009477B9" w:rsidRPr="003541CB">
        <w:rPr>
          <w:rFonts w:ascii="Times New Roman" w:hAnsi="Times New Roman"/>
          <w:b/>
          <w:sz w:val="24"/>
          <w:szCs w:val="24"/>
        </w:rPr>
        <w:t>3</w:t>
      </w:r>
      <w:r w:rsidR="00CA37D5" w:rsidRPr="003541CB">
        <w:rPr>
          <w:rFonts w:ascii="Times New Roman" w:hAnsi="Times New Roman"/>
          <w:b/>
          <w:sz w:val="24"/>
          <w:szCs w:val="24"/>
        </w:rPr>
        <w:t xml:space="preserve">: </w:t>
      </w:r>
      <w:r w:rsidR="00CA37D5" w:rsidRPr="00F92F9B">
        <w:rPr>
          <w:rFonts w:ascii="Times New Roman" w:hAnsi="Times New Roman"/>
          <w:b/>
          <w:i/>
          <w:sz w:val="24"/>
          <w:szCs w:val="24"/>
        </w:rPr>
        <w:t>Se genera un beneficio financiero a partir del aumento de los intereses recibidos sobre los saldos de la Cuenta Única del Tesoro</w:t>
      </w:r>
      <w:r w:rsidR="00CA37D5" w:rsidRPr="00F92F9B">
        <w:rPr>
          <w:rFonts w:ascii="Times New Roman" w:hAnsi="Times New Roman"/>
          <w:b/>
          <w:sz w:val="24"/>
          <w:szCs w:val="24"/>
        </w:rPr>
        <w:t>,</w:t>
      </w:r>
      <w:r w:rsidR="00CA37D5" w:rsidRPr="003541CB">
        <w:rPr>
          <w:rFonts w:ascii="Times New Roman" w:hAnsi="Times New Roman"/>
          <w:sz w:val="24"/>
          <w:szCs w:val="24"/>
        </w:rPr>
        <w:t xml:space="preserve"> generando un beneficio económico a partir de la inversión de estos recursos en actividades de los sectores sociales carentes. La implantación de un programa para asesorar los procedimientos de tesorería y de la Cuenta Única del Tesoro, es uno de los principales productos que contribuyen para el alcance de los beneficios estimados en un mejor manejo del gasto público (ver Matriz de Resultados del proyecto).</w:t>
      </w:r>
    </w:p>
    <w:p w:rsidR="00CA37D5" w:rsidRPr="00FD4A49" w:rsidRDefault="00CA37D5" w:rsidP="003541CB">
      <w:pPr>
        <w:spacing w:before="120" w:after="120"/>
        <w:jc w:val="both"/>
        <w:rPr>
          <w:rFonts w:ascii="Times New Roman" w:hAnsi="Times New Roman"/>
          <w:sz w:val="24"/>
          <w:szCs w:val="24"/>
        </w:rPr>
      </w:pPr>
      <w:r w:rsidRPr="00FD4A49">
        <w:rPr>
          <w:rFonts w:ascii="Times New Roman" w:hAnsi="Times New Roman"/>
          <w:sz w:val="24"/>
          <w:szCs w:val="24"/>
        </w:rPr>
        <w:t>La ausencia de un instrumento de gestión como la cuenta úni</w:t>
      </w:r>
      <w:r>
        <w:rPr>
          <w:rFonts w:ascii="Times New Roman" w:hAnsi="Times New Roman"/>
          <w:sz w:val="24"/>
          <w:szCs w:val="24"/>
        </w:rPr>
        <w:t>ca del tesoro, hace que</w:t>
      </w:r>
      <w:r w:rsidR="00E67853">
        <w:rPr>
          <w:rFonts w:ascii="Times New Roman" w:hAnsi="Times New Roman"/>
          <w:sz w:val="24"/>
          <w:szCs w:val="24"/>
        </w:rPr>
        <w:t xml:space="preserve"> no siempre </w:t>
      </w:r>
      <w:r>
        <w:rPr>
          <w:rFonts w:ascii="Times New Roman" w:hAnsi="Times New Roman"/>
          <w:sz w:val="24"/>
          <w:szCs w:val="24"/>
        </w:rPr>
        <w:t>el G</w:t>
      </w:r>
      <w:r w:rsidR="00FF77A0">
        <w:rPr>
          <w:rFonts w:ascii="Times New Roman" w:hAnsi="Times New Roman"/>
          <w:sz w:val="24"/>
          <w:szCs w:val="24"/>
        </w:rPr>
        <w:t xml:space="preserve">obierno Central </w:t>
      </w:r>
      <w:r w:rsidRPr="00FD4A49">
        <w:rPr>
          <w:rFonts w:ascii="Times New Roman" w:hAnsi="Times New Roman"/>
          <w:sz w:val="24"/>
          <w:szCs w:val="24"/>
        </w:rPr>
        <w:t xml:space="preserve">cuente con disponibilidad de caja suficiente y óptima para cumplir sus responsabilidades de forma oportuna, obligando a constantes financiamientos de su déficit </w:t>
      </w:r>
      <w:r w:rsidR="00E67853">
        <w:rPr>
          <w:rFonts w:ascii="Times New Roman" w:hAnsi="Times New Roman"/>
          <w:sz w:val="24"/>
          <w:szCs w:val="24"/>
        </w:rPr>
        <w:t>operativo</w:t>
      </w:r>
      <w:r w:rsidRPr="00FD4A49">
        <w:rPr>
          <w:rFonts w:ascii="Times New Roman" w:hAnsi="Times New Roman"/>
          <w:sz w:val="24"/>
          <w:szCs w:val="24"/>
        </w:rPr>
        <w:t xml:space="preserve">, en la mayoría de las veces a través de la emisión letras del tesoro. Esta debilidad contribuye de forma artificial a encarecer el financiamiento del </w:t>
      </w:r>
      <w:r w:rsidR="00E67853">
        <w:rPr>
          <w:rFonts w:ascii="Times New Roman" w:hAnsi="Times New Roman"/>
          <w:sz w:val="24"/>
          <w:szCs w:val="24"/>
        </w:rPr>
        <w:t>sector público</w:t>
      </w:r>
      <w:r w:rsidRPr="00FD4A49">
        <w:rPr>
          <w:rFonts w:ascii="Times New Roman" w:hAnsi="Times New Roman"/>
          <w:sz w:val="24"/>
          <w:szCs w:val="24"/>
        </w:rPr>
        <w:t>.</w:t>
      </w:r>
    </w:p>
    <w:p w:rsidR="00CA37D5" w:rsidRPr="00FD4A49" w:rsidRDefault="00CA37D5" w:rsidP="003541CB">
      <w:pPr>
        <w:spacing w:before="120" w:after="120"/>
        <w:jc w:val="both"/>
        <w:rPr>
          <w:rFonts w:ascii="Times New Roman" w:hAnsi="Times New Roman"/>
          <w:sz w:val="24"/>
          <w:szCs w:val="24"/>
        </w:rPr>
      </w:pPr>
      <w:r w:rsidRPr="00FD4A49">
        <w:rPr>
          <w:rFonts w:ascii="Times New Roman" w:hAnsi="Times New Roman"/>
          <w:sz w:val="24"/>
          <w:szCs w:val="24"/>
        </w:rPr>
        <w:t>De manera general, la ejecución presupuestaria es realizada de forma no programada, basada en las disponibilidades de caja, y haciendo que los pagos dependan de la ocurrencia de por lo menos las etapas de compromiso y devengado. Por lo tanto, la disponibilidad de recursos financieros para los entes ejecutores del gasto solamente ocurre cuando el bien ó el servicio es entregado. Dependiendo del tipo de bien ó servicio a ser adquirido, los tiempos para finalizar la transacción pueden ser bastante largos. Estos son justo los períodos en los cuales los recursos financieros se quedan inactivos en las cuentas bancarias de las unidades ejecutoras, en la mayoría de los casos generando intereses para estas unidades y no para el tesoro.</w:t>
      </w:r>
    </w:p>
    <w:p w:rsidR="00CA37D5" w:rsidRPr="00C75CD6" w:rsidRDefault="00CA37D5" w:rsidP="003541CB">
      <w:pPr>
        <w:spacing w:before="120" w:after="120"/>
        <w:jc w:val="both"/>
        <w:rPr>
          <w:rFonts w:ascii="Times New Roman" w:hAnsi="Times New Roman"/>
          <w:sz w:val="24"/>
          <w:szCs w:val="24"/>
        </w:rPr>
      </w:pPr>
      <w:r w:rsidRPr="00FD4A49">
        <w:rPr>
          <w:rFonts w:ascii="Times New Roman" w:hAnsi="Times New Roman"/>
          <w:sz w:val="24"/>
          <w:szCs w:val="24"/>
        </w:rPr>
        <w:t xml:space="preserve">La implantación de la Cuenta Única del Tesoro en </w:t>
      </w:r>
      <w:r w:rsidR="007E7AD4">
        <w:rPr>
          <w:rFonts w:ascii="Times New Roman" w:hAnsi="Times New Roman"/>
          <w:sz w:val="24"/>
          <w:szCs w:val="24"/>
        </w:rPr>
        <w:t>Bolivia</w:t>
      </w:r>
      <w:r w:rsidRPr="00FD4A49">
        <w:rPr>
          <w:rFonts w:ascii="Times New Roman" w:hAnsi="Times New Roman"/>
          <w:sz w:val="24"/>
          <w:szCs w:val="24"/>
        </w:rPr>
        <w:t xml:space="preserve"> generará importantes beneficios financieros para el país, tal como ocurrió en </w:t>
      </w:r>
      <w:r w:rsidR="00241EC3">
        <w:rPr>
          <w:rFonts w:ascii="Times New Roman" w:hAnsi="Times New Roman"/>
          <w:sz w:val="24"/>
          <w:szCs w:val="24"/>
        </w:rPr>
        <w:t>otros</w:t>
      </w:r>
      <w:r w:rsidRPr="00FD4A49">
        <w:rPr>
          <w:rFonts w:ascii="Times New Roman" w:hAnsi="Times New Roman"/>
          <w:sz w:val="24"/>
          <w:szCs w:val="24"/>
        </w:rPr>
        <w:t xml:space="preserve"> países latinoamericanos</w:t>
      </w:r>
      <w:r w:rsidR="00C75CD6">
        <w:rPr>
          <w:rFonts w:ascii="Times New Roman" w:hAnsi="Times New Roman"/>
          <w:sz w:val="24"/>
          <w:szCs w:val="24"/>
        </w:rPr>
        <w:t xml:space="preserve">. </w:t>
      </w:r>
      <w:r w:rsidRPr="00FD4A49">
        <w:rPr>
          <w:rFonts w:ascii="Times New Roman" w:hAnsi="Times New Roman"/>
          <w:sz w:val="24"/>
          <w:szCs w:val="24"/>
        </w:rPr>
        <w:t>Diversos beneficios podrían ser estimados como resultado de la implantación de la cuenta única</w:t>
      </w:r>
      <w:r w:rsidR="006901C2">
        <w:rPr>
          <w:rFonts w:ascii="Times New Roman" w:hAnsi="Times New Roman"/>
          <w:sz w:val="24"/>
          <w:szCs w:val="24"/>
        </w:rPr>
        <w:t xml:space="preserve">, </w:t>
      </w:r>
      <w:r w:rsidR="00C75CD6">
        <w:rPr>
          <w:rFonts w:ascii="Times New Roman" w:hAnsi="Times New Roman"/>
          <w:sz w:val="24"/>
          <w:szCs w:val="24"/>
        </w:rPr>
        <w:t>s</w:t>
      </w:r>
      <w:r w:rsidRPr="00FD4A49">
        <w:rPr>
          <w:rFonts w:ascii="Times New Roman" w:hAnsi="Times New Roman"/>
          <w:sz w:val="24"/>
          <w:szCs w:val="24"/>
        </w:rPr>
        <w:t>in embargo</w:t>
      </w:r>
      <w:r w:rsidRPr="00C75CD6">
        <w:rPr>
          <w:rFonts w:ascii="Times New Roman" w:hAnsi="Times New Roman"/>
          <w:sz w:val="24"/>
          <w:szCs w:val="24"/>
        </w:rPr>
        <w:t xml:space="preserve"> para el presente estudio </w:t>
      </w:r>
      <w:r w:rsidR="00C75CD6">
        <w:rPr>
          <w:rFonts w:ascii="Times New Roman" w:hAnsi="Times New Roman"/>
          <w:sz w:val="24"/>
          <w:szCs w:val="24"/>
        </w:rPr>
        <w:t xml:space="preserve">se adoptó el criterio utilizado </w:t>
      </w:r>
      <w:r w:rsidR="00241EC3">
        <w:rPr>
          <w:rFonts w:ascii="Times New Roman" w:hAnsi="Times New Roman"/>
          <w:sz w:val="24"/>
          <w:szCs w:val="24"/>
        </w:rPr>
        <w:t xml:space="preserve">para la evaluación económica de un proyecto de </w:t>
      </w:r>
      <w:r w:rsidR="00241EC3">
        <w:rPr>
          <w:rFonts w:ascii="Times New Roman" w:hAnsi="Times New Roman"/>
          <w:sz w:val="24"/>
          <w:szCs w:val="24"/>
        </w:rPr>
        <w:lastRenderedPageBreak/>
        <w:t>Panamá (</w:t>
      </w:r>
      <w:r w:rsidR="00C75CD6">
        <w:rPr>
          <w:rFonts w:ascii="Times New Roman" w:hAnsi="Times New Roman"/>
          <w:sz w:val="24"/>
          <w:szCs w:val="24"/>
        </w:rPr>
        <w:t xml:space="preserve">Programa de Fortalecimiento de la Gestión Fiscal </w:t>
      </w:r>
      <w:r w:rsidR="00241EC3">
        <w:rPr>
          <w:rFonts w:ascii="Times New Roman" w:hAnsi="Times New Roman"/>
          <w:sz w:val="24"/>
          <w:szCs w:val="24"/>
        </w:rPr>
        <w:t xml:space="preserve">- </w:t>
      </w:r>
      <w:r w:rsidR="00C75CD6">
        <w:rPr>
          <w:rFonts w:ascii="Times New Roman" w:hAnsi="Times New Roman"/>
          <w:sz w:val="24"/>
          <w:szCs w:val="24"/>
        </w:rPr>
        <w:t xml:space="preserve">PN-L1066) en el cual </w:t>
      </w:r>
      <w:r w:rsidRPr="00C75CD6">
        <w:rPr>
          <w:rFonts w:ascii="Times New Roman" w:hAnsi="Times New Roman"/>
          <w:sz w:val="24"/>
          <w:szCs w:val="24"/>
        </w:rPr>
        <w:t>los beneficios financieros</w:t>
      </w:r>
      <w:r w:rsidR="00C75CD6">
        <w:rPr>
          <w:rFonts w:ascii="Times New Roman" w:hAnsi="Times New Roman"/>
          <w:sz w:val="24"/>
          <w:szCs w:val="24"/>
        </w:rPr>
        <w:t xml:space="preserve"> de la implementación de la cuenta única del tesoro se estima</w:t>
      </w:r>
      <w:r w:rsidR="006901C2">
        <w:rPr>
          <w:rFonts w:ascii="Times New Roman" w:hAnsi="Times New Roman"/>
          <w:sz w:val="24"/>
          <w:szCs w:val="24"/>
        </w:rPr>
        <w:t>ro</w:t>
      </w:r>
      <w:r w:rsidR="00C75CD6">
        <w:rPr>
          <w:rFonts w:ascii="Times New Roman" w:hAnsi="Times New Roman"/>
          <w:sz w:val="24"/>
          <w:szCs w:val="24"/>
        </w:rPr>
        <w:t xml:space="preserve">n a partir de </w:t>
      </w:r>
      <w:r w:rsidRPr="00C75CD6">
        <w:rPr>
          <w:rFonts w:ascii="Times New Roman" w:hAnsi="Times New Roman"/>
          <w:sz w:val="24"/>
          <w:szCs w:val="24"/>
        </w:rPr>
        <w:t>l</w:t>
      </w:r>
      <w:r w:rsidR="00241EC3">
        <w:rPr>
          <w:rFonts w:ascii="Times New Roman" w:hAnsi="Times New Roman"/>
          <w:sz w:val="24"/>
          <w:szCs w:val="24"/>
        </w:rPr>
        <w:t>os intereses g</w:t>
      </w:r>
      <w:r w:rsidRPr="00C75CD6">
        <w:rPr>
          <w:rFonts w:ascii="Times New Roman" w:hAnsi="Times New Roman"/>
          <w:sz w:val="24"/>
          <w:szCs w:val="24"/>
        </w:rPr>
        <w:t>a</w:t>
      </w:r>
      <w:r w:rsidR="00241EC3">
        <w:rPr>
          <w:rFonts w:ascii="Times New Roman" w:hAnsi="Times New Roman"/>
          <w:sz w:val="24"/>
          <w:szCs w:val="24"/>
        </w:rPr>
        <w:t>nados por</w:t>
      </w:r>
      <w:r w:rsidRPr="00C75CD6">
        <w:rPr>
          <w:rFonts w:ascii="Times New Roman" w:hAnsi="Times New Roman"/>
          <w:sz w:val="24"/>
          <w:szCs w:val="24"/>
        </w:rPr>
        <w:t xml:space="preserve"> los saldos </w:t>
      </w:r>
      <w:r w:rsidR="006901C2">
        <w:rPr>
          <w:rFonts w:ascii="Times New Roman" w:hAnsi="Times New Roman"/>
          <w:sz w:val="24"/>
          <w:szCs w:val="24"/>
        </w:rPr>
        <w:t>inmobilizados en l</w:t>
      </w:r>
      <w:r w:rsidRPr="00C75CD6">
        <w:rPr>
          <w:rFonts w:ascii="Times New Roman" w:hAnsi="Times New Roman"/>
          <w:sz w:val="24"/>
          <w:szCs w:val="24"/>
        </w:rPr>
        <w:t>a cuenta única del tesoro.</w:t>
      </w:r>
    </w:p>
    <w:p w:rsidR="00CA37D5" w:rsidRPr="00FD4A49" w:rsidRDefault="00241EC3" w:rsidP="003541CB">
      <w:pPr>
        <w:spacing w:before="120" w:after="120"/>
        <w:jc w:val="both"/>
        <w:rPr>
          <w:rFonts w:ascii="Times New Roman" w:hAnsi="Times New Roman"/>
          <w:sz w:val="24"/>
          <w:szCs w:val="24"/>
        </w:rPr>
      </w:pPr>
      <w:r>
        <w:rPr>
          <w:rFonts w:ascii="Times New Roman" w:hAnsi="Times New Roman"/>
          <w:sz w:val="24"/>
          <w:szCs w:val="24"/>
        </w:rPr>
        <w:t xml:space="preserve">Para poder estimar los recursos que podrían generarse por la implementación de la cuenta única </w:t>
      </w:r>
      <w:r w:rsidR="006F2B6F">
        <w:rPr>
          <w:rFonts w:ascii="Times New Roman" w:hAnsi="Times New Roman"/>
          <w:sz w:val="24"/>
          <w:szCs w:val="24"/>
        </w:rPr>
        <w:t xml:space="preserve">de tesorería </w:t>
      </w:r>
      <w:r>
        <w:rPr>
          <w:rFonts w:ascii="Times New Roman" w:hAnsi="Times New Roman"/>
          <w:sz w:val="24"/>
          <w:szCs w:val="24"/>
        </w:rPr>
        <w:t xml:space="preserve">el estudio mencionado supone </w:t>
      </w:r>
      <w:r w:rsidR="006F2B6F">
        <w:rPr>
          <w:rFonts w:ascii="Times New Roman" w:hAnsi="Times New Roman"/>
          <w:sz w:val="24"/>
          <w:szCs w:val="24"/>
        </w:rPr>
        <w:t xml:space="preserve">bajo un escenario conservador </w:t>
      </w:r>
      <w:r>
        <w:rPr>
          <w:rFonts w:ascii="Times New Roman" w:hAnsi="Times New Roman"/>
          <w:sz w:val="24"/>
          <w:szCs w:val="24"/>
        </w:rPr>
        <w:t>que es posible</w:t>
      </w:r>
      <w:r w:rsidR="006901C2">
        <w:rPr>
          <w:rFonts w:ascii="Times New Roman" w:hAnsi="Times New Roman"/>
          <w:sz w:val="24"/>
          <w:szCs w:val="24"/>
        </w:rPr>
        <w:t>,</w:t>
      </w:r>
      <w:r>
        <w:rPr>
          <w:rFonts w:ascii="Times New Roman" w:hAnsi="Times New Roman"/>
          <w:sz w:val="24"/>
          <w:szCs w:val="24"/>
        </w:rPr>
        <w:t xml:space="preserve"> mediante </w:t>
      </w:r>
      <w:r w:rsidR="006901C2">
        <w:rPr>
          <w:rFonts w:ascii="Times New Roman" w:hAnsi="Times New Roman"/>
          <w:sz w:val="24"/>
          <w:szCs w:val="24"/>
        </w:rPr>
        <w:t>el</w:t>
      </w:r>
      <w:r>
        <w:rPr>
          <w:rFonts w:ascii="Times New Roman" w:hAnsi="Times New Roman"/>
          <w:sz w:val="24"/>
          <w:szCs w:val="24"/>
        </w:rPr>
        <w:t xml:space="preserve"> marco normativo </w:t>
      </w:r>
      <w:r w:rsidR="006901C2">
        <w:rPr>
          <w:rFonts w:ascii="Times New Roman" w:hAnsi="Times New Roman"/>
          <w:sz w:val="24"/>
          <w:szCs w:val="24"/>
        </w:rPr>
        <w:t xml:space="preserve">propuesto, </w:t>
      </w:r>
      <w:r>
        <w:rPr>
          <w:rFonts w:ascii="Times New Roman" w:hAnsi="Times New Roman"/>
          <w:sz w:val="24"/>
          <w:szCs w:val="24"/>
        </w:rPr>
        <w:t>conseguir la remuneracion de un monto equivalente a un mes de los fondos de la Adminstracion Publica No Financiera depositados en las cuentas públicas.</w:t>
      </w:r>
    </w:p>
    <w:p w:rsidR="005707ED" w:rsidRDefault="006901C2" w:rsidP="003541CB">
      <w:pPr>
        <w:spacing w:before="120" w:after="120"/>
        <w:jc w:val="both"/>
        <w:rPr>
          <w:rFonts w:ascii="Times New Roman" w:hAnsi="Times New Roman"/>
          <w:sz w:val="24"/>
          <w:szCs w:val="24"/>
        </w:rPr>
      </w:pPr>
      <w:r>
        <w:rPr>
          <w:rFonts w:ascii="Times New Roman" w:hAnsi="Times New Roman"/>
          <w:sz w:val="24"/>
          <w:szCs w:val="24"/>
        </w:rPr>
        <w:t>D</w:t>
      </w:r>
      <w:r w:rsidR="00CA37D5" w:rsidRPr="00FD4A49">
        <w:rPr>
          <w:rFonts w:ascii="Times New Roman" w:hAnsi="Times New Roman"/>
          <w:sz w:val="24"/>
          <w:szCs w:val="24"/>
        </w:rPr>
        <w:t xml:space="preserve">e acuerdo con los estándares internacionales, los intereses pagados por los bancos corresponsales </w:t>
      </w:r>
      <w:r w:rsidR="004D3A89">
        <w:rPr>
          <w:rFonts w:ascii="Times New Roman" w:hAnsi="Times New Roman"/>
          <w:sz w:val="24"/>
          <w:szCs w:val="24"/>
        </w:rPr>
        <w:t>a los gobiernos</w:t>
      </w:r>
      <w:r w:rsidR="00CA37D5" w:rsidRPr="00FD4A49">
        <w:rPr>
          <w:rFonts w:ascii="Times New Roman" w:hAnsi="Times New Roman"/>
          <w:sz w:val="24"/>
          <w:szCs w:val="24"/>
        </w:rPr>
        <w:t xml:space="preserve"> representan </w:t>
      </w:r>
      <w:r>
        <w:rPr>
          <w:rFonts w:ascii="Times New Roman" w:hAnsi="Times New Roman"/>
          <w:sz w:val="24"/>
          <w:szCs w:val="24"/>
        </w:rPr>
        <w:t xml:space="preserve">una tasa del </w:t>
      </w:r>
      <w:r w:rsidR="00CA37D5" w:rsidRPr="00FD4A49">
        <w:rPr>
          <w:rFonts w:ascii="Times New Roman" w:hAnsi="Times New Roman"/>
          <w:sz w:val="24"/>
          <w:szCs w:val="24"/>
        </w:rPr>
        <w:t xml:space="preserve">2% </w:t>
      </w:r>
      <w:r>
        <w:rPr>
          <w:rFonts w:ascii="Times New Roman" w:hAnsi="Times New Roman"/>
          <w:sz w:val="24"/>
          <w:szCs w:val="24"/>
        </w:rPr>
        <w:t>anual</w:t>
      </w:r>
      <w:r w:rsidR="00CA37D5" w:rsidRPr="00FD4A49">
        <w:rPr>
          <w:rFonts w:ascii="Times New Roman" w:hAnsi="Times New Roman"/>
          <w:sz w:val="24"/>
          <w:szCs w:val="24"/>
        </w:rPr>
        <w:t>.</w:t>
      </w:r>
      <w:r>
        <w:rPr>
          <w:rFonts w:ascii="Times New Roman" w:hAnsi="Times New Roman"/>
          <w:sz w:val="24"/>
          <w:szCs w:val="24"/>
        </w:rPr>
        <w:t xml:space="preserve"> </w:t>
      </w:r>
      <w:r w:rsidR="00CA37D5" w:rsidRPr="00FD4A49">
        <w:rPr>
          <w:rFonts w:ascii="Times New Roman" w:hAnsi="Times New Roman"/>
          <w:sz w:val="24"/>
          <w:szCs w:val="24"/>
        </w:rPr>
        <w:t>Finalmente, aplica</w:t>
      </w:r>
      <w:r>
        <w:rPr>
          <w:rFonts w:ascii="Times New Roman" w:hAnsi="Times New Roman"/>
          <w:sz w:val="24"/>
          <w:szCs w:val="24"/>
        </w:rPr>
        <w:t xml:space="preserve">ndo la </w:t>
      </w:r>
      <w:r w:rsidR="00CC7AE0">
        <w:rPr>
          <w:rFonts w:ascii="Times New Roman" w:hAnsi="Times New Roman"/>
          <w:sz w:val="24"/>
          <w:szCs w:val="24"/>
        </w:rPr>
        <w:t xml:space="preserve">tasa de interes del </w:t>
      </w:r>
      <w:r w:rsidR="00CA37D5" w:rsidRPr="00FD4A49">
        <w:rPr>
          <w:rFonts w:ascii="Times New Roman" w:hAnsi="Times New Roman"/>
          <w:sz w:val="24"/>
          <w:szCs w:val="24"/>
        </w:rPr>
        <w:t>2% a</w:t>
      </w:r>
      <w:r w:rsidR="005707ED">
        <w:rPr>
          <w:rFonts w:ascii="Times New Roman" w:hAnsi="Times New Roman"/>
          <w:sz w:val="24"/>
          <w:szCs w:val="24"/>
        </w:rPr>
        <w:t xml:space="preserve">l flujo mensual de </w:t>
      </w:r>
      <w:r w:rsidR="00CA37D5" w:rsidRPr="00FD4A49">
        <w:rPr>
          <w:rFonts w:ascii="Times New Roman" w:hAnsi="Times New Roman"/>
          <w:sz w:val="24"/>
          <w:szCs w:val="24"/>
        </w:rPr>
        <w:t xml:space="preserve">gasto público </w:t>
      </w:r>
      <w:r w:rsidR="005707ED">
        <w:rPr>
          <w:rFonts w:ascii="Times New Roman" w:hAnsi="Times New Roman"/>
          <w:sz w:val="24"/>
          <w:szCs w:val="24"/>
        </w:rPr>
        <w:t>consolidado del Sector Publico No Financiero</w:t>
      </w:r>
      <w:r>
        <w:rPr>
          <w:rFonts w:ascii="Times New Roman" w:hAnsi="Times New Roman"/>
          <w:sz w:val="24"/>
          <w:szCs w:val="24"/>
        </w:rPr>
        <w:t>,</w:t>
      </w:r>
      <w:r w:rsidR="005707ED">
        <w:rPr>
          <w:rFonts w:ascii="Times New Roman" w:hAnsi="Times New Roman"/>
          <w:sz w:val="24"/>
          <w:szCs w:val="24"/>
        </w:rPr>
        <w:t xml:space="preserve"> que en 2010 representó </w:t>
      </w:r>
      <w:r>
        <w:rPr>
          <w:rFonts w:ascii="Times New Roman" w:hAnsi="Times New Roman"/>
          <w:sz w:val="24"/>
          <w:szCs w:val="24"/>
        </w:rPr>
        <w:t xml:space="preserve">689 </w:t>
      </w:r>
      <w:r w:rsidR="005707ED">
        <w:rPr>
          <w:rFonts w:ascii="Times New Roman" w:hAnsi="Times New Roman"/>
          <w:sz w:val="24"/>
          <w:szCs w:val="24"/>
        </w:rPr>
        <w:t>millones de dólares</w:t>
      </w:r>
      <w:r>
        <w:rPr>
          <w:rFonts w:ascii="Times New Roman" w:hAnsi="Times New Roman"/>
          <w:sz w:val="24"/>
          <w:szCs w:val="24"/>
        </w:rPr>
        <w:t>, se obtiene una estimación del ahorro fiscal que se podría lograr</w:t>
      </w:r>
      <w:r w:rsidR="004D3A89">
        <w:rPr>
          <w:rFonts w:ascii="Times New Roman" w:hAnsi="Times New Roman"/>
          <w:sz w:val="24"/>
          <w:szCs w:val="24"/>
        </w:rPr>
        <w:t>se</w:t>
      </w:r>
      <w:r>
        <w:rPr>
          <w:rFonts w:ascii="Times New Roman" w:hAnsi="Times New Roman"/>
          <w:sz w:val="24"/>
          <w:szCs w:val="24"/>
        </w:rPr>
        <w:t xml:space="preserve"> con </w:t>
      </w:r>
      <w:r w:rsidR="004D3A89">
        <w:rPr>
          <w:rFonts w:ascii="Times New Roman" w:hAnsi="Times New Roman"/>
          <w:sz w:val="24"/>
          <w:szCs w:val="24"/>
        </w:rPr>
        <w:t>la optimizacion de la gestion de tesorería</w:t>
      </w:r>
      <w:r w:rsidR="005707ED">
        <w:rPr>
          <w:rFonts w:ascii="Times New Roman" w:hAnsi="Times New Roman"/>
          <w:sz w:val="24"/>
          <w:szCs w:val="24"/>
        </w:rPr>
        <w:t>.</w:t>
      </w:r>
    </w:p>
    <w:p w:rsidR="00CA37D5" w:rsidRDefault="00CC7AE0" w:rsidP="003541CB">
      <w:pPr>
        <w:spacing w:before="120" w:after="120"/>
        <w:jc w:val="both"/>
        <w:rPr>
          <w:rFonts w:ascii="Times New Roman" w:hAnsi="Times New Roman"/>
          <w:sz w:val="24"/>
          <w:szCs w:val="24"/>
        </w:rPr>
      </w:pPr>
      <w:r>
        <w:rPr>
          <w:rFonts w:ascii="Times New Roman" w:hAnsi="Times New Roman"/>
          <w:b/>
          <w:sz w:val="24"/>
          <w:szCs w:val="24"/>
        </w:rPr>
        <w:t>Resultado</w:t>
      </w:r>
      <w:r w:rsidR="00CA37D5" w:rsidRPr="00FD4A49">
        <w:rPr>
          <w:rFonts w:ascii="Times New Roman" w:hAnsi="Times New Roman"/>
          <w:b/>
          <w:sz w:val="24"/>
          <w:szCs w:val="24"/>
        </w:rPr>
        <w:t>:</w:t>
      </w:r>
      <w:r w:rsidR="00CA37D5" w:rsidRPr="00FD4A49">
        <w:rPr>
          <w:rFonts w:ascii="Times New Roman" w:hAnsi="Times New Roman"/>
          <w:sz w:val="24"/>
          <w:szCs w:val="24"/>
        </w:rPr>
        <w:t xml:space="preserve"> Con la implantación de la cuenta única del tesoro, se espera un beneficio financiero del orden de los </w:t>
      </w:r>
      <w:r w:rsidR="009477B9">
        <w:rPr>
          <w:rFonts w:ascii="Times New Roman" w:hAnsi="Times New Roman"/>
          <w:sz w:val="24"/>
          <w:szCs w:val="24"/>
        </w:rPr>
        <w:t>14</w:t>
      </w:r>
      <w:r w:rsidR="00CA37D5" w:rsidRPr="00FD4A49">
        <w:rPr>
          <w:rFonts w:ascii="Times New Roman" w:hAnsi="Times New Roman"/>
          <w:sz w:val="24"/>
          <w:szCs w:val="24"/>
        </w:rPr>
        <w:t xml:space="preserve"> millones </w:t>
      </w:r>
      <w:r w:rsidR="00F92F9B">
        <w:rPr>
          <w:rFonts w:ascii="Times New Roman" w:hAnsi="Times New Roman"/>
          <w:sz w:val="24"/>
          <w:szCs w:val="24"/>
        </w:rPr>
        <w:t xml:space="preserve">de dólares </w:t>
      </w:r>
      <w:r w:rsidR="00CA37D5" w:rsidRPr="00FD4A49">
        <w:rPr>
          <w:rFonts w:ascii="Times New Roman" w:hAnsi="Times New Roman"/>
          <w:sz w:val="24"/>
          <w:szCs w:val="24"/>
        </w:rPr>
        <w:t xml:space="preserve">anuales, </w:t>
      </w:r>
      <w:r w:rsidR="00F92F9B">
        <w:rPr>
          <w:rFonts w:ascii="Times New Roman" w:hAnsi="Times New Roman"/>
          <w:sz w:val="24"/>
          <w:szCs w:val="24"/>
        </w:rPr>
        <w:t xml:space="preserve">como </w:t>
      </w:r>
      <w:r w:rsidR="00CA37D5" w:rsidRPr="00FD4A49">
        <w:rPr>
          <w:rFonts w:ascii="Times New Roman" w:hAnsi="Times New Roman"/>
          <w:sz w:val="24"/>
          <w:szCs w:val="24"/>
        </w:rPr>
        <w:t xml:space="preserve">consecuencia de los intereses a ser pagados por el </w:t>
      </w:r>
      <w:r w:rsidR="00F92F9B">
        <w:rPr>
          <w:rFonts w:ascii="Times New Roman" w:hAnsi="Times New Roman"/>
          <w:sz w:val="24"/>
          <w:szCs w:val="24"/>
        </w:rPr>
        <w:t>agente financiero</w:t>
      </w:r>
      <w:r w:rsidR="00CA37D5" w:rsidRPr="00FD4A49">
        <w:rPr>
          <w:rFonts w:ascii="Times New Roman" w:hAnsi="Times New Roman"/>
          <w:sz w:val="24"/>
          <w:szCs w:val="24"/>
        </w:rPr>
        <w:t xml:space="preserve"> </w:t>
      </w:r>
      <w:r w:rsidR="00F92F9B">
        <w:rPr>
          <w:rFonts w:ascii="Times New Roman" w:hAnsi="Times New Roman"/>
          <w:sz w:val="24"/>
          <w:szCs w:val="24"/>
        </w:rPr>
        <w:t xml:space="preserve">por una porción de </w:t>
      </w:r>
      <w:r w:rsidR="00CA37D5" w:rsidRPr="00FD4A49">
        <w:rPr>
          <w:rFonts w:ascii="Times New Roman" w:hAnsi="Times New Roman"/>
          <w:sz w:val="24"/>
          <w:szCs w:val="24"/>
        </w:rPr>
        <w:t xml:space="preserve">los recursos del tesoro </w:t>
      </w:r>
      <w:r w:rsidR="00F92F9B">
        <w:rPr>
          <w:rFonts w:ascii="Times New Roman" w:hAnsi="Times New Roman"/>
          <w:sz w:val="24"/>
          <w:szCs w:val="24"/>
        </w:rPr>
        <w:t>inmobilizados en las cuentas publicas.</w:t>
      </w:r>
      <w:r w:rsidR="00CA37D5" w:rsidRPr="00FD4A49">
        <w:rPr>
          <w:rFonts w:ascii="Times New Roman" w:hAnsi="Times New Roman"/>
          <w:sz w:val="24"/>
          <w:szCs w:val="24"/>
        </w:rPr>
        <w:t xml:space="preserve"> Se espera que este beneficio empiece a ocurrir a partir del año 201</w:t>
      </w:r>
      <w:r>
        <w:rPr>
          <w:rFonts w:ascii="Times New Roman" w:hAnsi="Times New Roman"/>
          <w:sz w:val="24"/>
          <w:szCs w:val="24"/>
        </w:rPr>
        <w:t>2</w:t>
      </w:r>
      <w:r w:rsidR="00CA37D5" w:rsidRPr="00FD4A49">
        <w:rPr>
          <w:rFonts w:ascii="Times New Roman" w:hAnsi="Times New Roman"/>
          <w:sz w:val="24"/>
          <w:szCs w:val="24"/>
        </w:rPr>
        <w:t>.</w:t>
      </w:r>
    </w:p>
    <w:tbl>
      <w:tblPr>
        <w:tblW w:w="7500" w:type="dxa"/>
        <w:jc w:val="center"/>
        <w:tblInd w:w="55" w:type="dxa"/>
        <w:tblCellMar>
          <w:left w:w="70" w:type="dxa"/>
          <w:right w:w="70" w:type="dxa"/>
        </w:tblCellMar>
        <w:tblLook w:val="04A0"/>
      </w:tblPr>
      <w:tblGrid>
        <w:gridCol w:w="2240"/>
        <w:gridCol w:w="1700"/>
        <w:gridCol w:w="1160"/>
        <w:gridCol w:w="920"/>
        <w:gridCol w:w="1480"/>
      </w:tblGrid>
      <w:tr w:rsidR="005707ED" w:rsidRPr="00CC5897" w:rsidTr="009430E5">
        <w:trPr>
          <w:trHeight w:val="570"/>
          <w:jc w:val="center"/>
        </w:trPr>
        <w:tc>
          <w:tcPr>
            <w:tcW w:w="7500" w:type="dxa"/>
            <w:gridSpan w:val="5"/>
            <w:tcBorders>
              <w:top w:val="nil"/>
              <w:left w:val="nil"/>
              <w:bottom w:val="nil"/>
              <w:right w:val="nil"/>
            </w:tcBorders>
            <w:shd w:val="clear" w:color="auto" w:fill="auto"/>
            <w:vAlign w:val="center"/>
            <w:hideMark/>
          </w:tcPr>
          <w:p w:rsidR="00694DD6" w:rsidRPr="00CC5897" w:rsidRDefault="00694DD6" w:rsidP="005707ED">
            <w:pPr>
              <w:spacing w:after="0" w:line="240" w:lineRule="auto"/>
              <w:rPr>
                <w:rFonts w:ascii="Times New Roman" w:hAnsi="Times New Roman"/>
                <w:b/>
                <w:bCs/>
                <w:noProof w:val="0"/>
                <w:color w:val="000000"/>
                <w:sz w:val="20"/>
                <w:szCs w:val="20"/>
                <w:lang w:val="es-AR" w:eastAsia="es-AR"/>
              </w:rPr>
            </w:pPr>
          </w:p>
          <w:p w:rsidR="005707ED" w:rsidRPr="00CC5897" w:rsidRDefault="005707ED" w:rsidP="005707ED">
            <w:pPr>
              <w:spacing w:after="0" w:line="240" w:lineRule="auto"/>
              <w:rPr>
                <w:rFonts w:ascii="Times New Roman" w:hAnsi="Times New Roman"/>
                <w:b/>
                <w:bCs/>
                <w:noProof w:val="0"/>
                <w:color w:val="000000"/>
                <w:sz w:val="20"/>
                <w:szCs w:val="20"/>
                <w:lang w:val="es-AR" w:eastAsia="es-AR"/>
              </w:rPr>
            </w:pPr>
            <w:r w:rsidRPr="00CC5897">
              <w:rPr>
                <w:rFonts w:ascii="Times New Roman" w:hAnsi="Times New Roman"/>
                <w:b/>
                <w:bCs/>
                <w:noProof w:val="0"/>
                <w:color w:val="000000"/>
                <w:sz w:val="20"/>
                <w:szCs w:val="20"/>
                <w:lang w:val="es-AR" w:eastAsia="es-AR"/>
              </w:rPr>
              <w:t>Administración Financiera: Generación de Recursos a partir de los intereses ganados de los saldos de la cuenta única inmovilizados</w:t>
            </w:r>
          </w:p>
        </w:tc>
      </w:tr>
      <w:tr w:rsidR="005707ED" w:rsidRPr="00CC5897" w:rsidTr="009430E5">
        <w:trPr>
          <w:trHeight w:val="300"/>
          <w:jc w:val="center"/>
        </w:trPr>
        <w:tc>
          <w:tcPr>
            <w:tcW w:w="2240" w:type="dxa"/>
            <w:tcBorders>
              <w:top w:val="nil"/>
              <w:left w:val="nil"/>
              <w:bottom w:val="nil"/>
              <w:right w:val="nil"/>
            </w:tcBorders>
            <w:shd w:val="clear" w:color="auto" w:fill="auto"/>
            <w:vAlign w:val="center"/>
            <w:hideMark/>
          </w:tcPr>
          <w:p w:rsidR="005707ED" w:rsidRPr="00CC5897" w:rsidRDefault="005707ED" w:rsidP="007D0B1E">
            <w:pPr>
              <w:spacing w:after="0" w:line="240" w:lineRule="auto"/>
              <w:rPr>
                <w:rFonts w:ascii="Times New Roman" w:hAnsi="Times New Roman"/>
                <w:b/>
                <w:bCs/>
                <w:noProof w:val="0"/>
                <w:color w:val="000000"/>
                <w:sz w:val="20"/>
                <w:szCs w:val="20"/>
                <w:lang w:val="es-AR" w:eastAsia="es-AR"/>
              </w:rPr>
            </w:pPr>
            <w:r w:rsidRPr="00CC5897">
              <w:rPr>
                <w:rFonts w:ascii="Times New Roman" w:hAnsi="Times New Roman"/>
                <w:b/>
                <w:bCs/>
                <w:noProof w:val="0"/>
                <w:color w:val="000000"/>
                <w:sz w:val="20"/>
                <w:szCs w:val="20"/>
                <w:lang w:val="es-AR" w:eastAsia="es-AR"/>
              </w:rPr>
              <w:t xml:space="preserve">en millones de </w:t>
            </w:r>
            <w:r w:rsidR="007D0B1E" w:rsidRPr="00CC5897">
              <w:rPr>
                <w:rFonts w:ascii="Times New Roman" w:hAnsi="Times New Roman"/>
                <w:b/>
                <w:bCs/>
                <w:noProof w:val="0"/>
                <w:color w:val="000000"/>
                <w:sz w:val="20"/>
                <w:szCs w:val="20"/>
                <w:lang w:val="es-AR" w:eastAsia="es-AR"/>
              </w:rPr>
              <w:t>dólares</w:t>
            </w:r>
          </w:p>
        </w:tc>
        <w:tc>
          <w:tcPr>
            <w:tcW w:w="1700" w:type="dxa"/>
            <w:tcBorders>
              <w:top w:val="nil"/>
              <w:left w:val="nil"/>
              <w:bottom w:val="nil"/>
              <w:right w:val="nil"/>
            </w:tcBorders>
            <w:shd w:val="clear" w:color="auto" w:fill="auto"/>
            <w:noWrap/>
            <w:vAlign w:val="bottom"/>
            <w:hideMark/>
          </w:tcPr>
          <w:p w:rsidR="005707ED" w:rsidRPr="00CC5897" w:rsidRDefault="005707ED" w:rsidP="005707ED">
            <w:pPr>
              <w:spacing w:after="0" w:line="240" w:lineRule="auto"/>
              <w:rPr>
                <w:rFonts w:ascii="Times New Roman" w:hAnsi="Times New Roman"/>
                <w:noProof w:val="0"/>
                <w:color w:val="000000"/>
                <w:sz w:val="20"/>
                <w:szCs w:val="20"/>
                <w:lang w:val="es-AR" w:eastAsia="es-AR"/>
              </w:rPr>
            </w:pPr>
          </w:p>
        </w:tc>
        <w:tc>
          <w:tcPr>
            <w:tcW w:w="1160" w:type="dxa"/>
            <w:tcBorders>
              <w:top w:val="nil"/>
              <w:left w:val="nil"/>
              <w:bottom w:val="nil"/>
              <w:right w:val="nil"/>
            </w:tcBorders>
            <w:shd w:val="clear" w:color="auto" w:fill="auto"/>
            <w:noWrap/>
            <w:vAlign w:val="bottom"/>
            <w:hideMark/>
          </w:tcPr>
          <w:p w:rsidR="005707ED" w:rsidRPr="00CC5897" w:rsidRDefault="005707ED" w:rsidP="005707ED">
            <w:pPr>
              <w:spacing w:after="0" w:line="240" w:lineRule="auto"/>
              <w:rPr>
                <w:rFonts w:ascii="Times New Roman" w:hAnsi="Times New Roman"/>
                <w:noProof w:val="0"/>
                <w:color w:val="000000"/>
                <w:sz w:val="20"/>
                <w:szCs w:val="20"/>
                <w:lang w:val="es-AR" w:eastAsia="es-AR"/>
              </w:rPr>
            </w:pPr>
          </w:p>
        </w:tc>
        <w:tc>
          <w:tcPr>
            <w:tcW w:w="920" w:type="dxa"/>
            <w:tcBorders>
              <w:top w:val="nil"/>
              <w:left w:val="nil"/>
              <w:bottom w:val="nil"/>
              <w:right w:val="nil"/>
            </w:tcBorders>
            <w:shd w:val="clear" w:color="auto" w:fill="auto"/>
            <w:noWrap/>
            <w:vAlign w:val="bottom"/>
            <w:hideMark/>
          </w:tcPr>
          <w:p w:rsidR="005707ED" w:rsidRPr="00CC5897" w:rsidRDefault="005707ED" w:rsidP="005707ED">
            <w:pPr>
              <w:spacing w:after="0" w:line="240" w:lineRule="auto"/>
              <w:rPr>
                <w:rFonts w:ascii="Times New Roman" w:hAnsi="Times New Roman"/>
                <w:noProof w:val="0"/>
                <w:color w:val="000000"/>
                <w:sz w:val="20"/>
                <w:szCs w:val="20"/>
                <w:lang w:val="es-AR" w:eastAsia="es-AR"/>
              </w:rPr>
            </w:pPr>
          </w:p>
        </w:tc>
        <w:tc>
          <w:tcPr>
            <w:tcW w:w="1480" w:type="dxa"/>
            <w:tcBorders>
              <w:top w:val="nil"/>
              <w:left w:val="nil"/>
              <w:bottom w:val="nil"/>
              <w:right w:val="nil"/>
            </w:tcBorders>
            <w:shd w:val="clear" w:color="auto" w:fill="auto"/>
            <w:noWrap/>
            <w:vAlign w:val="bottom"/>
            <w:hideMark/>
          </w:tcPr>
          <w:p w:rsidR="005707ED" w:rsidRPr="00CC5897" w:rsidRDefault="005707ED" w:rsidP="005707ED">
            <w:pPr>
              <w:spacing w:after="0" w:line="240" w:lineRule="auto"/>
              <w:rPr>
                <w:rFonts w:ascii="Times New Roman" w:hAnsi="Times New Roman"/>
                <w:noProof w:val="0"/>
                <w:color w:val="000000"/>
                <w:sz w:val="20"/>
                <w:szCs w:val="20"/>
                <w:lang w:val="es-AR" w:eastAsia="es-AR"/>
              </w:rPr>
            </w:pPr>
          </w:p>
        </w:tc>
      </w:tr>
      <w:tr w:rsidR="005707ED" w:rsidRPr="00CC5897" w:rsidTr="009430E5">
        <w:trPr>
          <w:trHeight w:val="1170"/>
          <w:jc w:val="center"/>
        </w:trPr>
        <w:tc>
          <w:tcPr>
            <w:tcW w:w="2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07ED" w:rsidRPr="00CC5897" w:rsidRDefault="005707ED" w:rsidP="005707ED">
            <w:pPr>
              <w:spacing w:after="0" w:line="240" w:lineRule="auto"/>
              <w:rPr>
                <w:rFonts w:ascii="Times New Roman" w:hAnsi="Times New Roman"/>
                <w:noProof w:val="0"/>
                <w:color w:val="000000"/>
                <w:sz w:val="20"/>
                <w:szCs w:val="20"/>
                <w:lang w:val="es-AR" w:eastAsia="es-AR"/>
              </w:rPr>
            </w:pPr>
            <w:r w:rsidRPr="00CC5897">
              <w:rPr>
                <w:rFonts w:ascii="Times New Roman" w:hAnsi="Times New Roman"/>
                <w:noProof w:val="0"/>
                <w:color w:val="000000"/>
                <w:sz w:val="20"/>
                <w:szCs w:val="20"/>
                <w:lang w:val="es-AR" w:eastAsia="es-AR"/>
              </w:rPr>
              <w:t> </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rsidR="005707ED" w:rsidRPr="00CC5897" w:rsidRDefault="005707ED" w:rsidP="005707ED">
            <w:pPr>
              <w:spacing w:after="0" w:line="240" w:lineRule="auto"/>
              <w:jc w:val="center"/>
              <w:rPr>
                <w:rFonts w:ascii="Times New Roman" w:hAnsi="Times New Roman"/>
                <w:b/>
                <w:bCs/>
                <w:noProof w:val="0"/>
                <w:color w:val="000000"/>
                <w:sz w:val="20"/>
                <w:szCs w:val="20"/>
                <w:lang w:val="es-AR" w:eastAsia="es-AR"/>
              </w:rPr>
            </w:pPr>
            <w:r w:rsidRPr="00CC5897">
              <w:rPr>
                <w:rFonts w:ascii="Times New Roman" w:hAnsi="Times New Roman"/>
                <w:b/>
                <w:bCs/>
                <w:noProof w:val="0"/>
                <w:color w:val="000000"/>
                <w:sz w:val="20"/>
                <w:szCs w:val="20"/>
                <w:lang w:val="es-AR" w:eastAsia="es-AR"/>
              </w:rPr>
              <w:t>Gasto Total del Sector Público No Financiero (2010)</w:t>
            </w:r>
          </w:p>
        </w:tc>
        <w:tc>
          <w:tcPr>
            <w:tcW w:w="1160" w:type="dxa"/>
            <w:tcBorders>
              <w:top w:val="single" w:sz="4" w:space="0" w:color="auto"/>
              <w:left w:val="nil"/>
              <w:bottom w:val="single" w:sz="4" w:space="0" w:color="auto"/>
              <w:right w:val="single" w:sz="4" w:space="0" w:color="auto"/>
            </w:tcBorders>
            <w:shd w:val="clear" w:color="auto" w:fill="auto"/>
            <w:vAlign w:val="center"/>
            <w:hideMark/>
          </w:tcPr>
          <w:p w:rsidR="005707ED" w:rsidRPr="00CC5897" w:rsidRDefault="005707ED" w:rsidP="005707ED">
            <w:pPr>
              <w:spacing w:after="0" w:line="240" w:lineRule="auto"/>
              <w:jc w:val="center"/>
              <w:rPr>
                <w:rFonts w:ascii="Times New Roman" w:hAnsi="Times New Roman"/>
                <w:b/>
                <w:bCs/>
                <w:noProof w:val="0"/>
                <w:color w:val="000000"/>
                <w:sz w:val="20"/>
                <w:szCs w:val="20"/>
                <w:lang w:val="es-AR" w:eastAsia="es-AR"/>
              </w:rPr>
            </w:pPr>
            <w:r w:rsidRPr="00CC5897">
              <w:rPr>
                <w:rFonts w:ascii="Times New Roman" w:hAnsi="Times New Roman"/>
                <w:b/>
                <w:bCs/>
                <w:noProof w:val="0"/>
                <w:color w:val="000000"/>
                <w:sz w:val="20"/>
                <w:szCs w:val="20"/>
                <w:lang w:val="es-AR" w:eastAsia="es-AR"/>
              </w:rPr>
              <w:t>Flujo mensual de fondos</w:t>
            </w:r>
          </w:p>
        </w:tc>
        <w:tc>
          <w:tcPr>
            <w:tcW w:w="920" w:type="dxa"/>
            <w:tcBorders>
              <w:top w:val="single" w:sz="4" w:space="0" w:color="auto"/>
              <w:left w:val="nil"/>
              <w:bottom w:val="single" w:sz="4" w:space="0" w:color="auto"/>
              <w:right w:val="single" w:sz="4" w:space="0" w:color="auto"/>
            </w:tcBorders>
            <w:shd w:val="clear" w:color="auto" w:fill="auto"/>
            <w:vAlign w:val="center"/>
            <w:hideMark/>
          </w:tcPr>
          <w:p w:rsidR="005707ED" w:rsidRPr="00CC5897" w:rsidRDefault="005707ED" w:rsidP="005707ED">
            <w:pPr>
              <w:spacing w:after="0" w:line="240" w:lineRule="auto"/>
              <w:jc w:val="center"/>
              <w:rPr>
                <w:rFonts w:ascii="Times New Roman" w:hAnsi="Times New Roman"/>
                <w:b/>
                <w:bCs/>
                <w:noProof w:val="0"/>
                <w:color w:val="000000"/>
                <w:sz w:val="20"/>
                <w:szCs w:val="20"/>
                <w:lang w:val="es-AR" w:eastAsia="es-AR"/>
              </w:rPr>
            </w:pPr>
            <w:r w:rsidRPr="00CC5897">
              <w:rPr>
                <w:rFonts w:ascii="Times New Roman" w:hAnsi="Times New Roman"/>
                <w:b/>
                <w:bCs/>
                <w:noProof w:val="0"/>
                <w:color w:val="000000"/>
                <w:sz w:val="20"/>
                <w:szCs w:val="20"/>
                <w:lang w:val="es-AR" w:eastAsia="es-AR"/>
              </w:rPr>
              <w:t>Tasa de interés</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5707ED" w:rsidRPr="00CC5897" w:rsidRDefault="005707ED" w:rsidP="005707ED">
            <w:pPr>
              <w:spacing w:after="0" w:line="240" w:lineRule="auto"/>
              <w:jc w:val="center"/>
              <w:rPr>
                <w:rFonts w:ascii="Times New Roman" w:hAnsi="Times New Roman"/>
                <w:b/>
                <w:bCs/>
                <w:noProof w:val="0"/>
                <w:color w:val="000000"/>
                <w:sz w:val="20"/>
                <w:szCs w:val="20"/>
                <w:lang w:val="es-AR" w:eastAsia="es-AR"/>
              </w:rPr>
            </w:pPr>
            <w:r w:rsidRPr="00CC5897">
              <w:rPr>
                <w:rFonts w:ascii="Times New Roman" w:hAnsi="Times New Roman"/>
                <w:b/>
                <w:bCs/>
                <w:noProof w:val="0"/>
                <w:color w:val="000000"/>
                <w:sz w:val="20"/>
                <w:szCs w:val="20"/>
                <w:lang w:val="es-AR" w:eastAsia="es-AR"/>
              </w:rPr>
              <w:t>Estimación horro/ganancia fiscal anual por Cuenta Única del Tesoro</w:t>
            </w:r>
          </w:p>
        </w:tc>
      </w:tr>
      <w:tr w:rsidR="005707ED" w:rsidRPr="00CC5897" w:rsidTr="009430E5">
        <w:trPr>
          <w:trHeight w:val="1035"/>
          <w:jc w:val="center"/>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5707ED" w:rsidRPr="00CC5897" w:rsidRDefault="005707ED" w:rsidP="005707ED">
            <w:pPr>
              <w:spacing w:after="0" w:line="240" w:lineRule="auto"/>
              <w:rPr>
                <w:rFonts w:ascii="Times New Roman" w:hAnsi="Times New Roman"/>
                <w:noProof w:val="0"/>
                <w:color w:val="000000"/>
                <w:sz w:val="20"/>
                <w:szCs w:val="20"/>
                <w:lang w:val="es-AR" w:eastAsia="es-AR"/>
              </w:rPr>
            </w:pPr>
            <w:r w:rsidRPr="00CC5897">
              <w:rPr>
                <w:rFonts w:ascii="Times New Roman" w:hAnsi="Times New Roman"/>
                <w:noProof w:val="0"/>
                <w:color w:val="000000"/>
                <w:sz w:val="20"/>
                <w:szCs w:val="20"/>
                <w:lang w:val="es-AR" w:eastAsia="es-AR"/>
              </w:rPr>
              <w:t xml:space="preserve">Mayores ingresos por Cuenta </w:t>
            </w:r>
            <w:r w:rsidR="00E3436E" w:rsidRPr="00CC5897">
              <w:rPr>
                <w:rFonts w:ascii="Times New Roman" w:hAnsi="Times New Roman"/>
                <w:noProof w:val="0"/>
                <w:color w:val="000000"/>
                <w:sz w:val="20"/>
                <w:szCs w:val="20"/>
                <w:lang w:val="es-AR" w:eastAsia="es-AR"/>
              </w:rPr>
              <w:t>Única</w:t>
            </w:r>
            <w:r w:rsidRPr="00CC5897">
              <w:rPr>
                <w:rFonts w:ascii="Times New Roman" w:hAnsi="Times New Roman"/>
                <w:noProof w:val="0"/>
                <w:color w:val="000000"/>
                <w:sz w:val="20"/>
                <w:szCs w:val="20"/>
                <w:lang w:val="es-AR" w:eastAsia="es-AR"/>
              </w:rPr>
              <w:t xml:space="preserve"> del Tesoro</w:t>
            </w:r>
          </w:p>
        </w:tc>
        <w:tc>
          <w:tcPr>
            <w:tcW w:w="1700" w:type="dxa"/>
            <w:tcBorders>
              <w:top w:val="nil"/>
              <w:left w:val="nil"/>
              <w:bottom w:val="single" w:sz="4" w:space="0" w:color="auto"/>
              <w:right w:val="single" w:sz="4" w:space="0" w:color="auto"/>
            </w:tcBorders>
            <w:shd w:val="clear" w:color="auto" w:fill="auto"/>
            <w:noWrap/>
            <w:vAlign w:val="center"/>
            <w:hideMark/>
          </w:tcPr>
          <w:p w:rsidR="005707ED" w:rsidRPr="00CC5897" w:rsidRDefault="005707ED" w:rsidP="005707ED">
            <w:pPr>
              <w:spacing w:after="0" w:line="240" w:lineRule="auto"/>
              <w:jc w:val="center"/>
              <w:rPr>
                <w:rFonts w:ascii="Times New Roman" w:hAnsi="Times New Roman"/>
                <w:noProof w:val="0"/>
                <w:color w:val="000000"/>
                <w:sz w:val="20"/>
                <w:szCs w:val="20"/>
                <w:lang w:val="es-AR" w:eastAsia="es-AR"/>
              </w:rPr>
            </w:pPr>
            <w:r w:rsidRPr="00CC5897">
              <w:rPr>
                <w:rFonts w:ascii="Times New Roman" w:hAnsi="Times New Roman"/>
                <w:noProof w:val="0"/>
                <w:color w:val="000000"/>
                <w:sz w:val="20"/>
                <w:szCs w:val="20"/>
                <w:lang w:val="es-AR" w:eastAsia="es-AR"/>
              </w:rPr>
              <w:t>8.269</w:t>
            </w:r>
          </w:p>
        </w:tc>
        <w:tc>
          <w:tcPr>
            <w:tcW w:w="1160" w:type="dxa"/>
            <w:tcBorders>
              <w:top w:val="nil"/>
              <w:left w:val="nil"/>
              <w:bottom w:val="single" w:sz="4" w:space="0" w:color="auto"/>
              <w:right w:val="single" w:sz="4" w:space="0" w:color="auto"/>
            </w:tcBorders>
            <w:shd w:val="clear" w:color="auto" w:fill="auto"/>
            <w:noWrap/>
            <w:vAlign w:val="center"/>
            <w:hideMark/>
          </w:tcPr>
          <w:p w:rsidR="005707ED" w:rsidRPr="00CC5897" w:rsidRDefault="005707ED" w:rsidP="005707ED">
            <w:pPr>
              <w:spacing w:after="0" w:line="240" w:lineRule="auto"/>
              <w:jc w:val="center"/>
              <w:rPr>
                <w:rFonts w:ascii="Times New Roman" w:hAnsi="Times New Roman"/>
                <w:noProof w:val="0"/>
                <w:color w:val="000000"/>
                <w:sz w:val="20"/>
                <w:szCs w:val="20"/>
                <w:lang w:val="es-AR" w:eastAsia="es-AR"/>
              </w:rPr>
            </w:pPr>
            <w:r w:rsidRPr="00CC5897">
              <w:rPr>
                <w:rFonts w:ascii="Times New Roman" w:hAnsi="Times New Roman"/>
                <w:noProof w:val="0"/>
                <w:color w:val="000000"/>
                <w:sz w:val="20"/>
                <w:szCs w:val="20"/>
                <w:lang w:val="es-AR" w:eastAsia="es-AR"/>
              </w:rPr>
              <w:t>689</w:t>
            </w:r>
          </w:p>
        </w:tc>
        <w:tc>
          <w:tcPr>
            <w:tcW w:w="920" w:type="dxa"/>
            <w:tcBorders>
              <w:top w:val="nil"/>
              <w:left w:val="nil"/>
              <w:bottom w:val="single" w:sz="4" w:space="0" w:color="auto"/>
              <w:right w:val="single" w:sz="4" w:space="0" w:color="auto"/>
            </w:tcBorders>
            <w:shd w:val="clear" w:color="auto" w:fill="auto"/>
            <w:vAlign w:val="center"/>
            <w:hideMark/>
          </w:tcPr>
          <w:p w:rsidR="005707ED" w:rsidRPr="00CC5897" w:rsidRDefault="005707ED" w:rsidP="005707ED">
            <w:pPr>
              <w:spacing w:after="0" w:line="240" w:lineRule="auto"/>
              <w:jc w:val="center"/>
              <w:rPr>
                <w:rFonts w:ascii="Times New Roman" w:hAnsi="Times New Roman"/>
                <w:noProof w:val="0"/>
                <w:color w:val="000000"/>
                <w:sz w:val="20"/>
                <w:szCs w:val="20"/>
                <w:lang w:val="es-AR" w:eastAsia="es-AR"/>
              </w:rPr>
            </w:pPr>
            <w:r w:rsidRPr="00CC5897">
              <w:rPr>
                <w:rFonts w:ascii="Times New Roman" w:hAnsi="Times New Roman"/>
                <w:noProof w:val="0"/>
                <w:color w:val="000000"/>
                <w:sz w:val="20"/>
                <w:szCs w:val="20"/>
                <w:lang w:val="es-AR" w:eastAsia="es-AR"/>
              </w:rPr>
              <w:t>2%</w:t>
            </w:r>
          </w:p>
        </w:tc>
        <w:tc>
          <w:tcPr>
            <w:tcW w:w="1480" w:type="dxa"/>
            <w:tcBorders>
              <w:top w:val="nil"/>
              <w:left w:val="nil"/>
              <w:bottom w:val="single" w:sz="4" w:space="0" w:color="auto"/>
              <w:right w:val="single" w:sz="4" w:space="0" w:color="auto"/>
            </w:tcBorders>
            <w:shd w:val="clear" w:color="auto" w:fill="auto"/>
            <w:vAlign w:val="center"/>
            <w:hideMark/>
          </w:tcPr>
          <w:p w:rsidR="005707ED" w:rsidRPr="00CC5897" w:rsidRDefault="005707ED" w:rsidP="005707ED">
            <w:pPr>
              <w:spacing w:after="0" w:line="240" w:lineRule="auto"/>
              <w:jc w:val="center"/>
              <w:rPr>
                <w:rFonts w:ascii="Times New Roman" w:hAnsi="Times New Roman"/>
                <w:noProof w:val="0"/>
                <w:color w:val="000000"/>
                <w:sz w:val="20"/>
                <w:szCs w:val="20"/>
                <w:lang w:val="es-AR" w:eastAsia="es-AR"/>
              </w:rPr>
            </w:pPr>
            <w:r w:rsidRPr="00CC5897">
              <w:rPr>
                <w:rFonts w:ascii="Times New Roman" w:hAnsi="Times New Roman"/>
                <w:noProof w:val="0"/>
                <w:color w:val="000000"/>
                <w:sz w:val="20"/>
                <w:szCs w:val="20"/>
                <w:lang w:val="es-AR" w:eastAsia="es-AR"/>
              </w:rPr>
              <w:t>13,8</w:t>
            </w:r>
          </w:p>
        </w:tc>
      </w:tr>
    </w:tbl>
    <w:p w:rsidR="005707ED" w:rsidRPr="00FD4A49" w:rsidRDefault="005707ED" w:rsidP="003541CB">
      <w:pPr>
        <w:spacing w:before="120" w:after="120"/>
        <w:jc w:val="both"/>
        <w:rPr>
          <w:rFonts w:ascii="Times New Roman" w:hAnsi="Times New Roman"/>
          <w:sz w:val="24"/>
          <w:szCs w:val="24"/>
        </w:rPr>
      </w:pPr>
    </w:p>
    <w:p w:rsidR="00CA37D5" w:rsidRPr="004E4768" w:rsidRDefault="00CA37D5" w:rsidP="004E4768">
      <w:pPr>
        <w:pStyle w:val="Default"/>
        <w:spacing w:before="240" w:after="240" w:line="276" w:lineRule="auto"/>
        <w:jc w:val="center"/>
        <w:rPr>
          <w:b/>
          <w:smallCaps/>
          <w:noProof/>
          <w:lang w:val="es-ES"/>
        </w:rPr>
      </w:pPr>
      <w:r w:rsidRPr="004E4768">
        <w:rPr>
          <w:b/>
          <w:smallCaps/>
          <w:noProof/>
          <w:color w:val="auto"/>
          <w:lang w:val="es-ES"/>
        </w:rPr>
        <w:t>II</w:t>
      </w:r>
      <w:r>
        <w:rPr>
          <w:b/>
          <w:smallCaps/>
          <w:noProof/>
          <w:color w:val="auto"/>
          <w:lang w:val="es-ES"/>
        </w:rPr>
        <w:t>I.</w:t>
      </w:r>
      <w:r>
        <w:rPr>
          <w:b/>
          <w:smallCaps/>
          <w:noProof/>
          <w:color w:val="auto"/>
          <w:lang w:val="es-ES"/>
        </w:rPr>
        <w:tab/>
      </w:r>
      <w:r w:rsidRPr="004E4768">
        <w:rPr>
          <w:b/>
          <w:smallCaps/>
          <w:noProof/>
          <w:color w:val="auto"/>
          <w:lang w:val="es-ES"/>
        </w:rPr>
        <w:t>Costos Económicos</w:t>
      </w:r>
    </w:p>
    <w:p w:rsidR="00CA37D5" w:rsidRDefault="00CA37D5" w:rsidP="003541CB">
      <w:pPr>
        <w:spacing w:before="120" w:after="120"/>
        <w:jc w:val="both"/>
        <w:rPr>
          <w:rFonts w:ascii="Times New Roman" w:hAnsi="Times New Roman"/>
          <w:sz w:val="24"/>
          <w:szCs w:val="24"/>
        </w:rPr>
      </w:pPr>
      <w:r w:rsidRPr="004E4768">
        <w:rPr>
          <w:rFonts w:ascii="Times New Roman" w:hAnsi="Times New Roman"/>
          <w:sz w:val="24"/>
          <w:szCs w:val="24"/>
        </w:rPr>
        <w:t xml:space="preserve">Para realizar el cálculo del rendimiento financiero del programa se imputaron los cotos totales del financiamiento del Banco, es decir, </w:t>
      </w:r>
      <w:r w:rsidR="00B34097">
        <w:rPr>
          <w:rFonts w:ascii="Times New Roman" w:hAnsi="Times New Roman"/>
          <w:sz w:val="24"/>
          <w:szCs w:val="24"/>
        </w:rPr>
        <w:t>62</w:t>
      </w:r>
      <w:r w:rsidRPr="004E4768">
        <w:rPr>
          <w:rFonts w:ascii="Times New Roman" w:hAnsi="Times New Roman"/>
          <w:sz w:val="24"/>
          <w:szCs w:val="24"/>
        </w:rPr>
        <w:t xml:space="preserve"> millones </w:t>
      </w:r>
      <w:r w:rsidR="007D0B1E">
        <w:rPr>
          <w:rFonts w:ascii="Times New Roman" w:hAnsi="Times New Roman"/>
          <w:sz w:val="24"/>
          <w:szCs w:val="24"/>
        </w:rPr>
        <w:t xml:space="preserve">de dólares </w:t>
      </w:r>
      <w:r w:rsidRPr="004E4768">
        <w:rPr>
          <w:rFonts w:ascii="Times New Roman" w:hAnsi="Times New Roman"/>
          <w:sz w:val="24"/>
          <w:szCs w:val="24"/>
        </w:rPr>
        <w:t xml:space="preserve">en un </w:t>
      </w:r>
      <w:r w:rsidR="00C16C1A">
        <w:rPr>
          <w:rFonts w:ascii="Times New Roman" w:hAnsi="Times New Roman"/>
          <w:sz w:val="24"/>
          <w:szCs w:val="24"/>
        </w:rPr>
        <w:t>s</w:t>
      </w:r>
      <w:r w:rsidR="007D0B1E">
        <w:rPr>
          <w:rFonts w:ascii="Times New Roman" w:hAnsi="Times New Roman"/>
          <w:sz w:val="24"/>
          <w:szCs w:val="24"/>
        </w:rPr>
        <w:t>ó</w:t>
      </w:r>
      <w:r w:rsidR="00C16C1A">
        <w:rPr>
          <w:rFonts w:ascii="Times New Roman" w:hAnsi="Times New Roman"/>
          <w:sz w:val="24"/>
          <w:szCs w:val="24"/>
        </w:rPr>
        <w:t>lo tramo de desembolso y servicios de intereses y amortizaciones según contrato</w:t>
      </w:r>
      <w:r w:rsidR="00CD538B">
        <w:rPr>
          <w:rFonts w:ascii="Times New Roman" w:hAnsi="Times New Roman"/>
          <w:sz w:val="24"/>
          <w:szCs w:val="24"/>
        </w:rPr>
        <w:t>.</w:t>
      </w:r>
    </w:p>
    <w:p w:rsidR="00CD538B" w:rsidRDefault="00CD538B" w:rsidP="003541CB">
      <w:pPr>
        <w:spacing w:before="120" w:after="120"/>
        <w:jc w:val="both"/>
        <w:rPr>
          <w:rFonts w:ascii="Times New Roman" w:hAnsi="Times New Roman"/>
          <w:sz w:val="24"/>
          <w:szCs w:val="24"/>
        </w:rPr>
      </w:pPr>
    </w:p>
    <w:p w:rsidR="00CC5897" w:rsidRDefault="00CC5897" w:rsidP="003541CB">
      <w:pPr>
        <w:spacing w:before="120" w:after="120"/>
        <w:jc w:val="both"/>
        <w:rPr>
          <w:rFonts w:ascii="Times New Roman" w:hAnsi="Times New Roman"/>
          <w:sz w:val="24"/>
          <w:szCs w:val="24"/>
        </w:rPr>
      </w:pPr>
    </w:p>
    <w:p w:rsidR="00CC5897" w:rsidRPr="004E4768" w:rsidRDefault="00CC5897" w:rsidP="003541CB">
      <w:pPr>
        <w:spacing w:before="120" w:after="120"/>
        <w:jc w:val="both"/>
        <w:rPr>
          <w:rFonts w:ascii="Times New Roman" w:hAnsi="Times New Roman"/>
          <w:sz w:val="24"/>
          <w:szCs w:val="24"/>
        </w:rPr>
      </w:pPr>
    </w:p>
    <w:p w:rsidR="00CA37D5" w:rsidRPr="005C5B91" w:rsidRDefault="00CA37D5" w:rsidP="004E4768">
      <w:pPr>
        <w:spacing w:before="240" w:after="240"/>
        <w:jc w:val="center"/>
        <w:rPr>
          <w:rFonts w:ascii="Times New Roman Bold" w:hAnsi="Times New Roman Bold"/>
          <w:b/>
          <w:smallCaps/>
          <w:sz w:val="24"/>
          <w:szCs w:val="24"/>
        </w:rPr>
      </w:pPr>
      <w:r w:rsidRPr="005C5B91">
        <w:rPr>
          <w:rFonts w:ascii="Times New Roman Bold" w:hAnsi="Times New Roman Bold"/>
          <w:b/>
          <w:smallCaps/>
          <w:sz w:val="24"/>
          <w:szCs w:val="24"/>
        </w:rPr>
        <w:lastRenderedPageBreak/>
        <w:t>IV.</w:t>
      </w:r>
      <w:r>
        <w:rPr>
          <w:rFonts w:ascii="Times New Roman Bold" w:hAnsi="Times New Roman Bold"/>
          <w:b/>
          <w:smallCaps/>
          <w:sz w:val="24"/>
          <w:szCs w:val="24"/>
        </w:rPr>
        <w:tab/>
      </w:r>
      <w:r w:rsidRPr="005C5B91">
        <w:rPr>
          <w:rFonts w:ascii="Times New Roman Bold" w:hAnsi="Times New Roman Bold"/>
          <w:b/>
          <w:smallCaps/>
          <w:sz w:val="24"/>
          <w:szCs w:val="24"/>
        </w:rPr>
        <w:t xml:space="preserve">Evaluación del Programa </w:t>
      </w:r>
    </w:p>
    <w:p w:rsidR="00CA37D5" w:rsidRPr="004E4768" w:rsidRDefault="00CA37D5" w:rsidP="003541CB">
      <w:pPr>
        <w:spacing w:before="120" w:after="120"/>
        <w:jc w:val="both"/>
        <w:rPr>
          <w:rFonts w:ascii="Times New Roman" w:hAnsi="Times New Roman"/>
          <w:sz w:val="24"/>
          <w:szCs w:val="24"/>
        </w:rPr>
      </w:pPr>
      <w:r w:rsidRPr="004E4768">
        <w:rPr>
          <w:rFonts w:ascii="Times New Roman" w:hAnsi="Times New Roman"/>
          <w:sz w:val="24"/>
          <w:szCs w:val="24"/>
        </w:rPr>
        <w:t xml:space="preserve">La evaluación del programa fue realizada, como ya se explicó, mediante una medición de los beneficios financieros </w:t>
      </w:r>
      <w:r w:rsidR="00C16C1A">
        <w:rPr>
          <w:rFonts w:ascii="Times New Roman" w:hAnsi="Times New Roman"/>
          <w:sz w:val="24"/>
          <w:szCs w:val="24"/>
        </w:rPr>
        <w:t xml:space="preserve">en base a tres principales resultados del </w:t>
      </w:r>
      <w:r w:rsidRPr="004E4768">
        <w:rPr>
          <w:rFonts w:ascii="Times New Roman" w:hAnsi="Times New Roman"/>
          <w:sz w:val="24"/>
          <w:szCs w:val="24"/>
        </w:rPr>
        <w:t xml:space="preserve">programa: </w:t>
      </w:r>
      <w:r w:rsidR="00C16C1A" w:rsidRPr="00C16C1A">
        <w:rPr>
          <w:rFonts w:ascii="Times New Roman" w:hAnsi="Times New Roman"/>
          <w:sz w:val="24"/>
          <w:szCs w:val="24"/>
        </w:rPr>
        <w:t xml:space="preserve">(i) reducción en la tasa de interes que paga el TGN por la emision de letras de tesorería; ii) acceso a los mercados de capitales en condiciones mas ventajosas; y (iii) aumento de los intereses recibidos sobre los saldos de los recursos financieros del tesoro, generados a partir de la implantación de la cuenta única. </w:t>
      </w:r>
      <w:r w:rsidRPr="004E4768">
        <w:rPr>
          <w:rFonts w:ascii="Times New Roman" w:hAnsi="Times New Roman"/>
          <w:sz w:val="24"/>
          <w:szCs w:val="24"/>
        </w:rPr>
        <w:t xml:space="preserve">Para evaluar </w:t>
      </w:r>
      <w:r w:rsidR="00C16C1A">
        <w:rPr>
          <w:rFonts w:ascii="Times New Roman" w:hAnsi="Times New Roman"/>
          <w:sz w:val="24"/>
          <w:szCs w:val="24"/>
        </w:rPr>
        <w:t xml:space="preserve">el proyecto se utilizó </w:t>
      </w:r>
      <w:r w:rsidRPr="004E4768">
        <w:rPr>
          <w:rFonts w:ascii="Times New Roman" w:hAnsi="Times New Roman"/>
          <w:sz w:val="24"/>
          <w:szCs w:val="24"/>
        </w:rPr>
        <w:t>como parámetros el Valor Presente Neto (VPN) y la Tasa Interna de Retorno financiera (TIR). La tasa de descuento aplicada a los flujos netos de beneficios fu</w:t>
      </w:r>
      <w:r w:rsidR="007D0B1E">
        <w:rPr>
          <w:rFonts w:ascii="Times New Roman" w:hAnsi="Times New Roman"/>
          <w:sz w:val="24"/>
          <w:szCs w:val="24"/>
        </w:rPr>
        <w:t>e</w:t>
      </w:r>
      <w:r w:rsidRPr="004E4768">
        <w:rPr>
          <w:rFonts w:ascii="Times New Roman" w:hAnsi="Times New Roman"/>
          <w:sz w:val="24"/>
          <w:szCs w:val="24"/>
        </w:rPr>
        <w:t xml:space="preserve"> del </w:t>
      </w:r>
      <w:r w:rsidR="00C16C1A">
        <w:rPr>
          <w:rFonts w:ascii="Times New Roman" w:hAnsi="Times New Roman"/>
          <w:sz w:val="24"/>
          <w:szCs w:val="24"/>
        </w:rPr>
        <w:t>10</w:t>
      </w:r>
      <w:r w:rsidRPr="004E4768">
        <w:rPr>
          <w:rFonts w:ascii="Times New Roman" w:hAnsi="Times New Roman"/>
          <w:sz w:val="24"/>
          <w:szCs w:val="24"/>
        </w:rPr>
        <w:t>%</w:t>
      </w:r>
      <w:r w:rsidR="00C16C1A">
        <w:rPr>
          <w:rFonts w:ascii="Times New Roman" w:hAnsi="Times New Roman"/>
          <w:sz w:val="24"/>
          <w:szCs w:val="24"/>
        </w:rPr>
        <w:t>.</w:t>
      </w:r>
    </w:p>
    <w:p w:rsidR="00CA37D5" w:rsidRDefault="00CA37D5" w:rsidP="003541CB">
      <w:pPr>
        <w:spacing w:before="120" w:after="120"/>
        <w:jc w:val="both"/>
        <w:rPr>
          <w:rFonts w:ascii="Times New Roman" w:hAnsi="Times New Roman"/>
          <w:sz w:val="24"/>
          <w:szCs w:val="24"/>
        </w:rPr>
      </w:pPr>
      <w:r w:rsidRPr="004E4768">
        <w:rPr>
          <w:rFonts w:ascii="Times New Roman" w:hAnsi="Times New Roman"/>
          <w:sz w:val="24"/>
          <w:szCs w:val="24"/>
        </w:rPr>
        <w:t>El VPN del proyecto es positivo en US$</w:t>
      </w:r>
      <w:r w:rsidR="00C16C1A">
        <w:rPr>
          <w:rFonts w:ascii="Times New Roman" w:hAnsi="Times New Roman"/>
          <w:sz w:val="24"/>
          <w:szCs w:val="24"/>
        </w:rPr>
        <w:t xml:space="preserve"> </w:t>
      </w:r>
      <w:r w:rsidR="00563869">
        <w:rPr>
          <w:rFonts w:ascii="Times New Roman" w:hAnsi="Times New Roman"/>
          <w:sz w:val="24"/>
          <w:szCs w:val="24"/>
        </w:rPr>
        <w:t>73,7</w:t>
      </w:r>
      <w:r w:rsidRPr="004E4768">
        <w:rPr>
          <w:rFonts w:ascii="Times New Roman" w:hAnsi="Times New Roman"/>
          <w:sz w:val="24"/>
          <w:szCs w:val="24"/>
        </w:rPr>
        <w:t xml:space="preserve"> millones utilizando un horizonte proyectado de 10 años y la TIR se estimó en </w:t>
      </w:r>
      <w:r w:rsidR="00563869">
        <w:rPr>
          <w:rFonts w:ascii="Times New Roman" w:hAnsi="Times New Roman"/>
          <w:sz w:val="24"/>
          <w:szCs w:val="24"/>
        </w:rPr>
        <w:t>34</w:t>
      </w:r>
      <w:r w:rsidRPr="004E4768">
        <w:rPr>
          <w:rFonts w:ascii="Times New Roman" w:hAnsi="Times New Roman"/>
          <w:sz w:val="24"/>
          <w:szCs w:val="24"/>
        </w:rPr>
        <w:t>%, valor superior al costo de oportunidad asignado a los recursos.</w:t>
      </w:r>
    </w:p>
    <w:p w:rsidR="0057274D" w:rsidRDefault="0057274D">
      <w:pPr>
        <w:spacing w:after="0" w:line="240" w:lineRule="auto"/>
        <w:rPr>
          <w:rFonts w:ascii="Times New Roman" w:hAnsi="Times New Roman"/>
          <w:sz w:val="24"/>
          <w:szCs w:val="24"/>
        </w:rPr>
      </w:pPr>
    </w:p>
    <w:p w:rsidR="0057274D" w:rsidRPr="0057274D" w:rsidRDefault="0057274D" w:rsidP="0057274D">
      <w:pPr>
        <w:spacing w:before="120" w:after="120"/>
        <w:jc w:val="center"/>
        <w:rPr>
          <w:rFonts w:ascii="Times New Roman" w:hAnsi="Times New Roman"/>
          <w:b/>
        </w:rPr>
      </w:pPr>
      <w:r w:rsidRPr="0057274D">
        <w:rPr>
          <w:rFonts w:ascii="Times New Roman" w:hAnsi="Times New Roman"/>
          <w:b/>
        </w:rPr>
        <w:t>Flujo de Fondos del Proyecto, VAN y TIR</w:t>
      </w:r>
    </w:p>
    <w:p w:rsidR="0057274D" w:rsidRDefault="007D0B1E" w:rsidP="007D0B1E">
      <w:pPr>
        <w:spacing w:before="120" w:after="120"/>
        <w:jc w:val="center"/>
        <w:rPr>
          <w:rFonts w:ascii="Times New Roman" w:hAnsi="Times New Roman"/>
          <w:sz w:val="24"/>
          <w:szCs w:val="24"/>
        </w:rPr>
      </w:pPr>
      <w:r w:rsidRPr="007D0B1E">
        <w:rPr>
          <w:szCs w:val="24"/>
          <w:lang w:val="en-US"/>
        </w:rPr>
        <w:drawing>
          <wp:inline distT="0" distB="0" distL="0" distR="0">
            <wp:extent cx="6172945" cy="2809875"/>
            <wp:effectExtent l="1905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6173810" cy="2810269"/>
                    </a:xfrm>
                    <a:prstGeom prst="rect">
                      <a:avLst/>
                    </a:prstGeom>
                    <a:noFill/>
                    <a:ln w="9525">
                      <a:noFill/>
                      <a:miter lim="800000"/>
                      <a:headEnd/>
                      <a:tailEnd/>
                    </a:ln>
                  </pic:spPr>
                </pic:pic>
              </a:graphicData>
            </a:graphic>
          </wp:inline>
        </w:drawing>
      </w:r>
    </w:p>
    <w:p w:rsidR="0057274D" w:rsidRDefault="0057274D" w:rsidP="003541CB">
      <w:pPr>
        <w:spacing w:before="120" w:after="120"/>
        <w:jc w:val="both"/>
        <w:rPr>
          <w:rFonts w:ascii="Times New Roman" w:hAnsi="Times New Roman"/>
          <w:sz w:val="24"/>
          <w:szCs w:val="24"/>
        </w:rPr>
      </w:pPr>
    </w:p>
    <w:p w:rsidR="00D40238" w:rsidRPr="00D40238" w:rsidRDefault="00D40238" w:rsidP="00D40238">
      <w:pPr>
        <w:spacing w:before="240" w:after="240"/>
        <w:jc w:val="center"/>
        <w:rPr>
          <w:rFonts w:ascii="Times New Roman Bold" w:hAnsi="Times New Roman Bold"/>
          <w:b/>
          <w:smallCaps/>
          <w:sz w:val="24"/>
          <w:szCs w:val="24"/>
        </w:rPr>
      </w:pPr>
      <w:r w:rsidRPr="00D40238">
        <w:rPr>
          <w:rFonts w:ascii="Times New Roman Bold" w:hAnsi="Times New Roman Bold"/>
          <w:b/>
          <w:smallCaps/>
          <w:sz w:val="24"/>
          <w:szCs w:val="24"/>
        </w:rPr>
        <w:t>V.</w:t>
      </w:r>
      <w:r w:rsidRPr="00D40238">
        <w:rPr>
          <w:rFonts w:ascii="Times New Roman Bold" w:hAnsi="Times New Roman Bold"/>
          <w:b/>
          <w:smallCaps/>
          <w:sz w:val="24"/>
          <w:szCs w:val="24"/>
        </w:rPr>
        <w:tab/>
        <w:t>Analisis de Sensibilidad</w:t>
      </w:r>
    </w:p>
    <w:p w:rsidR="00A82AED" w:rsidRDefault="00D40238" w:rsidP="003541CB">
      <w:pPr>
        <w:spacing w:before="120" w:after="120"/>
        <w:jc w:val="both"/>
        <w:rPr>
          <w:rFonts w:ascii="Times New Roman" w:hAnsi="Times New Roman"/>
          <w:sz w:val="24"/>
          <w:szCs w:val="24"/>
        </w:rPr>
      </w:pPr>
      <w:r w:rsidRPr="00D40238">
        <w:rPr>
          <w:rFonts w:ascii="Times New Roman" w:hAnsi="Times New Roman"/>
          <w:sz w:val="24"/>
          <w:szCs w:val="24"/>
        </w:rPr>
        <w:t>Como parte del análisis de sensibilidad se plante</w:t>
      </w:r>
      <w:r w:rsidR="00A82AED">
        <w:rPr>
          <w:rFonts w:ascii="Times New Roman" w:hAnsi="Times New Roman"/>
          <w:sz w:val="24"/>
          <w:szCs w:val="24"/>
        </w:rPr>
        <w:t xml:space="preserve">ó un </w:t>
      </w:r>
      <w:r w:rsidRPr="00D40238">
        <w:rPr>
          <w:rFonts w:ascii="Times New Roman" w:hAnsi="Times New Roman"/>
          <w:sz w:val="24"/>
          <w:szCs w:val="24"/>
        </w:rPr>
        <w:t>escenario</w:t>
      </w:r>
      <w:r w:rsidR="00A82AED">
        <w:rPr>
          <w:rFonts w:ascii="Times New Roman" w:hAnsi="Times New Roman"/>
          <w:sz w:val="24"/>
          <w:szCs w:val="24"/>
        </w:rPr>
        <w:t xml:space="preserve"> conservador para evaluar el impacto de los cambios </w:t>
      </w:r>
      <w:r w:rsidR="007014BA">
        <w:rPr>
          <w:rFonts w:ascii="Times New Roman" w:hAnsi="Times New Roman"/>
          <w:sz w:val="24"/>
          <w:szCs w:val="24"/>
        </w:rPr>
        <w:t>en</w:t>
      </w:r>
      <w:r w:rsidR="00A82AED">
        <w:rPr>
          <w:rFonts w:ascii="Times New Roman" w:hAnsi="Times New Roman"/>
          <w:sz w:val="24"/>
          <w:szCs w:val="24"/>
        </w:rPr>
        <w:t xml:space="preserve"> los supuestos </w:t>
      </w:r>
      <w:r w:rsidR="007014BA">
        <w:rPr>
          <w:rFonts w:ascii="Times New Roman" w:hAnsi="Times New Roman"/>
          <w:sz w:val="24"/>
          <w:szCs w:val="24"/>
        </w:rPr>
        <w:t xml:space="preserve">del modelo de análisis sobre </w:t>
      </w:r>
      <w:r w:rsidR="00A82AED">
        <w:rPr>
          <w:rFonts w:ascii="Times New Roman" w:hAnsi="Times New Roman"/>
          <w:sz w:val="24"/>
          <w:szCs w:val="24"/>
        </w:rPr>
        <w:t>la</w:t>
      </w:r>
      <w:r w:rsidRPr="00D40238">
        <w:rPr>
          <w:rFonts w:ascii="Times New Roman" w:hAnsi="Times New Roman"/>
          <w:sz w:val="24"/>
          <w:szCs w:val="24"/>
        </w:rPr>
        <w:t xml:space="preserve"> rentabilidad del proyecto</w:t>
      </w:r>
      <w:r w:rsidR="00A82AED">
        <w:rPr>
          <w:rFonts w:ascii="Times New Roman" w:hAnsi="Times New Roman"/>
          <w:sz w:val="24"/>
          <w:szCs w:val="24"/>
        </w:rPr>
        <w:t xml:space="preserve">. El escenario mas conservador supone una reduccion </w:t>
      </w:r>
      <w:r w:rsidR="007D0B1E">
        <w:rPr>
          <w:rFonts w:ascii="Times New Roman" w:hAnsi="Times New Roman"/>
          <w:sz w:val="24"/>
          <w:szCs w:val="24"/>
        </w:rPr>
        <w:t xml:space="preserve">de sólo el 10% </w:t>
      </w:r>
      <w:r w:rsidR="00A82AED">
        <w:rPr>
          <w:rFonts w:ascii="Times New Roman" w:hAnsi="Times New Roman"/>
          <w:sz w:val="24"/>
          <w:szCs w:val="24"/>
        </w:rPr>
        <w:t xml:space="preserve">en la tasa de interes que enfrenta el TGN en su financiamiento dómestico mediante letras de la tesorería </w:t>
      </w:r>
      <w:r w:rsidR="007014BA">
        <w:rPr>
          <w:rFonts w:ascii="Times New Roman" w:hAnsi="Times New Roman"/>
          <w:sz w:val="24"/>
          <w:szCs w:val="24"/>
        </w:rPr>
        <w:t>y colocaciones en los mercados de capitales.</w:t>
      </w:r>
      <w:r w:rsidR="00A82AED">
        <w:rPr>
          <w:rFonts w:ascii="Times New Roman" w:hAnsi="Times New Roman"/>
          <w:sz w:val="24"/>
          <w:szCs w:val="24"/>
        </w:rPr>
        <w:t xml:space="preserve"> En el escenario base la reducción de tasas es del 20% para ambas fuentes de financiamiento. Por otro lado, supone que la cuenta unica de tesorería solo permite capitalizar (remunerar a través del Agente Financiero del Estado Boliviano) una porción </w:t>
      </w:r>
      <w:r w:rsidR="00A82AED">
        <w:rPr>
          <w:rFonts w:ascii="Times New Roman" w:hAnsi="Times New Roman"/>
          <w:sz w:val="24"/>
          <w:szCs w:val="24"/>
        </w:rPr>
        <w:lastRenderedPageBreak/>
        <w:t xml:space="preserve">del flujo de fondos del Sector Público No Fninanciero. </w:t>
      </w:r>
      <w:r w:rsidR="007014BA">
        <w:rPr>
          <w:rFonts w:ascii="Times New Roman" w:hAnsi="Times New Roman"/>
          <w:sz w:val="24"/>
          <w:szCs w:val="24"/>
        </w:rPr>
        <w:t>El escenario base suponía que la optimización de la gestion de caja mediante la cuenta única de tesorería permitía percibir intereses por la colocación a plazo de un mes del flujo de fondos del Sector Público No Financiero. En el escenario conservador se asume que se colocan sólo el 75% de estos fondos.</w:t>
      </w:r>
    </w:p>
    <w:p w:rsidR="00855A3D" w:rsidRDefault="00855A3D" w:rsidP="003541CB">
      <w:pPr>
        <w:spacing w:before="120" w:after="120"/>
        <w:jc w:val="both"/>
        <w:rPr>
          <w:rFonts w:ascii="Times New Roman" w:hAnsi="Times New Roman"/>
          <w:sz w:val="24"/>
          <w:szCs w:val="24"/>
        </w:rPr>
      </w:pPr>
      <w:r>
        <w:rPr>
          <w:rFonts w:ascii="Times New Roman" w:hAnsi="Times New Roman"/>
          <w:sz w:val="24"/>
          <w:szCs w:val="24"/>
        </w:rPr>
        <w:t>En este escenario conservador el V</w:t>
      </w:r>
      <w:r w:rsidR="007D0B1E">
        <w:rPr>
          <w:rFonts w:ascii="Times New Roman" w:hAnsi="Times New Roman"/>
          <w:sz w:val="24"/>
          <w:szCs w:val="24"/>
        </w:rPr>
        <w:t>P</w:t>
      </w:r>
      <w:r>
        <w:rPr>
          <w:rFonts w:ascii="Times New Roman" w:hAnsi="Times New Roman"/>
          <w:sz w:val="24"/>
          <w:szCs w:val="24"/>
        </w:rPr>
        <w:t>N se reduce respercto del escenario base pero la rentabilidad economica del proyecto continúa siendo positiva. El V</w:t>
      </w:r>
      <w:r w:rsidR="007D0B1E">
        <w:rPr>
          <w:rFonts w:ascii="Times New Roman" w:hAnsi="Times New Roman"/>
          <w:sz w:val="24"/>
          <w:szCs w:val="24"/>
        </w:rPr>
        <w:t>P</w:t>
      </w:r>
      <w:r>
        <w:rPr>
          <w:rFonts w:ascii="Times New Roman" w:hAnsi="Times New Roman"/>
          <w:sz w:val="24"/>
          <w:szCs w:val="24"/>
        </w:rPr>
        <w:t>N asciende a 24,19 millones de dólares y la TIR del proyecto se ubica en el 18,83%.</w:t>
      </w:r>
    </w:p>
    <w:p w:rsidR="00944924" w:rsidRDefault="00944924" w:rsidP="007D0B1E">
      <w:pPr>
        <w:spacing w:before="120" w:after="120"/>
        <w:jc w:val="center"/>
        <w:rPr>
          <w:rFonts w:ascii="Times New Roman" w:hAnsi="Times New Roman"/>
          <w:b/>
        </w:rPr>
      </w:pPr>
    </w:p>
    <w:p w:rsidR="00ED4E3F" w:rsidRPr="007D0B1E" w:rsidRDefault="0057274D" w:rsidP="007D0B1E">
      <w:pPr>
        <w:spacing w:before="120" w:after="120"/>
        <w:jc w:val="center"/>
        <w:rPr>
          <w:rFonts w:ascii="Times New Roman" w:hAnsi="Times New Roman"/>
          <w:b/>
        </w:rPr>
      </w:pPr>
      <w:r w:rsidRPr="007D0B1E">
        <w:rPr>
          <w:rFonts w:ascii="Times New Roman" w:hAnsi="Times New Roman"/>
          <w:b/>
        </w:rPr>
        <w:t>Analisis de Sensibilidad</w:t>
      </w:r>
    </w:p>
    <w:tbl>
      <w:tblPr>
        <w:tblW w:w="6080" w:type="dxa"/>
        <w:jc w:val="center"/>
        <w:tblInd w:w="55" w:type="dxa"/>
        <w:tblCellMar>
          <w:left w:w="70" w:type="dxa"/>
          <w:right w:w="70" w:type="dxa"/>
        </w:tblCellMar>
        <w:tblLook w:val="04A0"/>
      </w:tblPr>
      <w:tblGrid>
        <w:gridCol w:w="3220"/>
        <w:gridCol w:w="1200"/>
        <w:gridCol w:w="1660"/>
      </w:tblGrid>
      <w:tr w:rsidR="00D40238" w:rsidRPr="00CC5897" w:rsidTr="00D40238">
        <w:trPr>
          <w:trHeight w:val="675"/>
          <w:jc w:val="center"/>
        </w:trPr>
        <w:tc>
          <w:tcPr>
            <w:tcW w:w="32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238" w:rsidRPr="00CC5897" w:rsidRDefault="00D40238" w:rsidP="00D40238">
            <w:pPr>
              <w:spacing w:after="0" w:line="240" w:lineRule="auto"/>
              <w:rPr>
                <w:rFonts w:ascii="Times New Roman" w:hAnsi="Times New Roman"/>
                <w:noProof w:val="0"/>
                <w:color w:val="000000"/>
                <w:sz w:val="20"/>
                <w:szCs w:val="20"/>
                <w:lang w:val="es-AR" w:eastAsia="es-AR"/>
              </w:rPr>
            </w:pPr>
            <w:r w:rsidRPr="00CC5897">
              <w:rPr>
                <w:rFonts w:ascii="Times New Roman" w:hAnsi="Times New Roman"/>
                <w:noProof w:val="0"/>
                <w:color w:val="000000"/>
                <w:sz w:val="20"/>
                <w:szCs w:val="20"/>
                <w:lang w:val="es-AR" w:eastAsia="es-AR"/>
              </w:rPr>
              <w:t> </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D40238" w:rsidRPr="00CC5897" w:rsidRDefault="00D40238" w:rsidP="00D40238">
            <w:pPr>
              <w:spacing w:after="0" w:line="240" w:lineRule="auto"/>
              <w:jc w:val="center"/>
              <w:rPr>
                <w:rFonts w:ascii="Times New Roman" w:hAnsi="Times New Roman"/>
                <w:b/>
                <w:bCs/>
                <w:noProof w:val="0"/>
                <w:color w:val="000000"/>
                <w:sz w:val="20"/>
                <w:szCs w:val="20"/>
                <w:lang w:val="es-AR" w:eastAsia="es-AR"/>
              </w:rPr>
            </w:pPr>
            <w:r w:rsidRPr="00CC5897">
              <w:rPr>
                <w:rFonts w:ascii="Times New Roman" w:hAnsi="Times New Roman"/>
                <w:b/>
                <w:bCs/>
                <w:noProof w:val="0"/>
                <w:color w:val="000000"/>
                <w:sz w:val="20"/>
                <w:szCs w:val="20"/>
                <w:lang w:val="es-AR" w:eastAsia="es-AR"/>
              </w:rPr>
              <w:t>Escenario Base</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D40238" w:rsidRPr="00CC5897" w:rsidRDefault="00D40238" w:rsidP="00D40238">
            <w:pPr>
              <w:spacing w:after="0" w:line="240" w:lineRule="auto"/>
              <w:jc w:val="center"/>
              <w:rPr>
                <w:rFonts w:ascii="Times New Roman" w:hAnsi="Times New Roman"/>
                <w:b/>
                <w:bCs/>
                <w:noProof w:val="0"/>
                <w:color w:val="000000"/>
                <w:sz w:val="20"/>
                <w:szCs w:val="20"/>
                <w:lang w:val="es-AR" w:eastAsia="es-AR"/>
              </w:rPr>
            </w:pPr>
            <w:r w:rsidRPr="00CC5897">
              <w:rPr>
                <w:rFonts w:ascii="Times New Roman" w:hAnsi="Times New Roman"/>
                <w:b/>
                <w:bCs/>
                <w:noProof w:val="0"/>
                <w:color w:val="000000"/>
                <w:sz w:val="20"/>
                <w:szCs w:val="20"/>
                <w:lang w:val="es-AR" w:eastAsia="es-AR"/>
              </w:rPr>
              <w:t>Escenario Conservador</w:t>
            </w:r>
          </w:p>
        </w:tc>
      </w:tr>
      <w:tr w:rsidR="00D40238" w:rsidRPr="00CC5897" w:rsidTr="00D40238">
        <w:trPr>
          <w:trHeight w:val="390"/>
          <w:jc w:val="center"/>
        </w:trPr>
        <w:tc>
          <w:tcPr>
            <w:tcW w:w="3220" w:type="dxa"/>
            <w:tcBorders>
              <w:top w:val="nil"/>
              <w:left w:val="single" w:sz="4" w:space="0" w:color="auto"/>
              <w:bottom w:val="single" w:sz="4" w:space="0" w:color="auto"/>
              <w:right w:val="single" w:sz="4" w:space="0" w:color="auto"/>
            </w:tcBorders>
            <w:shd w:val="clear" w:color="auto" w:fill="auto"/>
            <w:noWrap/>
            <w:vAlign w:val="center"/>
            <w:hideMark/>
          </w:tcPr>
          <w:p w:rsidR="00D40238" w:rsidRPr="00CC5897" w:rsidRDefault="00D40238" w:rsidP="007D0B1E">
            <w:pPr>
              <w:spacing w:after="0" w:line="240" w:lineRule="auto"/>
              <w:jc w:val="center"/>
              <w:rPr>
                <w:rFonts w:ascii="Times New Roman" w:hAnsi="Times New Roman"/>
                <w:noProof w:val="0"/>
                <w:color w:val="000000"/>
                <w:sz w:val="20"/>
                <w:szCs w:val="20"/>
                <w:lang w:val="es-AR" w:eastAsia="es-AR"/>
              </w:rPr>
            </w:pPr>
            <w:r w:rsidRPr="00CC5897">
              <w:rPr>
                <w:rFonts w:ascii="Times New Roman" w:hAnsi="Times New Roman"/>
                <w:noProof w:val="0"/>
                <w:color w:val="000000"/>
                <w:sz w:val="20"/>
                <w:szCs w:val="20"/>
                <w:lang w:val="es-AR" w:eastAsia="es-AR"/>
              </w:rPr>
              <w:t>V</w:t>
            </w:r>
            <w:r w:rsidR="007D0B1E" w:rsidRPr="00CC5897">
              <w:rPr>
                <w:rFonts w:ascii="Times New Roman" w:hAnsi="Times New Roman"/>
                <w:noProof w:val="0"/>
                <w:color w:val="000000"/>
                <w:sz w:val="20"/>
                <w:szCs w:val="20"/>
                <w:lang w:val="es-AR" w:eastAsia="es-AR"/>
              </w:rPr>
              <w:t>P</w:t>
            </w:r>
            <w:r w:rsidRPr="00CC5897">
              <w:rPr>
                <w:rFonts w:ascii="Times New Roman" w:hAnsi="Times New Roman"/>
                <w:noProof w:val="0"/>
                <w:color w:val="000000"/>
                <w:sz w:val="20"/>
                <w:szCs w:val="20"/>
                <w:lang w:val="es-AR" w:eastAsia="es-AR"/>
              </w:rPr>
              <w:t>N (10%) en millones de US$</w:t>
            </w:r>
          </w:p>
        </w:tc>
        <w:tc>
          <w:tcPr>
            <w:tcW w:w="1200" w:type="dxa"/>
            <w:tcBorders>
              <w:top w:val="nil"/>
              <w:left w:val="nil"/>
              <w:bottom w:val="single" w:sz="4" w:space="0" w:color="auto"/>
              <w:right w:val="single" w:sz="4" w:space="0" w:color="auto"/>
            </w:tcBorders>
            <w:shd w:val="clear" w:color="auto" w:fill="auto"/>
            <w:noWrap/>
            <w:vAlign w:val="center"/>
            <w:hideMark/>
          </w:tcPr>
          <w:p w:rsidR="00D40238" w:rsidRPr="00CC5897" w:rsidRDefault="00D40238" w:rsidP="00D40238">
            <w:pPr>
              <w:spacing w:after="0" w:line="240" w:lineRule="auto"/>
              <w:jc w:val="center"/>
              <w:rPr>
                <w:rFonts w:ascii="Times New Roman" w:hAnsi="Times New Roman"/>
                <w:noProof w:val="0"/>
                <w:color w:val="000000"/>
                <w:sz w:val="20"/>
                <w:szCs w:val="20"/>
                <w:lang w:val="es-AR" w:eastAsia="es-AR"/>
              </w:rPr>
            </w:pPr>
            <w:r w:rsidRPr="00CC5897">
              <w:rPr>
                <w:rFonts w:ascii="Times New Roman" w:hAnsi="Times New Roman"/>
                <w:noProof w:val="0"/>
                <w:color w:val="000000"/>
                <w:sz w:val="20"/>
                <w:szCs w:val="20"/>
                <w:lang w:val="es-AR" w:eastAsia="es-AR"/>
              </w:rPr>
              <w:t>73,67</w:t>
            </w:r>
          </w:p>
        </w:tc>
        <w:tc>
          <w:tcPr>
            <w:tcW w:w="1660" w:type="dxa"/>
            <w:tcBorders>
              <w:top w:val="nil"/>
              <w:left w:val="nil"/>
              <w:bottom w:val="single" w:sz="4" w:space="0" w:color="auto"/>
              <w:right w:val="single" w:sz="4" w:space="0" w:color="auto"/>
            </w:tcBorders>
            <w:shd w:val="clear" w:color="auto" w:fill="auto"/>
            <w:noWrap/>
            <w:vAlign w:val="center"/>
            <w:hideMark/>
          </w:tcPr>
          <w:p w:rsidR="00D40238" w:rsidRPr="00CC5897" w:rsidRDefault="00D40238" w:rsidP="00D40238">
            <w:pPr>
              <w:spacing w:after="0" w:line="240" w:lineRule="auto"/>
              <w:jc w:val="center"/>
              <w:rPr>
                <w:rFonts w:ascii="Times New Roman" w:hAnsi="Times New Roman"/>
                <w:noProof w:val="0"/>
                <w:color w:val="000000"/>
                <w:sz w:val="20"/>
                <w:szCs w:val="20"/>
                <w:lang w:val="es-AR" w:eastAsia="es-AR"/>
              </w:rPr>
            </w:pPr>
            <w:r w:rsidRPr="00CC5897">
              <w:rPr>
                <w:rFonts w:ascii="Times New Roman" w:hAnsi="Times New Roman"/>
                <w:noProof w:val="0"/>
                <w:color w:val="000000"/>
                <w:sz w:val="20"/>
                <w:szCs w:val="20"/>
                <w:lang w:val="es-AR" w:eastAsia="es-AR"/>
              </w:rPr>
              <w:t>24,19</w:t>
            </w:r>
          </w:p>
        </w:tc>
      </w:tr>
      <w:tr w:rsidR="00D40238" w:rsidRPr="00CC5897" w:rsidTr="00D40238">
        <w:trPr>
          <w:trHeight w:val="390"/>
          <w:jc w:val="center"/>
        </w:trPr>
        <w:tc>
          <w:tcPr>
            <w:tcW w:w="3220" w:type="dxa"/>
            <w:tcBorders>
              <w:top w:val="nil"/>
              <w:left w:val="single" w:sz="4" w:space="0" w:color="auto"/>
              <w:bottom w:val="single" w:sz="4" w:space="0" w:color="auto"/>
              <w:right w:val="single" w:sz="4" w:space="0" w:color="auto"/>
            </w:tcBorders>
            <w:shd w:val="clear" w:color="auto" w:fill="auto"/>
            <w:noWrap/>
            <w:vAlign w:val="center"/>
            <w:hideMark/>
          </w:tcPr>
          <w:p w:rsidR="00D40238" w:rsidRPr="00CC5897" w:rsidRDefault="00D40238" w:rsidP="00D40238">
            <w:pPr>
              <w:spacing w:after="0" w:line="240" w:lineRule="auto"/>
              <w:jc w:val="center"/>
              <w:rPr>
                <w:rFonts w:ascii="Times New Roman" w:hAnsi="Times New Roman"/>
                <w:noProof w:val="0"/>
                <w:color w:val="000000"/>
                <w:sz w:val="20"/>
                <w:szCs w:val="20"/>
                <w:lang w:val="es-AR" w:eastAsia="es-AR"/>
              </w:rPr>
            </w:pPr>
            <w:r w:rsidRPr="00CC5897">
              <w:rPr>
                <w:rFonts w:ascii="Times New Roman" w:hAnsi="Times New Roman"/>
                <w:noProof w:val="0"/>
                <w:color w:val="000000"/>
                <w:sz w:val="20"/>
                <w:szCs w:val="20"/>
                <w:lang w:val="es-AR" w:eastAsia="es-AR"/>
              </w:rPr>
              <w:t>TIR</w:t>
            </w:r>
          </w:p>
        </w:tc>
        <w:tc>
          <w:tcPr>
            <w:tcW w:w="1200" w:type="dxa"/>
            <w:tcBorders>
              <w:top w:val="nil"/>
              <w:left w:val="nil"/>
              <w:bottom w:val="single" w:sz="4" w:space="0" w:color="auto"/>
              <w:right w:val="single" w:sz="4" w:space="0" w:color="auto"/>
            </w:tcBorders>
            <w:shd w:val="clear" w:color="auto" w:fill="auto"/>
            <w:noWrap/>
            <w:vAlign w:val="center"/>
            <w:hideMark/>
          </w:tcPr>
          <w:p w:rsidR="00D40238" w:rsidRPr="00CC5897" w:rsidRDefault="00D40238" w:rsidP="00D40238">
            <w:pPr>
              <w:spacing w:after="0" w:line="240" w:lineRule="auto"/>
              <w:jc w:val="center"/>
              <w:rPr>
                <w:rFonts w:ascii="Times New Roman" w:hAnsi="Times New Roman"/>
                <w:noProof w:val="0"/>
                <w:color w:val="000000"/>
                <w:sz w:val="20"/>
                <w:szCs w:val="20"/>
                <w:lang w:val="es-AR" w:eastAsia="es-AR"/>
              </w:rPr>
            </w:pPr>
            <w:r w:rsidRPr="00CC5897">
              <w:rPr>
                <w:rFonts w:ascii="Times New Roman" w:hAnsi="Times New Roman"/>
                <w:noProof w:val="0"/>
                <w:color w:val="000000"/>
                <w:sz w:val="20"/>
                <w:szCs w:val="20"/>
                <w:lang w:val="es-AR" w:eastAsia="es-AR"/>
              </w:rPr>
              <w:t>34,38%</w:t>
            </w:r>
          </w:p>
        </w:tc>
        <w:tc>
          <w:tcPr>
            <w:tcW w:w="1660" w:type="dxa"/>
            <w:tcBorders>
              <w:top w:val="nil"/>
              <w:left w:val="nil"/>
              <w:bottom w:val="single" w:sz="4" w:space="0" w:color="auto"/>
              <w:right w:val="single" w:sz="4" w:space="0" w:color="auto"/>
            </w:tcBorders>
            <w:shd w:val="clear" w:color="auto" w:fill="auto"/>
            <w:noWrap/>
            <w:vAlign w:val="center"/>
            <w:hideMark/>
          </w:tcPr>
          <w:p w:rsidR="00D40238" w:rsidRPr="00CC5897" w:rsidRDefault="00D40238" w:rsidP="00D40238">
            <w:pPr>
              <w:spacing w:after="0" w:line="240" w:lineRule="auto"/>
              <w:jc w:val="center"/>
              <w:rPr>
                <w:rFonts w:ascii="Times New Roman" w:hAnsi="Times New Roman"/>
                <w:noProof w:val="0"/>
                <w:color w:val="000000"/>
                <w:sz w:val="20"/>
                <w:szCs w:val="20"/>
                <w:lang w:val="es-AR" w:eastAsia="es-AR"/>
              </w:rPr>
            </w:pPr>
            <w:r w:rsidRPr="00CC5897">
              <w:rPr>
                <w:rFonts w:ascii="Times New Roman" w:hAnsi="Times New Roman"/>
                <w:noProof w:val="0"/>
                <w:color w:val="000000"/>
                <w:sz w:val="20"/>
                <w:szCs w:val="20"/>
                <w:lang w:val="es-AR" w:eastAsia="es-AR"/>
              </w:rPr>
              <w:t>18,83%</w:t>
            </w:r>
          </w:p>
        </w:tc>
      </w:tr>
    </w:tbl>
    <w:p w:rsidR="00D40238" w:rsidRPr="004E4768" w:rsidRDefault="00D40238" w:rsidP="003541CB">
      <w:pPr>
        <w:spacing w:before="120" w:after="120"/>
        <w:jc w:val="both"/>
        <w:rPr>
          <w:rFonts w:ascii="Times New Roman" w:hAnsi="Times New Roman"/>
          <w:sz w:val="24"/>
          <w:szCs w:val="24"/>
        </w:rPr>
      </w:pPr>
    </w:p>
    <w:p w:rsidR="00CA37D5" w:rsidRPr="005C5B91" w:rsidRDefault="00CA37D5" w:rsidP="00CF1BCF">
      <w:pPr>
        <w:spacing w:before="240" w:after="240"/>
        <w:jc w:val="center"/>
        <w:rPr>
          <w:rFonts w:ascii="Times New Roman Bold" w:hAnsi="Times New Roman Bold"/>
          <w:b/>
          <w:smallCaps/>
          <w:sz w:val="24"/>
          <w:szCs w:val="24"/>
        </w:rPr>
      </w:pPr>
      <w:r w:rsidRPr="005C5B91">
        <w:rPr>
          <w:rFonts w:ascii="Times New Roman Bold" w:hAnsi="Times New Roman Bold"/>
          <w:b/>
          <w:smallCaps/>
          <w:sz w:val="24"/>
          <w:szCs w:val="24"/>
        </w:rPr>
        <w:t>V.</w:t>
      </w:r>
      <w:r w:rsidRPr="005C5B91">
        <w:rPr>
          <w:rFonts w:ascii="Times New Roman Bold" w:hAnsi="Times New Roman Bold"/>
          <w:b/>
          <w:smallCaps/>
          <w:sz w:val="24"/>
          <w:szCs w:val="24"/>
        </w:rPr>
        <w:tab/>
        <w:t>Conclusiones</w:t>
      </w:r>
    </w:p>
    <w:p w:rsidR="00CA37D5" w:rsidRDefault="00CA37D5" w:rsidP="003541CB">
      <w:pPr>
        <w:spacing w:before="120" w:after="120"/>
        <w:jc w:val="both"/>
        <w:rPr>
          <w:rFonts w:ascii="Times New Roman" w:hAnsi="Times New Roman"/>
          <w:sz w:val="24"/>
          <w:szCs w:val="24"/>
        </w:rPr>
      </w:pPr>
      <w:r w:rsidRPr="004E4768">
        <w:rPr>
          <w:rFonts w:ascii="Times New Roman" w:hAnsi="Times New Roman"/>
          <w:sz w:val="24"/>
          <w:szCs w:val="24"/>
        </w:rPr>
        <w:t xml:space="preserve">En vista de la evaluación financiera de costo </w:t>
      </w:r>
      <w:r w:rsidR="00C16C1A">
        <w:rPr>
          <w:rFonts w:ascii="Times New Roman" w:hAnsi="Times New Roman"/>
          <w:sz w:val="24"/>
          <w:szCs w:val="24"/>
        </w:rPr>
        <w:t>beneficio</w:t>
      </w:r>
      <w:r w:rsidRPr="004E4768">
        <w:rPr>
          <w:rFonts w:ascii="Times New Roman" w:hAnsi="Times New Roman"/>
          <w:sz w:val="24"/>
          <w:szCs w:val="24"/>
        </w:rPr>
        <w:t xml:space="preserve"> realizada, se recomienda el financiamiento por parte del Banco al programa propuesto </w:t>
      </w:r>
      <w:r w:rsidR="00EC4F20">
        <w:rPr>
          <w:rFonts w:ascii="Times New Roman" w:hAnsi="Times New Roman"/>
          <w:sz w:val="24"/>
          <w:szCs w:val="24"/>
        </w:rPr>
        <w:t>de apoyo a la política fiscal y su descentralziación (</w:t>
      </w:r>
      <w:r w:rsidR="00EC4F20" w:rsidRPr="00EC4F20">
        <w:rPr>
          <w:rFonts w:ascii="Times New Roman" w:hAnsi="Times New Roman"/>
          <w:sz w:val="24"/>
          <w:szCs w:val="24"/>
        </w:rPr>
        <w:t>BO-L1062)</w:t>
      </w:r>
      <w:r w:rsidR="00EC4F20">
        <w:rPr>
          <w:rFonts w:ascii="Times New Roman" w:hAnsi="Times New Roman"/>
          <w:sz w:val="24"/>
          <w:szCs w:val="24"/>
        </w:rPr>
        <w:t>.</w:t>
      </w:r>
    </w:p>
    <w:p w:rsidR="00CA37D5" w:rsidRDefault="00CA37D5" w:rsidP="00CF1BCF"/>
    <w:sectPr w:rsidR="00CA37D5" w:rsidSect="00E2181B">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1CEE" w:rsidRDefault="00081CEE" w:rsidP="00D60DB6">
      <w:pPr>
        <w:spacing w:after="0" w:line="240" w:lineRule="auto"/>
      </w:pPr>
      <w:r>
        <w:separator/>
      </w:r>
    </w:p>
  </w:endnote>
  <w:endnote w:type="continuationSeparator" w:id="0">
    <w:p w:rsidR="00081CEE" w:rsidRDefault="00081CEE" w:rsidP="00D60D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Times New Roman Bold">
    <w:panose1 w:val="02020803070505020304"/>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657871"/>
      <w:docPartObj>
        <w:docPartGallery w:val="Page Numbers (Bottom of Page)"/>
        <w:docPartUnique/>
      </w:docPartObj>
    </w:sdtPr>
    <w:sdtContent>
      <w:p w:rsidR="006901C2" w:rsidRDefault="00A435D8">
        <w:pPr>
          <w:pStyle w:val="Footer"/>
          <w:jc w:val="right"/>
        </w:pPr>
        <w:fldSimple w:instr=" PAGE   \* MERGEFORMAT ">
          <w:r w:rsidR="002F3FB8">
            <w:t>10</w:t>
          </w:r>
        </w:fldSimple>
      </w:p>
    </w:sdtContent>
  </w:sdt>
  <w:p w:rsidR="006901C2" w:rsidRDefault="006901C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1CEE" w:rsidRDefault="00081CEE" w:rsidP="00D60DB6">
      <w:pPr>
        <w:spacing w:after="0" w:line="240" w:lineRule="auto"/>
      </w:pPr>
      <w:r>
        <w:separator/>
      </w:r>
    </w:p>
  </w:footnote>
  <w:footnote w:type="continuationSeparator" w:id="0">
    <w:p w:rsidR="00081CEE" w:rsidRDefault="00081CEE" w:rsidP="00D60DB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04273"/>
    <w:multiLevelType w:val="hybridMultilevel"/>
    <w:tmpl w:val="F0D26A5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A877F41"/>
    <w:multiLevelType w:val="hybridMultilevel"/>
    <w:tmpl w:val="6B0637F8"/>
    <w:lvl w:ilvl="0" w:tplc="0409000F">
      <w:start w:val="1"/>
      <w:numFmt w:val="decimal"/>
      <w:lvlText w:val="%1."/>
      <w:lvlJc w:val="left"/>
      <w:pPr>
        <w:ind w:left="720" w:hanging="360"/>
      </w:pPr>
      <w:rPr>
        <w:rFonts w:hint="default"/>
      </w:rPr>
    </w:lvl>
    <w:lvl w:ilvl="1" w:tplc="0C0A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7220B8"/>
    <w:multiLevelType w:val="multilevel"/>
    <w:tmpl w:val="959C28DC"/>
    <w:lvl w:ilvl="0">
      <w:start w:val="1"/>
      <w:numFmt w:val="decimal"/>
      <w:lvlText w:val="%1."/>
      <w:lvlJc w:val="left"/>
      <w:pPr>
        <w:ind w:left="720" w:hanging="360"/>
      </w:pPr>
      <w:rPr>
        <w:rFonts w:cs="Times New Roman"/>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3">
    <w:nsid w:val="0DAB7FC9"/>
    <w:multiLevelType w:val="multilevel"/>
    <w:tmpl w:val="EA1E1C68"/>
    <w:lvl w:ilvl="0">
      <w:start w:val="1"/>
      <w:numFmt w:val="upperRoman"/>
      <w:pStyle w:val="Chapter"/>
      <w:lvlText w:val="%1."/>
      <w:lvlJc w:val="center"/>
      <w:pPr>
        <w:tabs>
          <w:tab w:val="num" w:pos="2070"/>
        </w:tabs>
        <w:ind w:left="1422" w:firstLine="288"/>
      </w:pPr>
      <w:rPr>
        <w:rFonts w:ascii="Times New Roman" w:eastAsia="Times New Roman" w:hAnsi="Times New Roman" w:cs="Times New Roman"/>
        <w:b/>
        <w:i w:val="0"/>
      </w:rPr>
    </w:lvl>
    <w:lvl w:ilvl="1">
      <w:start w:val="1"/>
      <w:numFmt w:val="decimal"/>
      <w:pStyle w:val="Paragraph"/>
      <w:isLgl/>
      <w:lvlText w:val="%1.%2"/>
      <w:lvlJc w:val="left"/>
      <w:pPr>
        <w:tabs>
          <w:tab w:val="num" w:pos="720"/>
        </w:tabs>
        <w:ind w:left="720" w:hanging="720"/>
      </w:pPr>
      <w:rPr>
        <w:rFonts w:cs="Times New Roman"/>
      </w:rPr>
    </w:lvl>
    <w:lvl w:ilvl="2">
      <w:start w:val="1"/>
      <w:numFmt w:val="lowerLetter"/>
      <w:pStyle w:val="subpar"/>
      <w:lvlText w:val="%3."/>
      <w:lvlJc w:val="left"/>
      <w:pPr>
        <w:tabs>
          <w:tab w:val="num" w:pos="1152"/>
        </w:tabs>
        <w:ind w:left="1152" w:hanging="432"/>
      </w:pPr>
      <w:rPr>
        <w:rFonts w:cs="Times New Roman"/>
      </w:rPr>
    </w:lvl>
    <w:lvl w:ilvl="3">
      <w:start w:val="1"/>
      <w:numFmt w:val="lowerRoman"/>
      <w:pStyle w:val="SubSubPar"/>
      <w:lvlText w:val="%4."/>
      <w:lvlJc w:val="right"/>
      <w:pPr>
        <w:tabs>
          <w:tab w:val="num" w:pos="1584"/>
        </w:tabs>
        <w:ind w:left="1584" w:hanging="288"/>
      </w:pPr>
      <w:rPr>
        <w:rFonts w:cs="Times New Roman"/>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4">
    <w:nsid w:val="18B1623E"/>
    <w:multiLevelType w:val="multilevel"/>
    <w:tmpl w:val="959C28DC"/>
    <w:lvl w:ilvl="0">
      <w:start w:val="1"/>
      <w:numFmt w:val="decimal"/>
      <w:lvlText w:val="%1."/>
      <w:lvlJc w:val="left"/>
      <w:pPr>
        <w:ind w:left="720" w:hanging="360"/>
      </w:pPr>
      <w:rPr>
        <w:rFonts w:cs="Times New Roman"/>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5">
    <w:nsid w:val="2A0708A8"/>
    <w:multiLevelType w:val="multilevel"/>
    <w:tmpl w:val="7D468392"/>
    <w:lvl w:ilvl="0">
      <w:start w:val="7"/>
      <w:numFmt w:val="decimal"/>
      <w:lvlText w:val="%1.0"/>
      <w:lvlJc w:val="left"/>
      <w:pPr>
        <w:ind w:left="1080" w:hanging="360"/>
      </w:pPr>
      <w:rPr>
        <w:rFonts w:cs="Times New Roman" w:hint="default"/>
      </w:rPr>
    </w:lvl>
    <w:lvl w:ilvl="1">
      <w:start w:val="1"/>
      <w:numFmt w:val="decimal"/>
      <w:lvlText w:val="%1.%2"/>
      <w:lvlJc w:val="left"/>
      <w:pPr>
        <w:ind w:left="1800" w:hanging="36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3600" w:hanging="720"/>
      </w:pPr>
      <w:rPr>
        <w:rFonts w:cs="Times New Roman" w:hint="default"/>
      </w:rPr>
    </w:lvl>
    <w:lvl w:ilvl="4">
      <w:start w:val="1"/>
      <w:numFmt w:val="decimal"/>
      <w:lvlText w:val="%1.%2.%3.%4.%5"/>
      <w:lvlJc w:val="left"/>
      <w:pPr>
        <w:ind w:left="4680" w:hanging="1080"/>
      </w:pPr>
      <w:rPr>
        <w:rFonts w:cs="Times New Roman" w:hint="default"/>
      </w:rPr>
    </w:lvl>
    <w:lvl w:ilvl="5">
      <w:start w:val="1"/>
      <w:numFmt w:val="decimal"/>
      <w:lvlText w:val="%1.%2.%3.%4.%5.%6"/>
      <w:lvlJc w:val="left"/>
      <w:pPr>
        <w:ind w:left="5400" w:hanging="1080"/>
      </w:pPr>
      <w:rPr>
        <w:rFonts w:cs="Times New Roman" w:hint="default"/>
      </w:rPr>
    </w:lvl>
    <w:lvl w:ilvl="6">
      <w:start w:val="1"/>
      <w:numFmt w:val="decimal"/>
      <w:lvlText w:val="%1.%2.%3.%4.%5.%6.%7"/>
      <w:lvlJc w:val="left"/>
      <w:pPr>
        <w:ind w:left="6480" w:hanging="1440"/>
      </w:pPr>
      <w:rPr>
        <w:rFonts w:cs="Times New Roman" w:hint="default"/>
      </w:rPr>
    </w:lvl>
    <w:lvl w:ilvl="7">
      <w:start w:val="1"/>
      <w:numFmt w:val="decimal"/>
      <w:lvlText w:val="%1.%2.%3.%4.%5.%6.%7.%8"/>
      <w:lvlJc w:val="left"/>
      <w:pPr>
        <w:ind w:left="7200" w:hanging="1440"/>
      </w:pPr>
      <w:rPr>
        <w:rFonts w:cs="Times New Roman" w:hint="default"/>
      </w:rPr>
    </w:lvl>
    <w:lvl w:ilvl="8">
      <w:start w:val="1"/>
      <w:numFmt w:val="decimal"/>
      <w:lvlText w:val="%1.%2.%3.%4.%5.%6.%7.%8.%9"/>
      <w:lvlJc w:val="left"/>
      <w:pPr>
        <w:ind w:left="7920" w:hanging="1440"/>
      </w:pPr>
      <w:rPr>
        <w:rFonts w:cs="Times New Roman" w:hint="default"/>
      </w:rPr>
    </w:lvl>
  </w:abstractNum>
  <w:abstractNum w:abstractNumId="6">
    <w:nsid w:val="2C806F76"/>
    <w:multiLevelType w:val="hybridMultilevel"/>
    <w:tmpl w:val="B70A715E"/>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nsid w:val="318D35A8"/>
    <w:multiLevelType w:val="multilevel"/>
    <w:tmpl w:val="45BA5650"/>
    <w:lvl w:ilvl="0">
      <w:start w:val="1"/>
      <w:numFmt w:val="upperRoman"/>
      <w:lvlText w:val="%1."/>
      <w:lvlJc w:val="left"/>
      <w:pPr>
        <w:tabs>
          <w:tab w:val="num" w:pos="454"/>
        </w:tabs>
      </w:pPr>
      <w:rPr>
        <w:rFonts w:ascii="Arial" w:hAnsi="Arial" w:cs="Times New Roman" w:hint="default"/>
        <w:b/>
        <w:i w:val="0"/>
        <w:sz w:val="28"/>
      </w:rPr>
    </w:lvl>
    <w:lvl w:ilvl="1">
      <w:start w:val="1"/>
      <w:numFmt w:val="upperLetter"/>
      <w:lvlText w:val="%2."/>
      <w:lvlJc w:val="left"/>
      <w:pPr>
        <w:tabs>
          <w:tab w:val="num" w:pos="360"/>
        </w:tabs>
      </w:pPr>
      <w:rPr>
        <w:rFonts w:ascii="Arial" w:hAnsi="Arial" w:cs="Times New Roman" w:hint="default"/>
        <w:b w:val="0"/>
        <w:i/>
        <w:sz w:val="28"/>
      </w:rPr>
    </w:lvl>
    <w:lvl w:ilvl="2">
      <w:start w:val="1"/>
      <w:numFmt w:val="decimal"/>
      <w:lvlText w:val="%3."/>
      <w:lvlJc w:val="left"/>
      <w:pPr>
        <w:tabs>
          <w:tab w:val="num" w:pos="360"/>
        </w:tabs>
      </w:pPr>
      <w:rPr>
        <w:rFonts w:ascii="Arial" w:hAnsi="Arial" w:cs="Times New Roman" w:hint="default"/>
        <w:sz w:val="24"/>
        <w:u w:val="none"/>
      </w:rPr>
    </w:lvl>
    <w:lvl w:ilvl="3">
      <w:start w:val="1"/>
      <w:numFmt w:val="lowerLetter"/>
      <w:lvlText w:val="%4."/>
      <w:lvlJc w:val="left"/>
      <w:pPr>
        <w:tabs>
          <w:tab w:val="num" w:pos="360"/>
        </w:tabs>
      </w:pPr>
      <w:rPr>
        <w:rFonts w:ascii="Arial" w:hAnsi="Arial" w:cs="Times New Roman" w:hint="default"/>
        <w:b w:val="0"/>
        <w:i/>
        <w:sz w:val="24"/>
      </w:rPr>
    </w:lvl>
    <w:lvl w:ilvl="4">
      <w:start w:val="1"/>
      <w:numFmt w:val="lowerRoman"/>
      <w:lvlText w:val="%5)"/>
      <w:lvlJc w:val="left"/>
      <w:pPr>
        <w:tabs>
          <w:tab w:val="num" w:pos="1287"/>
        </w:tabs>
        <w:ind w:firstLine="567"/>
      </w:pPr>
      <w:rPr>
        <w:rFonts w:ascii="Arial" w:hAnsi="Arial" w:cs="Times New Roman" w:hint="default"/>
        <w:b w:val="0"/>
        <w:i w:val="0"/>
        <w:sz w:val="24"/>
      </w:rPr>
    </w:lvl>
    <w:lvl w:ilvl="5">
      <w:start w:val="1"/>
      <w:numFmt w:val="lowerLetter"/>
      <w:lvlText w:val="%6)"/>
      <w:lvlJc w:val="left"/>
      <w:pPr>
        <w:tabs>
          <w:tab w:val="num" w:pos="927"/>
        </w:tabs>
        <w:ind w:firstLine="567"/>
      </w:pPr>
      <w:rPr>
        <w:rFonts w:ascii="Arial" w:hAnsi="Arial" w:cs="Times New Roman" w:hint="default"/>
        <w:b w:val="0"/>
        <w:i w:val="0"/>
        <w:sz w:val="24"/>
      </w:rPr>
    </w:lvl>
    <w:lvl w:ilvl="6">
      <w:start w:val="1"/>
      <w:numFmt w:val="decimal"/>
      <w:lvlText w:val="%7."/>
      <w:lvlJc w:val="left"/>
      <w:pPr>
        <w:tabs>
          <w:tab w:val="num" w:pos="927"/>
        </w:tabs>
        <w:ind w:firstLine="567"/>
      </w:pPr>
      <w:rPr>
        <w:rFonts w:ascii="Arial" w:hAnsi="Arial" w:cs="Times New Roman" w:hint="default"/>
        <w:b w:val="0"/>
        <w:i w:val="0"/>
        <w:sz w:val="24"/>
      </w:rPr>
    </w:lvl>
    <w:lvl w:ilvl="7">
      <w:start w:val="1"/>
      <w:numFmt w:val="lowerLetter"/>
      <w:lvlText w:val="%8."/>
      <w:lvlJc w:val="left"/>
      <w:pPr>
        <w:tabs>
          <w:tab w:val="num" w:pos="927"/>
        </w:tabs>
        <w:ind w:firstLine="567"/>
      </w:pPr>
      <w:rPr>
        <w:rFonts w:ascii="Arial" w:hAnsi="Arial" w:cs="Times New Roman" w:hint="default"/>
        <w:b w:val="0"/>
        <w:i w:val="0"/>
        <w:sz w:val="24"/>
      </w:rPr>
    </w:lvl>
    <w:lvl w:ilvl="8">
      <w:start w:val="1"/>
      <w:numFmt w:val="lowerRoman"/>
      <w:pStyle w:val="Heading9"/>
      <w:lvlText w:val="%9."/>
      <w:lvlJc w:val="left"/>
      <w:pPr>
        <w:tabs>
          <w:tab w:val="num" w:pos="1287"/>
        </w:tabs>
        <w:ind w:firstLine="567"/>
      </w:pPr>
      <w:rPr>
        <w:rFonts w:ascii="Arial" w:hAnsi="Arial" w:cs="Times New Roman" w:hint="default"/>
        <w:b w:val="0"/>
        <w:i w:val="0"/>
        <w:sz w:val="24"/>
      </w:rPr>
    </w:lvl>
  </w:abstractNum>
  <w:abstractNum w:abstractNumId="8">
    <w:nsid w:val="47CC1A7E"/>
    <w:multiLevelType w:val="multilevel"/>
    <w:tmpl w:val="959C28DC"/>
    <w:lvl w:ilvl="0">
      <w:start w:val="1"/>
      <w:numFmt w:val="decimal"/>
      <w:lvlText w:val="%1."/>
      <w:lvlJc w:val="left"/>
      <w:pPr>
        <w:ind w:left="720" w:hanging="360"/>
      </w:pPr>
      <w:rPr>
        <w:rFonts w:cs="Times New Roman"/>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9">
    <w:nsid w:val="516312D0"/>
    <w:multiLevelType w:val="hybridMultilevel"/>
    <w:tmpl w:val="C0D8BC0C"/>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
    <w:nsid w:val="5A292925"/>
    <w:multiLevelType w:val="multilevel"/>
    <w:tmpl w:val="959C28DC"/>
    <w:lvl w:ilvl="0">
      <w:start w:val="1"/>
      <w:numFmt w:val="decimal"/>
      <w:lvlText w:val="%1."/>
      <w:lvlJc w:val="left"/>
      <w:pPr>
        <w:ind w:left="720" w:hanging="360"/>
      </w:pPr>
      <w:rPr>
        <w:rFonts w:cs="Times New Roman"/>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11">
    <w:nsid w:val="5E1A5DC5"/>
    <w:multiLevelType w:val="hybridMultilevel"/>
    <w:tmpl w:val="57D4EFF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nsid w:val="699F3CC2"/>
    <w:multiLevelType w:val="multilevel"/>
    <w:tmpl w:val="2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AB27D6E"/>
    <w:multiLevelType w:val="hybridMultilevel"/>
    <w:tmpl w:val="93F48A6A"/>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4">
    <w:nsid w:val="6BED3D2A"/>
    <w:multiLevelType w:val="hybridMultilevel"/>
    <w:tmpl w:val="8320D99A"/>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5">
    <w:nsid w:val="6F5262A9"/>
    <w:multiLevelType w:val="multilevel"/>
    <w:tmpl w:val="76063216"/>
    <w:lvl w:ilvl="0">
      <w:start w:val="3"/>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709964DF"/>
    <w:multiLevelType w:val="multilevel"/>
    <w:tmpl w:val="959C28DC"/>
    <w:lvl w:ilvl="0">
      <w:start w:val="1"/>
      <w:numFmt w:val="decimal"/>
      <w:lvlText w:val="%1."/>
      <w:lvlJc w:val="left"/>
      <w:pPr>
        <w:ind w:left="720" w:hanging="360"/>
      </w:pPr>
      <w:rPr>
        <w:rFonts w:cs="Times New Roman"/>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17">
    <w:nsid w:val="720F761D"/>
    <w:multiLevelType w:val="multilevel"/>
    <w:tmpl w:val="2C0A001F"/>
    <w:lvl w:ilvl="0">
      <w:start w:val="1"/>
      <w:numFmt w:val="decimal"/>
      <w:lvlText w:val="%1."/>
      <w:lvlJc w:val="left"/>
      <w:pPr>
        <w:ind w:left="360" w:hanging="360"/>
      </w:p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72E47569"/>
    <w:multiLevelType w:val="hybridMultilevel"/>
    <w:tmpl w:val="39468A7A"/>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9">
    <w:nsid w:val="76E50E13"/>
    <w:multiLevelType w:val="hybridMultilevel"/>
    <w:tmpl w:val="50FAE976"/>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0">
    <w:nsid w:val="78733053"/>
    <w:multiLevelType w:val="multilevel"/>
    <w:tmpl w:val="959C28DC"/>
    <w:lvl w:ilvl="0">
      <w:start w:val="1"/>
      <w:numFmt w:val="decimal"/>
      <w:lvlText w:val="%1."/>
      <w:lvlJc w:val="left"/>
      <w:pPr>
        <w:ind w:left="720" w:hanging="360"/>
      </w:pPr>
      <w:rPr>
        <w:rFonts w:cs="Times New Roman"/>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num w:numId="1">
    <w:abstractNumId w:val="0"/>
  </w:num>
  <w:num w:numId="2">
    <w:abstractNumId w:val="17"/>
  </w:num>
  <w:num w:numId="3">
    <w:abstractNumId w:val="3"/>
  </w:num>
  <w:num w:numId="4">
    <w:abstractNumId w:val="16"/>
  </w:num>
  <w:num w:numId="5">
    <w:abstractNumId w:val="20"/>
  </w:num>
  <w:num w:numId="6">
    <w:abstractNumId w:val="7"/>
  </w:num>
  <w:num w:numId="7">
    <w:abstractNumId w:val="10"/>
  </w:num>
  <w:num w:numId="8">
    <w:abstractNumId w:val="4"/>
  </w:num>
  <w:num w:numId="9">
    <w:abstractNumId w:val="15"/>
  </w:num>
  <w:num w:numId="10">
    <w:abstractNumId w:val="2"/>
  </w:num>
  <w:num w:numId="11">
    <w:abstractNumId w:val="8"/>
  </w:num>
  <w:num w:numId="12">
    <w:abstractNumId w:val="5"/>
  </w:num>
  <w:num w:numId="13">
    <w:abstractNumId w:val="1"/>
  </w:num>
  <w:num w:numId="14">
    <w:abstractNumId w:val="13"/>
  </w:num>
  <w:num w:numId="15">
    <w:abstractNumId w:val="14"/>
  </w:num>
  <w:num w:numId="16">
    <w:abstractNumId w:val="12"/>
  </w:num>
  <w:num w:numId="17">
    <w:abstractNumId w:val="9"/>
  </w:num>
  <w:num w:numId="18">
    <w:abstractNumId w:val="18"/>
  </w:num>
  <w:num w:numId="19">
    <w:abstractNumId w:val="11"/>
  </w:num>
  <w:num w:numId="20">
    <w:abstractNumId w:val="6"/>
  </w:num>
  <w:num w:numId="21">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862434"/>
    <w:rsid w:val="00004B24"/>
    <w:rsid w:val="00005D70"/>
    <w:rsid w:val="00014CAC"/>
    <w:rsid w:val="00016DE0"/>
    <w:rsid w:val="00040E35"/>
    <w:rsid w:val="0004770A"/>
    <w:rsid w:val="000548B3"/>
    <w:rsid w:val="00077F7F"/>
    <w:rsid w:val="00081CEE"/>
    <w:rsid w:val="00084539"/>
    <w:rsid w:val="000853E0"/>
    <w:rsid w:val="00087454"/>
    <w:rsid w:val="000A6E8E"/>
    <w:rsid w:val="000C3AB7"/>
    <w:rsid w:val="000C7109"/>
    <w:rsid w:val="000C7848"/>
    <w:rsid w:val="000D58B3"/>
    <w:rsid w:val="000D674F"/>
    <w:rsid w:val="000E4298"/>
    <w:rsid w:val="00100B3E"/>
    <w:rsid w:val="00114300"/>
    <w:rsid w:val="00116430"/>
    <w:rsid w:val="00133057"/>
    <w:rsid w:val="00137256"/>
    <w:rsid w:val="00170345"/>
    <w:rsid w:val="0017289C"/>
    <w:rsid w:val="001B43A2"/>
    <w:rsid w:val="001E0051"/>
    <w:rsid w:val="001F051C"/>
    <w:rsid w:val="001F1038"/>
    <w:rsid w:val="00202008"/>
    <w:rsid w:val="00214402"/>
    <w:rsid w:val="002176D4"/>
    <w:rsid w:val="00227EDA"/>
    <w:rsid w:val="00241EC3"/>
    <w:rsid w:val="00260B33"/>
    <w:rsid w:val="00260BC5"/>
    <w:rsid w:val="00262986"/>
    <w:rsid w:val="00265154"/>
    <w:rsid w:val="00281169"/>
    <w:rsid w:val="002A3C66"/>
    <w:rsid w:val="002A6019"/>
    <w:rsid w:val="002B08D3"/>
    <w:rsid w:val="002B5C7F"/>
    <w:rsid w:val="002B70A4"/>
    <w:rsid w:val="002C6237"/>
    <w:rsid w:val="002D12C5"/>
    <w:rsid w:val="002D41B7"/>
    <w:rsid w:val="002D4DDD"/>
    <w:rsid w:val="002E5122"/>
    <w:rsid w:val="002E5E80"/>
    <w:rsid w:val="002F3FB8"/>
    <w:rsid w:val="002F778D"/>
    <w:rsid w:val="003017DF"/>
    <w:rsid w:val="0031314D"/>
    <w:rsid w:val="00323E14"/>
    <w:rsid w:val="0032544E"/>
    <w:rsid w:val="00337949"/>
    <w:rsid w:val="0034382A"/>
    <w:rsid w:val="00346DC5"/>
    <w:rsid w:val="00352B22"/>
    <w:rsid w:val="003541CB"/>
    <w:rsid w:val="00363AF9"/>
    <w:rsid w:val="00364457"/>
    <w:rsid w:val="0036722A"/>
    <w:rsid w:val="00391EB5"/>
    <w:rsid w:val="003B27CA"/>
    <w:rsid w:val="003B32C2"/>
    <w:rsid w:val="003D0EBF"/>
    <w:rsid w:val="003D48BB"/>
    <w:rsid w:val="003E4FB1"/>
    <w:rsid w:val="003E6EA7"/>
    <w:rsid w:val="0040144E"/>
    <w:rsid w:val="00417009"/>
    <w:rsid w:val="0042176B"/>
    <w:rsid w:val="00435B49"/>
    <w:rsid w:val="00445188"/>
    <w:rsid w:val="0046047F"/>
    <w:rsid w:val="004923A8"/>
    <w:rsid w:val="004A0219"/>
    <w:rsid w:val="004A2760"/>
    <w:rsid w:val="004C6D38"/>
    <w:rsid w:val="004D3A89"/>
    <w:rsid w:val="004E4768"/>
    <w:rsid w:val="004E4BD6"/>
    <w:rsid w:val="004E55BB"/>
    <w:rsid w:val="004F402D"/>
    <w:rsid w:val="004F493E"/>
    <w:rsid w:val="0051129A"/>
    <w:rsid w:val="00512567"/>
    <w:rsid w:val="005171C5"/>
    <w:rsid w:val="00521E38"/>
    <w:rsid w:val="00536BB4"/>
    <w:rsid w:val="00540E43"/>
    <w:rsid w:val="00563869"/>
    <w:rsid w:val="005707ED"/>
    <w:rsid w:val="0057274D"/>
    <w:rsid w:val="00596E1F"/>
    <w:rsid w:val="005C13AE"/>
    <w:rsid w:val="005C3BCC"/>
    <w:rsid w:val="005C5B91"/>
    <w:rsid w:val="005E3D83"/>
    <w:rsid w:val="00601B66"/>
    <w:rsid w:val="00602376"/>
    <w:rsid w:val="0061459D"/>
    <w:rsid w:val="006166A4"/>
    <w:rsid w:val="0062086B"/>
    <w:rsid w:val="00624B74"/>
    <w:rsid w:val="00647CD5"/>
    <w:rsid w:val="00657071"/>
    <w:rsid w:val="00664620"/>
    <w:rsid w:val="006901C2"/>
    <w:rsid w:val="00694DD6"/>
    <w:rsid w:val="006A089F"/>
    <w:rsid w:val="006A1DBB"/>
    <w:rsid w:val="006A6D73"/>
    <w:rsid w:val="006B3B79"/>
    <w:rsid w:val="006B5333"/>
    <w:rsid w:val="006B61DA"/>
    <w:rsid w:val="006B6C7A"/>
    <w:rsid w:val="006E162B"/>
    <w:rsid w:val="006E2F4E"/>
    <w:rsid w:val="006E5BBB"/>
    <w:rsid w:val="006F2B6F"/>
    <w:rsid w:val="007014BA"/>
    <w:rsid w:val="00713F6B"/>
    <w:rsid w:val="007174F6"/>
    <w:rsid w:val="00745624"/>
    <w:rsid w:val="0075283D"/>
    <w:rsid w:val="007570BF"/>
    <w:rsid w:val="007638DF"/>
    <w:rsid w:val="0079690E"/>
    <w:rsid w:val="007A4F51"/>
    <w:rsid w:val="007D0B1E"/>
    <w:rsid w:val="007D52BD"/>
    <w:rsid w:val="007E7AD4"/>
    <w:rsid w:val="007F24CC"/>
    <w:rsid w:val="007F3F0C"/>
    <w:rsid w:val="007F689B"/>
    <w:rsid w:val="00804E20"/>
    <w:rsid w:val="008076FE"/>
    <w:rsid w:val="00835681"/>
    <w:rsid w:val="00855A3D"/>
    <w:rsid w:val="00856A6B"/>
    <w:rsid w:val="00862434"/>
    <w:rsid w:val="00870117"/>
    <w:rsid w:val="008B2D3B"/>
    <w:rsid w:val="008D1500"/>
    <w:rsid w:val="008D5AD8"/>
    <w:rsid w:val="008D7A70"/>
    <w:rsid w:val="008E24D4"/>
    <w:rsid w:val="008E7EA8"/>
    <w:rsid w:val="008F430F"/>
    <w:rsid w:val="008F72A7"/>
    <w:rsid w:val="00901E20"/>
    <w:rsid w:val="0091386C"/>
    <w:rsid w:val="00920082"/>
    <w:rsid w:val="009430E5"/>
    <w:rsid w:val="00944924"/>
    <w:rsid w:val="009477B9"/>
    <w:rsid w:val="009600ED"/>
    <w:rsid w:val="0096451F"/>
    <w:rsid w:val="00970590"/>
    <w:rsid w:val="009A2235"/>
    <w:rsid w:val="009B30C4"/>
    <w:rsid w:val="009B5A59"/>
    <w:rsid w:val="009D4698"/>
    <w:rsid w:val="009E2FA5"/>
    <w:rsid w:val="009E3913"/>
    <w:rsid w:val="00A02DF9"/>
    <w:rsid w:val="00A0505E"/>
    <w:rsid w:val="00A10D3A"/>
    <w:rsid w:val="00A16736"/>
    <w:rsid w:val="00A2262D"/>
    <w:rsid w:val="00A23CCD"/>
    <w:rsid w:val="00A33E61"/>
    <w:rsid w:val="00A33F2D"/>
    <w:rsid w:val="00A34D54"/>
    <w:rsid w:val="00A40653"/>
    <w:rsid w:val="00A435D8"/>
    <w:rsid w:val="00A57859"/>
    <w:rsid w:val="00A6349E"/>
    <w:rsid w:val="00A70A1D"/>
    <w:rsid w:val="00A742E1"/>
    <w:rsid w:val="00A74EE1"/>
    <w:rsid w:val="00A82AED"/>
    <w:rsid w:val="00AA0E22"/>
    <w:rsid w:val="00AA1A19"/>
    <w:rsid w:val="00AD17A3"/>
    <w:rsid w:val="00AE760B"/>
    <w:rsid w:val="00AF2ABA"/>
    <w:rsid w:val="00B01ADC"/>
    <w:rsid w:val="00B066E1"/>
    <w:rsid w:val="00B14C92"/>
    <w:rsid w:val="00B34097"/>
    <w:rsid w:val="00B433C7"/>
    <w:rsid w:val="00B47A94"/>
    <w:rsid w:val="00B50539"/>
    <w:rsid w:val="00B6396B"/>
    <w:rsid w:val="00B778A9"/>
    <w:rsid w:val="00B80AFB"/>
    <w:rsid w:val="00B96E3B"/>
    <w:rsid w:val="00BC766D"/>
    <w:rsid w:val="00BD0211"/>
    <w:rsid w:val="00BE183E"/>
    <w:rsid w:val="00BE4A1F"/>
    <w:rsid w:val="00BF2BD0"/>
    <w:rsid w:val="00C14777"/>
    <w:rsid w:val="00C15584"/>
    <w:rsid w:val="00C16C1A"/>
    <w:rsid w:val="00C240B6"/>
    <w:rsid w:val="00C26DB5"/>
    <w:rsid w:val="00C34ED4"/>
    <w:rsid w:val="00C44B53"/>
    <w:rsid w:val="00C648DC"/>
    <w:rsid w:val="00C66F4A"/>
    <w:rsid w:val="00C711F1"/>
    <w:rsid w:val="00C73C05"/>
    <w:rsid w:val="00C75CD6"/>
    <w:rsid w:val="00C76512"/>
    <w:rsid w:val="00C81E56"/>
    <w:rsid w:val="00C83BD1"/>
    <w:rsid w:val="00C85F56"/>
    <w:rsid w:val="00CA37D5"/>
    <w:rsid w:val="00CA6272"/>
    <w:rsid w:val="00CC238A"/>
    <w:rsid w:val="00CC52F8"/>
    <w:rsid w:val="00CC5897"/>
    <w:rsid w:val="00CC7AE0"/>
    <w:rsid w:val="00CD538B"/>
    <w:rsid w:val="00CE1192"/>
    <w:rsid w:val="00CF1BCF"/>
    <w:rsid w:val="00D07DE7"/>
    <w:rsid w:val="00D14454"/>
    <w:rsid w:val="00D22071"/>
    <w:rsid w:val="00D34045"/>
    <w:rsid w:val="00D40238"/>
    <w:rsid w:val="00D454BC"/>
    <w:rsid w:val="00D46DCA"/>
    <w:rsid w:val="00D47708"/>
    <w:rsid w:val="00D60DB6"/>
    <w:rsid w:val="00D76B2F"/>
    <w:rsid w:val="00D82503"/>
    <w:rsid w:val="00D9400B"/>
    <w:rsid w:val="00DC7DD4"/>
    <w:rsid w:val="00DF230A"/>
    <w:rsid w:val="00DF2759"/>
    <w:rsid w:val="00E2181B"/>
    <w:rsid w:val="00E27DC5"/>
    <w:rsid w:val="00E3436E"/>
    <w:rsid w:val="00E41A01"/>
    <w:rsid w:val="00E47F62"/>
    <w:rsid w:val="00E67853"/>
    <w:rsid w:val="00E74E78"/>
    <w:rsid w:val="00E96E52"/>
    <w:rsid w:val="00EB35F5"/>
    <w:rsid w:val="00EB7D6D"/>
    <w:rsid w:val="00EC444A"/>
    <w:rsid w:val="00EC4F20"/>
    <w:rsid w:val="00ED4E3F"/>
    <w:rsid w:val="00EE0DB5"/>
    <w:rsid w:val="00F13CE2"/>
    <w:rsid w:val="00F13FAF"/>
    <w:rsid w:val="00F16BB4"/>
    <w:rsid w:val="00F16D55"/>
    <w:rsid w:val="00F21489"/>
    <w:rsid w:val="00F2478B"/>
    <w:rsid w:val="00F277B9"/>
    <w:rsid w:val="00F35D9E"/>
    <w:rsid w:val="00F44535"/>
    <w:rsid w:val="00F50C5A"/>
    <w:rsid w:val="00F53C06"/>
    <w:rsid w:val="00F56CBA"/>
    <w:rsid w:val="00F657D5"/>
    <w:rsid w:val="00F66AD0"/>
    <w:rsid w:val="00F73A66"/>
    <w:rsid w:val="00F84FA6"/>
    <w:rsid w:val="00F92F9B"/>
    <w:rsid w:val="00F95D5F"/>
    <w:rsid w:val="00FB570F"/>
    <w:rsid w:val="00FC4556"/>
    <w:rsid w:val="00FC5F72"/>
    <w:rsid w:val="00FD0196"/>
    <w:rsid w:val="00FD01B1"/>
    <w:rsid w:val="00FD304D"/>
    <w:rsid w:val="00FD4A49"/>
    <w:rsid w:val="00FD6A22"/>
    <w:rsid w:val="00FE51E8"/>
    <w:rsid w:val="00FF77A0"/>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7009"/>
    <w:pPr>
      <w:spacing w:after="200" w:line="276" w:lineRule="auto"/>
    </w:pPr>
    <w:rPr>
      <w:noProof/>
      <w:sz w:val="22"/>
      <w:szCs w:val="22"/>
      <w:lang w:val="es-ES" w:eastAsia="en-US"/>
    </w:rPr>
  </w:style>
  <w:style w:type="paragraph" w:styleId="Heading9">
    <w:name w:val="heading 9"/>
    <w:basedOn w:val="Normal"/>
    <w:next w:val="Normal"/>
    <w:link w:val="Heading9Char"/>
    <w:uiPriority w:val="9"/>
    <w:qFormat/>
    <w:rsid w:val="000853E0"/>
    <w:pPr>
      <w:numPr>
        <w:ilvl w:val="8"/>
        <w:numId w:val="6"/>
      </w:numPr>
      <w:spacing w:before="240" w:after="60" w:line="240" w:lineRule="auto"/>
      <w:outlineLvl w:val="8"/>
    </w:pPr>
    <w:rPr>
      <w:rFonts w:ascii="Arial" w:hAnsi="Arial" w:cs="Arial"/>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uiPriority w:val="9"/>
    <w:locked/>
    <w:rsid w:val="000853E0"/>
    <w:rPr>
      <w:rFonts w:ascii="Arial" w:hAnsi="Arial" w:cs="Arial"/>
      <w:lang w:val="es-ES" w:eastAsia="es-ES"/>
    </w:rPr>
  </w:style>
  <w:style w:type="paragraph" w:styleId="ListParagraph">
    <w:name w:val="List Paragraph"/>
    <w:basedOn w:val="Normal"/>
    <w:uiPriority w:val="34"/>
    <w:qFormat/>
    <w:rsid w:val="00862434"/>
    <w:pPr>
      <w:ind w:left="720"/>
      <w:contextualSpacing/>
    </w:pPr>
  </w:style>
  <w:style w:type="paragraph" w:customStyle="1" w:styleId="Chapter">
    <w:name w:val="Chapter"/>
    <w:basedOn w:val="Normal"/>
    <w:next w:val="Normal"/>
    <w:link w:val="ChapterChar"/>
    <w:rsid w:val="008E7EA8"/>
    <w:pPr>
      <w:numPr>
        <w:numId w:val="3"/>
      </w:numPr>
      <w:tabs>
        <w:tab w:val="left" w:pos="1440"/>
      </w:tabs>
      <w:spacing w:after="240" w:line="240" w:lineRule="auto"/>
      <w:jc w:val="center"/>
    </w:pPr>
    <w:rPr>
      <w:rFonts w:ascii="Times New Roman" w:hAnsi="Times New Roman"/>
      <w:b/>
      <w:smallCaps/>
      <w:sz w:val="24"/>
      <w:szCs w:val="20"/>
    </w:rPr>
  </w:style>
  <w:style w:type="paragraph" w:customStyle="1" w:styleId="Paragraph">
    <w:name w:val="Paragraph"/>
    <w:aliases w:val="paragraph,p,PARAGRAPH,PG,pa,at"/>
    <w:basedOn w:val="BodyTextIndent"/>
    <w:link w:val="ParagraphChar"/>
    <w:rsid w:val="008E7EA8"/>
    <w:pPr>
      <w:numPr>
        <w:ilvl w:val="1"/>
        <w:numId w:val="3"/>
      </w:numPr>
      <w:spacing w:before="120" w:line="240" w:lineRule="auto"/>
      <w:jc w:val="both"/>
      <w:outlineLvl w:val="1"/>
    </w:pPr>
    <w:rPr>
      <w:rFonts w:ascii="Times New Roman" w:hAnsi="Times New Roman"/>
      <w:sz w:val="24"/>
      <w:szCs w:val="20"/>
    </w:rPr>
  </w:style>
  <w:style w:type="paragraph" w:customStyle="1" w:styleId="subpar">
    <w:name w:val="subpar"/>
    <w:basedOn w:val="BodyTextIndent3"/>
    <w:rsid w:val="008E7EA8"/>
    <w:pPr>
      <w:numPr>
        <w:ilvl w:val="2"/>
        <w:numId w:val="3"/>
      </w:numPr>
    </w:pPr>
  </w:style>
  <w:style w:type="paragraph" w:customStyle="1" w:styleId="SubSubPar">
    <w:name w:val="SubSubPar"/>
    <w:basedOn w:val="subpar"/>
    <w:rsid w:val="008E7EA8"/>
    <w:pPr>
      <w:numPr>
        <w:ilvl w:val="3"/>
      </w:numPr>
    </w:pPr>
  </w:style>
  <w:style w:type="character" w:customStyle="1" w:styleId="ChapterChar">
    <w:name w:val="Chapter Char"/>
    <w:basedOn w:val="DefaultParagraphFont"/>
    <w:link w:val="Chapter"/>
    <w:locked/>
    <w:rsid w:val="008E7EA8"/>
    <w:rPr>
      <w:rFonts w:ascii="Times New Roman" w:hAnsi="Times New Roman" w:cs="Times New Roman"/>
      <w:b/>
      <w:smallCaps/>
      <w:sz w:val="20"/>
      <w:szCs w:val="20"/>
      <w:lang w:val="es-ES"/>
    </w:rPr>
  </w:style>
  <w:style w:type="paragraph" w:styleId="BodyTextIndent">
    <w:name w:val="Body Text Indent"/>
    <w:basedOn w:val="Normal"/>
    <w:link w:val="BodyTextIndentChar"/>
    <w:uiPriority w:val="99"/>
    <w:semiHidden/>
    <w:unhideWhenUsed/>
    <w:rsid w:val="008E7EA8"/>
    <w:pPr>
      <w:spacing w:after="120"/>
      <w:ind w:left="360"/>
    </w:pPr>
  </w:style>
  <w:style w:type="character" w:customStyle="1" w:styleId="BodyTextIndentChar">
    <w:name w:val="Body Text Indent Char"/>
    <w:basedOn w:val="DefaultParagraphFont"/>
    <w:link w:val="BodyTextIndent"/>
    <w:uiPriority w:val="99"/>
    <w:semiHidden/>
    <w:locked/>
    <w:rsid w:val="008E7EA8"/>
    <w:rPr>
      <w:rFonts w:cs="Times New Roman"/>
    </w:rPr>
  </w:style>
  <w:style w:type="paragraph" w:styleId="BodyTextIndent3">
    <w:name w:val="Body Text Indent 3"/>
    <w:basedOn w:val="Normal"/>
    <w:link w:val="BodyTextIndent3Char"/>
    <w:uiPriority w:val="99"/>
    <w:semiHidden/>
    <w:unhideWhenUsed/>
    <w:rsid w:val="008E7EA8"/>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8E7EA8"/>
    <w:rPr>
      <w:rFonts w:cs="Times New Roman"/>
      <w:sz w:val="16"/>
      <w:szCs w:val="16"/>
    </w:rPr>
  </w:style>
  <w:style w:type="paragraph" w:styleId="EndnoteText">
    <w:name w:val="endnote text"/>
    <w:basedOn w:val="Normal"/>
    <w:link w:val="EndnoteTextChar"/>
    <w:uiPriority w:val="99"/>
    <w:semiHidden/>
    <w:unhideWhenUsed/>
    <w:rsid w:val="00D60DB6"/>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D60DB6"/>
    <w:rPr>
      <w:rFonts w:cs="Times New Roman"/>
      <w:sz w:val="20"/>
      <w:szCs w:val="20"/>
    </w:rPr>
  </w:style>
  <w:style w:type="character" w:styleId="EndnoteReference">
    <w:name w:val="endnote reference"/>
    <w:basedOn w:val="DefaultParagraphFont"/>
    <w:uiPriority w:val="99"/>
    <w:semiHidden/>
    <w:unhideWhenUsed/>
    <w:rsid w:val="00D60DB6"/>
    <w:rPr>
      <w:rFonts w:cs="Times New Roman"/>
      <w:vertAlign w:val="superscript"/>
    </w:rPr>
  </w:style>
  <w:style w:type="paragraph" w:styleId="FootnoteText">
    <w:name w:val="footnote text"/>
    <w:basedOn w:val="Normal"/>
    <w:link w:val="FootnoteTextChar"/>
    <w:uiPriority w:val="99"/>
    <w:semiHidden/>
    <w:unhideWhenUsed/>
    <w:rsid w:val="00D60DB6"/>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D60DB6"/>
    <w:rPr>
      <w:rFonts w:cs="Times New Roman"/>
      <w:sz w:val="20"/>
      <w:szCs w:val="20"/>
    </w:rPr>
  </w:style>
  <w:style w:type="character" w:styleId="FootnoteReference">
    <w:name w:val="footnote reference"/>
    <w:basedOn w:val="DefaultParagraphFont"/>
    <w:uiPriority w:val="99"/>
    <w:semiHidden/>
    <w:unhideWhenUsed/>
    <w:rsid w:val="00D60DB6"/>
    <w:rPr>
      <w:rFonts w:cs="Times New Roman"/>
      <w:vertAlign w:val="superscript"/>
    </w:rPr>
  </w:style>
  <w:style w:type="paragraph" w:styleId="Caption">
    <w:name w:val="caption"/>
    <w:basedOn w:val="Normal"/>
    <w:next w:val="Normal"/>
    <w:uiPriority w:val="35"/>
    <w:qFormat/>
    <w:rsid w:val="00F44535"/>
    <w:pPr>
      <w:spacing w:after="0" w:line="240" w:lineRule="auto"/>
    </w:pPr>
    <w:rPr>
      <w:rFonts w:ascii="Times New Roman" w:hAnsi="Times New Roman"/>
      <w:b/>
      <w:bCs/>
      <w:sz w:val="20"/>
      <w:szCs w:val="20"/>
      <w:lang w:eastAsia="es-ES"/>
    </w:rPr>
  </w:style>
  <w:style w:type="character" w:customStyle="1" w:styleId="TituloA">
    <w:name w:val="Titulo A"/>
    <w:rsid w:val="000853E0"/>
    <w:rPr>
      <w:rFonts w:ascii="Times New Roman" w:hAnsi="Times New Roman"/>
      <w:b/>
      <w:sz w:val="22"/>
    </w:rPr>
  </w:style>
  <w:style w:type="paragraph" w:styleId="Header">
    <w:name w:val="header"/>
    <w:basedOn w:val="Normal"/>
    <w:link w:val="HeaderChar"/>
    <w:uiPriority w:val="99"/>
    <w:unhideWhenUsed/>
    <w:rsid w:val="009E2FA5"/>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9E2FA5"/>
    <w:rPr>
      <w:rFonts w:cs="Times New Roman"/>
    </w:rPr>
  </w:style>
  <w:style w:type="paragraph" w:styleId="Footer">
    <w:name w:val="footer"/>
    <w:basedOn w:val="Normal"/>
    <w:link w:val="FooterChar"/>
    <w:uiPriority w:val="99"/>
    <w:unhideWhenUsed/>
    <w:rsid w:val="009E2FA5"/>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9E2FA5"/>
    <w:rPr>
      <w:rFonts w:cs="Times New Roman"/>
    </w:rPr>
  </w:style>
  <w:style w:type="paragraph" w:customStyle="1" w:styleId="Default">
    <w:name w:val="Default"/>
    <w:rsid w:val="00970590"/>
    <w:pPr>
      <w:autoSpaceDE w:val="0"/>
      <w:autoSpaceDN w:val="0"/>
      <w:adjustRightInd w:val="0"/>
    </w:pPr>
    <w:rPr>
      <w:rFonts w:ascii="Times New Roman" w:hAnsi="Times New Roman"/>
      <w:color w:val="000000"/>
      <w:sz w:val="24"/>
      <w:szCs w:val="24"/>
      <w:lang w:val="en-US" w:eastAsia="en-US"/>
    </w:rPr>
  </w:style>
  <w:style w:type="table" w:styleId="LightList-Accent2">
    <w:name w:val="Light List Accent 2"/>
    <w:basedOn w:val="TableNormal"/>
    <w:uiPriority w:val="61"/>
    <w:rsid w:val="0075283D"/>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table" w:styleId="LightShading-Accent6">
    <w:name w:val="Light Shading Accent 6"/>
    <w:basedOn w:val="TableNormal"/>
    <w:uiPriority w:val="60"/>
    <w:rsid w:val="0075283D"/>
    <w:rPr>
      <w:color w:val="E36C0A"/>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left w:val="nil"/>
          <w:right w:val="nil"/>
          <w:insideH w:val="nil"/>
          <w:insideV w:val="nil"/>
        </w:tcBorders>
        <w:shd w:val="clear" w:color="auto" w:fill="FDE4D0"/>
      </w:tcPr>
    </w:tblStylePr>
  </w:style>
  <w:style w:type="table" w:styleId="LightShading-Accent5">
    <w:name w:val="Light Shading Accent 5"/>
    <w:basedOn w:val="TableNormal"/>
    <w:uiPriority w:val="60"/>
    <w:rsid w:val="0075283D"/>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styleId="TableGrid">
    <w:name w:val="Table Grid"/>
    <w:basedOn w:val="TableNormal"/>
    <w:uiPriority w:val="59"/>
    <w:rsid w:val="007528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staClara1">
    <w:name w:val="Lista Clara1"/>
    <w:basedOn w:val="TableNormal"/>
    <w:uiPriority w:val="61"/>
    <w:rsid w:val="0075283D"/>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character" w:styleId="SubtleReference">
    <w:name w:val="Subtle Reference"/>
    <w:basedOn w:val="DefaultParagraphFont"/>
    <w:uiPriority w:val="31"/>
    <w:qFormat/>
    <w:rsid w:val="007D52BD"/>
    <w:rPr>
      <w:rFonts w:cs="Times New Roman"/>
      <w:smallCaps/>
      <w:color w:val="C0504D"/>
      <w:u w:val="single"/>
    </w:rPr>
  </w:style>
  <w:style w:type="paragraph" w:styleId="BalloonText">
    <w:name w:val="Balloon Text"/>
    <w:basedOn w:val="Normal"/>
    <w:link w:val="BalloonTextChar"/>
    <w:uiPriority w:val="99"/>
    <w:semiHidden/>
    <w:unhideWhenUsed/>
    <w:rsid w:val="00D477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47708"/>
    <w:rPr>
      <w:rFonts w:ascii="Tahoma" w:hAnsi="Tahoma" w:cs="Tahoma"/>
      <w:sz w:val="16"/>
      <w:szCs w:val="16"/>
    </w:rPr>
  </w:style>
  <w:style w:type="character" w:customStyle="1" w:styleId="ParagraphChar">
    <w:name w:val="Paragraph Char"/>
    <w:basedOn w:val="DefaultParagraphFont"/>
    <w:link w:val="Paragraph"/>
    <w:locked/>
    <w:rsid w:val="006B5333"/>
    <w:rPr>
      <w:rFonts w:ascii="Times New Roman" w:hAnsi="Times New Roman" w:cs="Times New Roman"/>
      <w:sz w:val="20"/>
      <w:szCs w:val="20"/>
      <w:lang w:val="es-ES"/>
    </w:rPr>
  </w:style>
  <w:style w:type="paragraph" w:styleId="z-TopofForm">
    <w:name w:val="HTML Top of Form"/>
    <w:basedOn w:val="Normal"/>
    <w:next w:val="Normal"/>
    <w:link w:val="z-TopofFormChar"/>
    <w:hidden/>
    <w:uiPriority w:val="99"/>
    <w:semiHidden/>
    <w:unhideWhenUsed/>
    <w:rsid w:val="00391EB5"/>
    <w:pPr>
      <w:pBdr>
        <w:bottom w:val="single" w:sz="6" w:space="1" w:color="auto"/>
      </w:pBdr>
      <w:spacing w:after="0" w:line="240" w:lineRule="auto"/>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locked/>
    <w:rsid w:val="00391EB5"/>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391EB5"/>
    <w:pPr>
      <w:pBdr>
        <w:top w:val="single" w:sz="6" w:space="1" w:color="auto"/>
      </w:pBdr>
      <w:spacing w:after="0" w:line="240" w:lineRule="auto"/>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locked/>
    <w:rsid w:val="00391EB5"/>
    <w:rPr>
      <w:rFonts w:ascii="Arial" w:hAnsi="Arial" w:cs="Arial"/>
      <w:vanish/>
      <w:sz w:val="16"/>
      <w:szCs w:val="16"/>
    </w:rPr>
  </w:style>
  <w:style w:type="paragraph" w:styleId="NoSpacing">
    <w:name w:val="No Spacing"/>
    <w:link w:val="NoSpacingChar"/>
    <w:uiPriority w:val="1"/>
    <w:qFormat/>
    <w:rsid w:val="00114300"/>
    <w:rPr>
      <w:sz w:val="22"/>
      <w:szCs w:val="22"/>
      <w:lang w:val="pt-BR" w:eastAsia="en-US"/>
    </w:rPr>
  </w:style>
  <w:style w:type="character" w:customStyle="1" w:styleId="NoSpacingChar">
    <w:name w:val="No Spacing Char"/>
    <w:basedOn w:val="DefaultParagraphFont"/>
    <w:link w:val="NoSpacing"/>
    <w:uiPriority w:val="1"/>
    <w:locked/>
    <w:rsid w:val="00114300"/>
    <w:rPr>
      <w:sz w:val="22"/>
      <w:szCs w:val="22"/>
      <w:lang w:val="pt-BR" w:eastAsia="en-US" w:bidi="ar-SA"/>
    </w:rPr>
  </w:style>
</w:styles>
</file>

<file path=word/webSettings.xml><?xml version="1.0" encoding="utf-8"?>
<w:webSettings xmlns:r="http://schemas.openxmlformats.org/officeDocument/2006/relationships" xmlns:w="http://schemas.openxmlformats.org/wordprocessingml/2006/main">
  <w:divs>
    <w:div w:id="448672756">
      <w:bodyDiv w:val="1"/>
      <w:marLeft w:val="0"/>
      <w:marRight w:val="0"/>
      <w:marTop w:val="0"/>
      <w:marBottom w:val="0"/>
      <w:divBdr>
        <w:top w:val="none" w:sz="0" w:space="0" w:color="auto"/>
        <w:left w:val="none" w:sz="0" w:space="0" w:color="auto"/>
        <w:bottom w:val="none" w:sz="0" w:space="0" w:color="auto"/>
        <w:right w:val="none" w:sz="0" w:space="0" w:color="auto"/>
      </w:divBdr>
    </w:div>
    <w:div w:id="675696968">
      <w:bodyDiv w:val="1"/>
      <w:marLeft w:val="0"/>
      <w:marRight w:val="0"/>
      <w:marTop w:val="0"/>
      <w:marBottom w:val="0"/>
      <w:divBdr>
        <w:top w:val="none" w:sz="0" w:space="0" w:color="auto"/>
        <w:left w:val="none" w:sz="0" w:space="0" w:color="auto"/>
        <w:bottom w:val="none" w:sz="0" w:space="0" w:color="auto"/>
        <w:right w:val="none" w:sz="0" w:space="0" w:color="auto"/>
      </w:divBdr>
    </w:div>
    <w:div w:id="863708420">
      <w:marLeft w:val="0"/>
      <w:marRight w:val="0"/>
      <w:marTop w:val="0"/>
      <w:marBottom w:val="0"/>
      <w:divBdr>
        <w:top w:val="none" w:sz="0" w:space="0" w:color="auto"/>
        <w:left w:val="none" w:sz="0" w:space="0" w:color="auto"/>
        <w:bottom w:val="none" w:sz="0" w:space="0" w:color="auto"/>
        <w:right w:val="none" w:sz="0" w:space="0" w:color="auto"/>
      </w:divBdr>
    </w:div>
    <w:div w:id="863708421">
      <w:marLeft w:val="0"/>
      <w:marRight w:val="0"/>
      <w:marTop w:val="0"/>
      <w:marBottom w:val="0"/>
      <w:divBdr>
        <w:top w:val="none" w:sz="0" w:space="0" w:color="auto"/>
        <w:left w:val="none" w:sz="0" w:space="0" w:color="auto"/>
        <w:bottom w:val="none" w:sz="0" w:space="0" w:color="auto"/>
        <w:right w:val="none" w:sz="0" w:space="0" w:color="auto"/>
      </w:divBdr>
    </w:div>
    <w:div w:id="863708422">
      <w:marLeft w:val="0"/>
      <w:marRight w:val="0"/>
      <w:marTop w:val="0"/>
      <w:marBottom w:val="0"/>
      <w:divBdr>
        <w:top w:val="none" w:sz="0" w:space="0" w:color="auto"/>
        <w:left w:val="none" w:sz="0" w:space="0" w:color="auto"/>
        <w:bottom w:val="none" w:sz="0" w:space="0" w:color="auto"/>
        <w:right w:val="none" w:sz="0" w:space="0" w:color="auto"/>
      </w:divBdr>
    </w:div>
    <w:div w:id="863708423">
      <w:marLeft w:val="0"/>
      <w:marRight w:val="0"/>
      <w:marTop w:val="0"/>
      <w:marBottom w:val="0"/>
      <w:divBdr>
        <w:top w:val="none" w:sz="0" w:space="0" w:color="auto"/>
        <w:left w:val="none" w:sz="0" w:space="0" w:color="auto"/>
        <w:bottom w:val="none" w:sz="0" w:space="0" w:color="auto"/>
        <w:right w:val="none" w:sz="0" w:space="0" w:color="auto"/>
      </w:divBdr>
    </w:div>
    <w:div w:id="863708424">
      <w:marLeft w:val="0"/>
      <w:marRight w:val="0"/>
      <w:marTop w:val="0"/>
      <w:marBottom w:val="0"/>
      <w:divBdr>
        <w:top w:val="none" w:sz="0" w:space="0" w:color="auto"/>
        <w:left w:val="none" w:sz="0" w:space="0" w:color="auto"/>
        <w:bottom w:val="none" w:sz="0" w:space="0" w:color="auto"/>
        <w:right w:val="none" w:sz="0" w:space="0" w:color="auto"/>
      </w:divBdr>
    </w:div>
    <w:div w:id="863708425">
      <w:marLeft w:val="0"/>
      <w:marRight w:val="0"/>
      <w:marTop w:val="0"/>
      <w:marBottom w:val="0"/>
      <w:divBdr>
        <w:top w:val="none" w:sz="0" w:space="0" w:color="auto"/>
        <w:left w:val="none" w:sz="0" w:space="0" w:color="auto"/>
        <w:bottom w:val="none" w:sz="0" w:space="0" w:color="auto"/>
        <w:right w:val="none" w:sz="0" w:space="0" w:color="auto"/>
      </w:divBdr>
    </w:div>
    <w:div w:id="863708426">
      <w:marLeft w:val="0"/>
      <w:marRight w:val="0"/>
      <w:marTop w:val="0"/>
      <w:marBottom w:val="0"/>
      <w:divBdr>
        <w:top w:val="none" w:sz="0" w:space="0" w:color="auto"/>
        <w:left w:val="none" w:sz="0" w:space="0" w:color="auto"/>
        <w:bottom w:val="none" w:sz="0" w:space="0" w:color="auto"/>
        <w:right w:val="none" w:sz="0" w:space="0" w:color="auto"/>
      </w:divBdr>
    </w:div>
    <w:div w:id="863708427">
      <w:marLeft w:val="0"/>
      <w:marRight w:val="0"/>
      <w:marTop w:val="0"/>
      <w:marBottom w:val="0"/>
      <w:divBdr>
        <w:top w:val="none" w:sz="0" w:space="0" w:color="auto"/>
        <w:left w:val="none" w:sz="0" w:space="0" w:color="auto"/>
        <w:bottom w:val="none" w:sz="0" w:space="0" w:color="auto"/>
        <w:right w:val="none" w:sz="0" w:space="0" w:color="auto"/>
      </w:divBdr>
    </w:div>
    <w:div w:id="863708428">
      <w:marLeft w:val="0"/>
      <w:marRight w:val="0"/>
      <w:marTop w:val="0"/>
      <w:marBottom w:val="0"/>
      <w:divBdr>
        <w:top w:val="none" w:sz="0" w:space="0" w:color="auto"/>
        <w:left w:val="none" w:sz="0" w:space="0" w:color="auto"/>
        <w:bottom w:val="none" w:sz="0" w:space="0" w:color="auto"/>
        <w:right w:val="none" w:sz="0" w:space="0" w:color="auto"/>
      </w:divBdr>
    </w:div>
    <w:div w:id="863708429">
      <w:marLeft w:val="0"/>
      <w:marRight w:val="0"/>
      <w:marTop w:val="0"/>
      <w:marBottom w:val="0"/>
      <w:divBdr>
        <w:top w:val="none" w:sz="0" w:space="0" w:color="auto"/>
        <w:left w:val="none" w:sz="0" w:space="0" w:color="auto"/>
        <w:bottom w:val="none" w:sz="0" w:space="0" w:color="auto"/>
        <w:right w:val="none" w:sz="0" w:space="0" w:color="auto"/>
      </w:divBdr>
    </w:div>
    <w:div w:id="863708430">
      <w:marLeft w:val="0"/>
      <w:marRight w:val="0"/>
      <w:marTop w:val="0"/>
      <w:marBottom w:val="0"/>
      <w:divBdr>
        <w:top w:val="none" w:sz="0" w:space="0" w:color="auto"/>
        <w:left w:val="none" w:sz="0" w:space="0" w:color="auto"/>
        <w:bottom w:val="none" w:sz="0" w:space="0" w:color="auto"/>
        <w:right w:val="none" w:sz="0" w:space="0" w:color="auto"/>
      </w:divBdr>
    </w:div>
    <w:div w:id="1379084986">
      <w:bodyDiv w:val="1"/>
      <w:marLeft w:val="0"/>
      <w:marRight w:val="0"/>
      <w:marTop w:val="0"/>
      <w:marBottom w:val="0"/>
      <w:divBdr>
        <w:top w:val="none" w:sz="0" w:space="0" w:color="auto"/>
        <w:left w:val="none" w:sz="0" w:space="0" w:color="auto"/>
        <w:bottom w:val="none" w:sz="0" w:space="0" w:color="auto"/>
        <w:right w:val="none" w:sz="0" w:space="0" w:color="auto"/>
      </w:divBdr>
    </w:div>
    <w:div w:id="1732537628">
      <w:bodyDiv w:val="1"/>
      <w:marLeft w:val="0"/>
      <w:marRight w:val="0"/>
      <w:marTop w:val="0"/>
      <w:marBottom w:val="0"/>
      <w:divBdr>
        <w:top w:val="none" w:sz="0" w:space="0" w:color="auto"/>
        <w:left w:val="none" w:sz="0" w:space="0" w:color="auto"/>
        <w:bottom w:val="none" w:sz="0" w:space="0" w:color="auto"/>
        <w:right w:val="none" w:sz="0" w:space="0" w:color="auto"/>
      </w:divBdr>
    </w:div>
    <w:div w:id="1748766646">
      <w:bodyDiv w:val="1"/>
      <w:marLeft w:val="0"/>
      <w:marRight w:val="0"/>
      <w:marTop w:val="0"/>
      <w:marBottom w:val="0"/>
      <w:divBdr>
        <w:top w:val="none" w:sz="0" w:space="0" w:color="auto"/>
        <w:left w:val="none" w:sz="0" w:space="0" w:color="auto"/>
        <w:bottom w:val="none" w:sz="0" w:space="0" w:color="auto"/>
        <w:right w:val="none" w:sz="0" w:space="0" w:color="auto"/>
      </w:divBdr>
    </w:div>
    <w:div w:id="1893886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customXml" Target="../customXml/item5.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10.xml><?xml version="1.0" encoding="utf-8"?>
<?mso-contentType ?>
<FormUrls xmlns="http://schemas.microsoft.com/sharepoint/v3/contenttype/forms/url">
  <Display>_catalogs/masterpage/ECMForms/OperationsCT/View.aspx</Display>
  <Edit>_catalogs/masterpage/ECMForms/OperationsCT/Edit.aspx</Edit>
</FormUrls>
</file>

<file path=customXml/item11.xml><?xml version="1.0" encoding="utf-8"?>
<?mso-contentType ?>
<FormUrls xmlns="http://schemas.microsoft.com/sharepoint/v3/contenttype/forms/url">
  <Display>_catalogs/masterpage/ECMForms/OperationsCT/View.aspx</Display>
  <Edit>_catalogs/masterpage/ECMForms/OperationsCT/Edit.aspx</Edit>
</FormUrls>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ct:contentTypeSchema xmlns:ct="http://schemas.microsoft.com/office/2006/metadata/contentType" xmlns:ma="http://schemas.microsoft.com/office/2006/metadata/properties/metaAttributes" ct:_="" ma:_="" ma:contentTypeName="ez-Operations" ma:contentTypeID="0x010100ACF722E9F6B0B149B0CD8BE2560A6672002A88D00940FC2E49AEE8074F4222D492" ma:contentTypeVersion="1883" ma:contentTypeDescription="The base project type from which other project content types inherit their information." ma:contentTypeScope="" ma:versionID="f326706dbe8e87e10b4a61558537c041">
  <xsd:schema xmlns:xsd="http://www.w3.org/2001/XMLSchema" xmlns:xs="http://www.w3.org/2001/XMLSchema" xmlns:p="http://schemas.microsoft.com/office/2006/metadata/properties" xmlns:ns2="cdc7663a-08f0-4737-9e8c-148ce897a09c" targetNamespace="http://schemas.microsoft.com/office/2006/metadata/properties" ma:root="true" ma:fieldsID="debd62a969ab0658bee3269b05fb97a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R0002724853</Record_x0020_Number>
    <Key_x0020_Document xmlns="cdc7663a-08f0-4737-9e8c-148ce897a09c">false</Key_x0020_Document>
    <Division_x0020_or_x0020_Unit xmlns="cdc7663a-08f0-4737-9e8c-148ce897a09c">IFD/FMM</Division_x0020_or_x0020_Unit>
    <Other_x0020_Author xmlns="cdc7663a-08f0-4737-9e8c-148ce897a09c" xsi:nil="true"/>
    <IDBDocs_x0020_Number xmlns="cdc7663a-08f0-4737-9e8c-148ce897a09c">36352430</IDBDocs_x0020_Number>
    <Document_x0020_Author xmlns="cdc7663a-08f0-4737-9e8c-148ce897a09c">Lopez Ghio, Ramiro Andres</Document_x0020_Author>
    <Operation_x0020_Type xmlns="cdc7663a-08f0-4737-9e8c-148ce897a09c" xsi:nil="true"/>
    <TaxCatchAll xmlns="cdc7663a-08f0-4737-9e8c-148ce897a09c">
      <Value>26</Value>
      <Value>15</Value>
      <Value>1</Value>
    </TaxCatchAll>
    <Fiscal_x0020_Year_x0020_IDB xmlns="cdc7663a-08f0-4737-9e8c-148ce897a09c">2011</Fiscal_x0020_Year_x0020_IDB>
    <Project_x0020_Number xmlns="cdc7663a-08f0-4737-9e8c-148ce897a09c">BO-L1062</Project_x0020_Number>
    <Package_x0020_Code xmlns="cdc7663a-08f0-4737-9e8c-148ce897a09c" xsi:nil="true"/>
    <Migration_x0020_Info xmlns="cdc7663a-08f0-4737-9e8c-148ce897a09c">MS WORDLPLoan Proposal0NPO-BO-L1062-Anl103345631</Migration_x0020_Info>
    <Approval_x0020_Number xmlns="cdc7663a-08f0-4737-9e8c-148ce897a09c">2593/BL-BO</Approval_x0020_Number>
    <Business_x0020_Area xmlns="cdc7663a-08f0-4737-9e8c-148ce897a09c" xsi:nil="true"/>
    <SISCOR_x0020_Number xmlns="cdc7663a-08f0-4737-9e8c-148ce897a09c" xsi:nil="true"/>
    <Identifier xmlns="cdc7663a-08f0-4737-9e8c-148ce897a09c"> TECFILE</Identifier>
    <Document_x0020_Language_x0020_IDB xmlns="cdc7663a-08f0-4737-9e8c-148ce897a09c">Spanish</Document_x0020_Language_x0020_IDB>
    <Pha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EZSHARE-1613875176-53</_dlc_DocId>
    <From_x003a_ xmlns="cdc7663a-08f0-4737-9e8c-148ce897a09c" xsi:nil="true"/>
    <To_x003a_ xmlns="cdc7663a-08f0-4737-9e8c-148ce897a09c" xsi:nil="true"/>
    <_dlc_DocIdUrl xmlns="cdc7663a-08f0-4737-9e8c-148ce897a09c">
      <Url>https://idbg.sharepoint.com/teams/EZ-BO-LON/BO-L1062/_layouts/15/DocIdRedir.aspx?ID=EZSHARE-1613875176-53</Url>
      <Description>EZSHARE-1613875176-53</Description>
    </_dlc_DocIdUrl>
  </documentManagement>
</p:properti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D28D1E17-A972-4DBF-A858-06D880B02BC3}"/>
</file>

<file path=customXml/itemProps10.xml><?xml version="1.0" encoding="utf-8"?>
<ds:datastoreItem xmlns:ds="http://schemas.openxmlformats.org/officeDocument/2006/customXml" ds:itemID="{37F313BD-76FF-4CB5-B68F-0F4269CB4216}"/>
</file>

<file path=customXml/itemProps11.xml><?xml version="1.0" encoding="utf-8"?>
<ds:datastoreItem xmlns:ds="http://schemas.openxmlformats.org/officeDocument/2006/customXml" ds:itemID="{8431649F-7740-47DD-BD5D-185D2FDD367A}"/>
</file>

<file path=customXml/itemProps2.xml><?xml version="1.0" encoding="utf-8"?>
<ds:datastoreItem xmlns:ds="http://schemas.openxmlformats.org/officeDocument/2006/customXml" ds:itemID="{6848896E-6E59-47C9-AC47-64582D3BC187}"/>
</file>

<file path=customXml/itemProps3.xml><?xml version="1.0" encoding="utf-8"?>
<ds:datastoreItem xmlns:ds="http://schemas.openxmlformats.org/officeDocument/2006/customXml" ds:itemID="{81E01CF7-A304-47CA-86F9-17419FAABB4D}"/>
</file>

<file path=customXml/itemProps4.xml><?xml version="1.0" encoding="utf-8"?>
<ds:datastoreItem xmlns:ds="http://schemas.openxmlformats.org/officeDocument/2006/customXml" ds:itemID="{2982A369-58FD-4451-83D9-B6033C7DD17D}"/>
</file>

<file path=customXml/itemProps5.xml><?xml version="1.0" encoding="utf-8"?>
<ds:datastoreItem xmlns:ds="http://schemas.openxmlformats.org/officeDocument/2006/customXml" ds:itemID="{58DA5526-C5EF-4C6D-BEA8-5E3AEF14211A}"/>
</file>

<file path=customXml/itemProps6.xml><?xml version="1.0" encoding="utf-8"?>
<ds:datastoreItem xmlns:ds="http://schemas.openxmlformats.org/officeDocument/2006/customXml" ds:itemID="{C6F63FA5-6C92-4E99-959A-517F6068AF6A}"/>
</file>

<file path=customXml/itemProps7.xml><?xml version="1.0" encoding="utf-8"?>
<ds:datastoreItem xmlns:ds="http://schemas.openxmlformats.org/officeDocument/2006/customXml" ds:itemID="{EFF47FA4-E92B-4791-A2BA-4020C8B04EC1}"/>
</file>

<file path=customXml/itemProps8.xml><?xml version="1.0" encoding="utf-8"?>
<ds:datastoreItem xmlns:ds="http://schemas.openxmlformats.org/officeDocument/2006/customXml" ds:itemID="{0C6862A8-924E-441F-A7D2-C47DF5905D73}"/>
</file>

<file path=customXml/itemProps9.xml><?xml version="1.0" encoding="utf-8"?>
<ds:datastoreItem xmlns:ds="http://schemas.openxmlformats.org/officeDocument/2006/customXml" ds:itemID="{7CD25B3B-DBF0-44B8-B626-31B295B0DE89}"/>
</file>

<file path=docProps/app.xml><?xml version="1.0" encoding="utf-8"?>
<Properties xmlns="http://schemas.openxmlformats.org/officeDocument/2006/extended-properties" xmlns:vt="http://schemas.openxmlformats.org/officeDocument/2006/docPropsVTypes">
  <Template>Normal.dotm</Template>
  <TotalTime>3</TotalTime>
  <Pages>10</Pages>
  <Words>3543</Words>
  <Characters>19331</Characters>
  <Application>Microsoft Office Word</Application>
  <DocSecurity>4</DocSecurity>
  <Lines>161</Lines>
  <Paragraphs>45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Panamá</vt:lpstr>
      <vt:lpstr>Panamá</vt:lpstr>
    </vt:vector>
  </TitlesOfParts>
  <Company>Grizli777</Company>
  <LinksUpToDate>false</LinksUpToDate>
  <CharactersWithSpaces>22829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Análisis Económico</dc:title>
  <dc:subject>Programa de Fortalecimiento de la gestión Fiscal (PN-L1066)</dc:subject>
  <dc:creator>Anexo de Análisis Económico</dc:creator>
  <cp:lastModifiedBy>MEL</cp:lastModifiedBy>
  <cp:revision>2</cp:revision>
  <cp:lastPrinted>2011-09-08T19:46:00Z</cp:lastPrinted>
  <dcterms:created xsi:type="dcterms:W3CDTF">2011-09-12T15:10:00Z</dcterms:created>
  <dcterms:modified xsi:type="dcterms:W3CDTF">2011-09-12T15:10:00Z</dcterms:modified>
  <cp:category>Estúdio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axKeyword">
    <vt:lpwstr/>
  </property>
  <property fmtid="{D5CDD505-2E9C-101B-9397-08002B2CF9AE}" pid="4" name="Sub_x002d_Sector">
    <vt:lpwstr/>
  </property>
  <property fmtid="{D5CDD505-2E9C-101B-9397-08002B2CF9AE}" pid="5" name="ContentTypeId">
    <vt:lpwstr>0x010100ACF722E9F6B0B149B0CD8BE2560A6672002A88D00940FC2E49AEE8074F4222D492</vt:lpwstr>
  </property>
  <property fmtid="{D5CDD505-2E9C-101B-9397-08002B2CF9AE}" pid="6" name="TaxKeywordTaxHTField">
    <vt:lpwstr/>
  </property>
  <property fmtid="{D5CDD505-2E9C-101B-9397-08002B2CF9AE}" pid="7" name="Series Operations IDB">
    <vt:lpwstr>9;#Loan Proposal|6ee86b6f-6e46-485b-8bfb-87a1f44622ac</vt:lpwstr>
  </property>
  <property fmtid="{D5CDD505-2E9C-101B-9397-08002B2CF9AE}" pid="8" name="Sub-Sector">
    <vt:lpwstr/>
  </property>
  <property fmtid="{D5CDD505-2E9C-101B-9397-08002B2CF9AE}" pid="9" name="Country">
    <vt:lpwstr>26;#Bolivia|6445a937-aea4-4907-9f24-bff96a7c61c8</vt:lpwstr>
  </property>
  <property fmtid="{D5CDD505-2E9C-101B-9397-08002B2CF9AE}" pid="10" name="Fund IDB">
    <vt:lpwstr/>
  </property>
  <property fmtid="{D5CDD505-2E9C-101B-9397-08002B2CF9AE}" pid="11" name="Series_x0020_Operations_x0020_IDB">
    <vt:lpwstr>9;#Loan Proposal|6ee86b6f-6e46-485b-8bfb-87a1f44622ac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Function Operations IDB">
    <vt:lpwstr>1;#Project Preparation, Planning and Design|29ca0c72-1fc4-435f-a09c-28585cb5eac9</vt:lpwstr>
  </property>
  <property fmtid="{D5CDD505-2E9C-101B-9397-08002B2CF9AE}" pid="17" name="Disclosure Activity">
    <vt:lpwstr>Loan Proposal</vt:lpwstr>
  </property>
  <property fmtid="{D5CDD505-2E9C-101B-9397-08002B2CF9AE}" pid="21" name="Webtopic">
    <vt:lpwstr>Fiscal Issues and Public Finance</vt:lpwstr>
  </property>
  <property fmtid="{D5CDD505-2E9C-101B-9397-08002B2CF9AE}" pid="23" name="Disclosed">
    <vt:bool>true</vt:bool>
  </property>
  <property fmtid="{D5CDD505-2E9C-101B-9397-08002B2CF9AE}" pid="27" name="_dlc_DocIdItemGuid">
    <vt:lpwstr>d76151cb-4278-478f-b803-252aee625327</vt:lpwstr>
  </property>
</Properties>
</file>