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8A04E8" w:rsidRPr="00D113FC" w:rsidRDefault="008A04E8" w:rsidP="001D1AE1">
      <w:pPr>
        <w:jc w:val="both"/>
        <w:rPr>
          <w:rFonts w:eastAsia="Times New Roman"/>
          <w:b/>
        </w:rPr>
      </w:pPr>
      <w:bookmarkStart w:id="0" w:name="_GoBack"/>
      <w:bookmarkEnd w:id="0"/>
    </w:p>
    <w:p w14:paraId="03C1AF99" w14:textId="0DAB551D" w:rsidR="008A04E8" w:rsidRPr="00D113FC" w:rsidRDefault="00E50BAF">
      <w:pPr>
        <w:jc w:val="both"/>
        <w:rPr>
          <w:rFonts w:eastAsia="Times New Roman"/>
          <w:b/>
          <w:bCs/>
        </w:rPr>
      </w:pPr>
      <w:r w:rsidRPr="00D113FC">
        <w:rPr>
          <w:rFonts w:eastAsia="Times New Roman"/>
          <w:b/>
          <w:bCs/>
        </w:rPr>
        <w:t>PARAGUAY</w:t>
      </w:r>
    </w:p>
    <w:p w14:paraId="0A37501D" w14:textId="77777777" w:rsidR="004A7C51" w:rsidRPr="00D113FC" w:rsidRDefault="004A7C51" w:rsidP="001D1AE1">
      <w:pPr>
        <w:jc w:val="both"/>
        <w:rPr>
          <w:rFonts w:eastAsia="Times New Roman"/>
          <w:b/>
        </w:rPr>
      </w:pPr>
    </w:p>
    <w:p w14:paraId="230E363A" w14:textId="77777777" w:rsidR="008A04E8" w:rsidRPr="00D113FC" w:rsidRDefault="00E50BAF" w:rsidP="001D1AE1">
      <w:pPr>
        <w:jc w:val="both"/>
        <w:rPr>
          <w:rFonts w:eastAsia="Times New Roman"/>
          <w:b/>
        </w:rPr>
      </w:pPr>
      <w:r w:rsidRPr="00D113FC">
        <w:rPr>
          <w:rFonts w:eastAsia="Times New Roman"/>
          <w:b/>
        </w:rPr>
        <w:t xml:space="preserve">Support for the development of the institutional, </w:t>
      </w:r>
      <w:r w:rsidR="004A7C51" w:rsidRPr="00D113FC">
        <w:rPr>
          <w:rFonts w:eastAsia="Times New Roman"/>
          <w:b/>
        </w:rPr>
        <w:t xml:space="preserve">policy </w:t>
      </w:r>
      <w:r w:rsidRPr="00D113FC">
        <w:rPr>
          <w:rFonts w:eastAsia="Times New Roman"/>
          <w:b/>
        </w:rPr>
        <w:t>and regulatory environment to enable investments in energy efficiency.</w:t>
      </w:r>
    </w:p>
    <w:p w14:paraId="2C8E8EF6" w14:textId="77777777" w:rsidR="008A04E8" w:rsidRPr="00D113FC" w:rsidRDefault="00E50BAF" w:rsidP="001D1AE1">
      <w:pPr>
        <w:jc w:val="both"/>
        <w:rPr>
          <w:rFonts w:eastAsia="Times New Roman"/>
          <w:b/>
        </w:rPr>
      </w:pPr>
      <w:r w:rsidRPr="00D113FC">
        <w:rPr>
          <w:rFonts w:eastAsia="Times New Roman"/>
          <w:b/>
        </w:rPr>
        <w:t>PR-T1257</w:t>
      </w:r>
    </w:p>
    <w:p w14:paraId="5DAB6C7B" w14:textId="77777777" w:rsidR="004A7C51" w:rsidRPr="00D113FC" w:rsidRDefault="004A7C51">
      <w:pPr>
        <w:rPr>
          <w:rFonts w:eastAsia="Times New Roman"/>
          <w:b/>
        </w:rPr>
      </w:pPr>
    </w:p>
    <w:p w14:paraId="01E25A47" w14:textId="77777777" w:rsidR="004A7C51" w:rsidRPr="00D113FC" w:rsidRDefault="004A7C51">
      <w:pPr>
        <w:rPr>
          <w:rFonts w:eastAsia="Times New Roman"/>
          <w:b/>
        </w:rPr>
      </w:pPr>
      <w:r w:rsidRPr="00D113FC">
        <w:rPr>
          <w:rFonts w:eastAsia="Times New Roman"/>
          <w:b/>
        </w:rPr>
        <w:t>E</w:t>
      </w:r>
      <w:r w:rsidR="008362F8" w:rsidRPr="00D113FC">
        <w:rPr>
          <w:rFonts w:eastAsia="Times New Roman"/>
          <w:b/>
        </w:rPr>
        <w:t>nergy efficiency</w:t>
      </w:r>
      <w:r w:rsidRPr="00D113FC">
        <w:rPr>
          <w:rFonts w:eastAsia="Times New Roman"/>
          <w:b/>
        </w:rPr>
        <w:t xml:space="preserve"> dissemination and awareness </w:t>
      </w:r>
      <w:r w:rsidR="008362F8" w:rsidRPr="00D113FC">
        <w:rPr>
          <w:rFonts w:eastAsia="Times New Roman"/>
          <w:b/>
        </w:rPr>
        <w:t>rising</w:t>
      </w:r>
    </w:p>
    <w:p w14:paraId="02EB378F" w14:textId="77777777" w:rsidR="004A7C51" w:rsidRPr="00D113FC" w:rsidRDefault="004A7C51">
      <w:pPr>
        <w:rPr>
          <w:rFonts w:eastAsia="Times New Roman"/>
          <w:b/>
        </w:rPr>
      </w:pPr>
    </w:p>
    <w:p w14:paraId="7671DC98" w14:textId="77777777" w:rsidR="008A04E8" w:rsidRPr="00D113FC" w:rsidRDefault="00E50BAF">
      <w:pPr>
        <w:rPr>
          <w:rFonts w:eastAsia="Times New Roman"/>
          <w:b/>
        </w:rPr>
      </w:pPr>
      <w:r w:rsidRPr="00D113FC">
        <w:rPr>
          <w:rFonts w:eastAsia="Times New Roman"/>
          <w:b/>
        </w:rPr>
        <w:t xml:space="preserve">Terms of References </w:t>
      </w:r>
    </w:p>
    <w:p w14:paraId="6A05A809" w14:textId="77777777" w:rsidR="008A04E8" w:rsidRPr="00D113FC" w:rsidRDefault="008A04E8">
      <w:pPr>
        <w:rPr>
          <w:rFonts w:eastAsia="Times New Roman"/>
        </w:rPr>
      </w:pPr>
    </w:p>
    <w:p w14:paraId="38A9835A" w14:textId="77777777" w:rsidR="008A04E8" w:rsidRPr="00D113FC" w:rsidRDefault="00E50BAF">
      <w:pPr>
        <w:rPr>
          <w:rFonts w:eastAsia="Times New Roman"/>
          <w:b/>
        </w:rPr>
      </w:pPr>
      <w:r w:rsidRPr="00D113FC">
        <w:rPr>
          <w:rFonts w:eastAsia="Times New Roman"/>
          <w:b/>
        </w:rPr>
        <w:t>BACKGROUND</w:t>
      </w:r>
    </w:p>
    <w:p w14:paraId="5A39BBE3" w14:textId="77777777" w:rsidR="004A7C51" w:rsidRPr="00D113FC" w:rsidRDefault="004A7C51" w:rsidP="001D1AE1">
      <w:pPr>
        <w:jc w:val="both"/>
        <w:rPr>
          <w:rFonts w:eastAsia="Times New Roman"/>
        </w:rPr>
      </w:pPr>
    </w:p>
    <w:p w14:paraId="27EDFEDB" w14:textId="77777777" w:rsidR="008A04E8" w:rsidRPr="00D113FC" w:rsidRDefault="00E50BAF" w:rsidP="001D1AE1">
      <w:pPr>
        <w:jc w:val="both"/>
        <w:rPr>
          <w:rFonts w:eastAsia="Times New Roman"/>
        </w:rPr>
      </w:pPr>
      <w:r w:rsidRPr="00D113FC">
        <w:rPr>
          <w:rFonts w:eastAsia="Times New Roman"/>
        </w:rPr>
        <w:t xml:space="preserve">The Energy Division (ENE) of the Inter-American Development Bank (IDB) is an operational division within the Sectorial Department of Infrastructure and Energy (INE), under the Vice Presidency of Sectors and Knowledge of the IDB. The reference division (INE / ENE) </w:t>
      </w:r>
      <w:proofErr w:type="gramStart"/>
      <w:r w:rsidRPr="00D113FC">
        <w:rPr>
          <w:rFonts w:eastAsia="Times New Roman"/>
        </w:rPr>
        <w:t>is in charge of</w:t>
      </w:r>
      <w:proofErr w:type="gramEnd"/>
      <w:r w:rsidRPr="00D113FC">
        <w:rPr>
          <w:rFonts w:eastAsia="Times New Roman"/>
        </w:rPr>
        <w:t xml:space="preserve"> the development of sovereign guaranteed loans, non-reimbursable technical cooperation, including technical, economic, regulatory analysis, identification and preparation of programs, projects, studies and sectoral notes in the energy sector.</w:t>
      </w:r>
    </w:p>
    <w:p w14:paraId="41C8F396" w14:textId="77777777" w:rsidR="008A04E8" w:rsidRPr="00D113FC" w:rsidRDefault="008A04E8" w:rsidP="001D1AE1">
      <w:pPr>
        <w:jc w:val="both"/>
        <w:rPr>
          <w:rFonts w:eastAsia="Times New Roman"/>
        </w:rPr>
      </w:pPr>
    </w:p>
    <w:p w14:paraId="4BE119FF" w14:textId="00ECECB7" w:rsidR="008A04E8" w:rsidRPr="00D113FC" w:rsidRDefault="00E50BAF" w:rsidP="001D1AE1">
      <w:pPr>
        <w:jc w:val="both"/>
        <w:rPr>
          <w:rFonts w:eastAsia="Times New Roman"/>
        </w:rPr>
      </w:pPr>
      <w:r w:rsidRPr="00D113FC">
        <w:rPr>
          <w:rFonts w:eastAsia="Times New Roman"/>
        </w:rPr>
        <w:t xml:space="preserve">The IDB will support the execution of the global credit line PR-L1146 - “Promoting private sector investments in energy efficiency in the industrial sector in Paraguay” (the Program). The objective of the loan is to promote energy efficiency (EE) in the industrial Small and Medium Enterprises (SMEs) sector in Paraguay by providing medium and </w:t>
      </w:r>
      <w:r w:rsidR="00FE65BA" w:rsidRPr="00D113FC">
        <w:rPr>
          <w:rFonts w:eastAsia="Times New Roman"/>
        </w:rPr>
        <w:t>long-term</w:t>
      </w:r>
      <w:r w:rsidRPr="00D113FC">
        <w:rPr>
          <w:rFonts w:eastAsia="Times New Roman"/>
        </w:rPr>
        <w:t xml:space="preserve"> financing for EE investment projects. The successful implementation of the financed projects will contribute to the reduction of greenhouse gas (GHG) emissions, which supports the country's climate change goals.</w:t>
      </w:r>
    </w:p>
    <w:p w14:paraId="72A3D3EC" w14:textId="77777777" w:rsidR="008A04E8" w:rsidRPr="00D113FC" w:rsidRDefault="008A04E8" w:rsidP="001D1AE1">
      <w:pPr>
        <w:jc w:val="both"/>
        <w:rPr>
          <w:rFonts w:eastAsia="Times New Roman"/>
        </w:rPr>
      </w:pPr>
    </w:p>
    <w:p w14:paraId="3BAA235A" w14:textId="77777777" w:rsidR="008A04E8" w:rsidRPr="00D113FC" w:rsidRDefault="00E50BAF" w:rsidP="00D113FC">
      <w:pPr>
        <w:jc w:val="both"/>
        <w:rPr>
          <w:rFonts w:eastAsia="Times New Roman"/>
        </w:rPr>
      </w:pPr>
      <w:r w:rsidRPr="00D113FC">
        <w:rPr>
          <w:rFonts w:eastAsia="Times New Roman"/>
        </w:rPr>
        <w:t xml:space="preserve">Paraguay has already taken several steps to promote EE, including: (a) implementing regulations on EE in electrical installations; (b) launching an EE labeling program; and (c) creating the National Committee of EE (CNEE by its acronym in Spanish) within the Ministry of Public Works and Communications. Furthermore, a legal framework for the “Rational and Efficient Use of Energy” is also currently under preparation. </w:t>
      </w:r>
      <w:r w:rsidRPr="00D113FC">
        <w:rPr>
          <w:rFonts w:eastAsia="Times New Roman"/>
        </w:rPr>
        <w:br/>
      </w:r>
    </w:p>
    <w:p w14:paraId="52D032B8" w14:textId="77777777" w:rsidR="008A04E8" w:rsidRPr="00D113FC" w:rsidRDefault="00E50BAF" w:rsidP="001D1AE1">
      <w:pPr>
        <w:jc w:val="both"/>
        <w:rPr>
          <w:rFonts w:eastAsia="Times New Roman"/>
        </w:rPr>
      </w:pPr>
      <w:r w:rsidRPr="00D113FC">
        <w:rPr>
          <w:rFonts w:eastAsia="Times New Roman"/>
        </w:rPr>
        <w:t xml:space="preserve">However, the guidelines prepared in collaboration with the IDB </w:t>
      </w:r>
      <w:r w:rsidR="00CF767D" w:rsidRPr="00D113FC">
        <w:rPr>
          <w:rFonts w:eastAsia="Times New Roman"/>
        </w:rPr>
        <w:t>Connectivity Markets and Finance Division</w:t>
      </w:r>
      <w:r w:rsidR="004A7C51" w:rsidRPr="00D113FC">
        <w:rPr>
          <w:rFonts w:eastAsia="Times New Roman"/>
        </w:rPr>
        <w:t xml:space="preserve"> (CMF)</w:t>
      </w:r>
      <w:r w:rsidR="00CF767D" w:rsidRPr="00D113FC">
        <w:rPr>
          <w:rFonts w:eastAsia="Times New Roman"/>
        </w:rPr>
        <w:t xml:space="preserve"> and the </w:t>
      </w:r>
      <w:proofErr w:type="spellStart"/>
      <w:r w:rsidR="00CF767D" w:rsidRPr="00D113FC">
        <w:rPr>
          <w:rFonts w:eastAsia="Times New Roman"/>
        </w:rPr>
        <w:t>Agencia</w:t>
      </w:r>
      <w:proofErr w:type="spellEnd"/>
      <w:r w:rsidR="00CF767D" w:rsidRPr="00D113FC">
        <w:rPr>
          <w:rFonts w:eastAsia="Times New Roman"/>
        </w:rPr>
        <w:t xml:space="preserve"> </w:t>
      </w:r>
      <w:proofErr w:type="spellStart"/>
      <w:r w:rsidR="00CF767D" w:rsidRPr="00D113FC">
        <w:rPr>
          <w:rFonts w:eastAsia="Times New Roman"/>
        </w:rPr>
        <w:t>Financiera</w:t>
      </w:r>
      <w:proofErr w:type="spellEnd"/>
      <w:r w:rsidR="00CF767D" w:rsidRPr="00D113FC">
        <w:rPr>
          <w:rFonts w:eastAsia="Times New Roman"/>
        </w:rPr>
        <w:t xml:space="preserve"> de </w:t>
      </w:r>
      <w:proofErr w:type="spellStart"/>
      <w:r w:rsidR="00CF767D" w:rsidRPr="00D113FC">
        <w:rPr>
          <w:rFonts w:eastAsia="Times New Roman"/>
        </w:rPr>
        <w:t>Desarrollo</w:t>
      </w:r>
      <w:proofErr w:type="spellEnd"/>
      <w:r w:rsidR="00CF767D" w:rsidRPr="00D113FC">
        <w:rPr>
          <w:rFonts w:eastAsia="Times New Roman"/>
        </w:rPr>
        <w:t xml:space="preserve"> (AFD)</w:t>
      </w:r>
      <w:r w:rsidR="00CF767D" w:rsidRPr="00D113FC">
        <w:rPr>
          <w:rStyle w:val="FootnoteReference"/>
          <w:rFonts w:eastAsia="Times New Roman"/>
        </w:rPr>
        <w:footnoteReference w:id="1"/>
      </w:r>
      <w:r w:rsidR="00CF767D" w:rsidRPr="00D113FC">
        <w:rPr>
          <w:rFonts w:eastAsia="Times New Roman"/>
        </w:rPr>
        <w:t xml:space="preserve"> </w:t>
      </w:r>
      <w:r w:rsidRPr="00D113FC">
        <w:rPr>
          <w:rFonts w:eastAsia="Times New Roman"/>
        </w:rPr>
        <w:t xml:space="preserve">– the development bank of Paraguay – show that Paraguay has a large untapped potential to promote EE measures within its industrial SME sector. The potential energy savings that can be achieved through concerted actions taken in this sector could reach at least 10% of the net energy demand of industrial SMEs in Paraguay.  EE measures by industrial SMEs are expected to result in the reduction in the use or displacement of fuelwood, the second-largest fuel source for </w:t>
      </w:r>
      <w:r w:rsidRPr="00D113FC">
        <w:rPr>
          <w:rFonts w:eastAsia="Times New Roman"/>
        </w:rPr>
        <w:lastRenderedPageBreak/>
        <w:t>the industrial SME sector, thereby increasing productivity and contributing to reductions in GHG emissions.</w:t>
      </w:r>
    </w:p>
    <w:p w14:paraId="0D0B940D" w14:textId="77777777" w:rsidR="008A04E8" w:rsidRPr="00D113FC" w:rsidRDefault="008A04E8" w:rsidP="001D1AE1">
      <w:pPr>
        <w:jc w:val="both"/>
        <w:rPr>
          <w:rFonts w:eastAsia="Times New Roman"/>
        </w:rPr>
      </w:pPr>
    </w:p>
    <w:p w14:paraId="612A04F1" w14:textId="77777777" w:rsidR="008A04E8" w:rsidRPr="00D113FC" w:rsidRDefault="00E50BAF" w:rsidP="001D1AE1">
      <w:pPr>
        <w:jc w:val="both"/>
        <w:rPr>
          <w:rFonts w:eastAsia="Times New Roman"/>
        </w:rPr>
      </w:pPr>
      <w:r w:rsidRPr="00D113FC">
        <w:rPr>
          <w:rFonts w:eastAsia="Times New Roman"/>
        </w:rPr>
        <w:t xml:space="preserve">Studies are being prepared to assess the current situation of EE practices and provide further recommendation to increase EE activities in Paraguay with a special focus </w:t>
      </w:r>
      <w:r w:rsidR="004A7C51" w:rsidRPr="00D113FC">
        <w:rPr>
          <w:rFonts w:eastAsia="Times New Roman"/>
        </w:rPr>
        <w:t xml:space="preserve">on </w:t>
      </w:r>
      <w:r w:rsidR="00CF767D" w:rsidRPr="00D113FC">
        <w:rPr>
          <w:rFonts w:eastAsia="Times New Roman"/>
        </w:rPr>
        <w:t xml:space="preserve">reducing </w:t>
      </w:r>
      <w:r w:rsidRPr="00D113FC">
        <w:rPr>
          <w:rFonts w:eastAsia="Times New Roman"/>
        </w:rPr>
        <w:t xml:space="preserve">the utilization of biomass. These studies assess EE practices from a policy, regulatory and institutional context as well as supply chain and technological perspective. In this context, information exchange and awareness raising events should be prepared to encourage knowledge </w:t>
      </w:r>
      <w:proofErr w:type="gramStart"/>
      <w:r w:rsidRPr="00D113FC">
        <w:rPr>
          <w:rFonts w:eastAsia="Times New Roman"/>
        </w:rPr>
        <w:t>exchange, and</w:t>
      </w:r>
      <w:proofErr w:type="gramEnd"/>
      <w:r w:rsidRPr="00D113FC">
        <w:rPr>
          <w:rFonts w:eastAsia="Times New Roman"/>
        </w:rPr>
        <w:t xml:space="preserve"> inform relevant stakeholders on the findings and recommendations of the recently prepared reports and studies.</w:t>
      </w:r>
    </w:p>
    <w:p w14:paraId="0E27B00A" w14:textId="77777777" w:rsidR="008A04E8" w:rsidRPr="00D113FC" w:rsidRDefault="008A04E8" w:rsidP="001D1AE1">
      <w:pPr>
        <w:jc w:val="both"/>
        <w:rPr>
          <w:rFonts w:eastAsia="Times New Roman"/>
        </w:rPr>
      </w:pPr>
    </w:p>
    <w:p w14:paraId="52F962E8" w14:textId="77777777" w:rsidR="008A04E8" w:rsidRPr="00D113FC" w:rsidRDefault="00E50BAF">
      <w:pPr>
        <w:rPr>
          <w:rFonts w:eastAsia="Times New Roman"/>
          <w:b/>
        </w:rPr>
      </w:pPr>
      <w:r w:rsidRPr="00D113FC">
        <w:rPr>
          <w:rFonts w:eastAsia="Times New Roman"/>
          <w:b/>
        </w:rPr>
        <w:t>OBJECTIVES</w:t>
      </w:r>
    </w:p>
    <w:p w14:paraId="60061E4C" w14:textId="77777777" w:rsidR="008A04E8" w:rsidRPr="00D113FC" w:rsidRDefault="008A04E8">
      <w:pPr>
        <w:rPr>
          <w:rFonts w:eastAsia="Times New Roman"/>
        </w:rPr>
      </w:pPr>
    </w:p>
    <w:p w14:paraId="542B84E1" w14:textId="77777777" w:rsidR="008A04E8" w:rsidRPr="00D113FC" w:rsidRDefault="00E50BAF" w:rsidP="001D1AE1">
      <w:pPr>
        <w:jc w:val="both"/>
        <w:rPr>
          <w:rFonts w:eastAsia="Times New Roman"/>
        </w:rPr>
      </w:pPr>
      <w:r w:rsidRPr="00D113FC">
        <w:rPr>
          <w:rFonts w:eastAsia="Times New Roman"/>
        </w:rPr>
        <w:t xml:space="preserve">The overall objective of this consultancy is to prepare knowledge </w:t>
      </w:r>
      <w:r w:rsidR="001D1AE1" w:rsidRPr="00D113FC">
        <w:rPr>
          <w:rFonts w:eastAsia="Times New Roman"/>
        </w:rPr>
        <w:t xml:space="preserve">and dissemination </w:t>
      </w:r>
      <w:r w:rsidRPr="00D113FC">
        <w:rPr>
          <w:rFonts w:eastAsia="Times New Roman"/>
        </w:rPr>
        <w:t xml:space="preserve">events to inform relevant stakeholders on </w:t>
      </w:r>
      <w:proofErr w:type="gramStart"/>
      <w:r w:rsidRPr="00D113FC">
        <w:rPr>
          <w:rFonts w:eastAsia="Times New Roman"/>
        </w:rPr>
        <w:t>current status</w:t>
      </w:r>
      <w:proofErr w:type="gramEnd"/>
      <w:r w:rsidRPr="00D113FC">
        <w:rPr>
          <w:rFonts w:eastAsia="Times New Roman"/>
        </w:rPr>
        <w:t>, recommendations, and best practices regarding EE initiatives in Paraguay.</w:t>
      </w:r>
    </w:p>
    <w:p w14:paraId="44EAFD9C" w14:textId="77777777" w:rsidR="008A04E8" w:rsidRPr="00D113FC" w:rsidRDefault="008A04E8">
      <w:pPr>
        <w:rPr>
          <w:rFonts w:eastAsia="Times New Roman"/>
        </w:rPr>
      </w:pPr>
    </w:p>
    <w:p w14:paraId="3FAA6407" w14:textId="77777777" w:rsidR="008A04E8" w:rsidRPr="00D113FC" w:rsidRDefault="00E50BAF">
      <w:pPr>
        <w:rPr>
          <w:rFonts w:eastAsia="Times New Roman"/>
          <w:b/>
        </w:rPr>
      </w:pPr>
      <w:r w:rsidRPr="00D113FC">
        <w:rPr>
          <w:rFonts w:eastAsia="Times New Roman"/>
          <w:b/>
        </w:rPr>
        <w:t>DESCRIPTION OF TASKS</w:t>
      </w:r>
    </w:p>
    <w:p w14:paraId="4B94D5A5" w14:textId="77777777" w:rsidR="008A04E8" w:rsidRPr="00D113FC" w:rsidRDefault="008A04E8" w:rsidP="001D1AE1">
      <w:pPr>
        <w:jc w:val="both"/>
        <w:rPr>
          <w:rFonts w:eastAsia="Times New Roman"/>
          <w:b/>
        </w:rPr>
      </w:pPr>
    </w:p>
    <w:p w14:paraId="6991D91F" w14:textId="77777777" w:rsidR="008A04E8" w:rsidRPr="00D113FC" w:rsidRDefault="00E50BAF" w:rsidP="001D1AE1">
      <w:pPr>
        <w:numPr>
          <w:ilvl w:val="0"/>
          <w:numId w:val="3"/>
        </w:numPr>
        <w:contextualSpacing/>
        <w:jc w:val="both"/>
        <w:rPr>
          <w:rFonts w:eastAsia="Times New Roman"/>
        </w:rPr>
      </w:pPr>
      <w:r w:rsidRPr="00D113FC">
        <w:rPr>
          <w:rFonts w:eastAsia="Times New Roman"/>
        </w:rPr>
        <w:t>Prepare knowledge events and provide materials as needed in various contexts including breakout group session</w:t>
      </w:r>
      <w:r w:rsidR="001D1AE1" w:rsidRPr="00D113FC">
        <w:rPr>
          <w:rFonts w:eastAsia="Times New Roman"/>
        </w:rPr>
        <w:t>s</w:t>
      </w:r>
      <w:r w:rsidRPr="00D113FC">
        <w:rPr>
          <w:rFonts w:eastAsia="Times New Roman"/>
        </w:rPr>
        <w:t xml:space="preserve"> and ensure timely completion of activities and events.</w:t>
      </w:r>
    </w:p>
    <w:p w14:paraId="2AD23C12" w14:textId="77777777" w:rsidR="008A04E8" w:rsidRPr="00D113FC" w:rsidRDefault="00E50BAF" w:rsidP="001D1AE1">
      <w:pPr>
        <w:numPr>
          <w:ilvl w:val="0"/>
          <w:numId w:val="3"/>
        </w:numPr>
        <w:contextualSpacing/>
        <w:jc w:val="both"/>
        <w:rPr>
          <w:rFonts w:eastAsia="Times New Roman"/>
        </w:rPr>
      </w:pPr>
      <w:r w:rsidRPr="00D113FC">
        <w:rPr>
          <w:rFonts w:eastAsia="Times New Roman"/>
        </w:rPr>
        <w:t xml:space="preserve">Support and advise presenters on how to maximize active engagement of the group in discussion, raising issues, making recommendations and drawing conclusions. </w:t>
      </w:r>
    </w:p>
    <w:p w14:paraId="1E59484E" w14:textId="77777777" w:rsidR="008A04E8" w:rsidRPr="00D113FC" w:rsidRDefault="00E50BAF" w:rsidP="001D1AE1">
      <w:pPr>
        <w:numPr>
          <w:ilvl w:val="0"/>
          <w:numId w:val="3"/>
        </w:numPr>
        <w:contextualSpacing/>
        <w:jc w:val="both"/>
        <w:rPr>
          <w:rFonts w:eastAsia="Times New Roman"/>
        </w:rPr>
      </w:pPr>
      <w:r w:rsidRPr="00D113FC">
        <w:rPr>
          <w:rFonts w:eastAsia="Times New Roman"/>
        </w:rPr>
        <w:t xml:space="preserve">Support in the identification, organization and preparation of the workshop location and meeting rooms </w:t>
      </w:r>
    </w:p>
    <w:p w14:paraId="6D328B02" w14:textId="77777777" w:rsidR="008A04E8" w:rsidRPr="00D113FC" w:rsidRDefault="00E50BAF" w:rsidP="001D1AE1">
      <w:pPr>
        <w:numPr>
          <w:ilvl w:val="0"/>
          <w:numId w:val="3"/>
        </w:numPr>
        <w:contextualSpacing/>
        <w:jc w:val="both"/>
        <w:rPr>
          <w:rFonts w:eastAsia="Times New Roman"/>
        </w:rPr>
      </w:pPr>
      <w:r w:rsidRPr="00D113FC">
        <w:rPr>
          <w:rFonts w:eastAsia="Times New Roman"/>
        </w:rPr>
        <w:t xml:space="preserve">During events, continuously gauge and solicit feedback from participants formally and informally. </w:t>
      </w:r>
    </w:p>
    <w:p w14:paraId="1B0F68B4" w14:textId="77777777" w:rsidR="008A04E8" w:rsidRPr="00D113FC" w:rsidRDefault="00E50BAF" w:rsidP="001D1AE1">
      <w:pPr>
        <w:numPr>
          <w:ilvl w:val="0"/>
          <w:numId w:val="3"/>
        </w:numPr>
        <w:contextualSpacing/>
        <w:jc w:val="both"/>
        <w:rPr>
          <w:rFonts w:eastAsia="Times New Roman"/>
        </w:rPr>
      </w:pPr>
      <w:r w:rsidRPr="00D113FC">
        <w:rPr>
          <w:rFonts w:eastAsia="Times New Roman"/>
        </w:rPr>
        <w:t>Assist in detailed feedback and edits draft report followings the events</w:t>
      </w:r>
      <w:r w:rsidR="001D1AE1" w:rsidRPr="00D113FC">
        <w:rPr>
          <w:rFonts w:eastAsia="Times New Roman"/>
        </w:rPr>
        <w:t>.</w:t>
      </w:r>
    </w:p>
    <w:p w14:paraId="3879EDF1" w14:textId="77777777" w:rsidR="008A04E8" w:rsidRPr="00D113FC" w:rsidRDefault="00E50BAF" w:rsidP="001D1AE1">
      <w:pPr>
        <w:numPr>
          <w:ilvl w:val="0"/>
          <w:numId w:val="3"/>
        </w:numPr>
        <w:contextualSpacing/>
        <w:jc w:val="both"/>
        <w:rPr>
          <w:rFonts w:eastAsia="Times New Roman"/>
        </w:rPr>
      </w:pPr>
      <w:r w:rsidRPr="00D113FC">
        <w:rPr>
          <w:rFonts w:eastAsia="Times New Roman"/>
        </w:rPr>
        <w:t>Provide advice and perform other task as required to support the workshops.</w:t>
      </w:r>
    </w:p>
    <w:p w14:paraId="3DEEC669" w14:textId="77777777" w:rsidR="008A04E8" w:rsidRPr="00D113FC" w:rsidRDefault="008A04E8">
      <w:pPr>
        <w:rPr>
          <w:rFonts w:eastAsia="Times New Roman"/>
        </w:rPr>
      </w:pPr>
    </w:p>
    <w:p w14:paraId="0E764559" w14:textId="77777777" w:rsidR="008A04E8" w:rsidRPr="00D113FC" w:rsidRDefault="00E50BAF" w:rsidP="001D1AE1">
      <w:pPr>
        <w:numPr>
          <w:ilvl w:val="0"/>
          <w:numId w:val="1"/>
        </w:numPr>
        <w:contextualSpacing/>
        <w:jc w:val="both"/>
        <w:rPr>
          <w:rFonts w:eastAsia="Times New Roman"/>
        </w:rPr>
      </w:pPr>
      <w:r w:rsidRPr="00D113FC">
        <w:rPr>
          <w:rFonts w:eastAsia="Times New Roman"/>
        </w:rPr>
        <w:t>Event #1 for VMME presenting the studies financed by this TC (policy, regulatory, and institutional frameworks; data on current market structure and supply chain of biomass; report on current technology and recommendations for tech improvements; recommendations - policy + tech - and best practices efficient use of biomass)</w:t>
      </w:r>
    </w:p>
    <w:p w14:paraId="2EE74C00" w14:textId="77777777" w:rsidR="008A04E8" w:rsidRPr="00D113FC" w:rsidRDefault="00E50BAF" w:rsidP="001D1AE1">
      <w:pPr>
        <w:numPr>
          <w:ilvl w:val="0"/>
          <w:numId w:val="1"/>
        </w:numPr>
        <w:contextualSpacing/>
        <w:jc w:val="both"/>
        <w:rPr>
          <w:rFonts w:eastAsia="Times New Roman"/>
        </w:rPr>
      </w:pPr>
      <w:r w:rsidRPr="00D113FC">
        <w:rPr>
          <w:rFonts w:eastAsia="Times New Roman"/>
        </w:rPr>
        <w:t>Report following event #1, including a draft roadmap of potential EE investment opportunities and priority EE initiatives</w:t>
      </w:r>
    </w:p>
    <w:p w14:paraId="222899DE" w14:textId="77777777" w:rsidR="008A04E8" w:rsidRPr="00D113FC" w:rsidRDefault="00E50BAF" w:rsidP="001D1AE1">
      <w:pPr>
        <w:numPr>
          <w:ilvl w:val="0"/>
          <w:numId w:val="1"/>
        </w:numPr>
        <w:contextualSpacing/>
        <w:jc w:val="both"/>
        <w:rPr>
          <w:rFonts w:eastAsia="Times New Roman"/>
        </w:rPr>
      </w:pPr>
      <w:r w:rsidRPr="00D113FC">
        <w:rPr>
          <w:rFonts w:eastAsia="Times New Roman"/>
        </w:rPr>
        <w:t xml:space="preserve">General EE event (event #2) for VMME, universities, </w:t>
      </w:r>
      <w:r w:rsidR="00A75A0A" w:rsidRPr="00D113FC">
        <w:rPr>
          <w:rFonts w:eastAsia="Times New Roman"/>
        </w:rPr>
        <w:t xml:space="preserve">INFONA, </w:t>
      </w:r>
      <w:r w:rsidRPr="00D113FC">
        <w:rPr>
          <w:rFonts w:eastAsia="Times New Roman"/>
        </w:rPr>
        <w:t>utilities, AFD, and other relevant stakeholders presenting findings</w:t>
      </w:r>
      <w:r w:rsidR="001D1AE1" w:rsidRPr="00D113FC">
        <w:rPr>
          <w:rFonts w:eastAsia="Times New Roman"/>
        </w:rPr>
        <w:t>.</w:t>
      </w:r>
    </w:p>
    <w:p w14:paraId="1013E281" w14:textId="77777777" w:rsidR="008A04E8" w:rsidRPr="00D113FC" w:rsidRDefault="00E50BAF" w:rsidP="001D1AE1">
      <w:pPr>
        <w:numPr>
          <w:ilvl w:val="0"/>
          <w:numId w:val="1"/>
        </w:numPr>
        <w:contextualSpacing/>
        <w:jc w:val="both"/>
        <w:rPr>
          <w:rFonts w:eastAsia="Times New Roman"/>
        </w:rPr>
      </w:pPr>
      <w:r w:rsidRPr="00D113FC">
        <w:rPr>
          <w:rFonts w:eastAsia="Times New Roman"/>
        </w:rPr>
        <w:t>EE event (event #3) with several roundtables per industrial sector (e.g. sugar mills, steel manufacturer, etc.) to review best practices from a policy, regulatory, and tech perspective, including international best practices</w:t>
      </w:r>
    </w:p>
    <w:p w14:paraId="0C6FA0D8" w14:textId="77777777" w:rsidR="008A04E8" w:rsidRPr="00D113FC" w:rsidRDefault="00E50BAF" w:rsidP="001D1AE1">
      <w:pPr>
        <w:numPr>
          <w:ilvl w:val="0"/>
          <w:numId w:val="1"/>
        </w:numPr>
        <w:contextualSpacing/>
        <w:jc w:val="both"/>
        <w:rPr>
          <w:rFonts w:eastAsia="Times New Roman"/>
        </w:rPr>
      </w:pPr>
      <w:r w:rsidRPr="00D113FC">
        <w:rPr>
          <w:rFonts w:eastAsia="Times New Roman"/>
        </w:rPr>
        <w:t>Report following each of the roundtables during event #3 highlighting key discussion points</w:t>
      </w:r>
      <w:r w:rsidR="001D1AE1" w:rsidRPr="00D113FC">
        <w:rPr>
          <w:rFonts w:eastAsia="Times New Roman"/>
        </w:rPr>
        <w:t>.</w:t>
      </w:r>
    </w:p>
    <w:p w14:paraId="3FE1FEDD" w14:textId="77777777" w:rsidR="008A04E8" w:rsidRPr="00D113FC" w:rsidRDefault="00E50BAF">
      <w:pPr>
        <w:rPr>
          <w:rFonts w:eastAsia="Times New Roman"/>
        </w:rPr>
      </w:pPr>
      <w:r w:rsidRPr="00D113FC">
        <w:rPr>
          <w:rFonts w:eastAsia="Times New Roman"/>
        </w:rPr>
        <w:t>The consultant must carry out the activities described in close coordination with the IDB technical team.</w:t>
      </w:r>
    </w:p>
    <w:p w14:paraId="45FB0818" w14:textId="77777777" w:rsidR="008A04E8" w:rsidRPr="00D113FC" w:rsidRDefault="008A04E8">
      <w:pPr>
        <w:rPr>
          <w:rFonts w:eastAsia="Times New Roman"/>
        </w:rPr>
      </w:pPr>
    </w:p>
    <w:p w14:paraId="26827FB6" w14:textId="77777777" w:rsidR="008A04E8" w:rsidRPr="00D113FC" w:rsidRDefault="00E50BAF">
      <w:pPr>
        <w:rPr>
          <w:rFonts w:eastAsia="Times New Roman"/>
          <w:b/>
        </w:rPr>
      </w:pPr>
      <w:r w:rsidRPr="00D113FC">
        <w:rPr>
          <w:rFonts w:eastAsia="Times New Roman"/>
          <w:b/>
        </w:rPr>
        <w:t>DELIVERABLES</w:t>
      </w:r>
    </w:p>
    <w:p w14:paraId="049F31CB" w14:textId="77777777" w:rsidR="004A7C51" w:rsidRPr="00D113FC" w:rsidRDefault="004A7C51">
      <w:pPr>
        <w:rPr>
          <w:rFonts w:eastAsia="Times New Roman"/>
          <w:b/>
        </w:rPr>
      </w:pPr>
    </w:p>
    <w:p w14:paraId="65373775" w14:textId="77777777" w:rsidR="008A04E8" w:rsidRPr="00D113FC" w:rsidRDefault="00E50BAF">
      <w:pPr>
        <w:numPr>
          <w:ilvl w:val="0"/>
          <w:numId w:val="4"/>
        </w:numPr>
        <w:contextualSpacing/>
        <w:rPr>
          <w:rFonts w:eastAsia="Times New Roman"/>
          <w:b/>
        </w:rPr>
      </w:pPr>
      <w:r w:rsidRPr="00D113FC">
        <w:rPr>
          <w:rFonts w:eastAsia="Times New Roman"/>
        </w:rPr>
        <w:t>Execution of event #1</w:t>
      </w:r>
    </w:p>
    <w:p w14:paraId="58407B59" w14:textId="77777777" w:rsidR="008A04E8" w:rsidRPr="00D113FC" w:rsidRDefault="00E50BAF">
      <w:pPr>
        <w:numPr>
          <w:ilvl w:val="0"/>
          <w:numId w:val="4"/>
        </w:numPr>
        <w:contextualSpacing/>
        <w:rPr>
          <w:rFonts w:eastAsia="Times New Roman"/>
        </w:rPr>
      </w:pPr>
      <w:r w:rsidRPr="00D113FC">
        <w:rPr>
          <w:rFonts w:eastAsia="Times New Roman"/>
        </w:rPr>
        <w:t>Draft and final report including draft roadmap of EE investment opportunities and priority EE initiatives identified by VMME after event #1</w:t>
      </w:r>
    </w:p>
    <w:p w14:paraId="47AF4EE8" w14:textId="77777777" w:rsidR="008A04E8" w:rsidRPr="00D113FC" w:rsidRDefault="001D1AE1">
      <w:pPr>
        <w:numPr>
          <w:ilvl w:val="0"/>
          <w:numId w:val="4"/>
        </w:numPr>
        <w:contextualSpacing/>
        <w:rPr>
          <w:rFonts w:eastAsia="Times New Roman"/>
        </w:rPr>
      </w:pPr>
      <w:r w:rsidRPr="00D113FC">
        <w:rPr>
          <w:rFonts w:eastAsia="Times New Roman"/>
        </w:rPr>
        <w:t>Execution of event #2</w:t>
      </w:r>
    </w:p>
    <w:p w14:paraId="31CFDD84" w14:textId="77777777" w:rsidR="008A04E8" w:rsidRPr="00D113FC" w:rsidRDefault="00E50BAF">
      <w:pPr>
        <w:numPr>
          <w:ilvl w:val="0"/>
          <w:numId w:val="4"/>
        </w:numPr>
        <w:contextualSpacing/>
        <w:rPr>
          <w:rFonts w:eastAsia="Times New Roman"/>
        </w:rPr>
      </w:pPr>
      <w:r w:rsidRPr="00D113FC">
        <w:rPr>
          <w:rFonts w:eastAsia="Times New Roman"/>
        </w:rPr>
        <w:t>Execution of event #3</w:t>
      </w:r>
    </w:p>
    <w:p w14:paraId="4EC15B73" w14:textId="77777777" w:rsidR="008A04E8" w:rsidRPr="00D113FC" w:rsidRDefault="00E50BAF">
      <w:pPr>
        <w:numPr>
          <w:ilvl w:val="0"/>
          <w:numId w:val="4"/>
        </w:numPr>
        <w:contextualSpacing/>
        <w:rPr>
          <w:rFonts w:eastAsia="Times New Roman"/>
        </w:rPr>
      </w:pPr>
      <w:r w:rsidRPr="00D113FC">
        <w:rPr>
          <w:rFonts w:eastAsia="Times New Roman"/>
        </w:rPr>
        <w:t>Draft and final report highlighting key discussion points by each sector-specific roundtable</w:t>
      </w:r>
      <w:r w:rsidR="001D1AE1" w:rsidRPr="00D113FC">
        <w:rPr>
          <w:rFonts w:eastAsia="Times New Roman"/>
        </w:rPr>
        <w:t>.</w:t>
      </w:r>
    </w:p>
    <w:p w14:paraId="53128261" w14:textId="77777777" w:rsidR="008A04E8" w:rsidRPr="00D113FC" w:rsidRDefault="008A04E8">
      <w:pPr>
        <w:rPr>
          <w:rFonts w:eastAsia="Times New Roman"/>
          <w:b/>
        </w:rPr>
      </w:pPr>
    </w:p>
    <w:p w14:paraId="45BE6B23" w14:textId="77777777" w:rsidR="008A04E8" w:rsidRPr="00D113FC" w:rsidRDefault="00E50BAF">
      <w:pPr>
        <w:rPr>
          <w:rFonts w:eastAsia="Times New Roman"/>
          <w:b/>
        </w:rPr>
      </w:pPr>
      <w:r w:rsidRPr="00D113FC">
        <w:rPr>
          <w:rFonts w:eastAsia="Times New Roman"/>
          <w:b/>
        </w:rPr>
        <w:t>PAYMENT SCHEDULE</w:t>
      </w:r>
    </w:p>
    <w:p w14:paraId="62486C05" w14:textId="77777777" w:rsidR="004A7C51" w:rsidRPr="00D113FC" w:rsidRDefault="004A7C51">
      <w:pPr>
        <w:rPr>
          <w:rFonts w:eastAsia="Times New Roman"/>
          <w:b/>
        </w:rPr>
      </w:pPr>
    </w:p>
    <w:p w14:paraId="73749D1D" w14:textId="77777777" w:rsidR="008A04E8" w:rsidRPr="00D113FC" w:rsidRDefault="00E50BAF" w:rsidP="001D1AE1">
      <w:pPr>
        <w:jc w:val="both"/>
        <w:rPr>
          <w:rFonts w:eastAsia="Times New Roman"/>
        </w:rPr>
      </w:pPr>
      <w:r w:rsidRPr="00D113FC">
        <w:rPr>
          <w:rFonts w:eastAsia="Times New Roman"/>
        </w:rPr>
        <w:t>The total payment for this consultancy is a lump sum, including all taxes, withholdings and other expenses that may correspond, and will be agreed following the rules of the IDB.</w:t>
      </w:r>
    </w:p>
    <w:p w14:paraId="4101652C" w14:textId="77777777" w:rsidR="008A04E8" w:rsidRPr="00D113FC" w:rsidRDefault="008A04E8" w:rsidP="001D1AE1">
      <w:pPr>
        <w:jc w:val="both"/>
        <w:rPr>
          <w:rFonts w:eastAsia="Times New Roman"/>
        </w:rPr>
      </w:pPr>
    </w:p>
    <w:p w14:paraId="172D4BB8" w14:textId="77777777" w:rsidR="008A04E8" w:rsidRPr="00D113FC" w:rsidRDefault="00E50BAF" w:rsidP="001D1AE1">
      <w:pPr>
        <w:jc w:val="both"/>
        <w:rPr>
          <w:rFonts w:eastAsia="Times New Roman"/>
        </w:rPr>
      </w:pPr>
      <w:r w:rsidRPr="00D113FC">
        <w:rPr>
          <w:rFonts w:eastAsia="Times New Roman"/>
        </w:rPr>
        <w:t>The planned payment schedule is based on the submission and approval of the following products:</w:t>
      </w:r>
    </w:p>
    <w:p w14:paraId="00BF397F" w14:textId="77777777" w:rsidR="008A04E8" w:rsidRPr="00D113FC" w:rsidRDefault="00E50BAF" w:rsidP="001D1AE1">
      <w:pPr>
        <w:numPr>
          <w:ilvl w:val="0"/>
          <w:numId w:val="2"/>
        </w:numPr>
        <w:contextualSpacing/>
        <w:jc w:val="both"/>
        <w:rPr>
          <w:rFonts w:eastAsia="Times New Roman"/>
        </w:rPr>
      </w:pPr>
      <w:r w:rsidRPr="00D113FC">
        <w:rPr>
          <w:rFonts w:eastAsia="Times New Roman"/>
        </w:rPr>
        <w:t>20% upon signing the contract and the work plan.</w:t>
      </w:r>
    </w:p>
    <w:p w14:paraId="23943E6C" w14:textId="77777777" w:rsidR="008A04E8" w:rsidRPr="00D113FC" w:rsidRDefault="00E50BAF" w:rsidP="001D1AE1">
      <w:pPr>
        <w:numPr>
          <w:ilvl w:val="0"/>
          <w:numId w:val="2"/>
        </w:numPr>
        <w:contextualSpacing/>
        <w:jc w:val="both"/>
        <w:rPr>
          <w:rFonts w:eastAsia="Times New Roman"/>
        </w:rPr>
      </w:pPr>
      <w:r w:rsidRPr="00D113FC">
        <w:rPr>
          <w:rFonts w:eastAsia="Times New Roman"/>
        </w:rPr>
        <w:t>30% after completion of event #1 and submitting final report related to event #1</w:t>
      </w:r>
      <w:r w:rsidR="004A7C51" w:rsidRPr="00D113FC">
        <w:rPr>
          <w:rFonts w:eastAsia="Times New Roman"/>
        </w:rPr>
        <w:t>.</w:t>
      </w:r>
    </w:p>
    <w:p w14:paraId="33E2A10D" w14:textId="77777777" w:rsidR="008A04E8" w:rsidRPr="00D113FC" w:rsidRDefault="00E50BAF" w:rsidP="001D1AE1">
      <w:pPr>
        <w:numPr>
          <w:ilvl w:val="0"/>
          <w:numId w:val="2"/>
        </w:numPr>
        <w:contextualSpacing/>
        <w:jc w:val="both"/>
        <w:rPr>
          <w:rFonts w:eastAsia="Times New Roman"/>
        </w:rPr>
      </w:pPr>
      <w:r w:rsidRPr="00D113FC">
        <w:rPr>
          <w:rFonts w:eastAsia="Times New Roman"/>
        </w:rPr>
        <w:t>20% after completion of event #2</w:t>
      </w:r>
      <w:r w:rsidR="004A7C51" w:rsidRPr="00D113FC">
        <w:rPr>
          <w:rFonts w:eastAsia="Times New Roman"/>
        </w:rPr>
        <w:t>.</w:t>
      </w:r>
    </w:p>
    <w:p w14:paraId="5C967782" w14:textId="77777777" w:rsidR="008A04E8" w:rsidRPr="00D113FC" w:rsidRDefault="00E50BAF" w:rsidP="001D1AE1">
      <w:pPr>
        <w:numPr>
          <w:ilvl w:val="0"/>
          <w:numId w:val="2"/>
        </w:numPr>
        <w:contextualSpacing/>
        <w:jc w:val="both"/>
        <w:rPr>
          <w:rFonts w:eastAsia="Times New Roman"/>
        </w:rPr>
      </w:pPr>
      <w:r w:rsidRPr="00D113FC">
        <w:rPr>
          <w:rFonts w:eastAsia="Times New Roman"/>
        </w:rPr>
        <w:t>30% after completion of event #3 and submitting final report related to event #3</w:t>
      </w:r>
      <w:r w:rsidR="004A7C51" w:rsidRPr="00D113FC">
        <w:rPr>
          <w:rFonts w:eastAsia="Times New Roman"/>
        </w:rPr>
        <w:t>.</w:t>
      </w:r>
    </w:p>
    <w:p w14:paraId="4B99056E" w14:textId="77777777" w:rsidR="008A04E8" w:rsidRPr="00D113FC" w:rsidRDefault="008A04E8" w:rsidP="001D1AE1">
      <w:pPr>
        <w:jc w:val="both"/>
        <w:rPr>
          <w:rFonts w:eastAsia="Times New Roman"/>
        </w:rPr>
      </w:pPr>
    </w:p>
    <w:p w14:paraId="2716B4C4" w14:textId="77777777" w:rsidR="004A7C51" w:rsidRPr="00D113FC" w:rsidRDefault="00E50BAF" w:rsidP="001D1AE1">
      <w:pPr>
        <w:jc w:val="both"/>
        <w:rPr>
          <w:rFonts w:eastAsia="Times New Roman"/>
          <w:b/>
        </w:rPr>
      </w:pPr>
      <w:r w:rsidRPr="00D113FC">
        <w:rPr>
          <w:rFonts w:eastAsia="Times New Roman"/>
          <w:b/>
        </w:rPr>
        <w:t>QUALIFICATIONS</w:t>
      </w:r>
    </w:p>
    <w:p w14:paraId="1299C43A" w14:textId="77777777" w:rsidR="008A04E8" w:rsidRPr="00D113FC" w:rsidRDefault="008A04E8" w:rsidP="001D1AE1">
      <w:pPr>
        <w:jc w:val="both"/>
        <w:rPr>
          <w:rFonts w:eastAsia="Times New Roman"/>
          <w:b/>
        </w:rPr>
      </w:pPr>
    </w:p>
    <w:p w14:paraId="5473D809" w14:textId="77777777" w:rsidR="008A04E8" w:rsidRPr="00D113FC" w:rsidRDefault="00E50BAF" w:rsidP="001D1AE1">
      <w:pPr>
        <w:numPr>
          <w:ilvl w:val="0"/>
          <w:numId w:val="5"/>
        </w:numPr>
        <w:contextualSpacing/>
        <w:jc w:val="both"/>
        <w:rPr>
          <w:rFonts w:eastAsia="Times New Roman"/>
        </w:rPr>
      </w:pPr>
      <w:r w:rsidRPr="00D113FC">
        <w:rPr>
          <w:rFonts w:eastAsia="Times New Roman"/>
          <w:b/>
          <w:u w:val="single"/>
        </w:rPr>
        <w:t>Degree/Academic Level</w:t>
      </w:r>
      <w:r w:rsidRPr="00D113FC">
        <w:rPr>
          <w:rFonts w:eastAsia="Times New Roman"/>
          <w:b/>
        </w:rPr>
        <w:t>:</w:t>
      </w:r>
      <w:r w:rsidRPr="00D113FC">
        <w:rPr>
          <w:rFonts w:eastAsia="Times New Roman"/>
        </w:rPr>
        <w:t xml:space="preserve"> degree in Economics, Social Science, Business, Law or any other areas</w:t>
      </w:r>
    </w:p>
    <w:p w14:paraId="19A84BA2" w14:textId="77777777" w:rsidR="008A04E8" w:rsidRPr="00D113FC" w:rsidRDefault="00E50BAF" w:rsidP="001D1AE1">
      <w:pPr>
        <w:numPr>
          <w:ilvl w:val="0"/>
          <w:numId w:val="5"/>
        </w:numPr>
        <w:contextualSpacing/>
        <w:jc w:val="both"/>
        <w:rPr>
          <w:rFonts w:eastAsia="Times New Roman"/>
        </w:rPr>
      </w:pPr>
      <w:r w:rsidRPr="00D113FC">
        <w:rPr>
          <w:rFonts w:eastAsia="Times New Roman"/>
          <w:b/>
          <w:u w:val="single"/>
        </w:rPr>
        <w:t>Years of Professional Experience</w:t>
      </w:r>
      <w:r w:rsidRPr="00D113FC">
        <w:rPr>
          <w:rFonts w:eastAsia="Times New Roman"/>
          <w:b/>
        </w:rPr>
        <w:t>:</w:t>
      </w:r>
      <w:r w:rsidRPr="00D113FC">
        <w:rPr>
          <w:rFonts w:eastAsia="Times New Roman"/>
        </w:rPr>
        <w:t xml:space="preserve"> At least 5 years relevant experience </w:t>
      </w:r>
    </w:p>
    <w:p w14:paraId="6CB73921" w14:textId="77777777" w:rsidR="008A04E8" w:rsidRPr="00D113FC" w:rsidRDefault="00E50BAF" w:rsidP="001D1AE1">
      <w:pPr>
        <w:numPr>
          <w:ilvl w:val="0"/>
          <w:numId w:val="5"/>
        </w:numPr>
        <w:contextualSpacing/>
        <w:jc w:val="both"/>
        <w:rPr>
          <w:rFonts w:eastAsia="Times New Roman"/>
        </w:rPr>
      </w:pPr>
      <w:r w:rsidRPr="00D113FC">
        <w:rPr>
          <w:rFonts w:eastAsia="Times New Roman"/>
          <w:b/>
          <w:u w:val="single"/>
        </w:rPr>
        <w:t>Languages</w:t>
      </w:r>
      <w:r w:rsidRPr="00D113FC">
        <w:rPr>
          <w:rFonts w:eastAsia="Times New Roman"/>
          <w:b/>
        </w:rPr>
        <w:t>:</w:t>
      </w:r>
      <w:r w:rsidRPr="00D113FC">
        <w:rPr>
          <w:rFonts w:eastAsia="Times New Roman"/>
        </w:rPr>
        <w:t xml:space="preserve"> must be confident, persuasive, and able to communicat</w:t>
      </w:r>
      <w:r w:rsidR="001D1AE1" w:rsidRPr="00D113FC">
        <w:rPr>
          <w:rFonts w:eastAsia="Times New Roman"/>
        </w:rPr>
        <w:t xml:space="preserve">e very well in Spanish (native). </w:t>
      </w:r>
      <w:r w:rsidRPr="00D113FC">
        <w:rPr>
          <w:rFonts w:eastAsia="Times New Roman"/>
        </w:rPr>
        <w:t>English (working proficiency)</w:t>
      </w:r>
      <w:r w:rsidR="001D1AE1" w:rsidRPr="00D113FC">
        <w:rPr>
          <w:rFonts w:eastAsia="Times New Roman"/>
        </w:rPr>
        <w:t xml:space="preserve"> desirable</w:t>
      </w:r>
      <w:r w:rsidRPr="00D113FC">
        <w:rPr>
          <w:rFonts w:eastAsia="Times New Roman"/>
        </w:rPr>
        <w:t>.</w:t>
      </w:r>
    </w:p>
    <w:p w14:paraId="60CF6059" w14:textId="77777777" w:rsidR="008A04E8" w:rsidRPr="00D113FC" w:rsidRDefault="00E50BAF" w:rsidP="001D1AE1">
      <w:pPr>
        <w:numPr>
          <w:ilvl w:val="0"/>
          <w:numId w:val="5"/>
        </w:numPr>
        <w:contextualSpacing/>
        <w:jc w:val="both"/>
        <w:rPr>
          <w:rFonts w:eastAsia="Times New Roman"/>
        </w:rPr>
      </w:pPr>
      <w:r w:rsidRPr="00D113FC">
        <w:rPr>
          <w:rFonts w:eastAsia="Times New Roman"/>
          <w:b/>
          <w:u w:val="single"/>
        </w:rPr>
        <w:t>Skills</w:t>
      </w:r>
      <w:r w:rsidRPr="00D113FC">
        <w:rPr>
          <w:rFonts w:eastAsia="Times New Roman"/>
          <w:b/>
        </w:rPr>
        <w:t>:</w:t>
      </w:r>
      <w:r w:rsidRPr="00D113FC">
        <w:rPr>
          <w:rFonts w:eastAsia="Times New Roman"/>
        </w:rPr>
        <w:t xml:space="preserve"> Highly motivated and experienced in coordinating and planning events for government entities; strong administration, organizational and time management skills; Excellent team work and participatory process skills.</w:t>
      </w:r>
    </w:p>
    <w:p w14:paraId="1D74D52F" w14:textId="77777777" w:rsidR="004A7C51" w:rsidRPr="00D113FC" w:rsidRDefault="004A7C51" w:rsidP="001D1AE1">
      <w:pPr>
        <w:numPr>
          <w:ilvl w:val="0"/>
          <w:numId w:val="5"/>
        </w:numPr>
        <w:contextualSpacing/>
        <w:jc w:val="both"/>
        <w:rPr>
          <w:rFonts w:eastAsia="Times New Roman"/>
        </w:rPr>
      </w:pPr>
      <w:r w:rsidRPr="00D113FC">
        <w:rPr>
          <w:rFonts w:eastAsia="Times New Roman"/>
          <w:b/>
          <w:u w:val="single"/>
        </w:rPr>
        <w:t>Supervision.</w:t>
      </w:r>
      <w:r w:rsidRPr="00D113FC">
        <w:rPr>
          <w:rFonts w:eastAsia="Times New Roman"/>
        </w:rPr>
        <w:t xml:space="preserve"> The supervision will </w:t>
      </w:r>
      <w:proofErr w:type="gramStart"/>
      <w:r w:rsidRPr="00D113FC">
        <w:rPr>
          <w:rFonts w:eastAsia="Times New Roman"/>
        </w:rPr>
        <w:t>be in charge of</w:t>
      </w:r>
      <w:proofErr w:type="gramEnd"/>
      <w:r w:rsidRPr="00D113FC">
        <w:rPr>
          <w:rFonts w:eastAsia="Times New Roman"/>
        </w:rPr>
        <w:t xml:space="preserve"> Mr. Roberto Aiello (</w:t>
      </w:r>
      <w:hyperlink r:id="rId12" w:history="1">
        <w:r w:rsidRPr="00D113FC">
          <w:rPr>
            <w:rStyle w:val="Hyperlink"/>
            <w:rFonts w:eastAsia="Times New Roman"/>
          </w:rPr>
          <w:t>raiello@iadb.org</w:t>
        </w:r>
      </w:hyperlink>
      <w:r w:rsidRPr="00D113FC">
        <w:rPr>
          <w:rFonts w:eastAsia="Times New Roman"/>
        </w:rPr>
        <w:t xml:space="preserve">), Regional Energy Specialist (INE/CPR) based in the IDB Country Office in Asunción, Paraguay. </w:t>
      </w:r>
    </w:p>
    <w:p w14:paraId="4DDBEF00" w14:textId="77777777" w:rsidR="008A04E8" w:rsidRPr="00D113FC" w:rsidRDefault="008A04E8" w:rsidP="001D1AE1">
      <w:pPr>
        <w:jc w:val="both"/>
        <w:rPr>
          <w:rFonts w:eastAsia="Times New Roman"/>
          <w:b/>
        </w:rPr>
      </w:pPr>
    </w:p>
    <w:p w14:paraId="11422C81" w14:textId="77777777" w:rsidR="008A04E8" w:rsidRPr="00D113FC" w:rsidRDefault="00E50BAF" w:rsidP="001D1AE1">
      <w:pPr>
        <w:spacing w:line="240" w:lineRule="auto"/>
        <w:jc w:val="both"/>
        <w:rPr>
          <w:rFonts w:eastAsia="Times New Roman"/>
        </w:rPr>
      </w:pPr>
      <w:r w:rsidRPr="00D113FC">
        <w:rPr>
          <w:rFonts w:eastAsia="Times New Roman"/>
          <w:b/>
        </w:rPr>
        <w:t>Payment and Conditions:</w:t>
      </w:r>
      <w:r w:rsidRPr="00D113FC">
        <w:rPr>
          <w:rFonts w:eastAsia="Times New Roman"/>
        </w:rPr>
        <w:t xml:space="preserve"> Compensation will be determined in accordance with Bank’s policies and procedures. The Bank, pursuant to applicable policies, may contribute toward travel and moving expenses. In addition, candidates must be citizens of an IDB member country.</w:t>
      </w:r>
    </w:p>
    <w:p w14:paraId="3461D779" w14:textId="77777777" w:rsidR="008A04E8" w:rsidRPr="00D113FC" w:rsidRDefault="008A04E8" w:rsidP="001D1AE1">
      <w:pPr>
        <w:spacing w:line="240" w:lineRule="auto"/>
        <w:jc w:val="both"/>
        <w:rPr>
          <w:rFonts w:eastAsia="Times New Roman"/>
        </w:rPr>
      </w:pPr>
    </w:p>
    <w:p w14:paraId="1B14D335" w14:textId="77777777" w:rsidR="008A04E8" w:rsidRPr="00D113FC" w:rsidRDefault="00E50BAF" w:rsidP="001D1AE1">
      <w:pPr>
        <w:spacing w:line="240" w:lineRule="auto"/>
        <w:jc w:val="both"/>
        <w:rPr>
          <w:rFonts w:eastAsia="Times New Roman"/>
        </w:rPr>
      </w:pPr>
      <w:r w:rsidRPr="00D113FC">
        <w:rPr>
          <w:rFonts w:eastAsia="Times New Roman"/>
          <w:b/>
        </w:rPr>
        <w:t>Visa and Work Permit:</w:t>
      </w:r>
      <w:r w:rsidRPr="00D113FC">
        <w:rPr>
          <w:rFonts w:eastAsia="Times New Roman"/>
        </w:rPr>
        <w:t xml:space="preserve"> The Bank, pursuant to applicable policies, may submit a visa request to the applicable immigration authorities; however, the granting of the visa is at the discretion of the immigration authorities. Notwithstanding, it is the responsibility of the candidate to obtain the necessary visa or work permits required by the authorities of the country(</w:t>
      </w:r>
      <w:proofErr w:type="spellStart"/>
      <w:r w:rsidRPr="00D113FC">
        <w:rPr>
          <w:rFonts w:eastAsia="Times New Roman"/>
        </w:rPr>
        <w:t>ies</w:t>
      </w:r>
      <w:proofErr w:type="spellEnd"/>
      <w:r w:rsidRPr="00D113FC">
        <w:rPr>
          <w:rFonts w:eastAsia="Times New Roman"/>
        </w:rPr>
        <w:t xml:space="preserve">) in which the </w:t>
      </w:r>
      <w:r w:rsidRPr="00D113FC">
        <w:rPr>
          <w:rFonts w:eastAsia="Times New Roman"/>
        </w:rPr>
        <w:lastRenderedPageBreak/>
        <w:t>services will be rendered to the Bank. If a candidate cannot obtain a visa or work permit to render services to the Bank the contractual offer will be rescinded</w:t>
      </w:r>
    </w:p>
    <w:p w14:paraId="615834A1" w14:textId="77777777" w:rsidR="008A04E8" w:rsidRPr="00D113FC" w:rsidRDefault="00E50BAF" w:rsidP="001D1AE1">
      <w:pPr>
        <w:spacing w:line="240" w:lineRule="auto"/>
        <w:jc w:val="both"/>
        <w:rPr>
          <w:rFonts w:eastAsia="Times New Roman"/>
        </w:rPr>
      </w:pPr>
      <w:r w:rsidRPr="00D113FC">
        <w:rPr>
          <w:rFonts w:eastAsia="Times New Roman"/>
        </w:rPr>
        <w:br/>
      </w:r>
      <w:r w:rsidRPr="00D113FC">
        <w:rPr>
          <w:rFonts w:eastAsia="Times New Roman"/>
          <w:b/>
        </w:rPr>
        <w:t>Consanguinity:</w:t>
      </w:r>
      <w:r w:rsidRPr="00D113FC">
        <w:rPr>
          <w:rFonts w:eastAsia="Times New Roman"/>
        </w:rPr>
        <w:t xml:space="preserve"> Pursuant to applicable Bank policy, candidates with relatives (including the fourth degree of consanguinity and the second degree of affinity, including spouse) working for the Bank as staff members or Complementary Workforce contractual, will not be eligible to provide services for the Bank. </w:t>
      </w:r>
    </w:p>
    <w:p w14:paraId="3CF2D8B6" w14:textId="77777777" w:rsidR="008A04E8" w:rsidRPr="00D113FC" w:rsidRDefault="008A04E8" w:rsidP="001D1AE1">
      <w:pPr>
        <w:spacing w:line="240" w:lineRule="auto"/>
        <w:jc w:val="both"/>
        <w:rPr>
          <w:rFonts w:eastAsia="Times New Roman"/>
        </w:rPr>
      </w:pPr>
    </w:p>
    <w:p w14:paraId="14C8BAC8" w14:textId="77777777" w:rsidR="008A04E8" w:rsidRPr="00D113FC" w:rsidRDefault="00E50BAF" w:rsidP="001D1AE1">
      <w:pPr>
        <w:spacing w:line="240" w:lineRule="auto"/>
        <w:jc w:val="both"/>
        <w:rPr>
          <w:rFonts w:eastAsia="Times New Roman"/>
        </w:rPr>
      </w:pPr>
      <w:r w:rsidRPr="00D113FC">
        <w:rPr>
          <w:rFonts w:eastAsia="Times New Roman"/>
          <w:b/>
        </w:rPr>
        <w:t>Diversity:</w:t>
      </w:r>
      <w:r w:rsidRPr="00D113FC">
        <w:rPr>
          <w:rFonts w:eastAsia="Times New Roman"/>
        </w:rPr>
        <w:t xml:space="preserve"> The Bank is committed to diversity and inclusion and to providing equal opportunities to all candidates. We embrace diversity </w:t>
      </w:r>
      <w:proofErr w:type="gramStart"/>
      <w:r w:rsidRPr="00D113FC">
        <w:rPr>
          <w:rFonts w:eastAsia="Times New Roman"/>
        </w:rPr>
        <w:t>on the basis of</w:t>
      </w:r>
      <w:proofErr w:type="gramEnd"/>
      <w:r w:rsidRPr="00D113FC">
        <w:rPr>
          <w:rFonts w:eastAsia="Times New Roman"/>
        </w:rPr>
        <w:t xml:space="preserve"> gender, age, education, national origin, ethnic origin, race, disability, sexual orientation, religion, and HIV/AIDs status. We encourage women, Afro-descendants and persons of indigenous origins to apply.</w:t>
      </w:r>
    </w:p>
    <w:p w14:paraId="0FB78278" w14:textId="77777777" w:rsidR="008A04E8" w:rsidRPr="00D113FC" w:rsidRDefault="008A04E8">
      <w:pPr>
        <w:rPr>
          <w:rFonts w:eastAsia="Times New Roman"/>
        </w:rPr>
      </w:pPr>
    </w:p>
    <w:p w14:paraId="1FC39945" w14:textId="77777777" w:rsidR="008A04E8" w:rsidRPr="00D113FC" w:rsidRDefault="008A04E8">
      <w:pPr>
        <w:rPr>
          <w:rFonts w:eastAsia="Times New Roman"/>
        </w:rPr>
      </w:pPr>
    </w:p>
    <w:sectPr w:rsidR="008A04E8" w:rsidRPr="00D113FC" w:rsidSect="00FE65BA">
      <w:headerReference w:type="even" r:id="rId13"/>
      <w:headerReference w:type="default" r:id="rId14"/>
      <w:footerReference w:type="even" r:id="rId15"/>
      <w:footerReference w:type="default" r:id="rId16"/>
      <w:headerReference w:type="first" r:id="rId17"/>
      <w:footerReference w:type="first" r:id="rId18"/>
      <w:pgSz w:w="12240" w:h="15840"/>
      <w:pgMar w:top="1170" w:right="1440" w:bottom="1440" w:left="1440" w:header="36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DDD5E" w14:textId="77777777" w:rsidR="005F649F" w:rsidRDefault="005F649F" w:rsidP="00CF767D">
      <w:pPr>
        <w:spacing w:line="240" w:lineRule="auto"/>
      </w:pPr>
      <w:r>
        <w:separator/>
      </w:r>
    </w:p>
  </w:endnote>
  <w:endnote w:type="continuationSeparator" w:id="0">
    <w:p w14:paraId="1A268CDC" w14:textId="77777777" w:rsidR="005F649F" w:rsidRDefault="005F649F" w:rsidP="00CF76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C6B71" w14:textId="77777777" w:rsidR="009C70C9" w:rsidRDefault="009C7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309E7" w14:textId="77777777" w:rsidR="009C70C9" w:rsidRDefault="009C70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0DB6" w14:textId="77777777" w:rsidR="009C70C9" w:rsidRDefault="009C70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0F128" w14:textId="77777777" w:rsidR="005F649F" w:rsidRDefault="005F649F" w:rsidP="00CF767D">
      <w:pPr>
        <w:spacing w:line="240" w:lineRule="auto"/>
      </w:pPr>
      <w:r>
        <w:separator/>
      </w:r>
    </w:p>
  </w:footnote>
  <w:footnote w:type="continuationSeparator" w:id="0">
    <w:p w14:paraId="594308B2" w14:textId="77777777" w:rsidR="005F649F" w:rsidRDefault="005F649F" w:rsidP="00CF767D">
      <w:pPr>
        <w:spacing w:line="240" w:lineRule="auto"/>
      </w:pPr>
      <w:r>
        <w:continuationSeparator/>
      </w:r>
    </w:p>
  </w:footnote>
  <w:footnote w:id="1">
    <w:p w14:paraId="440A45D2" w14:textId="77777777" w:rsidR="00CF767D" w:rsidRPr="008362F8" w:rsidRDefault="00CF767D" w:rsidP="008362F8">
      <w:pPr>
        <w:pStyle w:val="FootnoteText"/>
        <w:jc w:val="both"/>
        <w:rPr>
          <w:rFonts w:ascii="Times New Roman" w:hAnsi="Times New Roman" w:cs="Times New Roman"/>
          <w:lang w:val="es-ES_tradnl"/>
        </w:rPr>
      </w:pPr>
      <w:r w:rsidRPr="008362F8">
        <w:rPr>
          <w:rStyle w:val="FootnoteReference"/>
          <w:rFonts w:ascii="Times New Roman" w:hAnsi="Times New Roman" w:cs="Times New Roman"/>
          <w:sz w:val="18"/>
        </w:rPr>
        <w:footnoteRef/>
      </w:r>
      <w:r w:rsidRPr="008362F8">
        <w:rPr>
          <w:rFonts w:ascii="Times New Roman" w:hAnsi="Times New Roman" w:cs="Times New Roman"/>
          <w:sz w:val="18"/>
          <w:lang w:val="es-ES_tradnl"/>
        </w:rPr>
        <w:t xml:space="preserve"> Carlino et al 2017 </w:t>
      </w:r>
      <w:proofErr w:type="spellStart"/>
      <w:r w:rsidRPr="008362F8">
        <w:rPr>
          <w:rFonts w:ascii="Times New Roman" w:hAnsi="Times New Roman" w:cs="Times New Roman"/>
          <w:sz w:val="18"/>
          <w:lang w:val="es-ES_tradnl"/>
        </w:rPr>
        <w:t>Guide</w:t>
      </w:r>
      <w:proofErr w:type="spellEnd"/>
      <w:r w:rsidRPr="008362F8">
        <w:rPr>
          <w:rFonts w:ascii="Times New Roman" w:hAnsi="Times New Roman" w:cs="Times New Roman"/>
          <w:sz w:val="18"/>
          <w:lang w:val="es-ES_tradnl"/>
        </w:rPr>
        <w:t xml:space="preserve"> for </w:t>
      </w:r>
      <w:proofErr w:type="spellStart"/>
      <w:r w:rsidRPr="008362F8">
        <w:rPr>
          <w:rFonts w:ascii="Times New Roman" w:hAnsi="Times New Roman" w:cs="Times New Roman"/>
          <w:sz w:val="18"/>
          <w:lang w:val="es-ES_tradnl"/>
        </w:rPr>
        <w:t>structuring</w:t>
      </w:r>
      <w:proofErr w:type="spellEnd"/>
      <w:r w:rsidRPr="008362F8">
        <w:rPr>
          <w:rFonts w:ascii="Times New Roman" w:hAnsi="Times New Roman" w:cs="Times New Roman"/>
          <w:sz w:val="18"/>
          <w:lang w:val="es-ES_tradnl"/>
        </w:rPr>
        <w:t xml:space="preserve"> </w:t>
      </w:r>
      <w:proofErr w:type="spellStart"/>
      <w:r w:rsidRPr="008362F8">
        <w:rPr>
          <w:rFonts w:ascii="Times New Roman" w:hAnsi="Times New Roman" w:cs="Times New Roman"/>
          <w:sz w:val="18"/>
          <w:lang w:val="es-ES_tradnl"/>
        </w:rPr>
        <w:t>financial</w:t>
      </w:r>
      <w:proofErr w:type="spellEnd"/>
      <w:r w:rsidRPr="008362F8">
        <w:rPr>
          <w:rFonts w:ascii="Times New Roman" w:hAnsi="Times New Roman" w:cs="Times New Roman"/>
          <w:sz w:val="18"/>
          <w:lang w:val="es-ES_tradnl"/>
        </w:rPr>
        <w:t xml:space="preserve"> </w:t>
      </w:r>
      <w:proofErr w:type="spellStart"/>
      <w:r w:rsidRPr="008362F8">
        <w:rPr>
          <w:rFonts w:ascii="Times New Roman" w:hAnsi="Times New Roman" w:cs="Times New Roman"/>
          <w:sz w:val="18"/>
          <w:lang w:val="es-ES_tradnl"/>
        </w:rPr>
        <w:t>instruments</w:t>
      </w:r>
      <w:proofErr w:type="spellEnd"/>
      <w:r w:rsidRPr="008362F8">
        <w:rPr>
          <w:rFonts w:ascii="Times New Roman" w:hAnsi="Times New Roman" w:cs="Times New Roman"/>
          <w:sz w:val="18"/>
          <w:lang w:val="es-ES_tradnl"/>
        </w:rPr>
        <w:t xml:space="preserve"> for the </w:t>
      </w:r>
      <w:proofErr w:type="spellStart"/>
      <w:r w:rsidRPr="008362F8">
        <w:rPr>
          <w:rFonts w:ascii="Times New Roman" w:hAnsi="Times New Roman" w:cs="Times New Roman"/>
          <w:sz w:val="18"/>
          <w:lang w:val="es-ES_tradnl"/>
        </w:rPr>
        <w:t>promotion</w:t>
      </w:r>
      <w:proofErr w:type="spellEnd"/>
      <w:r w:rsidRPr="008362F8">
        <w:rPr>
          <w:rFonts w:ascii="Times New Roman" w:hAnsi="Times New Roman" w:cs="Times New Roman"/>
          <w:sz w:val="18"/>
          <w:lang w:val="es-ES_tradnl"/>
        </w:rPr>
        <w:t xml:space="preserve"> of EE </w:t>
      </w:r>
      <w:proofErr w:type="spellStart"/>
      <w:r w:rsidRPr="008362F8">
        <w:rPr>
          <w:rFonts w:ascii="Times New Roman" w:hAnsi="Times New Roman" w:cs="Times New Roman"/>
          <w:sz w:val="18"/>
          <w:lang w:val="es-ES_tradnl"/>
        </w:rPr>
        <w:t>investments</w:t>
      </w:r>
      <w:proofErr w:type="spellEnd"/>
      <w:r w:rsidRPr="008362F8">
        <w:rPr>
          <w:rFonts w:ascii="Times New Roman" w:hAnsi="Times New Roman" w:cs="Times New Roman"/>
          <w:sz w:val="18"/>
          <w:lang w:val="es-ES_tradnl"/>
        </w:rPr>
        <w:t xml:space="preserve"> [</w:t>
      </w:r>
      <w:hyperlink r:id="rId1" w:history="1">
        <w:r w:rsidRPr="008362F8">
          <w:rPr>
            <w:rStyle w:val="Hyperlink"/>
            <w:rFonts w:ascii="Times New Roman" w:hAnsi="Times New Roman" w:cs="Times New Roman"/>
            <w:sz w:val="18"/>
            <w:lang w:val="es-ES_tradnl"/>
          </w:rPr>
          <w:t>Guía para la estructuración de instrumentos financieros para la promoción de la eficiencia energética: Estudio de caso de la Agencia Financiera de Desarrollo de Paraguay</w:t>
        </w:r>
      </w:hyperlink>
      <w:r w:rsidRPr="008362F8">
        <w:rPr>
          <w:rFonts w:ascii="Times New Roman" w:hAnsi="Times New Roman" w:cs="Times New Roman"/>
          <w:sz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58845" w14:textId="77777777" w:rsidR="009C70C9" w:rsidRDefault="009C70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rPr>
      <w:id w:val="1477648756"/>
      <w:docPartObj>
        <w:docPartGallery w:val="Page Numbers (Top of Page)"/>
        <w:docPartUnique/>
      </w:docPartObj>
    </w:sdtPr>
    <w:sdtEndPr/>
    <w:sdtContent>
      <w:p w14:paraId="2263C8CF" w14:textId="77777777" w:rsidR="009F5CB3" w:rsidRPr="008362F8" w:rsidRDefault="009F5CB3" w:rsidP="009F5CB3">
        <w:pPr>
          <w:pStyle w:val="Header"/>
          <w:jc w:val="right"/>
          <w:rPr>
            <w:rFonts w:ascii="Times New Roman" w:hAnsi="Times New Roman" w:cs="Times New Roman"/>
            <w:sz w:val="20"/>
          </w:rPr>
        </w:pPr>
        <w:r>
          <w:rPr>
            <w:rFonts w:ascii="Times New Roman" w:hAnsi="Times New Roman" w:cs="Times New Roman"/>
            <w:sz w:val="20"/>
          </w:rPr>
          <w:t>Annex</w:t>
        </w:r>
        <w:r w:rsidRPr="009C70C9">
          <w:rPr>
            <w:rFonts w:ascii="Times New Roman" w:hAnsi="Times New Roman" w:cs="Times New Roman"/>
            <w:sz w:val="20"/>
          </w:rPr>
          <w:t xml:space="preserve"> III</w:t>
        </w:r>
      </w:p>
      <w:p w14:paraId="239641F9" w14:textId="691B84A3" w:rsidR="009C70C9" w:rsidRDefault="009F5CB3" w:rsidP="009F5CB3">
        <w:pPr>
          <w:pStyle w:val="Header"/>
          <w:jc w:val="right"/>
          <w:rPr>
            <w:rFonts w:ascii="Times New Roman" w:hAnsi="Times New Roman" w:cs="Times New Roman"/>
            <w:b/>
            <w:bCs/>
            <w:szCs w:val="24"/>
          </w:rPr>
        </w:pPr>
        <w:r w:rsidRPr="008362F8">
          <w:rPr>
            <w:rFonts w:ascii="Times New Roman" w:hAnsi="Times New Roman" w:cs="Times New Roman"/>
            <w:sz w:val="20"/>
          </w:rPr>
          <w:t xml:space="preserve"> </w:t>
        </w:r>
        <w:r w:rsidR="004A7C51" w:rsidRPr="008362F8">
          <w:rPr>
            <w:rFonts w:ascii="Times New Roman" w:hAnsi="Times New Roman" w:cs="Times New Roman"/>
            <w:sz w:val="20"/>
          </w:rPr>
          <w:t xml:space="preserve">Page </w:t>
        </w:r>
        <w:r w:rsidR="004A7C51" w:rsidRPr="008362F8">
          <w:rPr>
            <w:rFonts w:ascii="Times New Roman" w:hAnsi="Times New Roman" w:cs="Times New Roman"/>
            <w:b/>
            <w:bCs/>
            <w:szCs w:val="24"/>
          </w:rPr>
          <w:fldChar w:fldCharType="begin"/>
        </w:r>
        <w:r w:rsidR="004A7C51" w:rsidRPr="008362F8">
          <w:rPr>
            <w:rFonts w:ascii="Times New Roman" w:hAnsi="Times New Roman" w:cs="Times New Roman"/>
            <w:b/>
            <w:bCs/>
            <w:sz w:val="20"/>
          </w:rPr>
          <w:instrText xml:space="preserve"> PAGE </w:instrText>
        </w:r>
        <w:r w:rsidR="004A7C51" w:rsidRPr="008362F8">
          <w:rPr>
            <w:rFonts w:ascii="Times New Roman" w:hAnsi="Times New Roman" w:cs="Times New Roman"/>
            <w:b/>
            <w:bCs/>
            <w:szCs w:val="24"/>
          </w:rPr>
          <w:fldChar w:fldCharType="separate"/>
        </w:r>
        <w:r w:rsidR="005B61B8">
          <w:rPr>
            <w:rFonts w:ascii="Times New Roman" w:hAnsi="Times New Roman" w:cs="Times New Roman"/>
            <w:b/>
            <w:bCs/>
            <w:noProof/>
            <w:sz w:val="20"/>
          </w:rPr>
          <w:t>4</w:t>
        </w:r>
        <w:r w:rsidR="004A7C51" w:rsidRPr="008362F8">
          <w:rPr>
            <w:rFonts w:ascii="Times New Roman" w:hAnsi="Times New Roman" w:cs="Times New Roman"/>
            <w:b/>
            <w:bCs/>
            <w:szCs w:val="24"/>
          </w:rPr>
          <w:fldChar w:fldCharType="end"/>
        </w:r>
        <w:r w:rsidR="004A7C51" w:rsidRPr="008362F8">
          <w:rPr>
            <w:rFonts w:ascii="Times New Roman" w:hAnsi="Times New Roman" w:cs="Times New Roman"/>
            <w:sz w:val="20"/>
          </w:rPr>
          <w:t xml:space="preserve"> of </w:t>
        </w:r>
        <w:r w:rsidR="004A7C51" w:rsidRPr="008362F8">
          <w:rPr>
            <w:rFonts w:ascii="Times New Roman" w:hAnsi="Times New Roman" w:cs="Times New Roman"/>
            <w:b/>
            <w:bCs/>
            <w:szCs w:val="24"/>
          </w:rPr>
          <w:fldChar w:fldCharType="begin"/>
        </w:r>
        <w:r w:rsidR="004A7C51" w:rsidRPr="008362F8">
          <w:rPr>
            <w:rFonts w:ascii="Times New Roman" w:hAnsi="Times New Roman" w:cs="Times New Roman"/>
            <w:b/>
            <w:bCs/>
            <w:sz w:val="20"/>
          </w:rPr>
          <w:instrText xml:space="preserve"> NUMPAGES  </w:instrText>
        </w:r>
        <w:r w:rsidR="004A7C51" w:rsidRPr="008362F8">
          <w:rPr>
            <w:rFonts w:ascii="Times New Roman" w:hAnsi="Times New Roman" w:cs="Times New Roman"/>
            <w:b/>
            <w:bCs/>
            <w:szCs w:val="24"/>
          </w:rPr>
          <w:fldChar w:fldCharType="separate"/>
        </w:r>
        <w:r w:rsidR="005B61B8">
          <w:rPr>
            <w:rFonts w:ascii="Times New Roman" w:hAnsi="Times New Roman" w:cs="Times New Roman"/>
            <w:b/>
            <w:bCs/>
            <w:noProof/>
            <w:sz w:val="20"/>
          </w:rPr>
          <w:t>4</w:t>
        </w:r>
        <w:r w:rsidR="004A7C51" w:rsidRPr="008362F8">
          <w:rPr>
            <w:rFonts w:ascii="Times New Roman" w:hAnsi="Times New Roman" w:cs="Times New Roman"/>
            <w:b/>
            <w:bCs/>
            <w:szCs w:val="24"/>
          </w:rPr>
          <w:fldChar w:fldCharType="end"/>
        </w:r>
      </w:p>
    </w:sdtContent>
  </w:sdt>
  <w:p w14:paraId="2946DB82" w14:textId="77777777" w:rsidR="004A7C51" w:rsidRDefault="004A7C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54D1F" w14:textId="77777777" w:rsidR="009C70C9" w:rsidRDefault="009C70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317C6"/>
    <w:multiLevelType w:val="multilevel"/>
    <w:tmpl w:val="6428C8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DF63C23"/>
    <w:multiLevelType w:val="multilevel"/>
    <w:tmpl w:val="A106EA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1760775"/>
    <w:multiLevelType w:val="multilevel"/>
    <w:tmpl w:val="73108F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2F26EA7"/>
    <w:multiLevelType w:val="multilevel"/>
    <w:tmpl w:val="9A90FD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3C80B8C"/>
    <w:multiLevelType w:val="multilevel"/>
    <w:tmpl w:val="5F8AC9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8A04E8"/>
    <w:rsid w:val="00057E95"/>
    <w:rsid w:val="001D1AE1"/>
    <w:rsid w:val="004A7C51"/>
    <w:rsid w:val="005122B1"/>
    <w:rsid w:val="005B61B8"/>
    <w:rsid w:val="005F649F"/>
    <w:rsid w:val="007637F4"/>
    <w:rsid w:val="008362F8"/>
    <w:rsid w:val="008A04E8"/>
    <w:rsid w:val="00937192"/>
    <w:rsid w:val="009C70C9"/>
    <w:rsid w:val="009F5CB3"/>
    <w:rsid w:val="00A75A0A"/>
    <w:rsid w:val="00C51068"/>
    <w:rsid w:val="00C75C83"/>
    <w:rsid w:val="00CF767D"/>
    <w:rsid w:val="00D113FC"/>
    <w:rsid w:val="00E50BAF"/>
    <w:rsid w:val="00EB69C5"/>
    <w:rsid w:val="00FE65BA"/>
    <w:rsid w:val="1ECBE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960404"/>
  <w15:docId w15:val="{0CAEAD1E-7F05-4549-8290-3094E2121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uiPriority w:val="99"/>
    <w:semiHidden/>
    <w:unhideWhenUsed/>
    <w:rsid w:val="00CF767D"/>
    <w:pPr>
      <w:spacing w:line="240" w:lineRule="auto"/>
    </w:pPr>
    <w:rPr>
      <w:sz w:val="20"/>
      <w:szCs w:val="20"/>
    </w:rPr>
  </w:style>
  <w:style w:type="character" w:customStyle="1" w:styleId="FootnoteTextChar">
    <w:name w:val="Footnote Text Char"/>
    <w:basedOn w:val="DefaultParagraphFont"/>
    <w:link w:val="FootnoteText"/>
    <w:uiPriority w:val="99"/>
    <w:semiHidden/>
    <w:rsid w:val="00CF767D"/>
    <w:rPr>
      <w:sz w:val="20"/>
      <w:szCs w:val="20"/>
    </w:rPr>
  </w:style>
  <w:style w:type="character" w:styleId="FootnoteReference">
    <w:name w:val="footnote reference"/>
    <w:basedOn w:val="DefaultParagraphFont"/>
    <w:uiPriority w:val="99"/>
    <w:semiHidden/>
    <w:unhideWhenUsed/>
    <w:rsid w:val="00CF767D"/>
    <w:rPr>
      <w:vertAlign w:val="superscript"/>
    </w:rPr>
  </w:style>
  <w:style w:type="character" w:styleId="Hyperlink">
    <w:name w:val="Hyperlink"/>
    <w:basedOn w:val="DefaultParagraphFont"/>
    <w:uiPriority w:val="99"/>
    <w:unhideWhenUsed/>
    <w:rsid w:val="00CF767D"/>
    <w:rPr>
      <w:color w:val="0000FF" w:themeColor="hyperlink"/>
      <w:u w:val="single"/>
    </w:rPr>
  </w:style>
  <w:style w:type="character" w:styleId="CommentReference">
    <w:name w:val="annotation reference"/>
    <w:basedOn w:val="DefaultParagraphFont"/>
    <w:uiPriority w:val="99"/>
    <w:semiHidden/>
    <w:unhideWhenUsed/>
    <w:rsid w:val="00CF767D"/>
    <w:rPr>
      <w:sz w:val="16"/>
      <w:szCs w:val="16"/>
    </w:rPr>
  </w:style>
  <w:style w:type="paragraph" w:styleId="CommentText">
    <w:name w:val="annotation text"/>
    <w:basedOn w:val="Normal"/>
    <w:link w:val="CommentTextChar"/>
    <w:uiPriority w:val="99"/>
    <w:semiHidden/>
    <w:unhideWhenUsed/>
    <w:rsid w:val="00CF767D"/>
    <w:pPr>
      <w:spacing w:line="240" w:lineRule="auto"/>
    </w:pPr>
    <w:rPr>
      <w:sz w:val="20"/>
      <w:szCs w:val="20"/>
    </w:rPr>
  </w:style>
  <w:style w:type="character" w:customStyle="1" w:styleId="CommentTextChar">
    <w:name w:val="Comment Text Char"/>
    <w:basedOn w:val="DefaultParagraphFont"/>
    <w:link w:val="CommentText"/>
    <w:uiPriority w:val="99"/>
    <w:semiHidden/>
    <w:rsid w:val="00CF767D"/>
    <w:rPr>
      <w:sz w:val="20"/>
      <w:szCs w:val="20"/>
    </w:rPr>
  </w:style>
  <w:style w:type="paragraph" w:styleId="CommentSubject">
    <w:name w:val="annotation subject"/>
    <w:basedOn w:val="CommentText"/>
    <w:next w:val="CommentText"/>
    <w:link w:val="CommentSubjectChar"/>
    <w:uiPriority w:val="99"/>
    <w:semiHidden/>
    <w:unhideWhenUsed/>
    <w:rsid w:val="00CF767D"/>
    <w:rPr>
      <w:b/>
      <w:bCs/>
    </w:rPr>
  </w:style>
  <w:style w:type="character" w:customStyle="1" w:styleId="CommentSubjectChar">
    <w:name w:val="Comment Subject Char"/>
    <w:basedOn w:val="CommentTextChar"/>
    <w:link w:val="CommentSubject"/>
    <w:uiPriority w:val="99"/>
    <w:semiHidden/>
    <w:rsid w:val="00CF767D"/>
    <w:rPr>
      <w:b/>
      <w:bCs/>
      <w:sz w:val="20"/>
      <w:szCs w:val="20"/>
    </w:rPr>
  </w:style>
  <w:style w:type="paragraph" w:styleId="BalloonText">
    <w:name w:val="Balloon Text"/>
    <w:basedOn w:val="Normal"/>
    <w:link w:val="BalloonTextChar"/>
    <w:uiPriority w:val="99"/>
    <w:semiHidden/>
    <w:unhideWhenUsed/>
    <w:rsid w:val="00CF767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67D"/>
    <w:rPr>
      <w:rFonts w:ascii="Tahoma" w:hAnsi="Tahoma" w:cs="Tahoma"/>
      <w:sz w:val="16"/>
      <w:szCs w:val="16"/>
    </w:rPr>
  </w:style>
  <w:style w:type="paragraph" w:styleId="Header">
    <w:name w:val="header"/>
    <w:basedOn w:val="Normal"/>
    <w:link w:val="HeaderChar"/>
    <w:uiPriority w:val="99"/>
    <w:unhideWhenUsed/>
    <w:rsid w:val="004A7C51"/>
    <w:pPr>
      <w:tabs>
        <w:tab w:val="center" w:pos="4680"/>
        <w:tab w:val="right" w:pos="9360"/>
      </w:tabs>
      <w:spacing w:line="240" w:lineRule="auto"/>
    </w:pPr>
  </w:style>
  <w:style w:type="character" w:customStyle="1" w:styleId="HeaderChar">
    <w:name w:val="Header Char"/>
    <w:basedOn w:val="DefaultParagraphFont"/>
    <w:link w:val="Header"/>
    <w:uiPriority w:val="99"/>
    <w:rsid w:val="004A7C51"/>
  </w:style>
  <w:style w:type="paragraph" w:styleId="Footer">
    <w:name w:val="footer"/>
    <w:basedOn w:val="Normal"/>
    <w:link w:val="FooterChar"/>
    <w:uiPriority w:val="99"/>
    <w:unhideWhenUsed/>
    <w:rsid w:val="004A7C51"/>
    <w:pPr>
      <w:tabs>
        <w:tab w:val="center" w:pos="4680"/>
        <w:tab w:val="right" w:pos="9360"/>
      </w:tabs>
      <w:spacing w:line="240" w:lineRule="auto"/>
    </w:pPr>
  </w:style>
  <w:style w:type="character" w:customStyle="1" w:styleId="FooterChar">
    <w:name w:val="Footer Char"/>
    <w:basedOn w:val="DefaultParagraphFont"/>
    <w:link w:val="Footer"/>
    <w:uiPriority w:val="99"/>
    <w:rsid w:val="004A7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mailto:raiello@iadb.org" TargetMode="External"/><Relationship Id="rId17" Type="http://schemas.openxmlformats.org/officeDocument/2006/relationships/header" Target="header3.xml"/><Relationship Id="rId20" Type="http://schemas.openxmlformats.org/officeDocument/2006/relationships/theme" Target="theme/theme1.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ublications.iadb.org/handle/11319/8241?locale-attribute=es&a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F4ACA198BF1CA46A28CB54EF9D64E5D" ma:contentTypeVersion="535" ma:contentTypeDescription="A content type to manage public (operations) IDB documents" ma:contentTypeScope="" ma:versionID="adbb01f39a6ef4de78fba3c0b8e52fa3">
  <xsd:schema xmlns:xsd="http://www.w3.org/2001/XMLSchema" xmlns:xs="http://www.w3.org/2001/XMLSchema" xmlns:p="http://schemas.microsoft.com/office/2006/metadata/properties" xmlns:ns2="cdc7663a-08f0-4737-9e8c-148ce897a09c" targetNamespace="http://schemas.microsoft.com/office/2006/metadata/properties" ma:root="true" ma:fieldsID="fc7de484c7cd65ccd369d635ee905f8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T125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R0002006593</Record_x0020_Number>
    <Key_x0020_Document xmlns="cdc7663a-08f0-4737-9e8c-148ce897a09c">false</Key_x0020_Document>
    <Other_x0020_Author xmlns="cdc7663a-08f0-4737-9e8c-148ce897a09c" xsi:nil="true"/>
    <Division_x0020_or_x0020_Unit xmlns="cdc7663a-08f0-4737-9e8c-148ce897a09c">INE/ENE</Division_x0020_or_x0020_Unit>
    <IDBDocs_x0020_Number xmlns="cdc7663a-08f0-4737-9e8c-148ce897a09c" xsi:nil="true"/>
    <Document_x0020_Author xmlns="cdc7663a-08f0-4737-9e8c-148ce897a09c">Aiello, Roberto Gabriel</Document_x0020_Author>
    <_dlc_DocId xmlns="cdc7663a-08f0-4737-9e8c-148ce897a09c">EZSHARE-1622452058-10</_dlc_DocId>
    <Operation_x0020_Type xmlns="cdc7663a-08f0-4737-9e8c-148ce897a09c">Technical Cooperation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TaxCatchAll xmlns="cdc7663a-08f0-4737-9e8c-148ce897a09c">
      <Value>97</Value>
      <Value>95</Value>
      <Value>29</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PR-T1257</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ATN/GN-16821-PR;</Approval_x0020_Number>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Document_x0020_Language_x0020_IDB xmlns="cdc7663a-08f0-4737-9e8c-148ce897a09c">Spanish</Document_x0020_Language_x0020_IDB>
    <_dlc_DocIdUrl xmlns="cdc7663a-08f0-4737-9e8c-148ce897a09c">
      <Url>https://idbg.sharepoint.com/teams/EZ-PR-TCP/PR-T1257/_layouts/15/DocIdRedir.aspx?ID=EZSHARE-1622452058-10</Url>
      <Description>EZSHARE-1622452058-10</Description>
    </_dlc_DocIdUrl>
    <Phase xmlns="cdc7663a-08f0-4737-9e8c-148ce897a09c" xsi:nil="true"/>
    <Disclosure_x0020_Activity xmlns="cdc7663a-08f0-4737-9e8c-148ce897a09c">TC Annex for OS operations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9E74209B-B892-477C-A18E-934E9E5BD7C1}">
  <ds:schemaRefs>
    <ds:schemaRef ds:uri="http://schemas.microsoft.com/sharepoint/events"/>
  </ds:schemaRefs>
</ds:datastoreItem>
</file>

<file path=customXml/itemProps2.xml><?xml version="1.0" encoding="utf-8"?>
<ds:datastoreItem xmlns:ds="http://schemas.openxmlformats.org/officeDocument/2006/customXml" ds:itemID="{1353B7A8-F73C-4E37-B949-B10D964C2D2E}">
  <ds:schemaRefs>
    <ds:schemaRef ds:uri="Microsoft.SharePoint.Taxonomy.ContentTypeSync"/>
  </ds:schemaRefs>
</ds:datastoreItem>
</file>

<file path=customXml/itemProps3.xml><?xml version="1.0" encoding="utf-8"?>
<ds:datastoreItem xmlns:ds="http://schemas.openxmlformats.org/officeDocument/2006/customXml" ds:itemID="{33FE42B4-7846-472E-AD88-598FBE3992BE}"/>
</file>

<file path=customXml/itemProps4.xml><?xml version="1.0" encoding="utf-8"?>
<ds:datastoreItem xmlns:ds="http://schemas.openxmlformats.org/officeDocument/2006/customXml" ds:itemID="{E32D47C8-E5D4-4B42-A7A3-83E4279182D5}">
  <ds:schemaRefs>
    <ds:schemaRef ds:uri="http://purl.org/dc/elements/1.1/"/>
    <ds:schemaRef ds:uri="cdc7663a-08f0-4737-9e8c-148ce897a09c"/>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DB1DEAA0-2BF6-41EA-ACE9-3829DC6FB86B}">
  <ds:schemaRefs>
    <ds:schemaRef ds:uri="http://schemas.microsoft.com/sharepoint/v3/contenttype/forms"/>
  </ds:schemaRefs>
</ds:datastoreItem>
</file>

<file path=customXml/itemProps6.xml><?xml version="1.0" encoding="utf-8"?>
<ds:datastoreItem xmlns:ds="http://schemas.openxmlformats.org/officeDocument/2006/customXml" ds:itemID="{CD918B3D-EF38-4364-963D-7D1107998C7C}"/>
</file>

<file path=docProps/app.xml><?xml version="1.0" encoding="utf-8"?>
<Properties xmlns="http://schemas.openxmlformats.org/officeDocument/2006/extended-properties" xmlns:vt="http://schemas.openxmlformats.org/officeDocument/2006/docPropsVTypes">
  <Template>Normal.dotm</Template>
  <TotalTime>4</TotalTime>
  <Pages>4</Pages>
  <Words>1210</Words>
  <Characters>6902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Vasa, Alexander</dc:creator>
  <cp:keywords/>
  <cp:lastModifiedBy>Seminario, Ana Cecilia</cp:lastModifiedBy>
  <cp:revision>16</cp:revision>
  <cp:lastPrinted>2018-07-23T18:43:00Z</cp:lastPrinted>
  <dcterms:created xsi:type="dcterms:W3CDTF">2018-02-05T21:59:00Z</dcterms:created>
  <dcterms:modified xsi:type="dcterms:W3CDTF">2018-07-23T18:43:00Z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97;#ENERGY EFFICIENCY AND RENEWABLE ENERGY IN END USE|ab88142a-aa14-42df-80f4-969425d6f976</vt:lpwstr>
  </property>
  <property fmtid="{D5CDD505-2E9C-101B-9397-08002B2CF9AE}" pid="7" name="Country">
    <vt:lpwstr>29;#Paraguay|50282442-27e7-4526-9d04-55bf5da33a10</vt:lpwstr>
  </property>
  <property fmtid="{D5CDD505-2E9C-101B-9397-08002B2CF9AE}" pid="8" name="Fund IDB">
    <vt:lpwstr/>
  </property>
  <property fmtid="{D5CDD505-2E9C-101B-9397-08002B2CF9AE}" pid="9" name="_dlc_DocIdItemGuid">
    <vt:lpwstr>eccc3ebb-16df-461d-9d9f-602c2e40ba2a</vt:lpwstr>
  </property>
  <property fmtid="{D5CDD505-2E9C-101B-9397-08002B2CF9AE}" pid="10" name="Sector IDB">
    <vt:lpwstr>95;#ENERGY|4fed196a-cd0b-4970-87de-42da17f9b203</vt:lpwstr>
  </property>
  <property fmtid="{D5CDD505-2E9C-101B-9397-08002B2CF9AE}" pid="11" name="Function Operations IDB">
    <vt:lpwstr>1;#Project Preparation, Planning and Design|29ca0c72-1fc4-435f-a09c-28585cb5eac9</vt:lpwstr>
  </property>
  <property fmtid="{D5CDD505-2E9C-101B-9397-08002B2CF9AE}" pid="13" name="RecordStorageActiveId">
    <vt:lpwstr>9208c734-0313-4cc7-83ca-d70e22f4e671</vt:lpwstr>
  </property>
  <property fmtid="{D5CDD505-2E9C-101B-9397-08002B2CF9AE}" pid="14" name="Disclosure Activity">
    <vt:lpwstr>TC Annex for OS operations</vt:lpwstr>
  </property>
  <property fmtid="{D5CDD505-2E9C-101B-9397-08002B2CF9AE}" pid="15" name="ContentTypeId">
    <vt:lpwstr>0x0101001A458A224826124E8B45B1D613300CFC00FF4ACA198BF1CA46A28CB54EF9D64E5D</vt:lpwstr>
  </property>
</Properties>
</file>