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22868620"/>
    <w:bookmarkEnd w:id="0"/>
    <w:p w14:paraId="57B6FA67" w14:textId="77777777" w:rsidR="00A1159F" w:rsidRPr="00D75FE1" w:rsidRDefault="00A1159F" w:rsidP="00A1159F">
      <w:pPr>
        <w:spacing w:after="200" w:line="276" w:lineRule="auto"/>
        <w:rPr>
          <w:rFonts w:cs="Arial"/>
          <w:b/>
          <w:sz w:val="22"/>
          <w:szCs w:val="22"/>
          <w:lang w:val="es-MX"/>
        </w:rPr>
      </w:pPr>
      <w:r w:rsidRPr="00D75FE1">
        <w:rPr>
          <w:noProof/>
          <w:lang w:val="es-MX"/>
        </w:rPr>
        <mc:AlternateContent>
          <mc:Choice Requires="wps">
            <w:drawing>
              <wp:anchor distT="36576" distB="36576" distL="36576" distR="36576" simplePos="0" relativeHeight="251659264" behindDoc="0" locked="0" layoutInCell="1" allowOverlap="1" wp14:anchorId="7A603438" wp14:editId="57C04CBE">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w14:anchorId="597C81A8">
              <v:rect w14:anchorId="76A86E31" id="Rectangle 2"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" fillcolor="#153b5e" stroked="f">
                <v:textbox inset="2.88pt,2.88pt,2.88pt,2.88pt"/>
                <w10:wrap type="tight" anchory="page"/>
              </v:rect>
            </w:pict>
          </mc:Fallback>
        </mc:AlternateContent>
      </w:r>
    </w:p>
    <w:p w14:paraId="21B11B8F" w14:textId="77777777" w:rsidR="00A1159F" w:rsidRPr="00D75FE1" w:rsidRDefault="00A1159F" w:rsidP="00A1159F">
      <w:pPr>
        <w:rPr>
          <w:rFonts w:cs="Arial"/>
          <w:sz w:val="22"/>
          <w:szCs w:val="22"/>
          <w:lang w:val="es-MX"/>
        </w:rPr>
      </w:pPr>
      <w:r w:rsidRPr="00D75FE1">
        <w:rPr>
          <w:rFonts w:cs="Arial"/>
          <w:noProof/>
          <w:sz w:val="22"/>
          <w:szCs w:val="22"/>
          <w:lang w:val="es-MX" w:eastAsia="es-ES"/>
        </w:rPr>
        <w:drawing>
          <wp:inline distT="0" distB="0" distL="0" distR="0" wp14:anchorId="074CED5E" wp14:editId="2D3AE88C">
            <wp:extent cx="2974975" cy="1377950"/>
            <wp:effectExtent l="0" t="0" r="0" b="0"/>
            <wp:docPr id="1" name="Picture 1" descr="logo_email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email_englis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4975" cy="1377950"/>
                    </a:xfrm>
                    <a:prstGeom prst="rect">
                      <a:avLst/>
                    </a:prstGeom>
                    <a:noFill/>
                    <a:ln>
                      <a:noFill/>
                    </a:ln>
                  </pic:spPr>
                </pic:pic>
              </a:graphicData>
            </a:graphic>
          </wp:inline>
        </w:drawing>
      </w:r>
    </w:p>
    <w:p w14:paraId="227B0422" w14:textId="77777777" w:rsidR="00A1159F" w:rsidRPr="00D75FE1" w:rsidRDefault="00A1159F" w:rsidP="00A1159F">
      <w:pPr>
        <w:rPr>
          <w:rFonts w:cs="Arial"/>
          <w:sz w:val="22"/>
          <w:szCs w:val="22"/>
          <w:lang w:val="es-MX"/>
        </w:rPr>
      </w:pPr>
    </w:p>
    <w:p w14:paraId="645A5541" w14:textId="77777777" w:rsidR="00A1159F" w:rsidRPr="00D75FE1" w:rsidRDefault="00A1159F" w:rsidP="00A1159F">
      <w:pPr>
        <w:rPr>
          <w:rFonts w:cs="Arial"/>
          <w:sz w:val="22"/>
          <w:szCs w:val="22"/>
          <w:lang w:val="es-MX"/>
        </w:rPr>
      </w:pPr>
    </w:p>
    <w:p w14:paraId="788594B2" w14:textId="77777777" w:rsidR="00A1159F" w:rsidRPr="00D75FE1" w:rsidRDefault="00A1159F" w:rsidP="00A1159F">
      <w:pPr>
        <w:rPr>
          <w:rFonts w:cs="Arial"/>
          <w:sz w:val="22"/>
          <w:szCs w:val="22"/>
          <w:lang w:val="es-MX"/>
        </w:rPr>
      </w:pPr>
    </w:p>
    <w:p w14:paraId="37A67B0F" w14:textId="77777777" w:rsidR="00A1159F" w:rsidRPr="00D75FE1" w:rsidRDefault="00A1159F" w:rsidP="00A1159F">
      <w:pPr>
        <w:rPr>
          <w:rFonts w:cs="Arial"/>
          <w:sz w:val="22"/>
          <w:szCs w:val="22"/>
          <w:lang w:val="es-MX"/>
        </w:rPr>
      </w:pPr>
    </w:p>
    <w:p w14:paraId="08CBB4D0" w14:textId="77777777" w:rsidR="00A1159F" w:rsidRPr="00D75FE1" w:rsidRDefault="00A1159F" w:rsidP="00A1159F">
      <w:pPr>
        <w:rPr>
          <w:rFonts w:cs="Arial"/>
          <w:sz w:val="22"/>
          <w:szCs w:val="22"/>
          <w:lang w:val="es-MX"/>
        </w:rPr>
      </w:pPr>
    </w:p>
    <w:p w14:paraId="09E4322F" w14:textId="77777777" w:rsidR="00A1159F" w:rsidRPr="00D75FE1" w:rsidRDefault="00A1159F" w:rsidP="00A1159F">
      <w:pPr>
        <w:rPr>
          <w:rFonts w:cs="Arial"/>
          <w:sz w:val="22"/>
          <w:szCs w:val="22"/>
          <w:lang w:val="es-MX"/>
        </w:rPr>
      </w:pPr>
    </w:p>
    <w:p w14:paraId="1265E568" w14:textId="77777777" w:rsidR="00A1159F" w:rsidRPr="00D75FE1" w:rsidRDefault="00A1159F" w:rsidP="00A1159F">
      <w:pPr>
        <w:rPr>
          <w:rFonts w:cs="Arial"/>
          <w:sz w:val="22"/>
          <w:szCs w:val="22"/>
          <w:lang w:val="es-MX"/>
        </w:rPr>
      </w:pPr>
    </w:p>
    <w:p w14:paraId="6A1E8053" w14:textId="77777777" w:rsidR="00A1159F" w:rsidRPr="00D75FE1" w:rsidRDefault="00A1159F" w:rsidP="00A1159F">
      <w:pPr>
        <w:rPr>
          <w:rFonts w:cs="Arial"/>
          <w:sz w:val="22"/>
          <w:szCs w:val="22"/>
          <w:lang w:val="es-MX"/>
        </w:rPr>
      </w:pPr>
    </w:p>
    <w:p w14:paraId="2F2DDD2D" w14:textId="77777777" w:rsidR="00A1159F" w:rsidRPr="00D75FE1" w:rsidRDefault="00A1159F" w:rsidP="00A1159F">
      <w:pPr>
        <w:rPr>
          <w:rFonts w:cs="Arial"/>
          <w:sz w:val="22"/>
          <w:szCs w:val="22"/>
          <w:lang w:val="es-MX"/>
        </w:rPr>
      </w:pPr>
      <w:r w:rsidRPr="00D75FE1">
        <w:rPr>
          <w:noProof/>
          <w:lang w:val="es-MX"/>
        </w:rPr>
        <mc:AlternateContent>
          <mc:Choice Requires="wps">
            <w:drawing>
              <wp:anchor distT="0" distB="0" distL="114300" distR="114300" simplePos="0" relativeHeight="251660288" behindDoc="0" locked="0" layoutInCell="1" allowOverlap="1" wp14:anchorId="47F7FB94" wp14:editId="0F7B49DD">
                <wp:simplePos x="0" y="0"/>
                <wp:positionH relativeFrom="column">
                  <wp:posOffset>-342900</wp:posOffset>
                </wp:positionH>
                <wp:positionV relativeFrom="paragraph">
                  <wp:posOffset>98425</wp:posOffset>
                </wp:positionV>
                <wp:extent cx="3352800" cy="2771775"/>
                <wp:effectExtent l="0" t="0" r="0"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910F" w14:textId="77777777" w:rsidR="00586A58" w:rsidRDefault="00586A58" w:rsidP="00A1159F">
                            <w:pPr>
                              <w:spacing w:before="120" w:after="120"/>
                              <w:rPr>
                                <w:rFonts w:cs="Arial"/>
                                <w:b/>
                                <w:bCs/>
                                <w:sz w:val="44"/>
                                <w:lang w:val="es-ES"/>
                              </w:rPr>
                            </w:pPr>
                            <w:r>
                              <w:rPr>
                                <w:rFonts w:cs="Arial"/>
                                <w:b/>
                                <w:bCs/>
                                <w:sz w:val="44"/>
                                <w:lang w:val="es-ES"/>
                              </w:rPr>
                              <w:t>Plan de Monitoreo y Evaluación</w:t>
                            </w:r>
                          </w:p>
                          <w:p w14:paraId="7E60B25B" w14:textId="77777777" w:rsidR="00586A58" w:rsidRDefault="00586A58" w:rsidP="00A1159F">
                            <w:pPr>
                              <w:spacing w:before="120" w:after="120"/>
                              <w:rPr>
                                <w:rFonts w:cs="Arial"/>
                                <w:smallCaps/>
                                <w:sz w:val="32"/>
                                <w:szCs w:val="32"/>
                              </w:rPr>
                            </w:pPr>
                            <w:r>
                              <w:rPr>
                                <w:rFonts w:cs="Arial"/>
                                <w:smallCaps/>
                                <w:sz w:val="32"/>
                                <w:szCs w:val="32"/>
                              </w:rPr>
                              <w:t xml:space="preserve">BR-L1519 </w:t>
                            </w:r>
                          </w:p>
                          <w:p w14:paraId="5EA74FF5" w14:textId="77777777" w:rsidR="00586A58" w:rsidRPr="00586A58" w:rsidRDefault="00586A58" w:rsidP="00A1159F">
                            <w:pPr>
                              <w:spacing w:before="120" w:after="120"/>
                              <w:rPr>
                                <w:rFonts w:cs="Arial"/>
                                <w:smallCaps/>
                                <w:sz w:val="28"/>
                                <w:szCs w:val="28"/>
                              </w:rPr>
                            </w:pPr>
                            <w:r w:rsidRPr="00586A58">
                              <w:rPr>
                                <w:rFonts w:cs="Arial"/>
                                <w:smallCaps/>
                                <w:sz w:val="28"/>
                                <w:szCs w:val="28"/>
                              </w:rPr>
                              <w:t>MODERNIZACIÓN Y MEJORA DE LA CALIDAD DE LAS REDES DE SERVICIOS DE SALUD DE BELO HORIZONTE – MEJOR SALUD BH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6951626">
              <v:shapetype w14:anchorId="47F7FB94" id="_x0000_t202" coordsize="21600,21600" o:spt="202" path="m,l,21600r21600,l21600,xe">
                <v:stroke joinstyle="miter"/>
                <v:path gradientshapeok="t" o:connecttype="rect"/>
              </v:shapetype>
              <v:shape id="Text Box 7" o:spid="_x0000_s1026" type="#_x0000_t202" style="position:absolute;margin-left:-27pt;margin-top:7.75pt;width:264pt;height:21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" filled="f" fillcolor="navy" stroked="f">
                <v:textbox>
                  <w:txbxContent>
                    <w:p w14:paraId="4F9D2965" w14:textId="77777777" w:rsidR="00586A58" w:rsidRDefault="00586A58" w:rsidP="00A1159F">
                      <w:pPr>
                        <w:spacing w:before="120" w:after="120"/>
                        <w:rPr>
                          <w:rFonts w:cs="Arial"/>
                          <w:b/>
                          <w:bCs/>
                          <w:sz w:val="44"/>
                          <w:lang w:val="es-ES"/>
                        </w:rPr>
                      </w:pPr>
                      <w:r>
                        <w:rPr>
                          <w:rFonts w:cs="Arial"/>
                          <w:b/>
                          <w:bCs/>
                          <w:sz w:val="44"/>
                          <w:lang w:val="es-ES"/>
                        </w:rPr>
                        <w:t>Plan de Monitoreo y Evaluación</w:t>
                      </w:r>
                    </w:p>
                    <w:p w14:paraId="02069E01" w14:textId="77777777" w:rsidR="00586A58" w:rsidRDefault="00586A58" w:rsidP="00A1159F">
                      <w:pPr>
                        <w:spacing w:before="120" w:after="120"/>
                        <w:rPr>
                          <w:rFonts w:cs="Arial"/>
                          <w:smallCaps/>
                          <w:sz w:val="32"/>
                          <w:szCs w:val="32"/>
                        </w:rPr>
                      </w:pPr>
                      <w:r>
                        <w:rPr>
                          <w:rFonts w:cs="Arial"/>
                          <w:smallCaps/>
                          <w:sz w:val="32"/>
                          <w:szCs w:val="32"/>
                        </w:rPr>
                        <w:t xml:space="preserve">BR-L1519 </w:t>
                      </w:r>
                    </w:p>
                    <w:p w14:paraId="6D079379" w14:textId="77777777" w:rsidR="00586A58" w:rsidRPr="00586A58" w:rsidRDefault="00586A58" w:rsidP="00A1159F">
                      <w:pPr>
                        <w:spacing w:before="120" w:after="120"/>
                        <w:rPr>
                          <w:rFonts w:cs="Arial"/>
                          <w:smallCaps/>
                          <w:sz w:val="28"/>
                          <w:szCs w:val="28"/>
                        </w:rPr>
                      </w:pPr>
                      <w:r w:rsidRPr="00586A58">
                        <w:rPr>
                          <w:rFonts w:cs="Arial"/>
                          <w:smallCaps/>
                          <w:sz w:val="28"/>
                          <w:szCs w:val="28"/>
                        </w:rPr>
                        <w:t>MODERNIZACIÓN Y MEJORA DE LA CALIDAD DE LAS REDES DE SERVICIOS DE SALUD DE BELO HORIZONTE – MEJOR SALUD BH</w:t>
                      </w:r>
                    </w:p>
                  </w:txbxContent>
                </v:textbox>
                <w10:wrap type="square"/>
              </v:shape>
            </w:pict>
          </mc:Fallback>
        </mc:AlternateContent>
      </w:r>
    </w:p>
    <w:p w14:paraId="0D8AC5D7" w14:textId="77777777" w:rsidR="00A1159F" w:rsidRPr="00D75FE1" w:rsidRDefault="00A1159F" w:rsidP="00A1159F">
      <w:pPr>
        <w:rPr>
          <w:rFonts w:cs="Arial"/>
          <w:sz w:val="22"/>
          <w:szCs w:val="22"/>
          <w:lang w:val="es-MX"/>
        </w:rPr>
      </w:pPr>
    </w:p>
    <w:p w14:paraId="1FD48F51" w14:textId="77777777" w:rsidR="00A1159F" w:rsidRPr="00D75FE1" w:rsidRDefault="00A1159F" w:rsidP="00A1159F">
      <w:pPr>
        <w:rPr>
          <w:rFonts w:cs="Arial"/>
          <w:sz w:val="22"/>
          <w:szCs w:val="22"/>
          <w:lang w:val="es-MX"/>
        </w:rPr>
      </w:pPr>
    </w:p>
    <w:p w14:paraId="388AD178" w14:textId="77777777" w:rsidR="00A1159F" w:rsidRPr="00586A58" w:rsidRDefault="00A1159F" w:rsidP="00A1159F">
      <w:pPr>
        <w:rPr>
          <w:rFonts w:cs="Arial"/>
          <w:szCs w:val="24"/>
          <w:lang w:val="es-MX"/>
        </w:rPr>
      </w:pPr>
    </w:p>
    <w:p w14:paraId="4092C787" w14:textId="77777777" w:rsidR="00A1159F" w:rsidRPr="00D75FE1" w:rsidRDefault="00A1159F" w:rsidP="00A1159F">
      <w:pPr>
        <w:rPr>
          <w:rFonts w:cs="Arial"/>
          <w:sz w:val="22"/>
          <w:szCs w:val="22"/>
          <w:lang w:val="es-MX"/>
        </w:rPr>
      </w:pPr>
    </w:p>
    <w:p w14:paraId="59FD6533" w14:textId="77777777" w:rsidR="00A1159F" w:rsidRPr="00D75FE1" w:rsidRDefault="00A1159F" w:rsidP="00A1159F">
      <w:pPr>
        <w:rPr>
          <w:rFonts w:cs="Arial"/>
          <w:sz w:val="22"/>
          <w:szCs w:val="22"/>
          <w:lang w:val="es-MX"/>
        </w:rPr>
      </w:pPr>
    </w:p>
    <w:p w14:paraId="69204997" w14:textId="77777777" w:rsidR="00A1159F" w:rsidRPr="00D75FE1" w:rsidRDefault="00A1159F" w:rsidP="00A1159F">
      <w:pPr>
        <w:rPr>
          <w:rFonts w:cs="Arial"/>
          <w:sz w:val="22"/>
          <w:szCs w:val="22"/>
          <w:lang w:val="es-MX"/>
        </w:rPr>
      </w:pPr>
    </w:p>
    <w:p w14:paraId="16B40D8F" w14:textId="77777777" w:rsidR="00A1159F" w:rsidRPr="00D75FE1" w:rsidRDefault="00A1159F" w:rsidP="00A1159F">
      <w:pPr>
        <w:rPr>
          <w:rFonts w:cs="Arial"/>
          <w:sz w:val="22"/>
          <w:szCs w:val="22"/>
          <w:lang w:val="es-MX"/>
        </w:rPr>
      </w:pPr>
    </w:p>
    <w:p w14:paraId="1478E96A" w14:textId="77777777" w:rsidR="00A1159F" w:rsidRPr="00D75FE1" w:rsidRDefault="00A1159F" w:rsidP="00A1159F">
      <w:pPr>
        <w:rPr>
          <w:rFonts w:cs="Arial"/>
          <w:sz w:val="22"/>
          <w:szCs w:val="22"/>
          <w:lang w:val="es-MX"/>
        </w:rPr>
      </w:pPr>
    </w:p>
    <w:p w14:paraId="7D9F3F67"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61503F96"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5EA4505B"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60AB9E5B"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32E6E718"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5F3C5BFC"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29A1AB57"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r w:rsidRPr="00D75FE1">
        <w:rPr>
          <w:rFonts w:cs="Arial"/>
          <w:b/>
          <w:smallCaps/>
          <w:sz w:val="22"/>
          <w:szCs w:val="22"/>
          <w:lang w:val="es-MX"/>
        </w:rPr>
        <w:t>Agosto 2018</w:t>
      </w:r>
    </w:p>
    <w:p w14:paraId="3A36E573"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670D3322" w14:textId="47FCA6FD" w:rsidR="00A1159F" w:rsidRPr="00D75FE1" w:rsidRDefault="00A1159F" w:rsidP="00A1159F">
      <w:pPr>
        <w:tabs>
          <w:tab w:val="left" w:pos="1440"/>
          <w:tab w:val="left" w:pos="3060"/>
        </w:tabs>
        <w:spacing w:before="120" w:after="120"/>
        <w:jc w:val="both"/>
        <w:rPr>
          <w:rFonts w:cs="Arial"/>
          <w:b/>
          <w:smallCaps/>
          <w:sz w:val="22"/>
          <w:szCs w:val="22"/>
          <w:lang w:val="es-MX"/>
        </w:rPr>
      </w:pPr>
      <w:r w:rsidRPr="00D75FE1">
        <w:rPr>
          <w:rFonts w:cs="Arial"/>
          <w:b/>
          <w:smallCaps/>
          <w:sz w:val="22"/>
          <w:szCs w:val="22"/>
          <w:lang w:val="es-MX"/>
        </w:rPr>
        <w:t xml:space="preserve">Documento preparado por </w:t>
      </w:r>
      <w:r w:rsidRPr="00DC4A74">
        <w:rPr>
          <w:rFonts w:cs="Arial"/>
          <w:b/>
          <w:smallCaps/>
          <w:sz w:val="22"/>
          <w:szCs w:val="22"/>
          <w:lang w:val="es-MX"/>
        </w:rPr>
        <w:t xml:space="preserve">María </w:t>
      </w:r>
      <w:r w:rsidR="00DC4A74" w:rsidRPr="00DC4A74">
        <w:rPr>
          <w:rFonts w:cs="Arial"/>
          <w:b/>
          <w:smallCaps/>
          <w:sz w:val="22"/>
          <w:szCs w:val="22"/>
          <w:lang w:val="es-MX"/>
        </w:rPr>
        <w:t>del Carmen Hern</w:t>
      </w:r>
      <w:r w:rsidR="008524EC">
        <w:rPr>
          <w:rFonts w:cs="Arial"/>
          <w:b/>
          <w:smallCaps/>
          <w:sz w:val="22"/>
          <w:szCs w:val="22"/>
          <w:lang w:val="es-MX"/>
        </w:rPr>
        <w:t>á</w:t>
      </w:r>
      <w:r w:rsidR="00DC4A74" w:rsidRPr="00DC4A74">
        <w:rPr>
          <w:rFonts w:cs="Arial"/>
          <w:b/>
          <w:smallCaps/>
          <w:sz w:val="22"/>
          <w:szCs w:val="22"/>
          <w:lang w:val="es-MX"/>
        </w:rPr>
        <w:t>n</w:t>
      </w:r>
      <w:r w:rsidR="00DC4A74">
        <w:rPr>
          <w:rFonts w:cs="Arial"/>
          <w:b/>
          <w:smallCaps/>
          <w:sz w:val="22"/>
          <w:szCs w:val="22"/>
          <w:lang w:val="es-MX"/>
        </w:rPr>
        <w:t>d</w:t>
      </w:r>
      <w:r w:rsidR="00DC4A74" w:rsidRPr="00DC4A74">
        <w:rPr>
          <w:rFonts w:cs="Arial"/>
          <w:b/>
          <w:smallCaps/>
          <w:sz w:val="22"/>
          <w:szCs w:val="22"/>
          <w:lang w:val="es-MX"/>
        </w:rPr>
        <w:t xml:space="preserve">ez </w:t>
      </w:r>
      <w:r w:rsidRPr="00DC4A74">
        <w:rPr>
          <w:rFonts w:cs="Arial"/>
          <w:b/>
          <w:smallCaps/>
          <w:sz w:val="22"/>
          <w:szCs w:val="22"/>
          <w:lang w:val="es-MX"/>
        </w:rPr>
        <w:t xml:space="preserve">y Pablo </w:t>
      </w:r>
      <w:proofErr w:type="spellStart"/>
      <w:r w:rsidRPr="00DC4A74">
        <w:rPr>
          <w:rFonts w:cs="Arial"/>
          <w:b/>
          <w:smallCaps/>
          <w:sz w:val="22"/>
          <w:szCs w:val="22"/>
          <w:lang w:val="es-MX"/>
        </w:rPr>
        <w:t>Ibarrar</w:t>
      </w:r>
      <w:r w:rsidR="00DC4A74">
        <w:rPr>
          <w:rFonts w:cs="Arial"/>
          <w:b/>
          <w:smallCaps/>
          <w:sz w:val="22"/>
          <w:szCs w:val="22"/>
          <w:lang w:val="es-MX"/>
        </w:rPr>
        <w:t>á</w:t>
      </w:r>
      <w:r w:rsidRPr="00DC4A74">
        <w:rPr>
          <w:rFonts w:cs="Arial"/>
          <w:b/>
          <w:smallCaps/>
          <w:sz w:val="22"/>
          <w:szCs w:val="22"/>
          <w:lang w:val="es-MX"/>
        </w:rPr>
        <w:t>n</w:t>
      </w:r>
      <w:proofErr w:type="spellEnd"/>
    </w:p>
    <w:p w14:paraId="006F8EB3" w14:textId="77777777" w:rsidR="00A1159F" w:rsidRPr="00D75FE1" w:rsidRDefault="00A1159F" w:rsidP="00A1159F">
      <w:pPr>
        <w:tabs>
          <w:tab w:val="left" w:pos="1440"/>
          <w:tab w:val="left" w:pos="3060"/>
        </w:tabs>
        <w:spacing w:before="120" w:after="120"/>
        <w:jc w:val="both"/>
        <w:rPr>
          <w:rFonts w:cs="Arial"/>
          <w:b/>
          <w:smallCaps/>
          <w:sz w:val="22"/>
          <w:szCs w:val="22"/>
          <w:lang w:val="es-MX"/>
        </w:rPr>
      </w:pPr>
    </w:p>
    <w:p w14:paraId="52C2195B" w14:textId="77777777" w:rsidR="00A1159F" w:rsidRPr="00D75FE1" w:rsidRDefault="00A1159F" w:rsidP="00A1159F">
      <w:pPr>
        <w:rPr>
          <w:rFonts w:cs="Arial"/>
          <w:sz w:val="22"/>
          <w:szCs w:val="22"/>
          <w:lang w:val="es-MX"/>
        </w:rPr>
      </w:pPr>
    </w:p>
    <w:p w14:paraId="7B5397F7" w14:textId="77777777" w:rsidR="00A1159F" w:rsidRPr="00D75FE1" w:rsidRDefault="00A1159F" w:rsidP="00A1159F">
      <w:pPr>
        <w:rPr>
          <w:rFonts w:cs="Arial"/>
          <w:sz w:val="22"/>
          <w:szCs w:val="22"/>
          <w:lang w:val="es-MX"/>
        </w:rPr>
      </w:pPr>
    </w:p>
    <w:p w14:paraId="50F9D737" w14:textId="77777777" w:rsidR="00A1159F" w:rsidRPr="00D75FE1" w:rsidRDefault="00A1159F" w:rsidP="00A1159F">
      <w:pPr>
        <w:pStyle w:val="ColorfulList-Accent11"/>
        <w:ind w:left="1080"/>
        <w:jc w:val="center"/>
        <w:rPr>
          <w:rFonts w:ascii="Arial" w:hAnsi="Arial" w:cs="Arial"/>
          <w:smallCaps/>
          <w:lang w:val="es-MX"/>
        </w:rPr>
      </w:pPr>
    </w:p>
    <w:p w14:paraId="1BC235D2" w14:textId="77777777" w:rsidR="00A1159F" w:rsidRPr="00D75FE1" w:rsidRDefault="00A1159F" w:rsidP="00A1159F">
      <w:pPr>
        <w:pStyle w:val="ColorfulList-Accent11"/>
        <w:ind w:left="1080"/>
        <w:jc w:val="center"/>
        <w:rPr>
          <w:rFonts w:ascii="Arial" w:hAnsi="Arial" w:cs="Arial"/>
          <w:smallCaps/>
          <w:lang w:val="es-MX"/>
        </w:rPr>
      </w:pPr>
    </w:p>
    <w:p w14:paraId="04976ECB" w14:textId="77777777" w:rsidR="00A1159F" w:rsidRPr="00D75FE1" w:rsidRDefault="00A1159F" w:rsidP="00A1159F">
      <w:pPr>
        <w:pStyle w:val="ColorfulList-Accent11"/>
        <w:ind w:left="1080"/>
        <w:jc w:val="center"/>
        <w:rPr>
          <w:rFonts w:ascii="Arial" w:hAnsi="Arial" w:cs="Arial"/>
          <w:smallCaps/>
          <w:lang w:val="es-MX"/>
        </w:rPr>
      </w:pPr>
    </w:p>
    <w:p w14:paraId="40820962" w14:textId="77777777" w:rsidR="00A1159F" w:rsidRPr="00D75FE1" w:rsidRDefault="00A1159F" w:rsidP="00A1159F">
      <w:pPr>
        <w:pStyle w:val="ColorfulList-Accent11"/>
        <w:ind w:left="1080"/>
        <w:jc w:val="center"/>
        <w:rPr>
          <w:rFonts w:ascii="Arial" w:hAnsi="Arial" w:cs="Arial"/>
          <w:smallCaps/>
          <w:lang w:val="es-MX"/>
        </w:rPr>
      </w:pPr>
    </w:p>
    <w:p w14:paraId="57AED1D0" w14:textId="77777777" w:rsidR="00A1159F" w:rsidRPr="00D75FE1" w:rsidRDefault="00A1159F" w:rsidP="00A1159F">
      <w:pPr>
        <w:pStyle w:val="ColorfulList-Accent11"/>
        <w:ind w:left="1080"/>
        <w:jc w:val="center"/>
        <w:rPr>
          <w:rFonts w:ascii="Arial" w:hAnsi="Arial" w:cs="Arial"/>
          <w:smallCaps/>
          <w:lang w:val="es-MX"/>
        </w:rPr>
      </w:pPr>
    </w:p>
    <w:p w14:paraId="68B3F0E7" w14:textId="77777777" w:rsidR="00A1159F" w:rsidRPr="00D75FE1" w:rsidRDefault="00A1159F" w:rsidP="00A1159F">
      <w:pPr>
        <w:pStyle w:val="ColorfulList-Accent11"/>
        <w:ind w:left="0"/>
        <w:jc w:val="center"/>
        <w:rPr>
          <w:rFonts w:ascii="Arial" w:hAnsi="Arial" w:cs="Arial"/>
          <w:b/>
          <w:smallCaps/>
          <w:lang w:val="es-MX"/>
        </w:rPr>
      </w:pPr>
      <w:r w:rsidRPr="00D75FE1">
        <w:rPr>
          <w:rFonts w:ascii="Arial" w:hAnsi="Arial" w:cs="Arial"/>
          <w:b/>
          <w:smallCaps/>
          <w:lang w:val="es-MX"/>
        </w:rPr>
        <w:lastRenderedPageBreak/>
        <w:t>Índice</w:t>
      </w:r>
    </w:p>
    <w:p w14:paraId="5A2DADAD" w14:textId="77777777" w:rsidR="00A1159F" w:rsidRPr="00D75FE1" w:rsidRDefault="00A1159F" w:rsidP="00A1159F">
      <w:pPr>
        <w:pStyle w:val="ColorfulList-Accent11"/>
        <w:ind w:left="0"/>
        <w:jc w:val="both"/>
        <w:rPr>
          <w:rFonts w:ascii="Arial" w:hAnsi="Arial" w:cs="Arial"/>
          <w:lang w:val="es-MX"/>
        </w:rPr>
      </w:pPr>
    </w:p>
    <w:p w14:paraId="256CA4EF" w14:textId="77777777" w:rsidR="00A1159F" w:rsidRPr="00D75FE1" w:rsidRDefault="00A1159F" w:rsidP="00A1159F">
      <w:pPr>
        <w:pStyle w:val="ColorfulList-Accent11"/>
        <w:ind w:left="0"/>
        <w:jc w:val="both"/>
        <w:rPr>
          <w:rFonts w:ascii="Arial" w:hAnsi="Arial" w:cs="Arial"/>
          <w:lang w:val="es-MX"/>
        </w:rPr>
      </w:pPr>
    </w:p>
    <w:p w14:paraId="54002B8E" w14:textId="77777777" w:rsidR="00A1159F" w:rsidRPr="00D75FE1" w:rsidRDefault="00A1159F" w:rsidP="00A1159F">
      <w:pPr>
        <w:pStyle w:val="ColorfulList-Accent11"/>
        <w:ind w:left="0"/>
        <w:jc w:val="both"/>
        <w:rPr>
          <w:rFonts w:ascii="Arial" w:hAnsi="Arial" w:cs="Arial"/>
          <w:lang w:val="es-MX"/>
        </w:rPr>
      </w:pPr>
      <w:r w:rsidRPr="00D75FE1">
        <w:rPr>
          <w:rFonts w:ascii="Arial" w:hAnsi="Arial" w:cs="Arial"/>
          <w:lang w:val="es-MX"/>
        </w:rPr>
        <w:t>Plan de Seguimiento y Evaluación</w:t>
      </w:r>
    </w:p>
    <w:p w14:paraId="2593D269" w14:textId="77777777" w:rsidR="00A1159F" w:rsidRPr="00D75FE1" w:rsidRDefault="00A1159F" w:rsidP="00A1159F">
      <w:pPr>
        <w:pStyle w:val="ColorfulList-Accent11"/>
        <w:ind w:left="0"/>
        <w:jc w:val="both"/>
        <w:rPr>
          <w:rFonts w:ascii="Arial" w:hAnsi="Arial" w:cs="Arial"/>
          <w:lang w:val="es-MX"/>
        </w:rPr>
      </w:pPr>
    </w:p>
    <w:p w14:paraId="32FBC83B" w14:textId="77777777" w:rsidR="00A1159F" w:rsidRPr="00D75FE1" w:rsidRDefault="00A1159F" w:rsidP="00A1159F">
      <w:pPr>
        <w:pStyle w:val="ColorfulList-Accent11"/>
        <w:numPr>
          <w:ilvl w:val="0"/>
          <w:numId w:val="1"/>
        </w:numPr>
        <w:jc w:val="both"/>
        <w:rPr>
          <w:rFonts w:ascii="Arial" w:hAnsi="Arial" w:cs="Arial"/>
          <w:lang w:val="es-MX"/>
        </w:rPr>
      </w:pPr>
      <w:r w:rsidRPr="00D75FE1">
        <w:rPr>
          <w:rFonts w:ascii="Arial" w:hAnsi="Arial" w:cs="Arial"/>
          <w:lang w:val="es-MX"/>
        </w:rPr>
        <w:t>Introducción</w:t>
      </w:r>
    </w:p>
    <w:p w14:paraId="003D6138" w14:textId="77777777" w:rsidR="00A1159F" w:rsidRPr="00D75FE1" w:rsidRDefault="00A1159F" w:rsidP="00A1159F">
      <w:pPr>
        <w:pStyle w:val="ColorfulList-Accent11"/>
        <w:numPr>
          <w:ilvl w:val="1"/>
          <w:numId w:val="1"/>
        </w:numPr>
        <w:jc w:val="both"/>
        <w:rPr>
          <w:rFonts w:ascii="Arial" w:hAnsi="Arial" w:cs="Arial"/>
          <w:lang w:val="es-MX"/>
        </w:rPr>
      </w:pPr>
      <w:r w:rsidRPr="00D75FE1">
        <w:rPr>
          <w:rFonts w:ascii="Arial" w:hAnsi="Arial" w:cs="Arial"/>
          <w:lang w:val="es-MX"/>
        </w:rPr>
        <w:t>Antecedentes: el reto en materia de salud en Belo Horizonte</w:t>
      </w:r>
    </w:p>
    <w:p w14:paraId="4DC75664" w14:textId="77777777" w:rsidR="00A1159F" w:rsidRPr="00D75FE1" w:rsidRDefault="00A1159F" w:rsidP="00A1159F">
      <w:pPr>
        <w:pStyle w:val="ColorfulList-Accent11"/>
        <w:numPr>
          <w:ilvl w:val="1"/>
          <w:numId w:val="1"/>
        </w:numPr>
        <w:jc w:val="both"/>
        <w:rPr>
          <w:rFonts w:ascii="Arial" w:hAnsi="Arial" w:cs="Arial"/>
          <w:lang w:val="es-MX"/>
        </w:rPr>
      </w:pPr>
      <w:r w:rsidRPr="00D75FE1">
        <w:rPr>
          <w:rFonts w:ascii="Arial" w:hAnsi="Arial" w:cs="Arial"/>
          <w:lang w:val="es-MX"/>
        </w:rPr>
        <w:t>Objetivos, componentes y costo</w:t>
      </w:r>
    </w:p>
    <w:p w14:paraId="734A2B3E" w14:textId="77777777" w:rsidR="00A1159F" w:rsidRPr="00D75FE1" w:rsidRDefault="00A1159F" w:rsidP="00A1159F">
      <w:pPr>
        <w:pStyle w:val="ColorfulList-Accent11"/>
        <w:ind w:left="1080"/>
        <w:jc w:val="both"/>
        <w:rPr>
          <w:rFonts w:ascii="Arial" w:hAnsi="Arial" w:cs="Arial"/>
          <w:lang w:val="es-MX"/>
        </w:rPr>
      </w:pPr>
    </w:p>
    <w:p w14:paraId="7F69EDD8" w14:textId="77777777" w:rsidR="00A1159F" w:rsidRPr="00D75FE1" w:rsidRDefault="00A1159F" w:rsidP="00A1159F">
      <w:pPr>
        <w:pStyle w:val="ColorfulList-Accent11"/>
        <w:numPr>
          <w:ilvl w:val="0"/>
          <w:numId w:val="1"/>
        </w:numPr>
        <w:jc w:val="both"/>
        <w:rPr>
          <w:rFonts w:ascii="Arial" w:hAnsi="Arial" w:cs="Arial"/>
          <w:lang w:val="es-MX"/>
        </w:rPr>
      </w:pPr>
      <w:r w:rsidRPr="00D75FE1">
        <w:rPr>
          <w:rFonts w:ascii="Arial" w:hAnsi="Arial" w:cs="Arial"/>
          <w:lang w:val="es-MX"/>
        </w:rPr>
        <w:t>Seguimiento</w:t>
      </w:r>
    </w:p>
    <w:p w14:paraId="1DD66F48" w14:textId="77777777" w:rsidR="00A1159F" w:rsidRPr="00D75FE1" w:rsidRDefault="00A1159F" w:rsidP="00A1159F">
      <w:pPr>
        <w:pStyle w:val="ColorfulList-Accent11"/>
        <w:ind w:left="1080"/>
        <w:jc w:val="both"/>
        <w:rPr>
          <w:rFonts w:ascii="Arial" w:hAnsi="Arial" w:cs="Arial"/>
          <w:lang w:val="es-MX"/>
        </w:rPr>
      </w:pPr>
    </w:p>
    <w:p w14:paraId="4677E1B7" w14:textId="77777777" w:rsidR="00A1159F" w:rsidRPr="00D75FE1" w:rsidRDefault="00A1159F" w:rsidP="00A1159F">
      <w:pPr>
        <w:pStyle w:val="ColorfulList-Accent11"/>
        <w:numPr>
          <w:ilvl w:val="1"/>
          <w:numId w:val="1"/>
        </w:numPr>
        <w:jc w:val="both"/>
        <w:rPr>
          <w:rFonts w:ascii="Arial" w:hAnsi="Arial" w:cs="Arial"/>
          <w:lang w:val="es-MX"/>
        </w:rPr>
      </w:pPr>
      <w:r w:rsidRPr="00D75FE1">
        <w:rPr>
          <w:rFonts w:ascii="Arial" w:hAnsi="Arial" w:cs="Arial"/>
          <w:lang w:val="es-MX"/>
        </w:rPr>
        <w:t>Indicadores de Seguimiento</w:t>
      </w:r>
    </w:p>
    <w:p w14:paraId="001B0B0B" w14:textId="77777777" w:rsidR="00A1159F" w:rsidRPr="008524EC" w:rsidRDefault="00A1159F" w:rsidP="00A1159F">
      <w:pPr>
        <w:pStyle w:val="ColorfulList-Accent11"/>
        <w:numPr>
          <w:ilvl w:val="1"/>
          <w:numId w:val="1"/>
        </w:numPr>
        <w:jc w:val="both"/>
        <w:rPr>
          <w:rFonts w:ascii="Arial" w:hAnsi="Arial" w:cs="Arial"/>
          <w:lang w:val="es-MX"/>
        </w:rPr>
      </w:pPr>
      <w:r w:rsidRPr="008524EC">
        <w:rPr>
          <w:rFonts w:ascii="Arial" w:hAnsi="Arial" w:cs="Arial"/>
          <w:lang w:val="es-MX"/>
        </w:rPr>
        <w:t>Definición y seguimiento a indicadores de resultados</w:t>
      </w:r>
    </w:p>
    <w:p w14:paraId="28834524" w14:textId="77777777" w:rsidR="00A1159F" w:rsidRPr="008524EC" w:rsidRDefault="00A1159F" w:rsidP="00A1159F">
      <w:pPr>
        <w:pStyle w:val="ColorfulList-Accent11"/>
        <w:numPr>
          <w:ilvl w:val="1"/>
          <w:numId w:val="1"/>
        </w:numPr>
        <w:jc w:val="both"/>
        <w:rPr>
          <w:rFonts w:ascii="Arial" w:hAnsi="Arial" w:cs="Arial"/>
          <w:lang w:val="es-MX"/>
        </w:rPr>
      </w:pPr>
      <w:r w:rsidRPr="008524EC">
        <w:rPr>
          <w:rFonts w:ascii="Arial" w:hAnsi="Arial" w:cs="Arial"/>
          <w:lang w:val="es-MX"/>
        </w:rPr>
        <w:t>Presentación de informes y cronogramas</w:t>
      </w:r>
    </w:p>
    <w:p w14:paraId="4F004CFF" w14:textId="77777777" w:rsidR="00A1159F" w:rsidRPr="008524EC" w:rsidRDefault="00A1159F" w:rsidP="00A1159F">
      <w:pPr>
        <w:pStyle w:val="ColorfulList-Accent11"/>
        <w:numPr>
          <w:ilvl w:val="1"/>
          <w:numId w:val="1"/>
        </w:numPr>
        <w:jc w:val="both"/>
        <w:rPr>
          <w:rFonts w:ascii="Arial" w:hAnsi="Arial" w:cs="Arial"/>
          <w:lang w:val="es-MX"/>
        </w:rPr>
      </w:pPr>
      <w:r w:rsidRPr="008524EC">
        <w:rPr>
          <w:rFonts w:ascii="Arial" w:hAnsi="Arial" w:cs="Arial"/>
          <w:lang w:val="es-MX"/>
        </w:rPr>
        <w:t>Responsables y presupuesto</w:t>
      </w:r>
    </w:p>
    <w:p w14:paraId="5996AF79" w14:textId="77777777" w:rsidR="00A1159F" w:rsidRPr="008524EC" w:rsidRDefault="00A1159F" w:rsidP="00A1159F">
      <w:pPr>
        <w:pStyle w:val="ColorfulList-Accent11"/>
        <w:ind w:left="1440"/>
        <w:jc w:val="both"/>
        <w:rPr>
          <w:rFonts w:ascii="Arial" w:hAnsi="Arial" w:cs="Arial"/>
          <w:lang w:val="es-MX"/>
        </w:rPr>
      </w:pPr>
    </w:p>
    <w:p w14:paraId="04D690D3" w14:textId="77777777" w:rsidR="00A1159F" w:rsidRPr="008524EC" w:rsidRDefault="00A1159F" w:rsidP="00A1159F">
      <w:pPr>
        <w:pStyle w:val="ColorfulList-Accent11"/>
        <w:numPr>
          <w:ilvl w:val="0"/>
          <w:numId w:val="1"/>
        </w:numPr>
        <w:jc w:val="both"/>
        <w:rPr>
          <w:rFonts w:ascii="Arial" w:hAnsi="Arial" w:cs="Arial"/>
          <w:lang w:val="es-MX"/>
        </w:rPr>
      </w:pPr>
      <w:r w:rsidRPr="008524EC">
        <w:rPr>
          <w:rFonts w:ascii="Arial" w:hAnsi="Arial" w:cs="Arial"/>
          <w:lang w:val="es-MX"/>
        </w:rPr>
        <w:t>Evaluación</w:t>
      </w:r>
    </w:p>
    <w:p w14:paraId="367E964A" w14:textId="77777777" w:rsidR="00A1159F" w:rsidRPr="008524EC" w:rsidRDefault="00A1159F" w:rsidP="00A1159F">
      <w:pPr>
        <w:pStyle w:val="ColorfulList-Accent11"/>
        <w:ind w:left="1080"/>
        <w:jc w:val="both"/>
        <w:rPr>
          <w:rFonts w:ascii="Arial" w:hAnsi="Arial" w:cs="Arial"/>
          <w:lang w:val="es-MX"/>
        </w:rPr>
      </w:pPr>
    </w:p>
    <w:p w14:paraId="31587218" w14:textId="77777777" w:rsidR="00A1159F" w:rsidRPr="008524EC" w:rsidRDefault="00A1159F" w:rsidP="00A1159F">
      <w:pPr>
        <w:pStyle w:val="ColorfulList-Accent11"/>
        <w:numPr>
          <w:ilvl w:val="1"/>
          <w:numId w:val="1"/>
        </w:numPr>
        <w:jc w:val="both"/>
        <w:rPr>
          <w:rFonts w:ascii="Arial" w:hAnsi="Arial" w:cs="Arial"/>
          <w:lang w:val="es-MX"/>
        </w:rPr>
      </w:pPr>
      <w:r w:rsidRPr="008524EC">
        <w:rPr>
          <w:rFonts w:ascii="Arial" w:hAnsi="Arial" w:cs="Arial"/>
          <w:lang w:val="es-MX"/>
        </w:rPr>
        <w:t>Principales indicadores</w:t>
      </w:r>
    </w:p>
    <w:p w14:paraId="291DDB10" w14:textId="77777777" w:rsidR="00A1159F" w:rsidRPr="008524EC" w:rsidRDefault="00A1159F" w:rsidP="00A1159F">
      <w:pPr>
        <w:pStyle w:val="ColorfulList-Accent11"/>
        <w:numPr>
          <w:ilvl w:val="1"/>
          <w:numId w:val="1"/>
        </w:numPr>
        <w:jc w:val="both"/>
        <w:rPr>
          <w:rFonts w:ascii="Arial" w:hAnsi="Arial" w:cs="Arial"/>
          <w:lang w:val="es-MX"/>
        </w:rPr>
      </w:pPr>
      <w:r w:rsidRPr="008524EC">
        <w:rPr>
          <w:rFonts w:ascii="Arial" w:hAnsi="Arial" w:cs="Arial"/>
          <w:lang w:val="es-MX"/>
        </w:rPr>
        <w:t xml:space="preserve">Contexto y antecedentes para la evaluación </w:t>
      </w:r>
    </w:p>
    <w:p w14:paraId="7969AE34" w14:textId="77777777" w:rsidR="00A1159F" w:rsidRPr="008524EC" w:rsidRDefault="00A1159F" w:rsidP="00A1159F">
      <w:pPr>
        <w:pStyle w:val="ColorfulList-Accent11"/>
        <w:numPr>
          <w:ilvl w:val="1"/>
          <w:numId w:val="1"/>
        </w:numPr>
        <w:jc w:val="both"/>
        <w:rPr>
          <w:rFonts w:ascii="Arial" w:hAnsi="Arial" w:cs="Arial"/>
          <w:lang w:val="es-MX"/>
        </w:rPr>
      </w:pPr>
      <w:r w:rsidRPr="008524EC">
        <w:rPr>
          <w:rFonts w:ascii="Arial" w:hAnsi="Arial" w:cs="Arial"/>
          <w:lang w:val="es-MX"/>
        </w:rPr>
        <w:t xml:space="preserve">Análisis económico ex-ante </w:t>
      </w:r>
    </w:p>
    <w:p w14:paraId="664D0656" w14:textId="77777777" w:rsidR="00A1159F" w:rsidRPr="008524EC" w:rsidRDefault="00A1159F" w:rsidP="00A1159F">
      <w:pPr>
        <w:pStyle w:val="ColorfulList-Accent11"/>
        <w:numPr>
          <w:ilvl w:val="1"/>
          <w:numId w:val="1"/>
        </w:numPr>
        <w:jc w:val="both"/>
        <w:rPr>
          <w:rFonts w:ascii="Arial" w:hAnsi="Arial" w:cs="Arial"/>
          <w:lang w:val="es-MX"/>
        </w:rPr>
      </w:pPr>
      <w:r w:rsidRPr="008524EC">
        <w:rPr>
          <w:rFonts w:ascii="Arial" w:hAnsi="Arial" w:cs="Arial"/>
          <w:lang w:val="es-MX"/>
        </w:rPr>
        <w:t>Metodología de la evaluación de impacto</w:t>
      </w:r>
    </w:p>
    <w:p w14:paraId="33F8FE6A" w14:textId="77777777" w:rsidR="00A1159F" w:rsidRPr="00D75FE1" w:rsidRDefault="00A1159F" w:rsidP="00A1159F">
      <w:pPr>
        <w:pStyle w:val="ColorfulList-Accent11"/>
        <w:ind w:left="1440"/>
        <w:jc w:val="both"/>
        <w:rPr>
          <w:rFonts w:ascii="Arial" w:hAnsi="Arial" w:cs="Arial"/>
          <w:lang w:val="es-MX"/>
        </w:rPr>
      </w:pPr>
    </w:p>
    <w:p w14:paraId="7244F4EF" w14:textId="77777777" w:rsidR="00A1159F" w:rsidRPr="00D75FE1" w:rsidRDefault="00A1159F" w:rsidP="00A1159F">
      <w:pPr>
        <w:pStyle w:val="ColorfulList-Accent11"/>
        <w:ind w:left="360"/>
        <w:jc w:val="both"/>
        <w:rPr>
          <w:rFonts w:ascii="Arial" w:hAnsi="Arial" w:cs="Arial"/>
          <w:lang w:val="es-MX"/>
        </w:rPr>
      </w:pPr>
      <w:r w:rsidRPr="00D75FE1">
        <w:rPr>
          <w:rFonts w:ascii="Arial" w:hAnsi="Arial" w:cs="Arial"/>
          <w:lang w:val="es-MX"/>
        </w:rPr>
        <w:t>Referencias</w:t>
      </w:r>
    </w:p>
    <w:p w14:paraId="5A755927" w14:textId="77777777" w:rsidR="00A1159F" w:rsidRPr="00D75FE1" w:rsidRDefault="00A1159F" w:rsidP="00A1159F">
      <w:pPr>
        <w:rPr>
          <w:rFonts w:cs="Arial"/>
          <w:sz w:val="22"/>
          <w:szCs w:val="22"/>
          <w:lang w:val="es-MX"/>
        </w:rPr>
      </w:pPr>
      <w:r w:rsidRPr="00D75FE1">
        <w:rPr>
          <w:rFonts w:cs="Arial"/>
          <w:sz w:val="22"/>
          <w:szCs w:val="22"/>
          <w:lang w:val="es-MX"/>
        </w:rPr>
        <w:br w:type="page"/>
      </w:r>
    </w:p>
    <w:p w14:paraId="62EA0F66" w14:textId="072CFB64" w:rsidR="00A1159F" w:rsidRPr="00586A58" w:rsidRDefault="00A1159F" w:rsidP="00586A58">
      <w:pPr>
        <w:pStyle w:val="Heading1"/>
        <w:numPr>
          <w:ilvl w:val="0"/>
          <w:numId w:val="0"/>
        </w:numPr>
        <w:tabs>
          <w:tab w:val="left" w:pos="720"/>
        </w:tabs>
        <w:ind w:left="288" w:hanging="288"/>
        <w:rPr>
          <w:rFonts w:ascii="Arial" w:hAnsi="Arial" w:cs="Arial"/>
          <w:b/>
          <w:sz w:val="24"/>
          <w:szCs w:val="24"/>
          <w:lang w:val="es-MX"/>
        </w:rPr>
      </w:pPr>
      <w:r w:rsidRPr="00586A58">
        <w:rPr>
          <w:rFonts w:ascii="Arial" w:hAnsi="Arial" w:cs="Arial"/>
          <w:b/>
          <w:sz w:val="24"/>
          <w:szCs w:val="24"/>
          <w:lang w:val="es-MX"/>
        </w:rPr>
        <w:lastRenderedPageBreak/>
        <w:t xml:space="preserve">I. </w:t>
      </w:r>
      <w:r w:rsidR="00586A58">
        <w:rPr>
          <w:rFonts w:ascii="Arial" w:hAnsi="Arial" w:cs="Arial"/>
          <w:b/>
          <w:sz w:val="24"/>
          <w:szCs w:val="24"/>
          <w:lang w:val="es-MX"/>
        </w:rPr>
        <w:tab/>
      </w:r>
      <w:r w:rsidRPr="00586A58">
        <w:rPr>
          <w:rFonts w:ascii="Arial" w:hAnsi="Arial" w:cs="Arial"/>
          <w:b/>
          <w:sz w:val="24"/>
          <w:szCs w:val="24"/>
          <w:lang w:val="es-MX"/>
        </w:rPr>
        <w:t>Introducción</w:t>
      </w:r>
      <w:r w:rsidRPr="00586A58">
        <w:rPr>
          <w:rFonts w:ascii="Arial" w:hAnsi="Arial" w:cs="Arial"/>
          <w:b/>
          <w:sz w:val="24"/>
          <w:szCs w:val="24"/>
          <w:vertAlign w:val="superscript"/>
          <w:lang w:val="es-MX"/>
        </w:rPr>
        <w:footnoteReference w:id="1"/>
      </w:r>
    </w:p>
    <w:p w14:paraId="485D9AEA" w14:textId="77777777" w:rsidR="00A1159F" w:rsidRPr="00D75FE1" w:rsidRDefault="00A1159F" w:rsidP="00A1159F">
      <w:pPr>
        <w:pStyle w:val="Heading2"/>
        <w:rPr>
          <w:rFonts w:ascii="Arial" w:hAnsi="Arial" w:cs="Arial"/>
          <w:bCs/>
          <w:color w:val="auto"/>
          <w:sz w:val="22"/>
          <w:szCs w:val="22"/>
          <w:lang w:val="es-MX"/>
        </w:rPr>
      </w:pPr>
      <w:r w:rsidRPr="00D75FE1">
        <w:rPr>
          <w:rFonts w:ascii="Arial" w:hAnsi="Arial" w:cs="Arial"/>
          <w:b/>
          <w:bCs/>
          <w:color w:val="auto"/>
          <w:sz w:val="22"/>
          <w:szCs w:val="22"/>
          <w:lang w:val="es-MX"/>
        </w:rPr>
        <w:t>A.</w:t>
      </w:r>
      <w:r w:rsidRPr="00D75FE1">
        <w:rPr>
          <w:rFonts w:ascii="Arial" w:hAnsi="Arial" w:cs="Arial"/>
          <w:b/>
          <w:bCs/>
          <w:color w:val="auto"/>
          <w:sz w:val="22"/>
          <w:szCs w:val="22"/>
          <w:lang w:val="es-MX"/>
        </w:rPr>
        <w:tab/>
        <w:t xml:space="preserve">Antecedentes: el reto en materia de salud en el Municipio de Belo Horizonte </w:t>
      </w:r>
    </w:p>
    <w:p w14:paraId="4A0CDB33" w14:textId="77777777" w:rsidR="007B3A96" w:rsidRPr="00DC4A74" w:rsidRDefault="00A1159F" w:rsidP="00B71549">
      <w:pPr>
        <w:pStyle w:val="Paragraph"/>
        <w:tabs>
          <w:tab w:val="left" w:pos="720"/>
        </w:tabs>
        <w:ind w:left="0" w:firstLine="0"/>
        <w:outlineLvl w:val="9"/>
        <w:rPr>
          <w:rFonts w:ascii="Arial" w:eastAsiaTheme="minorHAnsi" w:hAnsi="Arial" w:cs="Arial"/>
          <w:lang w:val="es-MX"/>
        </w:rPr>
      </w:pPr>
      <w:r w:rsidRPr="008524EC">
        <w:rPr>
          <w:rFonts w:ascii="Arial" w:hAnsi="Arial" w:cs="Arial"/>
          <w:b/>
          <w:lang w:val="es-MX"/>
        </w:rPr>
        <w:t>Contexto socioeconómico.</w:t>
      </w:r>
      <w:r w:rsidRPr="008524EC">
        <w:rPr>
          <w:rFonts w:ascii="Arial" w:hAnsi="Arial" w:cs="Arial"/>
          <w:lang w:val="es-MX"/>
        </w:rPr>
        <w:t xml:space="preserve"> </w:t>
      </w:r>
      <w:r w:rsidR="007B3A96" w:rsidRPr="00DC4A74">
        <w:rPr>
          <w:rFonts w:ascii="Arial" w:hAnsi="Arial" w:cs="Arial"/>
          <w:lang w:val="es-MX"/>
        </w:rPr>
        <w:t>Belo Horizonte</w:t>
      </w:r>
      <w:r w:rsidRPr="00DC4A74">
        <w:rPr>
          <w:rFonts w:ascii="Arial" w:hAnsi="Arial" w:cs="Arial"/>
          <w:lang w:val="es-MX"/>
        </w:rPr>
        <w:t xml:space="preserve"> (</w:t>
      </w:r>
      <w:r w:rsidR="007B3A96" w:rsidRPr="00DC4A74">
        <w:rPr>
          <w:rFonts w:ascii="Arial" w:hAnsi="Arial" w:cs="Arial"/>
          <w:lang w:val="es-MX"/>
        </w:rPr>
        <w:t>BH</w:t>
      </w:r>
      <w:r w:rsidRPr="00DC4A74">
        <w:rPr>
          <w:rFonts w:ascii="Arial" w:hAnsi="Arial" w:cs="Arial"/>
          <w:lang w:val="es-MX"/>
        </w:rPr>
        <w:t xml:space="preserve">) </w:t>
      </w:r>
      <w:r w:rsidR="007B3A96" w:rsidRPr="00DC4A74">
        <w:rPr>
          <w:rFonts w:ascii="Arial" w:hAnsi="Arial" w:cs="Arial"/>
          <w:lang w:val="es-MX"/>
        </w:rPr>
        <w:t>tiene una población estimada de 2,5 millones de habitantes</w:t>
      </w:r>
      <w:r w:rsidR="00960273" w:rsidRPr="00DC4A74">
        <w:rPr>
          <w:rFonts w:ascii="Arial" w:hAnsi="Arial" w:cs="Arial"/>
          <w:lang w:val="es-MX"/>
        </w:rPr>
        <w:t xml:space="preserve"> y representa el cuar</w:t>
      </w:r>
      <w:r w:rsidR="00BF5B3E" w:rsidRPr="00DC4A74">
        <w:rPr>
          <w:rFonts w:ascii="Arial" w:hAnsi="Arial" w:cs="Arial"/>
          <w:lang w:val="es-MX"/>
        </w:rPr>
        <w:t>t</w:t>
      </w:r>
      <w:r w:rsidR="00960273" w:rsidRPr="00DC4A74">
        <w:rPr>
          <w:rFonts w:ascii="Arial" w:hAnsi="Arial" w:cs="Arial"/>
          <w:lang w:val="es-MX"/>
        </w:rPr>
        <w:t xml:space="preserve">o </w:t>
      </w:r>
      <w:r w:rsidR="007B3A96" w:rsidRPr="00DC4A74">
        <w:rPr>
          <w:rFonts w:ascii="Arial" w:eastAsiaTheme="minorHAnsi" w:hAnsi="Arial" w:cs="Arial"/>
          <w:lang w:val="es-MX"/>
        </w:rPr>
        <w:t>Producto Interno Bruto (PIB) más</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grande entre los municipios brasileños. La región metropolitana de BH concentra</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alrededor de 44% del PIB y 28% de la población del Estado de Minas Gerais. A</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pesar de su gran representatividad económica, BH presenta fuertes disparidades</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en sus indicadores sociales, con un Índice de Desarrollo Humano Municipal</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(IDHM) que varía entre 0,955 e 0,5971. Asimismo, en términos del Índice de</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Vulnerabilidad Social (IVS)2, entre los nueve distritos sanitarios municipales,</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47,5% de los hogares del distrito sanitario más vulnerable (norte) tienen elevado</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o muy elevado IVS, comparado con solamente el 12,8% en el distrito menos</w:t>
      </w:r>
      <w:r w:rsidR="00960273" w:rsidRPr="00DC4A74">
        <w:rPr>
          <w:rFonts w:ascii="Arial" w:eastAsiaTheme="minorHAnsi" w:hAnsi="Arial" w:cs="Arial"/>
          <w:lang w:val="es-MX"/>
        </w:rPr>
        <w:t xml:space="preserve"> </w:t>
      </w:r>
      <w:r w:rsidR="007B3A96" w:rsidRPr="00DC4A74">
        <w:rPr>
          <w:rFonts w:ascii="Arial" w:eastAsiaTheme="minorHAnsi" w:hAnsi="Arial" w:cs="Arial"/>
          <w:lang w:val="es-MX"/>
        </w:rPr>
        <w:t>vulnerable (noroeste).</w:t>
      </w:r>
    </w:p>
    <w:p w14:paraId="6A420559" w14:textId="77777777" w:rsidR="00BF5B3E" w:rsidRPr="00DC4A74" w:rsidRDefault="00BF5B3E" w:rsidP="00B71549">
      <w:pPr>
        <w:pStyle w:val="Paragraph"/>
        <w:tabs>
          <w:tab w:val="left" w:pos="720"/>
        </w:tabs>
        <w:ind w:left="0" w:firstLine="0"/>
        <w:outlineLvl w:val="9"/>
        <w:rPr>
          <w:rFonts w:ascii="Arial" w:hAnsi="Arial" w:cs="Arial"/>
          <w:lang w:val="es-MX"/>
        </w:rPr>
      </w:pPr>
      <w:r w:rsidRPr="00DC4A74">
        <w:rPr>
          <w:rFonts w:ascii="Arial" w:hAnsi="Arial" w:cs="Arial"/>
          <w:lang w:val="es-MX"/>
        </w:rPr>
        <w:t>La expectativa de vida en BH subió entre 2000 y 2010 de 72,0 a 76,4 años, por encima del valor para el país (73,3 años). Se ha conseguido reducir la tasa de mortalidad infantil de 34,6 muertes por mil nacidos vivos en 1993 a 9,3 en 2016</w:t>
      </w:r>
      <w:r w:rsidRPr="00DC4A74">
        <w:rPr>
          <w:rStyle w:val="FootnoteReference"/>
          <w:rFonts w:ascii="Arial" w:hAnsi="Arial" w:cs="Arial"/>
          <w:sz w:val="22"/>
          <w:lang w:val="es-MX"/>
        </w:rPr>
        <w:footnoteReference w:id="2"/>
      </w:r>
      <w:r w:rsidRPr="00DC4A74">
        <w:rPr>
          <w:rFonts w:ascii="Arial" w:hAnsi="Arial" w:cs="Arial"/>
          <w:lang w:val="es-MX"/>
        </w:rPr>
        <w:t>. La mortalidad materna también tiende a reducirse, pasando de 92,5 muertes por 100 mil nacidos vivos en 1998 a 37,9 muertes en 2016, pero aún existe espacio para mejorar la atención perinatal en términos de calidad y del acceso de grupos vulnerables</w:t>
      </w:r>
      <w:r w:rsidRPr="00DC4A74">
        <w:rPr>
          <w:rStyle w:val="FootnoteReference"/>
          <w:rFonts w:ascii="Arial" w:hAnsi="Arial" w:cs="Arial"/>
          <w:sz w:val="22"/>
          <w:lang w:val="es-MX"/>
        </w:rPr>
        <w:footnoteReference w:id="3"/>
      </w:r>
      <w:r w:rsidRPr="00DC4A74">
        <w:rPr>
          <w:rFonts w:ascii="Arial" w:hAnsi="Arial" w:cs="Arial"/>
          <w:lang w:val="es-MX"/>
        </w:rPr>
        <w:t>. La cobertura de las principales vacunas en menores de un año varía entre 85% a 98%, dentro de los rangos necesarios para el control de epidemias.</w:t>
      </w:r>
    </w:p>
    <w:p w14:paraId="01D40EAA" w14:textId="77777777" w:rsidR="00B71549" w:rsidRPr="00DC4A74" w:rsidRDefault="00BF5B3E" w:rsidP="00AA5C93">
      <w:pPr>
        <w:pStyle w:val="Paragraph"/>
        <w:tabs>
          <w:tab w:val="left" w:pos="720"/>
        </w:tabs>
        <w:ind w:left="0" w:firstLine="0"/>
        <w:outlineLvl w:val="9"/>
        <w:rPr>
          <w:rFonts w:ascii="Arial" w:eastAsiaTheme="minorHAnsi" w:hAnsi="Arial" w:cs="Arial"/>
          <w:lang w:val="es-MX"/>
        </w:rPr>
      </w:pPr>
      <w:r w:rsidRPr="00DC4A74">
        <w:rPr>
          <w:rFonts w:ascii="Arial" w:eastAsiaTheme="minorHAnsi" w:hAnsi="Arial" w:cs="Arial"/>
          <w:b/>
          <w:lang w:val="es-MX"/>
        </w:rPr>
        <w:t>Perfil epidemiológico.</w:t>
      </w:r>
      <w:r w:rsidRPr="00DC4A74">
        <w:rPr>
          <w:rFonts w:ascii="Arial" w:eastAsiaTheme="minorHAnsi" w:hAnsi="Arial" w:cs="Arial"/>
          <w:lang w:val="es-MX"/>
        </w:rPr>
        <w:t xml:space="preserve"> Una consistente reducción en las tasas de natalidad y</w:t>
      </w:r>
      <w:r w:rsidR="00B71549" w:rsidRPr="00DC4A74">
        <w:rPr>
          <w:rFonts w:ascii="Arial" w:eastAsiaTheme="minorHAnsi" w:hAnsi="Arial" w:cs="Arial"/>
          <w:lang w:val="es-MX"/>
        </w:rPr>
        <w:t xml:space="preserve"> </w:t>
      </w:r>
      <w:r w:rsidRPr="00DC4A74">
        <w:rPr>
          <w:rFonts w:ascii="Arial" w:eastAsiaTheme="minorHAnsi" w:hAnsi="Arial" w:cs="Arial"/>
          <w:lang w:val="es-MX"/>
        </w:rPr>
        <w:t>fecundidad y el incremento en la expectativa de vida está resultando en una</w:t>
      </w:r>
      <w:r w:rsidR="00B71549" w:rsidRPr="00DC4A74">
        <w:rPr>
          <w:rFonts w:ascii="Arial" w:eastAsiaTheme="minorHAnsi" w:hAnsi="Arial" w:cs="Arial"/>
          <w:lang w:val="es-MX"/>
        </w:rPr>
        <w:t xml:space="preserve"> </w:t>
      </w:r>
      <w:r w:rsidRPr="00DC4A74">
        <w:rPr>
          <w:rFonts w:ascii="Arial" w:eastAsiaTheme="minorHAnsi" w:hAnsi="Arial" w:cs="Arial"/>
          <w:lang w:val="es-MX"/>
        </w:rPr>
        <w:t>población más envejecida. El porcentaje de la población con 65 o más años</w:t>
      </w:r>
      <w:r w:rsidR="00B71549" w:rsidRPr="00DC4A74">
        <w:rPr>
          <w:rFonts w:ascii="Arial" w:eastAsiaTheme="minorHAnsi" w:hAnsi="Arial" w:cs="Arial"/>
          <w:lang w:val="es-MX"/>
        </w:rPr>
        <w:t xml:space="preserve"> </w:t>
      </w:r>
      <w:r w:rsidRPr="00DC4A74">
        <w:rPr>
          <w:rFonts w:ascii="Arial" w:eastAsiaTheme="minorHAnsi" w:hAnsi="Arial" w:cs="Arial"/>
          <w:lang w:val="es-MX"/>
        </w:rPr>
        <w:t>creció de 4,7% a 8,7% entre 1991 y 2010. Esta rápida transición demográfica</w:t>
      </w:r>
      <w:r w:rsidR="00B71549" w:rsidRPr="00DC4A74">
        <w:rPr>
          <w:rFonts w:ascii="Arial" w:eastAsiaTheme="minorHAnsi" w:hAnsi="Arial" w:cs="Arial"/>
          <w:lang w:val="es-MX"/>
        </w:rPr>
        <w:t xml:space="preserve"> </w:t>
      </w:r>
      <w:r w:rsidRPr="00DC4A74">
        <w:rPr>
          <w:rFonts w:ascii="Arial" w:eastAsiaTheme="minorHAnsi" w:hAnsi="Arial" w:cs="Arial"/>
          <w:lang w:val="es-MX"/>
        </w:rPr>
        <w:t>viene acompañada por un aumento de las Enfermedades Crónicas No</w:t>
      </w:r>
      <w:r w:rsidR="00B71549" w:rsidRPr="00DC4A74">
        <w:rPr>
          <w:rFonts w:ascii="Arial" w:eastAsiaTheme="minorHAnsi" w:hAnsi="Arial" w:cs="Arial"/>
          <w:lang w:val="es-MX"/>
        </w:rPr>
        <w:t xml:space="preserve"> </w:t>
      </w:r>
      <w:r w:rsidRPr="00DC4A74">
        <w:rPr>
          <w:rFonts w:ascii="Arial" w:eastAsiaTheme="minorHAnsi" w:hAnsi="Arial" w:cs="Arial"/>
          <w:lang w:val="es-MX"/>
        </w:rPr>
        <w:t>Transmisibles (ECNT) en la carga de morbimortalidad. En 2016 las ECNT fueron</w:t>
      </w:r>
      <w:r w:rsidR="00AA5C93" w:rsidRPr="00DC4A74">
        <w:rPr>
          <w:rFonts w:ascii="Arial" w:eastAsiaTheme="minorHAnsi" w:hAnsi="Arial" w:cs="Arial"/>
          <w:lang w:val="es-MX"/>
        </w:rPr>
        <w:t xml:space="preserve"> </w:t>
      </w:r>
      <w:r w:rsidRPr="00DC4A74">
        <w:rPr>
          <w:rFonts w:ascii="Arial" w:eastAsiaTheme="minorHAnsi" w:hAnsi="Arial" w:cs="Arial"/>
          <w:lang w:val="es-MX"/>
        </w:rPr>
        <w:t>responsables de aproximadamente 3 de cada 4 muertes, liderado por</w:t>
      </w:r>
      <w:r w:rsidR="00B71549" w:rsidRPr="00DC4A74">
        <w:rPr>
          <w:rFonts w:ascii="Arial" w:eastAsiaTheme="minorHAnsi" w:hAnsi="Arial" w:cs="Arial"/>
          <w:lang w:val="es-MX"/>
        </w:rPr>
        <w:t xml:space="preserve"> </w:t>
      </w:r>
      <w:r w:rsidRPr="00DC4A74">
        <w:rPr>
          <w:rFonts w:ascii="Arial" w:eastAsiaTheme="minorHAnsi" w:hAnsi="Arial" w:cs="Arial"/>
          <w:lang w:val="es-MX"/>
        </w:rPr>
        <w:t>enfermedades del aparato circulatorio (23,4%), neoplasias (20,6%), y</w:t>
      </w:r>
      <w:r w:rsidR="00B71549" w:rsidRPr="00DC4A74">
        <w:rPr>
          <w:rFonts w:ascii="Arial" w:eastAsiaTheme="minorHAnsi" w:hAnsi="Arial" w:cs="Arial"/>
          <w:lang w:val="es-MX"/>
        </w:rPr>
        <w:t xml:space="preserve"> </w:t>
      </w:r>
      <w:r w:rsidRPr="00DC4A74">
        <w:rPr>
          <w:rFonts w:ascii="Arial" w:eastAsiaTheme="minorHAnsi" w:hAnsi="Arial" w:cs="Arial"/>
          <w:lang w:val="es-MX"/>
        </w:rPr>
        <w:t>enfermedades respiratorias (11,0%).</w:t>
      </w:r>
    </w:p>
    <w:p w14:paraId="3F432F61" w14:textId="77777777" w:rsidR="00B71549" w:rsidRPr="00DC4A74" w:rsidRDefault="00B71549" w:rsidP="00AA5C93">
      <w:pPr>
        <w:pStyle w:val="Paragraph"/>
        <w:tabs>
          <w:tab w:val="left" w:pos="720"/>
        </w:tabs>
        <w:ind w:left="0" w:firstLine="0"/>
        <w:outlineLvl w:val="9"/>
        <w:rPr>
          <w:rFonts w:ascii="Arial" w:eastAsiaTheme="minorHAnsi" w:hAnsi="Arial" w:cs="Arial"/>
          <w:lang w:val="es-MX"/>
        </w:rPr>
      </w:pPr>
      <w:r w:rsidRPr="00DC4A74">
        <w:rPr>
          <w:rFonts w:ascii="Arial" w:eastAsiaTheme="minorHAnsi" w:hAnsi="Arial" w:cs="Arial"/>
          <w:lang w:val="es-MX"/>
        </w:rPr>
        <w:t>En sus indicadores sociosanitarios BH presenta los contrastes y dualidades característicos de una gran urbe diversificada. Aunque de modo general las condiciones de vida (IDHM, IVS, mortalidad materno-infantil) han mejorado, los rezagos en algunos distritos sanitarios son notables, y nuevos retos se intensifican, incluyendo las ECNT asociadas al envejecimiento, la salud mental, el déficit de atención materno-infantil en algunos grupos, las lesiones resultantes de los accidentes y violencia, y las enfermedades transmisibles emergentes y reemergentes</w:t>
      </w:r>
      <w:r w:rsidRPr="00DC4A74">
        <w:rPr>
          <w:rFonts w:eastAsiaTheme="minorHAnsi"/>
          <w:vertAlign w:val="superscript"/>
          <w:lang w:val="es-MX"/>
        </w:rPr>
        <w:footnoteReference w:id="4"/>
      </w:r>
      <w:r w:rsidRPr="00DC4A74">
        <w:rPr>
          <w:rFonts w:ascii="Arial" w:eastAsiaTheme="minorHAnsi" w:hAnsi="Arial" w:cs="Arial"/>
          <w:lang w:val="es-MX"/>
        </w:rPr>
        <w:t>. Ante este contexto, BH cuenta con una oferta de servicios de salud amplia y compleja</w:t>
      </w:r>
      <w:r w:rsidRPr="00DC4A74">
        <w:rPr>
          <w:rFonts w:eastAsiaTheme="minorHAnsi"/>
          <w:vertAlign w:val="superscript"/>
          <w:lang w:val="es-MX"/>
        </w:rPr>
        <w:footnoteReference w:id="5"/>
      </w:r>
      <w:r w:rsidRPr="00DC4A74">
        <w:rPr>
          <w:rFonts w:ascii="Arial" w:eastAsiaTheme="minorHAnsi" w:hAnsi="Arial" w:cs="Arial"/>
          <w:vertAlign w:val="superscript"/>
          <w:lang w:val="es-MX"/>
        </w:rPr>
        <w:t xml:space="preserve"> </w:t>
      </w:r>
      <w:r w:rsidRPr="00DC4A74">
        <w:rPr>
          <w:rFonts w:ascii="Arial" w:eastAsiaTheme="minorHAnsi" w:hAnsi="Arial" w:cs="Arial"/>
          <w:lang w:val="es-MX"/>
        </w:rPr>
        <w:t>pero que enfrenta presiones debido a la demanda creciente</w:t>
      </w:r>
      <w:r w:rsidRPr="00DC4A74">
        <w:rPr>
          <w:rFonts w:eastAsiaTheme="minorHAnsi"/>
          <w:vertAlign w:val="superscript"/>
          <w:lang w:val="es-MX"/>
        </w:rPr>
        <w:footnoteReference w:id="6"/>
      </w:r>
      <w:r w:rsidRPr="00DC4A74">
        <w:rPr>
          <w:rFonts w:ascii="Arial" w:eastAsiaTheme="minorHAnsi" w:hAnsi="Arial" w:cs="Arial"/>
          <w:vertAlign w:val="superscript"/>
          <w:lang w:val="es-MX"/>
        </w:rPr>
        <w:t xml:space="preserve"> </w:t>
      </w:r>
      <w:r w:rsidRPr="00DC4A74">
        <w:rPr>
          <w:rFonts w:ascii="Arial" w:eastAsiaTheme="minorHAnsi" w:hAnsi="Arial" w:cs="Arial"/>
          <w:lang w:val="es-MX"/>
        </w:rPr>
        <w:t>y a las limitaciones presupuestales.</w:t>
      </w:r>
    </w:p>
    <w:p w14:paraId="0F7D68BF" w14:textId="77777777" w:rsidR="00BF5B3E" w:rsidRPr="00DC4A74" w:rsidRDefault="00BF5B3E" w:rsidP="00AA5C93">
      <w:pPr>
        <w:pStyle w:val="Paragraph"/>
        <w:tabs>
          <w:tab w:val="left" w:pos="720"/>
        </w:tabs>
        <w:ind w:left="0" w:firstLine="0"/>
        <w:outlineLvl w:val="9"/>
        <w:rPr>
          <w:rFonts w:ascii="Arial" w:eastAsiaTheme="minorHAnsi" w:hAnsi="Arial" w:cs="Arial"/>
          <w:lang w:val="es-MX"/>
        </w:rPr>
      </w:pPr>
      <w:r w:rsidRPr="00DC4A74">
        <w:rPr>
          <w:rFonts w:ascii="Arial" w:eastAsiaTheme="minorHAnsi" w:hAnsi="Arial" w:cs="Arial"/>
          <w:lang w:val="es-MX"/>
        </w:rPr>
        <w:lastRenderedPageBreak/>
        <w:t>En el Sistema Único de Salud</w:t>
      </w:r>
      <w:r w:rsidR="00B71549" w:rsidRPr="00DC4A74">
        <w:rPr>
          <w:rFonts w:ascii="Arial" w:eastAsiaTheme="minorHAnsi" w:hAnsi="Arial" w:cs="Arial"/>
          <w:lang w:val="es-MX"/>
        </w:rPr>
        <w:t xml:space="preserve"> </w:t>
      </w:r>
      <w:r w:rsidRPr="00DC4A74">
        <w:rPr>
          <w:rFonts w:ascii="Arial" w:eastAsiaTheme="minorHAnsi" w:hAnsi="Arial" w:cs="Arial"/>
          <w:lang w:val="es-MX"/>
        </w:rPr>
        <w:t>(SUS) de Brasil, la atención primaria debe funcionar como puerta de entrada y</w:t>
      </w:r>
      <w:r w:rsidR="00B71549" w:rsidRPr="00DC4A74">
        <w:rPr>
          <w:rFonts w:ascii="Arial" w:eastAsiaTheme="minorHAnsi" w:hAnsi="Arial" w:cs="Arial"/>
          <w:lang w:val="es-MX"/>
        </w:rPr>
        <w:t xml:space="preserve"> </w:t>
      </w:r>
      <w:r w:rsidRPr="00DC4A74">
        <w:rPr>
          <w:rFonts w:ascii="Arial" w:eastAsiaTheme="minorHAnsi" w:hAnsi="Arial" w:cs="Arial"/>
          <w:lang w:val="es-MX"/>
        </w:rPr>
        <w:t>articulador de las redes integradas de servicios en territorios definidos</w:t>
      </w:r>
      <w:r w:rsidRPr="00DC4A74">
        <w:rPr>
          <w:rFonts w:ascii="Arial" w:eastAsiaTheme="minorHAnsi" w:hAnsi="Arial" w:cs="Arial"/>
          <w:vertAlign w:val="superscript"/>
          <w:lang w:val="es-MX"/>
        </w:rPr>
        <w:t>9</w:t>
      </w:r>
      <w:r w:rsidRPr="00DC4A74">
        <w:rPr>
          <w:rFonts w:ascii="Arial" w:eastAsiaTheme="minorHAnsi" w:hAnsi="Arial" w:cs="Arial"/>
          <w:lang w:val="es-MX"/>
        </w:rPr>
        <w:t>.</w:t>
      </w:r>
    </w:p>
    <w:p w14:paraId="59281CF6" w14:textId="77777777" w:rsidR="00850F6D" w:rsidRPr="00DC4A74" w:rsidRDefault="00BF5B3E" w:rsidP="00AA5C93">
      <w:pPr>
        <w:pStyle w:val="Paragraph"/>
        <w:tabs>
          <w:tab w:val="left" w:pos="720"/>
        </w:tabs>
        <w:ind w:left="0" w:firstLine="0"/>
        <w:outlineLvl w:val="9"/>
        <w:rPr>
          <w:rFonts w:ascii="Arial" w:eastAsiaTheme="minorHAnsi" w:hAnsi="Arial" w:cs="Arial"/>
          <w:lang w:val="es-MX"/>
        </w:rPr>
      </w:pPr>
      <w:r w:rsidRPr="00DC4A74">
        <w:rPr>
          <w:rFonts w:ascii="Arial" w:eastAsiaTheme="minorHAnsi" w:hAnsi="Arial" w:cs="Arial"/>
          <w:lang w:val="es-MX"/>
        </w:rPr>
        <w:t>Belo Horizonte expandió la cobertura promedio de los equipos de salud familiar</w:t>
      </w:r>
      <w:r w:rsidR="00B71549" w:rsidRPr="00DC4A74">
        <w:rPr>
          <w:rFonts w:ascii="Arial" w:eastAsiaTheme="minorHAnsi" w:hAnsi="Arial" w:cs="Arial"/>
          <w:lang w:val="es-MX"/>
        </w:rPr>
        <w:t xml:space="preserve"> </w:t>
      </w:r>
      <w:r w:rsidRPr="00DC4A74">
        <w:rPr>
          <w:rFonts w:ascii="Arial" w:eastAsiaTheme="minorHAnsi" w:hAnsi="Arial" w:cs="Arial"/>
          <w:lang w:val="es-MX"/>
        </w:rPr>
        <w:t>de 79% de la población en 2008, a 87% en 2016. Se realizan aproximadamente</w:t>
      </w:r>
      <w:r w:rsidR="00B71549" w:rsidRPr="00DC4A74">
        <w:rPr>
          <w:rFonts w:ascii="Arial" w:eastAsiaTheme="minorHAnsi" w:hAnsi="Arial" w:cs="Arial"/>
          <w:lang w:val="es-MX"/>
        </w:rPr>
        <w:t xml:space="preserve"> </w:t>
      </w:r>
      <w:r w:rsidRPr="00DC4A74">
        <w:rPr>
          <w:rFonts w:ascii="Arial" w:eastAsiaTheme="minorHAnsi" w:hAnsi="Arial" w:cs="Arial"/>
          <w:lang w:val="es-MX"/>
        </w:rPr>
        <w:t>319 mil consultas por mes en los centros de salud, y 252 mil visitas domiciliarias</w:t>
      </w:r>
      <w:r w:rsidR="00B71549" w:rsidRPr="00DC4A74">
        <w:rPr>
          <w:rFonts w:ascii="Arial" w:eastAsiaTheme="minorHAnsi" w:hAnsi="Arial" w:cs="Arial"/>
          <w:lang w:val="es-MX"/>
        </w:rPr>
        <w:t xml:space="preserve"> </w:t>
      </w:r>
      <w:r w:rsidRPr="00DC4A74">
        <w:rPr>
          <w:rFonts w:ascii="Arial" w:eastAsiaTheme="minorHAnsi" w:hAnsi="Arial" w:cs="Arial"/>
          <w:lang w:val="es-MX"/>
        </w:rPr>
        <w:t>por mes por parte de los agentes de salud y de vigilancia de salud cuyos datos</w:t>
      </w:r>
      <w:r w:rsidR="00B71549" w:rsidRPr="00DC4A74">
        <w:rPr>
          <w:rFonts w:ascii="Arial" w:eastAsiaTheme="minorHAnsi" w:hAnsi="Arial" w:cs="Arial"/>
          <w:lang w:val="es-MX"/>
        </w:rPr>
        <w:t xml:space="preserve"> </w:t>
      </w:r>
      <w:r w:rsidRPr="00DC4A74">
        <w:rPr>
          <w:rFonts w:ascii="Arial" w:eastAsiaTheme="minorHAnsi" w:hAnsi="Arial" w:cs="Arial"/>
          <w:lang w:val="es-MX"/>
        </w:rPr>
        <w:t>de acompañamiento se ingresan en el sistema de información del Ministerio de</w:t>
      </w:r>
      <w:r w:rsidR="00B71549" w:rsidRPr="00DC4A74">
        <w:rPr>
          <w:rFonts w:ascii="Arial" w:eastAsiaTheme="minorHAnsi" w:hAnsi="Arial" w:cs="Arial"/>
          <w:lang w:val="es-MX"/>
        </w:rPr>
        <w:t xml:space="preserve"> </w:t>
      </w:r>
      <w:r w:rsidRPr="00DC4A74">
        <w:rPr>
          <w:rFonts w:ascii="Arial" w:eastAsiaTheme="minorHAnsi" w:hAnsi="Arial" w:cs="Arial"/>
          <w:lang w:val="es-MX"/>
        </w:rPr>
        <w:t>Salud (Estrategia e-SUS), y las informaciones de registro, en el Sistema de</w:t>
      </w:r>
      <w:r w:rsidR="00B71549" w:rsidRPr="00DC4A74">
        <w:rPr>
          <w:rFonts w:ascii="Arial" w:eastAsiaTheme="minorHAnsi" w:hAnsi="Arial" w:cs="Arial"/>
          <w:lang w:val="es-MX"/>
        </w:rPr>
        <w:t xml:space="preserve"> </w:t>
      </w:r>
      <w:r w:rsidRPr="00DC4A74">
        <w:rPr>
          <w:rFonts w:ascii="Arial" w:eastAsiaTheme="minorHAnsi" w:hAnsi="Arial" w:cs="Arial"/>
          <w:lang w:val="es-MX"/>
        </w:rPr>
        <w:t>Información de Salud en Red (SISREDE). No obstante, para sostener la amplia</w:t>
      </w:r>
      <w:r w:rsidR="000B13D0" w:rsidRPr="00DC4A74">
        <w:rPr>
          <w:rFonts w:ascii="Arial" w:eastAsiaTheme="minorHAnsi" w:hAnsi="Arial" w:cs="Arial"/>
          <w:lang w:val="es-MX"/>
        </w:rPr>
        <w:t xml:space="preserve"> </w:t>
      </w:r>
      <w:r w:rsidRPr="00DC4A74">
        <w:rPr>
          <w:rFonts w:ascii="Arial" w:eastAsiaTheme="minorHAnsi" w:hAnsi="Arial" w:cs="Arial"/>
          <w:lang w:val="es-MX"/>
        </w:rPr>
        <w:t>cobertura y volumen de servicios con la calidad y eficiencia requeridas, se</w:t>
      </w:r>
      <w:r w:rsidR="00B71549" w:rsidRPr="00DC4A74">
        <w:rPr>
          <w:rFonts w:ascii="Arial" w:eastAsiaTheme="minorHAnsi" w:hAnsi="Arial" w:cs="Arial"/>
          <w:lang w:val="es-MX"/>
        </w:rPr>
        <w:t xml:space="preserve"> </w:t>
      </w:r>
      <w:r w:rsidRPr="00DC4A74">
        <w:rPr>
          <w:rFonts w:ascii="Arial" w:eastAsiaTheme="minorHAnsi" w:hAnsi="Arial" w:cs="Arial"/>
          <w:lang w:val="es-MX"/>
        </w:rPr>
        <w:t>requiere invertir en la recuperación de la infraestructura de los centros de salud,</w:t>
      </w:r>
      <w:r w:rsidR="00B71549" w:rsidRPr="00DC4A74">
        <w:rPr>
          <w:rFonts w:ascii="Arial" w:eastAsiaTheme="minorHAnsi" w:hAnsi="Arial" w:cs="Arial"/>
          <w:lang w:val="es-MX"/>
        </w:rPr>
        <w:t xml:space="preserve"> </w:t>
      </w:r>
      <w:r w:rsidRPr="00DC4A74">
        <w:rPr>
          <w:rFonts w:ascii="Arial" w:eastAsiaTheme="minorHAnsi" w:hAnsi="Arial" w:cs="Arial"/>
          <w:lang w:val="es-MX"/>
        </w:rPr>
        <w:t>75% de los cuales están instalados en edificaciones antiguas o impropias y sin</w:t>
      </w:r>
      <w:r w:rsidR="00B71549" w:rsidRPr="00DC4A74">
        <w:rPr>
          <w:rFonts w:ascii="Arial" w:eastAsiaTheme="minorHAnsi" w:hAnsi="Arial" w:cs="Arial"/>
          <w:lang w:val="es-MX"/>
        </w:rPr>
        <w:t xml:space="preserve"> </w:t>
      </w:r>
      <w:r w:rsidRPr="00DC4A74">
        <w:rPr>
          <w:rFonts w:ascii="Arial" w:eastAsiaTheme="minorHAnsi" w:hAnsi="Arial" w:cs="Arial"/>
          <w:lang w:val="es-MX"/>
        </w:rPr>
        <w:t>normalización</w:t>
      </w:r>
      <w:r w:rsidRPr="00DC4A74">
        <w:rPr>
          <w:rFonts w:ascii="Arial" w:eastAsiaTheme="minorHAnsi" w:hAnsi="Arial" w:cs="Arial"/>
          <w:vertAlign w:val="superscript"/>
          <w:lang w:val="es-MX"/>
        </w:rPr>
        <w:t>10</w:t>
      </w:r>
      <w:r w:rsidRPr="00DC4A74">
        <w:rPr>
          <w:rFonts w:ascii="Arial" w:eastAsiaTheme="minorHAnsi" w:hAnsi="Arial" w:cs="Arial"/>
          <w:lang w:val="es-MX"/>
        </w:rPr>
        <w:t>, y la renovación del equipamiento médico. Por su parte, el</w:t>
      </w:r>
      <w:r w:rsidR="00B71549" w:rsidRPr="00DC4A74">
        <w:rPr>
          <w:rFonts w:ascii="Arial" w:eastAsiaTheme="minorHAnsi" w:hAnsi="Arial" w:cs="Arial"/>
          <w:lang w:val="es-MX"/>
        </w:rPr>
        <w:t xml:space="preserve"> </w:t>
      </w:r>
      <w:r w:rsidRPr="00DC4A74">
        <w:rPr>
          <w:rFonts w:ascii="Arial" w:eastAsiaTheme="minorHAnsi" w:hAnsi="Arial" w:cs="Arial"/>
          <w:lang w:val="es-MX"/>
        </w:rPr>
        <w:t>SISREDE fue desarrollado en 2002 en una tecnología actualmente obsoleta, que</w:t>
      </w:r>
      <w:r w:rsidR="00B71549" w:rsidRPr="00DC4A74">
        <w:rPr>
          <w:rFonts w:ascii="Arial" w:eastAsiaTheme="minorHAnsi" w:hAnsi="Arial" w:cs="Arial"/>
          <w:lang w:val="es-MX"/>
        </w:rPr>
        <w:t xml:space="preserve"> </w:t>
      </w:r>
      <w:r w:rsidRPr="00DC4A74">
        <w:rPr>
          <w:rFonts w:ascii="Arial" w:eastAsiaTheme="minorHAnsi" w:hAnsi="Arial" w:cs="Arial"/>
          <w:lang w:val="es-MX"/>
        </w:rPr>
        <w:t>presenta fallas y altos costos de mantenimiento, y no tiene opción de agregar</w:t>
      </w:r>
      <w:r w:rsidR="000B13D0" w:rsidRPr="00DC4A74">
        <w:rPr>
          <w:rFonts w:ascii="Arial" w:eastAsiaTheme="minorHAnsi" w:hAnsi="Arial" w:cs="Arial"/>
          <w:lang w:val="es-MX"/>
        </w:rPr>
        <w:t xml:space="preserve"> </w:t>
      </w:r>
      <w:r w:rsidRPr="00DC4A74">
        <w:rPr>
          <w:rFonts w:ascii="Arial" w:eastAsiaTheme="minorHAnsi" w:hAnsi="Arial" w:cs="Arial"/>
          <w:lang w:val="es-MX"/>
        </w:rPr>
        <w:t>nuevas funcionalidades para substituir trabajos manuales en aras de asegurar</w:t>
      </w:r>
      <w:r w:rsidR="00B71549" w:rsidRPr="00DC4A74">
        <w:rPr>
          <w:rFonts w:ascii="Arial" w:eastAsiaTheme="minorHAnsi" w:hAnsi="Arial" w:cs="Arial"/>
          <w:lang w:val="es-MX"/>
        </w:rPr>
        <w:t xml:space="preserve"> </w:t>
      </w:r>
      <w:r w:rsidRPr="00DC4A74">
        <w:rPr>
          <w:rFonts w:ascii="Arial" w:eastAsiaTheme="minorHAnsi" w:hAnsi="Arial" w:cs="Arial"/>
          <w:lang w:val="es-MX"/>
        </w:rPr>
        <w:t>mayor confiabilidad y agilidad en la consolidación de los datos.</w:t>
      </w:r>
      <w:r w:rsidR="00B71549" w:rsidRPr="00DC4A74">
        <w:rPr>
          <w:rFonts w:ascii="Arial" w:eastAsiaTheme="minorHAnsi" w:hAnsi="Arial" w:cs="Arial"/>
          <w:lang w:val="es-MX"/>
        </w:rPr>
        <w:t xml:space="preserve"> </w:t>
      </w:r>
      <w:bookmarkStart w:id="1" w:name="_Toc422751911"/>
      <w:bookmarkStart w:id="2" w:name="_Ref285380113"/>
    </w:p>
    <w:p w14:paraId="72EBDE55" w14:textId="77777777" w:rsidR="00A1159F" w:rsidRPr="00D75FE1" w:rsidRDefault="00A1159F" w:rsidP="00A1159F">
      <w:pPr>
        <w:pStyle w:val="Heading2"/>
        <w:spacing w:before="0"/>
        <w:rPr>
          <w:rFonts w:ascii="Arial" w:hAnsi="Arial" w:cs="Arial"/>
          <w:b/>
          <w:bCs/>
          <w:color w:val="auto"/>
          <w:sz w:val="22"/>
          <w:szCs w:val="22"/>
          <w:lang w:val="es-MX"/>
        </w:rPr>
      </w:pPr>
      <w:r w:rsidRPr="00DC4A74">
        <w:rPr>
          <w:rFonts w:ascii="Arial" w:hAnsi="Arial" w:cs="Arial"/>
          <w:b/>
          <w:bCs/>
          <w:color w:val="auto"/>
          <w:sz w:val="22"/>
          <w:szCs w:val="22"/>
          <w:lang w:val="es-MX"/>
        </w:rPr>
        <w:t>B.</w:t>
      </w:r>
      <w:r w:rsidRPr="00DC4A74">
        <w:rPr>
          <w:rFonts w:ascii="Arial" w:hAnsi="Arial" w:cs="Arial"/>
          <w:b/>
          <w:bCs/>
          <w:color w:val="auto"/>
          <w:sz w:val="22"/>
          <w:szCs w:val="22"/>
          <w:lang w:val="es-MX"/>
        </w:rPr>
        <w:tab/>
        <w:t>Objetivos, Componen</w:t>
      </w:r>
      <w:r w:rsidRPr="00D75FE1">
        <w:rPr>
          <w:rFonts w:ascii="Arial" w:hAnsi="Arial" w:cs="Arial"/>
          <w:b/>
          <w:bCs/>
          <w:color w:val="auto"/>
          <w:sz w:val="22"/>
          <w:szCs w:val="22"/>
          <w:lang w:val="es-MX"/>
        </w:rPr>
        <w:t>tes y Costo</w:t>
      </w:r>
      <w:bookmarkEnd w:id="1"/>
    </w:p>
    <w:bookmarkEnd w:id="2"/>
    <w:p w14:paraId="516A855A" w14:textId="77777777" w:rsidR="0013584A" w:rsidRPr="005A3C3E" w:rsidRDefault="0013584A" w:rsidP="0013584A">
      <w:pPr>
        <w:pStyle w:val="Paragraph"/>
        <w:tabs>
          <w:tab w:val="clear" w:pos="720"/>
        </w:tabs>
        <w:ind w:left="0" w:firstLine="0"/>
        <w:rPr>
          <w:rFonts w:ascii="Arial" w:hAnsi="Arial" w:cs="Arial"/>
          <w:lang w:val="es-419"/>
        </w:rPr>
      </w:pPr>
      <w:r w:rsidRPr="00B154D3">
        <w:rPr>
          <w:rFonts w:ascii="Arial" w:hAnsi="Arial" w:cs="Arial"/>
          <w:b/>
          <w:lang w:val="es-419"/>
        </w:rPr>
        <w:t>Objetivo.</w:t>
      </w:r>
      <w:r w:rsidRPr="0039651C">
        <w:rPr>
          <w:rFonts w:ascii="Arial" w:hAnsi="Arial" w:cs="Arial"/>
          <w:lang w:val="es-419"/>
        </w:rPr>
        <w:t xml:space="preserve"> </w:t>
      </w:r>
      <w:r w:rsidRPr="00DA5A41">
        <w:rPr>
          <w:rFonts w:ascii="Arial" w:hAnsi="Arial" w:cs="Arial"/>
          <w:lang w:val="es-419"/>
        </w:rPr>
        <w:t>El programa tiene como objetivo mejorar el estado de salud de la población de Belo Horizonte mediante el aumento del acceso, calidad y eficiencia de los servicios de salud.</w:t>
      </w:r>
      <w:r w:rsidRPr="0039651C">
        <w:rPr>
          <w:rFonts w:ascii="Arial" w:hAnsi="Arial" w:cs="Arial"/>
          <w:lang w:val="es-419"/>
        </w:rPr>
        <w:t xml:space="preserve"> Se beneficiarán del programa todos los residentes de BH, especialmente </w:t>
      </w:r>
      <w:r>
        <w:rPr>
          <w:rFonts w:ascii="Arial" w:hAnsi="Arial" w:cs="Arial"/>
          <w:lang w:val="es-419"/>
        </w:rPr>
        <w:t>2,1</w:t>
      </w:r>
      <w:r w:rsidRPr="0039651C">
        <w:rPr>
          <w:rFonts w:ascii="Arial" w:hAnsi="Arial" w:cs="Arial"/>
          <w:lang w:val="es-419"/>
        </w:rPr>
        <w:t xml:space="preserve"> mill</w:t>
      </w:r>
      <w:r>
        <w:rPr>
          <w:rFonts w:ascii="Arial" w:hAnsi="Arial" w:cs="Arial"/>
          <w:lang w:val="es-419"/>
        </w:rPr>
        <w:t>ones</w:t>
      </w:r>
      <w:r w:rsidRPr="0039651C">
        <w:rPr>
          <w:rFonts w:ascii="Arial" w:hAnsi="Arial" w:cs="Arial"/>
          <w:lang w:val="es-419"/>
        </w:rPr>
        <w:t xml:space="preserve"> de personas del municipio </w:t>
      </w:r>
      <w:r>
        <w:rPr>
          <w:rFonts w:ascii="Arial" w:hAnsi="Arial" w:cs="Arial"/>
          <w:lang w:val="es-419"/>
        </w:rPr>
        <w:t>usuarios</w:t>
      </w:r>
      <w:r w:rsidRPr="0039651C">
        <w:rPr>
          <w:rFonts w:ascii="Arial" w:hAnsi="Arial" w:cs="Arial"/>
          <w:lang w:val="es-419"/>
        </w:rPr>
        <w:t xml:space="preserve"> del SUS, así como los usuarios del interior del Estado de</w:t>
      </w:r>
      <w:r w:rsidRPr="0039651C">
        <w:rPr>
          <w:rFonts w:ascii="Arial" w:eastAsiaTheme="minorHAnsi" w:hAnsi="Arial" w:cs="Arial"/>
        </w:rPr>
        <w:t xml:space="preserve"> </w:t>
      </w:r>
      <w:r w:rsidRPr="0039651C">
        <w:rPr>
          <w:rFonts w:ascii="Arial" w:hAnsi="Arial" w:cs="Arial"/>
        </w:rPr>
        <w:t xml:space="preserve">Minas Gerais que acudan a la atención en BH. </w:t>
      </w:r>
      <w:r w:rsidRPr="005A3C3E">
        <w:rPr>
          <w:rFonts w:ascii="Arial" w:hAnsi="Arial" w:cs="Arial"/>
          <w:lang w:val="es-419"/>
        </w:rPr>
        <w:t>La operación cuenta con los siguientes cuatro componentes:</w:t>
      </w:r>
    </w:p>
    <w:p w14:paraId="7E8A9BC4" w14:textId="77777777" w:rsidR="0013584A" w:rsidRDefault="0013584A" w:rsidP="0013584A">
      <w:pPr>
        <w:pStyle w:val="Paragraph"/>
        <w:tabs>
          <w:tab w:val="clear" w:pos="720"/>
        </w:tabs>
        <w:ind w:left="0" w:firstLine="0"/>
        <w:rPr>
          <w:rFonts w:ascii="Arial" w:hAnsi="Arial" w:cs="Arial"/>
          <w:lang w:val="es-419"/>
        </w:rPr>
      </w:pPr>
      <w:r w:rsidRPr="00B154D3">
        <w:rPr>
          <w:rFonts w:ascii="Arial" w:hAnsi="Arial" w:cs="Arial"/>
          <w:b/>
          <w:lang w:val="es-419"/>
        </w:rPr>
        <w:t>Componente 1. Fortalecimiento de las redes de atención primaria y vigilancia en salud (BID US$19,8</w:t>
      </w:r>
      <w:r>
        <w:rPr>
          <w:rFonts w:ascii="Arial" w:hAnsi="Arial" w:cs="Arial"/>
          <w:b/>
          <w:lang w:val="es-419"/>
        </w:rPr>
        <w:t>2</w:t>
      </w:r>
      <w:r w:rsidRPr="00B154D3">
        <w:rPr>
          <w:rFonts w:ascii="Arial" w:hAnsi="Arial" w:cs="Arial"/>
          <w:b/>
          <w:lang w:val="es-419"/>
        </w:rPr>
        <w:t xml:space="preserve"> millones).</w:t>
      </w:r>
      <w:r w:rsidRPr="00B154D3">
        <w:rPr>
          <w:rFonts w:ascii="Arial" w:hAnsi="Arial" w:cs="Arial"/>
          <w:lang w:val="es-419"/>
        </w:rPr>
        <w:t xml:space="preserve"> Este componente apoyará la ampliación y mejoramiento de la calidad de los servicios de atención básica de salud para que funcionen como puerta de entrada y coordinador del cuidado, conforme la política nacional de redes de atención. También solucionará problemas en el sistema de vigilancia en salud y promoverá su mejor integración con los servicios primarios. Se financiará la reconstrucción y renovación de equipamientos y mobiliario de 12 Unidades Básicas de Salud (UBS) en las áreas del municipio de mayor necesidad, permitiendo así ampliar servicios y superar vacíos asistenciales.</w:t>
      </w:r>
      <w:r>
        <w:rPr>
          <w:rFonts w:ascii="Arial" w:hAnsi="Arial" w:cs="Arial"/>
          <w:lang w:val="es-419"/>
        </w:rPr>
        <w:t xml:space="preserve"> Se renovará el equipamiento deteriorado y obsoleto de la mayor parte de las unidades de la red de atención básica.</w:t>
      </w:r>
      <w:r w:rsidRPr="00B154D3">
        <w:rPr>
          <w:rFonts w:ascii="Arial" w:hAnsi="Arial" w:cs="Arial"/>
          <w:lang w:val="es-419"/>
        </w:rPr>
        <w:t xml:space="preserve"> Para mantener los niveles de inmunización y la disponibilidad de insumos biológicos críticos</w:t>
      </w:r>
      <w:r>
        <w:rPr>
          <w:rStyle w:val="FootnoteReference"/>
          <w:rFonts w:cs="Arial"/>
          <w:sz w:val="22"/>
          <w:lang w:val="es-419"/>
        </w:rPr>
        <w:footnoteReference w:id="7"/>
      </w:r>
      <w:r w:rsidRPr="00B154D3">
        <w:rPr>
          <w:rFonts w:ascii="Arial" w:hAnsi="Arial" w:cs="Arial"/>
          <w:lang w:val="es-419"/>
        </w:rPr>
        <w:t>, se adquirirá equipamiento para la red de frío municipal, necesario para garantizar la conservación de las vacunas, sueros e inmunoglobulina desde el laboratorio hasta el usuario (almacenamiento, transporte, distribución). Finalmente, se proveerá la</w:t>
      </w:r>
      <w:r>
        <w:rPr>
          <w:rFonts w:ascii="Arial" w:hAnsi="Arial" w:cs="Arial"/>
          <w:lang w:val="es-419"/>
        </w:rPr>
        <w:t xml:space="preserve"> </w:t>
      </w:r>
      <w:r w:rsidRPr="00B154D3">
        <w:rPr>
          <w:rFonts w:ascii="Arial" w:hAnsi="Arial" w:cs="Arial"/>
          <w:lang w:val="es-419"/>
        </w:rPr>
        <w:t>modernización tecnológica de las acciones de vigilancia.</w:t>
      </w:r>
    </w:p>
    <w:p w14:paraId="2686B8BF" w14:textId="77777777" w:rsidR="0013584A" w:rsidRDefault="0013584A" w:rsidP="0013584A">
      <w:pPr>
        <w:pStyle w:val="Paragraph"/>
        <w:tabs>
          <w:tab w:val="clear" w:pos="720"/>
        </w:tabs>
        <w:ind w:left="0" w:firstLine="0"/>
        <w:rPr>
          <w:rFonts w:ascii="Arial" w:hAnsi="Arial" w:cs="Arial"/>
          <w:lang w:val="es-419"/>
        </w:rPr>
      </w:pPr>
      <w:r w:rsidRPr="006F3292">
        <w:rPr>
          <w:rFonts w:ascii="Arial" w:hAnsi="Arial" w:cs="Arial"/>
          <w:b/>
          <w:lang w:val="es-419"/>
        </w:rPr>
        <w:t>Componente 2. Consolidación e integración de servicios especializados</w:t>
      </w:r>
      <w:r>
        <w:rPr>
          <w:rFonts w:ascii="Arial" w:hAnsi="Arial" w:cs="Arial"/>
          <w:b/>
          <w:lang w:val="es-419"/>
        </w:rPr>
        <w:t>,</w:t>
      </w:r>
      <w:r w:rsidRPr="006F3292">
        <w:rPr>
          <w:rFonts w:ascii="Arial" w:hAnsi="Arial" w:cs="Arial"/>
          <w:b/>
          <w:lang w:val="es-419"/>
        </w:rPr>
        <w:t xml:space="preserve"> de emergencia</w:t>
      </w:r>
      <w:r>
        <w:rPr>
          <w:rFonts w:ascii="Arial" w:hAnsi="Arial" w:cs="Arial"/>
          <w:b/>
          <w:lang w:val="es-419"/>
        </w:rPr>
        <w:t>, y hospitalarios</w:t>
      </w:r>
      <w:r w:rsidRPr="006F3292">
        <w:rPr>
          <w:rFonts w:ascii="Arial" w:hAnsi="Arial" w:cs="Arial"/>
          <w:b/>
          <w:lang w:val="es-419"/>
        </w:rPr>
        <w:t xml:space="preserve"> (BID US$18,4</w:t>
      </w:r>
      <w:r>
        <w:rPr>
          <w:rFonts w:ascii="Arial" w:hAnsi="Arial" w:cs="Arial"/>
          <w:b/>
          <w:lang w:val="es-419"/>
        </w:rPr>
        <w:t>0</w:t>
      </w:r>
      <w:r w:rsidRPr="006F3292">
        <w:rPr>
          <w:rFonts w:ascii="Arial" w:hAnsi="Arial" w:cs="Arial"/>
          <w:b/>
          <w:lang w:val="es-419"/>
        </w:rPr>
        <w:t xml:space="preserve"> millones; Local US$14,0</w:t>
      </w:r>
      <w:r>
        <w:rPr>
          <w:rFonts w:ascii="Arial" w:hAnsi="Arial" w:cs="Arial"/>
          <w:b/>
          <w:lang w:val="es-419"/>
        </w:rPr>
        <w:t>0</w:t>
      </w:r>
      <w:r w:rsidRPr="006F3292">
        <w:rPr>
          <w:rFonts w:ascii="Arial" w:hAnsi="Arial" w:cs="Arial"/>
          <w:b/>
          <w:lang w:val="es-419"/>
        </w:rPr>
        <w:t xml:space="preserve"> millones).</w:t>
      </w:r>
      <w:r w:rsidRPr="006F3292">
        <w:rPr>
          <w:rFonts w:ascii="Arial" w:hAnsi="Arial" w:cs="Arial"/>
          <w:lang w:val="es-419"/>
        </w:rPr>
        <w:t xml:space="preserve"> El objetivo de este componente es reforzar servicios estratégicos para fortalecer la red diagnóstica y de mediana y alta complejidad para que pueda resolver mejor las referencias del primer nivel de atención y las urgencias/emergencias. Se financiarán: (i) la construcción, reforma y equipamiento de </w:t>
      </w:r>
      <w:r>
        <w:rPr>
          <w:rFonts w:ascii="Arial" w:hAnsi="Arial" w:cs="Arial"/>
          <w:lang w:val="es-419"/>
        </w:rPr>
        <w:t xml:space="preserve">cuatro </w:t>
      </w:r>
      <w:r w:rsidRPr="006F3292">
        <w:rPr>
          <w:rFonts w:ascii="Arial" w:hAnsi="Arial" w:cs="Arial"/>
          <w:lang w:val="es-419"/>
        </w:rPr>
        <w:t>UPA; (ii) la ampliación</w:t>
      </w:r>
      <w:r>
        <w:rPr>
          <w:rFonts w:ascii="Arial" w:hAnsi="Arial" w:cs="Arial"/>
          <w:lang w:val="es-419"/>
        </w:rPr>
        <w:t xml:space="preserve"> y reconstrucción de dos centros de atención de salud mental; (iii) dotación de equipamiento adicional y de reemplazo para varios servicios del HOB, especialmente el área de maternidad, para el manejo de pacientes de alto riesgo; (iv) reposicionamiento de equipamiento de las</w:t>
      </w:r>
      <w:r w:rsidRPr="006F3292">
        <w:rPr>
          <w:rFonts w:ascii="Arial" w:hAnsi="Arial" w:cs="Arial"/>
          <w:lang w:val="es-419"/>
        </w:rPr>
        <w:t xml:space="preserve"> unidades especializadas, priorizando</w:t>
      </w:r>
      <w:r>
        <w:rPr>
          <w:rFonts w:ascii="Arial" w:hAnsi="Arial" w:cs="Arial"/>
          <w:lang w:val="es-419"/>
        </w:rPr>
        <w:t xml:space="preserve"> algunos vacíos asistenciales en las áreas de</w:t>
      </w:r>
      <w:r w:rsidRPr="006F3292">
        <w:rPr>
          <w:rFonts w:ascii="Arial" w:hAnsi="Arial" w:cs="Arial"/>
          <w:lang w:val="es-419"/>
        </w:rPr>
        <w:t xml:space="preserve"> salud mental, materno-infantil y determinadas especialidades médicas (vascular, </w:t>
      </w:r>
      <w:r w:rsidRPr="006F3292">
        <w:rPr>
          <w:rFonts w:ascii="Arial" w:hAnsi="Arial" w:cs="Arial"/>
          <w:lang w:val="es-419"/>
        </w:rPr>
        <w:lastRenderedPageBreak/>
        <w:t>neurología, urología y pediatría)</w:t>
      </w:r>
      <w:r>
        <w:rPr>
          <w:rStyle w:val="FootnoteReference"/>
          <w:rFonts w:cs="Arial"/>
          <w:sz w:val="22"/>
          <w:lang w:val="es-419"/>
        </w:rPr>
        <w:footnoteReference w:id="8"/>
      </w:r>
      <w:r w:rsidRPr="006F3292">
        <w:rPr>
          <w:rFonts w:ascii="Arial" w:hAnsi="Arial" w:cs="Arial"/>
          <w:lang w:val="es-419"/>
        </w:rPr>
        <w:t>; y (</w:t>
      </w:r>
      <w:r>
        <w:rPr>
          <w:rFonts w:ascii="Arial" w:hAnsi="Arial" w:cs="Arial"/>
          <w:lang w:val="es-419"/>
        </w:rPr>
        <w:t>v</w:t>
      </w:r>
      <w:r w:rsidRPr="006F3292">
        <w:rPr>
          <w:rFonts w:ascii="Arial" w:hAnsi="Arial" w:cs="Arial"/>
          <w:lang w:val="es-419"/>
        </w:rPr>
        <w:t>) el funcionamiento del hospital metropolitano bajo el esquema de asociación público-privada, con recursos de</w:t>
      </w:r>
      <w:r>
        <w:rPr>
          <w:rFonts w:ascii="Arial" w:hAnsi="Arial" w:cs="Arial"/>
          <w:lang w:val="es-419"/>
        </w:rPr>
        <w:t xml:space="preserve"> </w:t>
      </w:r>
      <w:r w:rsidRPr="006F3292">
        <w:rPr>
          <w:rFonts w:ascii="Arial" w:hAnsi="Arial" w:cs="Arial"/>
          <w:lang w:val="es-419"/>
        </w:rPr>
        <w:t>contrapartida local.</w:t>
      </w:r>
    </w:p>
    <w:p w14:paraId="196A4BAF" w14:textId="77777777" w:rsidR="0013584A" w:rsidRPr="00B23270" w:rsidRDefault="0013584A" w:rsidP="0013584A">
      <w:pPr>
        <w:pStyle w:val="Paragraph"/>
        <w:tabs>
          <w:tab w:val="clear" w:pos="720"/>
        </w:tabs>
        <w:ind w:left="0" w:firstLine="0"/>
        <w:rPr>
          <w:rFonts w:ascii="Arial" w:hAnsi="Arial" w:cs="Arial"/>
          <w:lang w:val="es-419"/>
        </w:rPr>
      </w:pPr>
      <w:r w:rsidRPr="00690AF7">
        <w:rPr>
          <w:rFonts w:ascii="Arial" w:hAnsi="Arial" w:cs="Arial"/>
          <w:b/>
          <w:lang w:val="es-419"/>
        </w:rPr>
        <w:t>Componente 3. Mejoramiento de la gestión, calidad y eficiencia de las redes integradas (BID US$16,8</w:t>
      </w:r>
      <w:r>
        <w:rPr>
          <w:rFonts w:ascii="Arial" w:hAnsi="Arial" w:cs="Arial"/>
          <w:b/>
          <w:lang w:val="es-419"/>
        </w:rPr>
        <w:t>0</w:t>
      </w:r>
      <w:r w:rsidRPr="00690AF7">
        <w:rPr>
          <w:rFonts w:ascii="Arial" w:hAnsi="Arial" w:cs="Arial"/>
          <w:b/>
          <w:lang w:val="es-419"/>
        </w:rPr>
        <w:t xml:space="preserve"> millones).</w:t>
      </w:r>
      <w:r w:rsidRPr="00690AF7">
        <w:rPr>
          <w:rFonts w:ascii="Arial" w:hAnsi="Arial" w:cs="Arial"/>
          <w:lang w:val="es-419"/>
        </w:rPr>
        <w:t xml:space="preserve"> Este componente tiene como objetivo incrementar la capacidad de gestión de los servicios, involucrando la implementación de mecanismos de promoción de la calidad y eficiencia, a través de abordajes innovadores. </w:t>
      </w:r>
      <w:r>
        <w:rPr>
          <w:rFonts w:ascii="Arial" w:hAnsi="Arial" w:cs="Arial"/>
          <w:lang w:val="es-419"/>
        </w:rPr>
        <w:t>Los recursos del programa fi</w:t>
      </w:r>
      <w:r w:rsidRPr="00690AF7">
        <w:rPr>
          <w:rFonts w:ascii="Arial" w:hAnsi="Arial" w:cs="Arial"/>
          <w:lang w:val="es-419"/>
        </w:rPr>
        <w:t>nanciará</w:t>
      </w:r>
      <w:r>
        <w:rPr>
          <w:rFonts w:ascii="Arial" w:hAnsi="Arial" w:cs="Arial"/>
          <w:lang w:val="es-419"/>
        </w:rPr>
        <w:t>n</w:t>
      </w:r>
      <w:r w:rsidRPr="00690AF7">
        <w:rPr>
          <w:rFonts w:ascii="Arial" w:hAnsi="Arial" w:cs="Arial"/>
          <w:lang w:val="es-419"/>
        </w:rPr>
        <w:t>: (i) la solución tecnológica integrada de información, incluyendo la historia clínica electrónica para la atención primaria, secundaria y la regulación de acceso a los servicios, utilizando tecnologías de punta; (ii) el proyecto de gerenciamiento estratégico de costos, calidad y eficiencia de los establecimientos de salud que permita evaluar la utilización de</w:t>
      </w:r>
      <w:r w:rsidRPr="00690AF7">
        <w:rPr>
          <w:rFonts w:ascii="Arial" w:eastAsiaTheme="minorHAnsi" w:hAnsi="Arial" w:cs="Arial"/>
        </w:rPr>
        <w:t xml:space="preserve"> </w:t>
      </w:r>
      <w:r w:rsidRPr="00690AF7">
        <w:rPr>
          <w:rFonts w:ascii="Arial" w:hAnsi="Arial" w:cs="Arial"/>
        </w:rPr>
        <w:t>recursos y sus resultados, y mapear y rediseñar procesos críticos; (iii) la gestión de la calidad y seguridad del paciente, por medio de</w:t>
      </w:r>
      <w:r>
        <w:rPr>
          <w:rFonts w:ascii="Arial" w:hAnsi="Arial" w:cs="Arial"/>
        </w:rPr>
        <w:t xml:space="preserve"> la acreditación y certificación de servicios y</w:t>
      </w:r>
      <w:r w:rsidRPr="00690AF7">
        <w:rPr>
          <w:rFonts w:ascii="Arial" w:hAnsi="Arial" w:cs="Arial"/>
        </w:rPr>
        <w:t xml:space="preserve"> la</w:t>
      </w:r>
      <w:r>
        <w:rPr>
          <w:rFonts w:ascii="Arial" w:hAnsi="Arial" w:cs="Arial"/>
        </w:rPr>
        <w:t xml:space="preserve"> aplicación de la</w:t>
      </w:r>
      <w:r w:rsidRPr="00690AF7">
        <w:rPr>
          <w:rFonts w:ascii="Arial" w:hAnsi="Arial" w:cs="Arial"/>
        </w:rPr>
        <w:t xml:space="preserve"> metodología de ciclos de mejoramiento continuo.</w:t>
      </w:r>
    </w:p>
    <w:p w14:paraId="00F38C5C" w14:textId="1DE63951" w:rsidR="00F450AB" w:rsidRPr="00D75FE1" w:rsidRDefault="0013584A" w:rsidP="0013584A">
      <w:pPr>
        <w:pStyle w:val="Paragraph"/>
        <w:tabs>
          <w:tab w:val="left" w:pos="720"/>
        </w:tabs>
        <w:ind w:left="0" w:firstLine="0"/>
        <w:outlineLvl w:val="9"/>
        <w:rPr>
          <w:rFonts w:ascii="Arial" w:hAnsi="Arial" w:cs="Arial"/>
          <w:lang w:val="es-MX"/>
        </w:rPr>
      </w:pPr>
      <w:r w:rsidRPr="00710148">
        <w:rPr>
          <w:rFonts w:ascii="Arial" w:hAnsi="Arial" w:cs="Arial"/>
          <w:b/>
          <w:lang w:val="es-419"/>
        </w:rPr>
        <w:t>Componente 4. Administración y evaluación del programa (BID US$1,0</w:t>
      </w:r>
      <w:r>
        <w:rPr>
          <w:rFonts w:ascii="Arial" w:hAnsi="Arial" w:cs="Arial"/>
          <w:b/>
          <w:lang w:val="es-419"/>
        </w:rPr>
        <w:t>0</w:t>
      </w:r>
      <w:r w:rsidRPr="00710148">
        <w:rPr>
          <w:rFonts w:ascii="Arial" w:hAnsi="Arial" w:cs="Arial"/>
          <w:b/>
          <w:lang w:val="es-419"/>
        </w:rPr>
        <w:t xml:space="preserve"> millón).</w:t>
      </w:r>
      <w:r w:rsidRPr="00710148">
        <w:rPr>
          <w:rFonts w:ascii="Arial" w:hAnsi="Arial" w:cs="Arial"/>
          <w:lang w:val="es-419"/>
        </w:rPr>
        <w:t xml:space="preserve"> Las acciones de este componente consisten en la ejecución y gestión del programa, el seguimiento de actividades y la medición de los resultados. Los recursos </w:t>
      </w:r>
      <w:r>
        <w:rPr>
          <w:rFonts w:ascii="Arial" w:hAnsi="Arial" w:cs="Arial"/>
          <w:lang w:val="es-419"/>
        </w:rPr>
        <w:t>serán aplicados para apoyar a los</w:t>
      </w:r>
      <w:r w:rsidRPr="00710148">
        <w:rPr>
          <w:rFonts w:ascii="Arial" w:hAnsi="Arial" w:cs="Arial"/>
          <w:lang w:val="es-419"/>
        </w:rPr>
        <w:t xml:space="preserve"> servicios de administración del programa, supervisión de obras, auditoría, y evaluación de la implementación del programa y su impacto.</w:t>
      </w:r>
    </w:p>
    <w:p w14:paraId="1A5C55C1" w14:textId="77777777" w:rsidR="00A1159F" w:rsidRPr="00586A58" w:rsidRDefault="00A1159F" w:rsidP="00D878B4">
      <w:pPr>
        <w:spacing w:before="240" w:after="120"/>
        <w:jc w:val="center"/>
        <w:rPr>
          <w:rFonts w:eastAsia="Cambria" w:cs="Arial"/>
          <w:b/>
          <w:bCs/>
          <w:spacing w:val="0"/>
          <w:sz w:val="18"/>
          <w:szCs w:val="18"/>
          <w:lang w:val="es-MX"/>
        </w:rPr>
      </w:pPr>
      <w:r w:rsidRPr="00586A58">
        <w:rPr>
          <w:rFonts w:eastAsia="Cambria" w:cs="Arial"/>
          <w:b/>
          <w:bCs/>
          <w:spacing w:val="0"/>
          <w:sz w:val="18"/>
          <w:szCs w:val="18"/>
          <w:lang w:val="es-MX"/>
        </w:rPr>
        <w:t xml:space="preserve">Tabla </w:t>
      </w:r>
      <w:r w:rsidRPr="00586A58">
        <w:rPr>
          <w:rFonts w:eastAsia="Cambria" w:cs="Arial"/>
          <w:b/>
          <w:bCs/>
          <w:spacing w:val="0"/>
          <w:sz w:val="18"/>
          <w:szCs w:val="18"/>
          <w:lang w:val="es-MX"/>
        </w:rPr>
        <w:fldChar w:fldCharType="begin"/>
      </w:r>
      <w:r w:rsidRPr="00586A58">
        <w:rPr>
          <w:rFonts w:eastAsia="Cambria" w:cs="Arial"/>
          <w:b/>
          <w:bCs/>
          <w:spacing w:val="0"/>
          <w:sz w:val="18"/>
          <w:szCs w:val="18"/>
          <w:lang w:val="es-MX"/>
        </w:rPr>
        <w:instrText xml:space="preserve"> SEQ Tabla \* ARABIC </w:instrText>
      </w:r>
      <w:r w:rsidRPr="00586A58">
        <w:rPr>
          <w:rFonts w:eastAsia="Cambria" w:cs="Arial"/>
          <w:b/>
          <w:bCs/>
          <w:spacing w:val="0"/>
          <w:sz w:val="18"/>
          <w:szCs w:val="18"/>
          <w:lang w:val="es-MX"/>
        </w:rPr>
        <w:fldChar w:fldCharType="separate"/>
      </w:r>
      <w:r w:rsidRPr="00586A58">
        <w:rPr>
          <w:rFonts w:eastAsia="Cambria" w:cs="Arial"/>
          <w:b/>
          <w:bCs/>
          <w:noProof/>
          <w:spacing w:val="0"/>
          <w:sz w:val="18"/>
          <w:szCs w:val="18"/>
          <w:lang w:val="es-MX"/>
        </w:rPr>
        <w:t>1</w:t>
      </w:r>
      <w:r w:rsidRPr="00586A58">
        <w:rPr>
          <w:rFonts w:eastAsia="Cambria" w:cs="Arial"/>
          <w:b/>
          <w:bCs/>
          <w:spacing w:val="0"/>
          <w:sz w:val="18"/>
          <w:szCs w:val="18"/>
          <w:lang w:val="es-MX"/>
        </w:rPr>
        <w:fldChar w:fldCharType="end"/>
      </w:r>
      <w:r w:rsidRPr="00586A58">
        <w:rPr>
          <w:rFonts w:eastAsia="Cambria" w:cs="Arial"/>
          <w:b/>
          <w:bCs/>
          <w:spacing w:val="0"/>
          <w:sz w:val="18"/>
          <w:szCs w:val="18"/>
          <w:lang w:val="es-MX"/>
        </w:rPr>
        <w:t>. Costos de la operación (millones de dólares)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8"/>
        <w:gridCol w:w="1013"/>
        <w:gridCol w:w="940"/>
        <w:gridCol w:w="1041"/>
      </w:tblGrid>
      <w:tr w:rsidR="00A1159F" w:rsidRPr="00586A58" w14:paraId="791B3BAC" w14:textId="77777777" w:rsidTr="00A1159F">
        <w:trPr>
          <w:jc w:val="center"/>
        </w:trPr>
        <w:tc>
          <w:tcPr>
            <w:tcW w:w="5028" w:type="dxa"/>
            <w:tcBorders>
              <w:top w:val="single" w:sz="4" w:space="0" w:color="auto"/>
              <w:left w:val="single" w:sz="4" w:space="0" w:color="auto"/>
              <w:bottom w:val="single" w:sz="4" w:space="0" w:color="auto"/>
              <w:right w:val="single" w:sz="4" w:space="0" w:color="auto"/>
            </w:tcBorders>
            <w:shd w:val="clear" w:color="auto" w:fill="8DB3E2"/>
            <w:hideMark/>
          </w:tcPr>
          <w:p w14:paraId="635286A8" w14:textId="77777777" w:rsidR="00A1159F" w:rsidRPr="00586A58" w:rsidRDefault="00A1159F">
            <w:pPr>
              <w:spacing w:after="100" w:afterAutospacing="1"/>
              <w:jc w:val="center"/>
              <w:rPr>
                <w:rFonts w:cs="Arial"/>
                <w:b/>
                <w:sz w:val="18"/>
                <w:szCs w:val="18"/>
                <w:lang w:val="es-MX"/>
              </w:rPr>
            </w:pPr>
            <w:r w:rsidRPr="00586A58">
              <w:rPr>
                <w:rFonts w:cs="Arial"/>
                <w:b/>
                <w:sz w:val="18"/>
                <w:szCs w:val="18"/>
                <w:lang w:val="es-MX"/>
              </w:rPr>
              <w:t>Componentes</w:t>
            </w:r>
          </w:p>
        </w:tc>
        <w:tc>
          <w:tcPr>
            <w:tcW w:w="1013" w:type="dxa"/>
            <w:tcBorders>
              <w:top w:val="single" w:sz="4" w:space="0" w:color="auto"/>
              <w:left w:val="single" w:sz="4" w:space="0" w:color="auto"/>
              <w:bottom w:val="single" w:sz="4" w:space="0" w:color="auto"/>
              <w:right w:val="single" w:sz="4" w:space="0" w:color="auto"/>
            </w:tcBorders>
            <w:shd w:val="clear" w:color="auto" w:fill="8DB3E2"/>
            <w:hideMark/>
          </w:tcPr>
          <w:p w14:paraId="7004D38D" w14:textId="77777777" w:rsidR="00A1159F" w:rsidRPr="00586A58" w:rsidRDefault="00A1159F">
            <w:pPr>
              <w:spacing w:after="100" w:afterAutospacing="1"/>
              <w:jc w:val="center"/>
              <w:rPr>
                <w:rFonts w:cs="Arial"/>
                <w:b/>
                <w:sz w:val="18"/>
                <w:szCs w:val="18"/>
                <w:lang w:val="es-MX"/>
              </w:rPr>
            </w:pPr>
            <w:r w:rsidRPr="00586A58">
              <w:rPr>
                <w:rFonts w:cs="Arial"/>
                <w:b/>
                <w:sz w:val="18"/>
                <w:szCs w:val="18"/>
                <w:lang w:val="es-MX"/>
              </w:rPr>
              <w:t xml:space="preserve">BID </w:t>
            </w:r>
          </w:p>
        </w:tc>
        <w:tc>
          <w:tcPr>
            <w:tcW w:w="940" w:type="dxa"/>
            <w:tcBorders>
              <w:top w:val="single" w:sz="4" w:space="0" w:color="auto"/>
              <w:left w:val="single" w:sz="4" w:space="0" w:color="auto"/>
              <w:bottom w:val="single" w:sz="4" w:space="0" w:color="auto"/>
              <w:right w:val="single" w:sz="4" w:space="0" w:color="auto"/>
            </w:tcBorders>
            <w:shd w:val="clear" w:color="auto" w:fill="8DB3E2"/>
            <w:hideMark/>
          </w:tcPr>
          <w:p w14:paraId="0434BBC4" w14:textId="77777777" w:rsidR="00A1159F" w:rsidRPr="00586A58" w:rsidRDefault="00A1159F">
            <w:pPr>
              <w:spacing w:after="100" w:afterAutospacing="1"/>
              <w:jc w:val="center"/>
              <w:rPr>
                <w:rFonts w:cs="Arial"/>
                <w:b/>
                <w:sz w:val="18"/>
                <w:szCs w:val="18"/>
                <w:lang w:val="es-MX"/>
              </w:rPr>
            </w:pPr>
            <w:r w:rsidRPr="00586A58">
              <w:rPr>
                <w:rFonts w:cs="Arial"/>
                <w:b/>
                <w:sz w:val="18"/>
                <w:szCs w:val="18"/>
                <w:lang w:val="es-MX"/>
              </w:rPr>
              <w:t>Local</w:t>
            </w:r>
          </w:p>
        </w:tc>
        <w:tc>
          <w:tcPr>
            <w:tcW w:w="1041" w:type="dxa"/>
            <w:tcBorders>
              <w:top w:val="single" w:sz="4" w:space="0" w:color="auto"/>
              <w:left w:val="single" w:sz="4" w:space="0" w:color="auto"/>
              <w:bottom w:val="single" w:sz="4" w:space="0" w:color="auto"/>
              <w:right w:val="single" w:sz="4" w:space="0" w:color="auto"/>
            </w:tcBorders>
            <w:shd w:val="clear" w:color="auto" w:fill="8DB3E2"/>
            <w:hideMark/>
          </w:tcPr>
          <w:p w14:paraId="76140546" w14:textId="77777777" w:rsidR="00A1159F" w:rsidRPr="00586A58" w:rsidRDefault="00A1159F">
            <w:pPr>
              <w:spacing w:after="100" w:afterAutospacing="1"/>
              <w:jc w:val="center"/>
              <w:rPr>
                <w:rFonts w:cs="Arial"/>
                <w:b/>
                <w:sz w:val="18"/>
                <w:szCs w:val="18"/>
                <w:lang w:val="es-MX"/>
              </w:rPr>
            </w:pPr>
            <w:r w:rsidRPr="00586A58">
              <w:rPr>
                <w:rFonts w:cs="Arial"/>
                <w:b/>
                <w:sz w:val="18"/>
                <w:szCs w:val="18"/>
                <w:lang w:val="es-MX"/>
              </w:rPr>
              <w:t>Total</w:t>
            </w:r>
          </w:p>
        </w:tc>
      </w:tr>
      <w:tr w:rsidR="00A1159F" w:rsidRPr="00586A58" w14:paraId="21025856" w14:textId="77777777" w:rsidTr="00A1159F">
        <w:trPr>
          <w:jc w:val="center"/>
        </w:trPr>
        <w:tc>
          <w:tcPr>
            <w:tcW w:w="5028" w:type="dxa"/>
            <w:tcBorders>
              <w:top w:val="single" w:sz="4" w:space="0" w:color="auto"/>
              <w:left w:val="single" w:sz="4" w:space="0" w:color="auto"/>
              <w:bottom w:val="single" w:sz="4" w:space="0" w:color="auto"/>
              <w:right w:val="single" w:sz="4" w:space="0" w:color="auto"/>
            </w:tcBorders>
            <w:hideMark/>
          </w:tcPr>
          <w:p w14:paraId="24CD2F65" w14:textId="77777777" w:rsidR="00A1159F" w:rsidRPr="00586A58" w:rsidRDefault="00A1159F" w:rsidP="006B6A52">
            <w:pPr>
              <w:spacing w:after="100" w:afterAutospacing="1"/>
              <w:rPr>
                <w:rFonts w:cs="Arial"/>
                <w:sz w:val="18"/>
                <w:szCs w:val="18"/>
                <w:lang w:val="es-MX"/>
              </w:rPr>
            </w:pPr>
            <w:r w:rsidRPr="00586A58">
              <w:rPr>
                <w:rFonts w:cs="Arial"/>
                <w:sz w:val="18"/>
                <w:szCs w:val="18"/>
                <w:lang w:val="es-MX"/>
              </w:rPr>
              <w:t xml:space="preserve">Componente 1. </w:t>
            </w:r>
            <w:r w:rsidR="006B6A52" w:rsidRPr="00586A58">
              <w:rPr>
                <w:rFonts w:cs="Arial"/>
                <w:sz w:val="18"/>
                <w:szCs w:val="18"/>
                <w:lang w:val="es-MX"/>
              </w:rPr>
              <w:t>Fortalecimiento de las redes de atención primaria y vigilancia en salud</w:t>
            </w:r>
          </w:p>
        </w:tc>
        <w:tc>
          <w:tcPr>
            <w:tcW w:w="1013" w:type="dxa"/>
            <w:tcBorders>
              <w:top w:val="single" w:sz="4" w:space="0" w:color="auto"/>
              <w:left w:val="single" w:sz="4" w:space="0" w:color="auto"/>
              <w:bottom w:val="single" w:sz="4" w:space="0" w:color="auto"/>
              <w:right w:val="single" w:sz="4" w:space="0" w:color="auto"/>
            </w:tcBorders>
            <w:vAlign w:val="center"/>
            <w:hideMark/>
          </w:tcPr>
          <w:p w14:paraId="6E9FFD8C"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19,8</w:t>
            </w:r>
          </w:p>
        </w:tc>
        <w:tc>
          <w:tcPr>
            <w:tcW w:w="940" w:type="dxa"/>
            <w:tcBorders>
              <w:top w:val="single" w:sz="4" w:space="0" w:color="auto"/>
              <w:left w:val="single" w:sz="4" w:space="0" w:color="auto"/>
              <w:bottom w:val="single" w:sz="4" w:space="0" w:color="auto"/>
              <w:right w:val="single" w:sz="4" w:space="0" w:color="auto"/>
            </w:tcBorders>
            <w:vAlign w:val="center"/>
            <w:hideMark/>
          </w:tcPr>
          <w:p w14:paraId="0ACEC51F" w14:textId="77777777" w:rsidR="00A1159F" w:rsidRPr="00586A58" w:rsidRDefault="00A1159F">
            <w:pPr>
              <w:spacing w:after="100" w:afterAutospacing="1"/>
              <w:jc w:val="center"/>
              <w:rPr>
                <w:rFonts w:cs="Arial"/>
                <w:sz w:val="18"/>
                <w:szCs w:val="18"/>
                <w:lang w:val="es-MX"/>
              </w:rPr>
            </w:pPr>
          </w:p>
        </w:tc>
        <w:tc>
          <w:tcPr>
            <w:tcW w:w="1041" w:type="dxa"/>
            <w:tcBorders>
              <w:top w:val="single" w:sz="4" w:space="0" w:color="auto"/>
              <w:left w:val="single" w:sz="4" w:space="0" w:color="auto"/>
              <w:bottom w:val="single" w:sz="4" w:space="0" w:color="auto"/>
              <w:right w:val="single" w:sz="4" w:space="0" w:color="auto"/>
            </w:tcBorders>
            <w:vAlign w:val="center"/>
            <w:hideMark/>
          </w:tcPr>
          <w:p w14:paraId="396CE10C"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19,8</w:t>
            </w:r>
          </w:p>
        </w:tc>
      </w:tr>
      <w:tr w:rsidR="00A1159F" w:rsidRPr="00586A58" w14:paraId="0B2959CA" w14:textId="77777777" w:rsidTr="00A1159F">
        <w:trPr>
          <w:trHeight w:val="269"/>
          <w:jc w:val="center"/>
        </w:trPr>
        <w:tc>
          <w:tcPr>
            <w:tcW w:w="5028" w:type="dxa"/>
            <w:tcBorders>
              <w:top w:val="single" w:sz="4" w:space="0" w:color="auto"/>
              <w:left w:val="single" w:sz="4" w:space="0" w:color="auto"/>
              <w:bottom w:val="single" w:sz="4" w:space="0" w:color="auto"/>
              <w:right w:val="single" w:sz="4" w:space="0" w:color="auto"/>
            </w:tcBorders>
            <w:hideMark/>
          </w:tcPr>
          <w:p w14:paraId="72039FF3" w14:textId="77777777" w:rsidR="00A1159F" w:rsidRPr="00586A58" w:rsidRDefault="00A1159F">
            <w:pPr>
              <w:spacing w:after="100" w:afterAutospacing="1"/>
              <w:rPr>
                <w:rFonts w:cs="Arial"/>
                <w:sz w:val="18"/>
                <w:szCs w:val="18"/>
                <w:lang w:val="es-MX"/>
              </w:rPr>
            </w:pPr>
            <w:r w:rsidRPr="00586A58">
              <w:rPr>
                <w:rFonts w:cs="Arial"/>
                <w:sz w:val="18"/>
                <w:szCs w:val="18"/>
                <w:lang w:val="es-MX"/>
              </w:rPr>
              <w:t xml:space="preserve">Componente 2. </w:t>
            </w:r>
            <w:r w:rsidR="00142994" w:rsidRPr="00586A58">
              <w:rPr>
                <w:rFonts w:cs="Arial"/>
                <w:sz w:val="18"/>
                <w:szCs w:val="18"/>
                <w:lang w:val="es-MX"/>
              </w:rPr>
              <w:t>Consolidación e integración de servicios especializados y de emergencia</w:t>
            </w:r>
          </w:p>
        </w:tc>
        <w:tc>
          <w:tcPr>
            <w:tcW w:w="1013" w:type="dxa"/>
            <w:tcBorders>
              <w:top w:val="single" w:sz="4" w:space="0" w:color="auto"/>
              <w:left w:val="single" w:sz="4" w:space="0" w:color="auto"/>
              <w:bottom w:val="single" w:sz="4" w:space="0" w:color="auto"/>
              <w:right w:val="single" w:sz="4" w:space="0" w:color="auto"/>
            </w:tcBorders>
            <w:vAlign w:val="center"/>
            <w:hideMark/>
          </w:tcPr>
          <w:p w14:paraId="101C1CC6"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18,4</w:t>
            </w:r>
          </w:p>
        </w:tc>
        <w:tc>
          <w:tcPr>
            <w:tcW w:w="940" w:type="dxa"/>
            <w:tcBorders>
              <w:top w:val="single" w:sz="4" w:space="0" w:color="auto"/>
              <w:left w:val="single" w:sz="4" w:space="0" w:color="auto"/>
              <w:bottom w:val="single" w:sz="4" w:space="0" w:color="auto"/>
              <w:right w:val="single" w:sz="4" w:space="0" w:color="auto"/>
            </w:tcBorders>
            <w:vAlign w:val="center"/>
            <w:hideMark/>
          </w:tcPr>
          <w:p w14:paraId="21889633"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14,0</w:t>
            </w:r>
          </w:p>
        </w:tc>
        <w:tc>
          <w:tcPr>
            <w:tcW w:w="1041" w:type="dxa"/>
            <w:tcBorders>
              <w:top w:val="single" w:sz="4" w:space="0" w:color="auto"/>
              <w:left w:val="single" w:sz="4" w:space="0" w:color="auto"/>
              <w:bottom w:val="single" w:sz="4" w:space="0" w:color="auto"/>
              <w:right w:val="single" w:sz="4" w:space="0" w:color="auto"/>
            </w:tcBorders>
            <w:vAlign w:val="center"/>
            <w:hideMark/>
          </w:tcPr>
          <w:p w14:paraId="0FF6D3D5"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32</w:t>
            </w:r>
            <w:r w:rsidR="00A1159F" w:rsidRPr="00586A58">
              <w:rPr>
                <w:rFonts w:cs="Arial"/>
                <w:sz w:val="18"/>
                <w:szCs w:val="18"/>
                <w:lang w:val="es-MX"/>
              </w:rPr>
              <w:t>,</w:t>
            </w:r>
            <w:r w:rsidRPr="00586A58">
              <w:rPr>
                <w:rFonts w:cs="Arial"/>
                <w:sz w:val="18"/>
                <w:szCs w:val="18"/>
                <w:lang w:val="es-MX"/>
              </w:rPr>
              <w:t>4</w:t>
            </w:r>
          </w:p>
        </w:tc>
      </w:tr>
      <w:tr w:rsidR="00A1159F" w:rsidRPr="00586A58" w14:paraId="51F9F9DD" w14:textId="77777777" w:rsidTr="00A1159F">
        <w:trPr>
          <w:trHeight w:val="269"/>
          <w:jc w:val="center"/>
        </w:trPr>
        <w:tc>
          <w:tcPr>
            <w:tcW w:w="5028" w:type="dxa"/>
            <w:tcBorders>
              <w:top w:val="single" w:sz="4" w:space="0" w:color="auto"/>
              <w:left w:val="single" w:sz="4" w:space="0" w:color="auto"/>
              <w:bottom w:val="single" w:sz="4" w:space="0" w:color="auto"/>
              <w:right w:val="single" w:sz="4" w:space="0" w:color="auto"/>
            </w:tcBorders>
            <w:hideMark/>
          </w:tcPr>
          <w:p w14:paraId="4C6651D4" w14:textId="77777777" w:rsidR="00A1159F" w:rsidRPr="00586A58" w:rsidRDefault="00A1159F">
            <w:pPr>
              <w:spacing w:after="100" w:afterAutospacing="1"/>
              <w:rPr>
                <w:rFonts w:cs="Arial"/>
                <w:sz w:val="18"/>
                <w:szCs w:val="18"/>
                <w:lang w:val="es-MX"/>
              </w:rPr>
            </w:pPr>
            <w:r w:rsidRPr="00586A58">
              <w:rPr>
                <w:rFonts w:cs="Arial"/>
                <w:sz w:val="18"/>
                <w:szCs w:val="18"/>
                <w:lang w:val="es-MX"/>
              </w:rPr>
              <w:t>Componente 3.</w:t>
            </w:r>
            <w:r w:rsidR="00142994" w:rsidRPr="00586A58">
              <w:rPr>
                <w:sz w:val="18"/>
                <w:szCs w:val="18"/>
                <w:lang w:val="es-MX"/>
              </w:rPr>
              <w:t xml:space="preserve"> </w:t>
            </w:r>
            <w:r w:rsidR="00142994" w:rsidRPr="00586A58">
              <w:rPr>
                <w:rFonts w:cs="Arial"/>
                <w:sz w:val="18"/>
                <w:szCs w:val="18"/>
                <w:lang w:val="es-MX"/>
              </w:rPr>
              <w:t>Mejoramiento de la gestión, calidad y eficiencia de las redes integradas</w:t>
            </w:r>
          </w:p>
        </w:tc>
        <w:tc>
          <w:tcPr>
            <w:tcW w:w="1013" w:type="dxa"/>
            <w:tcBorders>
              <w:top w:val="single" w:sz="4" w:space="0" w:color="auto"/>
              <w:left w:val="single" w:sz="4" w:space="0" w:color="auto"/>
              <w:bottom w:val="single" w:sz="4" w:space="0" w:color="auto"/>
              <w:right w:val="single" w:sz="4" w:space="0" w:color="auto"/>
            </w:tcBorders>
            <w:vAlign w:val="center"/>
            <w:hideMark/>
          </w:tcPr>
          <w:p w14:paraId="0C5E1BBE"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16,8</w:t>
            </w:r>
          </w:p>
        </w:tc>
        <w:tc>
          <w:tcPr>
            <w:tcW w:w="940" w:type="dxa"/>
            <w:tcBorders>
              <w:top w:val="single" w:sz="4" w:space="0" w:color="auto"/>
              <w:left w:val="single" w:sz="4" w:space="0" w:color="auto"/>
              <w:bottom w:val="single" w:sz="4" w:space="0" w:color="auto"/>
              <w:right w:val="single" w:sz="4" w:space="0" w:color="auto"/>
            </w:tcBorders>
            <w:vAlign w:val="center"/>
          </w:tcPr>
          <w:p w14:paraId="115B06D1" w14:textId="77777777" w:rsidR="00A1159F" w:rsidRPr="00586A58" w:rsidRDefault="00A1159F">
            <w:pPr>
              <w:spacing w:after="100" w:afterAutospacing="1"/>
              <w:jc w:val="center"/>
              <w:rPr>
                <w:rFonts w:cs="Arial"/>
                <w:sz w:val="18"/>
                <w:szCs w:val="18"/>
                <w:lang w:val="es-MX"/>
              </w:rPr>
            </w:pPr>
          </w:p>
        </w:tc>
        <w:tc>
          <w:tcPr>
            <w:tcW w:w="1041" w:type="dxa"/>
            <w:tcBorders>
              <w:top w:val="single" w:sz="4" w:space="0" w:color="auto"/>
              <w:left w:val="single" w:sz="4" w:space="0" w:color="auto"/>
              <w:bottom w:val="single" w:sz="4" w:space="0" w:color="auto"/>
              <w:right w:val="single" w:sz="4" w:space="0" w:color="auto"/>
            </w:tcBorders>
            <w:vAlign w:val="center"/>
            <w:hideMark/>
          </w:tcPr>
          <w:p w14:paraId="6C213BA4"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16,8</w:t>
            </w:r>
          </w:p>
        </w:tc>
      </w:tr>
      <w:tr w:rsidR="00A1159F" w:rsidRPr="00586A58" w14:paraId="3CD201F2" w14:textId="77777777" w:rsidTr="00A1159F">
        <w:trPr>
          <w:trHeight w:val="269"/>
          <w:jc w:val="center"/>
        </w:trPr>
        <w:tc>
          <w:tcPr>
            <w:tcW w:w="5028" w:type="dxa"/>
            <w:tcBorders>
              <w:top w:val="single" w:sz="4" w:space="0" w:color="auto"/>
              <w:left w:val="single" w:sz="4" w:space="0" w:color="auto"/>
              <w:bottom w:val="single" w:sz="4" w:space="0" w:color="auto"/>
              <w:right w:val="single" w:sz="4" w:space="0" w:color="auto"/>
            </w:tcBorders>
            <w:hideMark/>
          </w:tcPr>
          <w:p w14:paraId="7DF373B7" w14:textId="77777777" w:rsidR="00A1159F" w:rsidRPr="00586A58" w:rsidRDefault="00A1159F">
            <w:pPr>
              <w:spacing w:after="100" w:afterAutospacing="1"/>
              <w:rPr>
                <w:rFonts w:cs="Arial"/>
                <w:sz w:val="18"/>
                <w:szCs w:val="18"/>
                <w:lang w:val="es-MX"/>
              </w:rPr>
            </w:pPr>
            <w:r w:rsidRPr="00586A58">
              <w:rPr>
                <w:rFonts w:cs="Arial"/>
                <w:sz w:val="18"/>
                <w:szCs w:val="18"/>
                <w:lang w:val="es-MX"/>
              </w:rPr>
              <w:t>Componente 4. Administración y evaluación del programa</w:t>
            </w:r>
          </w:p>
        </w:tc>
        <w:tc>
          <w:tcPr>
            <w:tcW w:w="1013" w:type="dxa"/>
            <w:tcBorders>
              <w:top w:val="single" w:sz="4" w:space="0" w:color="auto"/>
              <w:left w:val="single" w:sz="4" w:space="0" w:color="auto"/>
              <w:bottom w:val="single" w:sz="4" w:space="0" w:color="auto"/>
              <w:right w:val="single" w:sz="4" w:space="0" w:color="auto"/>
            </w:tcBorders>
            <w:vAlign w:val="center"/>
            <w:hideMark/>
          </w:tcPr>
          <w:p w14:paraId="7FAB2AEA"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w:t>
            </w:r>
            <w:r w:rsidR="00A1159F" w:rsidRPr="00586A58">
              <w:rPr>
                <w:rFonts w:cs="Arial"/>
                <w:sz w:val="18"/>
                <w:szCs w:val="18"/>
                <w:lang w:val="es-MX"/>
              </w:rPr>
              <w:t>0</w:t>
            </w:r>
          </w:p>
        </w:tc>
        <w:tc>
          <w:tcPr>
            <w:tcW w:w="940" w:type="dxa"/>
            <w:tcBorders>
              <w:top w:val="single" w:sz="4" w:space="0" w:color="auto"/>
              <w:left w:val="single" w:sz="4" w:space="0" w:color="auto"/>
              <w:bottom w:val="single" w:sz="4" w:space="0" w:color="auto"/>
              <w:right w:val="single" w:sz="4" w:space="0" w:color="auto"/>
            </w:tcBorders>
            <w:vAlign w:val="center"/>
          </w:tcPr>
          <w:p w14:paraId="649A4186" w14:textId="77777777" w:rsidR="00A1159F" w:rsidRPr="00586A58" w:rsidRDefault="00A1159F">
            <w:pPr>
              <w:spacing w:after="100" w:afterAutospacing="1"/>
              <w:jc w:val="center"/>
              <w:rPr>
                <w:rFonts w:cs="Arial"/>
                <w:sz w:val="18"/>
                <w:szCs w:val="18"/>
                <w:lang w:val="es-MX"/>
              </w:rPr>
            </w:pPr>
          </w:p>
        </w:tc>
        <w:tc>
          <w:tcPr>
            <w:tcW w:w="1041" w:type="dxa"/>
            <w:tcBorders>
              <w:top w:val="single" w:sz="4" w:space="0" w:color="auto"/>
              <w:left w:val="single" w:sz="4" w:space="0" w:color="auto"/>
              <w:bottom w:val="single" w:sz="4" w:space="0" w:color="auto"/>
              <w:right w:val="single" w:sz="4" w:space="0" w:color="auto"/>
            </w:tcBorders>
            <w:vAlign w:val="center"/>
            <w:hideMark/>
          </w:tcPr>
          <w:p w14:paraId="0CD0AEE3" w14:textId="77777777" w:rsidR="00A1159F" w:rsidRPr="00586A58" w:rsidRDefault="00142994">
            <w:pPr>
              <w:spacing w:after="100" w:afterAutospacing="1"/>
              <w:jc w:val="center"/>
              <w:rPr>
                <w:rFonts w:cs="Arial"/>
                <w:sz w:val="18"/>
                <w:szCs w:val="18"/>
                <w:lang w:val="es-MX"/>
              </w:rPr>
            </w:pPr>
            <w:r w:rsidRPr="00586A58">
              <w:rPr>
                <w:rFonts w:cs="Arial"/>
                <w:sz w:val="18"/>
                <w:szCs w:val="18"/>
                <w:lang w:val="es-MX"/>
              </w:rPr>
              <w:t>1,0</w:t>
            </w:r>
          </w:p>
        </w:tc>
      </w:tr>
      <w:tr w:rsidR="00A1159F" w:rsidRPr="00586A58" w14:paraId="43E80123" w14:textId="77777777" w:rsidTr="00A1159F">
        <w:trPr>
          <w:trHeight w:val="269"/>
          <w:jc w:val="center"/>
        </w:trPr>
        <w:tc>
          <w:tcPr>
            <w:tcW w:w="5028" w:type="dxa"/>
            <w:tcBorders>
              <w:top w:val="single" w:sz="4" w:space="0" w:color="auto"/>
              <w:left w:val="single" w:sz="4" w:space="0" w:color="auto"/>
              <w:bottom w:val="single" w:sz="4" w:space="0" w:color="auto"/>
              <w:right w:val="single" w:sz="4" w:space="0" w:color="auto"/>
            </w:tcBorders>
            <w:vAlign w:val="center"/>
            <w:hideMark/>
          </w:tcPr>
          <w:p w14:paraId="5FA185B1" w14:textId="77777777" w:rsidR="00A1159F" w:rsidRPr="00586A58" w:rsidRDefault="00A1159F">
            <w:pPr>
              <w:spacing w:after="100" w:afterAutospacing="1"/>
              <w:jc w:val="right"/>
              <w:rPr>
                <w:rFonts w:cs="Arial"/>
                <w:sz w:val="18"/>
                <w:szCs w:val="18"/>
                <w:lang w:val="es-MX"/>
              </w:rPr>
            </w:pPr>
            <w:r w:rsidRPr="00586A58">
              <w:rPr>
                <w:rFonts w:cs="Arial"/>
                <w:b/>
                <w:sz w:val="18"/>
                <w:szCs w:val="18"/>
                <w:lang w:val="es-MX"/>
              </w:rPr>
              <w:t>Total</w:t>
            </w:r>
          </w:p>
        </w:tc>
        <w:tc>
          <w:tcPr>
            <w:tcW w:w="1013" w:type="dxa"/>
            <w:tcBorders>
              <w:top w:val="single" w:sz="4" w:space="0" w:color="auto"/>
              <w:left w:val="single" w:sz="4" w:space="0" w:color="auto"/>
              <w:bottom w:val="single" w:sz="4" w:space="0" w:color="auto"/>
              <w:right w:val="single" w:sz="4" w:space="0" w:color="auto"/>
            </w:tcBorders>
            <w:vAlign w:val="center"/>
            <w:hideMark/>
          </w:tcPr>
          <w:p w14:paraId="5292BCE7" w14:textId="77777777" w:rsidR="00A1159F" w:rsidRPr="00586A58" w:rsidRDefault="00142994">
            <w:pPr>
              <w:spacing w:after="100" w:afterAutospacing="1"/>
              <w:jc w:val="center"/>
              <w:rPr>
                <w:rFonts w:cs="Arial"/>
                <w:sz w:val="18"/>
                <w:szCs w:val="18"/>
                <w:lang w:val="es-MX"/>
              </w:rPr>
            </w:pPr>
            <w:r w:rsidRPr="00586A58">
              <w:rPr>
                <w:rFonts w:cs="Arial"/>
                <w:b/>
                <w:sz w:val="18"/>
                <w:szCs w:val="18"/>
                <w:lang w:val="es-MX"/>
              </w:rPr>
              <w:t>56</w:t>
            </w:r>
            <w:r w:rsidR="00A1159F" w:rsidRPr="00586A58">
              <w:rPr>
                <w:rFonts w:cs="Arial"/>
                <w:b/>
                <w:sz w:val="18"/>
                <w:szCs w:val="18"/>
                <w:lang w:val="es-MX"/>
              </w:rPr>
              <w:t>,0</w:t>
            </w:r>
          </w:p>
        </w:tc>
        <w:tc>
          <w:tcPr>
            <w:tcW w:w="940" w:type="dxa"/>
            <w:tcBorders>
              <w:top w:val="single" w:sz="4" w:space="0" w:color="auto"/>
              <w:left w:val="single" w:sz="4" w:space="0" w:color="auto"/>
              <w:bottom w:val="single" w:sz="4" w:space="0" w:color="auto"/>
              <w:right w:val="single" w:sz="4" w:space="0" w:color="auto"/>
            </w:tcBorders>
            <w:vAlign w:val="center"/>
            <w:hideMark/>
          </w:tcPr>
          <w:p w14:paraId="6265CF72" w14:textId="77777777" w:rsidR="00A1159F" w:rsidRPr="00586A58" w:rsidRDefault="00A1159F">
            <w:pPr>
              <w:spacing w:after="100" w:afterAutospacing="1"/>
              <w:jc w:val="center"/>
              <w:rPr>
                <w:rFonts w:cs="Arial"/>
                <w:b/>
                <w:sz w:val="18"/>
                <w:szCs w:val="18"/>
                <w:lang w:val="es-MX"/>
              </w:rPr>
            </w:pPr>
            <w:r w:rsidRPr="00586A58">
              <w:rPr>
                <w:rFonts w:cs="Arial"/>
                <w:b/>
                <w:sz w:val="18"/>
                <w:szCs w:val="18"/>
                <w:lang w:val="es-MX"/>
              </w:rPr>
              <w:t>1</w:t>
            </w:r>
            <w:r w:rsidR="00142994" w:rsidRPr="00586A58">
              <w:rPr>
                <w:rFonts w:cs="Arial"/>
                <w:b/>
                <w:sz w:val="18"/>
                <w:szCs w:val="18"/>
                <w:lang w:val="es-MX"/>
              </w:rPr>
              <w:t>4</w:t>
            </w:r>
            <w:r w:rsidRPr="00586A58">
              <w:rPr>
                <w:rFonts w:cs="Arial"/>
                <w:b/>
                <w:sz w:val="18"/>
                <w:szCs w:val="18"/>
                <w:lang w:val="es-MX"/>
              </w:rPr>
              <w:t>,0</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6D426F8" w14:textId="77777777" w:rsidR="00A1159F" w:rsidRPr="00586A58" w:rsidRDefault="00142994">
            <w:pPr>
              <w:spacing w:after="100" w:afterAutospacing="1"/>
              <w:jc w:val="center"/>
              <w:rPr>
                <w:rFonts w:cs="Arial"/>
                <w:b/>
                <w:sz w:val="18"/>
                <w:szCs w:val="18"/>
                <w:lang w:val="es-MX"/>
              </w:rPr>
            </w:pPr>
            <w:r w:rsidRPr="00586A58">
              <w:rPr>
                <w:rFonts w:cs="Arial"/>
                <w:b/>
                <w:sz w:val="18"/>
                <w:szCs w:val="18"/>
                <w:lang w:val="es-MX"/>
              </w:rPr>
              <w:t>7</w:t>
            </w:r>
            <w:r w:rsidR="00A1159F" w:rsidRPr="00586A58">
              <w:rPr>
                <w:rFonts w:cs="Arial"/>
                <w:b/>
                <w:sz w:val="18"/>
                <w:szCs w:val="18"/>
                <w:lang w:val="es-MX"/>
              </w:rPr>
              <w:t>0,0</w:t>
            </w:r>
          </w:p>
        </w:tc>
      </w:tr>
    </w:tbl>
    <w:p w14:paraId="36807E19" w14:textId="77777777" w:rsidR="00A1159F" w:rsidRPr="00D75FE1" w:rsidRDefault="00A1159F" w:rsidP="00A1159F">
      <w:pPr>
        <w:rPr>
          <w:rFonts w:ascii="Times New Roman" w:eastAsia="Calibri" w:hAnsi="Times New Roman"/>
          <w:spacing w:val="0"/>
          <w:szCs w:val="22"/>
          <w:lang w:val="es-MX"/>
        </w:rPr>
      </w:pPr>
    </w:p>
    <w:p w14:paraId="7A724B83" w14:textId="6CF05724" w:rsidR="00A1159F" w:rsidRPr="00D878B4" w:rsidRDefault="00A1159F" w:rsidP="00D878B4">
      <w:pPr>
        <w:pStyle w:val="Heading1"/>
        <w:numPr>
          <w:ilvl w:val="0"/>
          <w:numId w:val="0"/>
        </w:numPr>
        <w:tabs>
          <w:tab w:val="left" w:pos="720"/>
        </w:tabs>
        <w:spacing w:before="0"/>
        <w:ind w:left="288" w:hanging="288"/>
        <w:rPr>
          <w:rFonts w:ascii="Arial" w:hAnsi="Arial" w:cs="Arial"/>
          <w:b/>
          <w:sz w:val="24"/>
          <w:szCs w:val="24"/>
          <w:lang w:val="es-MX"/>
        </w:rPr>
      </w:pPr>
      <w:r w:rsidRPr="00D878B4">
        <w:rPr>
          <w:rFonts w:ascii="Arial" w:hAnsi="Arial" w:cs="Arial"/>
          <w:b/>
          <w:sz w:val="24"/>
          <w:szCs w:val="24"/>
          <w:lang w:val="es-MX"/>
        </w:rPr>
        <w:t xml:space="preserve">II. </w:t>
      </w:r>
      <w:r w:rsidR="00D878B4">
        <w:rPr>
          <w:rFonts w:ascii="Arial" w:hAnsi="Arial" w:cs="Arial"/>
          <w:b/>
          <w:sz w:val="24"/>
          <w:szCs w:val="24"/>
          <w:lang w:val="es-MX"/>
        </w:rPr>
        <w:tab/>
      </w:r>
      <w:r w:rsidRPr="00D878B4">
        <w:rPr>
          <w:rFonts w:ascii="Arial" w:hAnsi="Arial" w:cs="Arial"/>
          <w:b/>
          <w:sz w:val="24"/>
          <w:szCs w:val="24"/>
          <w:lang w:val="es-MX"/>
        </w:rPr>
        <w:t>Seguimiento</w:t>
      </w:r>
    </w:p>
    <w:p w14:paraId="1A911611" w14:textId="553E6DA2" w:rsidR="008524EC" w:rsidRPr="00A20F70" w:rsidRDefault="00A1159F" w:rsidP="008524EC">
      <w:pPr>
        <w:pStyle w:val="AutoNumpara"/>
        <w:numPr>
          <w:ilvl w:val="0"/>
          <w:numId w:val="0"/>
        </w:numPr>
        <w:tabs>
          <w:tab w:val="left" w:pos="720"/>
        </w:tabs>
        <w:rPr>
          <w:rFonts w:cs="Arial"/>
          <w:sz w:val="22"/>
          <w:szCs w:val="22"/>
          <w:lang w:val="es-419"/>
        </w:rPr>
      </w:pPr>
      <w:r w:rsidRPr="00D75FE1">
        <w:rPr>
          <w:rFonts w:cs="Arial"/>
          <w:b/>
          <w:noProof w:val="0"/>
          <w:sz w:val="22"/>
          <w:szCs w:val="22"/>
          <w:lang w:val="es-MX"/>
        </w:rPr>
        <w:t>Esquema de ejecución.</w:t>
      </w:r>
      <w:r w:rsidRPr="00D75FE1">
        <w:rPr>
          <w:rFonts w:cs="Arial"/>
          <w:noProof w:val="0"/>
          <w:sz w:val="22"/>
          <w:szCs w:val="22"/>
          <w:lang w:val="es-MX"/>
        </w:rPr>
        <w:t xml:space="preserve"> </w:t>
      </w:r>
      <w:r w:rsidR="008524EC" w:rsidRPr="00A20F70">
        <w:rPr>
          <w:rFonts w:cs="Arial"/>
          <w:noProof w:val="0"/>
          <w:sz w:val="22"/>
          <w:szCs w:val="22"/>
          <w:lang w:val="es-MX"/>
        </w:rPr>
        <w:t xml:space="preserve">El prestatario será el Municipio de BH y la República Federativa de Brasil será el garante de las obligaciones financieras del prestatario, derivados del contrato de préstamo. El OE será el Municipio de BH, por medio de su Secretaría Municipal de Salud (SMS), que instituirá la UCP </w:t>
      </w:r>
      <w:r w:rsidR="008524EC" w:rsidRPr="00A20F70">
        <w:rPr>
          <w:rFonts w:cs="Arial"/>
          <w:sz w:val="22"/>
          <w:szCs w:val="22"/>
        </w:rPr>
        <w:t xml:space="preserve">dentro del </w:t>
      </w:r>
      <w:r w:rsidR="008524EC" w:rsidRPr="00A20F70">
        <w:rPr>
          <w:rFonts w:cs="Arial"/>
          <w:sz w:val="22"/>
          <w:szCs w:val="22"/>
          <w:lang w:val="es-419"/>
        </w:rPr>
        <w:t xml:space="preserve">Grupo de Innovación en Salud (GIS) </w:t>
      </w:r>
      <w:r w:rsidR="008524EC" w:rsidRPr="00A20F70">
        <w:rPr>
          <w:rFonts w:cs="Arial"/>
          <w:sz w:val="22"/>
          <w:szCs w:val="22"/>
        </w:rPr>
        <w:t xml:space="preserve">que a su vez estará </w:t>
      </w:r>
      <w:r w:rsidR="008524EC" w:rsidRPr="00A20F70">
        <w:rPr>
          <w:rFonts w:cs="Arial"/>
          <w:sz w:val="22"/>
          <w:szCs w:val="22"/>
          <w:lang w:val="es-419"/>
        </w:rPr>
        <w:t xml:space="preserve">directamente vinculada al Gabinete del Alcalde. </w:t>
      </w:r>
    </w:p>
    <w:p w14:paraId="4B085D59" w14:textId="28957528" w:rsidR="008524EC" w:rsidRPr="00A20F70" w:rsidRDefault="008524EC" w:rsidP="008524EC">
      <w:pPr>
        <w:jc w:val="both"/>
        <w:rPr>
          <w:rFonts w:cs="Arial"/>
          <w:sz w:val="22"/>
          <w:szCs w:val="22"/>
          <w:lang w:val="es-MX"/>
        </w:rPr>
      </w:pPr>
      <w:r w:rsidRPr="00A20F70">
        <w:rPr>
          <w:rFonts w:cs="Arial"/>
          <w:sz w:val="22"/>
          <w:szCs w:val="22"/>
          <w:lang w:val="es-MX"/>
        </w:rPr>
        <w:t>Las responsabilidades específicas de la UCP implicarán todas las actividades necesarias para la ejecución del programa, que incluyen: (i) servir como enlace del proyecto con el Banco; (ii)</w:t>
      </w:r>
      <w:r w:rsidR="00D878B4">
        <w:rPr>
          <w:rFonts w:cs="Arial"/>
          <w:sz w:val="22"/>
          <w:szCs w:val="22"/>
          <w:lang w:val="es-MX"/>
        </w:rPr>
        <w:t> </w:t>
      </w:r>
      <w:r w:rsidRPr="00A20F70">
        <w:rPr>
          <w:rFonts w:cs="Arial"/>
          <w:sz w:val="22"/>
          <w:szCs w:val="22"/>
          <w:lang w:val="es-MX"/>
        </w:rPr>
        <w:t>preparar, presentar e implementar los Planes Operativos Anuales (POA) y los planes financieros; (iii)</w:t>
      </w:r>
      <w:r w:rsidR="00D878B4">
        <w:rPr>
          <w:rFonts w:cs="Arial"/>
          <w:sz w:val="22"/>
          <w:szCs w:val="22"/>
          <w:lang w:val="es-MX"/>
        </w:rPr>
        <w:t> </w:t>
      </w:r>
      <w:r w:rsidRPr="00A20F70">
        <w:rPr>
          <w:rFonts w:cs="Arial"/>
          <w:sz w:val="22"/>
          <w:szCs w:val="22"/>
          <w:lang w:val="es-MX"/>
        </w:rPr>
        <w:t xml:space="preserve">elaboración de presupuestos y solicitudes de desembolso; (iv) preparación y actualización del Plan Plurianual de Ejecución (PEP), POA, Plan de Adquisiciones (PAP), Matriz de Riesgos (MR) y el Informe de Monitoreo del Proyecto (PMR); (v) la administración financiera del programa de acuerdo con principios de contabilidad aceptados y la presentación de estados financieros auditados; (vi) llevar a cabo procesos de adquisición que resulten en la adquisición oportuna de productos de alta calidad y que cumplan tanto con las políticas del Banco; (vii) garantizar la </w:t>
      </w:r>
      <w:r w:rsidRPr="00A20F70">
        <w:rPr>
          <w:rFonts w:cs="Arial"/>
          <w:sz w:val="22"/>
          <w:szCs w:val="22"/>
          <w:lang w:val="es-MX"/>
        </w:rPr>
        <w:lastRenderedPageBreak/>
        <w:t>alineación coherente de las actividades del programa con los resultados esperados, así como la recopilación periódica de datos para permitir el seguimiento de los indicadores incluidos en la Matriz de Resultados; y (viii) presentar informes semestrales de progreso.</w:t>
      </w:r>
    </w:p>
    <w:p w14:paraId="24A25B34" w14:textId="4DC337BF" w:rsidR="008524EC" w:rsidRPr="008524EC" w:rsidRDefault="008524EC" w:rsidP="00A1159F">
      <w:pPr>
        <w:pStyle w:val="AutoNumpara"/>
        <w:numPr>
          <w:ilvl w:val="0"/>
          <w:numId w:val="0"/>
        </w:numPr>
        <w:tabs>
          <w:tab w:val="left" w:pos="720"/>
        </w:tabs>
        <w:rPr>
          <w:rFonts w:cs="Arial"/>
          <w:sz w:val="22"/>
          <w:szCs w:val="22"/>
          <w:lang w:val="es-419"/>
        </w:rPr>
      </w:pPr>
      <w:r w:rsidRPr="00A20F70">
        <w:rPr>
          <w:rFonts w:cs="Arial"/>
          <w:sz w:val="22"/>
          <w:szCs w:val="22"/>
          <w:lang w:val="es-419"/>
        </w:rPr>
        <w:t>La UCP contará mínimamente con: una coordinación general, una coordinación ejecutiva, una coordinación técnica y ambiental, una coordinación administrativa y financiera, que incluye gestión de proyectos, finanzas, contabilidad y una coordinación de adquisiciones con una Comisión Especial de Licitación (CEL). La SMS tendrá la dirección técnica de la UCP, ya que los coordinadores serán de su cuadro de funcionarios. Las adquisiciones de equipamientos médico-hospitalarios será responsabilidad de la coordinación técnica de la UGP.</w:t>
      </w:r>
      <w:r>
        <w:rPr>
          <w:rFonts w:cs="Arial"/>
          <w:sz w:val="22"/>
          <w:szCs w:val="22"/>
          <w:lang w:val="es-419"/>
        </w:rPr>
        <w:t xml:space="preserve"> Adicionalmente, se</w:t>
      </w:r>
      <w:r w:rsidRPr="00A20F70">
        <w:rPr>
          <w:rFonts w:cs="Arial"/>
          <w:sz w:val="22"/>
          <w:szCs w:val="22"/>
          <w:lang w:val="es-419"/>
        </w:rPr>
        <w:t xml:space="preserve"> prevé la participación de la Superintendencia de Desarrollo de la Capital (SUDECAP) en todos los procesos de adquisiciones de obras</w:t>
      </w:r>
      <w:r>
        <w:rPr>
          <w:rFonts w:cs="Arial"/>
          <w:sz w:val="22"/>
          <w:szCs w:val="22"/>
          <w:lang w:val="es-419"/>
        </w:rPr>
        <w:t xml:space="preserve"> y de la </w:t>
      </w:r>
      <w:r w:rsidRPr="00A20F70">
        <w:rPr>
          <w:rFonts w:cs="Arial"/>
          <w:sz w:val="22"/>
          <w:szCs w:val="22"/>
          <w:lang w:val="es-419"/>
        </w:rPr>
        <w:t xml:space="preserve">Subsecretaria de Administración y Logística (SUALOG) como entidad responsable por todas las adquisiciones con utilización del sistema nacional (subasta electrónica y/o atas de registros de precios). </w:t>
      </w:r>
    </w:p>
    <w:p w14:paraId="48F146B1" w14:textId="77777777" w:rsidR="00A1159F" w:rsidRPr="00D75FE1" w:rsidRDefault="00A1159F" w:rsidP="00A1159F">
      <w:pPr>
        <w:pStyle w:val="Heading2"/>
        <w:numPr>
          <w:ilvl w:val="0"/>
          <w:numId w:val="3"/>
        </w:numPr>
        <w:rPr>
          <w:rFonts w:ascii="Arial" w:hAnsi="Arial" w:cs="Arial"/>
          <w:b/>
          <w:bCs/>
          <w:color w:val="auto"/>
          <w:sz w:val="22"/>
          <w:szCs w:val="22"/>
          <w:lang w:val="es-MX"/>
        </w:rPr>
      </w:pPr>
      <w:r w:rsidRPr="00D75FE1">
        <w:rPr>
          <w:rFonts w:ascii="Arial" w:hAnsi="Arial" w:cs="Arial"/>
          <w:b/>
          <w:bCs/>
          <w:color w:val="auto"/>
          <w:sz w:val="22"/>
          <w:szCs w:val="22"/>
          <w:lang w:val="es-MX"/>
        </w:rPr>
        <w:t>Indicadores de Seguimiento</w:t>
      </w:r>
    </w:p>
    <w:p w14:paraId="6B31C4EC" w14:textId="77777777" w:rsidR="00A1159F" w:rsidRPr="00D75FE1" w:rsidRDefault="00A1159F" w:rsidP="00A1159F">
      <w:pPr>
        <w:pStyle w:val="AutoNumpara"/>
        <w:numPr>
          <w:ilvl w:val="0"/>
          <w:numId w:val="0"/>
        </w:numPr>
        <w:tabs>
          <w:tab w:val="left" w:pos="720"/>
        </w:tabs>
        <w:rPr>
          <w:rFonts w:cs="Arial"/>
          <w:noProof w:val="0"/>
          <w:color w:val="000000"/>
          <w:sz w:val="22"/>
          <w:szCs w:val="22"/>
          <w:lang w:val="es-MX"/>
        </w:rPr>
      </w:pPr>
      <w:r w:rsidRPr="00D75FE1">
        <w:rPr>
          <w:rFonts w:cs="Arial"/>
          <w:noProof w:val="0"/>
          <w:sz w:val="22"/>
          <w:szCs w:val="22"/>
          <w:lang w:val="es-MX"/>
        </w:rPr>
        <w:t>En el siguiente cuadro se incluyen los indicadores de producto de la Matriz de Resultados, divididos por componente del proyecto, a que se dará seguimiento periódico y que se consignarán en los informes de seguimiento del proyecto.</w:t>
      </w:r>
    </w:p>
    <w:p w14:paraId="5936B94F" w14:textId="3E18C099" w:rsidR="00A1159F" w:rsidRDefault="00A1159F" w:rsidP="005106A1">
      <w:pPr>
        <w:pStyle w:val="AutoNumpara"/>
        <w:numPr>
          <w:ilvl w:val="0"/>
          <w:numId w:val="0"/>
        </w:numPr>
        <w:tabs>
          <w:tab w:val="left" w:pos="720"/>
        </w:tabs>
        <w:rPr>
          <w:rFonts w:cs="Arial"/>
          <w:noProof w:val="0"/>
          <w:sz w:val="22"/>
          <w:szCs w:val="22"/>
          <w:lang w:val="es-MX"/>
        </w:rPr>
      </w:pPr>
      <w:r w:rsidRPr="00111EB9">
        <w:rPr>
          <w:rFonts w:cs="Arial"/>
          <w:noProof w:val="0"/>
          <w:sz w:val="22"/>
          <w:szCs w:val="22"/>
          <w:lang w:val="es-MX"/>
        </w:rPr>
        <w:t>La Matriz de Resultados (MR) que se ha acordado entre la SMS</w:t>
      </w:r>
      <w:r w:rsidR="00111EB9" w:rsidRPr="00111EB9">
        <w:rPr>
          <w:rFonts w:cs="Arial"/>
          <w:noProof w:val="0"/>
          <w:sz w:val="22"/>
          <w:szCs w:val="22"/>
          <w:lang w:val="es-MX"/>
        </w:rPr>
        <w:t>BH</w:t>
      </w:r>
      <w:r w:rsidRPr="00111EB9">
        <w:rPr>
          <w:rFonts w:cs="Arial"/>
          <w:noProof w:val="0"/>
          <w:sz w:val="22"/>
          <w:szCs w:val="22"/>
          <w:lang w:val="es-MX"/>
        </w:rPr>
        <w:t xml:space="preserve"> y el Banco, así como estos arreglos formarán parte del Reglamento Operativo del Programa (ROP), que establece las normas y procedimientos de implementación. La Matriz completa constará como Anexo I de la Propuesta de Préstamo e incluye los productos esperados de los componentes del programa. A continuación, se presenta la sección de productos de dicha Matriz.</w:t>
      </w:r>
    </w:p>
    <w:p w14:paraId="56A17776" w14:textId="0B70C775" w:rsidR="00B423EC" w:rsidRPr="00B423EC" w:rsidRDefault="00B423EC" w:rsidP="00B423EC">
      <w:pPr>
        <w:pStyle w:val="AutoNumpara"/>
        <w:numPr>
          <w:ilvl w:val="0"/>
          <w:numId w:val="0"/>
        </w:numPr>
        <w:tabs>
          <w:tab w:val="left" w:pos="720"/>
        </w:tabs>
        <w:jc w:val="center"/>
        <w:rPr>
          <w:rFonts w:ascii="Arial Bold" w:hAnsi="Arial Bold" w:cs="Arial"/>
          <w:b/>
          <w:smallCaps/>
          <w:noProof w:val="0"/>
          <w:sz w:val="22"/>
          <w:szCs w:val="22"/>
          <w:lang w:val="es-MX"/>
        </w:rPr>
      </w:pPr>
    </w:p>
    <w:p w14:paraId="00A081F7" w14:textId="65BE9255" w:rsidR="00B423EC" w:rsidRDefault="00B423EC" w:rsidP="00B423EC">
      <w:pPr>
        <w:pStyle w:val="AutoNumpara"/>
        <w:numPr>
          <w:ilvl w:val="0"/>
          <w:numId w:val="0"/>
        </w:numPr>
        <w:tabs>
          <w:tab w:val="left" w:pos="720"/>
        </w:tabs>
        <w:jc w:val="center"/>
        <w:rPr>
          <w:rFonts w:ascii="Arial Bold" w:hAnsi="Arial Bold" w:cs="Arial"/>
          <w:b/>
          <w:smallCaps/>
          <w:noProof w:val="0"/>
          <w:sz w:val="22"/>
          <w:szCs w:val="22"/>
          <w:lang w:val="es-MX"/>
        </w:rPr>
      </w:pPr>
      <w:r w:rsidRPr="00B423EC">
        <w:rPr>
          <w:rFonts w:ascii="Arial Bold" w:hAnsi="Arial Bold" w:cs="Arial"/>
          <w:b/>
          <w:smallCaps/>
          <w:noProof w:val="0"/>
          <w:sz w:val="22"/>
          <w:szCs w:val="22"/>
          <w:lang w:val="es-MX"/>
        </w:rPr>
        <w:t>Productos</w:t>
      </w:r>
    </w:p>
    <w:p w14:paraId="5B00BCD1" w14:textId="46587405" w:rsidR="00B423EC" w:rsidRDefault="00B423EC" w:rsidP="00B423EC">
      <w:pPr>
        <w:pStyle w:val="AutoNumpara"/>
        <w:numPr>
          <w:ilvl w:val="0"/>
          <w:numId w:val="0"/>
        </w:numPr>
        <w:tabs>
          <w:tab w:val="left" w:pos="720"/>
        </w:tabs>
        <w:jc w:val="center"/>
        <w:rPr>
          <w:rFonts w:ascii="Arial Bold" w:hAnsi="Arial Bold" w:cs="Arial"/>
          <w:b/>
          <w:smallCaps/>
          <w:noProof w:val="0"/>
          <w:sz w:val="22"/>
          <w:szCs w:val="22"/>
          <w:lang w:val="es-MX"/>
        </w:rPr>
      </w:pPr>
    </w:p>
    <w:p w14:paraId="4A67B257" w14:textId="6DBD74AB" w:rsidR="00B423EC" w:rsidRDefault="00B423EC" w:rsidP="00B423EC">
      <w:pPr>
        <w:pStyle w:val="AutoNumpara"/>
        <w:numPr>
          <w:ilvl w:val="0"/>
          <w:numId w:val="0"/>
        </w:numPr>
        <w:tabs>
          <w:tab w:val="left" w:pos="720"/>
        </w:tabs>
        <w:jc w:val="center"/>
        <w:rPr>
          <w:rFonts w:ascii="Arial Bold" w:hAnsi="Arial Bold" w:cs="Arial"/>
          <w:b/>
          <w:smallCaps/>
          <w:noProof w:val="0"/>
          <w:sz w:val="22"/>
          <w:szCs w:val="22"/>
          <w:lang w:val="es-MX"/>
        </w:rPr>
      </w:pPr>
      <w:r>
        <w:drawing>
          <wp:inline distT="0" distB="0" distL="0" distR="0" wp14:anchorId="1831A980" wp14:editId="21321DA4">
            <wp:extent cx="5943600" cy="20974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097405"/>
                    </a:xfrm>
                    <a:prstGeom prst="rect">
                      <a:avLst/>
                    </a:prstGeom>
                  </pic:spPr>
                </pic:pic>
              </a:graphicData>
            </a:graphic>
          </wp:inline>
        </w:drawing>
      </w:r>
    </w:p>
    <w:p w14:paraId="303A0D2D" w14:textId="1AA7D095" w:rsidR="00B423EC" w:rsidRPr="005106A1" w:rsidRDefault="00B423EC" w:rsidP="005106A1">
      <w:pPr>
        <w:pStyle w:val="AutoNumpara"/>
        <w:numPr>
          <w:ilvl w:val="0"/>
          <w:numId w:val="0"/>
        </w:numPr>
        <w:tabs>
          <w:tab w:val="left" w:pos="720"/>
        </w:tabs>
        <w:rPr>
          <w:rFonts w:cs="Arial"/>
          <w:noProof w:val="0"/>
          <w:sz w:val="22"/>
          <w:szCs w:val="22"/>
          <w:lang w:val="es-MX"/>
        </w:rPr>
      </w:pPr>
    </w:p>
    <w:p w14:paraId="09FD8BA8" w14:textId="25592AE3" w:rsidR="00B423EC" w:rsidRDefault="00B423EC" w:rsidP="00A1159F">
      <w:pPr>
        <w:keepNext/>
        <w:jc w:val="center"/>
        <w:rPr>
          <w:rFonts w:cs="Arial"/>
          <w:b/>
          <w:smallCaps/>
          <w:color w:val="000000"/>
          <w:sz w:val="20"/>
          <w:lang w:val="es-MX"/>
        </w:rPr>
      </w:pPr>
      <w:r>
        <w:rPr>
          <w:noProof/>
        </w:rPr>
        <w:lastRenderedPageBreak/>
        <w:drawing>
          <wp:inline distT="0" distB="0" distL="0" distR="0" wp14:anchorId="68CF1FB4" wp14:editId="6D00230A">
            <wp:extent cx="5238750" cy="63436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38750" cy="6343650"/>
                    </a:xfrm>
                    <a:prstGeom prst="rect">
                      <a:avLst/>
                    </a:prstGeom>
                  </pic:spPr>
                </pic:pic>
              </a:graphicData>
            </a:graphic>
          </wp:inline>
        </w:drawing>
      </w:r>
    </w:p>
    <w:p w14:paraId="57014B4C" w14:textId="67B29300" w:rsidR="00B423EC" w:rsidRDefault="00B423EC" w:rsidP="00A1159F">
      <w:pPr>
        <w:keepNext/>
        <w:jc w:val="center"/>
        <w:rPr>
          <w:rFonts w:cs="Arial"/>
          <w:b/>
          <w:smallCaps/>
          <w:color w:val="000000"/>
          <w:sz w:val="20"/>
          <w:lang w:val="es-MX"/>
        </w:rPr>
      </w:pPr>
    </w:p>
    <w:p w14:paraId="2FE269DD" w14:textId="39DCEAAF" w:rsidR="00A1159F" w:rsidRDefault="00A1159F" w:rsidP="00A1159F">
      <w:pPr>
        <w:pStyle w:val="AutoNumpara"/>
        <w:numPr>
          <w:ilvl w:val="0"/>
          <w:numId w:val="0"/>
        </w:numPr>
        <w:tabs>
          <w:tab w:val="left" w:pos="720"/>
        </w:tabs>
        <w:rPr>
          <w:rFonts w:cs="Arial"/>
          <w:noProof w:val="0"/>
          <w:sz w:val="22"/>
          <w:szCs w:val="22"/>
          <w:lang w:val="es-MX"/>
        </w:rPr>
      </w:pPr>
      <w:r w:rsidRPr="005A39CC">
        <w:rPr>
          <w:rFonts w:cs="Arial"/>
          <w:noProof w:val="0"/>
          <w:sz w:val="22"/>
          <w:szCs w:val="22"/>
          <w:lang w:val="es-MX"/>
        </w:rPr>
        <w:t xml:space="preserve">El programa utilizará también el sistema de monitoreo y evaluación de la Secretaría de Salud, organizando y sistematizando la información relevante que existe en las varias bases de datos existentes – </w:t>
      </w:r>
      <w:bookmarkStart w:id="3" w:name="_Hlk525657696"/>
      <w:r w:rsidRPr="005A39CC">
        <w:rPr>
          <w:rFonts w:cs="Arial"/>
          <w:noProof w:val="0"/>
          <w:sz w:val="22"/>
          <w:szCs w:val="22"/>
          <w:lang w:val="es-MX"/>
        </w:rPr>
        <w:t xml:space="preserve">Sistema de Información Ambulatoria (SIASUS), </w:t>
      </w:r>
      <w:bookmarkEnd w:id="3"/>
      <w:r w:rsidRPr="005A39CC">
        <w:rPr>
          <w:rFonts w:cs="Arial"/>
          <w:noProof w:val="0"/>
          <w:sz w:val="22"/>
          <w:szCs w:val="22"/>
          <w:lang w:val="es-MX"/>
        </w:rPr>
        <w:t>Sistema de Información Hospitalaria (SIHSUS), Sistema de Información de la Atención Básica (SIAB). Dichos datos están posteriormente disponibles en el sistema de informaciones del Ministerio de Salud de Brasil (</w:t>
      </w:r>
      <w:hyperlink r:id="rId17" w:history="1">
        <w:r w:rsidRPr="00515C7D">
          <w:rPr>
            <w:rStyle w:val="Hyperlink"/>
            <w:rFonts w:ascii="Arial" w:hAnsi="Arial" w:cs="Arial"/>
            <w:noProof w:val="0"/>
            <w:sz w:val="22"/>
            <w:szCs w:val="22"/>
            <w:lang w:val="es-MX"/>
          </w:rPr>
          <w:t>www.datasus.gov.br</w:t>
        </w:r>
      </w:hyperlink>
      <w:r w:rsidRPr="00515C7D">
        <w:rPr>
          <w:rFonts w:cs="Arial"/>
          <w:noProof w:val="0"/>
          <w:sz w:val="22"/>
          <w:szCs w:val="22"/>
          <w:lang w:val="es-MX"/>
        </w:rPr>
        <w:t>).</w:t>
      </w:r>
      <w:r w:rsidRPr="00D75FE1">
        <w:rPr>
          <w:rFonts w:cs="Arial"/>
          <w:noProof w:val="0"/>
          <w:sz w:val="22"/>
          <w:szCs w:val="22"/>
          <w:lang w:val="es-MX"/>
        </w:rPr>
        <w:t xml:space="preserve"> </w:t>
      </w:r>
    </w:p>
    <w:p w14:paraId="6B240E5E" w14:textId="61482CCC" w:rsidR="00B423EC" w:rsidRDefault="00B423EC" w:rsidP="00A1159F">
      <w:pPr>
        <w:pStyle w:val="AutoNumpara"/>
        <w:numPr>
          <w:ilvl w:val="0"/>
          <w:numId w:val="0"/>
        </w:numPr>
        <w:tabs>
          <w:tab w:val="left" w:pos="720"/>
        </w:tabs>
        <w:rPr>
          <w:rFonts w:cs="Arial"/>
          <w:noProof w:val="0"/>
          <w:sz w:val="22"/>
          <w:szCs w:val="22"/>
          <w:lang w:val="es-MX"/>
        </w:rPr>
      </w:pPr>
    </w:p>
    <w:p w14:paraId="28EB89AB" w14:textId="77777777" w:rsidR="00B423EC" w:rsidRPr="00D75FE1" w:rsidRDefault="00B423EC" w:rsidP="00A1159F">
      <w:pPr>
        <w:pStyle w:val="AutoNumpara"/>
        <w:numPr>
          <w:ilvl w:val="0"/>
          <w:numId w:val="0"/>
        </w:numPr>
        <w:tabs>
          <w:tab w:val="left" w:pos="720"/>
        </w:tabs>
        <w:rPr>
          <w:rFonts w:cs="Arial"/>
          <w:noProof w:val="0"/>
          <w:sz w:val="22"/>
          <w:szCs w:val="22"/>
          <w:lang w:val="es-MX"/>
        </w:rPr>
      </w:pPr>
    </w:p>
    <w:p w14:paraId="1C041483" w14:textId="77777777" w:rsidR="00A1159F" w:rsidRPr="00D75FE1" w:rsidRDefault="00A1159F" w:rsidP="00A1159F">
      <w:pPr>
        <w:pStyle w:val="Heading2"/>
        <w:numPr>
          <w:ilvl w:val="0"/>
          <w:numId w:val="3"/>
        </w:numPr>
        <w:rPr>
          <w:rFonts w:ascii="Arial" w:hAnsi="Arial" w:cs="Arial"/>
          <w:b/>
          <w:bCs/>
          <w:color w:val="auto"/>
          <w:sz w:val="22"/>
          <w:szCs w:val="22"/>
          <w:lang w:val="es-MX"/>
        </w:rPr>
      </w:pPr>
      <w:r w:rsidRPr="00D75FE1">
        <w:rPr>
          <w:rFonts w:ascii="Arial" w:hAnsi="Arial" w:cs="Arial"/>
          <w:b/>
          <w:bCs/>
          <w:color w:val="auto"/>
          <w:sz w:val="22"/>
          <w:szCs w:val="22"/>
          <w:lang w:val="es-MX"/>
        </w:rPr>
        <w:lastRenderedPageBreak/>
        <w:t>Definición y Seguimiento a Indicadores de Resultados</w:t>
      </w:r>
    </w:p>
    <w:p w14:paraId="6393AC2C" w14:textId="77777777" w:rsidR="00A1159F" w:rsidRPr="00D75FE1" w:rsidRDefault="00A1159F" w:rsidP="00A1159F">
      <w:pPr>
        <w:jc w:val="both"/>
        <w:rPr>
          <w:rFonts w:cs="Arial"/>
          <w:sz w:val="22"/>
          <w:szCs w:val="22"/>
          <w:lang w:val="es-MX"/>
        </w:rPr>
      </w:pPr>
    </w:p>
    <w:p w14:paraId="3340F1DF" w14:textId="5ECDF814" w:rsidR="00A1159F" w:rsidRPr="00B5313C" w:rsidRDefault="00A1159F" w:rsidP="00A1159F">
      <w:pPr>
        <w:jc w:val="both"/>
        <w:rPr>
          <w:rFonts w:cs="Arial"/>
          <w:sz w:val="22"/>
          <w:szCs w:val="22"/>
          <w:lang w:val="es-MX"/>
        </w:rPr>
      </w:pPr>
      <w:r w:rsidRPr="00B5313C">
        <w:rPr>
          <w:rFonts w:cs="Arial"/>
          <w:sz w:val="22"/>
          <w:szCs w:val="22"/>
          <w:lang w:val="es-MX"/>
        </w:rPr>
        <w:t xml:space="preserve">Para dar seguimiento a la implementación del modelo de redes integradas de servicios, la Matriz de Resultados incluye </w:t>
      </w:r>
      <w:r w:rsidR="00492155" w:rsidRPr="00B5313C">
        <w:rPr>
          <w:rFonts w:cs="Arial"/>
          <w:sz w:val="22"/>
          <w:szCs w:val="22"/>
          <w:lang w:val="es-MX"/>
        </w:rPr>
        <w:t>1</w:t>
      </w:r>
      <w:r w:rsidR="006A2895">
        <w:rPr>
          <w:rFonts w:cs="Arial"/>
          <w:sz w:val="22"/>
          <w:szCs w:val="22"/>
          <w:lang w:val="es-MX"/>
        </w:rPr>
        <w:t>0</w:t>
      </w:r>
      <w:r w:rsidR="00492155" w:rsidRPr="00B5313C">
        <w:rPr>
          <w:rFonts w:cs="Arial"/>
          <w:sz w:val="22"/>
          <w:szCs w:val="22"/>
          <w:lang w:val="es-MX"/>
        </w:rPr>
        <w:t xml:space="preserve"> </w:t>
      </w:r>
      <w:r w:rsidR="00B5313C" w:rsidRPr="00B5313C">
        <w:rPr>
          <w:rFonts w:cs="Arial"/>
          <w:sz w:val="22"/>
          <w:szCs w:val="22"/>
          <w:lang w:val="es-MX"/>
        </w:rPr>
        <w:t xml:space="preserve">indicadores </w:t>
      </w:r>
      <w:r w:rsidR="00492155" w:rsidRPr="00B5313C">
        <w:rPr>
          <w:rFonts w:cs="Arial"/>
          <w:sz w:val="22"/>
          <w:szCs w:val="22"/>
          <w:lang w:val="es-MX"/>
        </w:rPr>
        <w:t>de resultados</w:t>
      </w:r>
      <w:r w:rsidR="00B92893">
        <w:rPr>
          <w:rFonts w:cs="Arial"/>
          <w:sz w:val="22"/>
          <w:szCs w:val="22"/>
          <w:lang w:val="es-MX"/>
        </w:rPr>
        <w:t>.</w:t>
      </w:r>
      <w:r w:rsidRPr="00B5313C">
        <w:rPr>
          <w:rFonts w:cs="Arial"/>
          <w:sz w:val="22"/>
          <w:szCs w:val="22"/>
          <w:lang w:val="es-MX"/>
        </w:rPr>
        <w:t xml:space="preserve"> Estos indicadores han sido elaborados en consenso con los equipos técnicos de la SMS</w:t>
      </w:r>
      <w:r w:rsidR="00492155" w:rsidRPr="00B5313C">
        <w:rPr>
          <w:rFonts w:cs="Arial"/>
          <w:sz w:val="22"/>
          <w:szCs w:val="22"/>
          <w:lang w:val="es-MX"/>
        </w:rPr>
        <w:t>BH</w:t>
      </w:r>
      <w:r w:rsidRPr="00B5313C">
        <w:rPr>
          <w:rFonts w:cs="Arial"/>
          <w:sz w:val="22"/>
          <w:szCs w:val="22"/>
          <w:lang w:val="es-MX"/>
        </w:rPr>
        <w:t xml:space="preserve"> y permitirán corroborar que los productos financiados con la operación están dando los resultados de salud esperados:</w:t>
      </w:r>
    </w:p>
    <w:p w14:paraId="5D8BC257" w14:textId="10D854EE" w:rsidR="00262918" w:rsidRDefault="00262918" w:rsidP="00A1159F">
      <w:pPr>
        <w:jc w:val="both"/>
        <w:rPr>
          <w:rFonts w:cs="Arial"/>
          <w:sz w:val="22"/>
          <w:szCs w:val="22"/>
          <w:lang w:val="es-MX"/>
        </w:rPr>
      </w:pPr>
    </w:p>
    <w:p w14:paraId="563EE23C" w14:textId="5C540FB1" w:rsidR="00D878B4" w:rsidRDefault="00D878B4">
      <w:pPr>
        <w:spacing w:after="160" w:line="259" w:lineRule="auto"/>
        <w:rPr>
          <w:rFonts w:cs="Arial"/>
          <w:sz w:val="22"/>
          <w:szCs w:val="22"/>
          <w:lang w:val="es-MX"/>
        </w:rPr>
      </w:pPr>
      <w:r>
        <w:rPr>
          <w:rFonts w:cs="Arial"/>
          <w:sz w:val="22"/>
          <w:szCs w:val="22"/>
          <w:lang w:val="es-MX"/>
        </w:rPr>
        <w:br w:type="page"/>
      </w:r>
    </w:p>
    <w:p w14:paraId="55AB64A3" w14:textId="34AE5ACF" w:rsidR="00A30FFC" w:rsidRDefault="00A1159F" w:rsidP="00A30FFC">
      <w:pPr>
        <w:jc w:val="center"/>
        <w:textAlignment w:val="baseline"/>
        <w:rPr>
          <w:rFonts w:cs="Arial"/>
          <w:b/>
          <w:bCs/>
          <w:smallCaps/>
          <w:color w:val="000000"/>
          <w:sz w:val="20"/>
          <w:lang w:val="es-MX"/>
        </w:rPr>
      </w:pPr>
      <w:r w:rsidRPr="00D75FE1">
        <w:rPr>
          <w:rFonts w:cs="Arial"/>
          <w:b/>
          <w:bCs/>
          <w:smallCaps/>
          <w:color w:val="000000"/>
          <w:sz w:val="20"/>
          <w:lang w:val="es-MX"/>
        </w:rPr>
        <w:lastRenderedPageBreak/>
        <w:t>Resultados Esperados</w:t>
      </w:r>
    </w:p>
    <w:p w14:paraId="1FDE76E4" w14:textId="77777777" w:rsidR="007309E4" w:rsidRPr="00D75FE1" w:rsidRDefault="007309E4" w:rsidP="00A30FFC">
      <w:pPr>
        <w:jc w:val="center"/>
        <w:textAlignment w:val="baseline"/>
        <w:rPr>
          <w:rFonts w:cs="Arial"/>
          <w:b/>
          <w:bCs/>
          <w:smallCaps/>
          <w:color w:val="000000"/>
          <w:sz w:val="20"/>
          <w:lang w:val="es-MX"/>
        </w:rPr>
      </w:pPr>
    </w:p>
    <w:p w14:paraId="2B40A3AC" w14:textId="4EFCE30E" w:rsidR="00A30FFC" w:rsidRDefault="007309E4" w:rsidP="007309E4">
      <w:pPr>
        <w:jc w:val="center"/>
        <w:rPr>
          <w:lang w:val="es-MX"/>
        </w:rPr>
      </w:pPr>
      <w:r>
        <w:rPr>
          <w:noProof/>
        </w:rPr>
        <w:drawing>
          <wp:inline distT="0" distB="0" distL="0" distR="0" wp14:anchorId="569F765D" wp14:editId="6EB49517">
            <wp:extent cx="5305425" cy="74390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05425" cy="7439025"/>
                    </a:xfrm>
                    <a:prstGeom prst="rect">
                      <a:avLst/>
                    </a:prstGeom>
                  </pic:spPr>
                </pic:pic>
              </a:graphicData>
            </a:graphic>
          </wp:inline>
        </w:drawing>
      </w:r>
    </w:p>
    <w:p w14:paraId="50BF30BE" w14:textId="77777777" w:rsidR="007309E4" w:rsidRDefault="007309E4">
      <w:pPr>
        <w:rPr>
          <w:lang w:val="es-MX"/>
        </w:rPr>
      </w:pPr>
    </w:p>
    <w:p w14:paraId="21356B25" w14:textId="77777777" w:rsidR="00A30FFC" w:rsidRPr="00D75FE1" w:rsidRDefault="00A30FFC">
      <w:pPr>
        <w:rPr>
          <w:lang w:val="es-MX"/>
        </w:rPr>
      </w:pPr>
    </w:p>
    <w:p w14:paraId="195C3DB0" w14:textId="57F042E3" w:rsidR="00A1159F" w:rsidRDefault="00A1159F" w:rsidP="00A1159F">
      <w:pPr>
        <w:jc w:val="both"/>
        <w:rPr>
          <w:rFonts w:cs="Arial"/>
          <w:sz w:val="22"/>
          <w:szCs w:val="22"/>
          <w:lang w:val="es-MX"/>
        </w:rPr>
      </w:pPr>
      <w:r w:rsidRPr="00FF3599">
        <w:rPr>
          <w:rFonts w:cs="Arial"/>
          <w:sz w:val="22"/>
          <w:szCs w:val="22"/>
          <w:lang w:val="es-MX"/>
        </w:rPr>
        <w:lastRenderedPageBreak/>
        <w:t xml:space="preserve">Los indicadores de resultados apuntan a medir avances sustantivos en los resultados de salud: reducción en hospitalizaciones sensibles a la atención básica como resultado de la implementación de las líneas de cuidado correspondientes debido a la aplicación, remodelación y construcción de </w:t>
      </w:r>
      <w:r w:rsidR="00B5313C" w:rsidRPr="00FF3599">
        <w:rPr>
          <w:rFonts w:cs="Arial"/>
          <w:sz w:val="22"/>
          <w:szCs w:val="22"/>
          <w:lang w:val="es-MX"/>
        </w:rPr>
        <w:t>Unidades Básicas de Salud (UBS), Unidades de Salud</w:t>
      </w:r>
      <w:r w:rsidR="00A72AC8" w:rsidRPr="00FF3599">
        <w:rPr>
          <w:rFonts w:cs="Arial"/>
          <w:sz w:val="22"/>
          <w:szCs w:val="22"/>
          <w:lang w:val="es-MX"/>
        </w:rPr>
        <w:t xml:space="preserve"> y </w:t>
      </w:r>
      <w:r w:rsidRPr="00FF3599">
        <w:rPr>
          <w:rFonts w:cs="Arial"/>
          <w:sz w:val="22"/>
          <w:szCs w:val="22"/>
          <w:lang w:val="es-MX"/>
        </w:rPr>
        <w:t>Unidades de Pronta Atención</w:t>
      </w:r>
      <w:r w:rsidR="00A72AC8" w:rsidRPr="00FF3599">
        <w:rPr>
          <w:rFonts w:cs="Arial"/>
          <w:sz w:val="22"/>
          <w:szCs w:val="22"/>
          <w:lang w:val="es-MX"/>
        </w:rPr>
        <w:t>.</w:t>
      </w:r>
      <w:r w:rsidR="00A72AC8" w:rsidRPr="00FF3599" w:rsidDel="00A72AC8">
        <w:rPr>
          <w:rFonts w:cs="Arial"/>
          <w:sz w:val="22"/>
          <w:szCs w:val="22"/>
          <w:lang w:val="es-MX"/>
        </w:rPr>
        <w:t xml:space="preserve"> </w:t>
      </w:r>
    </w:p>
    <w:p w14:paraId="3742DC20" w14:textId="1B03936A" w:rsidR="00D95AA9" w:rsidRDefault="00D95AA9" w:rsidP="00A1159F">
      <w:pPr>
        <w:jc w:val="both"/>
        <w:rPr>
          <w:rFonts w:cs="Arial"/>
          <w:sz w:val="22"/>
          <w:szCs w:val="22"/>
          <w:lang w:val="es-MX"/>
        </w:rPr>
      </w:pPr>
    </w:p>
    <w:p w14:paraId="391AF01A" w14:textId="76FED480" w:rsidR="000F543E" w:rsidRDefault="0061393C" w:rsidP="00A1159F">
      <w:pPr>
        <w:jc w:val="both"/>
        <w:rPr>
          <w:rFonts w:cs="Arial"/>
          <w:sz w:val="22"/>
          <w:szCs w:val="22"/>
          <w:lang w:val="es-MX"/>
        </w:rPr>
      </w:pPr>
      <w:r>
        <w:rPr>
          <w:rFonts w:cs="Arial"/>
          <w:sz w:val="22"/>
          <w:szCs w:val="22"/>
          <w:lang w:val="es-MX"/>
        </w:rPr>
        <w:t xml:space="preserve">Los medios de verificación de los </w:t>
      </w:r>
      <w:r w:rsidR="008F0D8F">
        <w:rPr>
          <w:rFonts w:cs="Arial"/>
          <w:sz w:val="22"/>
          <w:szCs w:val="22"/>
          <w:lang w:val="es-MX"/>
        </w:rPr>
        <w:t>resultados</w:t>
      </w:r>
      <w:r w:rsidR="00872E4C">
        <w:rPr>
          <w:rFonts w:cs="Arial"/>
          <w:sz w:val="22"/>
          <w:szCs w:val="22"/>
          <w:lang w:val="es-MX"/>
        </w:rPr>
        <w:t xml:space="preserve"> involucran sistemas </w:t>
      </w:r>
      <w:r w:rsidR="007F0D6D">
        <w:rPr>
          <w:rFonts w:cs="Arial"/>
          <w:sz w:val="22"/>
          <w:szCs w:val="22"/>
          <w:lang w:val="es-MX"/>
        </w:rPr>
        <w:t>nacionales oficiales como el</w:t>
      </w:r>
      <w:r w:rsidR="00872E4C">
        <w:rPr>
          <w:rFonts w:cs="Arial"/>
          <w:sz w:val="22"/>
          <w:szCs w:val="22"/>
          <w:lang w:val="es-MX"/>
        </w:rPr>
        <w:t xml:space="preserve"> </w:t>
      </w:r>
      <w:r w:rsidR="00872E4C" w:rsidRPr="00872E4C">
        <w:rPr>
          <w:rFonts w:cs="Arial"/>
          <w:sz w:val="22"/>
          <w:szCs w:val="22"/>
          <w:lang w:val="es-MX"/>
        </w:rPr>
        <w:t>Sistema de Información Ambulatoria (SIASUS)</w:t>
      </w:r>
      <w:r w:rsidR="00E03009">
        <w:rPr>
          <w:rFonts w:cs="Arial"/>
          <w:sz w:val="22"/>
          <w:szCs w:val="22"/>
          <w:lang w:val="es-MX"/>
        </w:rPr>
        <w:t xml:space="preserve"> y DATASUS</w:t>
      </w:r>
      <w:r w:rsidR="00872E4C" w:rsidRPr="00872E4C">
        <w:rPr>
          <w:rFonts w:cs="Arial"/>
          <w:sz w:val="22"/>
          <w:szCs w:val="22"/>
          <w:lang w:val="es-MX"/>
        </w:rPr>
        <w:t>,</w:t>
      </w:r>
      <w:r w:rsidR="00E03009">
        <w:rPr>
          <w:rFonts w:cs="Arial"/>
          <w:sz w:val="22"/>
          <w:szCs w:val="22"/>
          <w:lang w:val="es-MX"/>
        </w:rPr>
        <w:t xml:space="preserve"> así como fuentes municipales</w:t>
      </w:r>
      <w:r w:rsidR="000F543E">
        <w:rPr>
          <w:rFonts w:cs="Arial"/>
          <w:sz w:val="22"/>
          <w:szCs w:val="22"/>
          <w:lang w:val="es-MX"/>
        </w:rPr>
        <w:t>:</w:t>
      </w:r>
    </w:p>
    <w:p w14:paraId="292B3A92" w14:textId="77777777" w:rsidR="000F543E" w:rsidRDefault="000F543E" w:rsidP="00A1159F">
      <w:pPr>
        <w:jc w:val="both"/>
        <w:rPr>
          <w:rFonts w:cs="Arial"/>
          <w:sz w:val="22"/>
          <w:szCs w:val="22"/>
          <w:lang w:val="es-MX"/>
        </w:rPr>
      </w:pPr>
    </w:p>
    <w:p w14:paraId="733B1089" w14:textId="76818BF3" w:rsidR="00D95AA9" w:rsidRDefault="00E03009" w:rsidP="000F543E">
      <w:pPr>
        <w:pStyle w:val="ListParagraph"/>
        <w:numPr>
          <w:ilvl w:val="0"/>
          <w:numId w:val="14"/>
        </w:numPr>
        <w:jc w:val="both"/>
        <w:rPr>
          <w:rFonts w:cs="Arial"/>
          <w:szCs w:val="22"/>
          <w:lang w:val="es-MX"/>
        </w:rPr>
      </w:pPr>
      <w:r w:rsidRPr="000F543E">
        <w:rPr>
          <w:rFonts w:cs="Arial"/>
          <w:szCs w:val="22"/>
          <w:lang w:val="es-MX"/>
        </w:rPr>
        <w:t>SISREDE</w:t>
      </w:r>
      <w:r w:rsidR="000F543E">
        <w:rPr>
          <w:rFonts w:cs="Arial"/>
          <w:szCs w:val="22"/>
          <w:lang w:val="es-MX"/>
        </w:rPr>
        <w:t>:</w:t>
      </w:r>
      <w:r w:rsidRPr="000F543E">
        <w:rPr>
          <w:rFonts w:cs="Arial"/>
          <w:szCs w:val="22"/>
          <w:lang w:val="es-MX"/>
        </w:rPr>
        <w:t xml:space="preserve"> el Sistema de Gestión de Salud en Red opera en los establecimientos de salud de Belo Horizonte y guarda el registro electrónico de atendimiento.</w:t>
      </w:r>
      <w:r w:rsidR="006C48BE" w:rsidRPr="000F543E">
        <w:rPr>
          <w:rFonts w:cs="Arial"/>
          <w:szCs w:val="22"/>
          <w:lang w:val="es-MX"/>
        </w:rPr>
        <w:t xml:space="preserve"> </w:t>
      </w:r>
    </w:p>
    <w:p w14:paraId="62E2E0C9" w14:textId="5665E7C2" w:rsidR="000F543E" w:rsidRDefault="000F543E" w:rsidP="000F543E">
      <w:pPr>
        <w:pStyle w:val="ListParagraph"/>
        <w:numPr>
          <w:ilvl w:val="0"/>
          <w:numId w:val="14"/>
        </w:numPr>
        <w:jc w:val="both"/>
        <w:rPr>
          <w:rFonts w:cs="Arial"/>
          <w:szCs w:val="22"/>
          <w:lang w:val="es-MX"/>
        </w:rPr>
      </w:pPr>
      <w:r>
        <w:rPr>
          <w:rFonts w:cs="Arial"/>
          <w:szCs w:val="22"/>
          <w:lang w:val="es-MX"/>
        </w:rPr>
        <w:t xml:space="preserve">SIES: </w:t>
      </w:r>
      <w:r w:rsidR="00D64FFB">
        <w:rPr>
          <w:rFonts w:cs="Arial"/>
          <w:szCs w:val="22"/>
          <w:lang w:val="es-MX"/>
        </w:rPr>
        <w:t xml:space="preserve">el Sistema de Insumos Estratégicos en Salud </w:t>
      </w:r>
      <w:r w:rsidR="00871624">
        <w:rPr>
          <w:rFonts w:cs="Arial"/>
          <w:szCs w:val="22"/>
          <w:lang w:val="es-MX"/>
        </w:rPr>
        <w:t xml:space="preserve">es el sistema oficial de movimiento </w:t>
      </w:r>
      <w:r w:rsidR="00BD0D2B">
        <w:rPr>
          <w:rFonts w:cs="Arial"/>
          <w:szCs w:val="22"/>
          <w:lang w:val="es-MX"/>
        </w:rPr>
        <w:t xml:space="preserve">de insumos </w:t>
      </w:r>
      <w:r w:rsidR="00315343">
        <w:rPr>
          <w:rFonts w:cs="Arial"/>
          <w:szCs w:val="22"/>
          <w:lang w:val="es-MX"/>
        </w:rPr>
        <w:t>críticos</w:t>
      </w:r>
      <w:r w:rsidR="00CE6489">
        <w:rPr>
          <w:rFonts w:cs="Arial"/>
          <w:szCs w:val="22"/>
          <w:lang w:val="es-MX"/>
        </w:rPr>
        <w:t xml:space="preserve"> y </w:t>
      </w:r>
      <w:r w:rsidR="008F36B4">
        <w:rPr>
          <w:rFonts w:cs="Arial"/>
          <w:szCs w:val="22"/>
          <w:lang w:val="es-MX"/>
        </w:rPr>
        <w:t>se integra a DATASUS</w:t>
      </w:r>
      <w:r w:rsidR="00315343">
        <w:rPr>
          <w:rFonts w:cs="Arial"/>
          <w:szCs w:val="22"/>
          <w:lang w:val="es-MX"/>
        </w:rPr>
        <w:t>.</w:t>
      </w:r>
    </w:p>
    <w:p w14:paraId="3272C202" w14:textId="77777777" w:rsidR="008F36B4" w:rsidRDefault="006B73B9" w:rsidP="000F543E">
      <w:pPr>
        <w:pStyle w:val="ListParagraph"/>
        <w:numPr>
          <w:ilvl w:val="0"/>
          <w:numId w:val="14"/>
        </w:numPr>
        <w:jc w:val="both"/>
        <w:rPr>
          <w:rFonts w:cs="Arial"/>
          <w:szCs w:val="22"/>
          <w:lang w:val="es-MX"/>
        </w:rPr>
      </w:pPr>
      <w:r>
        <w:rPr>
          <w:rFonts w:cs="Arial"/>
          <w:szCs w:val="22"/>
          <w:lang w:val="es-MX"/>
        </w:rPr>
        <w:t xml:space="preserve">CINT/SIH: </w:t>
      </w:r>
      <w:r w:rsidR="00AD7592">
        <w:rPr>
          <w:rFonts w:cs="Arial"/>
          <w:szCs w:val="22"/>
          <w:lang w:val="es-MX"/>
        </w:rPr>
        <w:t>el Central de Internaciones/Sistema de Internación Hospitalaria</w:t>
      </w:r>
      <w:r w:rsidR="008F36B4">
        <w:rPr>
          <w:rFonts w:cs="Arial"/>
          <w:szCs w:val="22"/>
          <w:lang w:val="es-MX"/>
        </w:rPr>
        <w:t xml:space="preserve"> mantiene los datos de hospitalizaciones y hace parte de DATASUS.</w:t>
      </w:r>
    </w:p>
    <w:p w14:paraId="71450D96" w14:textId="77777777" w:rsidR="006F54E5" w:rsidRDefault="00E01C89" w:rsidP="000F543E">
      <w:pPr>
        <w:pStyle w:val="ListParagraph"/>
        <w:numPr>
          <w:ilvl w:val="0"/>
          <w:numId w:val="14"/>
        </w:numPr>
        <w:jc w:val="both"/>
        <w:rPr>
          <w:rFonts w:cs="Arial"/>
          <w:szCs w:val="22"/>
          <w:lang w:val="es-MX"/>
        </w:rPr>
      </w:pPr>
      <w:r>
        <w:rPr>
          <w:rFonts w:cs="Arial"/>
          <w:szCs w:val="22"/>
          <w:lang w:val="es-MX"/>
        </w:rPr>
        <w:t xml:space="preserve">SISREG: el Sistema Nacional de Regulación fue desarrollado por el Departamento de Informática del Ministerio de Salud </w:t>
      </w:r>
      <w:r w:rsidR="0077339D">
        <w:rPr>
          <w:rFonts w:cs="Arial"/>
          <w:szCs w:val="22"/>
          <w:lang w:val="es-MX"/>
        </w:rPr>
        <w:t xml:space="preserve">(DATASUS) </w:t>
      </w:r>
      <w:r w:rsidR="006F54E5">
        <w:rPr>
          <w:rFonts w:cs="Arial"/>
          <w:szCs w:val="22"/>
          <w:lang w:val="es-MX"/>
        </w:rPr>
        <w:t>y se utiliza para controlar el acceso de los pacientes a la atención especializada.</w:t>
      </w:r>
    </w:p>
    <w:p w14:paraId="71FD4FA6" w14:textId="77777777" w:rsidR="004E1B56" w:rsidRDefault="00DE64F9" w:rsidP="000F543E">
      <w:pPr>
        <w:pStyle w:val="ListParagraph"/>
        <w:numPr>
          <w:ilvl w:val="0"/>
          <w:numId w:val="14"/>
        </w:numPr>
        <w:jc w:val="both"/>
        <w:rPr>
          <w:rFonts w:cs="Arial"/>
          <w:szCs w:val="22"/>
          <w:lang w:val="es-MX"/>
        </w:rPr>
      </w:pPr>
      <w:r>
        <w:rPr>
          <w:rFonts w:cs="Arial"/>
          <w:szCs w:val="22"/>
          <w:lang w:val="es-MX"/>
        </w:rPr>
        <w:t xml:space="preserve">Comisión Perinatal/SINASC: </w:t>
      </w:r>
      <w:r w:rsidR="00B53824">
        <w:rPr>
          <w:rFonts w:cs="Arial"/>
          <w:szCs w:val="22"/>
          <w:lang w:val="es-MX"/>
        </w:rPr>
        <w:t xml:space="preserve">La Comisión </w:t>
      </w:r>
      <w:r w:rsidR="00633645">
        <w:rPr>
          <w:rFonts w:cs="Arial"/>
          <w:szCs w:val="22"/>
          <w:lang w:val="es-MX"/>
        </w:rPr>
        <w:t>valida los datos entrados en el Sistema de Informaciones de Naci</w:t>
      </w:r>
      <w:r w:rsidR="00971053">
        <w:rPr>
          <w:rFonts w:cs="Arial"/>
          <w:szCs w:val="22"/>
          <w:lang w:val="es-MX"/>
        </w:rPr>
        <w:t xml:space="preserve">dos Vivos (SINASC) que se utiliza en </w:t>
      </w:r>
      <w:r w:rsidR="004E1B56">
        <w:rPr>
          <w:rFonts w:cs="Arial"/>
          <w:szCs w:val="22"/>
          <w:lang w:val="es-MX"/>
        </w:rPr>
        <w:t>todo el país.</w:t>
      </w:r>
    </w:p>
    <w:p w14:paraId="41DECFEA" w14:textId="50A197DB" w:rsidR="006D406B" w:rsidRDefault="00F85792" w:rsidP="000F543E">
      <w:pPr>
        <w:pStyle w:val="ListParagraph"/>
        <w:numPr>
          <w:ilvl w:val="0"/>
          <w:numId w:val="14"/>
        </w:numPr>
        <w:jc w:val="both"/>
        <w:rPr>
          <w:rFonts w:cs="Arial"/>
          <w:szCs w:val="22"/>
          <w:lang w:val="es-MX"/>
        </w:rPr>
      </w:pPr>
      <w:r>
        <w:rPr>
          <w:rFonts w:cs="Arial"/>
          <w:szCs w:val="22"/>
          <w:lang w:val="es-MX"/>
        </w:rPr>
        <w:t xml:space="preserve">E-SUS/CMD/SIA: </w:t>
      </w:r>
      <w:r w:rsidR="00E71809">
        <w:rPr>
          <w:rFonts w:cs="Arial"/>
          <w:szCs w:val="22"/>
          <w:lang w:val="es-MX"/>
        </w:rPr>
        <w:t>e</w:t>
      </w:r>
      <w:r w:rsidR="00DB7DF5">
        <w:rPr>
          <w:rFonts w:cs="Arial"/>
          <w:szCs w:val="22"/>
          <w:lang w:val="es-MX"/>
        </w:rPr>
        <w:t xml:space="preserve">l </w:t>
      </w:r>
      <w:r w:rsidR="00C5482C">
        <w:rPr>
          <w:rFonts w:cs="Arial"/>
          <w:szCs w:val="22"/>
          <w:lang w:val="es-MX"/>
        </w:rPr>
        <w:t xml:space="preserve">Sistema </w:t>
      </w:r>
      <w:r w:rsidR="00DB7DF5">
        <w:rPr>
          <w:rFonts w:cs="Arial"/>
          <w:szCs w:val="22"/>
          <w:lang w:val="es-MX"/>
        </w:rPr>
        <w:t>Único de Salud Electrónico de Atención Básica</w:t>
      </w:r>
      <w:r w:rsidR="00863EA6">
        <w:rPr>
          <w:rFonts w:cs="Arial"/>
          <w:szCs w:val="22"/>
          <w:lang w:val="es-MX"/>
        </w:rPr>
        <w:t xml:space="preserve"> (E-</w:t>
      </w:r>
      <w:bookmarkStart w:id="4" w:name="_GoBack"/>
      <w:bookmarkEnd w:id="4"/>
      <w:r w:rsidR="00863EA6">
        <w:rPr>
          <w:rFonts w:cs="Arial"/>
          <w:szCs w:val="22"/>
          <w:lang w:val="es-MX"/>
        </w:rPr>
        <w:t>SUS-AB), el Conjunto Mínimo de Datos (CMD) y el Sistema de Información Ambulatoria (SIA)</w:t>
      </w:r>
      <w:r w:rsidR="00E01C89">
        <w:rPr>
          <w:rFonts w:cs="Arial"/>
          <w:szCs w:val="22"/>
          <w:lang w:val="es-MX"/>
        </w:rPr>
        <w:t xml:space="preserve"> </w:t>
      </w:r>
      <w:r w:rsidR="006A0D02">
        <w:rPr>
          <w:rFonts w:cs="Arial"/>
          <w:szCs w:val="22"/>
          <w:lang w:val="es-MX"/>
        </w:rPr>
        <w:t xml:space="preserve">son sistemas oficiales de DATASUS para compilar </w:t>
      </w:r>
      <w:r w:rsidR="006D406B">
        <w:rPr>
          <w:rFonts w:cs="Arial"/>
          <w:szCs w:val="22"/>
          <w:lang w:val="es-MX"/>
        </w:rPr>
        <w:t>los datos de atención ambulatoria (atención primaria).</w:t>
      </w:r>
    </w:p>
    <w:p w14:paraId="29A39FA2" w14:textId="77777777" w:rsidR="006945FE" w:rsidRDefault="006D406B" w:rsidP="000F543E">
      <w:pPr>
        <w:pStyle w:val="ListParagraph"/>
        <w:numPr>
          <w:ilvl w:val="0"/>
          <w:numId w:val="14"/>
        </w:numPr>
        <w:jc w:val="both"/>
        <w:rPr>
          <w:rFonts w:cs="Arial"/>
          <w:szCs w:val="22"/>
          <w:lang w:val="es-MX"/>
        </w:rPr>
      </w:pPr>
      <w:r>
        <w:rPr>
          <w:rFonts w:cs="Arial"/>
          <w:szCs w:val="22"/>
          <w:lang w:val="es-MX"/>
        </w:rPr>
        <w:t xml:space="preserve">CCIH: la </w:t>
      </w:r>
      <w:r w:rsidR="00E71809">
        <w:rPr>
          <w:rFonts w:cs="Arial"/>
          <w:szCs w:val="22"/>
          <w:lang w:val="es-MX"/>
        </w:rPr>
        <w:t xml:space="preserve">Comisión de Control de Infección Hospitalaria </w:t>
      </w:r>
      <w:r w:rsidR="00B63E94">
        <w:rPr>
          <w:rFonts w:cs="Arial"/>
          <w:szCs w:val="22"/>
          <w:lang w:val="es-MX"/>
        </w:rPr>
        <w:t xml:space="preserve">reporta </w:t>
      </w:r>
      <w:r w:rsidR="004E5C89">
        <w:rPr>
          <w:rFonts w:cs="Arial"/>
          <w:szCs w:val="22"/>
          <w:lang w:val="es-MX"/>
        </w:rPr>
        <w:t>mensual</w:t>
      </w:r>
      <w:r w:rsidR="00B63E94">
        <w:rPr>
          <w:rFonts w:cs="Arial"/>
          <w:szCs w:val="22"/>
          <w:lang w:val="es-MX"/>
        </w:rPr>
        <w:t xml:space="preserve">mente </w:t>
      </w:r>
      <w:r w:rsidR="001A440C">
        <w:rPr>
          <w:rFonts w:cs="Arial"/>
          <w:szCs w:val="22"/>
          <w:lang w:val="es-MX"/>
        </w:rPr>
        <w:t xml:space="preserve">de forma obligatoria </w:t>
      </w:r>
      <w:r w:rsidR="00D75ED1">
        <w:rPr>
          <w:rFonts w:cs="Arial"/>
          <w:szCs w:val="22"/>
          <w:lang w:val="es-MX"/>
        </w:rPr>
        <w:t>la tasa de infecciones relacionadas con la cateterización venos</w:t>
      </w:r>
      <w:r w:rsidR="006945FE">
        <w:rPr>
          <w:rFonts w:cs="Arial"/>
          <w:szCs w:val="22"/>
          <w:lang w:val="es-MX"/>
        </w:rPr>
        <w:t>a central en unidades de terapia intensiva a la Agencia Nacional de Vigilancia Sanitaria.</w:t>
      </w:r>
    </w:p>
    <w:p w14:paraId="1575415B" w14:textId="78A31DC4" w:rsidR="0092428D" w:rsidRPr="000F543E" w:rsidRDefault="00943092" w:rsidP="000F543E">
      <w:pPr>
        <w:pStyle w:val="ListParagraph"/>
        <w:numPr>
          <w:ilvl w:val="0"/>
          <w:numId w:val="14"/>
        </w:numPr>
        <w:jc w:val="both"/>
        <w:rPr>
          <w:rFonts w:cs="Arial"/>
          <w:szCs w:val="22"/>
          <w:lang w:val="es-MX"/>
        </w:rPr>
      </w:pPr>
      <w:r>
        <w:rPr>
          <w:rFonts w:cs="Arial"/>
          <w:szCs w:val="22"/>
          <w:lang w:val="es-MX"/>
        </w:rPr>
        <w:t xml:space="preserve">Los datos recogidos por los hospitales y la entidad certificadora </w:t>
      </w:r>
      <w:r w:rsidR="003742C6">
        <w:rPr>
          <w:rFonts w:cs="Arial"/>
          <w:szCs w:val="22"/>
          <w:lang w:val="es-MX"/>
        </w:rPr>
        <w:t>permitirán</w:t>
      </w:r>
      <w:r>
        <w:rPr>
          <w:rFonts w:cs="Arial"/>
          <w:szCs w:val="22"/>
          <w:lang w:val="es-MX"/>
        </w:rPr>
        <w:t xml:space="preserve"> </w:t>
      </w:r>
      <w:r w:rsidR="005560B9">
        <w:rPr>
          <w:rFonts w:cs="Arial"/>
          <w:szCs w:val="22"/>
          <w:lang w:val="es-MX"/>
        </w:rPr>
        <w:t xml:space="preserve">medir la tasa de adhesión </w:t>
      </w:r>
      <w:r w:rsidR="003742C6">
        <w:rPr>
          <w:rFonts w:cs="Arial"/>
          <w:szCs w:val="22"/>
          <w:lang w:val="es-MX"/>
        </w:rPr>
        <w:t>a las actividades de mejoramiento de la calidad.</w:t>
      </w:r>
      <w:r w:rsidR="00AD7592">
        <w:rPr>
          <w:rFonts w:cs="Arial"/>
          <w:szCs w:val="22"/>
          <w:lang w:val="es-MX"/>
        </w:rPr>
        <w:t xml:space="preserve"> </w:t>
      </w:r>
    </w:p>
    <w:p w14:paraId="02B75B36" w14:textId="77777777" w:rsidR="00A1159F" w:rsidRPr="00D75FE1" w:rsidRDefault="00A1159F" w:rsidP="00A1159F">
      <w:pPr>
        <w:pStyle w:val="Heading2"/>
        <w:numPr>
          <w:ilvl w:val="0"/>
          <w:numId w:val="3"/>
        </w:numPr>
        <w:rPr>
          <w:rFonts w:ascii="Arial" w:hAnsi="Arial" w:cs="Arial"/>
          <w:b/>
          <w:bCs/>
          <w:color w:val="auto"/>
          <w:sz w:val="22"/>
          <w:szCs w:val="22"/>
          <w:lang w:val="es-MX"/>
        </w:rPr>
      </w:pPr>
      <w:r w:rsidRPr="00D75FE1">
        <w:rPr>
          <w:rFonts w:ascii="Arial" w:hAnsi="Arial" w:cs="Arial"/>
          <w:b/>
          <w:bCs/>
          <w:color w:val="auto"/>
          <w:sz w:val="22"/>
          <w:szCs w:val="22"/>
          <w:lang w:val="es-MX"/>
        </w:rPr>
        <w:t>Presentación de informes y cronogramas</w:t>
      </w:r>
    </w:p>
    <w:p w14:paraId="4F32EB07" w14:textId="77777777" w:rsidR="00A1159F" w:rsidRPr="001E497E" w:rsidRDefault="00A1159F" w:rsidP="00A1159F">
      <w:pPr>
        <w:pStyle w:val="AutoNumpara"/>
        <w:numPr>
          <w:ilvl w:val="0"/>
          <w:numId w:val="0"/>
        </w:numPr>
        <w:tabs>
          <w:tab w:val="left" w:pos="720"/>
        </w:tabs>
        <w:rPr>
          <w:rFonts w:cs="Arial"/>
          <w:noProof w:val="0"/>
          <w:sz w:val="22"/>
          <w:szCs w:val="22"/>
          <w:lang w:val="es-MX"/>
        </w:rPr>
      </w:pPr>
      <w:r w:rsidRPr="001E497E">
        <w:rPr>
          <w:rFonts w:cs="Arial"/>
          <w:noProof w:val="0"/>
          <w:sz w:val="22"/>
          <w:szCs w:val="22"/>
          <w:lang w:val="es-MX"/>
        </w:rPr>
        <w:t>El monitoreo por parte de la UCP se realizará sobre los indicadores presentados en la matriz de resultados, además de los instrumentos que se describen a continuación:</w:t>
      </w:r>
    </w:p>
    <w:p w14:paraId="6F6F3F2A" w14:textId="77777777" w:rsidR="00A1159F" w:rsidRPr="001E497E" w:rsidRDefault="00A1159F" w:rsidP="00A1159F">
      <w:pPr>
        <w:pStyle w:val="AutoNumpara"/>
        <w:numPr>
          <w:ilvl w:val="0"/>
          <w:numId w:val="0"/>
        </w:numPr>
        <w:tabs>
          <w:tab w:val="left" w:pos="720"/>
        </w:tabs>
        <w:rPr>
          <w:rFonts w:cs="Arial"/>
          <w:noProof w:val="0"/>
          <w:sz w:val="22"/>
          <w:szCs w:val="22"/>
          <w:lang w:val="es-MX"/>
        </w:rPr>
      </w:pPr>
      <w:r w:rsidRPr="001E497E">
        <w:rPr>
          <w:rFonts w:cs="Arial"/>
          <w:noProof w:val="0"/>
          <w:sz w:val="22"/>
          <w:szCs w:val="22"/>
          <w:u w:val="single"/>
          <w:lang w:val="es-MX"/>
        </w:rPr>
        <w:t>Plan Operativo  Anual (POA):</w:t>
      </w:r>
      <w:r w:rsidRPr="001E497E">
        <w:rPr>
          <w:rFonts w:cs="Arial"/>
          <w:noProof w:val="0"/>
          <w:sz w:val="22"/>
          <w:szCs w:val="22"/>
          <w:lang w:val="es-MX"/>
        </w:rPr>
        <w:t xml:space="preserve"> El Equipo del Banco y la UCP elaboraron el presupuesto detallado, a nivel de actividades, y su correspondiente Plan de Adquisiciones  para los 18 meses de ejecución, que contiene: (i) los contratos y montos particulares para el pago de obras, adquisiciones de bienes y servicios requeridos; (ii) los métodos propuestos para las contrataciones de obras, adquisiciones de bienes, y para la selección de los prestadores de servicios; y (iii) los procedimientos aplicados por el Banco para el examen de los procedimientos de contratación. El POA será actualizado anualmente y revisado cada seis meses.</w:t>
      </w:r>
    </w:p>
    <w:p w14:paraId="19D71403" w14:textId="77777777" w:rsidR="00A1159F" w:rsidRPr="001E497E" w:rsidRDefault="00A1159F" w:rsidP="00A1159F">
      <w:pPr>
        <w:pStyle w:val="AutoNumpara"/>
        <w:numPr>
          <w:ilvl w:val="0"/>
          <w:numId w:val="0"/>
        </w:numPr>
        <w:tabs>
          <w:tab w:val="left" w:pos="720"/>
        </w:tabs>
        <w:rPr>
          <w:rFonts w:cs="Arial"/>
          <w:noProof w:val="0"/>
          <w:sz w:val="22"/>
          <w:szCs w:val="22"/>
          <w:lang w:val="es-MX"/>
        </w:rPr>
      </w:pPr>
      <w:r w:rsidRPr="001E497E">
        <w:rPr>
          <w:rFonts w:cs="Arial"/>
          <w:bCs/>
          <w:noProof w:val="0"/>
          <w:sz w:val="22"/>
          <w:szCs w:val="22"/>
          <w:u w:val="single"/>
          <w:lang w:val="es-MX"/>
        </w:rPr>
        <w:t>Informes Semestrales de Avance</w:t>
      </w:r>
      <w:r w:rsidRPr="001E497E">
        <w:rPr>
          <w:rFonts w:cs="Arial"/>
          <w:noProof w:val="0"/>
          <w:sz w:val="22"/>
          <w:szCs w:val="22"/>
          <w:u w:val="single"/>
          <w:lang w:val="es-MX"/>
        </w:rPr>
        <w:t>:</w:t>
      </w:r>
      <w:r w:rsidRPr="001E497E">
        <w:rPr>
          <w:rFonts w:cs="Arial"/>
          <w:noProof w:val="0"/>
          <w:sz w:val="22"/>
          <w:szCs w:val="22"/>
          <w:lang w:val="es-MX"/>
        </w:rPr>
        <w:t xml:space="preserve"> El informe semestral sobre el progreso en la ejecución presentará una síntesis de los resultados alcanzados por componentes, analizando, además los riesgos del Programa. Presentarán además una visión consolidada de lecciones aprendidas, y conclusiones y recomendaciones destinadas a retroalimentar o Programa. Con base a estos informes se realizarán reuniones de evaluación conjunta entre el ejecutor y el Banco dentro de los 60 días posteriores a su recepción. </w:t>
      </w:r>
    </w:p>
    <w:p w14:paraId="6B278457" w14:textId="77777777" w:rsidR="00A1159F" w:rsidRPr="001E497E" w:rsidRDefault="00A1159F" w:rsidP="00A1159F">
      <w:pPr>
        <w:pStyle w:val="AutoNumpara"/>
        <w:numPr>
          <w:ilvl w:val="0"/>
          <w:numId w:val="0"/>
        </w:numPr>
        <w:tabs>
          <w:tab w:val="left" w:pos="720"/>
        </w:tabs>
        <w:rPr>
          <w:rFonts w:cs="Arial"/>
          <w:bCs/>
          <w:noProof w:val="0"/>
          <w:sz w:val="22"/>
          <w:szCs w:val="22"/>
          <w:lang w:val="es-MX"/>
        </w:rPr>
      </w:pPr>
      <w:r w:rsidRPr="001E497E">
        <w:rPr>
          <w:rFonts w:cs="Arial"/>
          <w:sz w:val="22"/>
          <w:szCs w:val="22"/>
          <w:u w:val="single"/>
          <w:lang w:val="es-MX"/>
        </w:rPr>
        <w:t>Auditoría Financiera Anual:</w:t>
      </w:r>
      <w:r w:rsidRPr="001E497E">
        <w:rPr>
          <w:rFonts w:cs="Arial"/>
          <w:sz w:val="22"/>
          <w:szCs w:val="22"/>
          <w:lang w:val="es-MX"/>
        </w:rPr>
        <w:t xml:space="preserve"> El ejecutor contratará los servicios de una firma externa que realice en forma concurrente a la ejecución del Programa el análisis y valoración de la gestión financiera, y la </w:t>
      </w:r>
      <w:r w:rsidRPr="001E497E">
        <w:rPr>
          <w:rFonts w:cs="Arial"/>
          <w:noProof w:val="0"/>
          <w:sz w:val="22"/>
          <w:szCs w:val="22"/>
          <w:lang w:val="es-MX"/>
        </w:rPr>
        <w:t xml:space="preserve">aplicación de los procesos y procedimientos acordados para la ejecución del programa. Los informes de esta auditoría servirán para adoptar decisiones en materia de reforzamiento de los </w:t>
      </w:r>
      <w:r w:rsidRPr="001E497E">
        <w:rPr>
          <w:rFonts w:cs="Arial"/>
          <w:noProof w:val="0"/>
          <w:sz w:val="22"/>
          <w:szCs w:val="22"/>
          <w:lang w:val="es-MX"/>
        </w:rPr>
        <w:lastRenderedPageBreak/>
        <w:t>sistemas de control interno, de ajuste en los esquemas de operación a nivel central, regional y local, la adopción de lecciones aprendidas y buenas prácticas en los procesos y procedimientos operativos a nivel de la prestación de servicios básicos de salud.</w:t>
      </w:r>
    </w:p>
    <w:p w14:paraId="660CE1DC" w14:textId="77777777" w:rsidR="00A1159F" w:rsidRPr="001E497E" w:rsidRDefault="00A1159F" w:rsidP="00A1159F">
      <w:pPr>
        <w:pStyle w:val="AutoNumpara"/>
        <w:numPr>
          <w:ilvl w:val="0"/>
          <w:numId w:val="0"/>
        </w:numPr>
        <w:tabs>
          <w:tab w:val="left" w:pos="720"/>
        </w:tabs>
        <w:rPr>
          <w:rFonts w:cs="Arial"/>
          <w:noProof w:val="0"/>
          <w:sz w:val="22"/>
          <w:szCs w:val="22"/>
          <w:lang w:val="es-MX"/>
        </w:rPr>
      </w:pPr>
      <w:r w:rsidRPr="001E497E">
        <w:rPr>
          <w:rFonts w:cs="Arial"/>
          <w:bCs/>
          <w:noProof w:val="0"/>
          <w:sz w:val="22"/>
          <w:szCs w:val="22"/>
          <w:u w:val="single"/>
          <w:lang w:val="es-MX"/>
        </w:rPr>
        <w:t>Informe de Progreso del Monitoreo (PMR)</w:t>
      </w:r>
      <w:r w:rsidRPr="001E497E">
        <w:rPr>
          <w:rFonts w:cs="Arial"/>
          <w:bCs/>
          <w:noProof w:val="0"/>
          <w:sz w:val="22"/>
          <w:szCs w:val="22"/>
          <w:lang w:val="es-MX"/>
        </w:rPr>
        <w:t xml:space="preserve">: </w:t>
      </w:r>
      <w:r w:rsidRPr="001E497E">
        <w:rPr>
          <w:rFonts w:cs="Arial"/>
          <w:noProof w:val="0"/>
          <w:sz w:val="22"/>
          <w:szCs w:val="22"/>
          <w:lang w:val="es-MX"/>
        </w:rPr>
        <w:t>El desarrollo de la actividad de seguimiento está asociado directamente con las metas propuestas en la Matriz de Resultados del programa y las actividades establecidas en el PMR. La matriz de resultados incluye indicadores que tienen que ver con los resultados últimos esperados (indicadores de impacto), con resultados intermedios (indicadores de efectos) y con actividades/procesos (indicadores de productos y resultados) que se ejecutarán durante el desarrollo del programa.  Estas actividades se reflejarán en el PMR como herramienta que integra la información de metas a corto y mediano plazo, el plan de adquisiciones y los recursos disponibles.  La información necesaria para el PMR tendrá una periodicidad semestral.</w:t>
      </w:r>
    </w:p>
    <w:p w14:paraId="17419043" w14:textId="77777777" w:rsidR="00A1159F" w:rsidRPr="001E497E" w:rsidRDefault="00A1159F" w:rsidP="00A1159F">
      <w:pPr>
        <w:pStyle w:val="AutoNumpara"/>
        <w:numPr>
          <w:ilvl w:val="0"/>
          <w:numId w:val="0"/>
        </w:numPr>
        <w:tabs>
          <w:tab w:val="left" w:pos="720"/>
        </w:tabs>
        <w:rPr>
          <w:rFonts w:cs="Arial"/>
          <w:bCs/>
          <w:noProof w:val="0"/>
          <w:sz w:val="22"/>
          <w:szCs w:val="22"/>
          <w:lang w:val="es-MX"/>
        </w:rPr>
      </w:pPr>
      <w:r w:rsidRPr="001E497E">
        <w:rPr>
          <w:rFonts w:cs="Arial"/>
          <w:bCs/>
          <w:noProof w:val="0"/>
          <w:sz w:val="22"/>
          <w:szCs w:val="22"/>
          <w:u w:val="single"/>
          <w:lang w:val="es-MX"/>
        </w:rPr>
        <w:t>Informe de Terminación de Proyecto (PCR):</w:t>
      </w:r>
      <w:r w:rsidRPr="001E497E">
        <w:rPr>
          <w:rFonts w:cs="Arial"/>
          <w:bCs/>
          <w:noProof w:val="0"/>
          <w:sz w:val="22"/>
          <w:szCs w:val="22"/>
          <w:lang w:val="es-MX"/>
        </w:rPr>
        <w:t xml:space="preserve"> Al cierre de proyecto s</w:t>
      </w:r>
      <w:r w:rsidRPr="001E497E">
        <w:rPr>
          <w:rFonts w:cs="Arial"/>
          <w:noProof w:val="0"/>
          <w:sz w:val="22"/>
          <w:szCs w:val="22"/>
          <w:lang w:val="es-MX"/>
        </w:rPr>
        <w:t>erá elaborado por el equipo del Banco el documento PCR, con una evaluación ampliada de los progresos de los indicadores establecidos en la matriz de resultados durante el ciclo de vida del préstamo, que incluirá los resultados y aprendizajes de la implementación del proyecto.</w:t>
      </w:r>
    </w:p>
    <w:p w14:paraId="49481DED" w14:textId="77777777" w:rsidR="00A1159F" w:rsidRPr="001E497E" w:rsidRDefault="00A1159F" w:rsidP="007B3A96">
      <w:pPr>
        <w:pStyle w:val="Heading2"/>
        <w:numPr>
          <w:ilvl w:val="0"/>
          <w:numId w:val="3"/>
        </w:numPr>
        <w:rPr>
          <w:rFonts w:ascii="Arial" w:hAnsi="Arial" w:cs="Arial"/>
          <w:b/>
          <w:bCs/>
          <w:color w:val="auto"/>
          <w:sz w:val="22"/>
          <w:szCs w:val="22"/>
          <w:lang w:val="es-MX"/>
        </w:rPr>
      </w:pPr>
      <w:r w:rsidRPr="001E497E">
        <w:rPr>
          <w:rFonts w:ascii="Arial" w:hAnsi="Arial" w:cs="Arial"/>
          <w:b/>
          <w:bCs/>
          <w:color w:val="auto"/>
          <w:sz w:val="22"/>
          <w:szCs w:val="22"/>
          <w:lang w:val="es-MX"/>
        </w:rPr>
        <w:t>Responsables y presupuesto</w:t>
      </w:r>
    </w:p>
    <w:p w14:paraId="6EB0E0CA" w14:textId="77777777" w:rsidR="00A1159F" w:rsidRPr="001E497E" w:rsidRDefault="00A1159F" w:rsidP="00A1159F">
      <w:pPr>
        <w:pStyle w:val="AutoNumpara"/>
        <w:numPr>
          <w:ilvl w:val="0"/>
          <w:numId w:val="0"/>
        </w:numPr>
        <w:tabs>
          <w:tab w:val="left" w:pos="720"/>
        </w:tabs>
        <w:rPr>
          <w:rFonts w:cs="Arial"/>
          <w:bCs/>
          <w:noProof w:val="0"/>
          <w:sz w:val="22"/>
          <w:szCs w:val="22"/>
          <w:lang w:val="es-MX"/>
        </w:rPr>
      </w:pPr>
      <w:r w:rsidRPr="001E497E">
        <w:rPr>
          <w:rFonts w:cs="Arial"/>
          <w:noProof w:val="0"/>
          <w:sz w:val="22"/>
          <w:szCs w:val="22"/>
          <w:lang w:val="es-MX"/>
        </w:rPr>
        <w:t>La coordinación de monitoreo de la UCP consolidará la información producida durante la implementación sobre los indicadores de productos consignados en la MR y en los otros instrumentos de monitoreo, siendo responsable de generar y presentar los informes de manera oportuna según el cronograma.</w:t>
      </w:r>
    </w:p>
    <w:p w14:paraId="12ACA178" w14:textId="77777777" w:rsidR="00A1159F" w:rsidRPr="00D75FE1" w:rsidRDefault="00A1159F" w:rsidP="00A1159F">
      <w:pPr>
        <w:pStyle w:val="AutoNumpara"/>
        <w:numPr>
          <w:ilvl w:val="0"/>
          <w:numId w:val="0"/>
        </w:numPr>
        <w:tabs>
          <w:tab w:val="left" w:pos="720"/>
        </w:tabs>
        <w:rPr>
          <w:rFonts w:cs="Arial"/>
          <w:smallCaps/>
          <w:noProof w:val="0"/>
          <w:sz w:val="22"/>
          <w:szCs w:val="22"/>
          <w:lang w:val="es-MX"/>
        </w:rPr>
      </w:pPr>
      <w:r w:rsidRPr="001E497E">
        <w:rPr>
          <w:rFonts w:cs="Arial"/>
          <w:noProof w:val="0"/>
          <w:sz w:val="22"/>
          <w:szCs w:val="22"/>
          <w:lang w:val="es-MX"/>
        </w:rPr>
        <w:t>Los recursos específicos para actividades de monitoreo están considerados dentro del presupuesto de la UCP y detallados en el POA del proyecto. La UCP tendrá una coordinación técnica que contará con el apoyo de un especialista en monitoreo y evaluación, encargado de supervisar directamente estos procesos.</w:t>
      </w:r>
      <w:r w:rsidRPr="00D75FE1">
        <w:rPr>
          <w:rFonts w:cs="Arial"/>
          <w:noProof w:val="0"/>
          <w:sz w:val="22"/>
          <w:szCs w:val="22"/>
          <w:lang w:val="es-MX"/>
        </w:rPr>
        <w:t xml:space="preserve"> </w:t>
      </w:r>
    </w:p>
    <w:p w14:paraId="3D6B8DA9" w14:textId="7016B78C" w:rsidR="00A1159F" w:rsidRPr="00D878B4" w:rsidRDefault="00A1159F" w:rsidP="00D878B4">
      <w:pPr>
        <w:pStyle w:val="Heading1"/>
        <w:numPr>
          <w:ilvl w:val="0"/>
          <w:numId w:val="8"/>
        </w:numPr>
        <w:tabs>
          <w:tab w:val="left" w:pos="450"/>
        </w:tabs>
        <w:spacing w:before="0"/>
        <w:ind w:left="547" w:hanging="547"/>
        <w:rPr>
          <w:rFonts w:ascii="Arial" w:hAnsi="Arial" w:cs="Arial"/>
          <w:b/>
          <w:sz w:val="24"/>
          <w:szCs w:val="24"/>
          <w:lang w:val="es-MX"/>
        </w:rPr>
      </w:pPr>
      <w:r w:rsidRPr="00D878B4">
        <w:rPr>
          <w:rFonts w:ascii="Arial" w:hAnsi="Arial" w:cs="Arial"/>
          <w:b/>
          <w:sz w:val="24"/>
          <w:szCs w:val="24"/>
          <w:lang w:val="es-MX"/>
        </w:rPr>
        <w:t>Evaluación</w:t>
      </w:r>
    </w:p>
    <w:p w14:paraId="62266C60" w14:textId="77777777" w:rsidR="00A1159F" w:rsidRPr="00B5313C" w:rsidRDefault="00A1159F" w:rsidP="00D878B4">
      <w:pPr>
        <w:pStyle w:val="Heading2"/>
        <w:numPr>
          <w:ilvl w:val="0"/>
          <w:numId w:val="9"/>
        </w:numPr>
        <w:spacing w:before="240"/>
        <w:rPr>
          <w:rFonts w:ascii="Arial" w:hAnsi="Arial" w:cs="Arial"/>
          <w:b/>
          <w:bCs/>
          <w:color w:val="auto"/>
          <w:sz w:val="22"/>
          <w:szCs w:val="22"/>
          <w:lang w:val="es-MX"/>
        </w:rPr>
      </w:pPr>
      <w:r w:rsidRPr="00D75FE1">
        <w:rPr>
          <w:rFonts w:ascii="Arial" w:hAnsi="Arial" w:cs="Arial"/>
          <w:b/>
          <w:bCs/>
          <w:color w:val="auto"/>
          <w:sz w:val="22"/>
          <w:szCs w:val="22"/>
          <w:lang w:val="es-MX"/>
        </w:rPr>
        <w:t xml:space="preserve"> </w:t>
      </w:r>
      <w:r w:rsidRPr="00B5313C">
        <w:rPr>
          <w:rFonts w:ascii="Arial" w:hAnsi="Arial" w:cs="Arial"/>
          <w:b/>
          <w:bCs/>
          <w:color w:val="auto"/>
          <w:sz w:val="22"/>
          <w:szCs w:val="22"/>
          <w:lang w:val="es-MX"/>
        </w:rPr>
        <w:t>Principales Indicadores</w:t>
      </w:r>
    </w:p>
    <w:p w14:paraId="04C70906" w14:textId="22C35532" w:rsidR="00A1159F" w:rsidRPr="00D75FE1" w:rsidRDefault="00A1159F" w:rsidP="00D878B4">
      <w:pPr>
        <w:pStyle w:val="AutoNumpara"/>
        <w:numPr>
          <w:ilvl w:val="0"/>
          <w:numId w:val="0"/>
        </w:numPr>
        <w:tabs>
          <w:tab w:val="left" w:pos="720"/>
        </w:tabs>
        <w:spacing w:after="240"/>
        <w:rPr>
          <w:rFonts w:cs="Arial"/>
          <w:noProof w:val="0"/>
          <w:color w:val="000000"/>
          <w:sz w:val="22"/>
          <w:szCs w:val="22"/>
          <w:lang w:val="es-MX"/>
        </w:rPr>
      </w:pPr>
      <w:r w:rsidRPr="00D75FE1">
        <w:rPr>
          <w:rFonts w:cs="Arial"/>
          <w:noProof w:val="0"/>
          <w:color w:val="000000"/>
          <w:sz w:val="22"/>
          <w:szCs w:val="22"/>
          <w:lang w:val="es-MX"/>
        </w:rPr>
        <w:t>Para dar seguimiento a</w:t>
      </w:r>
      <w:r w:rsidR="001E497E">
        <w:rPr>
          <w:rFonts w:cs="Arial"/>
          <w:noProof w:val="0"/>
          <w:color w:val="000000"/>
          <w:sz w:val="22"/>
          <w:szCs w:val="22"/>
          <w:lang w:val="es-MX"/>
        </w:rPr>
        <w:t>l impacto</w:t>
      </w:r>
      <w:r w:rsidRPr="00D75FE1">
        <w:rPr>
          <w:rFonts w:cs="Arial"/>
          <w:noProof w:val="0"/>
          <w:color w:val="000000"/>
          <w:sz w:val="22"/>
          <w:szCs w:val="22"/>
          <w:lang w:val="es-MX"/>
        </w:rPr>
        <w:t xml:space="preserve"> del proyecto en términos de las condiciones de salud de la población, se parte de los indicadores de resultados de la MR. </w:t>
      </w:r>
    </w:p>
    <w:p w14:paraId="62B1CB79" w14:textId="130088C7" w:rsidR="00A1159F" w:rsidRPr="00D878B4" w:rsidRDefault="00A1159F" w:rsidP="00A1159F">
      <w:pPr>
        <w:pStyle w:val="AutoNumpara"/>
        <w:numPr>
          <w:ilvl w:val="0"/>
          <w:numId w:val="0"/>
        </w:numPr>
        <w:tabs>
          <w:tab w:val="left" w:pos="720"/>
        </w:tabs>
        <w:spacing w:before="0" w:after="0"/>
        <w:jc w:val="center"/>
        <w:rPr>
          <w:rFonts w:cs="Arial"/>
          <w:b/>
          <w:noProof w:val="0"/>
          <w:sz w:val="18"/>
          <w:szCs w:val="18"/>
          <w:lang w:val="es-MX"/>
        </w:rPr>
      </w:pPr>
      <w:r w:rsidRPr="00D878B4">
        <w:rPr>
          <w:rFonts w:cs="Arial"/>
          <w:b/>
          <w:noProof w:val="0"/>
          <w:color w:val="000000"/>
          <w:sz w:val="18"/>
          <w:szCs w:val="18"/>
          <w:lang w:val="es-MX"/>
        </w:rPr>
        <w:t>Cuadro</w:t>
      </w:r>
      <w:r w:rsidRPr="00D878B4">
        <w:rPr>
          <w:rFonts w:cs="Arial"/>
          <w:b/>
          <w:noProof w:val="0"/>
          <w:sz w:val="18"/>
          <w:szCs w:val="18"/>
          <w:lang w:val="es-MX"/>
        </w:rPr>
        <w:t xml:space="preserve"> 2</w:t>
      </w:r>
      <w:r w:rsidR="00D878B4">
        <w:rPr>
          <w:rFonts w:cs="Arial"/>
          <w:b/>
          <w:noProof w:val="0"/>
          <w:sz w:val="18"/>
          <w:szCs w:val="18"/>
          <w:lang w:val="es-MX"/>
        </w:rPr>
        <w:t>.</w:t>
      </w:r>
      <w:r w:rsidRPr="00D878B4">
        <w:rPr>
          <w:rFonts w:cs="Arial"/>
          <w:b/>
          <w:noProof w:val="0"/>
          <w:sz w:val="18"/>
          <w:szCs w:val="18"/>
          <w:lang w:val="es-MX"/>
        </w:rPr>
        <w:t xml:space="preserve"> Indicadores de Impacto de la Matriz de Resultados.</w:t>
      </w:r>
    </w:p>
    <w:p w14:paraId="59D7C5CF" w14:textId="77777777" w:rsidR="00A1159F" w:rsidRPr="00D75FE1" w:rsidRDefault="00A1159F" w:rsidP="00A1159F">
      <w:pPr>
        <w:pStyle w:val="AutoNumpara"/>
        <w:numPr>
          <w:ilvl w:val="0"/>
          <w:numId w:val="0"/>
        </w:numPr>
        <w:tabs>
          <w:tab w:val="left" w:pos="720"/>
        </w:tabs>
        <w:spacing w:before="0" w:after="0"/>
        <w:jc w:val="center"/>
        <w:rPr>
          <w:rFonts w:cs="Arial"/>
          <w:b/>
          <w:noProof w:val="0"/>
          <w:sz w:val="16"/>
          <w:szCs w:val="16"/>
          <w:lang w:val="es-MX"/>
        </w:rPr>
      </w:pPr>
    </w:p>
    <w:p w14:paraId="45CC82C5" w14:textId="6F581B63" w:rsidR="00A1159F" w:rsidRDefault="00A1159F" w:rsidP="00A1159F">
      <w:pPr>
        <w:autoSpaceDE w:val="0"/>
        <w:autoSpaceDN w:val="0"/>
        <w:adjustRightInd w:val="0"/>
        <w:spacing w:after="120"/>
        <w:jc w:val="center"/>
        <w:rPr>
          <w:rFonts w:cs="Arial"/>
          <w:b/>
          <w:smallCaps/>
          <w:sz w:val="20"/>
          <w:lang w:val="es-MX"/>
        </w:rPr>
      </w:pPr>
      <w:r w:rsidRPr="00D75FE1">
        <w:rPr>
          <w:rFonts w:cs="Arial"/>
          <w:b/>
          <w:smallCaps/>
          <w:sz w:val="20"/>
          <w:lang w:val="es-MX"/>
        </w:rPr>
        <w:t>Impacto Esperado</w:t>
      </w:r>
    </w:p>
    <w:p w14:paraId="221FA83E" w14:textId="5B4C2FE3" w:rsidR="00B50A5D" w:rsidRPr="00D75FE1" w:rsidRDefault="00B50A5D" w:rsidP="00A1159F">
      <w:pPr>
        <w:autoSpaceDE w:val="0"/>
        <w:autoSpaceDN w:val="0"/>
        <w:adjustRightInd w:val="0"/>
        <w:spacing w:after="120"/>
        <w:jc w:val="center"/>
        <w:rPr>
          <w:rFonts w:cs="Arial"/>
          <w:b/>
          <w:smallCaps/>
          <w:sz w:val="20"/>
          <w:lang w:val="es-MX"/>
        </w:rPr>
      </w:pPr>
      <w:r>
        <w:rPr>
          <w:noProof/>
        </w:rPr>
        <w:lastRenderedPageBreak/>
        <w:drawing>
          <wp:inline distT="0" distB="0" distL="0" distR="0" wp14:anchorId="14D5F8E0" wp14:editId="754F6962">
            <wp:extent cx="5943600" cy="316039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160395"/>
                    </a:xfrm>
                    <a:prstGeom prst="rect">
                      <a:avLst/>
                    </a:prstGeom>
                  </pic:spPr>
                </pic:pic>
              </a:graphicData>
            </a:graphic>
          </wp:inline>
        </w:drawing>
      </w:r>
    </w:p>
    <w:p w14:paraId="5039CA2D" w14:textId="77777777" w:rsidR="0047676D" w:rsidRPr="00D75FE1" w:rsidRDefault="0047676D" w:rsidP="00A1159F">
      <w:pPr>
        <w:rPr>
          <w:lang w:val="es-MX"/>
        </w:rPr>
      </w:pPr>
    </w:p>
    <w:p w14:paraId="540DF132" w14:textId="233D665D" w:rsidR="00A1159F" w:rsidRPr="00D75FE1" w:rsidRDefault="00DA32AF" w:rsidP="00A1159F">
      <w:pPr>
        <w:jc w:val="both"/>
        <w:rPr>
          <w:rFonts w:cs="Arial"/>
          <w:sz w:val="22"/>
          <w:szCs w:val="22"/>
          <w:lang w:val="es-MX"/>
        </w:rPr>
      </w:pPr>
      <w:r w:rsidRPr="00DA32AF">
        <w:rPr>
          <w:rFonts w:cs="Arial"/>
          <w:sz w:val="22"/>
          <w:szCs w:val="22"/>
          <w:lang w:val="es-MX"/>
        </w:rPr>
        <w:t>El primer grupo de indicadores</w:t>
      </w:r>
      <w:r w:rsidR="00A1159F" w:rsidRPr="00DA32AF">
        <w:rPr>
          <w:rFonts w:cs="Arial"/>
          <w:sz w:val="22"/>
          <w:szCs w:val="22"/>
          <w:lang w:val="es-MX"/>
        </w:rPr>
        <w:t xml:space="preserve"> se refiere a las hospitalizaciones evitables (condiciones sensibles a la atención básica)</w:t>
      </w:r>
      <w:r w:rsidR="00A1159F" w:rsidRPr="00DA32AF">
        <w:rPr>
          <w:rFonts w:cs="Arial"/>
          <w:sz w:val="14"/>
          <w:szCs w:val="18"/>
          <w:lang w:val="es-MX" w:eastAsia="zh-CN"/>
        </w:rPr>
        <w:t xml:space="preserve"> </w:t>
      </w:r>
      <w:r w:rsidR="00A1159F" w:rsidRPr="00DA32AF">
        <w:rPr>
          <w:rFonts w:cs="Arial"/>
          <w:sz w:val="22"/>
          <w:szCs w:val="22"/>
          <w:lang w:val="es-MX"/>
        </w:rPr>
        <w:t xml:space="preserve">que se ha convertido en un indicador fundamental para medir la gestión de redes integradas de salud. </w:t>
      </w:r>
      <w:r w:rsidRPr="00DA32AF">
        <w:rPr>
          <w:rFonts w:cs="Arial"/>
          <w:sz w:val="22"/>
          <w:szCs w:val="22"/>
          <w:lang w:val="es-MX"/>
        </w:rPr>
        <w:t xml:space="preserve">El siguiente grupo de </w:t>
      </w:r>
      <w:r w:rsidR="00A1159F" w:rsidRPr="00DA32AF">
        <w:rPr>
          <w:rFonts w:cs="Arial"/>
          <w:sz w:val="22"/>
          <w:szCs w:val="22"/>
          <w:lang w:val="es-MX"/>
        </w:rPr>
        <w:t xml:space="preserve">dos indicadores de impacto se refieren a la mortalidad en población joven por condiciones crónicas, mismas que una red funcional de servicios integrados de salud debería reducir. En </w:t>
      </w:r>
      <w:r w:rsidRPr="00DA32AF">
        <w:rPr>
          <w:rFonts w:cs="Arial"/>
          <w:sz w:val="22"/>
          <w:szCs w:val="22"/>
          <w:lang w:val="es-MX"/>
        </w:rPr>
        <w:t>ambos</w:t>
      </w:r>
      <w:r w:rsidR="00A1159F" w:rsidRPr="00DA32AF">
        <w:rPr>
          <w:rFonts w:cs="Arial"/>
          <w:sz w:val="22"/>
          <w:szCs w:val="22"/>
          <w:lang w:val="es-MX"/>
        </w:rPr>
        <w:t xml:space="preserve"> casos los indicadores son desagregados por género.</w:t>
      </w:r>
      <w:r w:rsidR="00A1159F" w:rsidRPr="00D75FE1">
        <w:rPr>
          <w:rFonts w:cs="Arial"/>
          <w:sz w:val="22"/>
          <w:szCs w:val="22"/>
          <w:lang w:val="es-MX"/>
        </w:rPr>
        <w:t xml:space="preserve"> </w:t>
      </w:r>
    </w:p>
    <w:p w14:paraId="35EAE4A1" w14:textId="77777777" w:rsidR="00A1159F" w:rsidRPr="00D75FE1" w:rsidRDefault="00A1159F" w:rsidP="00A1159F">
      <w:pPr>
        <w:jc w:val="both"/>
        <w:rPr>
          <w:rFonts w:cs="Arial"/>
          <w:sz w:val="22"/>
          <w:szCs w:val="22"/>
          <w:lang w:val="es-MX"/>
        </w:rPr>
      </w:pPr>
    </w:p>
    <w:p w14:paraId="0F51C9AF" w14:textId="6A6124EB" w:rsidR="00A1159F" w:rsidRPr="00D75FE1" w:rsidRDefault="00A1159F" w:rsidP="00A1159F">
      <w:pPr>
        <w:jc w:val="both"/>
        <w:rPr>
          <w:rFonts w:cs="Arial"/>
          <w:sz w:val="22"/>
          <w:szCs w:val="22"/>
          <w:lang w:val="es-MX"/>
        </w:rPr>
      </w:pPr>
      <w:r w:rsidRPr="00D75FE1">
        <w:rPr>
          <w:rFonts w:cs="Arial"/>
          <w:sz w:val="22"/>
          <w:szCs w:val="22"/>
          <w:lang w:val="es-MX"/>
        </w:rPr>
        <w:t xml:space="preserve">La fuente de verificación para todos los indicadores será el Departamento de Informática del Sistema Único de Salud – </w:t>
      </w:r>
      <w:proofErr w:type="spellStart"/>
      <w:r w:rsidRPr="00D75FE1">
        <w:rPr>
          <w:rFonts w:cs="Arial"/>
          <w:sz w:val="22"/>
          <w:szCs w:val="22"/>
          <w:lang w:val="es-MX"/>
        </w:rPr>
        <w:t>Datasus</w:t>
      </w:r>
      <w:proofErr w:type="spellEnd"/>
      <w:r w:rsidRPr="00D75FE1">
        <w:rPr>
          <w:rFonts w:cs="Arial"/>
          <w:sz w:val="22"/>
          <w:szCs w:val="22"/>
          <w:lang w:val="es-MX"/>
        </w:rPr>
        <w:t xml:space="preserve"> (http://tabnet.datasus.gov.br/). Si bien la información es generada de manera mensual, se plantea que cada semestre se recolecté la información del período completo, y mantener series mensuales, de avances en el año (</w:t>
      </w:r>
      <w:proofErr w:type="spellStart"/>
      <w:r w:rsidRPr="00D75FE1">
        <w:rPr>
          <w:rFonts w:cs="Arial"/>
          <w:i/>
          <w:sz w:val="22"/>
          <w:szCs w:val="22"/>
          <w:lang w:val="es-MX"/>
        </w:rPr>
        <w:t>year</w:t>
      </w:r>
      <w:proofErr w:type="spellEnd"/>
      <w:r w:rsidRPr="00D75FE1">
        <w:rPr>
          <w:rFonts w:cs="Arial"/>
          <w:i/>
          <w:sz w:val="22"/>
          <w:szCs w:val="22"/>
          <w:lang w:val="es-MX"/>
        </w:rPr>
        <w:t>-</w:t>
      </w:r>
      <w:proofErr w:type="spellStart"/>
      <w:r w:rsidRPr="00D75FE1">
        <w:rPr>
          <w:rFonts w:cs="Arial"/>
          <w:i/>
          <w:sz w:val="22"/>
          <w:szCs w:val="22"/>
          <w:lang w:val="es-MX"/>
        </w:rPr>
        <w:t>to</w:t>
      </w:r>
      <w:proofErr w:type="spellEnd"/>
      <w:r w:rsidRPr="00D75FE1">
        <w:rPr>
          <w:rFonts w:cs="Arial"/>
          <w:i/>
          <w:sz w:val="22"/>
          <w:szCs w:val="22"/>
          <w:lang w:val="es-MX"/>
        </w:rPr>
        <w:t>-date</w:t>
      </w:r>
      <w:r w:rsidRPr="00D75FE1">
        <w:rPr>
          <w:rFonts w:cs="Arial"/>
          <w:sz w:val="22"/>
          <w:szCs w:val="22"/>
          <w:lang w:val="es-MX"/>
        </w:rPr>
        <w:t xml:space="preserve">), anuales de promedios móviles (últimos doce meses) y datos consolidados anuales. Asimismo, en todos los casos los indicadores se </w:t>
      </w:r>
      <w:r w:rsidRPr="009D3131">
        <w:rPr>
          <w:rFonts w:cs="Arial"/>
          <w:sz w:val="22"/>
          <w:szCs w:val="22"/>
          <w:lang w:val="es-MX"/>
        </w:rPr>
        <w:t xml:space="preserve">generarán para </w:t>
      </w:r>
      <w:r w:rsidR="008C330A" w:rsidRPr="009D3131">
        <w:rPr>
          <w:rFonts w:cs="Arial"/>
          <w:sz w:val="22"/>
          <w:szCs w:val="22"/>
          <w:lang w:val="es-MX"/>
        </w:rPr>
        <w:t>el municipio</w:t>
      </w:r>
      <w:r w:rsidRPr="009D3131">
        <w:rPr>
          <w:rFonts w:cs="Arial"/>
          <w:sz w:val="22"/>
          <w:szCs w:val="22"/>
          <w:lang w:val="es-MX"/>
        </w:rPr>
        <w:t xml:space="preserve"> de </w:t>
      </w:r>
      <w:r w:rsidR="000050E2" w:rsidRPr="009D3131">
        <w:rPr>
          <w:rFonts w:cs="Arial"/>
          <w:sz w:val="22"/>
          <w:szCs w:val="22"/>
          <w:lang w:val="es-MX"/>
        </w:rPr>
        <w:t>Belo Horizonte</w:t>
      </w:r>
      <w:r w:rsidRPr="009D3131">
        <w:rPr>
          <w:rFonts w:cs="Arial"/>
          <w:sz w:val="22"/>
          <w:szCs w:val="22"/>
          <w:lang w:val="es-MX"/>
        </w:rPr>
        <w:t xml:space="preserve"> de</w:t>
      </w:r>
      <w:r w:rsidRPr="00D75FE1">
        <w:rPr>
          <w:rFonts w:cs="Arial"/>
          <w:sz w:val="22"/>
          <w:szCs w:val="22"/>
          <w:lang w:val="es-MX"/>
        </w:rPr>
        <w:t xml:space="preserve"> manera independiente. </w:t>
      </w:r>
    </w:p>
    <w:p w14:paraId="4FB30634" w14:textId="77777777" w:rsidR="00A1159F" w:rsidRPr="00D75FE1" w:rsidRDefault="00A1159F" w:rsidP="00A1159F">
      <w:pPr>
        <w:jc w:val="both"/>
        <w:rPr>
          <w:rFonts w:cs="Arial"/>
          <w:b/>
          <w:sz w:val="22"/>
          <w:szCs w:val="22"/>
          <w:lang w:val="es-MX"/>
        </w:rPr>
      </w:pPr>
    </w:p>
    <w:p w14:paraId="2201EB9C" w14:textId="77777777" w:rsidR="00A1159F" w:rsidRPr="008C330A" w:rsidRDefault="00A1159F" w:rsidP="00A1159F">
      <w:pPr>
        <w:pStyle w:val="Heading2"/>
        <w:numPr>
          <w:ilvl w:val="0"/>
          <w:numId w:val="9"/>
        </w:numPr>
        <w:rPr>
          <w:rFonts w:ascii="Arial" w:hAnsi="Arial" w:cs="Arial"/>
          <w:b/>
          <w:bCs/>
          <w:color w:val="auto"/>
          <w:sz w:val="22"/>
          <w:szCs w:val="22"/>
          <w:lang w:val="es-MX"/>
        </w:rPr>
      </w:pPr>
      <w:r w:rsidRPr="008C330A">
        <w:rPr>
          <w:rFonts w:ascii="Arial" w:hAnsi="Arial" w:cs="Arial"/>
          <w:b/>
          <w:bCs/>
          <w:color w:val="auto"/>
          <w:sz w:val="22"/>
          <w:szCs w:val="22"/>
          <w:lang w:val="es-MX"/>
        </w:rPr>
        <w:t>Contexto y antecedentes para la evaluación</w:t>
      </w:r>
    </w:p>
    <w:p w14:paraId="3EB876AB" w14:textId="3D23ADDC" w:rsidR="00A1159F" w:rsidRPr="008C330A" w:rsidRDefault="00A1159F" w:rsidP="00A1159F">
      <w:pPr>
        <w:pStyle w:val="AutoNumpara"/>
        <w:numPr>
          <w:ilvl w:val="0"/>
          <w:numId w:val="0"/>
        </w:numPr>
        <w:tabs>
          <w:tab w:val="left" w:pos="720"/>
        </w:tabs>
        <w:rPr>
          <w:rFonts w:cs="Arial"/>
          <w:noProof w:val="0"/>
          <w:color w:val="000000"/>
          <w:sz w:val="22"/>
          <w:szCs w:val="22"/>
          <w:lang w:val="es-MX"/>
        </w:rPr>
      </w:pPr>
      <w:r w:rsidRPr="008C330A">
        <w:rPr>
          <w:rFonts w:cs="Arial"/>
          <w:noProof w:val="0"/>
          <w:color w:val="000000"/>
          <w:sz w:val="22"/>
          <w:szCs w:val="22"/>
          <w:lang w:val="es-MX"/>
        </w:rPr>
        <w:t>Desde su introducción en el año de 1991, el Sistema Único de Salud ha elegido la atención primaria como estrategia prioritaria para mejorar los indicadores de salud y cerrar las brechas de salud existentes en el país (Guanais, 2010). Asociado a esta estrategia, el Ministerio de Salud del Gobierno de Brasil ha promovido el desarrollo de sistemas de información y acuerdos intergubernamentales para incrementar la disponibilidad de informaciones demográficas, epidemiológicas, financieras y de producción de servicios de salud de buena calidad. Aprovechándose de esta disponibilidad de datos, se propone cuantificar los resultados de salud asociados a las inversiones realizadas en</w:t>
      </w:r>
      <w:r w:rsidR="009D3131">
        <w:rPr>
          <w:rFonts w:cs="Arial"/>
          <w:noProof w:val="0"/>
          <w:color w:val="000000"/>
          <w:sz w:val="22"/>
          <w:szCs w:val="22"/>
          <w:lang w:val="es-MX"/>
        </w:rPr>
        <w:t xml:space="preserve"> Belo Horizonte</w:t>
      </w:r>
      <w:r w:rsidRPr="008C330A">
        <w:rPr>
          <w:rFonts w:cs="Arial"/>
          <w:noProof w:val="0"/>
          <w:color w:val="000000"/>
          <w:sz w:val="22"/>
          <w:szCs w:val="22"/>
          <w:lang w:val="es-MX"/>
        </w:rPr>
        <w:t xml:space="preserve"> para el fortalecimiento de la atención bajo un modelo de redes integradas de servicios de salud (RISS), con énfasis en la atención primaria.</w:t>
      </w:r>
    </w:p>
    <w:p w14:paraId="45AD6466" w14:textId="77777777" w:rsidR="00A1159F" w:rsidRPr="008C330A" w:rsidRDefault="00A1159F" w:rsidP="00A1159F">
      <w:pPr>
        <w:pStyle w:val="AutoNumpara"/>
        <w:numPr>
          <w:ilvl w:val="0"/>
          <w:numId w:val="0"/>
        </w:numPr>
        <w:tabs>
          <w:tab w:val="left" w:pos="720"/>
        </w:tabs>
        <w:rPr>
          <w:rFonts w:cs="Arial"/>
          <w:noProof w:val="0"/>
          <w:color w:val="000000"/>
          <w:sz w:val="22"/>
          <w:szCs w:val="22"/>
          <w:lang w:val="es-MX"/>
        </w:rPr>
      </w:pPr>
      <w:r w:rsidRPr="008C330A">
        <w:rPr>
          <w:rFonts w:cs="Arial"/>
          <w:noProof w:val="0"/>
          <w:color w:val="000000"/>
          <w:sz w:val="22"/>
          <w:szCs w:val="22"/>
          <w:lang w:val="es-MX"/>
        </w:rPr>
        <w:t>En los últimos años, la preocupación con el incremento de gastos en salud y el aumento de la incidencia de enfermedades crónicas no transmisibles ha renovado el interés en la atención primaria en salud como una estrategia costo-efectiva para obtener mejores resultados en la salud de la población (</w:t>
      </w:r>
      <w:proofErr w:type="spellStart"/>
      <w:r w:rsidRPr="008C330A">
        <w:rPr>
          <w:rFonts w:cs="Arial"/>
          <w:noProof w:val="0"/>
          <w:color w:val="000000"/>
          <w:sz w:val="22"/>
          <w:szCs w:val="22"/>
          <w:lang w:val="es-MX"/>
        </w:rPr>
        <w:t>Starfield</w:t>
      </w:r>
      <w:proofErr w:type="spellEnd"/>
      <w:r w:rsidRPr="008C330A">
        <w:rPr>
          <w:rFonts w:cs="Arial"/>
          <w:noProof w:val="0"/>
          <w:color w:val="000000"/>
          <w:sz w:val="22"/>
          <w:szCs w:val="22"/>
          <w:lang w:val="es-MX"/>
        </w:rPr>
        <w:t xml:space="preserve"> 2010, 2009; PAHO 2007). Adicionalmente, muchos de los países de América Latina y Caribe enfrentan una doble carga de enfermedades, en que las enfermedades </w:t>
      </w:r>
      <w:r w:rsidRPr="008C330A">
        <w:rPr>
          <w:rFonts w:cs="Arial"/>
          <w:noProof w:val="0"/>
          <w:color w:val="000000"/>
          <w:sz w:val="22"/>
          <w:szCs w:val="22"/>
          <w:lang w:val="es-MX"/>
        </w:rPr>
        <w:lastRenderedPageBreak/>
        <w:t xml:space="preserve">transmisibles y los rezagos en salud materna e infantil coexisten con el peso creciente de las enfermadas crónicas (Frenk 2009). </w:t>
      </w:r>
    </w:p>
    <w:p w14:paraId="27F17493" w14:textId="77777777" w:rsidR="00A1159F" w:rsidRPr="008C330A" w:rsidRDefault="00A1159F" w:rsidP="00A1159F">
      <w:pPr>
        <w:pStyle w:val="AutoNumpara"/>
        <w:numPr>
          <w:ilvl w:val="0"/>
          <w:numId w:val="0"/>
        </w:numPr>
        <w:tabs>
          <w:tab w:val="left" w:pos="720"/>
        </w:tabs>
        <w:rPr>
          <w:rFonts w:cs="Arial"/>
          <w:noProof w:val="0"/>
          <w:color w:val="000000"/>
          <w:sz w:val="22"/>
          <w:szCs w:val="22"/>
          <w:lang w:val="es-MX"/>
        </w:rPr>
      </w:pPr>
      <w:r w:rsidRPr="008C330A">
        <w:rPr>
          <w:rFonts w:cs="Arial"/>
          <w:noProof w:val="0"/>
          <w:color w:val="000000"/>
          <w:sz w:val="22"/>
          <w:szCs w:val="22"/>
          <w:lang w:val="es-MX"/>
        </w:rPr>
        <w:t xml:space="preserve">La gestión de enfermedades crónicas requiere una respuesta compleja en un período de tiempo prolongado que implica esfuerzos coordinados de una amplia gama de profesionales de la salud, el acceso a los medicamentos esenciales y los sistemas de seguimiento, los cuales deben ser integrados de manera óptima dentro de un sistema que promueve la coordinación, la continuidad de la atención y el paciente la participación. Cuando el manejo de enfermedades crónicas es bien gestionado en el ámbito de atención primaria (por ejemplo, con el acceso y uso de la medicina apropiada, servicios de diagnóstico y protocolos), la probabilidad de hospitalización se reduce drásticamente. Por esta razón, las tasas de hospitalización evitables se utilizan como un indicador del desempeño de la atención primaria en algunos ajustes importantes. </w:t>
      </w:r>
    </w:p>
    <w:p w14:paraId="7511E4DF" w14:textId="77777777" w:rsidR="00A1159F" w:rsidRPr="008C330A" w:rsidRDefault="00A1159F" w:rsidP="00A1159F">
      <w:pPr>
        <w:pStyle w:val="AutoNumpara"/>
        <w:numPr>
          <w:ilvl w:val="0"/>
          <w:numId w:val="0"/>
        </w:numPr>
        <w:tabs>
          <w:tab w:val="left" w:pos="720"/>
        </w:tabs>
        <w:rPr>
          <w:rFonts w:cs="Arial"/>
          <w:noProof w:val="0"/>
          <w:color w:val="000000"/>
          <w:sz w:val="22"/>
          <w:szCs w:val="22"/>
          <w:lang w:val="es-MX"/>
        </w:rPr>
      </w:pPr>
      <w:r w:rsidRPr="008C330A">
        <w:rPr>
          <w:rFonts w:cs="Arial"/>
          <w:noProof w:val="0"/>
          <w:color w:val="000000"/>
          <w:sz w:val="22"/>
          <w:szCs w:val="22"/>
          <w:lang w:val="es-MX"/>
        </w:rPr>
        <w:t>Experiencias en los Estados Unidos y España están entre los más desarrollados en este ámbito (Ansari et al 2006; Caminal et al 2004; Billings et al 1993). Más recientemente, algunos estados de Brasil han adoptado estos mecanismos y el gobierno federal de Brasil está realizando un esfuerzo de investigación para generar una lista de condiciones para ser utilizados como marcadores del rendimiento de la atención primaria de la salud específicamente adaptado al contexto local (</w:t>
      </w:r>
      <w:proofErr w:type="spellStart"/>
      <w:r w:rsidRPr="008C330A">
        <w:rPr>
          <w:rFonts w:cs="Arial"/>
          <w:noProof w:val="0"/>
          <w:color w:val="000000"/>
          <w:sz w:val="22"/>
          <w:szCs w:val="22"/>
          <w:lang w:val="es-MX"/>
        </w:rPr>
        <w:t>Alfradique</w:t>
      </w:r>
      <w:proofErr w:type="spellEnd"/>
      <w:r w:rsidRPr="008C330A">
        <w:rPr>
          <w:rFonts w:cs="Arial"/>
          <w:noProof w:val="0"/>
          <w:color w:val="000000"/>
          <w:sz w:val="22"/>
          <w:szCs w:val="22"/>
          <w:lang w:val="es-MX"/>
        </w:rPr>
        <w:t xml:space="preserve"> et al 2009). </w:t>
      </w:r>
    </w:p>
    <w:p w14:paraId="4A862510" w14:textId="07EB78B2" w:rsidR="00A1159F" w:rsidRPr="008C330A" w:rsidRDefault="00A1159F" w:rsidP="00A1159F">
      <w:pPr>
        <w:pStyle w:val="AutoNumpara"/>
        <w:numPr>
          <w:ilvl w:val="0"/>
          <w:numId w:val="0"/>
        </w:numPr>
        <w:tabs>
          <w:tab w:val="left" w:pos="720"/>
        </w:tabs>
        <w:rPr>
          <w:rFonts w:cs="Arial"/>
          <w:noProof w:val="0"/>
          <w:color w:val="000000"/>
          <w:sz w:val="22"/>
          <w:szCs w:val="22"/>
          <w:lang w:val="es-MX"/>
        </w:rPr>
      </w:pPr>
      <w:r w:rsidRPr="008C330A">
        <w:rPr>
          <w:rFonts w:cs="Arial"/>
          <w:noProof w:val="0"/>
          <w:color w:val="000000"/>
          <w:sz w:val="22"/>
          <w:szCs w:val="22"/>
          <w:lang w:val="es-MX"/>
        </w:rPr>
        <w:t xml:space="preserve">En Brasil, la expansión de la atención primaria en salud está fuertemente orientada por la Estrategia de Salud de la Familia y en particular por el Programa Salud de la Familia (PSF), que organiza el primer nivel de atención con base en </w:t>
      </w:r>
      <w:r w:rsidR="0012397B" w:rsidRPr="008C330A">
        <w:rPr>
          <w:rFonts w:cs="Arial"/>
          <w:noProof w:val="0"/>
          <w:color w:val="000000"/>
          <w:sz w:val="22"/>
          <w:szCs w:val="22"/>
          <w:lang w:val="es-MX"/>
        </w:rPr>
        <w:t xml:space="preserve">equipos </w:t>
      </w:r>
      <w:r w:rsidRPr="008C330A">
        <w:rPr>
          <w:rFonts w:cs="Arial"/>
          <w:noProof w:val="0"/>
          <w:color w:val="000000"/>
          <w:sz w:val="22"/>
          <w:szCs w:val="22"/>
          <w:lang w:val="es-MX"/>
        </w:rPr>
        <w:t>multidisciplinari</w:t>
      </w:r>
      <w:r w:rsidR="0012397B" w:rsidRPr="008C330A">
        <w:rPr>
          <w:rFonts w:cs="Arial"/>
          <w:noProof w:val="0"/>
          <w:color w:val="000000"/>
          <w:sz w:val="22"/>
          <w:szCs w:val="22"/>
          <w:lang w:val="es-MX"/>
        </w:rPr>
        <w:t>o</w:t>
      </w:r>
      <w:r w:rsidRPr="008C330A">
        <w:rPr>
          <w:rFonts w:cs="Arial"/>
          <w:noProof w:val="0"/>
          <w:color w:val="000000"/>
          <w:sz w:val="22"/>
          <w:szCs w:val="22"/>
          <w:lang w:val="es-MX"/>
        </w:rPr>
        <w:t>s de salud que incluyen médico, enfermero, técnico en enfermería, asistente social, psicólogo y agentes comunitarios de salud, y trabajan con un área geográfica de adscripción definida incluyendo alre</w:t>
      </w:r>
      <w:r w:rsidR="008C330A" w:rsidRPr="008C330A">
        <w:rPr>
          <w:rFonts w:cs="Arial"/>
          <w:noProof w:val="0"/>
          <w:color w:val="000000"/>
          <w:sz w:val="22"/>
          <w:szCs w:val="22"/>
          <w:lang w:val="es-MX"/>
        </w:rPr>
        <w:t>de</w:t>
      </w:r>
      <w:r w:rsidRPr="008C330A">
        <w:rPr>
          <w:rFonts w:cs="Arial"/>
          <w:noProof w:val="0"/>
          <w:color w:val="000000"/>
          <w:sz w:val="22"/>
          <w:szCs w:val="22"/>
          <w:lang w:val="es-MX"/>
        </w:rPr>
        <w:t xml:space="preserve">dor de 4,500 personas. La cobertura en el país en 2009 alcanzaba 50,1% de la población, lo que corresponde a cerca de 96,1 millones de personas (Ministerio da </w:t>
      </w:r>
      <w:proofErr w:type="spellStart"/>
      <w:r w:rsidRPr="008C330A">
        <w:rPr>
          <w:rFonts w:cs="Arial"/>
          <w:noProof w:val="0"/>
          <w:color w:val="000000"/>
          <w:sz w:val="22"/>
          <w:szCs w:val="22"/>
          <w:lang w:val="es-MX"/>
        </w:rPr>
        <w:t>Saude</w:t>
      </w:r>
      <w:proofErr w:type="spellEnd"/>
      <w:r w:rsidRPr="008C330A">
        <w:rPr>
          <w:rFonts w:cs="Arial"/>
          <w:noProof w:val="0"/>
          <w:color w:val="000000"/>
          <w:sz w:val="22"/>
          <w:szCs w:val="22"/>
          <w:lang w:val="es-MX"/>
        </w:rPr>
        <w:t xml:space="preserve"> 2011). Diversos estudios han identificado los impactos del Programa Salud de la Familia en la reducción de la mortalidad infantil y hospitalizaciones evitables, mejorando los indicadores de salud y aumento la eficiencia del sistema de salud pública en el país (Rocha </w:t>
      </w:r>
      <w:r w:rsidR="0012397B" w:rsidRPr="008C330A">
        <w:rPr>
          <w:rFonts w:cs="Arial"/>
          <w:noProof w:val="0"/>
          <w:color w:val="000000"/>
          <w:sz w:val="22"/>
          <w:szCs w:val="22"/>
          <w:lang w:val="es-MX"/>
        </w:rPr>
        <w:t xml:space="preserve">y </w:t>
      </w:r>
      <w:r w:rsidRPr="008C330A">
        <w:rPr>
          <w:rFonts w:cs="Arial"/>
          <w:noProof w:val="0"/>
          <w:color w:val="000000"/>
          <w:sz w:val="22"/>
          <w:szCs w:val="22"/>
          <w:lang w:val="es-MX"/>
        </w:rPr>
        <w:t xml:space="preserve">Soares 2010; Guanais </w:t>
      </w:r>
      <w:r w:rsidR="0012397B" w:rsidRPr="008C330A">
        <w:rPr>
          <w:rFonts w:cs="Arial"/>
          <w:noProof w:val="0"/>
          <w:color w:val="000000"/>
          <w:sz w:val="22"/>
          <w:szCs w:val="22"/>
          <w:lang w:val="es-MX"/>
        </w:rPr>
        <w:t xml:space="preserve">y </w:t>
      </w:r>
      <w:proofErr w:type="spellStart"/>
      <w:r w:rsidRPr="008C330A">
        <w:rPr>
          <w:rFonts w:cs="Arial"/>
          <w:noProof w:val="0"/>
          <w:color w:val="000000"/>
          <w:sz w:val="22"/>
          <w:szCs w:val="22"/>
          <w:lang w:val="es-MX"/>
        </w:rPr>
        <w:t>Macinko</w:t>
      </w:r>
      <w:proofErr w:type="spellEnd"/>
      <w:r w:rsidRPr="008C330A">
        <w:rPr>
          <w:rFonts w:cs="Arial"/>
          <w:noProof w:val="0"/>
          <w:color w:val="000000"/>
          <w:sz w:val="22"/>
          <w:szCs w:val="22"/>
          <w:lang w:val="es-MX"/>
        </w:rPr>
        <w:t xml:space="preserve"> 2009; </w:t>
      </w:r>
      <w:proofErr w:type="spellStart"/>
      <w:r w:rsidRPr="008C330A">
        <w:rPr>
          <w:rFonts w:cs="Arial"/>
          <w:noProof w:val="0"/>
          <w:color w:val="000000"/>
          <w:sz w:val="22"/>
          <w:szCs w:val="22"/>
          <w:lang w:val="es-MX"/>
        </w:rPr>
        <w:t>Macinko</w:t>
      </w:r>
      <w:proofErr w:type="spellEnd"/>
      <w:r w:rsidRPr="008C330A">
        <w:rPr>
          <w:rFonts w:cs="Arial"/>
          <w:noProof w:val="0"/>
          <w:color w:val="000000"/>
          <w:sz w:val="22"/>
          <w:szCs w:val="22"/>
          <w:lang w:val="es-MX"/>
        </w:rPr>
        <w:t xml:space="preserve"> et al. 2006).</w:t>
      </w:r>
    </w:p>
    <w:p w14:paraId="1748BFF1" w14:textId="6F3FBE90" w:rsidR="00A1159F" w:rsidRPr="008C330A" w:rsidRDefault="00A1159F" w:rsidP="00A1159F">
      <w:pPr>
        <w:pStyle w:val="AutoNumpara"/>
        <w:numPr>
          <w:ilvl w:val="0"/>
          <w:numId w:val="0"/>
        </w:numPr>
        <w:tabs>
          <w:tab w:val="left" w:pos="720"/>
        </w:tabs>
        <w:rPr>
          <w:rFonts w:cs="Arial"/>
          <w:noProof w:val="0"/>
          <w:color w:val="000000"/>
          <w:sz w:val="22"/>
          <w:szCs w:val="22"/>
          <w:lang w:val="es-MX"/>
        </w:rPr>
      </w:pPr>
      <w:r w:rsidRPr="008C330A">
        <w:rPr>
          <w:rFonts w:cs="Arial"/>
          <w:noProof w:val="0"/>
          <w:color w:val="000000"/>
          <w:sz w:val="22"/>
          <w:szCs w:val="22"/>
          <w:lang w:val="es-MX"/>
        </w:rPr>
        <w:t xml:space="preserve">En el caso del Municipio de </w:t>
      </w:r>
      <w:r w:rsidR="0012397B" w:rsidRPr="008C330A">
        <w:rPr>
          <w:rFonts w:cs="Arial"/>
          <w:noProof w:val="0"/>
          <w:color w:val="000000"/>
          <w:sz w:val="22"/>
          <w:szCs w:val="22"/>
          <w:lang w:val="es-MX"/>
        </w:rPr>
        <w:t>Belo Horizonte</w:t>
      </w:r>
      <w:r w:rsidRPr="008C330A">
        <w:rPr>
          <w:rFonts w:cs="Arial"/>
          <w:noProof w:val="0"/>
          <w:color w:val="000000"/>
          <w:sz w:val="22"/>
          <w:szCs w:val="22"/>
          <w:lang w:val="es-MX"/>
        </w:rPr>
        <w:t xml:space="preserve">, la transición demográfica se agrega al factor de urbanización para resultar en un perfil epidemiológico que requiere, para su tratamiento efectivo, un enfoque de redes. El Municipio de </w:t>
      </w:r>
      <w:r w:rsidR="0012397B" w:rsidRPr="008C330A">
        <w:rPr>
          <w:rFonts w:cs="Arial"/>
          <w:noProof w:val="0"/>
          <w:color w:val="000000"/>
          <w:sz w:val="22"/>
          <w:szCs w:val="22"/>
          <w:lang w:val="es-MX"/>
        </w:rPr>
        <w:t>Belo Horizonte</w:t>
      </w:r>
      <w:r w:rsidRPr="008C330A">
        <w:rPr>
          <w:rFonts w:cs="Arial"/>
          <w:noProof w:val="0"/>
          <w:color w:val="000000"/>
          <w:sz w:val="22"/>
          <w:szCs w:val="22"/>
          <w:lang w:val="es-MX"/>
        </w:rPr>
        <w:t>, siguiendo los lineamientos generales del gobierno federal, está tomando medidas de política sanitaria para organizar el sistema de salud con base en redes.</w:t>
      </w:r>
    </w:p>
    <w:p w14:paraId="5CF82DF5" w14:textId="77777777" w:rsidR="00A1159F" w:rsidRPr="008C330A" w:rsidRDefault="00A1159F" w:rsidP="00A1159F">
      <w:pPr>
        <w:pStyle w:val="Heading2"/>
        <w:numPr>
          <w:ilvl w:val="0"/>
          <w:numId w:val="9"/>
        </w:numPr>
        <w:rPr>
          <w:rFonts w:ascii="Arial" w:hAnsi="Arial" w:cs="Arial"/>
          <w:b/>
          <w:bCs/>
          <w:color w:val="auto"/>
          <w:sz w:val="22"/>
          <w:szCs w:val="22"/>
          <w:lang w:val="es-MX"/>
        </w:rPr>
      </w:pPr>
      <w:r w:rsidRPr="008C330A">
        <w:rPr>
          <w:rFonts w:ascii="Arial" w:hAnsi="Arial" w:cs="Arial"/>
          <w:b/>
          <w:bCs/>
          <w:color w:val="auto"/>
          <w:sz w:val="22"/>
          <w:szCs w:val="22"/>
          <w:lang w:val="es-MX"/>
        </w:rPr>
        <w:t>Análisis Económico Ex-Ante</w:t>
      </w:r>
    </w:p>
    <w:p w14:paraId="3807ECB1" w14:textId="77777777" w:rsidR="0012397B" w:rsidRPr="008C330A" w:rsidRDefault="0012397B" w:rsidP="0012397B">
      <w:pPr>
        <w:pStyle w:val="AutoNumpara"/>
        <w:numPr>
          <w:ilvl w:val="0"/>
          <w:numId w:val="0"/>
        </w:numPr>
        <w:rPr>
          <w:rFonts w:cs="Arial"/>
          <w:noProof w:val="0"/>
          <w:color w:val="000000"/>
          <w:sz w:val="22"/>
          <w:szCs w:val="22"/>
          <w:lang w:val="es-MX"/>
        </w:rPr>
      </w:pPr>
      <w:r w:rsidRPr="008C330A">
        <w:rPr>
          <w:rFonts w:cs="Arial"/>
          <w:noProof w:val="0"/>
          <w:color w:val="000000"/>
          <w:sz w:val="22"/>
          <w:szCs w:val="22"/>
          <w:lang w:val="es-MX"/>
        </w:rPr>
        <w:t xml:space="preserve">Como parte de la preparación de la operación, se preparó un </w:t>
      </w:r>
      <w:r w:rsidRPr="008C330A">
        <w:rPr>
          <w:rStyle w:val="Hyperlink"/>
          <w:rFonts w:cs="Arial"/>
          <w:noProof w:val="0"/>
          <w:sz w:val="22"/>
          <w:szCs w:val="22"/>
          <w:lang w:val="es-MX"/>
        </w:rPr>
        <w:t>Análisis Económico</w:t>
      </w:r>
      <w:r w:rsidRPr="008C330A">
        <w:rPr>
          <w:rFonts w:cs="Arial"/>
          <w:noProof w:val="0"/>
          <w:color w:val="000000"/>
          <w:sz w:val="22"/>
          <w:szCs w:val="22"/>
          <w:lang w:val="es-MX"/>
        </w:rPr>
        <w:t>, que identificó como los principales determinantes de los beneficios la disminución de hospitalizaciones prevenibles, la disminución en la mortalidad, y las ganancias en por la implementación de las líneas de cuidado, y cuantifico la ganancia en DALYS de la intervención.</w:t>
      </w:r>
    </w:p>
    <w:p w14:paraId="2310103A" w14:textId="77777777" w:rsidR="0012397B" w:rsidRPr="008C330A" w:rsidRDefault="0012397B" w:rsidP="0012397B">
      <w:pPr>
        <w:pStyle w:val="AutoNumpara"/>
        <w:numPr>
          <w:ilvl w:val="0"/>
          <w:numId w:val="0"/>
        </w:numPr>
        <w:rPr>
          <w:rFonts w:cs="Arial"/>
          <w:noProof w:val="0"/>
          <w:color w:val="000000"/>
          <w:sz w:val="22"/>
          <w:szCs w:val="22"/>
          <w:lang w:val="es-MX"/>
        </w:rPr>
      </w:pPr>
      <w:r w:rsidRPr="008C330A">
        <w:rPr>
          <w:rFonts w:cs="Arial"/>
          <w:noProof w:val="0"/>
          <w:color w:val="000000"/>
          <w:sz w:val="22"/>
          <w:szCs w:val="22"/>
          <w:lang w:val="es-MX"/>
        </w:rPr>
        <w:t>La evaluación dará seguimiento a estos indicadores, para poder validar los supuestos utilizados en el análisis económico. Se recolectará la información relativa a:</w:t>
      </w:r>
    </w:p>
    <w:p w14:paraId="3A4B5750" w14:textId="77777777" w:rsidR="0012397B" w:rsidRPr="008C330A" w:rsidRDefault="0012397B" w:rsidP="0012397B">
      <w:pPr>
        <w:pStyle w:val="AutoNumpara"/>
        <w:numPr>
          <w:ilvl w:val="0"/>
          <w:numId w:val="10"/>
        </w:numPr>
        <w:spacing w:before="0" w:after="0"/>
        <w:rPr>
          <w:rFonts w:cs="Arial"/>
          <w:noProof w:val="0"/>
          <w:color w:val="000000"/>
          <w:sz w:val="22"/>
          <w:szCs w:val="22"/>
          <w:lang w:val="es-MX"/>
        </w:rPr>
      </w:pPr>
      <w:r w:rsidRPr="008C330A">
        <w:rPr>
          <w:rFonts w:cs="Arial"/>
          <w:noProof w:val="0"/>
          <w:color w:val="000000"/>
          <w:sz w:val="22"/>
          <w:szCs w:val="22"/>
          <w:lang w:val="es-MX"/>
        </w:rPr>
        <w:t>Hospitalizaciones sensibles a atención básica: número, costo, duración</w:t>
      </w:r>
    </w:p>
    <w:p w14:paraId="77617485" w14:textId="77777777" w:rsidR="00A1159F" w:rsidRPr="008C330A" w:rsidRDefault="0012397B" w:rsidP="00A1159F">
      <w:pPr>
        <w:pStyle w:val="AutoNumpara"/>
        <w:numPr>
          <w:ilvl w:val="0"/>
          <w:numId w:val="10"/>
        </w:numPr>
        <w:spacing w:before="0" w:after="0"/>
        <w:rPr>
          <w:rFonts w:cs="Arial"/>
          <w:noProof w:val="0"/>
          <w:color w:val="000000"/>
          <w:sz w:val="22"/>
          <w:szCs w:val="22"/>
          <w:lang w:val="es-MX"/>
        </w:rPr>
      </w:pPr>
      <w:r w:rsidRPr="008C330A">
        <w:rPr>
          <w:rFonts w:cs="Arial"/>
          <w:noProof w:val="0"/>
          <w:color w:val="000000"/>
          <w:sz w:val="22"/>
          <w:szCs w:val="22"/>
          <w:lang w:val="es-MX"/>
        </w:rPr>
        <w:t>Mortalidad por enfermedades crónicas en los rangos etarios definidos en el análisis económico</w:t>
      </w:r>
    </w:p>
    <w:p w14:paraId="70C01810" w14:textId="77777777" w:rsidR="00A1159F" w:rsidRPr="00D75FE1" w:rsidRDefault="00A1159F" w:rsidP="00A1159F">
      <w:pPr>
        <w:pStyle w:val="Heading2"/>
        <w:numPr>
          <w:ilvl w:val="0"/>
          <w:numId w:val="9"/>
        </w:numPr>
        <w:rPr>
          <w:rFonts w:ascii="Arial" w:hAnsi="Arial" w:cs="Arial"/>
          <w:b/>
          <w:bCs/>
          <w:color w:val="auto"/>
          <w:sz w:val="22"/>
          <w:szCs w:val="22"/>
          <w:lang w:val="es-MX"/>
        </w:rPr>
      </w:pPr>
      <w:r w:rsidRPr="008C330A">
        <w:rPr>
          <w:rFonts w:ascii="Arial" w:hAnsi="Arial" w:cs="Arial"/>
          <w:b/>
          <w:bCs/>
          <w:color w:val="auto"/>
          <w:sz w:val="22"/>
          <w:szCs w:val="22"/>
          <w:lang w:val="es-MX"/>
        </w:rPr>
        <w:t>M</w:t>
      </w:r>
      <w:r w:rsidRPr="00D75FE1">
        <w:rPr>
          <w:rFonts w:ascii="Arial" w:hAnsi="Arial" w:cs="Arial"/>
          <w:b/>
          <w:bCs/>
          <w:color w:val="auto"/>
          <w:sz w:val="22"/>
          <w:szCs w:val="22"/>
          <w:lang w:val="es-MX"/>
        </w:rPr>
        <w:t>etodología de la evaluación de impacto</w:t>
      </w:r>
    </w:p>
    <w:p w14:paraId="1468007F" w14:textId="77777777" w:rsidR="00A1159F" w:rsidRPr="00D75FE1" w:rsidRDefault="00A1159F" w:rsidP="00A1159F">
      <w:pPr>
        <w:pStyle w:val="ColorfulList-Accent11"/>
        <w:ind w:left="0"/>
        <w:jc w:val="both"/>
        <w:rPr>
          <w:rFonts w:ascii="Arial" w:hAnsi="Arial" w:cs="Arial"/>
          <w:lang w:val="es-MX"/>
        </w:rPr>
      </w:pPr>
    </w:p>
    <w:p w14:paraId="74E7C427" w14:textId="4A0AFE93" w:rsidR="00A1159F" w:rsidRDefault="00A1159F" w:rsidP="00A1159F">
      <w:pPr>
        <w:pStyle w:val="ColorfulList-Accent11"/>
        <w:ind w:left="0"/>
        <w:jc w:val="both"/>
        <w:rPr>
          <w:rFonts w:ascii="Arial" w:hAnsi="Arial" w:cs="Arial"/>
          <w:lang w:val="es-MX"/>
        </w:rPr>
      </w:pPr>
      <w:r w:rsidRPr="00D75FE1">
        <w:rPr>
          <w:rFonts w:ascii="Arial" w:hAnsi="Arial" w:cs="Arial"/>
          <w:lang w:val="es-MX"/>
        </w:rPr>
        <w:t xml:space="preserve">Para efectos de la evaluación de impacto del proyecto se plantea hacer énfasis en los resultados de salud en las regiones del Municipio de </w:t>
      </w:r>
      <w:r w:rsidR="004B7303" w:rsidRPr="00D75FE1">
        <w:rPr>
          <w:rFonts w:ascii="Arial" w:hAnsi="Arial" w:cs="Arial"/>
          <w:lang w:val="es-MX"/>
        </w:rPr>
        <w:t>Belo Horizonte</w:t>
      </w:r>
      <w:r w:rsidRPr="00D75FE1">
        <w:rPr>
          <w:rFonts w:ascii="Arial" w:hAnsi="Arial" w:cs="Arial"/>
          <w:lang w:val="es-MX"/>
        </w:rPr>
        <w:t xml:space="preserve">. </w:t>
      </w:r>
      <w:r w:rsidRPr="00FF3599">
        <w:rPr>
          <w:rFonts w:ascii="Arial" w:hAnsi="Arial" w:cs="Arial"/>
          <w:lang w:val="es-MX"/>
        </w:rPr>
        <w:t xml:space="preserve">Algunas de las intervenciones tendrán </w:t>
      </w:r>
      <w:r w:rsidRPr="00FF3599">
        <w:rPr>
          <w:rFonts w:ascii="Arial" w:hAnsi="Arial" w:cs="Arial"/>
          <w:lang w:val="es-MX"/>
        </w:rPr>
        <w:lastRenderedPageBreak/>
        <w:t>incidencia en todo el municipio, sobre todo aquellas del Componente I</w:t>
      </w:r>
      <w:r w:rsidR="00FF3599" w:rsidRPr="00FF3599">
        <w:rPr>
          <w:rFonts w:ascii="Arial" w:hAnsi="Arial" w:cs="Arial"/>
          <w:lang w:val="es-MX"/>
        </w:rPr>
        <w:t xml:space="preserve"> y </w:t>
      </w:r>
      <w:r w:rsidRPr="00FF3599">
        <w:rPr>
          <w:rFonts w:ascii="Arial" w:hAnsi="Arial" w:cs="Arial"/>
          <w:lang w:val="es-MX"/>
        </w:rPr>
        <w:t>I</w:t>
      </w:r>
      <w:r w:rsidR="00FF3599" w:rsidRPr="00FF3599">
        <w:rPr>
          <w:rFonts w:ascii="Arial" w:hAnsi="Arial" w:cs="Arial"/>
          <w:lang w:val="es-MX"/>
        </w:rPr>
        <w:t>I</w:t>
      </w:r>
      <w:r w:rsidRPr="00FF3599">
        <w:rPr>
          <w:rFonts w:ascii="Arial" w:hAnsi="Arial" w:cs="Arial"/>
          <w:lang w:val="es-MX"/>
        </w:rPr>
        <w:t>I referidas a</w:t>
      </w:r>
      <w:r w:rsidR="00FF3599" w:rsidRPr="00FF3599">
        <w:rPr>
          <w:rFonts w:ascii="Arial" w:hAnsi="Arial" w:cs="Arial"/>
          <w:lang w:val="es-MX"/>
        </w:rPr>
        <w:t xml:space="preserve">l fortalecimiento de las redes de atención primaria y vigilancia en salud y al mejoramiento de la gestión, calidad y eficiencia de las redes integradas, </w:t>
      </w:r>
      <w:r w:rsidRPr="00FF3599">
        <w:rPr>
          <w:rFonts w:ascii="Arial" w:hAnsi="Arial" w:cs="Arial"/>
          <w:lang w:val="es-MX"/>
        </w:rPr>
        <w:t>aunque también las relacionadas a</w:t>
      </w:r>
      <w:r w:rsidR="00A72AC8" w:rsidRPr="00FF3599">
        <w:rPr>
          <w:rFonts w:ascii="Arial" w:hAnsi="Arial" w:cs="Arial"/>
          <w:lang w:val="es-MX"/>
        </w:rPr>
        <w:t xml:space="preserve">l equipamiento </w:t>
      </w:r>
      <w:r w:rsidRPr="00FF3599">
        <w:rPr>
          <w:rFonts w:ascii="Arial" w:hAnsi="Arial" w:cs="Arial"/>
          <w:lang w:val="es-MX"/>
        </w:rPr>
        <w:t>y construcción de</w:t>
      </w:r>
      <w:r w:rsidR="00A72AC8" w:rsidRPr="00FF3599">
        <w:rPr>
          <w:rFonts w:ascii="Arial" w:hAnsi="Arial" w:cs="Arial"/>
          <w:lang w:val="es-MX"/>
        </w:rPr>
        <w:t xml:space="preserve"> U</w:t>
      </w:r>
      <w:r w:rsidRPr="00FF3599">
        <w:rPr>
          <w:rFonts w:ascii="Arial" w:hAnsi="Arial" w:cs="Arial"/>
          <w:lang w:val="es-MX"/>
        </w:rPr>
        <w:t>PAS.</w:t>
      </w:r>
    </w:p>
    <w:p w14:paraId="7A5CF8F6" w14:textId="77777777" w:rsidR="00A1159F" w:rsidRPr="00D75FE1" w:rsidRDefault="00A1159F" w:rsidP="00A1159F">
      <w:pPr>
        <w:pStyle w:val="ColorfulList-Accent11"/>
        <w:ind w:left="0"/>
        <w:jc w:val="both"/>
        <w:rPr>
          <w:rFonts w:ascii="Arial" w:hAnsi="Arial" w:cs="Arial"/>
          <w:lang w:val="es-MX"/>
        </w:rPr>
      </w:pPr>
    </w:p>
    <w:p w14:paraId="5BC7EBAD" w14:textId="77777777" w:rsidR="00A1159F" w:rsidRPr="00D75FE1" w:rsidRDefault="00A1159F" w:rsidP="00A1159F">
      <w:pPr>
        <w:pStyle w:val="ColorfulList-Accent11"/>
        <w:ind w:left="0"/>
        <w:jc w:val="both"/>
        <w:rPr>
          <w:rFonts w:ascii="Arial" w:hAnsi="Arial" w:cs="Arial"/>
          <w:lang w:val="es-MX"/>
        </w:rPr>
      </w:pPr>
      <w:r w:rsidRPr="00D75FE1">
        <w:rPr>
          <w:rFonts w:ascii="Arial" w:hAnsi="Arial" w:cs="Arial"/>
          <w:lang w:val="es-MX"/>
        </w:rPr>
        <w:t>La metodología utilizada para llevar a cabo la evaluación es la construcción de un control sintético. Cabe mencionar que este enfoque de evaluación ha sido utilizada en otros proyectos de salud incluyendo el Programa de Fortalecimiento de la Gestión de la Salud en el Estado de San Pablo (BR-L1376), que busca fortalecer el modelo de atención basado en RAS a nivel estatal, y en el Programa de Fortalecimiento del Sistema Único de Salud de Sao Bernardo do Campo (BR- L1415), el Programa de Expansión y Mejora de la Atención Especializada en Salud del Estado de Ceará PROEXMAESII (BR-L1408), así como en el componente de salud del programa PROREDES de Fortaleza, entre otros.</w:t>
      </w:r>
    </w:p>
    <w:p w14:paraId="1FA944DC" w14:textId="77777777" w:rsidR="00A1159F" w:rsidRPr="00D75FE1" w:rsidRDefault="00A1159F" w:rsidP="00A1159F">
      <w:pPr>
        <w:pStyle w:val="ColorfulList-Accent11"/>
        <w:ind w:left="0"/>
        <w:jc w:val="both"/>
        <w:rPr>
          <w:rFonts w:ascii="Arial" w:hAnsi="Arial" w:cs="Arial"/>
          <w:lang w:val="es-MX"/>
        </w:rPr>
      </w:pPr>
    </w:p>
    <w:p w14:paraId="3BC36CCF" w14:textId="77777777" w:rsidR="00A1159F" w:rsidRPr="00D75FE1" w:rsidRDefault="00A1159F" w:rsidP="00A1159F">
      <w:pPr>
        <w:pStyle w:val="ColorfulList-Accent11"/>
        <w:ind w:left="0"/>
        <w:jc w:val="both"/>
        <w:rPr>
          <w:rFonts w:ascii="Arial" w:hAnsi="Arial" w:cs="Arial"/>
          <w:lang w:val="es-MX"/>
        </w:rPr>
      </w:pPr>
      <w:r w:rsidRPr="00D75FE1">
        <w:rPr>
          <w:rFonts w:ascii="Arial" w:hAnsi="Arial" w:cs="Arial"/>
          <w:lang w:val="es-MX"/>
        </w:rPr>
        <w:t>La metodología utilizada es la de controles sintéticos (</w:t>
      </w:r>
      <w:proofErr w:type="spellStart"/>
      <w:r w:rsidRPr="00D75FE1">
        <w:rPr>
          <w:rFonts w:ascii="Arial" w:hAnsi="Arial" w:cs="Arial"/>
          <w:i/>
          <w:lang w:val="es-MX"/>
        </w:rPr>
        <w:t>synthetic</w:t>
      </w:r>
      <w:proofErr w:type="spellEnd"/>
      <w:r w:rsidRPr="00D75FE1">
        <w:rPr>
          <w:rFonts w:ascii="Arial" w:hAnsi="Arial" w:cs="Arial"/>
          <w:i/>
          <w:lang w:val="es-MX"/>
        </w:rPr>
        <w:t xml:space="preserve"> </w:t>
      </w:r>
      <w:proofErr w:type="spellStart"/>
      <w:r w:rsidRPr="00D75FE1">
        <w:rPr>
          <w:rFonts w:ascii="Arial" w:hAnsi="Arial" w:cs="Arial"/>
          <w:i/>
          <w:lang w:val="es-MX"/>
        </w:rPr>
        <w:t>controls</w:t>
      </w:r>
      <w:proofErr w:type="spellEnd"/>
      <w:r w:rsidRPr="00D75FE1">
        <w:rPr>
          <w:rFonts w:ascii="Arial" w:hAnsi="Arial" w:cs="Arial"/>
          <w:lang w:val="es-MX"/>
        </w:rPr>
        <w:t xml:space="preserve">, en inglés) fue desarrollada por </w:t>
      </w:r>
      <w:r w:rsidRPr="00D75FE1">
        <w:rPr>
          <w:rFonts w:ascii="Arial" w:hAnsi="Arial" w:cs="Arial"/>
          <w:lang w:val="es-MX"/>
        </w:rPr>
        <w:fldChar w:fldCharType="begin" w:fldLock="1"/>
      </w:r>
      <w:r w:rsidRPr="00D75FE1">
        <w:rPr>
          <w:rFonts w:ascii="Arial" w:hAnsi="Arial" w:cs="Arial"/>
          <w:lang w:val="es-MX"/>
        </w:rPr>
        <w:instrText>ADDIN CSL_CITATION { "citationItems" : [ { "id" : "ITEM-1", "itemData" : { "author" : [ { "dropping-particle" : "", "family" : "Abadie", "given" : "A", "non-dropping-particle" : "", "parse-names" : false, "suffix" : "" }, { "dropping-particle" : "", "family" : "Gardeazabal", "given" : "J", "non-dropping-particle" : "", "parse-names" : false, "suffix" : "" } ], "container-title" : "American economic review", "id" : "ITEM-1", "issued" : { "date-parts" : [ [ "2003" ] ] }, "title" : "The economic costs of conflict: A case study of the Basque Country", "type" : "article-journal" }, "uris" : [ "http://www.mendeley.com/documents/?uuid=08171cc9-52aa-4e42-b1b6-ac03f7c766fb" ] } ], "mendeley" : { "formattedCitation" : "(A Abadie and Gardeazabal 2003)", "manualFormatting" : "Abadie y Gardeazabal (2003)", "plainTextFormattedCitation" : "(A Abadie and Gardeazabal 2003)", "previouslyFormattedCitation" : "(A Abadie and Gardeazabal 2003)" }, "properties" : { "noteIndex" : 0 }, "schema" : "https://github.com/citation-style-language/schema/raw/master/csl-citation.json" }</w:instrText>
      </w:r>
      <w:r w:rsidRPr="00D75FE1">
        <w:rPr>
          <w:rFonts w:ascii="Arial" w:hAnsi="Arial" w:cs="Arial"/>
          <w:lang w:val="es-MX"/>
        </w:rPr>
        <w:fldChar w:fldCharType="separate"/>
      </w:r>
      <w:r w:rsidRPr="00D75FE1">
        <w:rPr>
          <w:rFonts w:ascii="Arial" w:hAnsi="Arial" w:cs="Arial"/>
          <w:lang w:val="es-MX"/>
        </w:rPr>
        <w:t>Abadie y Gardeazabal (2003)</w:t>
      </w:r>
      <w:r w:rsidRPr="00D75FE1">
        <w:rPr>
          <w:rFonts w:ascii="Arial" w:hAnsi="Arial" w:cs="Arial"/>
          <w:lang w:val="es-MX"/>
        </w:rPr>
        <w:fldChar w:fldCharType="end"/>
      </w:r>
      <w:r w:rsidRPr="00D75FE1">
        <w:rPr>
          <w:rFonts w:ascii="Arial" w:hAnsi="Arial" w:cs="Arial"/>
          <w:lang w:val="es-MX"/>
        </w:rPr>
        <w:t xml:space="preserve"> y en resumidas cuentas consiste en definir para cada grupo de individuos beneficiados, un gripo de comparación formado por un promedio ponderado del resto de los individuos. Este grupo es definido para que, en el periodo previo a la intervención, exhiba un comportamiento igual al del grupo de tratamiento.  En este caso se crea un grupo de comparación para el conjunto de otro conjunto de municipios de otros estados de más de un millón de habitantes similares donde no se implementa el proyecto.</w:t>
      </w:r>
      <w:r w:rsidRPr="00D75FE1">
        <w:rPr>
          <w:lang w:val="es-MX"/>
        </w:rPr>
        <w:t xml:space="preserve"> </w:t>
      </w:r>
      <w:r w:rsidRPr="00D75FE1">
        <w:rPr>
          <w:rFonts w:ascii="Arial" w:hAnsi="Arial" w:cs="Arial"/>
          <w:lang w:val="es-MX"/>
        </w:rPr>
        <w:t xml:space="preserve">Este grupo se llama sintético porque no se trata de una observación real, sino que es diseñado de tal manera que en el periodo previo a la intervención muestre un comportamiento igual al del grupo tratado. La estrategia de identificación consiste en suponer que en ausencia del programa el comportamiento de ambos grupos seguiría siendo el mismo, por lo que cualquier diferencia entre el grupo tratado y el control sintético se puede atribuir a la intervención evaluada. </w:t>
      </w:r>
    </w:p>
    <w:p w14:paraId="53322694" w14:textId="77777777" w:rsidR="00A1159F" w:rsidRPr="00D75FE1" w:rsidRDefault="00A1159F" w:rsidP="00A1159F">
      <w:pPr>
        <w:pStyle w:val="ColorfulList-Accent11"/>
        <w:ind w:left="0"/>
        <w:jc w:val="both"/>
        <w:rPr>
          <w:rFonts w:ascii="Arial" w:hAnsi="Arial" w:cs="Arial"/>
          <w:lang w:val="es-MX"/>
        </w:rPr>
      </w:pPr>
    </w:p>
    <w:p w14:paraId="45FECC63" w14:textId="77777777" w:rsidR="00A1159F" w:rsidRPr="00D75FE1" w:rsidRDefault="00A1159F" w:rsidP="00A1159F">
      <w:pPr>
        <w:pStyle w:val="AutoNumpara"/>
        <w:numPr>
          <w:ilvl w:val="0"/>
          <w:numId w:val="0"/>
        </w:numPr>
        <w:tabs>
          <w:tab w:val="left" w:pos="720"/>
        </w:tabs>
        <w:spacing w:before="0" w:after="0"/>
        <w:rPr>
          <w:rFonts w:cs="Arial"/>
          <w:noProof w:val="0"/>
          <w:color w:val="000000"/>
          <w:sz w:val="22"/>
          <w:szCs w:val="22"/>
          <w:lang w:val="es-MX"/>
        </w:rPr>
      </w:pPr>
      <w:r w:rsidRPr="00D75FE1">
        <w:rPr>
          <w:rFonts w:cs="Arial"/>
          <w:noProof w:val="0"/>
          <w:color w:val="000000"/>
          <w:sz w:val="22"/>
          <w:szCs w:val="22"/>
          <w:lang w:val="es-MX"/>
        </w:rPr>
        <w:t>El ejemplo más ilustrativo de esta metodología es la estimación del impacto de la proposición 99 en California sobre la tasa de fumadores en dicho estado. La intervención afectó a todo California, por lo que el grupo de comparación fue definido con base al resto de los estados de EEUU. Como se observa en las siguientes gráficas, se parte de una situación en que el promedio del resto de los estados es bastante disímil, pero si se aplica la metodología se construye un “estado sintético” que tiene un comportamiento prácticamente idéntico a California. Con este estado sintético como grupo de comparación, se puede medir el impacto de la proposición en cuestión.</w:t>
      </w:r>
    </w:p>
    <w:p w14:paraId="586DD205" w14:textId="2D8665E9" w:rsidR="00A1159F" w:rsidRPr="00D75FE1" w:rsidRDefault="00A1159F" w:rsidP="00A1159F">
      <w:pPr>
        <w:jc w:val="center"/>
        <w:rPr>
          <w:rFonts w:cs="Arial"/>
          <w:color w:val="000000"/>
          <w:sz w:val="22"/>
          <w:szCs w:val="22"/>
          <w:lang w:val="es-MX"/>
        </w:rPr>
      </w:pPr>
      <w:bookmarkStart w:id="5" w:name="_Ref296239657"/>
      <w:bookmarkStart w:id="6" w:name="_Ref296239653"/>
      <w:r w:rsidRPr="00D878B4">
        <w:rPr>
          <w:rFonts w:cs="Arial"/>
          <w:b/>
          <w:sz w:val="18"/>
          <w:szCs w:val="18"/>
          <w:lang w:val="es-MX"/>
        </w:rPr>
        <w:t xml:space="preserve">Figura </w:t>
      </w:r>
      <w:r w:rsidRPr="00D878B4">
        <w:rPr>
          <w:sz w:val="18"/>
          <w:szCs w:val="18"/>
          <w:lang w:val="es-MX"/>
        </w:rPr>
        <w:fldChar w:fldCharType="begin"/>
      </w:r>
      <w:r w:rsidRPr="00D878B4">
        <w:rPr>
          <w:rFonts w:cs="Arial"/>
          <w:b/>
          <w:sz w:val="18"/>
          <w:szCs w:val="18"/>
          <w:lang w:val="es-MX"/>
        </w:rPr>
        <w:instrText xml:space="preserve"> SEQ Figura \* ARABIC </w:instrText>
      </w:r>
      <w:r w:rsidRPr="00D878B4">
        <w:rPr>
          <w:sz w:val="18"/>
          <w:szCs w:val="18"/>
          <w:lang w:val="es-MX"/>
        </w:rPr>
        <w:fldChar w:fldCharType="separate"/>
      </w:r>
      <w:r w:rsidRPr="00D878B4">
        <w:rPr>
          <w:rFonts w:cs="Arial"/>
          <w:b/>
          <w:sz w:val="18"/>
          <w:szCs w:val="18"/>
          <w:lang w:val="es-MX"/>
        </w:rPr>
        <w:t>1</w:t>
      </w:r>
      <w:r w:rsidRPr="00D878B4">
        <w:rPr>
          <w:sz w:val="18"/>
          <w:szCs w:val="18"/>
          <w:lang w:val="es-MX"/>
        </w:rPr>
        <w:fldChar w:fldCharType="end"/>
      </w:r>
      <w:bookmarkEnd w:id="5"/>
      <w:r w:rsidRPr="00D878B4">
        <w:rPr>
          <w:rFonts w:cs="Arial"/>
          <w:b/>
          <w:sz w:val="18"/>
          <w:szCs w:val="18"/>
          <w:lang w:val="es-MX"/>
        </w:rPr>
        <w:t>. Tendencia en las ventas per cápita de cigarros en California en comparación al resto de Estados Unidos.</w:t>
      </w:r>
      <w:bookmarkEnd w:id="6"/>
      <w:r w:rsidRPr="00D75FE1">
        <w:rPr>
          <w:rFonts w:cs="Arial"/>
          <w:b/>
          <w:sz w:val="22"/>
          <w:szCs w:val="22"/>
          <w:lang w:val="es-MX"/>
        </w:rPr>
        <w:t xml:space="preserve"> </w:t>
      </w:r>
    </w:p>
    <w:p w14:paraId="0A7A4057" w14:textId="28641529" w:rsidR="00D878B4" w:rsidRDefault="00D878B4" w:rsidP="00A1159F">
      <w:pPr>
        <w:ind w:left="900"/>
        <w:rPr>
          <w:rFonts w:cs="Arial"/>
          <w:sz w:val="18"/>
          <w:szCs w:val="18"/>
          <w:lang w:val="es-MX"/>
        </w:rPr>
      </w:pPr>
      <w:r w:rsidRPr="00D75FE1">
        <w:rPr>
          <w:rFonts w:cs="Arial"/>
          <w:noProof/>
          <w:color w:val="000000"/>
          <w:sz w:val="22"/>
          <w:szCs w:val="22"/>
          <w:lang w:val="es-MX"/>
        </w:rPr>
        <w:drawing>
          <wp:inline distT="0" distB="0" distL="0" distR="0" wp14:anchorId="228C9E50" wp14:editId="53327BC6">
            <wp:extent cx="4618355" cy="2247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t="2769" b="6422"/>
                    <a:stretch>
                      <a:fillRect/>
                    </a:stretch>
                  </pic:blipFill>
                  <pic:spPr bwMode="auto">
                    <a:xfrm>
                      <a:off x="0" y="0"/>
                      <a:ext cx="4618355" cy="2247900"/>
                    </a:xfrm>
                    <a:prstGeom prst="rect">
                      <a:avLst/>
                    </a:prstGeom>
                    <a:noFill/>
                    <a:ln>
                      <a:noFill/>
                    </a:ln>
                  </pic:spPr>
                </pic:pic>
              </a:graphicData>
            </a:graphic>
          </wp:inline>
        </w:drawing>
      </w:r>
    </w:p>
    <w:p w14:paraId="0268CCA6" w14:textId="77777777" w:rsidR="00D878B4" w:rsidRDefault="00D878B4" w:rsidP="00A1159F">
      <w:pPr>
        <w:ind w:left="900"/>
        <w:rPr>
          <w:rFonts w:cs="Arial"/>
          <w:sz w:val="18"/>
          <w:szCs w:val="18"/>
          <w:lang w:val="es-MX"/>
        </w:rPr>
      </w:pPr>
    </w:p>
    <w:p w14:paraId="081EF6B1" w14:textId="0F030879" w:rsidR="00A1159F" w:rsidRPr="00D75FE1" w:rsidRDefault="00A1159F" w:rsidP="00A1159F">
      <w:pPr>
        <w:ind w:left="900"/>
        <w:rPr>
          <w:rFonts w:cs="Arial"/>
          <w:sz w:val="18"/>
          <w:szCs w:val="18"/>
          <w:lang w:val="es-MX"/>
        </w:rPr>
      </w:pPr>
      <w:r w:rsidRPr="00D75FE1">
        <w:rPr>
          <w:rFonts w:cs="Arial"/>
          <w:sz w:val="18"/>
          <w:szCs w:val="18"/>
          <w:lang w:val="es-MX"/>
        </w:rPr>
        <w:lastRenderedPageBreak/>
        <w:t xml:space="preserve">Fuente: </w:t>
      </w:r>
      <w:r w:rsidRPr="00D75FE1">
        <w:rPr>
          <w:rFonts w:cs="Arial"/>
          <w:sz w:val="18"/>
          <w:szCs w:val="18"/>
          <w:lang w:val="es-MX"/>
        </w:rPr>
        <w:fldChar w:fldCharType="begin" w:fldLock="1"/>
      </w:r>
      <w:r w:rsidRPr="00D75FE1">
        <w:rPr>
          <w:rFonts w:cs="Arial"/>
          <w:sz w:val="18"/>
          <w:szCs w:val="18"/>
          <w:lang w:val="es-MX"/>
        </w:rPr>
        <w:instrText>ADDIN CSL_CITATION { "citationItems" : [ { "id" : "ITEM-1", "itemData" : { "author" : [ { "dropping-particle" : "", "family" : "Abadie", "given" : "Alberto", "non-dropping-particle" : "", "parse-names" : false, "suffix" : "" }, { "dropping-particle" : "", "family" : "Diamond", "given" : "Alexis", "non-dropping-particle" : "", "parse-names" : false, "suffix" : "" }, { "dropping-particle" : "", "family" : "Hainmueller", "given" : "Jens", "non-dropping-particle" : "", "parse-names" : false, "suffix" : "" } ], "container-title" : "Journal of the American \u2026", "id" : "ITEM-1", "issued" : { "date-parts" : [ [ "2010" ] ] }, "title" : "Synthetic control methods for comparative case studies: Estimating the effect of California's tobacco control program", "type" : "article-journal" }, "uris" : [ "http://www.mendeley.com/documents/?uuid=16bf5454-742b-4402-82ee-9bde633c9fad" ] } ], "mendeley" : { "formattedCitation" : "(Alberto Abadie, Diamond, and Hainmueller 2010)", "manualFormatting" : "Abadie, Diamond y Hainmueller (2010)", "plainTextFormattedCitation" : "(Alberto Abadie, Diamond, and Hainmueller 2010)", "previouslyFormattedCitation" : "(Alberto Abadie, Diamond, and Hainmueller 2010)" }, "properties" : { "noteIndex" : 0 }, "schema" : "https://github.com/citation-style-language/schema/raw/master/csl-citation.json" }</w:instrText>
      </w:r>
      <w:r w:rsidRPr="00D75FE1">
        <w:rPr>
          <w:rFonts w:cs="Arial"/>
          <w:sz w:val="18"/>
          <w:szCs w:val="18"/>
          <w:lang w:val="es-MX"/>
        </w:rPr>
        <w:fldChar w:fldCharType="separate"/>
      </w:r>
      <w:r w:rsidRPr="00D75FE1">
        <w:rPr>
          <w:rFonts w:cs="Arial"/>
          <w:sz w:val="18"/>
          <w:szCs w:val="18"/>
          <w:lang w:val="es-MX"/>
        </w:rPr>
        <w:t>Abadie, Diamond y Hainmueller (2010)</w:t>
      </w:r>
      <w:r w:rsidRPr="00D75FE1">
        <w:rPr>
          <w:rFonts w:cs="Arial"/>
          <w:sz w:val="18"/>
          <w:szCs w:val="18"/>
          <w:lang w:val="es-MX"/>
        </w:rPr>
        <w:fldChar w:fldCharType="end"/>
      </w:r>
    </w:p>
    <w:p w14:paraId="26EA94DB" w14:textId="77777777" w:rsidR="00A1159F" w:rsidRPr="00D75FE1" w:rsidRDefault="00A1159F" w:rsidP="00A1159F">
      <w:pPr>
        <w:pStyle w:val="AutoNumpara"/>
        <w:numPr>
          <w:ilvl w:val="0"/>
          <w:numId w:val="0"/>
        </w:numPr>
        <w:tabs>
          <w:tab w:val="left" w:pos="720"/>
        </w:tabs>
        <w:rPr>
          <w:rFonts w:cs="Arial"/>
          <w:noProof w:val="0"/>
          <w:color w:val="000000"/>
          <w:sz w:val="22"/>
          <w:szCs w:val="22"/>
          <w:lang w:val="es-MX"/>
        </w:rPr>
      </w:pPr>
      <w:r w:rsidRPr="00D75FE1">
        <w:rPr>
          <w:rFonts w:cs="Arial"/>
          <w:noProof w:val="0"/>
          <w:color w:val="000000"/>
          <w:sz w:val="22"/>
          <w:szCs w:val="22"/>
          <w:lang w:val="es-MX"/>
        </w:rPr>
        <w:t xml:space="preserve">La gráfica anterior, tomada de </w:t>
      </w:r>
      <w:r w:rsidRPr="00D75FE1">
        <w:rPr>
          <w:rFonts w:cs="Arial"/>
          <w:noProof w:val="0"/>
          <w:color w:val="000000"/>
          <w:sz w:val="22"/>
          <w:szCs w:val="22"/>
          <w:lang w:val="es-MX"/>
        </w:rPr>
        <w:fldChar w:fldCharType="begin" w:fldLock="1"/>
      </w:r>
      <w:r w:rsidRPr="00D75FE1">
        <w:rPr>
          <w:rFonts w:cs="Arial"/>
          <w:noProof w:val="0"/>
          <w:color w:val="000000"/>
          <w:sz w:val="22"/>
          <w:szCs w:val="22"/>
          <w:lang w:val="es-MX"/>
        </w:rPr>
        <w:instrText>ADDIN CSL_CITATION { "citationItems" : [ { "id" : "ITEM-1", "itemData" : { "author" : [ { "dropping-particle" : "", "family" : "Abadie", "given" : "Alberto", "non-dropping-particle" : "", "parse-names" : false, "suffix" : "" }, { "dropping-particle" : "", "family" : "Diamond", "given" : "Alexis", "non-dropping-particle" : "", "parse-names" : false, "suffix" : "" }, { "dropping-particle" : "", "family" : "Hainmueller", "given" : "Jens", "non-dropping-particle" : "", "parse-names" : false, "suffix" : "" } ], "container-title" : "Journal of the American \u2026", "id" : "ITEM-1", "issued" : { "date-parts" : [ [ "2010" ] ] }, "title" : "Synthetic control methods for comparative case studies: Estimating the effect of California's tobacco control program", "type" : "article-journal" }, "uris" : [ "http://www.mendeley.com/documents/?uuid=16bf5454-742b-4402-82ee-9bde633c9fad" ] } ], "mendeley" : { "formattedCitation" : "(Alberto Abadie, Diamond, and Hainmueller 2010)", "manualFormatting" : "Abadie, Diamond, y Hainmueller (2010)", "plainTextFormattedCitation" : "(Alberto Abadie, Diamond, and Hainmueller 2010)", "previouslyFormattedCitation" : "(Alberto Abadie, Diamond, and Hainmueller 2010)" }, "properties" : { "noteIndex" : 0 }, "schema" : "https://github.com/citation-style-language/schema/raw/master/csl-citation.json" }</w:instrText>
      </w:r>
      <w:r w:rsidRPr="00D75FE1">
        <w:rPr>
          <w:rFonts w:cs="Arial"/>
          <w:noProof w:val="0"/>
          <w:color w:val="000000"/>
          <w:sz w:val="22"/>
          <w:szCs w:val="22"/>
          <w:lang w:val="es-MX"/>
        </w:rPr>
        <w:fldChar w:fldCharType="separate"/>
      </w:r>
      <w:r w:rsidRPr="00D75FE1">
        <w:rPr>
          <w:rFonts w:cs="Arial"/>
          <w:noProof w:val="0"/>
          <w:color w:val="000000"/>
          <w:sz w:val="22"/>
          <w:szCs w:val="22"/>
          <w:lang w:val="es-MX"/>
        </w:rPr>
        <w:t>Abadie, Diamond, y Hainmueller (2010)</w:t>
      </w:r>
      <w:r w:rsidRPr="00D75FE1">
        <w:rPr>
          <w:rFonts w:cs="Arial"/>
          <w:noProof w:val="0"/>
          <w:color w:val="000000"/>
          <w:sz w:val="22"/>
          <w:szCs w:val="22"/>
          <w:lang w:val="es-MX"/>
        </w:rPr>
        <w:fldChar w:fldCharType="end"/>
      </w:r>
      <w:r w:rsidRPr="00D75FE1">
        <w:rPr>
          <w:rFonts w:cs="Arial"/>
          <w:noProof w:val="0"/>
          <w:color w:val="000000"/>
          <w:sz w:val="22"/>
          <w:szCs w:val="22"/>
          <w:lang w:val="es-MX"/>
        </w:rPr>
        <w:t xml:space="preserve"> muestra la venta de paquetes de cigarrillos per cápita antes y después de la proposición 99, en California y en el resto del país. Se observa una tendencia decreciente a partir de mediados de los 70 en California y a partir de mediados de los 80 en el resto del país, y también se observa que en California la tendencia decreciente parece ampliarse a partir de la aprobación de la proposición 99. No obstante, dadas las diferencias en niveles y en tendencias entre ambos grupos, no es claro qué porcentaje de la diferencia observada en 1990 o 1995 es debido a la proposición y cual a las diferencias previas.</w:t>
      </w:r>
    </w:p>
    <w:p w14:paraId="105D6403" w14:textId="77777777" w:rsidR="00A1159F" w:rsidRPr="00D75FE1" w:rsidRDefault="00A1159F" w:rsidP="00A1159F">
      <w:pPr>
        <w:pStyle w:val="AutoNumpara"/>
        <w:numPr>
          <w:ilvl w:val="0"/>
          <w:numId w:val="0"/>
        </w:numPr>
        <w:tabs>
          <w:tab w:val="left" w:pos="720"/>
        </w:tabs>
        <w:rPr>
          <w:rFonts w:cs="Arial"/>
          <w:noProof w:val="0"/>
          <w:color w:val="000000"/>
          <w:sz w:val="22"/>
          <w:szCs w:val="22"/>
          <w:lang w:val="es-MX"/>
        </w:rPr>
      </w:pPr>
      <w:r w:rsidRPr="00D75FE1">
        <w:rPr>
          <w:rFonts w:cs="Arial"/>
          <w:noProof w:val="0"/>
          <w:color w:val="000000"/>
          <w:sz w:val="22"/>
          <w:szCs w:val="22"/>
          <w:lang w:val="es-MX"/>
        </w:rPr>
        <w:t xml:space="preserve">La metodología de </w:t>
      </w:r>
      <w:r w:rsidRPr="00D75FE1">
        <w:rPr>
          <w:rFonts w:cs="Arial"/>
          <w:noProof w:val="0"/>
          <w:color w:val="000000"/>
          <w:sz w:val="22"/>
          <w:szCs w:val="22"/>
          <w:lang w:val="es-MX"/>
        </w:rPr>
        <w:fldChar w:fldCharType="begin" w:fldLock="1"/>
      </w:r>
      <w:r w:rsidRPr="00D75FE1">
        <w:rPr>
          <w:rFonts w:cs="Arial"/>
          <w:noProof w:val="0"/>
          <w:color w:val="000000"/>
          <w:sz w:val="22"/>
          <w:szCs w:val="22"/>
          <w:lang w:val="es-MX"/>
        </w:rPr>
        <w:instrText>ADDIN CSL_CITATION { "citationItems" : [ { "id" : "ITEM-1", "itemData" : { "author" : [ { "dropping-particle" : "", "family" : "Abadie", "given" : "A", "non-dropping-particle" : "", "parse-names" : false, "suffix" : "" }, { "dropping-particle" : "", "family" : "Gardeazabal", "given" : "J", "non-dropping-particle" : "", "parse-names" : false, "suffix" : "" } ], "container-title" : "American economic review", "id" : "ITEM-1", "issued" : { "date-parts" : [ [ "2003" ] ] }, "title" : "The economic costs of conflict: A case study of the Basque Country", "type" : "article-journal" }, "uris" : [ "http://www.mendeley.com/documents/?uuid=08171cc9-52aa-4e42-b1b6-ac03f7c766fb" ] } ], "mendeley" : { "formattedCitation" : "(A Abadie and Gardeazabal 2003)", "plainTextFormattedCitation" : "(A Abadie and Gardeazabal 2003)" }, "properties" : { "noteIndex" : 0 }, "schema" : "https://github.com/citation-style-language/schema/raw/master/csl-citation.json" }</w:instrText>
      </w:r>
      <w:r w:rsidRPr="00D75FE1">
        <w:rPr>
          <w:rFonts w:cs="Arial"/>
          <w:noProof w:val="0"/>
          <w:color w:val="000000"/>
          <w:sz w:val="22"/>
          <w:szCs w:val="22"/>
          <w:lang w:val="es-MX"/>
        </w:rPr>
        <w:fldChar w:fldCharType="separate"/>
      </w:r>
      <w:r w:rsidRPr="00D75FE1">
        <w:rPr>
          <w:rFonts w:cs="Arial"/>
          <w:noProof w:val="0"/>
          <w:color w:val="000000"/>
          <w:sz w:val="22"/>
          <w:szCs w:val="22"/>
          <w:lang w:val="es-MX"/>
        </w:rPr>
        <w:t>Abadie y Gardeazabal (2003)</w:t>
      </w:r>
      <w:r w:rsidRPr="00D75FE1">
        <w:rPr>
          <w:rFonts w:cs="Arial"/>
          <w:noProof w:val="0"/>
          <w:color w:val="000000"/>
          <w:sz w:val="22"/>
          <w:szCs w:val="22"/>
          <w:lang w:val="es-MX"/>
        </w:rPr>
        <w:fldChar w:fldCharType="end"/>
      </w:r>
      <w:r w:rsidRPr="00D75FE1">
        <w:rPr>
          <w:rFonts w:cs="Arial"/>
          <w:noProof w:val="0"/>
          <w:color w:val="000000"/>
          <w:sz w:val="22"/>
          <w:szCs w:val="22"/>
          <w:lang w:val="es-MX"/>
        </w:rPr>
        <w:t xml:space="preserve"> lo que hace es construir un estado sintético idéntico a California en la etapa pre-proposición 99. Con esto, es posible tener un estimador del impacto de dicha medida, como se observa en la siguiente figura. La diferencia entre los grupos después de la aprobación de la proposición 99 puede atribuirse a dicha intervención.</w:t>
      </w:r>
    </w:p>
    <w:p w14:paraId="69D28162" w14:textId="77777777" w:rsidR="00A1159F" w:rsidRPr="00D878B4" w:rsidRDefault="00A1159F" w:rsidP="00D878B4">
      <w:pPr>
        <w:pStyle w:val="Caption"/>
        <w:rPr>
          <w:color w:val="000000"/>
        </w:rPr>
      </w:pPr>
      <w:r w:rsidRPr="00D878B4">
        <w:t xml:space="preserve">Figura </w:t>
      </w:r>
      <w:r w:rsidRPr="00D878B4">
        <w:fldChar w:fldCharType="begin"/>
      </w:r>
      <w:r w:rsidRPr="00D878B4">
        <w:instrText xml:space="preserve"> SEQ Figura \* ARABIC </w:instrText>
      </w:r>
      <w:r w:rsidRPr="00D878B4">
        <w:fldChar w:fldCharType="separate"/>
      </w:r>
      <w:r w:rsidRPr="00D878B4">
        <w:t>2</w:t>
      </w:r>
      <w:r w:rsidRPr="00D878B4">
        <w:fldChar w:fldCharType="end"/>
      </w:r>
      <w:r w:rsidRPr="00D878B4">
        <w:t>. Tendencia en las ventas per cápita de cigarros en California en comparación</w:t>
      </w:r>
    </w:p>
    <w:p w14:paraId="4BBA7294" w14:textId="77777777" w:rsidR="00A1159F" w:rsidRPr="00D75FE1" w:rsidRDefault="00A1159F" w:rsidP="00A1159F">
      <w:pPr>
        <w:keepNext/>
        <w:jc w:val="center"/>
        <w:rPr>
          <w:rFonts w:cs="Arial"/>
          <w:sz w:val="22"/>
          <w:szCs w:val="22"/>
          <w:lang w:val="es-MX" w:eastAsia="es-ES"/>
        </w:rPr>
      </w:pPr>
      <w:r w:rsidRPr="00D75FE1">
        <w:rPr>
          <w:rFonts w:cs="Arial"/>
          <w:noProof/>
          <w:sz w:val="22"/>
          <w:szCs w:val="22"/>
          <w:lang w:val="es-MX" w:eastAsia="es-ES"/>
        </w:rPr>
        <w:drawing>
          <wp:inline distT="0" distB="0" distL="0" distR="0" wp14:anchorId="7B9BE8BC" wp14:editId="273C7626">
            <wp:extent cx="4443095" cy="24339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t="5203" b="7878"/>
                    <a:stretch>
                      <a:fillRect/>
                    </a:stretch>
                  </pic:blipFill>
                  <pic:spPr bwMode="auto">
                    <a:xfrm>
                      <a:off x="0" y="0"/>
                      <a:ext cx="4443095" cy="2433955"/>
                    </a:xfrm>
                    <a:prstGeom prst="rect">
                      <a:avLst/>
                    </a:prstGeom>
                    <a:noFill/>
                    <a:ln>
                      <a:noFill/>
                    </a:ln>
                  </pic:spPr>
                </pic:pic>
              </a:graphicData>
            </a:graphic>
          </wp:inline>
        </w:drawing>
      </w:r>
    </w:p>
    <w:p w14:paraId="4ACA79C6" w14:textId="30AAFDFA" w:rsidR="00A1159F" w:rsidRPr="00D75FE1" w:rsidRDefault="00D878B4" w:rsidP="00A1159F">
      <w:pPr>
        <w:keepNext/>
        <w:ind w:left="720"/>
        <w:rPr>
          <w:rFonts w:cs="Arial"/>
          <w:sz w:val="18"/>
          <w:szCs w:val="18"/>
          <w:lang w:val="es-MX"/>
        </w:rPr>
      </w:pPr>
      <w:r>
        <w:rPr>
          <w:rFonts w:cs="Arial"/>
          <w:sz w:val="18"/>
          <w:szCs w:val="18"/>
          <w:lang w:val="es-MX"/>
        </w:rPr>
        <w:tab/>
      </w:r>
      <w:r w:rsidR="00A1159F" w:rsidRPr="00D75FE1">
        <w:rPr>
          <w:rFonts w:cs="Arial"/>
          <w:sz w:val="18"/>
          <w:szCs w:val="18"/>
          <w:lang w:val="es-MX"/>
        </w:rPr>
        <w:t xml:space="preserve">Fuente: </w:t>
      </w:r>
      <w:r w:rsidR="00A1159F" w:rsidRPr="00D75FE1">
        <w:rPr>
          <w:rFonts w:cs="Arial"/>
          <w:sz w:val="18"/>
          <w:szCs w:val="18"/>
          <w:lang w:val="es-MX"/>
        </w:rPr>
        <w:fldChar w:fldCharType="begin" w:fldLock="1"/>
      </w:r>
      <w:r w:rsidR="00A1159F" w:rsidRPr="00D75FE1">
        <w:rPr>
          <w:rFonts w:cs="Arial"/>
          <w:sz w:val="18"/>
          <w:szCs w:val="18"/>
          <w:lang w:val="es-MX"/>
        </w:rPr>
        <w:instrText>ADDIN CSL_CITATION { "citationItems" : [ { "id" : "ITEM-1", "itemData" : { "author" : [ { "dropping-particle" : "", "family" : "Abadie", "given" : "Alberto", "non-dropping-particle" : "", "parse-names" : false, "suffix" : "" }, { "dropping-particle" : "", "family" : "Diamond", "given" : "Alexis", "non-dropping-particle" : "", "parse-names" : false, "suffix" : "" }, { "dropping-particle" : "", "family" : "Hainmueller", "given" : "Jens", "non-dropping-particle" : "", "parse-names" : false, "suffix" : "" } ], "container-title" : "Journal of the American \u2026", "id" : "ITEM-1", "issued" : { "date-parts" : [ [ "2010" ] ] }, "title" : "Synthetic control methods for comparative case studies: Estimating the effect of California's tobacco control program", "type" : "article-journal" }, "uris" : [ "http://www.mendeley.com/documents/?uuid=16bf5454-742b-4402-82ee-9bde633c9fad" ] } ], "mendeley" : { "formattedCitation" : "(Alberto Abadie, Diamond, and Hainmueller 2010)", "manualFormatting" : "Abadie, Diamond y Hainmueller (2010)", "plainTextFormattedCitation" : "(Alberto Abadie, Diamond, and Hainmueller 2010)", "previouslyFormattedCitation" : "(Alberto Abadie, Diamond, and Hainmueller 2010)" }, "properties" : { "noteIndex" : 0 }, "schema" : "https://github.com/citation-style-language/schema/raw/master/csl-citation.json" }</w:instrText>
      </w:r>
      <w:r w:rsidR="00A1159F" w:rsidRPr="00D75FE1">
        <w:rPr>
          <w:rFonts w:cs="Arial"/>
          <w:sz w:val="18"/>
          <w:szCs w:val="18"/>
          <w:lang w:val="es-MX"/>
        </w:rPr>
        <w:fldChar w:fldCharType="separate"/>
      </w:r>
      <w:r w:rsidR="00A1159F" w:rsidRPr="00D75FE1">
        <w:rPr>
          <w:rFonts w:cs="Arial"/>
          <w:sz w:val="18"/>
          <w:szCs w:val="18"/>
          <w:lang w:val="es-MX"/>
        </w:rPr>
        <w:t>Abadie, Diamond y Hainmueller (2010)</w:t>
      </w:r>
      <w:r w:rsidR="00A1159F" w:rsidRPr="00D75FE1">
        <w:rPr>
          <w:rFonts w:cs="Arial"/>
          <w:sz w:val="18"/>
          <w:szCs w:val="18"/>
          <w:lang w:val="es-MX"/>
        </w:rPr>
        <w:fldChar w:fldCharType="end"/>
      </w:r>
    </w:p>
    <w:p w14:paraId="54AE6AE2" w14:textId="77777777" w:rsidR="00A1159F" w:rsidRPr="00D75FE1" w:rsidRDefault="00A1159F" w:rsidP="00A1159F">
      <w:pPr>
        <w:jc w:val="center"/>
        <w:rPr>
          <w:rFonts w:eastAsia="Arial Unicode MS" w:cs="Arial"/>
          <w:bCs/>
          <w:smallCaps/>
          <w:sz w:val="22"/>
          <w:szCs w:val="22"/>
          <w:lang w:val="es-MX"/>
        </w:rPr>
      </w:pPr>
    </w:p>
    <w:p w14:paraId="424744A8" w14:textId="77777777" w:rsidR="00A1159F" w:rsidRPr="00D75FE1" w:rsidRDefault="00A1159F" w:rsidP="00A1159F">
      <w:pPr>
        <w:pStyle w:val="AutoNumpara"/>
        <w:numPr>
          <w:ilvl w:val="0"/>
          <w:numId w:val="0"/>
        </w:numPr>
        <w:tabs>
          <w:tab w:val="left" w:pos="720"/>
        </w:tabs>
        <w:rPr>
          <w:rFonts w:cs="Arial"/>
          <w:noProof w:val="0"/>
          <w:color w:val="000000"/>
          <w:sz w:val="22"/>
          <w:szCs w:val="22"/>
          <w:lang w:val="es-MX"/>
        </w:rPr>
      </w:pPr>
      <w:r w:rsidRPr="00C85B03">
        <w:rPr>
          <w:rFonts w:cs="Arial"/>
          <w:noProof w:val="0"/>
          <w:color w:val="000000"/>
          <w:sz w:val="22"/>
          <w:szCs w:val="22"/>
          <w:lang w:val="es-MX"/>
        </w:rPr>
        <w:t xml:space="preserve">Los datos necesarios para elaborar la evaluación de Avanza Salud SP provienen de DATASUS, específicamente del </w:t>
      </w:r>
      <w:r w:rsidRPr="00C85B03">
        <w:rPr>
          <w:rFonts w:cs="Arial"/>
          <w:i/>
          <w:noProof w:val="0"/>
          <w:color w:val="000000"/>
          <w:sz w:val="22"/>
          <w:szCs w:val="22"/>
          <w:lang w:val="es-MX"/>
        </w:rPr>
        <w:t xml:space="preserve">Sistema de </w:t>
      </w:r>
      <w:proofErr w:type="spellStart"/>
      <w:r w:rsidRPr="00C85B03">
        <w:rPr>
          <w:rFonts w:cs="Arial"/>
          <w:i/>
          <w:noProof w:val="0"/>
          <w:color w:val="000000"/>
          <w:sz w:val="22"/>
          <w:szCs w:val="22"/>
          <w:lang w:val="es-MX"/>
        </w:rPr>
        <w:t>Informações</w:t>
      </w:r>
      <w:proofErr w:type="spellEnd"/>
      <w:r w:rsidRPr="00C85B03">
        <w:rPr>
          <w:rFonts w:cs="Arial"/>
          <w:i/>
          <w:noProof w:val="0"/>
          <w:color w:val="000000"/>
          <w:sz w:val="22"/>
          <w:szCs w:val="22"/>
          <w:lang w:val="es-MX"/>
        </w:rPr>
        <w:t xml:space="preserve"> de </w:t>
      </w:r>
      <w:proofErr w:type="spellStart"/>
      <w:r w:rsidRPr="00C85B03">
        <w:rPr>
          <w:rFonts w:cs="Arial"/>
          <w:i/>
          <w:noProof w:val="0"/>
          <w:color w:val="000000"/>
          <w:sz w:val="22"/>
          <w:szCs w:val="22"/>
          <w:lang w:val="es-MX"/>
        </w:rPr>
        <w:t>Mortalidade</w:t>
      </w:r>
      <w:proofErr w:type="spellEnd"/>
      <w:r w:rsidRPr="00C85B03">
        <w:rPr>
          <w:rFonts w:cs="Arial"/>
          <w:noProof w:val="0"/>
          <w:color w:val="000000"/>
          <w:sz w:val="22"/>
          <w:szCs w:val="22"/>
          <w:lang w:val="es-MX"/>
        </w:rPr>
        <w:t xml:space="preserve"> (SIM) y el </w:t>
      </w:r>
      <w:r w:rsidRPr="00C85B03">
        <w:rPr>
          <w:rFonts w:cs="Arial"/>
          <w:i/>
          <w:noProof w:val="0"/>
          <w:color w:val="000000"/>
          <w:sz w:val="22"/>
          <w:szCs w:val="22"/>
          <w:lang w:val="es-MX"/>
        </w:rPr>
        <w:t xml:space="preserve">Sistema de </w:t>
      </w:r>
      <w:proofErr w:type="spellStart"/>
      <w:r w:rsidRPr="00C85B03">
        <w:rPr>
          <w:rFonts w:cs="Arial"/>
          <w:i/>
          <w:noProof w:val="0"/>
          <w:color w:val="000000"/>
          <w:sz w:val="22"/>
          <w:szCs w:val="22"/>
          <w:lang w:val="es-MX"/>
        </w:rPr>
        <w:t>Informações</w:t>
      </w:r>
      <w:proofErr w:type="spellEnd"/>
      <w:r w:rsidRPr="00C85B03">
        <w:rPr>
          <w:rFonts w:cs="Arial"/>
          <w:i/>
          <w:noProof w:val="0"/>
          <w:color w:val="000000"/>
          <w:sz w:val="22"/>
          <w:szCs w:val="22"/>
          <w:lang w:val="es-MX"/>
        </w:rPr>
        <w:t xml:space="preserve"> </w:t>
      </w:r>
      <w:proofErr w:type="spellStart"/>
      <w:r w:rsidRPr="00C85B03">
        <w:rPr>
          <w:rFonts w:cs="Arial"/>
          <w:i/>
          <w:noProof w:val="0"/>
          <w:color w:val="000000"/>
          <w:sz w:val="22"/>
          <w:szCs w:val="22"/>
          <w:lang w:val="es-MX"/>
        </w:rPr>
        <w:t>Hospitalares</w:t>
      </w:r>
      <w:proofErr w:type="spellEnd"/>
      <w:r w:rsidRPr="00C85B03">
        <w:rPr>
          <w:rFonts w:cs="Arial"/>
          <w:i/>
          <w:noProof w:val="0"/>
          <w:color w:val="000000"/>
          <w:sz w:val="22"/>
          <w:szCs w:val="22"/>
          <w:lang w:val="es-MX"/>
        </w:rPr>
        <w:t xml:space="preserve"> do Sistema Único de </w:t>
      </w:r>
      <w:proofErr w:type="spellStart"/>
      <w:r w:rsidRPr="00C85B03">
        <w:rPr>
          <w:rFonts w:cs="Arial"/>
          <w:i/>
          <w:noProof w:val="0"/>
          <w:color w:val="000000"/>
          <w:sz w:val="22"/>
          <w:szCs w:val="22"/>
          <w:lang w:val="es-MX"/>
        </w:rPr>
        <w:t>Saúde</w:t>
      </w:r>
      <w:proofErr w:type="spellEnd"/>
      <w:r w:rsidRPr="00C85B03">
        <w:rPr>
          <w:rFonts w:cs="Arial"/>
          <w:noProof w:val="0"/>
          <w:color w:val="000000"/>
          <w:sz w:val="22"/>
          <w:szCs w:val="22"/>
          <w:lang w:val="es-MX"/>
        </w:rPr>
        <w:t xml:space="preserve"> (SIH/SUS) que son sistemas de in administrativas que recopilan información de manera rutinaria por el SUS. Los datos disponibles actualmente </w:t>
      </w:r>
      <w:r w:rsidR="00C85B03" w:rsidRPr="00C85B03">
        <w:rPr>
          <w:rFonts w:cs="Arial"/>
          <w:noProof w:val="0"/>
          <w:color w:val="000000"/>
          <w:sz w:val="22"/>
          <w:szCs w:val="22"/>
          <w:lang w:val="es-MX"/>
        </w:rPr>
        <w:t xml:space="preserve">para Belo Horizonte </w:t>
      </w:r>
      <w:r w:rsidRPr="00C85B03">
        <w:rPr>
          <w:rFonts w:cs="Arial"/>
          <w:noProof w:val="0"/>
          <w:color w:val="000000"/>
          <w:sz w:val="22"/>
          <w:szCs w:val="22"/>
          <w:lang w:val="es-MX"/>
        </w:rPr>
        <w:t xml:space="preserve">permiten hacer un análisis de 2008 a </w:t>
      </w:r>
      <w:r w:rsidRPr="00FF3599">
        <w:rPr>
          <w:rFonts w:cs="Arial"/>
          <w:noProof w:val="0"/>
          <w:color w:val="000000"/>
          <w:sz w:val="22"/>
          <w:szCs w:val="22"/>
          <w:lang w:val="es-MX"/>
        </w:rPr>
        <w:t>201</w:t>
      </w:r>
      <w:r w:rsidR="00C85B03" w:rsidRPr="00FF3599">
        <w:rPr>
          <w:rFonts w:cs="Arial"/>
          <w:noProof w:val="0"/>
          <w:color w:val="000000"/>
          <w:sz w:val="22"/>
          <w:szCs w:val="22"/>
          <w:lang w:val="es-MX"/>
        </w:rPr>
        <w:t>5</w:t>
      </w:r>
      <w:r w:rsidRPr="00C85B03">
        <w:rPr>
          <w:rFonts w:cs="Arial"/>
          <w:noProof w:val="0"/>
          <w:color w:val="000000"/>
          <w:sz w:val="22"/>
          <w:szCs w:val="22"/>
          <w:lang w:val="es-MX"/>
        </w:rPr>
        <w:t>. Por esta razón habría que considerar un rezago para poder realizar la evaluación de los impactos.</w:t>
      </w:r>
      <w:r w:rsidRPr="00D75FE1">
        <w:rPr>
          <w:rFonts w:cs="Arial"/>
          <w:noProof w:val="0"/>
          <w:color w:val="000000"/>
          <w:sz w:val="22"/>
          <w:szCs w:val="22"/>
          <w:lang w:val="es-MX"/>
        </w:rPr>
        <w:t xml:space="preserve"> </w:t>
      </w:r>
    </w:p>
    <w:p w14:paraId="4321B1BB" w14:textId="77777777" w:rsidR="00A1159F" w:rsidRPr="00D75FE1" w:rsidRDefault="00A1159F" w:rsidP="00A1159F">
      <w:pPr>
        <w:pStyle w:val="AutoNumpara"/>
        <w:numPr>
          <w:ilvl w:val="0"/>
          <w:numId w:val="0"/>
        </w:numPr>
        <w:tabs>
          <w:tab w:val="left" w:pos="720"/>
        </w:tabs>
        <w:rPr>
          <w:rFonts w:cs="Arial"/>
          <w:noProof w:val="0"/>
          <w:color w:val="000000"/>
          <w:sz w:val="22"/>
          <w:szCs w:val="22"/>
          <w:lang w:val="es-MX"/>
        </w:rPr>
      </w:pPr>
      <w:r w:rsidRPr="00D75FE1">
        <w:rPr>
          <w:rFonts w:cs="Arial"/>
          <w:noProof w:val="0"/>
          <w:color w:val="000000"/>
          <w:sz w:val="22"/>
          <w:szCs w:val="22"/>
          <w:lang w:val="es-MX"/>
        </w:rPr>
        <w:t xml:space="preserve">En este documento se presenta como ejemplo la construcción del control sintético diseñado para </w:t>
      </w:r>
      <w:r w:rsidRPr="00BB54A5">
        <w:rPr>
          <w:rFonts w:cs="Arial"/>
          <w:noProof w:val="0"/>
          <w:color w:val="000000"/>
          <w:sz w:val="22"/>
          <w:szCs w:val="22"/>
          <w:lang w:val="es-MX"/>
        </w:rPr>
        <w:t>medir el impacto de la variable tasa de hospitalizaciones prevenibles hospitalizaciones prevenibles (por 10.000 habitantes), sin embargo, se podrían utilizar otras variables para realizar los impactos del programa incluyendo los indicadores que aparecen en la Matriz de Resultados y otros indicadores generados por DATASUS.</w:t>
      </w:r>
      <w:r w:rsidRPr="00D75FE1">
        <w:rPr>
          <w:rFonts w:cs="Arial"/>
          <w:noProof w:val="0"/>
          <w:color w:val="000000"/>
          <w:sz w:val="22"/>
          <w:szCs w:val="22"/>
          <w:lang w:val="es-MX"/>
        </w:rPr>
        <w:t xml:space="preserve"> </w:t>
      </w:r>
    </w:p>
    <w:p w14:paraId="7EAC1E75" w14:textId="77777777" w:rsidR="00A1159F" w:rsidRPr="00D75FE1" w:rsidRDefault="00A1159F" w:rsidP="00A1159F">
      <w:pPr>
        <w:pStyle w:val="AutoNumpara"/>
        <w:numPr>
          <w:ilvl w:val="0"/>
          <w:numId w:val="0"/>
        </w:numPr>
        <w:tabs>
          <w:tab w:val="left" w:pos="720"/>
        </w:tabs>
        <w:rPr>
          <w:rFonts w:cs="Arial"/>
          <w:noProof w:val="0"/>
          <w:color w:val="000000"/>
          <w:sz w:val="22"/>
          <w:szCs w:val="22"/>
          <w:lang w:val="es-MX"/>
        </w:rPr>
      </w:pPr>
      <w:r w:rsidRPr="00D75FE1">
        <w:rPr>
          <w:rFonts w:cs="Arial"/>
          <w:noProof w:val="0"/>
          <w:color w:val="000000"/>
          <w:sz w:val="22"/>
          <w:szCs w:val="22"/>
          <w:lang w:val="es-MX"/>
        </w:rPr>
        <w:t xml:space="preserve">La estrategia para la evaluación de </w:t>
      </w:r>
      <w:r w:rsidR="00225727" w:rsidRPr="00D75FE1">
        <w:rPr>
          <w:rFonts w:cs="Arial"/>
          <w:noProof w:val="0"/>
          <w:color w:val="000000"/>
          <w:sz w:val="22"/>
          <w:szCs w:val="22"/>
          <w:lang w:val="es-MX"/>
        </w:rPr>
        <w:t>Mejor</w:t>
      </w:r>
      <w:r w:rsidRPr="00D75FE1">
        <w:rPr>
          <w:rFonts w:cs="Arial"/>
          <w:noProof w:val="0"/>
          <w:color w:val="000000"/>
          <w:sz w:val="22"/>
          <w:szCs w:val="22"/>
          <w:lang w:val="es-MX"/>
        </w:rPr>
        <w:t xml:space="preserve"> Salud </w:t>
      </w:r>
      <w:r w:rsidR="00225727" w:rsidRPr="00D75FE1">
        <w:rPr>
          <w:rFonts w:cs="Arial"/>
          <w:noProof w:val="0"/>
          <w:color w:val="000000"/>
          <w:sz w:val="22"/>
          <w:szCs w:val="22"/>
          <w:lang w:val="es-MX"/>
        </w:rPr>
        <w:t>BH</w:t>
      </w:r>
      <w:r w:rsidRPr="00D75FE1">
        <w:rPr>
          <w:rFonts w:cs="Arial"/>
          <w:noProof w:val="0"/>
          <w:color w:val="000000"/>
          <w:sz w:val="22"/>
          <w:szCs w:val="22"/>
          <w:lang w:val="es-MX"/>
        </w:rPr>
        <w:t xml:space="preserve"> consi</w:t>
      </w:r>
      <w:r w:rsidR="00225727" w:rsidRPr="00D75FE1">
        <w:rPr>
          <w:rFonts w:cs="Arial"/>
          <w:noProof w:val="0"/>
          <w:color w:val="000000"/>
          <w:sz w:val="22"/>
          <w:szCs w:val="22"/>
          <w:lang w:val="es-MX"/>
        </w:rPr>
        <w:t>dera</w:t>
      </w:r>
      <w:r w:rsidRPr="00D75FE1">
        <w:rPr>
          <w:rFonts w:cs="Arial"/>
          <w:noProof w:val="0"/>
          <w:color w:val="000000"/>
          <w:sz w:val="22"/>
          <w:szCs w:val="22"/>
          <w:lang w:val="es-MX"/>
        </w:rPr>
        <w:t xml:space="preserve"> como grupo de tratamiento (el equivalente a California en el ejemplo de los cigarrillos) al Municipio de </w:t>
      </w:r>
      <w:r w:rsidR="00225727" w:rsidRPr="00D75FE1">
        <w:rPr>
          <w:rFonts w:cs="Arial"/>
          <w:noProof w:val="0"/>
          <w:color w:val="000000"/>
          <w:sz w:val="22"/>
          <w:szCs w:val="22"/>
          <w:lang w:val="es-MX"/>
        </w:rPr>
        <w:t>Belo Horizonte</w:t>
      </w:r>
      <w:r w:rsidRPr="00D75FE1">
        <w:rPr>
          <w:rFonts w:cs="Arial"/>
          <w:noProof w:val="0"/>
          <w:color w:val="000000"/>
          <w:sz w:val="22"/>
          <w:szCs w:val="22"/>
          <w:lang w:val="es-MX"/>
        </w:rPr>
        <w:t xml:space="preserve">. Para definir el grupo de comparación se utiliza la población de todos </w:t>
      </w:r>
      <w:r w:rsidRPr="00D75FE1">
        <w:rPr>
          <w:rFonts w:cs="Arial"/>
          <w:noProof w:val="0"/>
          <w:sz w:val="22"/>
          <w:szCs w:val="22"/>
          <w:lang w:val="es-MX"/>
        </w:rPr>
        <w:t>los municipios de más de 500.000 habitantes de estados contiguos. Para crear un conjunto de municipios comparables se excluyen los municipios de Fortaleza (Ceará),</w:t>
      </w:r>
      <w:r w:rsidR="00225727" w:rsidRPr="00D75FE1">
        <w:rPr>
          <w:rFonts w:cs="Arial"/>
          <w:noProof w:val="0"/>
          <w:sz w:val="22"/>
          <w:szCs w:val="22"/>
          <w:lang w:val="es-MX"/>
        </w:rPr>
        <w:t xml:space="preserve"> São Paulo,</w:t>
      </w:r>
      <w:r w:rsidRPr="00D75FE1">
        <w:rPr>
          <w:rFonts w:cs="Arial"/>
          <w:noProof w:val="0"/>
          <w:sz w:val="22"/>
          <w:szCs w:val="22"/>
          <w:lang w:val="es-MX"/>
        </w:rPr>
        <w:t xml:space="preserve"> Campiñas y San Bernardo (São Paulo) que son </w:t>
      </w:r>
      <w:r w:rsidRPr="00D75FE1">
        <w:rPr>
          <w:rFonts w:cs="Arial"/>
          <w:noProof w:val="0"/>
          <w:sz w:val="22"/>
          <w:szCs w:val="22"/>
          <w:lang w:val="es-MX"/>
        </w:rPr>
        <w:lastRenderedPageBreak/>
        <w:t xml:space="preserve">afectados por otras intervenciones del BID. Las unidades de comparación son entonces estados metropolitanos.  </w:t>
      </w:r>
    </w:p>
    <w:p w14:paraId="2C19724E" w14:textId="77777777" w:rsidR="00A1159F" w:rsidRPr="00271761" w:rsidRDefault="00A1159F" w:rsidP="00A1159F">
      <w:pPr>
        <w:pStyle w:val="AutoNumpara"/>
        <w:numPr>
          <w:ilvl w:val="0"/>
          <w:numId w:val="0"/>
        </w:numPr>
        <w:tabs>
          <w:tab w:val="left" w:pos="720"/>
        </w:tabs>
        <w:rPr>
          <w:rFonts w:cs="Arial"/>
          <w:noProof w:val="0"/>
          <w:color w:val="000000"/>
          <w:sz w:val="22"/>
          <w:szCs w:val="22"/>
          <w:lang w:val="es-MX"/>
        </w:rPr>
      </w:pPr>
      <w:r w:rsidRPr="00271761">
        <w:rPr>
          <w:rFonts w:cs="Arial"/>
          <w:noProof w:val="0"/>
          <w:color w:val="000000"/>
          <w:sz w:val="22"/>
          <w:szCs w:val="22"/>
          <w:lang w:val="es-MX"/>
        </w:rPr>
        <w:t xml:space="preserve">La </w:t>
      </w:r>
      <w:r w:rsidRPr="00271761">
        <w:rPr>
          <w:rFonts w:cs="Arial"/>
          <w:noProof w:val="0"/>
          <w:color w:val="000000"/>
          <w:sz w:val="22"/>
          <w:szCs w:val="22"/>
          <w:lang w:val="es-MX"/>
        </w:rPr>
        <w:fldChar w:fldCharType="begin"/>
      </w:r>
      <w:r w:rsidRPr="00271761">
        <w:rPr>
          <w:rFonts w:cs="Arial"/>
          <w:noProof w:val="0"/>
          <w:color w:val="000000"/>
          <w:sz w:val="22"/>
          <w:szCs w:val="22"/>
          <w:lang w:val="es-MX"/>
        </w:rPr>
        <w:instrText xml:space="preserve"> REF _Ref296239657 \h  \* MERGEFORMAT </w:instrText>
      </w:r>
      <w:r w:rsidRPr="00271761">
        <w:rPr>
          <w:rFonts w:cs="Arial"/>
          <w:noProof w:val="0"/>
          <w:color w:val="000000"/>
          <w:sz w:val="22"/>
          <w:szCs w:val="22"/>
          <w:lang w:val="es-MX"/>
        </w:rPr>
      </w:r>
      <w:r w:rsidRPr="00271761">
        <w:rPr>
          <w:rFonts w:cs="Arial"/>
          <w:noProof w:val="0"/>
          <w:color w:val="000000"/>
          <w:sz w:val="22"/>
          <w:szCs w:val="22"/>
          <w:lang w:val="es-MX"/>
        </w:rPr>
        <w:fldChar w:fldCharType="separate"/>
      </w:r>
      <w:r w:rsidRPr="00271761">
        <w:rPr>
          <w:rFonts w:cs="Arial"/>
          <w:noProof w:val="0"/>
          <w:sz w:val="22"/>
          <w:szCs w:val="22"/>
          <w:lang w:val="es-MX"/>
        </w:rPr>
        <w:t>Figura 1</w:t>
      </w:r>
      <w:r w:rsidRPr="00271761">
        <w:rPr>
          <w:rFonts w:cs="Arial"/>
          <w:noProof w:val="0"/>
          <w:color w:val="000000"/>
          <w:sz w:val="22"/>
          <w:szCs w:val="22"/>
          <w:lang w:val="es-MX"/>
        </w:rPr>
        <w:fldChar w:fldCharType="end"/>
      </w:r>
      <w:r w:rsidRPr="00271761">
        <w:rPr>
          <w:rFonts w:cs="Arial"/>
          <w:noProof w:val="0"/>
          <w:color w:val="000000"/>
          <w:sz w:val="22"/>
          <w:szCs w:val="22"/>
          <w:lang w:val="es-MX"/>
        </w:rPr>
        <w:t xml:space="preserve"> compara la evolución entre 2008 y 201</w:t>
      </w:r>
      <w:r w:rsidR="0012397B" w:rsidRPr="00271761">
        <w:rPr>
          <w:rFonts w:cs="Arial"/>
          <w:noProof w:val="0"/>
          <w:color w:val="000000"/>
          <w:sz w:val="22"/>
          <w:szCs w:val="22"/>
          <w:lang w:val="es-MX"/>
        </w:rPr>
        <w:t>5</w:t>
      </w:r>
      <w:r w:rsidRPr="00271761">
        <w:rPr>
          <w:rFonts w:cs="Arial"/>
          <w:noProof w:val="0"/>
          <w:color w:val="000000"/>
          <w:sz w:val="22"/>
          <w:szCs w:val="22"/>
          <w:lang w:val="es-MX"/>
        </w:rPr>
        <w:t xml:space="preserve"> de la tasa de las hospitalizaciones prevenibles entre el total de hospitalizaciones (por cada 10.000 habitantes) para la población entre 30-59 años. Se puede observar que de manera natural no hay un estado que pueda ser utilizado como control. Una vez construido un estado metropolitano sintético los cambios que se registren a partir de que se implemente la intervención podrán ser atribuidos a la intervención. </w:t>
      </w:r>
    </w:p>
    <w:p w14:paraId="6742E14A" w14:textId="77777777" w:rsidR="00A1159F" w:rsidRPr="00271761" w:rsidRDefault="00A1159F" w:rsidP="00A1159F">
      <w:pPr>
        <w:rPr>
          <w:rFonts w:cs="Arial"/>
          <w:sz w:val="22"/>
          <w:szCs w:val="22"/>
          <w:lang w:val="es-MX"/>
        </w:rPr>
      </w:pPr>
    </w:p>
    <w:p w14:paraId="0BC9D49D" w14:textId="77777777" w:rsidR="00A1159F" w:rsidRPr="00271761" w:rsidRDefault="00A1159F" w:rsidP="00D878B4">
      <w:pPr>
        <w:pStyle w:val="Caption"/>
      </w:pPr>
      <w:r w:rsidRPr="00271761">
        <w:t xml:space="preserve">Figura </w:t>
      </w:r>
      <w:r w:rsidRPr="00271761">
        <w:fldChar w:fldCharType="begin"/>
      </w:r>
      <w:r w:rsidRPr="00271761">
        <w:instrText xml:space="preserve"> SEQ Figure \* ARABIC </w:instrText>
      </w:r>
      <w:r w:rsidRPr="00271761">
        <w:fldChar w:fldCharType="separate"/>
      </w:r>
      <w:r w:rsidRPr="00271761">
        <w:t>1</w:t>
      </w:r>
      <w:r w:rsidRPr="00271761">
        <w:fldChar w:fldCharType="end"/>
      </w:r>
      <w:r w:rsidRPr="00271761">
        <w:t>. Evolución de la tasa de hospitalizaciones prevenibles, población 30-59 años</w:t>
      </w:r>
    </w:p>
    <w:p w14:paraId="58EE40C2" w14:textId="2CE5E6A8" w:rsidR="00A1159F" w:rsidRPr="00271761" w:rsidRDefault="00271761" w:rsidP="00A1159F">
      <w:pPr>
        <w:keepNext/>
        <w:jc w:val="center"/>
        <w:rPr>
          <w:lang w:val="es-MX"/>
        </w:rPr>
      </w:pPr>
      <w:r w:rsidRPr="00271761">
        <w:rPr>
          <w:sz w:val="18"/>
          <w:lang w:val="es-MX"/>
        </w:rPr>
        <w:t>Belo Horizonte</w:t>
      </w:r>
      <w:r w:rsidR="00A1159F" w:rsidRPr="00271761">
        <w:rPr>
          <w:rFonts w:cs="Arial"/>
          <w:sz w:val="18"/>
          <w:lang w:val="es-MX"/>
        </w:rPr>
        <w:t xml:space="preserve"> y municipios de más de 500.000 habitantes, periodo 2008-201</w:t>
      </w:r>
      <w:r w:rsidRPr="00271761">
        <w:rPr>
          <w:rFonts w:cs="Arial"/>
          <w:sz w:val="18"/>
          <w:lang w:val="es-MX"/>
        </w:rPr>
        <w:t>5</w:t>
      </w:r>
    </w:p>
    <w:p w14:paraId="47373562" w14:textId="1D8A86FA" w:rsidR="00A1159F" w:rsidRPr="00271761" w:rsidRDefault="00271761" w:rsidP="00D878B4">
      <w:pPr>
        <w:pStyle w:val="Caption"/>
      </w:pPr>
      <w:r w:rsidRPr="00271761">
        <w:t xml:space="preserve">  </w:t>
      </w:r>
      <w:r w:rsidRPr="00271761">
        <w:rPr>
          <w:noProof/>
        </w:rPr>
        <w:drawing>
          <wp:inline distT="0" distB="0" distL="0" distR="0" wp14:anchorId="4AAF9F46" wp14:editId="7D8CCC67">
            <wp:extent cx="3578087" cy="2388831"/>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586122" cy="2394195"/>
                    </a:xfrm>
                    <a:prstGeom prst="rect">
                      <a:avLst/>
                    </a:prstGeom>
                  </pic:spPr>
                </pic:pic>
              </a:graphicData>
            </a:graphic>
          </wp:inline>
        </w:drawing>
      </w:r>
    </w:p>
    <w:p w14:paraId="2C07C173" w14:textId="1D9D62AF" w:rsidR="00A1159F" w:rsidRPr="00271761" w:rsidRDefault="00A1159F" w:rsidP="00A92CE7">
      <w:pPr>
        <w:pStyle w:val="AutoNumpara"/>
        <w:keepNext/>
        <w:numPr>
          <w:ilvl w:val="0"/>
          <w:numId w:val="0"/>
        </w:numPr>
        <w:tabs>
          <w:tab w:val="left" w:pos="720"/>
        </w:tabs>
        <w:spacing w:after="0"/>
        <w:ind w:left="1890"/>
        <w:rPr>
          <w:rFonts w:cs="Arial"/>
          <w:noProof w:val="0"/>
          <w:color w:val="000000"/>
          <w:sz w:val="22"/>
          <w:szCs w:val="22"/>
          <w:lang w:val="es-MX"/>
        </w:rPr>
      </w:pPr>
      <w:r w:rsidRPr="00271761">
        <w:rPr>
          <w:rFonts w:cs="Arial"/>
          <w:noProof w:val="0"/>
          <w:color w:val="000000"/>
          <w:sz w:val="18"/>
          <w:szCs w:val="18"/>
          <w:lang w:val="es-MX"/>
        </w:rPr>
        <w:t>Fuente: Elaboración de los autores</w:t>
      </w:r>
      <w:r w:rsidRPr="00271761">
        <w:rPr>
          <w:rFonts w:cs="Arial"/>
          <w:noProof w:val="0"/>
          <w:color w:val="000000"/>
          <w:sz w:val="22"/>
          <w:szCs w:val="22"/>
          <w:lang w:val="es-MX"/>
        </w:rPr>
        <w:t>.</w:t>
      </w:r>
    </w:p>
    <w:p w14:paraId="4095323E" w14:textId="4FF5831B" w:rsidR="00A1159F" w:rsidRPr="00D75FE1" w:rsidRDefault="00A1159F" w:rsidP="00A92CE7">
      <w:pPr>
        <w:keepNext/>
        <w:ind w:left="1710" w:firstLine="180"/>
        <w:rPr>
          <w:rFonts w:cs="Arial"/>
          <w:color w:val="000000"/>
          <w:spacing w:val="-2"/>
          <w:sz w:val="18"/>
          <w:szCs w:val="18"/>
          <w:lang w:val="es-MX" w:eastAsia="x-none"/>
        </w:rPr>
      </w:pPr>
      <w:r w:rsidRPr="00271761">
        <w:rPr>
          <w:rFonts w:cs="Arial"/>
          <w:color w:val="000000"/>
          <w:spacing w:val="-2"/>
          <w:sz w:val="18"/>
          <w:szCs w:val="18"/>
          <w:lang w:val="es-MX" w:eastAsia="x-none"/>
        </w:rPr>
        <w:t xml:space="preserve">Nota: la línea punteada indica el valor de la tasa para el municipio de </w:t>
      </w:r>
      <w:r w:rsidR="00271761" w:rsidRPr="00271761">
        <w:rPr>
          <w:rFonts w:cs="Arial"/>
          <w:color w:val="000000"/>
          <w:spacing w:val="-2"/>
          <w:sz w:val="18"/>
          <w:szCs w:val="18"/>
          <w:lang w:val="es-MX" w:eastAsia="x-none"/>
        </w:rPr>
        <w:t>Belo Horizonte</w:t>
      </w:r>
      <w:r w:rsidRPr="00271761">
        <w:rPr>
          <w:rFonts w:cs="Arial"/>
          <w:color w:val="000000"/>
          <w:spacing w:val="-2"/>
          <w:sz w:val="18"/>
          <w:szCs w:val="18"/>
          <w:lang w:val="es-MX" w:eastAsia="x-none"/>
        </w:rPr>
        <w:t>.</w:t>
      </w:r>
    </w:p>
    <w:p w14:paraId="63D9DF79" w14:textId="17AEFF35" w:rsidR="00A1159F" w:rsidRPr="00D75FE1" w:rsidRDefault="00A1159F" w:rsidP="00406E1C">
      <w:pPr>
        <w:pStyle w:val="AutoNumpara"/>
        <w:numPr>
          <w:ilvl w:val="0"/>
          <w:numId w:val="0"/>
        </w:numPr>
        <w:tabs>
          <w:tab w:val="left" w:pos="720"/>
        </w:tabs>
        <w:spacing w:before="240"/>
        <w:rPr>
          <w:rFonts w:cs="Arial"/>
          <w:noProof w:val="0"/>
          <w:sz w:val="22"/>
          <w:szCs w:val="22"/>
          <w:lang w:val="es-MX"/>
        </w:rPr>
      </w:pPr>
      <w:r w:rsidRPr="00D75FE1">
        <w:rPr>
          <w:rFonts w:cs="Arial"/>
          <w:noProof w:val="0"/>
          <w:sz w:val="22"/>
          <w:szCs w:val="22"/>
          <w:lang w:val="es-MX"/>
        </w:rPr>
        <w:t xml:space="preserve">Se proponen </w:t>
      </w:r>
      <w:r w:rsidR="00225727" w:rsidRPr="00D75FE1">
        <w:rPr>
          <w:rFonts w:cs="Arial"/>
          <w:noProof w:val="0"/>
          <w:sz w:val="22"/>
          <w:szCs w:val="22"/>
          <w:lang w:val="es-MX"/>
        </w:rPr>
        <w:t>dos</w:t>
      </w:r>
      <w:r w:rsidRPr="00D75FE1">
        <w:rPr>
          <w:rFonts w:cs="Arial"/>
          <w:noProof w:val="0"/>
          <w:sz w:val="22"/>
          <w:szCs w:val="22"/>
          <w:lang w:val="es-MX"/>
        </w:rPr>
        <w:t xml:space="preserve"> modelos diferentes para construir el control sintético. El modelo 1 y el modelo 2 utilizan como variables para identificar el control sintético </w:t>
      </w:r>
      <w:r w:rsidR="00A30FFC" w:rsidRPr="00D75FE1">
        <w:rPr>
          <w:rFonts w:cs="Arial"/>
          <w:noProof w:val="0"/>
          <w:sz w:val="22"/>
          <w:szCs w:val="22"/>
          <w:lang w:val="es-MX"/>
        </w:rPr>
        <w:t>de Belo Horizonte a</w:t>
      </w:r>
      <w:r w:rsidRPr="00D75FE1">
        <w:rPr>
          <w:rFonts w:cs="Arial"/>
          <w:noProof w:val="0"/>
          <w:sz w:val="22"/>
          <w:szCs w:val="22"/>
          <w:lang w:val="es-MX"/>
        </w:rPr>
        <w:t xml:space="preserve"> la población de 201</w:t>
      </w:r>
      <w:r w:rsidR="00A72AC8">
        <w:rPr>
          <w:rFonts w:cs="Arial"/>
          <w:noProof w:val="0"/>
          <w:sz w:val="22"/>
          <w:szCs w:val="22"/>
          <w:lang w:val="es-MX"/>
        </w:rPr>
        <w:t>5</w:t>
      </w:r>
      <w:r w:rsidR="00A30FFC" w:rsidRPr="00D75FE1">
        <w:rPr>
          <w:rFonts w:cs="Arial"/>
          <w:noProof w:val="0"/>
          <w:sz w:val="22"/>
          <w:szCs w:val="22"/>
          <w:lang w:val="es-MX"/>
        </w:rPr>
        <w:t>,</w:t>
      </w:r>
      <w:r w:rsidRPr="00D75FE1">
        <w:rPr>
          <w:rFonts w:cs="Arial"/>
          <w:noProof w:val="0"/>
          <w:sz w:val="22"/>
          <w:szCs w:val="22"/>
          <w:lang w:val="es-MX"/>
        </w:rPr>
        <w:t xml:space="preserve"> el promedio del PIB per cápita de 2009-201</w:t>
      </w:r>
      <w:r w:rsidR="00A72AC8">
        <w:rPr>
          <w:rFonts w:cs="Arial"/>
          <w:noProof w:val="0"/>
          <w:sz w:val="22"/>
          <w:szCs w:val="22"/>
          <w:lang w:val="es-MX"/>
        </w:rPr>
        <w:t>5</w:t>
      </w:r>
      <w:r w:rsidRPr="00D75FE1">
        <w:rPr>
          <w:rFonts w:cs="Arial"/>
          <w:noProof w:val="0"/>
          <w:sz w:val="22"/>
          <w:szCs w:val="22"/>
          <w:lang w:val="es-MX"/>
        </w:rPr>
        <w:t xml:space="preserve"> y el porcentaje de hospitalizaciones por causas prevenibles de la población entre 30 y 59 años de 2008 y de 201</w:t>
      </w:r>
      <w:r w:rsidR="00A72AC8">
        <w:rPr>
          <w:rFonts w:cs="Arial"/>
          <w:noProof w:val="0"/>
          <w:sz w:val="22"/>
          <w:szCs w:val="22"/>
          <w:lang w:val="es-MX"/>
        </w:rPr>
        <w:t>5</w:t>
      </w:r>
      <w:r w:rsidRPr="00D75FE1">
        <w:rPr>
          <w:rFonts w:cs="Arial"/>
          <w:noProof w:val="0"/>
          <w:sz w:val="22"/>
          <w:szCs w:val="22"/>
          <w:lang w:val="es-MX"/>
        </w:rPr>
        <w:t>. A diferencia del modelo 1, que utiliza los 38 municipios de al menos 500.000 habitantes, el modelo 2 limita los municipios de comparación a aquellos con al menos 750.000 habitantes. En ambos modelos se excluyeron del análisis los municipios de</w:t>
      </w:r>
      <w:r w:rsidR="00225727" w:rsidRPr="00D75FE1">
        <w:rPr>
          <w:rFonts w:cs="Arial"/>
          <w:noProof w:val="0"/>
          <w:sz w:val="22"/>
          <w:szCs w:val="22"/>
          <w:lang w:val="es-MX"/>
        </w:rPr>
        <w:t xml:space="preserve"> São Paulo (São Paulo), </w:t>
      </w:r>
      <w:r w:rsidRPr="00D75FE1">
        <w:rPr>
          <w:rFonts w:cs="Arial"/>
          <w:noProof w:val="0"/>
          <w:sz w:val="22"/>
          <w:szCs w:val="22"/>
          <w:lang w:val="es-MX"/>
        </w:rPr>
        <w:t xml:space="preserve">Campiñas (São Paulo), Fortaleza (Ceará) y San Bernardo (São Paulo) por participar en otras intervenciones financiadas por el Banco. </w:t>
      </w:r>
    </w:p>
    <w:p w14:paraId="385F17AC" w14:textId="77777777" w:rsidR="00A1159F" w:rsidRPr="00847A84" w:rsidRDefault="00A1159F" w:rsidP="00847A84">
      <w:pPr>
        <w:pStyle w:val="AutoNumpara"/>
        <w:numPr>
          <w:ilvl w:val="0"/>
          <w:numId w:val="0"/>
        </w:numPr>
        <w:tabs>
          <w:tab w:val="left" w:pos="720"/>
        </w:tabs>
        <w:spacing w:before="240"/>
        <w:jc w:val="center"/>
        <w:rPr>
          <w:rFonts w:cs="Arial"/>
          <w:b/>
          <w:sz w:val="18"/>
          <w:szCs w:val="18"/>
          <w:lang w:val="es-MX"/>
        </w:rPr>
      </w:pPr>
      <w:r w:rsidRPr="00847A84">
        <w:rPr>
          <w:rFonts w:cs="Arial"/>
          <w:b/>
          <w:sz w:val="18"/>
          <w:szCs w:val="18"/>
          <w:lang w:val="es-MX"/>
        </w:rPr>
        <w:t xml:space="preserve">Tabla </w:t>
      </w:r>
      <w:r w:rsidRPr="00847A84">
        <w:rPr>
          <w:rFonts w:cs="Arial"/>
          <w:b/>
          <w:sz w:val="18"/>
          <w:szCs w:val="18"/>
          <w:lang w:val="es-MX"/>
        </w:rPr>
        <w:fldChar w:fldCharType="begin"/>
      </w:r>
      <w:r w:rsidRPr="00847A84">
        <w:rPr>
          <w:rFonts w:cs="Arial"/>
          <w:b/>
          <w:sz w:val="18"/>
          <w:szCs w:val="18"/>
          <w:lang w:val="es-MX"/>
        </w:rPr>
        <w:instrText xml:space="preserve"> SEQ Tabla \* ARABIC </w:instrText>
      </w:r>
      <w:r w:rsidRPr="00847A84">
        <w:rPr>
          <w:rFonts w:cs="Arial"/>
          <w:b/>
          <w:sz w:val="18"/>
          <w:szCs w:val="18"/>
          <w:lang w:val="es-MX"/>
        </w:rPr>
        <w:fldChar w:fldCharType="separate"/>
      </w:r>
      <w:r w:rsidRPr="00847A84">
        <w:rPr>
          <w:rFonts w:cs="Arial"/>
          <w:b/>
          <w:sz w:val="18"/>
          <w:szCs w:val="18"/>
          <w:lang w:val="es-MX"/>
        </w:rPr>
        <w:t>1</w:t>
      </w:r>
      <w:r w:rsidRPr="00847A84">
        <w:rPr>
          <w:rFonts w:cs="Arial"/>
          <w:b/>
          <w:sz w:val="18"/>
          <w:szCs w:val="18"/>
          <w:lang w:val="es-MX"/>
        </w:rPr>
        <w:fldChar w:fldCharType="end"/>
      </w:r>
      <w:r w:rsidRPr="00847A84">
        <w:rPr>
          <w:rFonts w:cs="Arial"/>
          <w:b/>
          <w:sz w:val="18"/>
          <w:szCs w:val="18"/>
          <w:lang w:val="es-MX"/>
        </w:rPr>
        <w:t>. Comparación de las ponderaciones para cada municipio en los modelos sintéticos.</w:t>
      </w:r>
    </w:p>
    <w:tbl>
      <w:tblPr>
        <w:tblW w:w="7375" w:type="dxa"/>
        <w:jc w:val="center"/>
        <w:tblLook w:val="04A0" w:firstRow="1" w:lastRow="0" w:firstColumn="1" w:lastColumn="0" w:noHBand="0" w:noVBand="1"/>
      </w:tblPr>
      <w:tblGrid>
        <w:gridCol w:w="1200"/>
        <w:gridCol w:w="1927"/>
        <w:gridCol w:w="1544"/>
        <w:gridCol w:w="1354"/>
        <w:gridCol w:w="1350"/>
      </w:tblGrid>
      <w:tr w:rsidR="00225727" w:rsidRPr="00847A84" w14:paraId="6B04EBD5" w14:textId="77777777" w:rsidTr="00F7186A">
        <w:trPr>
          <w:trHeight w:val="258"/>
          <w:jc w:val="center"/>
        </w:trPr>
        <w:tc>
          <w:tcPr>
            <w:tcW w:w="120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31BFED9" w14:textId="77777777" w:rsidR="00225727" w:rsidRPr="00847A84" w:rsidRDefault="00225727" w:rsidP="00847A84">
            <w:pPr>
              <w:jc w:val="center"/>
              <w:rPr>
                <w:rFonts w:cs="Arial"/>
                <w:b/>
                <w:color w:val="000000"/>
                <w:spacing w:val="0"/>
                <w:sz w:val="18"/>
                <w:szCs w:val="18"/>
                <w:lang w:val="es-MX"/>
              </w:rPr>
            </w:pPr>
            <w:r w:rsidRPr="00847A84">
              <w:rPr>
                <w:rFonts w:cs="Arial"/>
                <w:b/>
                <w:color w:val="000000"/>
                <w:spacing w:val="0"/>
                <w:sz w:val="18"/>
                <w:szCs w:val="18"/>
                <w:lang w:val="es-MX"/>
              </w:rPr>
              <w:t>Cod. Municipio</w:t>
            </w:r>
          </w:p>
        </w:tc>
        <w:tc>
          <w:tcPr>
            <w:tcW w:w="1927" w:type="dxa"/>
            <w:tcBorders>
              <w:top w:val="single" w:sz="4" w:space="0" w:color="auto"/>
              <w:left w:val="nil"/>
              <w:bottom w:val="single" w:sz="4" w:space="0" w:color="auto"/>
              <w:right w:val="single" w:sz="4" w:space="0" w:color="auto"/>
            </w:tcBorders>
            <w:shd w:val="clear" w:color="000000" w:fill="B4C6E7"/>
            <w:noWrap/>
            <w:vAlign w:val="center"/>
            <w:hideMark/>
          </w:tcPr>
          <w:p w14:paraId="540C8ABF" w14:textId="77777777" w:rsidR="00225727" w:rsidRPr="00847A84" w:rsidRDefault="00225727" w:rsidP="00847A84">
            <w:pPr>
              <w:jc w:val="center"/>
              <w:rPr>
                <w:rFonts w:cs="Arial"/>
                <w:b/>
                <w:color w:val="000000"/>
                <w:spacing w:val="0"/>
                <w:sz w:val="18"/>
                <w:szCs w:val="18"/>
                <w:lang w:val="es-MX"/>
              </w:rPr>
            </w:pPr>
            <w:r w:rsidRPr="00847A84">
              <w:rPr>
                <w:rFonts w:cs="Arial"/>
                <w:b/>
                <w:color w:val="000000"/>
                <w:spacing w:val="0"/>
                <w:sz w:val="18"/>
                <w:szCs w:val="18"/>
                <w:lang w:val="es-MX"/>
              </w:rPr>
              <w:t>Municipio</w:t>
            </w:r>
          </w:p>
        </w:tc>
        <w:tc>
          <w:tcPr>
            <w:tcW w:w="1544" w:type="dxa"/>
            <w:tcBorders>
              <w:top w:val="single" w:sz="4" w:space="0" w:color="auto"/>
              <w:left w:val="nil"/>
              <w:bottom w:val="single" w:sz="4" w:space="0" w:color="auto"/>
              <w:right w:val="single" w:sz="4" w:space="0" w:color="auto"/>
            </w:tcBorders>
            <w:shd w:val="clear" w:color="000000" w:fill="B4C6E7"/>
            <w:noWrap/>
            <w:vAlign w:val="center"/>
            <w:hideMark/>
          </w:tcPr>
          <w:p w14:paraId="003398E8" w14:textId="77777777" w:rsidR="00225727" w:rsidRPr="00847A84" w:rsidRDefault="00225727" w:rsidP="00847A84">
            <w:pPr>
              <w:jc w:val="center"/>
              <w:rPr>
                <w:rFonts w:cs="Arial"/>
                <w:b/>
                <w:color w:val="000000"/>
                <w:spacing w:val="0"/>
                <w:sz w:val="18"/>
                <w:szCs w:val="18"/>
                <w:lang w:val="es-MX"/>
              </w:rPr>
            </w:pPr>
            <w:r w:rsidRPr="00847A84">
              <w:rPr>
                <w:rFonts w:cs="Arial"/>
                <w:b/>
                <w:color w:val="000000"/>
                <w:spacing w:val="0"/>
                <w:sz w:val="18"/>
                <w:szCs w:val="18"/>
                <w:lang w:val="es-MX"/>
              </w:rPr>
              <w:t>Estado</w:t>
            </w:r>
          </w:p>
        </w:tc>
        <w:tc>
          <w:tcPr>
            <w:tcW w:w="1354" w:type="dxa"/>
            <w:tcBorders>
              <w:top w:val="single" w:sz="4" w:space="0" w:color="auto"/>
              <w:left w:val="nil"/>
              <w:bottom w:val="single" w:sz="4" w:space="0" w:color="auto"/>
              <w:right w:val="single" w:sz="4" w:space="0" w:color="auto"/>
            </w:tcBorders>
            <w:shd w:val="clear" w:color="000000" w:fill="B4C6E7"/>
            <w:noWrap/>
            <w:vAlign w:val="center"/>
            <w:hideMark/>
          </w:tcPr>
          <w:p w14:paraId="567DB5C0" w14:textId="77777777" w:rsidR="00225727" w:rsidRPr="00847A84" w:rsidRDefault="00225727" w:rsidP="00847A84">
            <w:pPr>
              <w:jc w:val="center"/>
              <w:rPr>
                <w:rFonts w:cs="Arial"/>
                <w:b/>
                <w:color w:val="000000"/>
                <w:spacing w:val="0"/>
                <w:sz w:val="18"/>
                <w:szCs w:val="18"/>
                <w:lang w:val="es-MX"/>
              </w:rPr>
            </w:pPr>
            <w:r w:rsidRPr="00847A84">
              <w:rPr>
                <w:rFonts w:cs="Arial"/>
                <w:b/>
                <w:color w:val="000000"/>
                <w:spacing w:val="0"/>
                <w:sz w:val="18"/>
                <w:szCs w:val="18"/>
                <w:lang w:val="es-MX"/>
              </w:rPr>
              <w:t>Modelo 1</w:t>
            </w:r>
          </w:p>
        </w:tc>
        <w:tc>
          <w:tcPr>
            <w:tcW w:w="1350" w:type="dxa"/>
            <w:tcBorders>
              <w:top w:val="single" w:sz="4" w:space="0" w:color="auto"/>
              <w:left w:val="nil"/>
              <w:bottom w:val="single" w:sz="4" w:space="0" w:color="auto"/>
              <w:right w:val="single" w:sz="4" w:space="0" w:color="auto"/>
            </w:tcBorders>
            <w:shd w:val="clear" w:color="000000" w:fill="B4C6E7"/>
            <w:noWrap/>
            <w:vAlign w:val="center"/>
            <w:hideMark/>
          </w:tcPr>
          <w:p w14:paraId="2FB26CCE" w14:textId="77777777" w:rsidR="00225727" w:rsidRPr="00847A84" w:rsidRDefault="00225727" w:rsidP="00847A84">
            <w:pPr>
              <w:jc w:val="center"/>
              <w:rPr>
                <w:rFonts w:cs="Arial"/>
                <w:b/>
                <w:color w:val="000000"/>
                <w:spacing w:val="0"/>
                <w:sz w:val="18"/>
                <w:szCs w:val="18"/>
                <w:lang w:val="es-MX"/>
              </w:rPr>
            </w:pPr>
            <w:r w:rsidRPr="00847A84">
              <w:rPr>
                <w:rFonts w:cs="Arial"/>
                <w:b/>
                <w:color w:val="000000"/>
                <w:spacing w:val="0"/>
                <w:sz w:val="18"/>
                <w:szCs w:val="18"/>
                <w:lang w:val="es-MX"/>
              </w:rPr>
              <w:t>Modelo 2</w:t>
            </w:r>
          </w:p>
        </w:tc>
      </w:tr>
      <w:tr w:rsidR="00225727" w:rsidRPr="00D75FE1" w14:paraId="646BEAEA"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6D831C8"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110020</w:t>
            </w:r>
          </w:p>
        </w:tc>
        <w:tc>
          <w:tcPr>
            <w:tcW w:w="1927" w:type="dxa"/>
            <w:tcBorders>
              <w:top w:val="nil"/>
              <w:left w:val="nil"/>
              <w:bottom w:val="single" w:sz="4" w:space="0" w:color="auto"/>
              <w:right w:val="single" w:sz="4" w:space="0" w:color="auto"/>
            </w:tcBorders>
            <w:shd w:val="clear" w:color="auto" w:fill="auto"/>
            <w:noWrap/>
            <w:vAlign w:val="bottom"/>
            <w:hideMark/>
          </w:tcPr>
          <w:p w14:paraId="1EFA929C"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xml:space="preserve">Porto </w:t>
            </w:r>
            <w:proofErr w:type="spellStart"/>
            <w:r w:rsidRPr="00847A84">
              <w:rPr>
                <w:rFonts w:cs="Arial"/>
                <w:color w:val="000000"/>
                <w:spacing w:val="0"/>
                <w:sz w:val="18"/>
                <w:szCs w:val="18"/>
                <w:lang w:val="es-MX"/>
              </w:rPr>
              <w:t>Velho</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0DD7330E"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Rondônia</w:t>
            </w:r>
          </w:p>
        </w:tc>
        <w:tc>
          <w:tcPr>
            <w:tcW w:w="1354" w:type="dxa"/>
            <w:tcBorders>
              <w:top w:val="nil"/>
              <w:left w:val="nil"/>
              <w:bottom w:val="single" w:sz="4" w:space="0" w:color="auto"/>
              <w:right w:val="single" w:sz="4" w:space="0" w:color="auto"/>
            </w:tcBorders>
            <w:shd w:val="clear" w:color="auto" w:fill="auto"/>
            <w:noWrap/>
            <w:vAlign w:val="bottom"/>
            <w:hideMark/>
          </w:tcPr>
          <w:p w14:paraId="13CE6566"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7014AE34"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6522B8C6"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B1FEDC0"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130260</w:t>
            </w:r>
          </w:p>
        </w:tc>
        <w:tc>
          <w:tcPr>
            <w:tcW w:w="1927" w:type="dxa"/>
            <w:tcBorders>
              <w:top w:val="nil"/>
              <w:left w:val="nil"/>
              <w:bottom w:val="single" w:sz="4" w:space="0" w:color="auto"/>
              <w:right w:val="single" w:sz="4" w:space="0" w:color="auto"/>
            </w:tcBorders>
            <w:shd w:val="clear" w:color="auto" w:fill="auto"/>
            <w:noWrap/>
            <w:vAlign w:val="bottom"/>
            <w:hideMark/>
          </w:tcPr>
          <w:p w14:paraId="32F090F4"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Manaus</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51F5AEF1"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Amazonas</w:t>
            </w:r>
          </w:p>
        </w:tc>
        <w:tc>
          <w:tcPr>
            <w:tcW w:w="1354" w:type="dxa"/>
            <w:tcBorders>
              <w:top w:val="nil"/>
              <w:left w:val="nil"/>
              <w:bottom w:val="single" w:sz="4" w:space="0" w:color="auto"/>
              <w:right w:val="single" w:sz="4" w:space="0" w:color="auto"/>
            </w:tcBorders>
            <w:shd w:val="clear" w:color="auto" w:fill="auto"/>
            <w:noWrap/>
            <w:vAlign w:val="bottom"/>
            <w:hideMark/>
          </w:tcPr>
          <w:p w14:paraId="59452645"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4CDA1349"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r>
      <w:tr w:rsidR="00225727" w:rsidRPr="00D75FE1" w14:paraId="3032B1A0"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0177B4B"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150080</w:t>
            </w:r>
          </w:p>
        </w:tc>
        <w:tc>
          <w:tcPr>
            <w:tcW w:w="1927" w:type="dxa"/>
            <w:tcBorders>
              <w:top w:val="nil"/>
              <w:left w:val="nil"/>
              <w:bottom w:val="single" w:sz="4" w:space="0" w:color="auto"/>
              <w:right w:val="single" w:sz="4" w:space="0" w:color="auto"/>
            </w:tcBorders>
            <w:shd w:val="clear" w:color="auto" w:fill="auto"/>
            <w:noWrap/>
            <w:vAlign w:val="bottom"/>
            <w:hideMark/>
          </w:tcPr>
          <w:p w14:paraId="1FE1AD49"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Ananindeua</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2FC19679"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Pará</w:t>
            </w:r>
          </w:p>
        </w:tc>
        <w:tc>
          <w:tcPr>
            <w:tcW w:w="1354" w:type="dxa"/>
            <w:tcBorders>
              <w:top w:val="nil"/>
              <w:left w:val="nil"/>
              <w:bottom w:val="single" w:sz="4" w:space="0" w:color="auto"/>
              <w:right w:val="single" w:sz="4" w:space="0" w:color="auto"/>
            </w:tcBorders>
            <w:shd w:val="clear" w:color="auto" w:fill="auto"/>
            <w:noWrap/>
            <w:vAlign w:val="bottom"/>
            <w:hideMark/>
          </w:tcPr>
          <w:p w14:paraId="30B675FA"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62D8BF60"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38FBB609"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3D5023F"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150140</w:t>
            </w:r>
          </w:p>
        </w:tc>
        <w:tc>
          <w:tcPr>
            <w:tcW w:w="1927" w:type="dxa"/>
            <w:tcBorders>
              <w:top w:val="nil"/>
              <w:left w:val="nil"/>
              <w:bottom w:val="single" w:sz="4" w:space="0" w:color="auto"/>
              <w:right w:val="single" w:sz="4" w:space="0" w:color="auto"/>
            </w:tcBorders>
            <w:shd w:val="clear" w:color="auto" w:fill="auto"/>
            <w:noWrap/>
            <w:vAlign w:val="bottom"/>
            <w:hideMark/>
          </w:tcPr>
          <w:p w14:paraId="3DC3EA6D"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Belém</w:t>
            </w:r>
          </w:p>
        </w:tc>
        <w:tc>
          <w:tcPr>
            <w:tcW w:w="1544" w:type="dxa"/>
            <w:tcBorders>
              <w:top w:val="nil"/>
              <w:left w:val="nil"/>
              <w:bottom w:val="single" w:sz="4" w:space="0" w:color="auto"/>
              <w:right w:val="single" w:sz="4" w:space="0" w:color="auto"/>
            </w:tcBorders>
            <w:shd w:val="clear" w:color="auto" w:fill="auto"/>
            <w:noWrap/>
            <w:vAlign w:val="bottom"/>
            <w:hideMark/>
          </w:tcPr>
          <w:p w14:paraId="200532A3"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Pará</w:t>
            </w:r>
          </w:p>
        </w:tc>
        <w:tc>
          <w:tcPr>
            <w:tcW w:w="1354" w:type="dxa"/>
            <w:tcBorders>
              <w:top w:val="nil"/>
              <w:left w:val="nil"/>
              <w:bottom w:val="single" w:sz="4" w:space="0" w:color="auto"/>
              <w:right w:val="single" w:sz="4" w:space="0" w:color="auto"/>
            </w:tcBorders>
            <w:shd w:val="clear" w:color="auto" w:fill="auto"/>
            <w:noWrap/>
            <w:vAlign w:val="bottom"/>
            <w:hideMark/>
          </w:tcPr>
          <w:p w14:paraId="0274654B"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21%</w:t>
            </w:r>
          </w:p>
        </w:tc>
        <w:tc>
          <w:tcPr>
            <w:tcW w:w="1350" w:type="dxa"/>
            <w:tcBorders>
              <w:top w:val="nil"/>
              <w:left w:val="nil"/>
              <w:bottom w:val="single" w:sz="4" w:space="0" w:color="auto"/>
              <w:right w:val="single" w:sz="4" w:space="0" w:color="auto"/>
            </w:tcBorders>
            <w:shd w:val="clear" w:color="auto" w:fill="auto"/>
            <w:noWrap/>
            <w:vAlign w:val="bottom"/>
            <w:hideMark/>
          </w:tcPr>
          <w:p w14:paraId="465EAC10"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19%</w:t>
            </w:r>
          </w:p>
        </w:tc>
      </w:tr>
      <w:tr w:rsidR="00225727" w:rsidRPr="00D75FE1" w14:paraId="1A30FC40"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B83480B"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211130</w:t>
            </w:r>
          </w:p>
        </w:tc>
        <w:tc>
          <w:tcPr>
            <w:tcW w:w="1927" w:type="dxa"/>
            <w:tcBorders>
              <w:top w:val="nil"/>
              <w:left w:val="nil"/>
              <w:bottom w:val="single" w:sz="4" w:space="0" w:color="auto"/>
              <w:right w:val="single" w:sz="4" w:space="0" w:color="auto"/>
            </w:tcBorders>
            <w:shd w:val="clear" w:color="auto" w:fill="auto"/>
            <w:noWrap/>
            <w:vAlign w:val="bottom"/>
            <w:hideMark/>
          </w:tcPr>
          <w:p w14:paraId="666FA07D"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Luís</w:t>
            </w:r>
          </w:p>
        </w:tc>
        <w:tc>
          <w:tcPr>
            <w:tcW w:w="1544" w:type="dxa"/>
            <w:tcBorders>
              <w:top w:val="nil"/>
              <w:left w:val="nil"/>
              <w:bottom w:val="single" w:sz="4" w:space="0" w:color="auto"/>
              <w:right w:val="single" w:sz="4" w:space="0" w:color="auto"/>
            </w:tcBorders>
            <w:shd w:val="clear" w:color="auto" w:fill="auto"/>
            <w:noWrap/>
            <w:vAlign w:val="bottom"/>
            <w:hideMark/>
          </w:tcPr>
          <w:p w14:paraId="636CDB16"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Maranhão</w:t>
            </w:r>
          </w:p>
        </w:tc>
        <w:tc>
          <w:tcPr>
            <w:tcW w:w="1354" w:type="dxa"/>
            <w:tcBorders>
              <w:top w:val="nil"/>
              <w:left w:val="nil"/>
              <w:bottom w:val="single" w:sz="4" w:space="0" w:color="auto"/>
              <w:right w:val="single" w:sz="4" w:space="0" w:color="auto"/>
            </w:tcBorders>
            <w:shd w:val="clear" w:color="auto" w:fill="auto"/>
            <w:noWrap/>
            <w:vAlign w:val="bottom"/>
            <w:hideMark/>
          </w:tcPr>
          <w:p w14:paraId="621DC89C"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2BA5FEE9"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3%</w:t>
            </w:r>
          </w:p>
        </w:tc>
      </w:tr>
      <w:tr w:rsidR="00225727" w:rsidRPr="00D75FE1" w14:paraId="7DE06D31"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449E14A"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221100</w:t>
            </w:r>
          </w:p>
        </w:tc>
        <w:tc>
          <w:tcPr>
            <w:tcW w:w="1927" w:type="dxa"/>
            <w:tcBorders>
              <w:top w:val="nil"/>
              <w:left w:val="nil"/>
              <w:bottom w:val="single" w:sz="4" w:space="0" w:color="auto"/>
              <w:right w:val="single" w:sz="4" w:space="0" w:color="auto"/>
            </w:tcBorders>
            <w:shd w:val="clear" w:color="auto" w:fill="auto"/>
            <w:noWrap/>
            <w:vAlign w:val="bottom"/>
            <w:hideMark/>
          </w:tcPr>
          <w:p w14:paraId="0154BD03"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Teresina</w:t>
            </w:r>
          </w:p>
        </w:tc>
        <w:tc>
          <w:tcPr>
            <w:tcW w:w="1544" w:type="dxa"/>
            <w:tcBorders>
              <w:top w:val="nil"/>
              <w:left w:val="nil"/>
              <w:bottom w:val="single" w:sz="4" w:space="0" w:color="auto"/>
              <w:right w:val="single" w:sz="4" w:space="0" w:color="auto"/>
            </w:tcBorders>
            <w:shd w:val="clear" w:color="auto" w:fill="auto"/>
            <w:noWrap/>
            <w:vAlign w:val="bottom"/>
            <w:hideMark/>
          </w:tcPr>
          <w:p w14:paraId="2AE3C97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Piauí</w:t>
            </w:r>
          </w:p>
        </w:tc>
        <w:tc>
          <w:tcPr>
            <w:tcW w:w="1354" w:type="dxa"/>
            <w:tcBorders>
              <w:top w:val="nil"/>
              <w:left w:val="nil"/>
              <w:bottom w:val="single" w:sz="4" w:space="0" w:color="auto"/>
              <w:right w:val="single" w:sz="4" w:space="0" w:color="auto"/>
            </w:tcBorders>
            <w:shd w:val="clear" w:color="auto" w:fill="auto"/>
            <w:noWrap/>
            <w:vAlign w:val="bottom"/>
            <w:hideMark/>
          </w:tcPr>
          <w:p w14:paraId="7FB5E9D2"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16%</w:t>
            </w:r>
          </w:p>
        </w:tc>
        <w:tc>
          <w:tcPr>
            <w:tcW w:w="1350" w:type="dxa"/>
            <w:tcBorders>
              <w:top w:val="nil"/>
              <w:left w:val="nil"/>
              <w:bottom w:val="single" w:sz="4" w:space="0" w:color="auto"/>
              <w:right w:val="single" w:sz="4" w:space="0" w:color="auto"/>
            </w:tcBorders>
            <w:shd w:val="clear" w:color="auto" w:fill="auto"/>
            <w:noWrap/>
            <w:vAlign w:val="bottom"/>
            <w:hideMark/>
          </w:tcPr>
          <w:p w14:paraId="00D81D15"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19%</w:t>
            </w:r>
          </w:p>
        </w:tc>
      </w:tr>
      <w:tr w:rsidR="00225727" w:rsidRPr="00D75FE1" w14:paraId="673A3291"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5C9E458"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240810</w:t>
            </w:r>
          </w:p>
        </w:tc>
        <w:tc>
          <w:tcPr>
            <w:tcW w:w="1927" w:type="dxa"/>
            <w:tcBorders>
              <w:top w:val="nil"/>
              <w:left w:val="nil"/>
              <w:bottom w:val="single" w:sz="4" w:space="0" w:color="auto"/>
              <w:right w:val="single" w:sz="4" w:space="0" w:color="auto"/>
            </w:tcBorders>
            <w:shd w:val="clear" w:color="auto" w:fill="auto"/>
            <w:noWrap/>
            <w:vAlign w:val="bottom"/>
            <w:hideMark/>
          </w:tcPr>
          <w:p w14:paraId="4D49C66E"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Natal</w:t>
            </w:r>
          </w:p>
        </w:tc>
        <w:tc>
          <w:tcPr>
            <w:tcW w:w="1544" w:type="dxa"/>
            <w:tcBorders>
              <w:top w:val="nil"/>
              <w:left w:val="nil"/>
              <w:bottom w:val="single" w:sz="4" w:space="0" w:color="auto"/>
              <w:right w:val="single" w:sz="4" w:space="0" w:color="auto"/>
            </w:tcBorders>
            <w:shd w:val="clear" w:color="auto" w:fill="auto"/>
            <w:noWrap/>
            <w:vAlign w:val="bottom"/>
            <w:hideMark/>
          </w:tcPr>
          <w:p w14:paraId="224E4839"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Rio Grande do Norte</w:t>
            </w:r>
          </w:p>
        </w:tc>
        <w:tc>
          <w:tcPr>
            <w:tcW w:w="1354" w:type="dxa"/>
            <w:tcBorders>
              <w:top w:val="nil"/>
              <w:left w:val="nil"/>
              <w:bottom w:val="single" w:sz="4" w:space="0" w:color="auto"/>
              <w:right w:val="single" w:sz="4" w:space="0" w:color="auto"/>
            </w:tcBorders>
            <w:shd w:val="clear" w:color="auto" w:fill="auto"/>
            <w:noWrap/>
            <w:vAlign w:val="bottom"/>
            <w:hideMark/>
          </w:tcPr>
          <w:p w14:paraId="30357984"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0E838962"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r>
      <w:tr w:rsidR="00225727" w:rsidRPr="00D75FE1" w14:paraId="12CE47D3"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EB2C6D5"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250750</w:t>
            </w:r>
          </w:p>
        </w:tc>
        <w:tc>
          <w:tcPr>
            <w:tcW w:w="1927" w:type="dxa"/>
            <w:tcBorders>
              <w:top w:val="nil"/>
              <w:left w:val="nil"/>
              <w:bottom w:val="single" w:sz="4" w:space="0" w:color="auto"/>
              <w:right w:val="single" w:sz="4" w:space="0" w:color="auto"/>
            </w:tcBorders>
            <w:shd w:val="clear" w:color="auto" w:fill="auto"/>
            <w:noWrap/>
            <w:vAlign w:val="bottom"/>
            <w:hideMark/>
          </w:tcPr>
          <w:p w14:paraId="6B82B144"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João Pessoa</w:t>
            </w:r>
          </w:p>
        </w:tc>
        <w:tc>
          <w:tcPr>
            <w:tcW w:w="1544" w:type="dxa"/>
            <w:tcBorders>
              <w:top w:val="nil"/>
              <w:left w:val="nil"/>
              <w:bottom w:val="single" w:sz="4" w:space="0" w:color="auto"/>
              <w:right w:val="single" w:sz="4" w:space="0" w:color="auto"/>
            </w:tcBorders>
            <w:shd w:val="clear" w:color="auto" w:fill="auto"/>
            <w:noWrap/>
            <w:vAlign w:val="bottom"/>
            <w:hideMark/>
          </w:tcPr>
          <w:p w14:paraId="0FD78062"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Paraíba</w:t>
            </w:r>
          </w:p>
        </w:tc>
        <w:tc>
          <w:tcPr>
            <w:tcW w:w="1354" w:type="dxa"/>
            <w:tcBorders>
              <w:top w:val="nil"/>
              <w:left w:val="nil"/>
              <w:bottom w:val="single" w:sz="4" w:space="0" w:color="auto"/>
              <w:right w:val="single" w:sz="4" w:space="0" w:color="auto"/>
            </w:tcBorders>
            <w:shd w:val="clear" w:color="auto" w:fill="auto"/>
            <w:noWrap/>
            <w:vAlign w:val="bottom"/>
            <w:hideMark/>
          </w:tcPr>
          <w:p w14:paraId="5964DAAF"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0D26566D"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7B68CA97"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EA63449"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lastRenderedPageBreak/>
              <w:t>260790</w:t>
            </w:r>
          </w:p>
        </w:tc>
        <w:tc>
          <w:tcPr>
            <w:tcW w:w="1927" w:type="dxa"/>
            <w:tcBorders>
              <w:top w:val="nil"/>
              <w:left w:val="nil"/>
              <w:bottom w:val="single" w:sz="4" w:space="0" w:color="auto"/>
              <w:right w:val="single" w:sz="4" w:space="0" w:color="auto"/>
            </w:tcBorders>
            <w:shd w:val="clear" w:color="auto" w:fill="auto"/>
            <w:noWrap/>
            <w:vAlign w:val="bottom"/>
            <w:hideMark/>
          </w:tcPr>
          <w:p w14:paraId="193084B3"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xml:space="preserve">Jaboatão dos </w:t>
            </w:r>
            <w:proofErr w:type="spellStart"/>
            <w:r w:rsidRPr="00847A84">
              <w:rPr>
                <w:rFonts w:cs="Arial"/>
                <w:color w:val="000000"/>
                <w:spacing w:val="0"/>
                <w:sz w:val="18"/>
                <w:szCs w:val="18"/>
                <w:lang w:val="es-MX"/>
              </w:rPr>
              <w:t>Guararapes</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755F98F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Pernambuco</w:t>
            </w:r>
          </w:p>
        </w:tc>
        <w:tc>
          <w:tcPr>
            <w:tcW w:w="1354" w:type="dxa"/>
            <w:tcBorders>
              <w:top w:val="nil"/>
              <w:left w:val="nil"/>
              <w:bottom w:val="single" w:sz="4" w:space="0" w:color="auto"/>
              <w:right w:val="single" w:sz="4" w:space="0" w:color="auto"/>
            </w:tcBorders>
            <w:shd w:val="clear" w:color="auto" w:fill="auto"/>
            <w:noWrap/>
            <w:vAlign w:val="bottom"/>
            <w:hideMark/>
          </w:tcPr>
          <w:p w14:paraId="6F7D63E6"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3%</w:t>
            </w:r>
          </w:p>
        </w:tc>
        <w:tc>
          <w:tcPr>
            <w:tcW w:w="1350" w:type="dxa"/>
            <w:tcBorders>
              <w:top w:val="nil"/>
              <w:left w:val="nil"/>
              <w:bottom w:val="single" w:sz="4" w:space="0" w:color="auto"/>
              <w:right w:val="single" w:sz="4" w:space="0" w:color="auto"/>
            </w:tcBorders>
            <w:shd w:val="clear" w:color="auto" w:fill="auto"/>
            <w:noWrap/>
            <w:vAlign w:val="bottom"/>
            <w:hideMark/>
          </w:tcPr>
          <w:p w14:paraId="386E52BC"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57A79070"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E30E9F4"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261160</w:t>
            </w:r>
          </w:p>
        </w:tc>
        <w:tc>
          <w:tcPr>
            <w:tcW w:w="1927" w:type="dxa"/>
            <w:tcBorders>
              <w:top w:val="nil"/>
              <w:left w:val="nil"/>
              <w:bottom w:val="single" w:sz="4" w:space="0" w:color="auto"/>
              <w:right w:val="single" w:sz="4" w:space="0" w:color="auto"/>
            </w:tcBorders>
            <w:shd w:val="clear" w:color="auto" w:fill="auto"/>
            <w:noWrap/>
            <w:vAlign w:val="bottom"/>
            <w:hideMark/>
          </w:tcPr>
          <w:p w14:paraId="358C3372"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Recife</w:t>
            </w:r>
          </w:p>
        </w:tc>
        <w:tc>
          <w:tcPr>
            <w:tcW w:w="1544" w:type="dxa"/>
            <w:tcBorders>
              <w:top w:val="nil"/>
              <w:left w:val="nil"/>
              <w:bottom w:val="single" w:sz="4" w:space="0" w:color="auto"/>
              <w:right w:val="single" w:sz="4" w:space="0" w:color="auto"/>
            </w:tcBorders>
            <w:shd w:val="clear" w:color="auto" w:fill="auto"/>
            <w:noWrap/>
            <w:vAlign w:val="bottom"/>
            <w:hideMark/>
          </w:tcPr>
          <w:p w14:paraId="5E9E755A"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Pernambuco</w:t>
            </w:r>
          </w:p>
        </w:tc>
        <w:tc>
          <w:tcPr>
            <w:tcW w:w="1354" w:type="dxa"/>
            <w:tcBorders>
              <w:top w:val="nil"/>
              <w:left w:val="nil"/>
              <w:bottom w:val="single" w:sz="4" w:space="0" w:color="auto"/>
              <w:right w:val="single" w:sz="4" w:space="0" w:color="auto"/>
            </w:tcBorders>
            <w:shd w:val="clear" w:color="auto" w:fill="auto"/>
            <w:noWrap/>
            <w:vAlign w:val="bottom"/>
            <w:hideMark/>
          </w:tcPr>
          <w:p w14:paraId="0008EED7"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71BF6C38"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r>
      <w:tr w:rsidR="00225727" w:rsidRPr="00D75FE1" w14:paraId="11722B7F"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25CF61F"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270430</w:t>
            </w:r>
          </w:p>
        </w:tc>
        <w:tc>
          <w:tcPr>
            <w:tcW w:w="1927" w:type="dxa"/>
            <w:tcBorders>
              <w:top w:val="nil"/>
              <w:left w:val="nil"/>
              <w:bottom w:val="single" w:sz="4" w:space="0" w:color="auto"/>
              <w:right w:val="single" w:sz="4" w:space="0" w:color="auto"/>
            </w:tcBorders>
            <w:shd w:val="clear" w:color="auto" w:fill="auto"/>
            <w:noWrap/>
            <w:vAlign w:val="bottom"/>
            <w:hideMark/>
          </w:tcPr>
          <w:p w14:paraId="535AF082"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Maceió</w:t>
            </w:r>
          </w:p>
        </w:tc>
        <w:tc>
          <w:tcPr>
            <w:tcW w:w="1544" w:type="dxa"/>
            <w:tcBorders>
              <w:top w:val="nil"/>
              <w:left w:val="nil"/>
              <w:bottom w:val="single" w:sz="4" w:space="0" w:color="auto"/>
              <w:right w:val="single" w:sz="4" w:space="0" w:color="auto"/>
            </w:tcBorders>
            <w:shd w:val="clear" w:color="auto" w:fill="auto"/>
            <w:noWrap/>
            <w:vAlign w:val="bottom"/>
            <w:hideMark/>
          </w:tcPr>
          <w:p w14:paraId="62C97E9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Alagoas</w:t>
            </w:r>
          </w:p>
        </w:tc>
        <w:tc>
          <w:tcPr>
            <w:tcW w:w="1354" w:type="dxa"/>
            <w:tcBorders>
              <w:top w:val="nil"/>
              <w:left w:val="nil"/>
              <w:bottom w:val="single" w:sz="4" w:space="0" w:color="auto"/>
              <w:right w:val="single" w:sz="4" w:space="0" w:color="auto"/>
            </w:tcBorders>
            <w:shd w:val="clear" w:color="auto" w:fill="auto"/>
            <w:noWrap/>
            <w:vAlign w:val="bottom"/>
            <w:hideMark/>
          </w:tcPr>
          <w:p w14:paraId="670B79F8"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3E5301A0"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r>
      <w:tr w:rsidR="00225727" w:rsidRPr="00D75FE1" w14:paraId="532AB517"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3FB6ED7"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280030</w:t>
            </w:r>
          </w:p>
        </w:tc>
        <w:tc>
          <w:tcPr>
            <w:tcW w:w="1927" w:type="dxa"/>
            <w:tcBorders>
              <w:top w:val="nil"/>
              <w:left w:val="nil"/>
              <w:bottom w:val="single" w:sz="4" w:space="0" w:color="auto"/>
              <w:right w:val="single" w:sz="4" w:space="0" w:color="auto"/>
            </w:tcBorders>
            <w:shd w:val="clear" w:color="auto" w:fill="auto"/>
            <w:noWrap/>
            <w:vAlign w:val="bottom"/>
            <w:hideMark/>
          </w:tcPr>
          <w:p w14:paraId="3FD827CA"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Aracaju</w:t>
            </w:r>
          </w:p>
        </w:tc>
        <w:tc>
          <w:tcPr>
            <w:tcW w:w="1544" w:type="dxa"/>
            <w:tcBorders>
              <w:top w:val="nil"/>
              <w:left w:val="nil"/>
              <w:bottom w:val="single" w:sz="4" w:space="0" w:color="auto"/>
              <w:right w:val="single" w:sz="4" w:space="0" w:color="auto"/>
            </w:tcBorders>
            <w:shd w:val="clear" w:color="auto" w:fill="auto"/>
            <w:noWrap/>
            <w:vAlign w:val="bottom"/>
            <w:hideMark/>
          </w:tcPr>
          <w:p w14:paraId="627B499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Sergipe</w:t>
            </w:r>
          </w:p>
        </w:tc>
        <w:tc>
          <w:tcPr>
            <w:tcW w:w="1354" w:type="dxa"/>
            <w:tcBorders>
              <w:top w:val="nil"/>
              <w:left w:val="nil"/>
              <w:bottom w:val="single" w:sz="4" w:space="0" w:color="auto"/>
              <w:right w:val="single" w:sz="4" w:space="0" w:color="auto"/>
            </w:tcBorders>
            <w:shd w:val="clear" w:color="auto" w:fill="auto"/>
            <w:noWrap/>
            <w:vAlign w:val="bottom"/>
            <w:hideMark/>
          </w:tcPr>
          <w:p w14:paraId="2EC43F6A"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8%</w:t>
            </w:r>
          </w:p>
        </w:tc>
        <w:tc>
          <w:tcPr>
            <w:tcW w:w="1350" w:type="dxa"/>
            <w:tcBorders>
              <w:top w:val="nil"/>
              <w:left w:val="nil"/>
              <w:bottom w:val="single" w:sz="4" w:space="0" w:color="auto"/>
              <w:right w:val="single" w:sz="4" w:space="0" w:color="auto"/>
            </w:tcBorders>
            <w:shd w:val="clear" w:color="auto" w:fill="auto"/>
            <w:noWrap/>
            <w:vAlign w:val="bottom"/>
            <w:hideMark/>
          </w:tcPr>
          <w:p w14:paraId="39C19981"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65B806B4"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8721B48"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291080</w:t>
            </w:r>
          </w:p>
        </w:tc>
        <w:tc>
          <w:tcPr>
            <w:tcW w:w="1927" w:type="dxa"/>
            <w:tcBorders>
              <w:top w:val="nil"/>
              <w:left w:val="nil"/>
              <w:bottom w:val="single" w:sz="4" w:space="0" w:color="auto"/>
              <w:right w:val="single" w:sz="4" w:space="0" w:color="auto"/>
            </w:tcBorders>
            <w:shd w:val="clear" w:color="auto" w:fill="auto"/>
            <w:noWrap/>
            <w:vAlign w:val="bottom"/>
            <w:hideMark/>
          </w:tcPr>
          <w:p w14:paraId="3C8D7086"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Feira de Santana</w:t>
            </w:r>
          </w:p>
        </w:tc>
        <w:tc>
          <w:tcPr>
            <w:tcW w:w="1544" w:type="dxa"/>
            <w:tcBorders>
              <w:top w:val="nil"/>
              <w:left w:val="nil"/>
              <w:bottom w:val="single" w:sz="4" w:space="0" w:color="auto"/>
              <w:right w:val="single" w:sz="4" w:space="0" w:color="auto"/>
            </w:tcBorders>
            <w:shd w:val="clear" w:color="auto" w:fill="auto"/>
            <w:noWrap/>
            <w:vAlign w:val="bottom"/>
            <w:hideMark/>
          </w:tcPr>
          <w:p w14:paraId="19229694"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Bahia</w:t>
            </w:r>
            <w:proofErr w:type="spellEnd"/>
          </w:p>
        </w:tc>
        <w:tc>
          <w:tcPr>
            <w:tcW w:w="1354" w:type="dxa"/>
            <w:tcBorders>
              <w:top w:val="nil"/>
              <w:left w:val="nil"/>
              <w:bottom w:val="single" w:sz="4" w:space="0" w:color="auto"/>
              <w:right w:val="single" w:sz="4" w:space="0" w:color="auto"/>
            </w:tcBorders>
            <w:shd w:val="clear" w:color="auto" w:fill="auto"/>
            <w:noWrap/>
            <w:vAlign w:val="bottom"/>
            <w:hideMark/>
          </w:tcPr>
          <w:p w14:paraId="5EF773B2"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2%</w:t>
            </w:r>
          </w:p>
        </w:tc>
        <w:tc>
          <w:tcPr>
            <w:tcW w:w="1350" w:type="dxa"/>
            <w:tcBorders>
              <w:top w:val="nil"/>
              <w:left w:val="nil"/>
              <w:bottom w:val="single" w:sz="4" w:space="0" w:color="auto"/>
              <w:right w:val="single" w:sz="4" w:space="0" w:color="auto"/>
            </w:tcBorders>
            <w:shd w:val="clear" w:color="auto" w:fill="auto"/>
            <w:noWrap/>
            <w:vAlign w:val="bottom"/>
            <w:hideMark/>
          </w:tcPr>
          <w:p w14:paraId="561E5BE3"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79990938"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FE60F2A"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292740</w:t>
            </w:r>
          </w:p>
        </w:tc>
        <w:tc>
          <w:tcPr>
            <w:tcW w:w="1927" w:type="dxa"/>
            <w:tcBorders>
              <w:top w:val="nil"/>
              <w:left w:val="nil"/>
              <w:bottom w:val="single" w:sz="4" w:space="0" w:color="auto"/>
              <w:right w:val="single" w:sz="4" w:space="0" w:color="auto"/>
            </w:tcBorders>
            <w:shd w:val="clear" w:color="auto" w:fill="auto"/>
            <w:noWrap/>
            <w:vAlign w:val="bottom"/>
            <w:hideMark/>
          </w:tcPr>
          <w:p w14:paraId="17E0AE0E"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Salvador</w:t>
            </w:r>
          </w:p>
        </w:tc>
        <w:tc>
          <w:tcPr>
            <w:tcW w:w="1544" w:type="dxa"/>
            <w:tcBorders>
              <w:top w:val="nil"/>
              <w:left w:val="nil"/>
              <w:bottom w:val="single" w:sz="4" w:space="0" w:color="auto"/>
              <w:right w:val="single" w:sz="4" w:space="0" w:color="auto"/>
            </w:tcBorders>
            <w:shd w:val="clear" w:color="auto" w:fill="auto"/>
            <w:noWrap/>
            <w:vAlign w:val="bottom"/>
            <w:hideMark/>
          </w:tcPr>
          <w:p w14:paraId="218202DD"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Bahia</w:t>
            </w:r>
            <w:proofErr w:type="spellEnd"/>
          </w:p>
        </w:tc>
        <w:tc>
          <w:tcPr>
            <w:tcW w:w="1354" w:type="dxa"/>
            <w:tcBorders>
              <w:top w:val="nil"/>
              <w:left w:val="nil"/>
              <w:bottom w:val="single" w:sz="4" w:space="0" w:color="auto"/>
              <w:right w:val="single" w:sz="4" w:space="0" w:color="auto"/>
            </w:tcBorders>
            <w:shd w:val="clear" w:color="auto" w:fill="auto"/>
            <w:noWrap/>
            <w:vAlign w:val="bottom"/>
            <w:hideMark/>
          </w:tcPr>
          <w:p w14:paraId="13B49F78"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13568781"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r>
      <w:tr w:rsidR="00225727" w:rsidRPr="00D75FE1" w14:paraId="6DAB6E76"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F03B3BC"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311860</w:t>
            </w:r>
          </w:p>
        </w:tc>
        <w:tc>
          <w:tcPr>
            <w:tcW w:w="1927" w:type="dxa"/>
            <w:tcBorders>
              <w:top w:val="nil"/>
              <w:left w:val="nil"/>
              <w:bottom w:val="single" w:sz="4" w:space="0" w:color="auto"/>
              <w:right w:val="single" w:sz="4" w:space="0" w:color="auto"/>
            </w:tcBorders>
            <w:shd w:val="clear" w:color="auto" w:fill="auto"/>
            <w:noWrap/>
            <w:vAlign w:val="bottom"/>
            <w:hideMark/>
          </w:tcPr>
          <w:p w14:paraId="4C132004"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Contagem</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14C028E0"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Minas Gerais</w:t>
            </w:r>
          </w:p>
        </w:tc>
        <w:tc>
          <w:tcPr>
            <w:tcW w:w="1354" w:type="dxa"/>
            <w:tcBorders>
              <w:top w:val="nil"/>
              <w:left w:val="nil"/>
              <w:bottom w:val="single" w:sz="4" w:space="0" w:color="auto"/>
              <w:right w:val="single" w:sz="4" w:space="0" w:color="auto"/>
            </w:tcBorders>
            <w:shd w:val="clear" w:color="auto" w:fill="auto"/>
            <w:noWrap/>
            <w:vAlign w:val="bottom"/>
            <w:hideMark/>
          </w:tcPr>
          <w:p w14:paraId="2AECD0AC"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5A0E3245"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38BC2896"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4B98632"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313670</w:t>
            </w:r>
          </w:p>
        </w:tc>
        <w:tc>
          <w:tcPr>
            <w:tcW w:w="1927" w:type="dxa"/>
            <w:tcBorders>
              <w:top w:val="nil"/>
              <w:left w:val="nil"/>
              <w:bottom w:val="single" w:sz="4" w:space="0" w:color="auto"/>
              <w:right w:val="single" w:sz="4" w:space="0" w:color="auto"/>
            </w:tcBorders>
            <w:shd w:val="clear" w:color="auto" w:fill="auto"/>
            <w:noWrap/>
            <w:vAlign w:val="bottom"/>
            <w:hideMark/>
          </w:tcPr>
          <w:p w14:paraId="3C5E2A92"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Juiz</w:t>
            </w:r>
            <w:proofErr w:type="spellEnd"/>
            <w:r w:rsidRPr="00847A84">
              <w:rPr>
                <w:rFonts w:cs="Arial"/>
                <w:color w:val="000000"/>
                <w:spacing w:val="0"/>
                <w:sz w:val="18"/>
                <w:szCs w:val="18"/>
                <w:lang w:val="es-MX"/>
              </w:rPr>
              <w:t xml:space="preserve"> de </w:t>
            </w:r>
            <w:proofErr w:type="spellStart"/>
            <w:r w:rsidRPr="00847A84">
              <w:rPr>
                <w:rFonts w:cs="Arial"/>
                <w:color w:val="000000"/>
                <w:spacing w:val="0"/>
                <w:sz w:val="18"/>
                <w:szCs w:val="18"/>
                <w:lang w:val="es-MX"/>
              </w:rPr>
              <w:t>Fora</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0393E6EE"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Minas Gerais</w:t>
            </w:r>
          </w:p>
        </w:tc>
        <w:tc>
          <w:tcPr>
            <w:tcW w:w="1354" w:type="dxa"/>
            <w:tcBorders>
              <w:top w:val="nil"/>
              <w:left w:val="nil"/>
              <w:bottom w:val="single" w:sz="4" w:space="0" w:color="auto"/>
              <w:right w:val="single" w:sz="4" w:space="0" w:color="auto"/>
            </w:tcBorders>
            <w:shd w:val="clear" w:color="auto" w:fill="auto"/>
            <w:noWrap/>
            <w:vAlign w:val="bottom"/>
            <w:hideMark/>
          </w:tcPr>
          <w:p w14:paraId="5C0EDB4D"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41000492"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60605F3E"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56DCA47"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317020</w:t>
            </w:r>
          </w:p>
        </w:tc>
        <w:tc>
          <w:tcPr>
            <w:tcW w:w="1927" w:type="dxa"/>
            <w:tcBorders>
              <w:top w:val="nil"/>
              <w:left w:val="nil"/>
              <w:bottom w:val="single" w:sz="4" w:space="0" w:color="auto"/>
              <w:right w:val="single" w:sz="4" w:space="0" w:color="auto"/>
            </w:tcBorders>
            <w:shd w:val="clear" w:color="auto" w:fill="auto"/>
            <w:noWrap/>
            <w:vAlign w:val="bottom"/>
            <w:hideMark/>
          </w:tcPr>
          <w:p w14:paraId="7FF5B9B7"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Uberlândia</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10E29CF7"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Minas Gerais</w:t>
            </w:r>
          </w:p>
        </w:tc>
        <w:tc>
          <w:tcPr>
            <w:tcW w:w="1354" w:type="dxa"/>
            <w:tcBorders>
              <w:top w:val="nil"/>
              <w:left w:val="nil"/>
              <w:bottom w:val="single" w:sz="4" w:space="0" w:color="auto"/>
              <w:right w:val="single" w:sz="4" w:space="0" w:color="auto"/>
            </w:tcBorders>
            <w:shd w:val="clear" w:color="auto" w:fill="auto"/>
            <w:noWrap/>
            <w:vAlign w:val="bottom"/>
            <w:hideMark/>
          </w:tcPr>
          <w:p w14:paraId="60AC7064"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5260A32A"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48079744"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C32B752"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330170</w:t>
            </w:r>
          </w:p>
        </w:tc>
        <w:tc>
          <w:tcPr>
            <w:tcW w:w="1927" w:type="dxa"/>
            <w:tcBorders>
              <w:top w:val="nil"/>
              <w:left w:val="nil"/>
              <w:bottom w:val="single" w:sz="4" w:space="0" w:color="auto"/>
              <w:right w:val="single" w:sz="4" w:space="0" w:color="auto"/>
            </w:tcBorders>
            <w:shd w:val="clear" w:color="auto" w:fill="auto"/>
            <w:noWrap/>
            <w:vAlign w:val="bottom"/>
            <w:hideMark/>
          </w:tcPr>
          <w:p w14:paraId="70AFB0E8" w14:textId="07AAE7D6"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xml:space="preserve">Duque de </w:t>
            </w:r>
            <w:r w:rsidR="003F41A8" w:rsidRPr="00847A84">
              <w:rPr>
                <w:rFonts w:cs="Arial"/>
                <w:color w:val="000000"/>
                <w:spacing w:val="0"/>
                <w:sz w:val="18"/>
                <w:szCs w:val="18"/>
                <w:lang w:val="es-MX"/>
              </w:rPr>
              <w:t>Camias</w:t>
            </w:r>
          </w:p>
        </w:tc>
        <w:tc>
          <w:tcPr>
            <w:tcW w:w="1544" w:type="dxa"/>
            <w:tcBorders>
              <w:top w:val="nil"/>
              <w:left w:val="nil"/>
              <w:bottom w:val="single" w:sz="4" w:space="0" w:color="auto"/>
              <w:right w:val="single" w:sz="4" w:space="0" w:color="auto"/>
            </w:tcBorders>
            <w:shd w:val="clear" w:color="auto" w:fill="auto"/>
            <w:noWrap/>
            <w:vAlign w:val="bottom"/>
            <w:hideMark/>
          </w:tcPr>
          <w:p w14:paraId="1F22B8A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Rio de Janeiro</w:t>
            </w:r>
          </w:p>
        </w:tc>
        <w:tc>
          <w:tcPr>
            <w:tcW w:w="1354" w:type="dxa"/>
            <w:tcBorders>
              <w:top w:val="nil"/>
              <w:left w:val="nil"/>
              <w:bottom w:val="single" w:sz="4" w:space="0" w:color="auto"/>
              <w:right w:val="single" w:sz="4" w:space="0" w:color="auto"/>
            </w:tcBorders>
            <w:shd w:val="clear" w:color="auto" w:fill="auto"/>
            <w:noWrap/>
            <w:vAlign w:val="bottom"/>
            <w:hideMark/>
          </w:tcPr>
          <w:p w14:paraId="1213C38E"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1B41D7FC"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r>
      <w:tr w:rsidR="00225727" w:rsidRPr="00D75FE1" w14:paraId="27FFB5A5"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642F8CC"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330350</w:t>
            </w:r>
          </w:p>
        </w:tc>
        <w:tc>
          <w:tcPr>
            <w:tcW w:w="1927" w:type="dxa"/>
            <w:tcBorders>
              <w:top w:val="nil"/>
              <w:left w:val="nil"/>
              <w:bottom w:val="single" w:sz="4" w:space="0" w:color="auto"/>
              <w:right w:val="single" w:sz="4" w:space="0" w:color="auto"/>
            </w:tcBorders>
            <w:shd w:val="clear" w:color="auto" w:fill="auto"/>
            <w:noWrap/>
            <w:vAlign w:val="bottom"/>
            <w:hideMark/>
          </w:tcPr>
          <w:p w14:paraId="324F95E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xml:space="preserve">Nova </w:t>
            </w:r>
            <w:proofErr w:type="spellStart"/>
            <w:r w:rsidRPr="00847A84">
              <w:rPr>
                <w:rFonts w:cs="Arial"/>
                <w:color w:val="000000"/>
                <w:spacing w:val="0"/>
                <w:sz w:val="18"/>
                <w:szCs w:val="18"/>
                <w:lang w:val="es-MX"/>
              </w:rPr>
              <w:t>Iguaçu</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3237B3EA"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Rio de Janeiro</w:t>
            </w:r>
          </w:p>
        </w:tc>
        <w:tc>
          <w:tcPr>
            <w:tcW w:w="1354" w:type="dxa"/>
            <w:tcBorders>
              <w:top w:val="nil"/>
              <w:left w:val="nil"/>
              <w:bottom w:val="single" w:sz="4" w:space="0" w:color="auto"/>
              <w:right w:val="single" w:sz="4" w:space="0" w:color="auto"/>
            </w:tcBorders>
            <w:shd w:val="clear" w:color="auto" w:fill="auto"/>
            <w:noWrap/>
            <w:vAlign w:val="bottom"/>
            <w:hideMark/>
          </w:tcPr>
          <w:p w14:paraId="1DFDD36E"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2DA4D803"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r>
      <w:tr w:rsidR="00225727" w:rsidRPr="00D75FE1" w14:paraId="46EB83FA"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7E84A85"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330455</w:t>
            </w:r>
          </w:p>
        </w:tc>
        <w:tc>
          <w:tcPr>
            <w:tcW w:w="1927" w:type="dxa"/>
            <w:tcBorders>
              <w:top w:val="nil"/>
              <w:left w:val="nil"/>
              <w:bottom w:val="single" w:sz="4" w:space="0" w:color="auto"/>
              <w:right w:val="single" w:sz="4" w:space="0" w:color="auto"/>
            </w:tcBorders>
            <w:shd w:val="clear" w:color="auto" w:fill="auto"/>
            <w:noWrap/>
            <w:vAlign w:val="bottom"/>
            <w:hideMark/>
          </w:tcPr>
          <w:p w14:paraId="457F800C"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Rio de Janeiro</w:t>
            </w:r>
          </w:p>
        </w:tc>
        <w:tc>
          <w:tcPr>
            <w:tcW w:w="1544" w:type="dxa"/>
            <w:tcBorders>
              <w:top w:val="nil"/>
              <w:left w:val="nil"/>
              <w:bottom w:val="single" w:sz="4" w:space="0" w:color="auto"/>
              <w:right w:val="single" w:sz="4" w:space="0" w:color="auto"/>
            </w:tcBorders>
            <w:shd w:val="clear" w:color="auto" w:fill="auto"/>
            <w:noWrap/>
            <w:vAlign w:val="bottom"/>
            <w:hideMark/>
          </w:tcPr>
          <w:p w14:paraId="47601AE2"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Rio de Janeiro</w:t>
            </w:r>
          </w:p>
        </w:tc>
        <w:tc>
          <w:tcPr>
            <w:tcW w:w="1354" w:type="dxa"/>
            <w:tcBorders>
              <w:top w:val="nil"/>
              <w:left w:val="nil"/>
              <w:bottom w:val="single" w:sz="4" w:space="0" w:color="auto"/>
              <w:right w:val="single" w:sz="4" w:space="0" w:color="auto"/>
            </w:tcBorders>
            <w:shd w:val="clear" w:color="auto" w:fill="auto"/>
            <w:noWrap/>
            <w:vAlign w:val="bottom"/>
            <w:hideMark/>
          </w:tcPr>
          <w:p w14:paraId="4CF437BA"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500ABC6D"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r>
      <w:tr w:rsidR="00225727" w:rsidRPr="00D75FE1" w14:paraId="1D8AA7CB"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432FA9E"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330490</w:t>
            </w:r>
          </w:p>
        </w:tc>
        <w:tc>
          <w:tcPr>
            <w:tcW w:w="1927" w:type="dxa"/>
            <w:tcBorders>
              <w:top w:val="nil"/>
              <w:left w:val="nil"/>
              <w:bottom w:val="single" w:sz="4" w:space="0" w:color="auto"/>
              <w:right w:val="single" w:sz="4" w:space="0" w:color="auto"/>
            </w:tcBorders>
            <w:shd w:val="clear" w:color="auto" w:fill="auto"/>
            <w:noWrap/>
            <w:vAlign w:val="bottom"/>
            <w:hideMark/>
          </w:tcPr>
          <w:p w14:paraId="42C54F59"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xml:space="preserve">São </w:t>
            </w:r>
            <w:proofErr w:type="spellStart"/>
            <w:r w:rsidRPr="00847A84">
              <w:rPr>
                <w:rFonts w:cs="Arial"/>
                <w:color w:val="000000"/>
                <w:spacing w:val="0"/>
                <w:sz w:val="18"/>
                <w:szCs w:val="18"/>
                <w:lang w:val="es-MX"/>
              </w:rPr>
              <w:t>Gonçalo</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2681DBE8"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Rio de Janeiro</w:t>
            </w:r>
          </w:p>
        </w:tc>
        <w:tc>
          <w:tcPr>
            <w:tcW w:w="1354" w:type="dxa"/>
            <w:tcBorders>
              <w:top w:val="nil"/>
              <w:left w:val="nil"/>
              <w:bottom w:val="single" w:sz="4" w:space="0" w:color="auto"/>
              <w:right w:val="single" w:sz="4" w:space="0" w:color="auto"/>
            </w:tcBorders>
            <w:shd w:val="clear" w:color="auto" w:fill="auto"/>
            <w:noWrap/>
            <w:vAlign w:val="bottom"/>
            <w:hideMark/>
          </w:tcPr>
          <w:p w14:paraId="5EDE0D33"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07AD4708"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r>
      <w:tr w:rsidR="00225727" w:rsidRPr="00D75FE1" w14:paraId="7754373F"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B53DED3"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351880</w:t>
            </w:r>
          </w:p>
        </w:tc>
        <w:tc>
          <w:tcPr>
            <w:tcW w:w="1927" w:type="dxa"/>
            <w:tcBorders>
              <w:top w:val="nil"/>
              <w:left w:val="nil"/>
              <w:bottom w:val="single" w:sz="4" w:space="0" w:color="auto"/>
              <w:right w:val="single" w:sz="4" w:space="0" w:color="auto"/>
            </w:tcBorders>
            <w:shd w:val="clear" w:color="auto" w:fill="auto"/>
            <w:noWrap/>
            <w:vAlign w:val="bottom"/>
            <w:hideMark/>
          </w:tcPr>
          <w:p w14:paraId="0B983AD1"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Guarulhos</w:t>
            </w:r>
          </w:p>
        </w:tc>
        <w:tc>
          <w:tcPr>
            <w:tcW w:w="1544" w:type="dxa"/>
            <w:tcBorders>
              <w:top w:val="nil"/>
              <w:left w:val="nil"/>
              <w:bottom w:val="single" w:sz="4" w:space="0" w:color="auto"/>
              <w:right w:val="single" w:sz="4" w:space="0" w:color="auto"/>
            </w:tcBorders>
            <w:shd w:val="clear" w:color="auto" w:fill="auto"/>
            <w:noWrap/>
            <w:vAlign w:val="bottom"/>
            <w:hideMark/>
          </w:tcPr>
          <w:p w14:paraId="6A1528A2"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354" w:type="dxa"/>
            <w:tcBorders>
              <w:top w:val="nil"/>
              <w:left w:val="nil"/>
              <w:bottom w:val="single" w:sz="4" w:space="0" w:color="auto"/>
              <w:right w:val="single" w:sz="4" w:space="0" w:color="auto"/>
            </w:tcBorders>
            <w:shd w:val="clear" w:color="auto" w:fill="auto"/>
            <w:noWrap/>
            <w:vAlign w:val="bottom"/>
            <w:hideMark/>
          </w:tcPr>
          <w:p w14:paraId="48C4BE58"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3EC71A99"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8%</w:t>
            </w:r>
          </w:p>
        </w:tc>
      </w:tr>
      <w:tr w:rsidR="00225727" w:rsidRPr="00D75FE1" w14:paraId="3F63C6E3"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4D859A7"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353440</w:t>
            </w:r>
          </w:p>
        </w:tc>
        <w:tc>
          <w:tcPr>
            <w:tcW w:w="1927" w:type="dxa"/>
            <w:tcBorders>
              <w:top w:val="nil"/>
              <w:left w:val="nil"/>
              <w:bottom w:val="single" w:sz="4" w:space="0" w:color="auto"/>
              <w:right w:val="single" w:sz="4" w:space="0" w:color="auto"/>
            </w:tcBorders>
            <w:shd w:val="clear" w:color="auto" w:fill="auto"/>
            <w:noWrap/>
            <w:vAlign w:val="bottom"/>
            <w:hideMark/>
          </w:tcPr>
          <w:p w14:paraId="2AF45FEB"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Osasco</w:t>
            </w:r>
          </w:p>
        </w:tc>
        <w:tc>
          <w:tcPr>
            <w:tcW w:w="1544" w:type="dxa"/>
            <w:tcBorders>
              <w:top w:val="nil"/>
              <w:left w:val="nil"/>
              <w:bottom w:val="single" w:sz="4" w:space="0" w:color="auto"/>
              <w:right w:val="single" w:sz="4" w:space="0" w:color="auto"/>
            </w:tcBorders>
            <w:shd w:val="clear" w:color="auto" w:fill="auto"/>
            <w:noWrap/>
            <w:vAlign w:val="bottom"/>
            <w:hideMark/>
          </w:tcPr>
          <w:p w14:paraId="7C1084C6"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354" w:type="dxa"/>
            <w:tcBorders>
              <w:top w:val="nil"/>
              <w:left w:val="nil"/>
              <w:bottom w:val="single" w:sz="4" w:space="0" w:color="auto"/>
              <w:right w:val="single" w:sz="4" w:space="0" w:color="auto"/>
            </w:tcBorders>
            <w:shd w:val="clear" w:color="auto" w:fill="auto"/>
            <w:noWrap/>
            <w:vAlign w:val="bottom"/>
            <w:hideMark/>
          </w:tcPr>
          <w:p w14:paraId="20C287EF"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61E593CB"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4C2A392F"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1D1BAC5"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354340</w:t>
            </w:r>
          </w:p>
        </w:tc>
        <w:tc>
          <w:tcPr>
            <w:tcW w:w="1927" w:type="dxa"/>
            <w:tcBorders>
              <w:top w:val="nil"/>
              <w:left w:val="nil"/>
              <w:bottom w:val="single" w:sz="4" w:space="0" w:color="auto"/>
              <w:right w:val="single" w:sz="4" w:space="0" w:color="auto"/>
            </w:tcBorders>
            <w:shd w:val="clear" w:color="auto" w:fill="auto"/>
            <w:noWrap/>
            <w:vAlign w:val="bottom"/>
            <w:hideMark/>
          </w:tcPr>
          <w:p w14:paraId="15F6FC46"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Ribeirão</w:t>
            </w:r>
            <w:proofErr w:type="spellEnd"/>
            <w:r w:rsidRPr="00847A84">
              <w:rPr>
                <w:rFonts w:cs="Arial"/>
                <w:color w:val="000000"/>
                <w:spacing w:val="0"/>
                <w:sz w:val="18"/>
                <w:szCs w:val="18"/>
                <w:lang w:val="es-MX"/>
              </w:rPr>
              <w:t xml:space="preserve"> </w:t>
            </w:r>
            <w:proofErr w:type="spellStart"/>
            <w:r w:rsidRPr="00847A84">
              <w:rPr>
                <w:rFonts w:cs="Arial"/>
                <w:color w:val="000000"/>
                <w:spacing w:val="0"/>
                <w:sz w:val="18"/>
                <w:szCs w:val="18"/>
                <w:lang w:val="es-MX"/>
              </w:rPr>
              <w:t>Preto</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3F38C1B4"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354" w:type="dxa"/>
            <w:tcBorders>
              <w:top w:val="nil"/>
              <w:left w:val="nil"/>
              <w:bottom w:val="single" w:sz="4" w:space="0" w:color="auto"/>
              <w:right w:val="single" w:sz="4" w:space="0" w:color="auto"/>
            </w:tcBorders>
            <w:shd w:val="clear" w:color="auto" w:fill="auto"/>
            <w:noWrap/>
            <w:vAlign w:val="bottom"/>
            <w:hideMark/>
          </w:tcPr>
          <w:p w14:paraId="7F6BD9AC"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678AA008"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22FC308A"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AE09798"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354780</w:t>
            </w:r>
          </w:p>
        </w:tc>
        <w:tc>
          <w:tcPr>
            <w:tcW w:w="1927" w:type="dxa"/>
            <w:tcBorders>
              <w:top w:val="nil"/>
              <w:left w:val="nil"/>
              <w:bottom w:val="single" w:sz="4" w:space="0" w:color="auto"/>
              <w:right w:val="single" w:sz="4" w:space="0" w:color="auto"/>
            </w:tcBorders>
            <w:shd w:val="clear" w:color="auto" w:fill="auto"/>
            <w:noWrap/>
            <w:vAlign w:val="bottom"/>
            <w:hideMark/>
          </w:tcPr>
          <w:p w14:paraId="65245BB0"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Santo André</w:t>
            </w:r>
          </w:p>
        </w:tc>
        <w:tc>
          <w:tcPr>
            <w:tcW w:w="1544" w:type="dxa"/>
            <w:tcBorders>
              <w:top w:val="nil"/>
              <w:left w:val="nil"/>
              <w:bottom w:val="single" w:sz="4" w:space="0" w:color="auto"/>
              <w:right w:val="single" w:sz="4" w:space="0" w:color="auto"/>
            </w:tcBorders>
            <w:shd w:val="clear" w:color="auto" w:fill="auto"/>
            <w:noWrap/>
            <w:vAlign w:val="bottom"/>
            <w:hideMark/>
          </w:tcPr>
          <w:p w14:paraId="3EDE54FD"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354" w:type="dxa"/>
            <w:tcBorders>
              <w:top w:val="nil"/>
              <w:left w:val="nil"/>
              <w:bottom w:val="single" w:sz="4" w:space="0" w:color="auto"/>
              <w:right w:val="single" w:sz="4" w:space="0" w:color="auto"/>
            </w:tcBorders>
            <w:shd w:val="clear" w:color="auto" w:fill="auto"/>
            <w:noWrap/>
            <w:vAlign w:val="bottom"/>
            <w:hideMark/>
          </w:tcPr>
          <w:p w14:paraId="726F56E2"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3465084D"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359E3756"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FDEEB4F"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354990</w:t>
            </w:r>
          </w:p>
        </w:tc>
        <w:tc>
          <w:tcPr>
            <w:tcW w:w="1927" w:type="dxa"/>
            <w:tcBorders>
              <w:top w:val="nil"/>
              <w:left w:val="nil"/>
              <w:bottom w:val="single" w:sz="4" w:space="0" w:color="auto"/>
              <w:right w:val="single" w:sz="4" w:space="0" w:color="auto"/>
            </w:tcBorders>
            <w:shd w:val="clear" w:color="auto" w:fill="auto"/>
            <w:noWrap/>
            <w:vAlign w:val="bottom"/>
            <w:hideMark/>
          </w:tcPr>
          <w:p w14:paraId="65F612FC"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José dos Campos</w:t>
            </w:r>
          </w:p>
        </w:tc>
        <w:tc>
          <w:tcPr>
            <w:tcW w:w="1544" w:type="dxa"/>
            <w:tcBorders>
              <w:top w:val="nil"/>
              <w:left w:val="nil"/>
              <w:bottom w:val="single" w:sz="4" w:space="0" w:color="auto"/>
              <w:right w:val="single" w:sz="4" w:space="0" w:color="auto"/>
            </w:tcBorders>
            <w:shd w:val="clear" w:color="auto" w:fill="auto"/>
            <w:noWrap/>
            <w:vAlign w:val="bottom"/>
            <w:hideMark/>
          </w:tcPr>
          <w:p w14:paraId="2C432CDB"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354" w:type="dxa"/>
            <w:tcBorders>
              <w:top w:val="nil"/>
              <w:left w:val="nil"/>
              <w:bottom w:val="single" w:sz="4" w:space="0" w:color="auto"/>
              <w:right w:val="single" w:sz="4" w:space="0" w:color="auto"/>
            </w:tcBorders>
            <w:shd w:val="clear" w:color="auto" w:fill="auto"/>
            <w:noWrap/>
            <w:vAlign w:val="bottom"/>
            <w:hideMark/>
          </w:tcPr>
          <w:p w14:paraId="281CA933"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6E93C29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72E5A95E"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1BDB589"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355030</w:t>
            </w:r>
          </w:p>
        </w:tc>
        <w:tc>
          <w:tcPr>
            <w:tcW w:w="1927" w:type="dxa"/>
            <w:tcBorders>
              <w:top w:val="nil"/>
              <w:left w:val="nil"/>
              <w:bottom w:val="single" w:sz="4" w:space="0" w:color="auto"/>
              <w:right w:val="single" w:sz="4" w:space="0" w:color="auto"/>
            </w:tcBorders>
            <w:shd w:val="clear" w:color="auto" w:fill="auto"/>
            <w:noWrap/>
            <w:vAlign w:val="bottom"/>
            <w:hideMark/>
          </w:tcPr>
          <w:p w14:paraId="35EA13B3"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544" w:type="dxa"/>
            <w:tcBorders>
              <w:top w:val="nil"/>
              <w:left w:val="nil"/>
              <w:bottom w:val="single" w:sz="4" w:space="0" w:color="auto"/>
              <w:right w:val="single" w:sz="4" w:space="0" w:color="auto"/>
            </w:tcBorders>
            <w:shd w:val="clear" w:color="auto" w:fill="auto"/>
            <w:noWrap/>
            <w:vAlign w:val="bottom"/>
            <w:hideMark/>
          </w:tcPr>
          <w:p w14:paraId="70028614"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354" w:type="dxa"/>
            <w:tcBorders>
              <w:top w:val="nil"/>
              <w:left w:val="nil"/>
              <w:bottom w:val="single" w:sz="4" w:space="0" w:color="auto"/>
              <w:right w:val="single" w:sz="4" w:space="0" w:color="auto"/>
            </w:tcBorders>
            <w:shd w:val="clear" w:color="auto" w:fill="auto"/>
            <w:noWrap/>
            <w:vAlign w:val="bottom"/>
            <w:hideMark/>
          </w:tcPr>
          <w:p w14:paraId="2BDE951E"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150B7073"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r>
      <w:tr w:rsidR="00225727" w:rsidRPr="00D75FE1" w14:paraId="7047E204"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F9F60D3"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355220</w:t>
            </w:r>
          </w:p>
        </w:tc>
        <w:tc>
          <w:tcPr>
            <w:tcW w:w="1927" w:type="dxa"/>
            <w:tcBorders>
              <w:top w:val="nil"/>
              <w:left w:val="nil"/>
              <w:bottom w:val="single" w:sz="4" w:space="0" w:color="auto"/>
              <w:right w:val="single" w:sz="4" w:space="0" w:color="auto"/>
            </w:tcBorders>
            <w:shd w:val="clear" w:color="auto" w:fill="auto"/>
            <w:noWrap/>
            <w:vAlign w:val="bottom"/>
            <w:hideMark/>
          </w:tcPr>
          <w:p w14:paraId="50526B39"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Sorocaba</w:t>
            </w:r>
          </w:p>
        </w:tc>
        <w:tc>
          <w:tcPr>
            <w:tcW w:w="1544" w:type="dxa"/>
            <w:tcBorders>
              <w:top w:val="nil"/>
              <w:left w:val="nil"/>
              <w:bottom w:val="single" w:sz="4" w:space="0" w:color="auto"/>
              <w:right w:val="single" w:sz="4" w:space="0" w:color="auto"/>
            </w:tcBorders>
            <w:shd w:val="clear" w:color="auto" w:fill="auto"/>
            <w:noWrap/>
            <w:vAlign w:val="bottom"/>
            <w:hideMark/>
          </w:tcPr>
          <w:p w14:paraId="04E84B31"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São Paulo</w:t>
            </w:r>
          </w:p>
        </w:tc>
        <w:tc>
          <w:tcPr>
            <w:tcW w:w="1354" w:type="dxa"/>
            <w:tcBorders>
              <w:top w:val="nil"/>
              <w:left w:val="nil"/>
              <w:bottom w:val="single" w:sz="4" w:space="0" w:color="auto"/>
              <w:right w:val="single" w:sz="4" w:space="0" w:color="auto"/>
            </w:tcBorders>
            <w:shd w:val="clear" w:color="auto" w:fill="auto"/>
            <w:noWrap/>
            <w:vAlign w:val="bottom"/>
            <w:hideMark/>
          </w:tcPr>
          <w:p w14:paraId="5E995657"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3B9222A5"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07DAC00D"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0B697A3"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410690</w:t>
            </w:r>
          </w:p>
        </w:tc>
        <w:tc>
          <w:tcPr>
            <w:tcW w:w="1927" w:type="dxa"/>
            <w:tcBorders>
              <w:top w:val="nil"/>
              <w:left w:val="nil"/>
              <w:bottom w:val="single" w:sz="4" w:space="0" w:color="auto"/>
              <w:right w:val="single" w:sz="4" w:space="0" w:color="auto"/>
            </w:tcBorders>
            <w:shd w:val="clear" w:color="auto" w:fill="auto"/>
            <w:noWrap/>
            <w:vAlign w:val="bottom"/>
            <w:hideMark/>
          </w:tcPr>
          <w:p w14:paraId="47E3F625"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Curitiba</w:t>
            </w:r>
          </w:p>
        </w:tc>
        <w:tc>
          <w:tcPr>
            <w:tcW w:w="1544" w:type="dxa"/>
            <w:tcBorders>
              <w:top w:val="nil"/>
              <w:left w:val="nil"/>
              <w:bottom w:val="single" w:sz="4" w:space="0" w:color="auto"/>
              <w:right w:val="single" w:sz="4" w:space="0" w:color="auto"/>
            </w:tcBorders>
            <w:shd w:val="clear" w:color="auto" w:fill="auto"/>
            <w:noWrap/>
            <w:vAlign w:val="bottom"/>
            <w:hideMark/>
          </w:tcPr>
          <w:p w14:paraId="0F66D08C"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Paraná</w:t>
            </w:r>
          </w:p>
        </w:tc>
        <w:tc>
          <w:tcPr>
            <w:tcW w:w="1354" w:type="dxa"/>
            <w:tcBorders>
              <w:top w:val="nil"/>
              <w:left w:val="nil"/>
              <w:bottom w:val="single" w:sz="4" w:space="0" w:color="auto"/>
              <w:right w:val="single" w:sz="4" w:space="0" w:color="auto"/>
            </w:tcBorders>
            <w:shd w:val="clear" w:color="auto" w:fill="auto"/>
            <w:noWrap/>
            <w:vAlign w:val="bottom"/>
            <w:hideMark/>
          </w:tcPr>
          <w:p w14:paraId="765B3BEF"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12%</w:t>
            </w:r>
          </w:p>
        </w:tc>
        <w:tc>
          <w:tcPr>
            <w:tcW w:w="1350" w:type="dxa"/>
            <w:tcBorders>
              <w:top w:val="nil"/>
              <w:left w:val="nil"/>
              <w:bottom w:val="single" w:sz="4" w:space="0" w:color="auto"/>
              <w:right w:val="single" w:sz="4" w:space="0" w:color="auto"/>
            </w:tcBorders>
            <w:shd w:val="clear" w:color="auto" w:fill="auto"/>
            <w:noWrap/>
            <w:vAlign w:val="bottom"/>
            <w:hideMark/>
          </w:tcPr>
          <w:p w14:paraId="25173F0E"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16%</w:t>
            </w:r>
          </w:p>
        </w:tc>
      </w:tr>
      <w:tr w:rsidR="00225727" w:rsidRPr="00D75FE1" w14:paraId="5DC49F91"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065C88"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411370</w:t>
            </w:r>
          </w:p>
        </w:tc>
        <w:tc>
          <w:tcPr>
            <w:tcW w:w="1927" w:type="dxa"/>
            <w:tcBorders>
              <w:top w:val="nil"/>
              <w:left w:val="nil"/>
              <w:bottom w:val="single" w:sz="4" w:space="0" w:color="auto"/>
              <w:right w:val="single" w:sz="4" w:space="0" w:color="auto"/>
            </w:tcBorders>
            <w:shd w:val="clear" w:color="auto" w:fill="auto"/>
            <w:noWrap/>
            <w:vAlign w:val="bottom"/>
            <w:hideMark/>
          </w:tcPr>
          <w:p w14:paraId="0518B4E3"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Londrina</w:t>
            </w:r>
          </w:p>
        </w:tc>
        <w:tc>
          <w:tcPr>
            <w:tcW w:w="1544" w:type="dxa"/>
            <w:tcBorders>
              <w:top w:val="nil"/>
              <w:left w:val="nil"/>
              <w:bottom w:val="single" w:sz="4" w:space="0" w:color="auto"/>
              <w:right w:val="single" w:sz="4" w:space="0" w:color="auto"/>
            </w:tcBorders>
            <w:shd w:val="clear" w:color="auto" w:fill="auto"/>
            <w:noWrap/>
            <w:vAlign w:val="bottom"/>
            <w:hideMark/>
          </w:tcPr>
          <w:p w14:paraId="1FE01619"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Paraná</w:t>
            </w:r>
          </w:p>
        </w:tc>
        <w:tc>
          <w:tcPr>
            <w:tcW w:w="1354" w:type="dxa"/>
            <w:tcBorders>
              <w:top w:val="nil"/>
              <w:left w:val="nil"/>
              <w:bottom w:val="single" w:sz="4" w:space="0" w:color="auto"/>
              <w:right w:val="single" w:sz="4" w:space="0" w:color="auto"/>
            </w:tcBorders>
            <w:shd w:val="clear" w:color="auto" w:fill="auto"/>
            <w:noWrap/>
            <w:vAlign w:val="bottom"/>
            <w:hideMark/>
          </w:tcPr>
          <w:p w14:paraId="72BC884F"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45C626A0"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31CCFCB9"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B2A568A"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420910</w:t>
            </w:r>
          </w:p>
        </w:tc>
        <w:tc>
          <w:tcPr>
            <w:tcW w:w="1927" w:type="dxa"/>
            <w:tcBorders>
              <w:top w:val="nil"/>
              <w:left w:val="nil"/>
              <w:bottom w:val="single" w:sz="4" w:space="0" w:color="auto"/>
              <w:right w:val="single" w:sz="4" w:space="0" w:color="auto"/>
            </w:tcBorders>
            <w:shd w:val="clear" w:color="auto" w:fill="auto"/>
            <w:noWrap/>
            <w:vAlign w:val="bottom"/>
            <w:hideMark/>
          </w:tcPr>
          <w:p w14:paraId="0246D64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Joinville</w:t>
            </w:r>
          </w:p>
        </w:tc>
        <w:tc>
          <w:tcPr>
            <w:tcW w:w="1544" w:type="dxa"/>
            <w:tcBorders>
              <w:top w:val="nil"/>
              <w:left w:val="nil"/>
              <w:bottom w:val="single" w:sz="4" w:space="0" w:color="auto"/>
              <w:right w:val="single" w:sz="4" w:space="0" w:color="auto"/>
            </w:tcBorders>
            <w:shd w:val="clear" w:color="auto" w:fill="auto"/>
            <w:noWrap/>
            <w:vAlign w:val="bottom"/>
            <w:hideMark/>
          </w:tcPr>
          <w:p w14:paraId="729856E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Santa Catarina</w:t>
            </w:r>
          </w:p>
        </w:tc>
        <w:tc>
          <w:tcPr>
            <w:tcW w:w="1354" w:type="dxa"/>
            <w:tcBorders>
              <w:top w:val="nil"/>
              <w:left w:val="nil"/>
              <w:bottom w:val="single" w:sz="4" w:space="0" w:color="auto"/>
              <w:right w:val="single" w:sz="4" w:space="0" w:color="auto"/>
            </w:tcBorders>
            <w:shd w:val="clear" w:color="auto" w:fill="auto"/>
            <w:noWrap/>
            <w:vAlign w:val="bottom"/>
            <w:hideMark/>
          </w:tcPr>
          <w:p w14:paraId="594BFE8B"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w:t>
            </w:r>
          </w:p>
        </w:tc>
        <w:tc>
          <w:tcPr>
            <w:tcW w:w="1350" w:type="dxa"/>
            <w:tcBorders>
              <w:top w:val="nil"/>
              <w:left w:val="nil"/>
              <w:bottom w:val="single" w:sz="4" w:space="0" w:color="auto"/>
              <w:right w:val="single" w:sz="4" w:space="0" w:color="auto"/>
            </w:tcBorders>
            <w:shd w:val="clear" w:color="auto" w:fill="auto"/>
            <w:noWrap/>
            <w:vAlign w:val="bottom"/>
            <w:hideMark/>
          </w:tcPr>
          <w:p w14:paraId="537104AB"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583A6D96"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0080E90"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431490</w:t>
            </w:r>
          </w:p>
        </w:tc>
        <w:tc>
          <w:tcPr>
            <w:tcW w:w="1927" w:type="dxa"/>
            <w:tcBorders>
              <w:top w:val="nil"/>
              <w:left w:val="nil"/>
              <w:bottom w:val="single" w:sz="4" w:space="0" w:color="auto"/>
              <w:right w:val="single" w:sz="4" w:space="0" w:color="auto"/>
            </w:tcBorders>
            <w:shd w:val="clear" w:color="auto" w:fill="auto"/>
            <w:noWrap/>
            <w:vAlign w:val="bottom"/>
            <w:hideMark/>
          </w:tcPr>
          <w:p w14:paraId="70237D7B"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Porto Alegre</w:t>
            </w:r>
          </w:p>
        </w:tc>
        <w:tc>
          <w:tcPr>
            <w:tcW w:w="1544" w:type="dxa"/>
            <w:tcBorders>
              <w:top w:val="nil"/>
              <w:left w:val="nil"/>
              <w:bottom w:val="single" w:sz="4" w:space="0" w:color="auto"/>
              <w:right w:val="single" w:sz="4" w:space="0" w:color="auto"/>
            </w:tcBorders>
            <w:shd w:val="clear" w:color="auto" w:fill="auto"/>
            <w:noWrap/>
            <w:vAlign w:val="bottom"/>
            <w:hideMark/>
          </w:tcPr>
          <w:p w14:paraId="1C91C95A"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Rio Grande do Sul</w:t>
            </w:r>
          </w:p>
        </w:tc>
        <w:tc>
          <w:tcPr>
            <w:tcW w:w="1354" w:type="dxa"/>
            <w:tcBorders>
              <w:top w:val="nil"/>
              <w:left w:val="nil"/>
              <w:bottom w:val="single" w:sz="4" w:space="0" w:color="auto"/>
              <w:right w:val="single" w:sz="4" w:space="0" w:color="auto"/>
            </w:tcBorders>
            <w:shd w:val="clear" w:color="auto" w:fill="auto"/>
            <w:noWrap/>
            <w:vAlign w:val="bottom"/>
            <w:hideMark/>
          </w:tcPr>
          <w:p w14:paraId="1FE64A4E"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19%</w:t>
            </w:r>
          </w:p>
        </w:tc>
        <w:tc>
          <w:tcPr>
            <w:tcW w:w="1350" w:type="dxa"/>
            <w:tcBorders>
              <w:top w:val="nil"/>
              <w:left w:val="nil"/>
              <w:bottom w:val="single" w:sz="4" w:space="0" w:color="auto"/>
              <w:right w:val="single" w:sz="4" w:space="0" w:color="auto"/>
            </w:tcBorders>
            <w:shd w:val="clear" w:color="auto" w:fill="auto"/>
            <w:noWrap/>
            <w:vAlign w:val="bottom"/>
            <w:hideMark/>
          </w:tcPr>
          <w:p w14:paraId="60BD462F"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20%</w:t>
            </w:r>
          </w:p>
        </w:tc>
      </w:tr>
      <w:tr w:rsidR="00225727" w:rsidRPr="00D75FE1" w14:paraId="61507815"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48AFEA4"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500270</w:t>
            </w:r>
          </w:p>
        </w:tc>
        <w:tc>
          <w:tcPr>
            <w:tcW w:w="1927" w:type="dxa"/>
            <w:tcBorders>
              <w:top w:val="nil"/>
              <w:left w:val="nil"/>
              <w:bottom w:val="single" w:sz="4" w:space="0" w:color="auto"/>
              <w:right w:val="single" w:sz="4" w:space="0" w:color="auto"/>
            </w:tcBorders>
            <w:shd w:val="clear" w:color="auto" w:fill="auto"/>
            <w:noWrap/>
            <w:vAlign w:val="bottom"/>
            <w:hideMark/>
          </w:tcPr>
          <w:p w14:paraId="7357A9AC"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Campo Grande</w:t>
            </w:r>
          </w:p>
        </w:tc>
        <w:tc>
          <w:tcPr>
            <w:tcW w:w="1544" w:type="dxa"/>
            <w:tcBorders>
              <w:top w:val="nil"/>
              <w:left w:val="nil"/>
              <w:bottom w:val="single" w:sz="4" w:space="0" w:color="auto"/>
              <w:right w:val="single" w:sz="4" w:space="0" w:color="auto"/>
            </w:tcBorders>
            <w:shd w:val="clear" w:color="auto" w:fill="auto"/>
            <w:noWrap/>
            <w:vAlign w:val="bottom"/>
            <w:hideMark/>
          </w:tcPr>
          <w:p w14:paraId="0515325C"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Mato Grosso do Sul</w:t>
            </w:r>
          </w:p>
        </w:tc>
        <w:tc>
          <w:tcPr>
            <w:tcW w:w="1354" w:type="dxa"/>
            <w:tcBorders>
              <w:top w:val="nil"/>
              <w:left w:val="nil"/>
              <w:bottom w:val="single" w:sz="4" w:space="0" w:color="auto"/>
              <w:right w:val="single" w:sz="4" w:space="0" w:color="auto"/>
            </w:tcBorders>
            <w:shd w:val="clear" w:color="auto" w:fill="auto"/>
            <w:noWrap/>
            <w:vAlign w:val="bottom"/>
            <w:hideMark/>
          </w:tcPr>
          <w:p w14:paraId="1939A51A"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537F9A54"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r>
      <w:tr w:rsidR="00225727" w:rsidRPr="00D75FE1" w14:paraId="075F3FEE"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71BA939"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510340</w:t>
            </w:r>
          </w:p>
        </w:tc>
        <w:tc>
          <w:tcPr>
            <w:tcW w:w="1927" w:type="dxa"/>
            <w:tcBorders>
              <w:top w:val="nil"/>
              <w:left w:val="nil"/>
              <w:bottom w:val="single" w:sz="4" w:space="0" w:color="auto"/>
              <w:right w:val="single" w:sz="4" w:space="0" w:color="auto"/>
            </w:tcBorders>
            <w:shd w:val="clear" w:color="auto" w:fill="auto"/>
            <w:noWrap/>
            <w:vAlign w:val="bottom"/>
            <w:hideMark/>
          </w:tcPr>
          <w:p w14:paraId="2B37E99E"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Cuiabá</w:t>
            </w:r>
          </w:p>
        </w:tc>
        <w:tc>
          <w:tcPr>
            <w:tcW w:w="1544" w:type="dxa"/>
            <w:tcBorders>
              <w:top w:val="nil"/>
              <w:left w:val="nil"/>
              <w:bottom w:val="single" w:sz="4" w:space="0" w:color="auto"/>
              <w:right w:val="single" w:sz="4" w:space="0" w:color="auto"/>
            </w:tcBorders>
            <w:shd w:val="clear" w:color="auto" w:fill="auto"/>
            <w:noWrap/>
            <w:vAlign w:val="bottom"/>
            <w:hideMark/>
          </w:tcPr>
          <w:p w14:paraId="1B0A1A2F"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Mato Grosso</w:t>
            </w:r>
          </w:p>
        </w:tc>
        <w:tc>
          <w:tcPr>
            <w:tcW w:w="1354" w:type="dxa"/>
            <w:tcBorders>
              <w:top w:val="nil"/>
              <w:left w:val="nil"/>
              <w:bottom w:val="single" w:sz="4" w:space="0" w:color="auto"/>
              <w:right w:val="single" w:sz="4" w:space="0" w:color="auto"/>
            </w:tcBorders>
            <w:shd w:val="clear" w:color="auto" w:fill="auto"/>
            <w:noWrap/>
            <w:vAlign w:val="bottom"/>
            <w:hideMark/>
          </w:tcPr>
          <w:p w14:paraId="6D9B30FF"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75B3A21E"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22CC8B47"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C2437A5"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520140</w:t>
            </w:r>
          </w:p>
        </w:tc>
        <w:tc>
          <w:tcPr>
            <w:tcW w:w="1927" w:type="dxa"/>
            <w:tcBorders>
              <w:top w:val="nil"/>
              <w:left w:val="nil"/>
              <w:bottom w:val="single" w:sz="4" w:space="0" w:color="auto"/>
              <w:right w:val="single" w:sz="4" w:space="0" w:color="auto"/>
            </w:tcBorders>
            <w:shd w:val="clear" w:color="auto" w:fill="auto"/>
            <w:noWrap/>
            <w:vAlign w:val="bottom"/>
            <w:hideMark/>
          </w:tcPr>
          <w:p w14:paraId="447798E5"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Aparecida de Goiânia</w:t>
            </w:r>
          </w:p>
        </w:tc>
        <w:tc>
          <w:tcPr>
            <w:tcW w:w="1544" w:type="dxa"/>
            <w:tcBorders>
              <w:top w:val="nil"/>
              <w:left w:val="nil"/>
              <w:bottom w:val="single" w:sz="4" w:space="0" w:color="auto"/>
              <w:right w:val="single" w:sz="4" w:space="0" w:color="auto"/>
            </w:tcBorders>
            <w:shd w:val="clear" w:color="auto" w:fill="auto"/>
            <w:noWrap/>
            <w:vAlign w:val="bottom"/>
            <w:hideMark/>
          </w:tcPr>
          <w:p w14:paraId="3B316F05"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Goiás</w:t>
            </w:r>
          </w:p>
        </w:tc>
        <w:tc>
          <w:tcPr>
            <w:tcW w:w="1354" w:type="dxa"/>
            <w:tcBorders>
              <w:top w:val="nil"/>
              <w:left w:val="nil"/>
              <w:bottom w:val="single" w:sz="4" w:space="0" w:color="auto"/>
              <w:right w:val="single" w:sz="4" w:space="0" w:color="auto"/>
            </w:tcBorders>
            <w:shd w:val="clear" w:color="auto" w:fill="auto"/>
            <w:noWrap/>
            <w:vAlign w:val="bottom"/>
            <w:hideMark/>
          </w:tcPr>
          <w:p w14:paraId="727CE6E2"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3CB264A9"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 </w:t>
            </w:r>
          </w:p>
        </w:tc>
      </w:tr>
      <w:tr w:rsidR="00225727" w:rsidRPr="00D75FE1" w14:paraId="7861CF95"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C07DB24"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520870</w:t>
            </w:r>
          </w:p>
        </w:tc>
        <w:tc>
          <w:tcPr>
            <w:tcW w:w="1927" w:type="dxa"/>
            <w:tcBorders>
              <w:top w:val="nil"/>
              <w:left w:val="nil"/>
              <w:bottom w:val="single" w:sz="4" w:space="0" w:color="auto"/>
              <w:right w:val="single" w:sz="4" w:space="0" w:color="auto"/>
            </w:tcBorders>
            <w:shd w:val="clear" w:color="auto" w:fill="auto"/>
            <w:noWrap/>
            <w:vAlign w:val="bottom"/>
            <w:hideMark/>
          </w:tcPr>
          <w:p w14:paraId="746EBE54"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Goiânia</w:t>
            </w:r>
          </w:p>
        </w:tc>
        <w:tc>
          <w:tcPr>
            <w:tcW w:w="1544" w:type="dxa"/>
            <w:tcBorders>
              <w:top w:val="nil"/>
              <w:left w:val="nil"/>
              <w:bottom w:val="single" w:sz="4" w:space="0" w:color="auto"/>
              <w:right w:val="single" w:sz="4" w:space="0" w:color="auto"/>
            </w:tcBorders>
            <w:shd w:val="clear" w:color="auto" w:fill="auto"/>
            <w:noWrap/>
            <w:vAlign w:val="bottom"/>
            <w:hideMark/>
          </w:tcPr>
          <w:p w14:paraId="57889CF1"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Goiás</w:t>
            </w:r>
          </w:p>
        </w:tc>
        <w:tc>
          <w:tcPr>
            <w:tcW w:w="1354" w:type="dxa"/>
            <w:tcBorders>
              <w:top w:val="nil"/>
              <w:left w:val="nil"/>
              <w:bottom w:val="single" w:sz="4" w:space="0" w:color="auto"/>
              <w:right w:val="single" w:sz="4" w:space="0" w:color="auto"/>
            </w:tcBorders>
            <w:shd w:val="clear" w:color="auto" w:fill="auto"/>
            <w:noWrap/>
            <w:vAlign w:val="bottom"/>
            <w:hideMark/>
          </w:tcPr>
          <w:p w14:paraId="2EF9B047"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c>
          <w:tcPr>
            <w:tcW w:w="1350" w:type="dxa"/>
            <w:tcBorders>
              <w:top w:val="nil"/>
              <w:left w:val="nil"/>
              <w:bottom w:val="single" w:sz="4" w:space="0" w:color="auto"/>
              <w:right w:val="single" w:sz="4" w:space="0" w:color="auto"/>
            </w:tcBorders>
            <w:shd w:val="clear" w:color="auto" w:fill="auto"/>
            <w:noWrap/>
            <w:vAlign w:val="bottom"/>
            <w:hideMark/>
          </w:tcPr>
          <w:p w14:paraId="3BEC6EC2"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0%</w:t>
            </w:r>
          </w:p>
        </w:tc>
      </w:tr>
      <w:tr w:rsidR="00225727" w:rsidRPr="00D75FE1" w14:paraId="63154B8A" w14:textId="77777777" w:rsidTr="00F7186A">
        <w:trPr>
          <w:trHeight w:val="258"/>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B656F6E" w14:textId="77777777" w:rsidR="00225727" w:rsidRPr="00847A84" w:rsidRDefault="00225727" w:rsidP="00847A84">
            <w:pPr>
              <w:jc w:val="center"/>
              <w:rPr>
                <w:rFonts w:cs="Arial"/>
                <w:color w:val="000000"/>
                <w:spacing w:val="0"/>
                <w:sz w:val="18"/>
                <w:szCs w:val="18"/>
                <w:lang w:val="es-MX"/>
              </w:rPr>
            </w:pPr>
            <w:r w:rsidRPr="00847A84">
              <w:rPr>
                <w:rFonts w:cs="Arial"/>
                <w:color w:val="000000"/>
                <w:spacing w:val="0"/>
                <w:sz w:val="18"/>
                <w:szCs w:val="18"/>
                <w:lang w:val="es-MX"/>
              </w:rPr>
              <w:t>530010</w:t>
            </w:r>
          </w:p>
        </w:tc>
        <w:tc>
          <w:tcPr>
            <w:tcW w:w="1927" w:type="dxa"/>
            <w:tcBorders>
              <w:top w:val="nil"/>
              <w:left w:val="nil"/>
              <w:bottom w:val="single" w:sz="4" w:space="0" w:color="auto"/>
              <w:right w:val="single" w:sz="4" w:space="0" w:color="auto"/>
            </w:tcBorders>
            <w:shd w:val="clear" w:color="auto" w:fill="auto"/>
            <w:noWrap/>
            <w:vAlign w:val="bottom"/>
            <w:hideMark/>
          </w:tcPr>
          <w:p w14:paraId="5D70A2CE" w14:textId="77777777" w:rsidR="00225727" w:rsidRPr="00847A84" w:rsidRDefault="00225727" w:rsidP="00225727">
            <w:pPr>
              <w:rPr>
                <w:rFonts w:cs="Arial"/>
                <w:color w:val="000000"/>
                <w:spacing w:val="0"/>
                <w:sz w:val="18"/>
                <w:szCs w:val="18"/>
                <w:lang w:val="es-MX"/>
              </w:rPr>
            </w:pPr>
            <w:proofErr w:type="spellStart"/>
            <w:r w:rsidRPr="00847A84">
              <w:rPr>
                <w:rFonts w:cs="Arial"/>
                <w:color w:val="000000"/>
                <w:spacing w:val="0"/>
                <w:sz w:val="18"/>
                <w:szCs w:val="18"/>
                <w:lang w:val="es-MX"/>
              </w:rPr>
              <w:t>Brasília</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45229C7E" w14:textId="77777777" w:rsidR="00225727" w:rsidRPr="00847A84" w:rsidRDefault="00225727" w:rsidP="00225727">
            <w:pPr>
              <w:rPr>
                <w:rFonts w:cs="Arial"/>
                <w:color w:val="000000"/>
                <w:spacing w:val="0"/>
                <w:sz w:val="18"/>
                <w:szCs w:val="18"/>
                <w:lang w:val="es-MX"/>
              </w:rPr>
            </w:pPr>
            <w:r w:rsidRPr="00847A84">
              <w:rPr>
                <w:rFonts w:cs="Arial"/>
                <w:color w:val="000000"/>
                <w:spacing w:val="0"/>
                <w:sz w:val="18"/>
                <w:szCs w:val="18"/>
                <w:lang w:val="es-MX"/>
              </w:rPr>
              <w:t>Distrito Federal</w:t>
            </w:r>
          </w:p>
        </w:tc>
        <w:tc>
          <w:tcPr>
            <w:tcW w:w="1354" w:type="dxa"/>
            <w:tcBorders>
              <w:top w:val="nil"/>
              <w:left w:val="nil"/>
              <w:bottom w:val="single" w:sz="4" w:space="0" w:color="auto"/>
              <w:right w:val="single" w:sz="4" w:space="0" w:color="auto"/>
            </w:tcBorders>
            <w:shd w:val="clear" w:color="auto" w:fill="auto"/>
            <w:noWrap/>
            <w:vAlign w:val="bottom"/>
            <w:hideMark/>
          </w:tcPr>
          <w:p w14:paraId="5BDA5794"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8%</w:t>
            </w:r>
          </w:p>
        </w:tc>
        <w:tc>
          <w:tcPr>
            <w:tcW w:w="1350" w:type="dxa"/>
            <w:tcBorders>
              <w:top w:val="nil"/>
              <w:left w:val="nil"/>
              <w:bottom w:val="single" w:sz="4" w:space="0" w:color="auto"/>
              <w:right w:val="single" w:sz="4" w:space="0" w:color="auto"/>
            </w:tcBorders>
            <w:shd w:val="clear" w:color="auto" w:fill="auto"/>
            <w:noWrap/>
            <w:vAlign w:val="bottom"/>
            <w:hideMark/>
          </w:tcPr>
          <w:p w14:paraId="625E9F62" w14:textId="77777777" w:rsidR="00225727" w:rsidRPr="00847A84" w:rsidRDefault="00225727" w:rsidP="00225727">
            <w:pPr>
              <w:jc w:val="right"/>
              <w:rPr>
                <w:rFonts w:cs="Arial"/>
                <w:color w:val="000000"/>
                <w:spacing w:val="0"/>
                <w:sz w:val="18"/>
                <w:szCs w:val="18"/>
                <w:lang w:val="es-MX"/>
              </w:rPr>
            </w:pPr>
            <w:r w:rsidRPr="00847A84">
              <w:rPr>
                <w:rFonts w:cs="Arial"/>
                <w:color w:val="000000"/>
                <w:spacing w:val="0"/>
                <w:sz w:val="18"/>
                <w:szCs w:val="18"/>
                <w:lang w:val="es-MX"/>
              </w:rPr>
              <w:t>11%</w:t>
            </w:r>
          </w:p>
        </w:tc>
      </w:tr>
    </w:tbl>
    <w:p w14:paraId="6CFF07E8" w14:textId="798EE731" w:rsidR="00A1159F" w:rsidRPr="00B50A5D" w:rsidRDefault="00225727" w:rsidP="00B50A5D">
      <w:pPr>
        <w:pStyle w:val="AutoNumpara"/>
        <w:numPr>
          <w:ilvl w:val="0"/>
          <w:numId w:val="0"/>
        </w:numPr>
        <w:tabs>
          <w:tab w:val="left" w:pos="1080"/>
        </w:tabs>
        <w:spacing w:before="60"/>
        <w:rPr>
          <w:rFonts w:cs="Arial"/>
          <w:noProof w:val="0"/>
          <w:color w:val="000000"/>
          <w:sz w:val="16"/>
          <w:szCs w:val="16"/>
          <w:lang w:val="es-MX"/>
        </w:rPr>
      </w:pPr>
      <w:r w:rsidRPr="00D75FE1">
        <w:rPr>
          <w:rFonts w:cs="Arial"/>
          <w:color w:val="000000"/>
          <w:sz w:val="18"/>
          <w:szCs w:val="18"/>
          <w:lang w:val="es-MX"/>
        </w:rPr>
        <w:tab/>
      </w:r>
      <w:r w:rsidR="00A1159F" w:rsidRPr="00B50A5D">
        <w:rPr>
          <w:rFonts w:cs="Arial"/>
          <w:noProof w:val="0"/>
          <w:color w:val="000000"/>
          <w:sz w:val="16"/>
          <w:szCs w:val="16"/>
          <w:lang w:val="es-MX"/>
        </w:rPr>
        <w:t>Fuente: Elaboración de los autores.</w:t>
      </w:r>
      <w:bookmarkStart w:id="7" w:name="_Ref296241830"/>
    </w:p>
    <w:p w14:paraId="258F1587" w14:textId="77777777" w:rsidR="00A1159F" w:rsidRPr="00F7186A" w:rsidRDefault="00A1159F" w:rsidP="00D878B4">
      <w:pPr>
        <w:pStyle w:val="Caption"/>
      </w:pPr>
      <w:r w:rsidRPr="00F7186A">
        <w:lastRenderedPageBreak/>
        <w:t xml:space="preserve">Figura </w:t>
      </w:r>
      <w:r w:rsidRPr="00F7186A">
        <w:fldChar w:fldCharType="begin"/>
      </w:r>
      <w:r w:rsidRPr="00F7186A">
        <w:instrText xml:space="preserve"> SEQ Figura \* ARABIC </w:instrText>
      </w:r>
      <w:r w:rsidRPr="00F7186A">
        <w:fldChar w:fldCharType="separate"/>
      </w:r>
      <w:r w:rsidRPr="00F7186A">
        <w:t>3</w:t>
      </w:r>
      <w:r w:rsidRPr="00F7186A">
        <w:fldChar w:fldCharType="end"/>
      </w:r>
      <w:bookmarkEnd w:id="7"/>
      <w:r w:rsidRPr="00F7186A">
        <w:t xml:space="preserve">. Ajuste de los modelos respecto a </w:t>
      </w:r>
      <w:r w:rsidR="00225727" w:rsidRPr="00F7186A">
        <w:t>Belo Horizonte</w:t>
      </w:r>
    </w:p>
    <w:p w14:paraId="7D3992BD" w14:textId="242F5757" w:rsidR="00225727" w:rsidRDefault="00A1159F" w:rsidP="00A53EF1">
      <w:pPr>
        <w:keepNext/>
        <w:jc w:val="center"/>
        <w:rPr>
          <w:sz w:val="18"/>
          <w:szCs w:val="18"/>
          <w:lang w:val="es-MX"/>
        </w:rPr>
      </w:pPr>
      <w:r w:rsidRPr="00F7186A">
        <w:rPr>
          <w:sz w:val="18"/>
          <w:szCs w:val="18"/>
          <w:lang w:val="es-MX"/>
        </w:rPr>
        <w:t>Hospitalizaciones prevenibles (por 10.000 habitantes), población 30-59 años</w:t>
      </w:r>
    </w:p>
    <w:p w14:paraId="4736644B" w14:textId="77777777" w:rsidR="00F7186A" w:rsidRPr="00F7186A" w:rsidRDefault="00F7186A" w:rsidP="00A53EF1">
      <w:pPr>
        <w:keepNext/>
        <w:jc w:val="center"/>
        <w:rPr>
          <w:sz w:val="18"/>
          <w:szCs w:val="18"/>
          <w:lang w:val="es-MX"/>
        </w:rPr>
      </w:pPr>
    </w:p>
    <w:p w14:paraId="24BF4D6E" w14:textId="77777777" w:rsidR="00A1159F" w:rsidRPr="00D75FE1" w:rsidRDefault="00225727" w:rsidP="00225727">
      <w:pPr>
        <w:keepNext/>
        <w:jc w:val="center"/>
        <w:rPr>
          <w:lang w:val="es-MX"/>
        </w:rPr>
      </w:pPr>
      <w:r w:rsidRPr="00D75FE1">
        <w:rPr>
          <w:noProof/>
          <w:lang w:val="es-MX"/>
        </w:rPr>
        <w:drawing>
          <wp:inline distT="0" distB="0" distL="0" distR="0" wp14:anchorId="11B4D074" wp14:editId="6D2A4A07">
            <wp:extent cx="3879850" cy="2580821"/>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717" t="836" r="658" b="868"/>
                    <a:stretch/>
                  </pic:blipFill>
                  <pic:spPr bwMode="auto">
                    <a:xfrm>
                      <a:off x="0" y="0"/>
                      <a:ext cx="3882780" cy="2582770"/>
                    </a:xfrm>
                    <a:prstGeom prst="rect">
                      <a:avLst/>
                    </a:prstGeom>
                    <a:ln>
                      <a:noFill/>
                    </a:ln>
                    <a:extLst>
                      <a:ext uri="{53640926-AAD7-44D8-BBD7-CCE9431645EC}">
                        <a14:shadowObscured xmlns:a14="http://schemas.microsoft.com/office/drawing/2010/main"/>
                      </a:ext>
                    </a:extLst>
                  </pic:spPr>
                </pic:pic>
              </a:graphicData>
            </a:graphic>
          </wp:inline>
        </w:drawing>
      </w:r>
    </w:p>
    <w:p w14:paraId="5A0A36AC" w14:textId="5E164B06" w:rsidR="00A1159F" w:rsidRPr="00D75FE1" w:rsidRDefault="00A1159F" w:rsidP="00F7186A">
      <w:pPr>
        <w:keepNext/>
        <w:ind w:left="1710"/>
        <w:rPr>
          <w:rFonts w:cs="Arial"/>
          <w:sz w:val="18"/>
          <w:szCs w:val="18"/>
          <w:lang w:val="es-MX"/>
        </w:rPr>
      </w:pPr>
      <w:r w:rsidRPr="00D75FE1">
        <w:rPr>
          <w:rFonts w:cs="Arial"/>
          <w:sz w:val="18"/>
          <w:szCs w:val="18"/>
          <w:lang w:val="es-MX"/>
        </w:rPr>
        <w:t>Fuente: Elaboración de los autores.</w:t>
      </w:r>
    </w:p>
    <w:p w14:paraId="54E049C9" w14:textId="15DB6CE6" w:rsidR="00A1159F" w:rsidRDefault="00A1159F" w:rsidP="00F7186A">
      <w:pPr>
        <w:keepNext/>
        <w:ind w:left="1710"/>
        <w:rPr>
          <w:rFonts w:cs="Arial"/>
          <w:sz w:val="18"/>
          <w:szCs w:val="18"/>
          <w:lang w:val="es-MX"/>
        </w:rPr>
      </w:pPr>
      <w:r w:rsidRPr="00D75FE1">
        <w:rPr>
          <w:rFonts w:cs="Arial"/>
          <w:sz w:val="18"/>
          <w:szCs w:val="18"/>
          <w:lang w:val="es-MX"/>
        </w:rPr>
        <w:t>Nota: 3</w:t>
      </w:r>
      <w:r w:rsidR="00225727" w:rsidRPr="00D75FE1">
        <w:rPr>
          <w:rFonts w:cs="Arial"/>
          <w:sz w:val="18"/>
          <w:szCs w:val="18"/>
          <w:lang w:val="es-MX"/>
        </w:rPr>
        <w:t>10620</w:t>
      </w:r>
      <w:r w:rsidRPr="00D75FE1">
        <w:rPr>
          <w:rFonts w:cs="Arial"/>
          <w:sz w:val="18"/>
          <w:szCs w:val="18"/>
          <w:lang w:val="es-MX"/>
        </w:rPr>
        <w:t xml:space="preserve">=Código del Municipio de </w:t>
      </w:r>
      <w:r w:rsidR="00225727" w:rsidRPr="00D75FE1">
        <w:rPr>
          <w:rFonts w:cs="Arial"/>
          <w:sz w:val="18"/>
          <w:szCs w:val="18"/>
          <w:lang w:val="es-MX"/>
        </w:rPr>
        <w:t>Belo Horizonte</w:t>
      </w:r>
      <w:r w:rsidRPr="00D75FE1">
        <w:rPr>
          <w:rFonts w:cs="Arial"/>
          <w:sz w:val="18"/>
          <w:szCs w:val="18"/>
          <w:lang w:val="es-MX"/>
        </w:rPr>
        <w:t>.</w:t>
      </w:r>
    </w:p>
    <w:p w14:paraId="1DED5EA4" w14:textId="77777777" w:rsidR="00377621" w:rsidRPr="00D75FE1" w:rsidRDefault="00377621" w:rsidP="00F7186A">
      <w:pPr>
        <w:keepNext/>
        <w:ind w:left="1710"/>
        <w:rPr>
          <w:rFonts w:cs="Arial"/>
          <w:sz w:val="18"/>
          <w:szCs w:val="18"/>
          <w:lang w:val="es-MX"/>
        </w:rPr>
      </w:pPr>
    </w:p>
    <w:p w14:paraId="3B7B940A" w14:textId="77777777" w:rsidR="00A1159F" w:rsidRPr="00D75FE1" w:rsidRDefault="00A1159F" w:rsidP="00A1159F">
      <w:pPr>
        <w:ind w:left="450"/>
        <w:rPr>
          <w:rFonts w:cs="Arial"/>
          <w:sz w:val="18"/>
          <w:szCs w:val="18"/>
          <w:highlight w:val="yellow"/>
          <w:lang w:val="es-MX"/>
        </w:rPr>
      </w:pPr>
    </w:p>
    <w:p w14:paraId="0EEB0C51" w14:textId="77777777" w:rsidR="00A1159F" w:rsidRPr="00D75FE1" w:rsidRDefault="00A1159F" w:rsidP="00D878B4">
      <w:pPr>
        <w:pStyle w:val="Caption"/>
      </w:pPr>
      <w:bookmarkStart w:id="8" w:name="_Ref296242068"/>
      <w:r w:rsidRPr="00D75FE1">
        <w:t xml:space="preserve">Figura </w:t>
      </w:r>
      <w:r w:rsidRPr="00D75FE1">
        <w:fldChar w:fldCharType="begin"/>
      </w:r>
      <w:r w:rsidRPr="00D75FE1">
        <w:instrText xml:space="preserve"> SEQ Figura \* ARABIC </w:instrText>
      </w:r>
      <w:r w:rsidRPr="00D75FE1">
        <w:fldChar w:fldCharType="separate"/>
      </w:r>
      <w:r w:rsidRPr="00D75FE1">
        <w:t>4</w:t>
      </w:r>
      <w:r w:rsidRPr="00D75FE1">
        <w:fldChar w:fldCharType="end"/>
      </w:r>
      <w:bookmarkEnd w:id="8"/>
      <w:r w:rsidRPr="00D75FE1">
        <w:t xml:space="preserve">. Distribución de los errores de los modelos 1 y 2. </w:t>
      </w:r>
    </w:p>
    <w:p w14:paraId="6A443A3E" w14:textId="77777777" w:rsidR="00A53EF1" w:rsidRPr="00D75FE1" w:rsidRDefault="00A53EF1" w:rsidP="00A1159F">
      <w:pPr>
        <w:jc w:val="center"/>
        <w:rPr>
          <w:highlight w:val="yellow"/>
          <w:lang w:val="es-MX"/>
        </w:rPr>
      </w:pPr>
    </w:p>
    <w:p w14:paraId="567B4CEA" w14:textId="77777777" w:rsidR="00A53EF1" w:rsidRPr="00D75FE1" w:rsidRDefault="00A53EF1" w:rsidP="00A1159F">
      <w:pPr>
        <w:jc w:val="center"/>
        <w:rPr>
          <w:highlight w:val="yellow"/>
          <w:lang w:val="es-MX"/>
        </w:rPr>
      </w:pPr>
      <w:r w:rsidRPr="00D75FE1">
        <w:rPr>
          <w:noProof/>
          <w:lang w:val="es-MX"/>
        </w:rPr>
        <w:drawing>
          <wp:inline distT="0" distB="0" distL="0" distR="0" wp14:anchorId="044C66D2" wp14:editId="7D8BB88C">
            <wp:extent cx="3927475" cy="28520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934894" cy="2857422"/>
                    </a:xfrm>
                    <a:prstGeom prst="rect">
                      <a:avLst/>
                    </a:prstGeom>
                  </pic:spPr>
                </pic:pic>
              </a:graphicData>
            </a:graphic>
          </wp:inline>
        </w:drawing>
      </w:r>
    </w:p>
    <w:p w14:paraId="3CE265FC" w14:textId="77777777" w:rsidR="00A1159F" w:rsidRPr="00D75FE1" w:rsidRDefault="00A1159F" w:rsidP="00377621">
      <w:pPr>
        <w:ind w:left="1530"/>
        <w:rPr>
          <w:rFonts w:cs="Arial"/>
          <w:sz w:val="18"/>
          <w:szCs w:val="18"/>
          <w:lang w:val="es-MX"/>
        </w:rPr>
      </w:pPr>
      <w:r w:rsidRPr="00D75FE1">
        <w:rPr>
          <w:rFonts w:cs="Arial"/>
          <w:sz w:val="18"/>
          <w:szCs w:val="18"/>
          <w:lang w:val="es-MX"/>
        </w:rPr>
        <w:t>Fuente: Elaboración de los autores.</w:t>
      </w:r>
    </w:p>
    <w:p w14:paraId="546F4073" w14:textId="7E494703" w:rsidR="00A1159F" w:rsidRPr="00D75FE1" w:rsidRDefault="00A1159F" w:rsidP="00377621">
      <w:pPr>
        <w:ind w:left="1530"/>
        <w:rPr>
          <w:rFonts w:cs="Arial"/>
          <w:sz w:val="18"/>
          <w:szCs w:val="18"/>
          <w:lang w:val="es-MX"/>
        </w:rPr>
      </w:pPr>
      <w:r w:rsidRPr="00D75FE1">
        <w:rPr>
          <w:rFonts w:cs="Arial"/>
          <w:sz w:val="18"/>
          <w:szCs w:val="18"/>
          <w:lang w:val="es-MX"/>
        </w:rPr>
        <w:t>Notas: error1=Error del modelo 1</w:t>
      </w:r>
      <w:r w:rsidR="00BB54A5">
        <w:rPr>
          <w:rFonts w:cs="Arial"/>
          <w:sz w:val="18"/>
          <w:szCs w:val="18"/>
          <w:lang w:val="es-MX"/>
        </w:rPr>
        <w:t>,</w:t>
      </w:r>
      <w:r w:rsidRPr="00D75FE1">
        <w:rPr>
          <w:rFonts w:cs="Arial"/>
          <w:sz w:val="18"/>
          <w:szCs w:val="18"/>
          <w:lang w:val="es-MX"/>
        </w:rPr>
        <w:t xml:space="preserve"> error2=Error del modelo 2.</w:t>
      </w:r>
    </w:p>
    <w:p w14:paraId="4B0855B1" w14:textId="04430569" w:rsidR="00A1159F" w:rsidRPr="00D75FE1" w:rsidRDefault="00A1159F" w:rsidP="00A1159F">
      <w:pPr>
        <w:rPr>
          <w:rFonts w:cs="Arial"/>
          <w:sz w:val="22"/>
          <w:szCs w:val="22"/>
          <w:highlight w:val="yellow"/>
          <w:lang w:val="es-MX"/>
        </w:rPr>
      </w:pPr>
    </w:p>
    <w:p w14:paraId="19CC3FF2" w14:textId="4F1EDC4B" w:rsidR="00A1159F" w:rsidRPr="00D75FE1" w:rsidRDefault="00A1159F" w:rsidP="00A1159F">
      <w:pPr>
        <w:jc w:val="both"/>
        <w:rPr>
          <w:rFonts w:cs="Arial"/>
          <w:sz w:val="22"/>
          <w:szCs w:val="22"/>
          <w:lang w:val="es-MX"/>
        </w:rPr>
      </w:pPr>
      <w:r w:rsidRPr="00D75FE1">
        <w:rPr>
          <w:rFonts w:cs="Arial"/>
          <w:sz w:val="22"/>
          <w:szCs w:val="22"/>
          <w:lang w:val="es-MX"/>
        </w:rPr>
        <w:t xml:space="preserve">Cómo se observa en la </w:t>
      </w:r>
      <w:r w:rsidRPr="00D75FE1">
        <w:rPr>
          <w:rFonts w:cs="Arial"/>
          <w:sz w:val="22"/>
          <w:szCs w:val="22"/>
          <w:lang w:val="es-MX"/>
        </w:rPr>
        <w:fldChar w:fldCharType="begin"/>
      </w:r>
      <w:r w:rsidRPr="00D75FE1">
        <w:rPr>
          <w:rFonts w:cs="Arial"/>
          <w:sz w:val="22"/>
          <w:szCs w:val="22"/>
          <w:lang w:val="es-MX"/>
        </w:rPr>
        <w:instrText xml:space="preserve"> REF _Ref296241830 \h  \* MERGEFORMAT </w:instrText>
      </w:r>
      <w:r w:rsidRPr="00D75FE1">
        <w:rPr>
          <w:rFonts w:cs="Arial"/>
          <w:sz w:val="22"/>
          <w:szCs w:val="22"/>
          <w:lang w:val="es-MX"/>
        </w:rPr>
      </w:r>
      <w:r w:rsidRPr="00D75FE1">
        <w:rPr>
          <w:rFonts w:cs="Arial"/>
          <w:sz w:val="22"/>
          <w:szCs w:val="22"/>
          <w:lang w:val="es-MX"/>
        </w:rPr>
        <w:fldChar w:fldCharType="separate"/>
      </w:r>
      <w:r w:rsidRPr="00D75FE1">
        <w:rPr>
          <w:rFonts w:cs="Arial"/>
          <w:sz w:val="22"/>
          <w:szCs w:val="22"/>
          <w:lang w:val="es-MX"/>
        </w:rPr>
        <w:t>Figura 3</w:t>
      </w:r>
      <w:r w:rsidRPr="00D75FE1">
        <w:rPr>
          <w:rFonts w:cs="Arial"/>
          <w:sz w:val="22"/>
          <w:szCs w:val="22"/>
          <w:lang w:val="es-MX"/>
        </w:rPr>
        <w:fldChar w:fldCharType="end"/>
      </w:r>
      <w:r w:rsidRPr="00D75FE1">
        <w:rPr>
          <w:rFonts w:cs="Arial"/>
          <w:sz w:val="22"/>
          <w:szCs w:val="22"/>
          <w:lang w:val="es-MX"/>
        </w:rPr>
        <w:t xml:space="preserve"> </w:t>
      </w:r>
      <w:r w:rsidR="00F00814" w:rsidRPr="00D75FE1">
        <w:rPr>
          <w:rFonts w:cs="Arial"/>
          <w:sz w:val="22"/>
          <w:szCs w:val="22"/>
          <w:lang w:val="es-MX"/>
        </w:rPr>
        <w:t>el primer modelo muestra</w:t>
      </w:r>
      <w:r w:rsidRPr="00D75FE1">
        <w:rPr>
          <w:rFonts w:cs="Arial"/>
          <w:sz w:val="22"/>
          <w:szCs w:val="22"/>
          <w:lang w:val="es-MX"/>
        </w:rPr>
        <w:t xml:space="preserve"> un mejor ajuste al comportamiento del municipio de </w:t>
      </w:r>
      <w:r w:rsidR="00F00814" w:rsidRPr="00D75FE1">
        <w:rPr>
          <w:rFonts w:cs="Arial"/>
          <w:sz w:val="22"/>
          <w:szCs w:val="22"/>
          <w:lang w:val="es-MX"/>
        </w:rPr>
        <w:t>Belo Horizonte</w:t>
      </w:r>
      <w:r w:rsidRPr="00D75FE1">
        <w:rPr>
          <w:rFonts w:cs="Arial"/>
          <w:sz w:val="22"/>
          <w:szCs w:val="22"/>
          <w:lang w:val="es-MX"/>
        </w:rPr>
        <w:t xml:space="preserve">. Los histogramas presentados en la </w:t>
      </w:r>
      <w:r w:rsidRPr="00D75FE1">
        <w:rPr>
          <w:rFonts w:cs="Arial"/>
          <w:sz w:val="22"/>
          <w:szCs w:val="22"/>
          <w:lang w:val="es-MX"/>
        </w:rPr>
        <w:fldChar w:fldCharType="begin"/>
      </w:r>
      <w:r w:rsidRPr="00D75FE1">
        <w:rPr>
          <w:rFonts w:cs="Arial"/>
          <w:sz w:val="22"/>
          <w:szCs w:val="22"/>
          <w:lang w:val="es-MX"/>
        </w:rPr>
        <w:instrText xml:space="preserve"> REF _Ref296242068 \h  \* MERGEFORMAT </w:instrText>
      </w:r>
      <w:r w:rsidRPr="00D75FE1">
        <w:rPr>
          <w:rFonts w:cs="Arial"/>
          <w:sz w:val="22"/>
          <w:szCs w:val="22"/>
          <w:lang w:val="es-MX"/>
        </w:rPr>
      </w:r>
      <w:r w:rsidRPr="00D75FE1">
        <w:rPr>
          <w:rFonts w:cs="Arial"/>
          <w:sz w:val="22"/>
          <w:szCs w:val="22"/>
          <w:lang w:val="es-MX"/>
        </w:rPr>
        <w:fldChar w:fldCharType="separate"/>
      </w:r>
      <w:r w:rsidRPr="00D75FE1">
        <w:rPr>
          <w:rFonts w:cs="Arial"/>
          <w:sz w:val="22"/>
          <w:szCs w:val="22"/>
          <w:lang w:val="es-MX"/>
        </w:rPr>
        <w:t>Figura 4</w:t>
      </w:r>
      <w:r w:rsidRPr="00D75FE1">
        <w:rPr>
          <w:rFonts w:cs="Arial"/>
          <w:sz w:val="22"/>
          <w:szCs w:val="22"/>
          <w:lang w:val="es-MX"/>
        </w:rPr>
        <w:fldChar w:fldCharType="end"/>
      </w:r>
      <w:r w:rsidRPr="00D75FE1">
        <w:rPr>
          <w:rFonts w:cs="Arial"/>
          <w:sz w:val="22"/>
          <w:szCs w:val="22"/>
          <w:lang w:val="es-MX"/>
        </w:rPr>
        <w:t xml:space="preserve"> muestran la distribución de los errores entre el valor predicho por los modelos 1 y 2 y el comportamiento del municipio de </w:t>
      </w:r>
      <w:r w:rsidR="00F00814" w:rsidRPr="00D75FE1">
        <w:rPr>
          <w:rFonts w:cs="Arial"/>
          <w:sz w:val="22"/>
          <w:szCs w:val="22"/>
          <w:lang w:val="es-MX"/>
        </w:rPr>
        <w:t>Belo Horizonte</w:t>
      </w:r>
      <w:r w:rsidRPr="00D75FE1">
        <w:rPr>
          <w:rFonts w:cs="Arial"/>
          <w:sz w:val="22"/>
          <w:szCs w:val="22"/>
          <w:lang w:val="es-MX"/>
        </w:rPr>
        <w:t xml:space="preserve">. </w:t>
      </w:r>
      <w:r w:rsidR="00F00814" w:rsidRPr="00D75FE1">
        <w:rPr>
          <w:rFonts w:cs="Arial"/>
          <w:sz w:val="22"/>
          <w:szCs w:val="22"/>
          <w:lang w:val="es-MX"/>
        </w:rPr>
        <w:t>Con base en</w:t>
      </w:r>
      <w:r w:rsidRPr="00D75FE1">
        <w:rPr>
          <w:rFonts w:cs="Arial"/>
          <w:sz w:val="22"/>
          <w:szCs w:val="22"/>
          <w:lang w:val="es-MX"/>
        </w:rPr>
        <w:t xml:space="preserve"> estos análisis se concluye que el modelo que minimiza los errores y que por tanto corresponde al mejor grupo de control es el modelo 1, representado a continuación en la </w:t>
      </w:r>
      <w:r w:rsidRPr="00D75FE1">
        <w:rPr>
          <w:rFonts w:cs="Arial"/>
          <w:sz w:val="22"/>
          <w:szCs w:val="22"/>
          <w:lang w:val="es-MX"/>
        </w:rPr>
        <w:fldChar w:fldCharType="begin"/>
      </w:r>
      <w:r w:rsidRPr="00D75FE1">
        <w:rPr>
          <w:rFonts w:cs="Arial"/>
          <w:sz w:val="22"/>
          <w:szCs w:val="22"/>
          <w:lang w:val="es-MX"/>
        </w:rPr>
        <w:instrText xml:space="preserve"> REF _Ref296242188 \h  \* MERGEFORMAT </w:instrText>
      </w:r>
      <w:r w:rsidRPr="00D75FE1">
        <w:rPr>
          <w:rFonts w:cs="Arial"/>
          <w:sz w:val="22"/>
          <w:szCs w:val="22"/>
          <w:lang w:val="es-MX"/>
        </w:rPr>
      </w:r>
      <w:r w:rsidRPr="00D75FE1">
        <w:rPr>
          <w:rFonts w:cs="Arial"/>
          <w:sz w:val="22"/>
          <w:szCs w:val="22"/>
          <w:lang w:val="es-MX"/>
        </w:rPr>
        <w:fldChar w:fldCharType="separate"/>
      </w:r>
      <w:r w:rsidRPr="00D75FE1">
        <w:rPr>
          <w:rFonts w:cs="Arial"/>
          <w:sz w:val="22"/>
          <w:szCs w:val="22"/>
          <w:lang w:val="es-MX"/>
        </w:rPr>
        <w:t>Figura 5</w:t>
      </w:r>
      <w:r w:rsidRPr="00D75FE1">
        <w:rPr>
          <w:rFonts w:cs="Arial"/>
          <w:sz w:val="22"/>
          <w:szCs w:val="22"/>
          <w:lang w:val="es-MX"/>
        </w:rPr>
        <w:fldChar w:fldCharType="end"/>
      </w:r>
      <w:r w:rsidRPr="00D75FE1">
        <w:rPr>
          <w:rFonts w:cs="Arial"/>
          <w:sz w:val="22"/>
          <w:szCs w:val="22"/>
          <w:lang w:val="es-MX"/>
        </w:rPr>
        <w:t>.</w:t>
      </w:r>
    </w:p>
    <w:p w14:paraId="4BBDD5D2" w14:textId="77777777" w:rsidR="00A1159F" w:rsidRPr="002C0E09" w:rsidRDefault="00A1159F" w:rsidP="00D878B4">
      <w:pPr>
        <w:pStyle w:val="Caption"/>
      </w:pPr>
      <w:bookmarkStart w:id="9" w:name="_Ref296242188"/>
      <w:r w:rsidRPr="002C0E09">
        <w:lastRenderedPageBreak/>
        <w:t xml:space="preserve">Figura </w:t>
      </w:r>
      <w:r w:rsidRPr="002C0E09">
        <w:fldChar w:fldCharType="begin"/>
      </w:r>
      <w:r w:rsidRPr="002C0E09">
        <w:instrText xml:space="preserve"> SEQ Figura \* ARABIC </w:instrText>
      </w:r>
      <w:r w:rsidRPr="002C0E09">
        <w:fldChar w:fldCharType="separate"/>
      </w:r>
      <w:r w:rsidRPr="002C0E09">
        <w:t>5</w:t>
      </w:r>
      <w:r w:rsidRPr="002C0E09">
        <w:fldChar w:fldCharType="end"/>
      </w:r>
      <w:bookmarkEnd w:id="9"/>
      <w:r w:rsidRPr="002C0E09">
        <w:t xml:space="preserve">. Modelo 1 en comparación con el municipio de </w:t>
      </w:r>
      <w:r w:rsidR="006839B7" w:rsidRPr="002C0E09">
        <w:t>Belo Horizonte.</w:t>
      </w:r>
      <w:r w:rsidRPr="002C0E09">
        <w:t xml:space="preserve"> </w:t>
      </w:r>
    </w:p>
    <w:p w14:paraId="4CC0A7E3" w14:textId="5FF133D2" w:rsidR="00A1159F" w:rsidRDefault="00A1159F" w:rsidP="00A1159F">
      <w:pPr>
        <w:keepNext/>
        <w:jc w:val="center"/>
        <w:rPr>
          <w:sz w:val="18"/>
          <w:szCs w:val="18"/>
          <w:lang w:val="es-MX"/>
        </w:rPr>
      </w:pPr>
      <w:r w:rsidRPr="002C0E09">
        <w:rPr>
          <w:sz w:val="18"/>
          <w:szCs w:val="18"/>
          <w:lang w:val="es-MX"/>
        </w:rPr>
        <w:t>Hospitalizaciones prevenibles (por 10.000 habitantes), población 30-59 años</w:t>
      </w:r>
    </w:p>
    <w:p w14:paraId="435DD60E" w14:textId="77777777" w:rsidR="002C0E09" w:rsidRPr="002C0E09" w:rsidRDefault="002C0E09" w:rsidP="00A1159F">
      <w:pPr>
        <w:keepNext/>
        <w:jc w:val="center"/>
        <w:rPr>
          <w:sz w:val="18"/>
          <w:szCs w:val="18"/>
          <w:lang w:val="es-MX"/>
        </w:rPr>
      </w:pPr>
    </w:p>
    <w:p w14:paraId="15F59E10" w14:textId="77777777" w:rsidR="00A1159F" w:rsidRPr="00D75FE1" w:rsidRDefault="00A75C78" w:rsidP="00A75C78">
      <w:pPr>
        <w:keepNext/>
        <w:jc w:val="center"/>
        <w:rPr>
          <w:sz w:val="22"/>
          <w:lang w:val="es-MX"/>
        </w:rPr>
      </w:pPr>
      <w:r w:rsidRPr="00D75FE1">
        <w:rPr>
          <w:noProof/>
          <w:lang w:val="es-MX"/>
        </w:rPr>
        <w:drawing>
          <wp:inline distT="0" distB="0" distL="0" distR="0" wp14:anchorId="6846D85E" wp14:editId="00E77568">
            <wp:extent cx="3885099" cy="3043360"/>
            <wp:effectExtent l="0" t="0" r="127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t="766" b="888"/>
                    <a:stretch/>
                  </pic:blipFill>
                  <pic:spPr bwMode="auto">
                    <a:xfrm>
                      <a:off x="0" y="0"/>
                      <a:ext cx="3888491" cy="3046017"/>
                    </a:xfrm>
                    <a:prstGeom prst="rect">
                      <a:avLst/>
                    </a:prstGeom>
                    <a:ln>
                      <a:noFill/>
                    </a:ln>
                    <a:extLst>
                      <a:ext uri="{53640926-AAD7-44D8-BBD7-CCE9431645EC}">
                        <a14:shadowObscured xmlns:a14="http://schemas.microsoft.com/office/drawing/2010/main"/>
                      </a:ext>
                    </a:extLst>
                  </pic:spPr>
                </pic:pic>
              </a:graphicData>
            </a:graphic>
          </wp:inline>
        </w:drawing>
      </w:r>
    </w:p>
    <w:p w14:paraId="0ABD8330" w14:textId="77777777" w:rsidR="00A1159F" w:rsidRPr="00D75FE1" w:rsidRDefault="00A1159F" w:rsidP="002C0E09">
      <w:pPr>
        <w:keepNext/>
        <w:ind w:left="1800"/>
        <w:rPr>
          <w:rFonts w:cs="Arial"/>
          <w:sz w:val="18"/>
          <w:szCs w:val="18"/>
          <w:lang w:val="es-MX"/>
        </w:rPr>
      </w:pPr>
      <w:r w:rsidRPr="00D75FE1">
        <w:rPr>
          <w:rFonts w:cs="Arial"/>
          <w:sz w:val="18"/>
          <w:szCs w:val="18"/>
          <w:lang w:val="es-MX"/>
        </w:rPr>
        <w:t>Fuente: Elaboración de los autores.</w:t>
      </w:r>
    </w:p>
    <w:p w14:paraId="235E84D5" w14:textId="77777777" w:rsidR="00A1159F" w:rsidRPr="00D75FE1" w:rsidRDefault="00A1159F" w:rsidP="002C0E09">
      <w:pPr>
        <w:keepNext/>
        <w:ind w:left="1800"/>
        <w:rPr>
          <w:rFonts w:cs="Arial"/>
          <w:sz w:val="18"/>
          <w:szCs w:val="18"/>
          <w:lang w:val="es-MX"/>
        </w:rPr>
      </w:pPr>
      <w:r w:rsidRPr="00D75FE1">
        <w:rPr>
          <w:rFonts w:cs="Arial"/>
          <w:sz w:val="18"/>
          <w:szCs w:val="18"/>
          <w:lang w:val="es-MX"/>
        </w:rPr>
        <w:t>Nota: 3</w:t>
      </w:r>
      <w:r w:rsidR="00A75C78" w:rsidRPr="00D75FE1">
        <w:rPr>
          <w:rFonts w:cs="Arial"/>
          <w:sz w:val="18"/>
          <w:szCs w:val="18"/>
          <w:lang w:val="es-MX"/>
        </w:rPr>
        <w:t>10620</w:t>
      </w:r>
      <w:r w:rsidRPr="00D75FE1">
        <w:rPr>
          <w:rFonts w:cs="Arial"/>
          <w:sz w:val="18"/>
          <w:szCs w:val="18"/>
          <w:lang w:val="es-MX"/>
        </w:rPr>
        <w:t xml:space="preserve">=Código del Municipio de </w:t>
      </w:r>
      <w:r w:rsidR="00A75C78" w:rsidRPr="00D75FE1">
        <w:rPr>
          <w:rFonts w:cs="Arial"/>
          <w:sz w:val="18"/>
          <w:szCs w:val="18"/>
          <w:lang w:val="es-MX"/>
        </w:rPr>
        <w:t>Belo Horizonte</w:t>
      </w:r>
      <w:r w:rsidRPr="00D75FE1">
        <w:rPr>
          <w:rFonts w:cs="Arial"/>
          <w:sz w:val="18"/>
          <w:szCs w:val="18"/>
          <w:lang w:val="es-MX"/>
        </w:rPr>
        <w:t>.</w:t>
      </w:r>
    </w:p>
    <w:p w14:paraId="24D0D297" w14:textId="77777777" w:rsidR="00A1159F" w:rsidRPr="00D75FE1" w:rsidRDefault="00A1159F" w:rsidP="00A1159F">
      <w:pPr>
        <w:rPr>
          <w:rFonts w:cs="Arial"/>
          <w:sz w:val="22"/>
          <w:szCs w:val="22"/>
          <w:lang w:val="es-MX"/>
        </w:rPr>
      </w:pPr>
    </w:p>
    <w:p w14:paraId="7A2BBF4C" w14:textId="77777777" w:rsidR="00A1159F" w:rsidRPr="00D75FE1" w:rsidRDefault="00A1159F" w:rsidP="00A1159F">
      <w:pPr>
        <w:jc w:val="both"/>
        <w:rPr>
          <w:rFonts w:cs="Arial"/>
          <w:sz w:val="22"/>
          <w:szCs w:val="22"/>
          <w:lang w:val="es-MX"/>
        </w:rPr>
      </w:pPr>
      <w:r w:rsidRPr="00D75FE1">
        <w:rPr>
          <w:rFonts w:cs="Arial"/>
          <w:sz w:val="22"/>
          <w:szCs w:val="22"/>
          <w:lang w:val="es-MX"/>
        </w:rPr>
        <w:t>En resumen, los elementos centrales para la evaluación son la metodología descrita anteriormente que permite construir un grupo de comparación sintético para identificar el impacto de la intervención. Esta metodología es flexible y permitirá evaluar los indicadores de impacto contenidos en la matriz de resultados</w:t>
      </w:r>
      <w:r w:rsidRPr="00BB54A5">
        <w:rPr>
          <w:rFonts w:cs="Arial"/>
          <w:sz w:val="22"/>
          <w:szCs w:val="22"/>
          <w:lang w:val="es-MX"/>
        </w:rPr>
        <w:t>. Adicionalmente la fuente de información es un sistema de información establecido y confiable que recoge información de todo el SUS. Cada semestre se actualizarán las series disponibles en los sistemas de SUS para los estados seleccionados y del IBGE para actualizar la información sobre población y PIB.</w:t>
      </w:r>
      <w:r w:rsidRPr="00D75FE1">
        <w:rPr>
          <w:rFonts w:cs="Arial"/>
          <w:sz w:val="22"/>
          <w:szCs w:val="22"/>
          <w:lang w:val="es-MX"/>
        </w:rPr>
        <w:t xml:space="preserve"> </w:t>
      </w:r>
      <w:bookmarkStart w:id="10" w:name="_Toc296257280"/>
      <w:bookmarkStart w:id="11" w:name="_Toc296257190"/>
    </w:p>
    <w:p w14:paraId="7B56BBA5" w14:textId="77777777" w:rsidR="00A1159F" w:rsidRPr="00DB376B" w:rsidRDefault="00A1159F" w:rsidP="00A1159F">
      <w:pPr>
        <w:jc w:val="both"/>
        <w:rPr>
          <w:rFonts w:cs="Arial"/>
          <w:sz w:val="22"/>
          <w:szCs w:val="22"/>
          <w:lang w:val="es-MX"/>
        </w:rPr>
      </w:pPr>
    </w:p>
    <w:p w14:paraId="49699EA7" w14:textId="77777777" w:rsidR="00A1159F" w:rsidRPr="002C0E09" w:rsidRDefault="00A1159F" w:rsidP="00A1159F">
      <w:pPr>
        <w:spacing w:line="360" w:lineRule="auto"/>
        <w:jc w:val="center"/>
        <w:rPr>
          <w:rFonts w:cs="Arial"/>
          <w:b/>
          <w:sz w:val="18"/>
          <w:szCs w:val="18"/>
          <w:lang w:val="es-MX"/>
        </w:rPr>
      </w:pPr>
      <w:r w:rsidRPr="002C0E09">
        <w:rPr>
          <w:rFonts w:cs="Arial"/>
          <w:b/>
          <w:sz w:val="18"/>
          <w:szCs w:val="18"/>
          <w:lang w:val="es-MX"/>
        </w:rPr>
        <w:t>Plan de trabajo de la evaluación de impacto componente</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19"/>
        <w:gridCol w:w="328"/>
        <w:gridCol w:w="360"/>
        <w:gridCol w:w="360"/>
        <w:gridCol w:w="360"/>
        <w:gridCol w:w="360"/>
        <w:gridCol w:w="1441"/>
        <w:gridCol w:w="1586"/>
        <w:gridCol w:w="1746"/>
      </w:tblGrid>
      <w:tr w:rsidR="00A1159F" w:rsidRPr="00D75FE1" w14:paraId="1DC434AB" w14:textId="77777777" w:rsidTr="00CC6943">
        <w:trPr>
          <w:cantSplit/>
          <w:trHeight w:val="1134"/>
          <w:jc w:val="center"/>
        </w:trPr>
        <w:tc>
          <w:tcPr>
            <w:tcW w:w="2817"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73F8544A" w14:textId="77777777" w:rsidR="00A1159F" w:rsidRPr="00A72AC8" w:rsidRDefault="00A1159F">
            <w:pPr>
              <w:jc w:val="center"/>
              <w:rPr>
                <w:rFonts w:cs="Arial"/>
                <w:b/>
                <w:sz w:val="14"/>
                <w:szCs w:val="14"/>
                <w:lang w:val="es-MX"/>
              </w:rPr>
            </w:pPr>
            <w:r w:rsidRPr="00A72AC8">
              <w:rPr>
                <w:rFonts w:cs="Arial"/>
                <w:b/>
                <w:sz w:val="14"/>
                <w:szCs w:val="14"/>
                <w:lang w:val="es-MX"/>
              </w:rPr>
              <w:t>Actividades clave de la evaluación / Productos por actividad</w:t>
            </w:r>
          </w:p>
        </w:tc>
        <w:tc>
          <w:tcPr>
            <w:tcW w:w="328"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hideMark/>
          </w:tcPr>
          <w:p w14:paraId="18C6A31B" w14:textId="77777777" w:rsidR="00A1159F" w:rsidRPr="00A72AC8" w:rsidRDefault="00A1159F">
            <w:pPr>
              <w:ind w:left="113" w:right="113"/>
              <w:jc w:val="center"/>
              <w:rPr>
                <w:rFonts w:cs="Arial"/>
                <w:b/>
                <w:sz w:val="14"/>
                <w:szCs w:val="14"/>
                <w:lang w:val="es-MX"/>
              </w:rPr>
            </w:pPr>
            <w:r w:rsidRPr="00A72AC8">
              <w:rPr>
                <w:rFonts w:cs="Arial"/>
                <w:b/>
                <w:sz w:val="14"/>
                <w:szCs w:val="14"/>
                <w:lang w:val="es-MX"/>
              </w:rPr>
              <w:t>Año 1</w:t>
            </w:r>
          </w:p>
        </w:tc>
        <w:tc>
          <w:tcPr>
            <w:tcW w:w="36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hideMark/>
          </w:tcPr>
          <w:p w14:paraId="176BFEFB" w14:textId="77777777" w:rsidR="00A1159F" w:rsidRPr="00A72AC8" w:rsidRDefault="00A1159F">
            <w:pPr>
              <w:ind w:left="113" w:right="113"/>
              <w:jc w:val="center"/>
              <w:rPr>
                <w:rFonts w:cs="Arial"/>
                <w:b/>
                <w:sz w:val="14"/>
                <w:szCs w:val="14"/>
                <w:lang w:val="es-MX"/>
              </w:rPr>
            </w:pPr>
            <w:r w:rsidRPr="00A72AC8">
              <w:rPr>
                <w:rFonts w:cs="Arial"/>
                <w:b/>
                <w:sz w:val="14"/>
                <w:szCs w:val="14"/>
                <w:lang w:val="es-MX"/>
              </w:rPr>
              <w:t>Año 2</w:t>
            </w:r>
          </w:p>
        </w:tc>
        <w:tc>
          <w:tcPr>
            <w:tcW w:w="36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hideMark/>
          </w:tcPr>
          <w:p w14:paraId="25219131" w14:textId="77777777" w:rsidR="00A1159F" w:rsidRPr="00A72AC8" w:rsidRDefault="00A1159F">
            <w:pPr>
              <w:ind w:left="113" w:right="113"/>
              <w:jc w:val="center"/>
              <w:rPr>
                <w:rFonts w:cs="Arial"/>
                <w:b/>
                <w:sz w:val="14"/>
                <w:szCs w:val="14"/>
                <w:lang w:val="es-MX"/>
              </w:rPr>
            </w:pPr>
            <w:r w:rsidRPr="00A72AC8">
              <w:rPr>
                <w:rFonts w:cs="Arial"/>
                <w:b/>
                <w:sz w:val="14"/>
                <w:szCs w:val="14"/>
                <w:lang w:val="es-MX"/>
              </w:rPr>
              <w:t>Año 3</w:t>
            </w:r>
          </w:p>
        </w:tc>
        <w:tc>
          <w:tcPr>
            <w:tcW w:w="36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hideMark/>
          </w:tcPr>
          <w:p w14:paraId="13CBCC83" w14:textId="77777777" w:rsidR="00A1159F" w:rsidRPr="00A72AC8" w:rsidRDefault="00A1159F">
            <w:pPr>
              <w:ind w:left="113" w:right="113"/>
              <w:jc w:val="center"/>
              <w:rPr>
                <w:rFonts w:cs="Arial"/>
                <w:b/>
                <w:sz w:val="14"/>
                <w:szCs w:val="14"/>
                <w:lang w:val="es-MX"/>
              </w:rPr>
            </w:pPr>
            <w:r w:rsidRPr="00A72AC8">
              <w:rPr>
                <w:rFonts w:cs="Arial"/>
                <w:b/>
                <w:sz w:val="14"/>
                <w:szCs w:val="14"/>
                <w:lang w:val="es-MX"/>
              </w:rPr>
              <w:t>Año 4</w:t>
            </w:r>
          </w:p>
        </w:tc>
        <w:tc>
          <w:tcPr>
            <w:tcW w:w="36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hideMark/>
          </w:tcPr>
          <w:p w14:paraId="0C716A8D" w14:textId="77777777" w:rsidR="00A1159F" w:rsidRPr="00A72AC8" w:rsidRDefault="00A1159F">
            <w:pPr>
              <w:ind w:left="113" w:right="113"/>
              <w:jc w:val="center"/>
              <w:rPr>
                <w:rFonts w:cs="Arial"/>
                <w:b/>
                <w:sz w:val="14"/>
                <w:szCs w:val="14"/>
                <w:lang w:val="es-MX"/>
              </w:rPr>
            </w:pPr>
            <w:r w:rsidRPr="00A72AC8">
              <w:rPr>
                <w:rFonts w:cs="Arial"/>
                <w:b/>
                <w:sz w:val="14"/>
                <w:szCs w:val="14"/>
                <w:lang w:val="es-MX"/>
              </w:rPr>
              <w:t>Año 5</w:t>
            </w:r>
          </w:p>
        </w:tc>
        <w:tc>
          <w:tcPr>
            <w:tcW w:w="144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76115619" w14:textId="77777777" w:rsidR="00A1159F" w:rsidRPr="00A72AC8" w:rsidRDefault="00A1159F">
            <w:pPr>
              <w:jc w:val="center"/>
              <w:rPr>
                <w:rFonts w:cs="Arial"/>
                <w:b/>
                <w:sz w:val="14"/>
                <w:szCs w:val="14"/>
                <w:lang w:val="es-MX"/>
              </w:rPr>
            </w:pPr>
            <w:r w:rsidRPr="00A72AC8">
              <w:rPr>
                <w:rFonts w:cs="Arial"/>
                <w:b/>
                <w:sz w:val="14"/>
                <w:szCs w:val="14"/>
                <w:lang w:val="es-MX"/>
              </w:rPr>
              <w:t>Responsable</w:t>
            </w:r>
          </w:p>
        </w:tc>
        <w:tc>
          <w:tcPr>
            <w:tcW w:w="1585"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1220E3BD" w14:textId="77777777" w:rsidR="00A1159F" w:rsidRPr="007F653B" w:rsidRDefault="00A1159F">
            <w:pPr>
              <w:jc w:val="center"/>
              <w:rPr>
                <w:rFonts w:cs="Arial"/>
                <w:b/>
                <w:sz w:val="14"/>
                <w:szCs w:val="14"/>
                <w:lang w:val="es-MX"/>
              </w:rPr>
            </w:pPr>
            <w:r w:rsidRPr="007F653B">
              <w:rPr>
                <w:rFonts w:cs="Arial"/>
                <w:b/>
                <w:sz w:val="14"/>
                <w:szCs w:val="14"/>
                <w:lang w:val="es-MX"/>
              </w:rPr>
              <w:t>Costo</w:t>
            </w:r>
          </w:p>
          <w:p w14:paraId="12CD7772" w14:textId="77777777" w:rsidR="00A1159F" w:rsidRPr="007F653B" w:rsidRDefault="00A1159F">
            <w:pPr>
              <w:jc w:val="center"/>
              <w:rPr>
                <w:rFonts w:cs="Arial"/>
                <w:b/>
                <w:sz w:val="14"/>
                <w:szCs w:val="14"/>
                <w:lang w:val="es-MX"/>
              </w:rPr>
            </w:pPr>
          </w:p>
        </w:tc>
        <w:tc>
          <w:tcPr>
            <w:tcW w:w="1745"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hideMark/>
          </w:tcPr>
          <w:p w14:paraId="6F6C0336" w14:textId="77777777" w:rsidR="00A1159F" w:rsidRPr="007F653B" w:rsidRDefault="00A1159F">
            <w:pPr>
              <w:jc w:val="center"/>
              <w:rPr>
                <w:rFonts w:cs="Arial"/>
                <w:b/>
                <w:sz w:val="14"/>
                <w:szCs w:val="14"/>
                <w:lang w:val="es-MX"/>
              </w:rPr>
            </w:pPr>
            <w:r w:rsidRPr="007F653B">
              <w:rPr>
                <w:rFonts w:cs="Arial"/>
                <w:b/>
                <w:sz w:val="14"/>
                <w:szCs w:val="14"/>
                <w:lang w:val="es-MX"/>
              </w:rPr>
              <w:t>Financiamiento</w:t>
            </w:r>
          </w:p>
        </w:tc>
      </w:tr>
      <w:tr w:rsidR="00A1159F" w:rsidRPr="00D75FE1" w14:paraId="4967FDA8" w14:textId="77777777" w:rsidTr="00A1159F">
        <w:trPr>
          <w:jc w:val="center"/>
        </w:trPr>
        <w:tc>
          <w:tcPr>
            <w:tcW w:w="2817" w:type="dxa"/>
            <w:tcBorders>
              <w:top w:val="single" w:sz="4" w:space="0" w:color="000000"/>
              <w:left w:val="single" w:sz="4" w:space="0" w:color="000000"/>
              <w:bottom w:val="single" w:sz="4" w:space="0" w:color="000000"/>
              <w:right w:val="single" w:sz="4" w:space="0" w:color="000000"/>
            </w:tcBorders>
            <w:hideMark/>
          </w:tcPr>
          <w:p w14:paraId="0B2535F4" w14:textId="77777777" w:rsidR="00A1159F" w:rsidRPr="00A72AC8" w:rsidRDefault="00A1159F">
            <w:pPr>
              <w:rPr>
                <w:rFonts w:cs="Arial"/>
                <w:sz w:val="14"/>
                <w:szCs w:val="14"/>
                <w:lang w:val="es-MX"/>
              </w:rPr>
            </w:pPr>
            <w:r w:rsidRPr="00A72AC8">
              <w:rPr>
                <w:rFonts w:cs="Arial"/>
                <w:sz w:val="14"/>
                <w:szCs w:val="14"/>
                <w:lang w:val="es-MX"/>
              </w:rPr>
              <w:t>Contratación de consultoría para la evaluación de impacto en salud</w:t>
            </w:r>
          </w:p>
        </w:tc>
        <w:tc>
          <w:tcPr>
            <w:tcW w:w="328" w:type="dxa"/>
            <w:tcBorders>
              <w:top w:val="single" w:sz="4" w:space="0" w:color="000000"/>
              <w:left w:val="single" w:sz="4" w:space="0" w:color="000000"/>
              <w:bottom w:val="single" w:sz="4" w:space="0" w:color="000000"/>
              <w:right w:val="single" w:sz="4" w:space="0" w:color="000000"/>
            </w:tcBorders>
            <w:shd w:val="clear" w:color="auto" w:fill="D9D9D9"/>
          </w:tcPr>
          <w:p w14:paraId="2D937D1A"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0E330F69"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57E2F520"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38E2BF7E"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6DD909B4" w14:textId="77777777" w:rsidR="00A1159F" w:rsidRPr="00A72AC8" w:rsidRDefault="00A1159F">
            <w:pPr>
              <w:rPr>
                <w:rFonts w:cs="Arial"/>
                <w:sz w:val="14"/>
                <w:szCs w:val="14"/>
                <w:lang w:val="es-MX"/>
              </w:rPr>
            </w:pPr>
          </w:p>
        </w:tc>
        <w:tc>
          <w:tcPr>
            <w:tcW w:w="1440" w:type="dxa"/>
            <w:vMerge w:val="restart"/>
            <w:tcBorders>
              <w:top w:val="single" w:sz="4" w:space="0" w:color="000000"/>
              <w:left w:val="single" w:sz="4" w:space="0" w:color="000000"/>
              <w:bottom w:val="single" w:sz="4" w:space="0" w:color="000000"/>
              <w:right w:val="single" w:sz="4" w:space="0" w:color="000000"/>
            </w:tcBorders>
          </w:tcPr>
          <w:p w14:paraId="3A5642CA" w14:textId="77777777" w:rsidR="00A1159F" w:rsidRPr="007F653B" w:rsidRDefault="00A1159F">
            <w:pPr>
              <w:rPr>
                <w:rFonts w:cs="Arial"/>
                <w:sz w:val="14"/>
                <w:szCs w:val="14"/>
                <w:lang w:val="es-MX"/>
              </w:rPr>
            </w:pPr>
            <w:r w:rsidRPr="007F653B">
              <w:rPr>
                <w:rFonts w:cs="Arial"/>
                <w:sz w:val="14"/>
                <w:szCs w:val="14"/>
                <w:lang w:val="es-MX"/>
              </w:rPr>
              <w:t>UCP-SESA / con asistencia técnica del BID</w:t>
            </w:r>
          </w:p>
          <w:p w14:paraId="1A4D17BA" w14:textId="77777777" w:rsidR="00A1159F" w:rsidRPr="007F653B" w:rsidRDefault="00A1159F">
            <w:pPr>
              <w:rPr>
                <w:rFonts w:cs="Arial"/>
                <w:sz w:val="14"/>
                <w:szCs w:val="14"/>
                <w:lang w:val="es-MX"/>
              </w:rPr>
            </w:pPr>
          </w:p>
        </w:tc>
        <w:tc>
          <w:tcPr>
            <w:tcW w:w="1585" w:type="dxa"/>
            <w:tcBorders>
              <w:top w:val="single" w:sz="4" w:space="0" w:color="000000"/>
              <w:left w:val="single" w:sz="4" w:space="0" w:color="000000"/>
              <w:bottom w:val="single" w:sz="4" w:space="0" w:color="000000"/>
              <w:right w:val="single" w:sz="4" w:space="0" w:color="000000"/>
            </w:tcBorders>
            <w:hideMark/>
          </w:tcPr>
          <w:p w14:paraId="1A93F3F8" w14:textId="26507279" w:rsidR="00A1159F" w:rsidRPr="007F653B" w:rsidRDefault="00A1159F">
            <w:pPr>
              <w:rPr>
                <w:rFonts w:cs="Arial"/>
                <w:sz w:val="14"/>
                <w:szCs w:val="14"/>
                <w:lang w:val="es-MX"/>
              </w:rPr>
            </w:pPr>
            <w:r w:rsidRPr="007F653B">
              <w:rPr>
                <w:rFonts w:cs="Arial"/>
                <w:sz w:val="14"/>
                <w:szCs w:val="14"/>
                <w:lang w:val="es-MX"/>
              </w:rPr>
              <w:t>US$</w:t>
            </w:r>
            <w:r w:rsidR="00EC481F" w:rsidRPr="007F653B">
              <w:rPr>
                <w:rFonts w:cs="Arial"/>
                <w:sz w:val="14"/>
                <w:szCs w:val="14"/>
                <w:lang w:val="es-MX"/>
              </w:rPr>
              <w:t>21</w:t>
            </w:r>
            <w:r w:rsidRPr="007F653B">
              <w:rPr>
                <w:rFonts w:cs="Arial"/>
                <w:sz w:val="14"/>
                <w:szCs w:val="14"/>
                <w:lang w:val="es-MX"/>
              </w:rPr>
              <w:t>0.000</w:t>
            </w:r>
          </w:p>
        </w:tc>
        <w:tc>
          <w:tcPr>
            <w:tcW w:w="1745" w:type="dxa"/>
            <w:vMerge w:val="restart"/>
            <w:tcBorders>
              <w:top w:val="single" w:sz="4" w:space="0" w:color="000000"/>
              <w:left w:val="single" w:sz="4" w:space="0" w:color="000000"/>
              <w:bottom w:val="single" w:sz="4" w:space="0" w:color="000000"/>
              <w:right w:val="single" w:sz="4" w:space="0" w:color="000000"/>
            </w:tcBorders>
            <w:hideMark/>
          </w:tcPr>
          <w:p w14:paraId="390329D1" w14:textId="10A516B1" w:rsidR="00A1159F" w:rsidRPr="00AB0309" w:rsidRDefault="00A1159F">
            <w:pPr>
              <w:rPr>
                <w:rFonts w:cs="Arial"/>
                <w:sz w:val="14"/>
                <w:szCs w:val="14"/>
                <w:lang w:val="es-MX"/>
              </w:rPr>
            </w:pPr>
            <w:r w:rsidRPr="00AB0309">
              <w:rPr>
                <w:rFonts w:cs="Arial"/>
                <w:sz w:val="14"/>
                <w:szCs w:val="14"/>
                <w:lang w:val="es-MX"/>
              </w:rPr>
              <w:t>BR-L1</w:t>
            </w:r>
            <w:r w:rsidR="00A72AC8" w:rsidRPr="00AB0309">
              <w:rPr>
                <w:rFonts w:cs="Arial"/>
                <w:sz w:val="14"/>
                <w:szCs w:val="14"/>
                <w:lang w:val="es-MX"/>
              </w:rPr>
              <w:t>51</w:t>
            </w:r>
            <w:r w:rsidRPr="00AB0309">
              <w:rPr>
                <w:rFonts w:cs="Arial"/>
                <w:sz w:val="14"/>
                <w:szCs w:val="14"/>
                <w:lang w:val="es-MX"/>
              </w:rPr>
              <w:t xml:space="preserve">9. PEP Componente </w:t>
            </w:r>
            <w:r w:rsidR="00A72AC8" w:rsidRPr="00AB0309">
              <w:rPr>
                <w:rFonts w:cs="Arial"/>
                <w:sz w:val="14"/>
                <w:szCs w:val="14"/>
                <w:lang w:val="es-MX"/>
              </w:rPr>
              <w:t xml:space="preserve">4 </w:t>
            </w:r>
            <w:r w:rsidRPr="00AB0309">
              <w:rPr>
                <w:rFonts w:cs="Arial"/>
                <w:sz w:val="14"/>
                <w:szCs w:val="14"/>
                <w:lang w:val="es-MX"/>
              </w:rPr>
              <w:t xml:space="preserve">de análisis de datos la evaluación de impacto  </w:t>
            </w:r>
          </w:p>
        </w:tc>
      </w:tr>
      <w:tr w:rsidR="00A1159F" w:rsidRPr="00D75FE1" w14:paraId="44768EA9" w14:textId="77777777" w:rsidTr="00A1159F">
        <w:trPr>
          <w:jc w:val="center"/>
        </w:trPr>
        <w:tc>
          <w:tcPr>
            <w:tcW w:w="2817" w:type="dxa"/>
            <w:tcBorders>
              <w:top w:val="single" w:sz="4" w:space="0" w:color="000000"/>
              <w:left w:val="single" w:sz="4" w:space="0" w:color="000000"/>
              <w:bottom w:val="single" w:sz="4" w:space="0" w:color="000000"/>
              <w:right w:val="single" w:sz="4" w:space="0" w:color="000000"/>
            </w:tcBorders>
            <w:hideMark/>
          </w:tcPr>
          <w:p w14:paraId="357B01DB" w14:textId="77777777" w:rsidR="00A1159F" w:rsidRPr="00A72AC8" w:rsidRDefault="00A1159F">
            <w:pPr>
              <w:rPr>
                <w:rFonts w:cs="Arial"/>
                <w:sz w:val="14"/>
                <w:szCs w:val="14"/>
                <w:lang w:val="es-MX"/>
              </w:rPr>
            </w:pPr>
            <w:r w:rsidRPr="00A72AC8">
              <w:rPr>
                <w:rFonts w:cs="Arial"/>
                <w:sz w:val="14"/>
                <w:szCs w:val="14"/>
                <w:lang w:val="es-MX"/>
              </w:rPr>
              <w:t xml:space="preserve">Diseño final de la evaluación </w:t>
            </w:r>
          </w:p>
        </w:tc>
        <w:tc>
          <w:tcPr>
            <w:tcW w:w="328" w:type="dxa"/>
            <w:tcBorders>
              <w:top w:val="single" w:sz="4" w:space="0" w:color="000000"/>
              <w:left w:val="single" w:sz="4" w:space="0" w:color="000000"/>
              <w:bottom w:val="single" w:sz="4" w:space="0" w:color="000000"/>
              <w:right w:val="single" w:sz="4" w:space="0" w:color="000000"/>
            </w:tcBorders>
            <w:shd w:val="clear" w:color="auto" w:fill="D9D9D9"/>
          </w:tcPr>
          <w:p w14:paraId="4B02F0A5"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4AD6CBB9"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2D52539F"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4A5EC551"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30C48400" w14:textId="77777777" w:rsidR="00A1159F" w:rsidRPr="00A72AC8" w:rsidRDefault="00A1159F">
            <w:pPr>
              <w:rPr>
                <w:rFonts w:cs="Arial"/>
                <w:sz w:val="14"/>
                <w:szCs w:val="14"/>
                <w:lang w:val="es-MX"/>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14:paraId="7E08CA17" w14:textId="77777777" w:rsidR="00A1159F" w:rsidRPr="00D75FE1" w:rsidRDefault="00A1159F">
            <w:pPr>
              <w:rPr>
                <w:rFonts w:cs="Arial"/>
                <w:sz w:val="14"/>
                <w:szCs w:val="14"/>
                <w:highlight w:val="yellow"/>
                <w:lang w:val="es-MX"/>
              </w:rPr>
            </w:pPr>
          </w:p>
        </w:tc>
        <w:tc>
          <w:tcPr>
            <w:tcW w:w="1585" w:type="dxa"/>
            <w:vMerge w:val="restart"/>
            <w:tcBorders>
              <w:top w:val="single" w:sz="4" w:space="0" w:color="000000"/>
              <w:left w:val="single" w:sz="4" w:space="0" w:color="000000"/>
              <w:bottom w:val="single" w:sz="4" w:space="0" w:color="000000"/>
              <w:right w:val="single" w:sz="4" w:space="0" w:color="000000"/>
            </w:tcBorders>
            <w:hideMark/>
          </w:tcPr>
          <w:p w14:paraId="323DC93F" w14:textId="77777777" w:rsidR="00A1159F" w:rsidRPr="00D75FE1" w:rsidRDefault="00A1159F">
            <w:pPr>
              <w:rPr>
                <w:rFonts w:cs="Arial"/>
                <w:sz w:val="14"/>
                <w:szCs w:val="14"/>
                <w:highlight w:val="yellow"/>
                <w:lang w:val="es-MX"/>
              </w:rPr>
            </w:pPr>
            <w:r w:rsidRPr="007F653B">
              <w:rPr>
                <w:rFonts w:cs="Arial"/>
                <w:sz w:val="14"/>
                <w:szCs w:val="14"/>
                <w:lang w:val="es-MX"/>
              </w:rPr>
              <w:t>Incluido en el costo de consultoría para la evaluación de impacto. Supervisión en presupuesto ordinario de UCP y presupuesto de supervisión del BID</w:t>
            </w:r>
          </w:p>
        </w:tc>
        <w:tc>
          <w:tcPr>
            <w:tcW w:w="1745" w:type="dxa"/>
            <w:vMerge/>
            <w:tcBorders>
              <w:top w:val="single" w:sz="4" w:space="0" w:color="000000"/>
              <w:left w:val="single" w:sz="4" w:space="0" w:color="000000"/>
              <w:bottom w:val="single" w:sz="4" w:space="0" w:color="000000"/>
              <w:right w:val="single" w:sz="4" w:space="0" w:color="000000"/>
            </w:tcBorders>
            <w:vAlign w:val="center"/>
            <w:hideMark/>
          </w:tcPr>
          <w:p w14:paraId="075E3727" w14:textId="77777777" w:rsidR="00A1159F" w:rsidRPr="00D75FE1" w:rsidRDefault="00A1159F">
            <w:pPr>
              <w:rPr>
                <w:rFonts w:cs="Arial"/>
                <w:sz w:val="14"/>
                <w:szCs w:val="14"/>
                <w:highlight w:val="yellow"/>
                <w:lang w:val="es-MX"/>
              </w:rPr>
            </w:pPr>
          </w:p>
        </w:tc>
      </w:tr>
      <w:tr w:rsidR="00A1159F" w:rsidRPr="00D75FE1" w14:paraId="3A7D573F" w14:textId="77777777" w:rsidTr="00A1159F">
        <w:trPr>
          <w:jc w:val="center"/>
        </w:trPr>
        <w:tc>
          <w:tcPr>
            <w:tcW w:w="2817" w:type="dxa"/>
            <w:tcBorders>
              <w:top w:val="single" w:sz="4" w:space="0" w:color="000000"/>
              <w:left w:val="single" w:sz="4" w:space="0" w:color="000000"/>
              <w:bottom w:val="single" w:sz="4" w:space="0" w:color="000000"/>
              <w:right w:val="single" w:sz="4" w:space="0" w:color="000000"/>
            </w:tcBorders>
            <w:hideMark/>
          </w:tcPr>
          <w:p w14:paraId="134BCBC7" w14:textId="77777777" w:rsidR="00A1159F" w:rsidRPr="00A72AC8" w:rsidRDefault="00A1159F">
            <w:pPr>
              <w:rPr>
                <w:rFonts w:cs="Arial"/>
                <w:sz w:val="14"/>
                <w:szCs w:val="14"/>
                <w:lang w:val="es-MX"/>
              </w:rPr>
            </w:pPr>
            <w:r w:rsidRPr="00A72AC8">
              <w:rPr>
                <w:rFonts w:cs="Arial"/>
                <w:sz w:val="14"/>
                <w:szCs w:val="14"/>
                <w:lang w:val="es-MX"/>
              </w:rPr>
              <w:t>Generación de controles sintéticos y definición y análisis de línea de base</w:t>
            </w:r>
          </w:p>
        </w:tc>
        <w:tc>
          <w:tcPr>
            <w:tcW w:w="328" w:type="dxa"/>
            <w:tcBorders>
              <w:top w:val="single" w:sz="4" w:space="0" w:color="000000"/>
              <w:left w:val="single" w:sz="4" w:space="0" w:color="000000"/>
              <w:bottom w:val="single" w:sz="4" w:space="0" w:color="000000"/>
              <w:right w:val="single" w:sz="4" w:space="0" w:color="000000"/>
            </w:tcBorders>
            <w:shd w:val="clear" w:color="auto" w:fill="D9D9D9"/>
          </w:tcPr>
          <w:p w14:paraId="5DD557B9"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5C934A84"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199EA2E4"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75DBBEBF"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0A318EE4" w14:textId="77777777" w:rsidR="00A1159F" w:rsidRPr="00A72AC8" w:rsidRDefault="00A1159F">
            <w:pPr>
              <w:rPr>
                <w:rFonts w:cs="Arial"/>
                <w:sz w:val="14"/>
                <w:szCs w:val="14"/>
                <w:lang w:val="es-MX"/>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14:paraId="2A436AB7" w14:textId="77777777" w:rsidR="00A1159F" w:rsidRPr="00D75FE1" w:rsidRDefault="00A1159F">
            <w:pPr>
              <w:rPr>
                <w:rFonts w:cs="Arial"/>
                <w:sz w:val="14"/>
                <w:szCs w:val="14"/>
                <w:highlight w:val="yellow"/>
                <w:lang w:val="es-MX"/>
              </w:rPr>
            </w:pPr>
          </w:p>
        </w:tc>
        <w:tc>
          <w:tcPr>
            <w:tcW w:w="1585" w:type="dxa"/>
            <w:vMerge/>
            <w:tcBorders>
              <w:top w:val="single" w:sz="4" w:space="0" w:color="000000"/>
              <w:left w:val="single" w:sz="4" w:space="0" w:color="000000"/>
              <w:bottom w:val="single" w:sz="4" w:space="0" w:color="000000"/>
              <w:right w:val="single" w:sz="4" w:space="0" w:color="000000"/>
            </w:tcBorders>
            <w:vAlign w:val="center"/>
            <w:hideMark/>
          </w:tcPr>
          <w:p w14:paraId="7761B68F" w14:textId="77777777" w:rsidR="00A1159F" w:rsidRPr="00D75FE1" w:rsidRDefault="00A1159F">
            <w:pPr>
              <w:rPr>
                <w:rFonts w:cs="Arial"/>
                <w:sz w:val="14"/>
                <w:szCs w:val="14"/>
                <w:highlight w:val="yellow"/>
                <w:lang w:val="es-MX"/>
              </w:rPr>
            </w:pPr>
          </w:p>
        </w:tc>
        <w:tc>
          <w:tcPr>
            <w:tcW w:w="1745" w:type="dxa"/>
            <w:vMerge/>
            <w:tcBorders>
              <w:top w:val="single" w:sz="4" w:space="0" w:color="000000"/>
              <w:left w:val="single" w:sz="4" w:space="0" w:color="000000"/>
              <w:bottom w:val="single" w:sz="4" w:space="0" w:color="000000"/>
              <w:right w:val="single" w:sz="4" w:space="0" w:color="000000"/>
            </w:tcBorders>
            <w:vAlign w:val="center"/>
            <w:hideMark/>
          </w:tcPr>
          <w:p w14:paraId="7AA5821C" w14:textId="77777777" w:rsidR="00A1159F" w:rsidRPr="00D75FE1" w:rsidRDefault="00A1159F">
            <w:pPr>
              <w:rPr>
                <w:rFonts w:cs="Arial"/>
                <w:sz w:val="14"/>
                <w:szCs w:val="14"/>
                <w:highlight w:val="yellow"/>
                <w:lang w:val="es-MX"/>
              </w:rPr>
            </w:pPr>
          </w:p>
        </w:tc>
      </w:tr>
      <w:tr w:rsidR="00A1159F" w:rsidRPr="00D75FE1" w14:paraId="563F9EF4" w14:textId="77777777" w:rsidTr="00A1159F">
        <w:trPr>
          <w:jc w:val="center"/>
        </w:trPr>
        <w:tc>
          <w:tcPr>
            <w:tcW w:w="2817" w:type="dxa"/>
            <w:tcBorders>
              <w:top w:val="single" w:sz="4" w:space="0" w:color="000000"/>
              <w:left w:val="single" w:sz="4" w:space="0" w:color="000000"/>
              <w:bottom w:val="single" w:sz="4" w:space="0" w:color="000000"/>
              <w:right w:val="single" w:sz="4" w:space="0" w:color="000000"/>
            </w:tcBorders>
            <w:hideMark/>
          </w:tcPr>
          <w:p w14:paraId="7588D517" w14:textId="77777777" w:rsidR="00A1159F" w:rsidRPr="00A72AC8" w:rsidRDefault="00A1159F">
            <w:pPr>
              <w:rPr>
                <w:rFonts w:cs="Arial"/>
                <w:sz w:val="14"/>
                <w:szCs w:val="14"/>
                <w:lang w:val="es-MX"/>
              </w:rPr>
            </w:pPr>
            <w:r w:rsidRPr="00A72AC8">
              <w:rPr>
                <w:rFonts w:cs="Arial"/>
                <w:sz w:val="14"/>
                <w:szCs w:val="14"/>
                <w:lang w:val="es-MX"/>
              </w:rPr>
              <w:t>Recolección de datos y actualización de los indicadores utilizados en la metodología de controles sintéticos</w:t>
            </w:r>
          </w:p>
        </w:tc>
        <w:tc>
          <w:tcPr>
            <w:tcW w:w="328" w:type="dxa"/>
            <w:tcBorders>
              <w:top w:val="single" w:sz="4" w:space="0" w:color="000000"/>
              <w:left w:val="single" w:sz="4" w:space="0" w:color="000000"/>
              <w:bottom w:val="single" w:sz="4" w:space="0" w:color="000000"/>
              <w:right w:val="single" w:sz="4" w:space="0" w:color="000000"/>
            </w:tcBorders>
          </w:tcPr>
          <w:p w14:paraId="1D63BEF4"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shd w:val="clear" w:color="auto" w:fill="D9D9D9"/>
          </w:tcPr>
          <w:p w14:paraId="16A16A30"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shd w:val="clear" w:color="auto" w:fill="D9D9D9"/>
          </w:tcPr>
          <w:p w14:paraId="49737B38"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shd w:val="clear" w:color="auto" w:fill="D9D9D9"/>
          </w:tcPr>
          <w:p w14:paraId="6E4AEDA1"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4B8B34F8" w14:textId="77777777" w:rsidR="00A1159F" w:rsidRPr="00A72AC8" w:rsidRDefault="00A1159F">
            <w:pPr>
              <w:rPr>
                <w:rFonts w:cs="Arial"/>
                <w:sz w:val="14"/>
                <w:szCs w:val="14"/>
                <w:lang w:val="es-MX"/>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14:paraId="367BF51F" w14:textId="77777777" w:rsidR="00A1159F" w:rsidRPr="00D75FE1" w:rsidRDefault="00A1159F">
            <w:pPr>
              <w:rPr>
                <w:rFonts w:cs="Arial"/>
                <w:sz w:val="14"/>
                <w:szCs w:val="14"/>
                <w:highlight w:val="yellow"/>
                <w:lang w:val="es-MX"/>
              </w:rPr>
            </w:pPr>
          </w:p>
        </w:tc>
        <w:tc>
          <w:tcPr>
            <w:tcW w:w="1585" w:type="dxa"/>
            <w:vMerge/>
            <w:tcBorders>
              <w:top w:val="single" w:sz="4" w:space="0" w:color="000000"/>
              <w:left w:val="single" w:sz="4" w:space="0" w:color="000000"/>
              <w:bottom w:val="single" w:sz="4" w:space="0" w:color="000000"/>
              <w:right w:val="single" w:sz="4" w:space="0" w:color="000000"/>
            </w:tcBorders>
            <w:vAlign w:val="center"/>
            <w:hideMark/>
          </w:tcPr>
          <w:p w14:paraId="4C7776BC" w14:textId="77777777" w:rsidR="00A1159F" w:rsidRPr="00D75FE1" w:rsidRDefault="00A1159F">
            <w:pPr>
              <w:rPr>
                <w:rFonts w:cs="Arial"/>
                <w:sz w:val="14"/>
                <w:szCs w:val="14"/>
                <w:highlight w:val="yellow"/>
                <w:lang w:val="es-MX"/>
              </w:rPr>
            </w:pPr>
          </w:p>
        </w:tc>
        <w:tc>
          <w:tcPr>
            <w:tcW w:w="1745" w:type="dxa"/>
            <w:vMerge/>
            <w:tcBorders>
              <w:top w:val="single" w:sz="4" w:space="0" w:color="000000"/>
              <w:left w:val="single" w:sz="4" w:space="0" w:color="000000"/>
              <w:bottom w:val="single" w:sz="4" w:space="0" w:color="000000"/>
              <w:right w:val="single" w:sz="4" w:space="0" w:color="000000"/>
            </w:tcBorders>
            <w:vAlign w:val="center"/>
            <w:hideMark/>
          </w:tcPr>
          <w:p w14:paraId="1E12E749" w14:textId="77777777" w:rsidR="00A1159F" w:rsidRPr="00D75FE1" w:rsidRDefault="00A1159F">
            <w:pPr>
              <w:rPr>
                <w:rFonts w:cs="Arial"/>
                <w:sz w:val="14"/>
                <w:szCs w:val="14"/>
                <w:highlight w:val="yellow"/>
                <w:lang w:val="es-MX"/>
              </w:rPr>
            </w:pPr>
          </w:p>
        </w:tc>
      </w:tr>
      <w:tr w:rsidR="00A1159F" w:rsidRPr="00D75FE1" w14:paraId="5F920CBC" w14:textId="77777777" w:rsidTr="00A1159F">
        <w:trPr>
          <w:jc w:val="center"/>
        </w:trPr>
        <w:tc>
          <w:tcPr>
            <w:tcW w:w="2817" w:type="dxa"/>
            <w:tcBorders>
              <w:top w:val="single" w:sz="4" w:space="0" w:color="000000"/>
              <w:left w:val="single" w:sz="4" w:space="0" w:color="000000"/>
              <w:bottom w:val="single" w:sz="4" w:space="0" w:color="000000"/>
              <w:right w:val="single" w:sz="4" w:space="0" w:color="000000"/>
            </w:tcBorders>
            <w:hideMark/>
          </w:tcPr>
          <w:p w14:paraId="61C1E2C3" w14:textId="77777777" w:rsidR="00A1159F" w:rsidRPr="00A72AC8" w:rsidRDefault="00A1159F">
            <w:pPr>
              <w:rPr>
                <w:rFonts w:cs="Arial"/>
                <w:sz w:val="14"/>
                <w:szCs w:val="14"/>
                <w:lang w:val="es-MX"/>
              </w:rPr>
            </w:pPr>
            <w:r w:rsidRPr="00A72AC8">
              <w:rPr>
                <w:rFonts w:cs="Arial"/>
                <w:sz w:val="14"/>
                <w:szCs w:val="14"/>
                <w:lang w:val="es-MX"/>
              </w:rPr>
              <w:t>Reporte final de evaluación de impacto</w:t>
            </w:r>
          </w:p>
        </w:tc>
        <w:tc>
          <w:tcPr>
            <w:tcW w:w="328" w:type="dxa"/>
            <w:tcBorders>
              <w:top w:val="single" w:sz="4" w:space="0" w:color="000000"/>
              <w:left w:val="single" w:sz="4" w:space="0" w:color="000000"/>
              <w:bottom w:val="single" w:sz="4" w:space="0" w:color="000000"/>
              <w:right w:val="single" w:sz="4" w:space="0" w:color="000000"/>
            </w:tcBorders>
          </w:tcPr>
          <w:p w14:paraId="662530CC"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3BCDF9C5"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67F3D77A"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tcPr>
          <w:p w14:paraId="109E4627" w14:textId="77777777" w:rsidR="00A1159F" w:rsidRPr="00A72AC8" w:rsidRDefault="00A1159F">
            <w:pPr>
              <w:rPr>
                <w:rFonts w:cs="Arial"/>
                <w:sz w:val="14"/>
                <w:szCs w:val="14"/>
                <w:lang w:val="es-MX"/>
              </w:rPr>
            </w:pPr>
          </w:p>
        </w:tc>
        <w:tc>
          <w:tcPr>
            <w:tcW w:w="3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2F6100D" w14:textId="77777777" w:rsidR="00A1159F" w:rsidRPr="00A72AC8" w:rsidRDefault="00A1159F">
            <w:pPr>
              <w:rPr>
                <w:rFonts w:cs="Arial"/>
                <w:sz w:val="14"/>
                <w:szCs w:val="14"/>
                <w:lang w:val="es-MX"/>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14:paraId="54D279F2" w14:textId="77777777" w:rsidR="00A1159F" w:rsidRPr="00D75FE1" w:rsidRDefault="00A1159F">
            <w:pPr>
              <w:rPr>
                <w:rFonts w:cs="Arial"/>
                <w:sz w:val="14"/>
                <w:szCs w:val="14"/>
                <w:lang w:val="es-MX"/>
              </w:rPr>
            </w:pPr>
          </w:p>
        </w:tc>
        <w:tc>
          <w:tcPr>
            <w:tcW w:w="1585" w:type="dxa"/>
            <w:vMerge/>
            <w:tcBorders>
              <w:top w:val="single" w:sz="4" w:space="0" w:color="000000"/>
              <w:left w:val="single" w:sz="4" w:space="0" w:color="000000"/>
              <w:bottom w:val="single" w:sz="4" w:space="0" w:color="000000"/>
              <w:right w:val="single" w:sz="4" w:space="0" w:color="000000"/>
            </w:tcBorders>
            <w:vAlign w:val="center"/>
            <w:hideMark/>
          </w:tcPr>
          <w:p w14:paraId="299D0DBC" w14:textId="77777777" w:rsidR="00A1159F" w:rsidRPr="00D75FE1" w:rsidRDefault="00A1159F">
            <w:pPr>
              <w:rPr>
                <w:rFonts w:cs="Arial"/>
                <w:sz w:val="14"/>
                <w:szCs w:val="14"/>
                <w:lang w:val="es-MX"/>
              </w:rPr>
            </w:pPr>
          </w:p>
        </w:tc>
        <w:tc>
          <w:tcPr>
            <w:tcW w:w="1745" w:type="dxa"/>
            <w:vMerge/>
            <w:tcBorders>
              <w:top w:val="single" w:sz="4" w:space="0" w:color="000000"/>
              <w:left w:val="single" w:sz="4" w:space="0" w:color="000000"/>
              <w:bottom w:val="single" w:sz="4" w:space="0" w:color="000000"/>
              <w:right w:val="single" w:sz="4" w:space="0" w:color="000000"/>
            </w:tcBorders>
            <w:vAlign w:val="center"/>
            <w:hideMark/>
          </w:tcPr>
          <w:p w14:paraId="0924B074" w14:textId="77777777" w:rsidR="00A1159F" w:rsidRPr="00D75FE1" w:rsidRDefault="00A1159F">
            <w:pPr>
              <w:rPr>
                <w:rFonts w:cs="Arial"/>
                <w:sz w:val="14"/>
                <w:szCs w:val="14"/>
                <w:lang w:val="es-MX"/>
              </w:rPr>
            </w:pPr>
          </w:p>
        </w:tc>
      </w:tr>
    </w:tbl>
    <w:p w14:paraId="00FF63CA" w14:textId="428CA487" w:rsidR="00A1159F" w:rsidRDefault="00A1159F" w:rsidP="00A1159F">
      <w:pPr>
        <w:jc w:val="both"/>
        <w:rPr>
          <w:rFonts w:cs="Arial"/>
          <w:sz w:val="22"/>
          <w:szCs w:val="22"/>
          <w:lang w:val="en-US"/>
        </w:rPr>
      </w:pPr>
      <w:r w:rsidRPr="00611F29">
        <w:rPr>
          <w:rFonts w:cs="Arial"/>
          <w:color w:val="000000"/>
          <w:sz w:val="22"/>
          <w:szCs w:val="22"/>
          <w:lang w:val="en-US"/>
        </w:rPr>
        <w:br w:type="page"/>
      </w:r>
      <w:bookmarkEnd w:id="10"/>
      <w:bookmarkEnd w:id="11"/>
      <w:proofErr w:type="spellStart"/>
      <w:r w:rsidRPr="00DC4A74">
        <w:rPr>
          <w:rFonts w:cs="Arial"/>
          <w:b/>
          <w:sz w:val="22"/>
          <w:szCs w:val="22"/>
          <w:lang w:val="en-US"/>
        </w:rPr>
        <w:lastRenderedPageBreak/>
        <w:t>Referencias</w:t>
      </w:r>
      <w:proofErr w:type="spellEnd"/>
      <w:r w:rsidRPr="00DC4A74">
        <w:rPr>
          <w:rFonts w:cs="Arial"/>
          <w:sz w:val="22"/>
          <w:szCs w:val="22"/>
          <w:lang w:val="en-US"/>
        </w:rPr>
        <w:t xml:space="preserve"> </w:t>
      </w:r>
    </w:p>
    <w:p w14:paraId="2890BA31" w14:textId="77777777" w:rsidR="003F41A8" w:rsidRPr="00DC4A74" w:rsidRDefault="003F41A8" w:rsidP="00A1159F">
      <w:pPr>
        <w:jc w:val="both"/>
        <w:rPr>
          <w:rFonts w:cs="Arial"/>
          <w:sz w:val="22"/>
          <w:szCs w:val="22"/>
          <w:lang w:val="en-US"/>
        </w:rPr>
      </w:pPr>
    </w:p>
    <w:p w14:paraId="60A3E78A" w14:textId="77777777" w:rsidR="00A1159F" w:rsidRPr="00DC4A74" w:rsidRDefault="00A1159F" w:rsidP="00A1159F">
      <w:pPr>
        <w:autoSpaceDE w:val="0"/>
        <w:autoSpaceDN w:val="0"/>
        <w:adjustRightInd w:val="0"/>
        <w:rPr>
          <w:rFonts w:eastAsia="Calibri" w:cs="Arial"/>
          <w:spacing w:val="0"/>
          <w:sz w:val="22"/>
          <w:szCs w:val="22"/>
          <w:lang w:val="en-US" w:eastAsia="es-ES"/>
        </w:rPr>
      </w:pPr>
      <w:r w:rsidRPr="00DC4A74">
        <w:rPr>
          <w:rFonts w:eastAsia="Calibri" w:cs="Arial"/>
          <w:spacing w:val="0"/>
          <w:sz w:val="22"/>
          <w:szCs w:val="22"/>
          <w:lang w:val="en-US" w:eastAsia="es-ES"/>
        </w:rPr>
        <w:t xml:space="preserve">Abadie, A., A. Diamond, and J. </w:t>
      </w:r>
      <w:proofErr w:type="spellStart"/>
      <w:r w:rsidRPr="00DC4A74">
        <w:rPr>
          <w:rFonts w:eastAsia="Calibri" w:cs="Arial"/>
          <w:spacing w:val="0"/>
          <w:sz w:val="22"/>
          <w:szCs w:val="22"/>
          <w:lang w:val="en-US" w:eastAsia="es-ES"/>
        </w:rPr>
        <w:t>Hainmueller</w:t>
      </w:r>
      <w:proofErr w:type="spellEnd"/>
      <w:r w:rsidRPr="00DC4A74">
        <w:rPr>
          <w:rFonts w:eastAsia="Calibri" w:cs="Arial"/>
          <w:spacing w:val="0"/>
          <w:sz w:val="22"/>
          <w:szCs w:val="22"/>
          <w:lang w:val="en-US" w:eastAsia="es-ES"/>
        </w:rPr>
        <w:t xml:space="preserve">. 2010. “Synthetic Control Methods for Comparative Case Studies: Estimating the Effect of California's Tobacco Control Program." </w:t>
      </w:r>
      <w:r w:rsidRPr="00DC4A74">
        <w:rPr>
          <w:rFonts w:eastAsia="Calibri" w:cs="Arial"/>
          <w:i/>
          <w:spacing w:val="0"/>
          <w:sz w:val="22"/>
          <w:szCs w:val="22"/>
          <w:lang w:val="en-US" w:eastAsia="es-ES"/>
        </w:rPr>
        <w:t>Journal of the American Statistical Association</w:t>
      </w:r>
      <w:r w:rsidRPr="00DC4A74">
        <w:rPr>
          <w:rFonts w:eastAsia="Calibri" w:cs="Arial"/>
          <w:spacing w:val="0"/>
          <w:sz w:val="22"/>
          <w:szCs w:val="22"/>
          <w:lang w:val="en-US" w:eastAsia="es-ES"/>
        </w:rPr>
        <w:t>. 105(490): 493-505.</w:t>
      </w:r>
    </w:p>
    <w:p w14:paraId="0AF68AF4" w14:textId="77777777" w:rsidR="00A1159F" w:rsidRPr="00DC4A74" w:rsidRDefault="00A1159F" w:rsidP="00A1159F">
      <w:pPr>
        <w:autoSpaceDE w:val="0"/>
        <w:autoSpaceDN w:val="0"/>
        <w:adjustRightInd w:val="0"/>
        <w:rPr>
          <w:rFonts w:eastAsia="Calibri" w:cs="Arial"/>
          <w:spacing w:val="0"/>
          <w:sz w:val="22"/>
          <w:szCs w:val="22"/>
          <w:lang w:val="en-US" w:eastAsia="es-ES"/>
        </w:rPr>
      </w:pPr>
    </w:p>
    <w:p w14:paraId="2F3D6E36" w14:textId="77777777" w:rsidR="00A1159F" w:rsidRPr="00DC4A74" w:rsidRDefault="00A1159F" w:rsidP="00A1159F">
      <w:pPr>
        <w:autoSpaceDE w:val="0"/>
        <w:autoSpaceDN w:val="0"/>
        <w:adjustRightInd w:val="0"/>
        <w:rPr>
          <w:rFonts w:eastAsia="Calibri" w:cs="Arial"/>
          <w:spacing w:val="0"/>
          <w:sz w:val="22"/>
          <w:szCs w:val="22"/>
          <w:lang w:val="pt-BR" w:eastAsia="es-ES"/>
        </w:rPr>
      </w:pPr>
      <w:r w:rsidRPr="00DC4A74">
        <w:rPr>
          <w:rFonts w:eastAsia="Calibri" w:cs="Arial"/>
          <w:spacing w:val="0"/>
          <w:sz w:val="22"/>
          <w:szCs w:val="22"/>
          <w:lang w:val="en-US" w:eastAsia="es-ES"/>
        </w:rPr>
        <w:t xml:space="preserve">Abadie, A. and J. </w:t>
      </w:r>
      <w:proofErr w:type="spellStart"/>
      <w:r w:rsidRPr="00DC4A74">
        <w:rPr>
          <w:rFonts w:eastAsia="Calibri" w:cs="Arial"/>
          <w:spacing w:val="0"/>
          <w:sz w:val="22"/>
          <w:szCs w:val="22"/>
          <w:lang w:val="en-US" w:eastAsia="es-ES"/>
        </w:rPr>
        <w:t>Gardeazabal</w:t>
      </w:r>
      <w:proofErr w:type="spellEnd"/>
      <w:r w:rsidRPr="00DC4A74">
        <w:rPr>
          <w:rFonts w:eastAsia="Calibri" w:cs="Arial"/>
          <w:spacing w:val="0"/>
          <w:sz w:val="22"/>
          <w:szCs w:val="22"/>
          <w:lang w:val="en-US" w:eastAsia="es-ES"/>
        </w:rPr>
        <w:t xml:space="preserve">. 2003. “The Economic Costs of Conflict: A Case Study of the Basque Country." </w:t>
      </w:r>
      <w:r w:rsidRPr="00DC4A74">
        <w:rPr>
          <w:rFonts w:eastAsia="Calibri" w:cs="Arial"/>
          <w:i/>
          <w:spacing w:val="0"/>
          <w:sz w:val="22"/>
          <w:szCs w:val="22"/>
          <w:lang w:val="pt-BR" w:eastAsia="es-ES"/>
        </w:rPr>
        <w:t xml:space="preserve">American </w:t>
      </w:r>
      <w:proofErr w:type="spellStart"/>
      <w:r w:rsidRPr="00DC4A74">
        <w:rPr>
          <w:rFonts w:eastAsia="Calibri" w:cs="Arial"/>
          <w:i/>
          <w:spacing w:val="0"/>
          <w:sz w:val="22"/>
          <w:szCs w:val="22"/>
          <w:lang w:val="pt-BR" w:eastAsia="es-ES"/>
        </w:rPr>
        <w:t>Economic</w:t>
      </w:r>
      <w:proofErr w:type="spellEnd"/>
      <w:r w:rsidRPr="00DC4A74">
        <w:rPr>
          <w:rFonts w:eastAsia="Calibri" w:cs="Arial"/>
          <w:i/>
          <w:spacing w:val="0"/>
          <w:sz w:val="22"/>
          <w:szCs w:val="22"/>
          <w:lang w:val="pt-BR" w:eastAsia="es-ES"/>
        </w:rPr>
        <w:t xml:space="preserve"> Review</w:t>
      </w:r>
      <w:r w:rsidRPr="00DC4A74">
        <w:rPr>
          <w:rFonts w:eastAsia="Calibri" w:cs="Arial"/>
          <w:spacing w:val="0"/>
          <w:sz w:val="22"/>
          <w:szCs w:val="22"/>
          <w:lang w:val="pt-BR" w:eastAsia="es-ES"/>
        </w:rPr>
        <w:t>. 93(1): 112-132.</w:t>
      </w:r>
    </w:p>
    <w:p w14:paraId="62B9D09A" w14:textId="77777777" w:rsidR="00850A57" w:rsidRPr="00DC4A74" w:rsidRDefault="00850A57" w:rsidP="00A1159F">
      <w:pPr>
        <w:autoSpaceDE w:val="0"/>
        <w:autoSpaceDN w:val="0"/>
        <w:adjustRightInd w:val="0"/>
        <w:rPr>
          <w:rFonts w:eastAsia="Calibri" w:cs="Arial"/>
          <w:spacing w:val="0"/>
          <w:sz w:val="22"/>
          <w:szCs w:val="22"/>
          <w:lang w:val="pt-BR" w:eastAsia="es-ES"/>
        </w:rPr>
      </w:pPr>
    </w:p>
    <w:p w14:paraId="0D848CA0" w14:textId="77777777" w:rsidR="00A1159F" w:rsidRPr="00DC4A74" w:rsidRDefault="00A1159F" w:rsidP="00A1159F">
      <w:pPr>
        <w:spacing w:after="240"/>
        <w:rPr>
          <w:rFonts w:cs="Arial"/>
          <w:sz w:val="22"/>
          <w:szCs w:val="22"/>
          <w:lang w:val="pt-BR"/>
        </w:rPr>
      </w:pPr>
      <w:proofErr w:type="spellStart"/>
      <w:r w:rsidRPr="00DC4A74">
        <w:rPr>
          <w:rFonts w:cs="Arial"/>
          <w:sz w:val="22"/>
          <w:szCs w:val="22"/>
          <w:lang w:val="pt-BR"/>
        </w:rPr>
        <w:t>Alfradique</w:t>
      </w:r>
      <w:proofErr w:type="spellEnd"/>
      <w:r w:rsidRPr="00DC4A74">
        <w:rPr>
          <w:rFonts w:cs="Arial"/>
          <w:sz w:val="22"/>
          <w:szCs w:val="22"/>
          <w:lang w:val="pt-BR"/>
        </w:rPr>
        <w:t xml:space="preserve"> ME, de Fátima </w:t>
      </w:r>
      <w:proofErr w:type="spellStart"/>
      <w:r w:rsidRPr="00DC4A74">
        <w:rPr>
          <w:rFonts w:cs="Arial"/>
          <w:sz w:val="22"/>
          <w:szCs w:val="22"/>
          <w:lang w:val="pt-BR"/>
        </w:rPr>
        <w:t>Bonolo</w:t>
      </w:r>
      <w:proofErr w:type="spellEnd"/>
      <w:r w:rsidRPr="00DC4A74">
        <w:rPr>
          <w:rFonts w:cs="Arial"/>
          <w:sz w:val="22"/>
          <w:szCs w:val="22"/>
          <w:lang w:val="pt-BR"/>
        </w:rPr>
        <w:t xml:space="preserve"> P, Dourado I, et al. (2009).  “Internações por condições sensíveis à atenção primária: a construção da lista brasileira como ferramenta para medir o desempenho do sistema de saúde (Projeto ICSAP – Brasil).” </w:t>
      </w:r>
      <w:r w:rsidRPr="00DC4A74">
        <w:rPr>
          <w:rFonts w:cs="Arial"/>
          <w:i/>
          <w:sz w:val="22"/>
          <w:szCs w:val="22"/>
          <w:lang w:val="pt-BR"/>
        </w:rPr>
        <w:t>Cad. Saúde Pública</w:t>
      </w:r>
      <w:r w:rsidRPr="00DC4A74">
        <w:rPr>
          <w:rFonts w:cs="Arial"/>
          <w:sz w:val="22"/>
          <w:szCs w:val="22"/>
          <w:lang w:val="pt-BR"/>
        </w:rPr>
        <w:t>, Rio de Janeiro, 25(6):1337-1349.</w:t>
      </w:r>
    </w:p>
    <w:p w14:paraId="31138016" w14:textId="77777777" w:rsidR="00A1159F" w:rsidRPr="00DC4A74" w:rsidRDefault="00A1159F" w:rsidP="00A1159F">
      <w:pPr>
        <w:spacing w:after="240"/>
        <w:rPr>
          <w:rFonts w:cs="Arial"/>
          <w:sz w:val="22"/>
          <w:szCs w:val="22"/>
          <w:lang w:val="en-US"/>
        </w:rPr>
      </w:pPr>
      <w:proofErr w:type="spellStart"/>
      <w:r w:rsidRPr="00DC4A74">
        <w:rPr>
          <w:rFonts w:cs="Arial"/>
          <w:sz w:val="22"/>
          <w:szCs w:val="22"/>
          <w:lang w:val="pt-BR"/>
        </w:rPr>
        <w:t>Ansari</w:t>
      </w:r>
      <w:proofErr w:type="spellEnd"/>
      <w:r w:rsidRPr="00DC4A74">
        <w:rPr>
          <w:rFonts w:cs="Arial"/>
          <w:sz w:val="22"/>
          <w:szCs w:val="22"/>
          <w:lang w:val="pt-BR"/>
        </w:rPr>
        <w:t xml:space="preserve"> Z, </w:t>
      </w:r>
      <w:proofErr w:type="spellStart"/>
      <w:r w:rsidRPr="00DC4A74">
        <w:rPr>
          <w:rFonts w:cs="Arial"/>
          <w:sz w:val="22"/>
          <w:szCs w:val="22"/>
          <w:lang w:val="pt-BR"/>
        </w:rPr>
        <w:t>Laditka</w:t>
      </w:r>
      <w:proofErr w:type="spellEnd"/>
      <w:r w:rsidRPr="00DC4A74">
        <w:rPr>
          <w:rFonts w:cs="Arial"/>
          <w:sz w:val="22"/>
          <w:szCs w:val="22"/>
          <w:lang w:val="pt-BR"/>
        </w:rPr>
        <w:t xml:space="preserve"> JN, </w:t>
      </w:r>
      <w:proofErr w:type="spellStart"/>
      <w:r w:rsidRPr="00DC4A74">
        <w:rPr>
          <w:rFonts w:cs="Arial"/>
          <w:sz w:val="22"/>
          <w:szCs w:val="22"/>
          <w:lang w:val="pt-BR"/>
        </w:rPr>
        <w:t>Laditka</w:t>
      </w:r>
      <w:proofErr w:type="spellEnd"/>
      <w:r w:rsidRPr="00DC4A74">
        <w:rPr>
          <w:rFonts w:cs="Arial"/>
          <w:sz w:val="22"/>
          <w:szCs w:val="22"/>
          <w:lang w:val="pt-BR"/>
        </w:rPr>
        <w:t xml:space="preserve"> SB (2006). </w:t>
      </w:r>
      <w:r w:rsidRPr="00DC4A74">
        <w:rPr>
          <w:rFonts w:cs="Arial"/>
          <w:sz w:val="22"/>
          <w:szCs w:val="22"/>
          <w:lang w:val="en-US"/>
        </w:rPr>
        <w:t>“Access to health care and hospitalization for ambulatory care sensitive conditions.”</w:t>
      </w:r>
      <w:r w:rsidRPr="00DC4A74">
        <w:rPr>
          <w:rFonts w:cs="Arial"/>
          <w:i/>
          <w:sz w:val="22"/>
          <w:szCs w:val="22"/>
          <w:lang w:val="en-US"/>
        </w:rPr>
        <w:t xml:space="preserve"> Med Care Res Rev.</w:t>
      </w:r>
      <w:r w:rsidRPr="00DC4A74">
        <w:rPr>
          <w:rFonts w:cs="Arial"/>
          <w:sz w:val="22"/>
          <w:szCs w:val="22"/>
          <w:lang w:val="en-US"/>
        </w:rPr>
        <w:t xml:space="preserve"> 63(6):719-41.</w:t>
      </w:r>
    </w:p>
    <w:p w14:paraId="54259B0A" w14:textId="77777777" w:rsidR="00A1159F" w:rsidRPr="00DC4A74" w:rsidRDefault="00A1159F" w:rsidP="00A1159F">
      <w:pPr>
        <w:spacing w:after="240"/>
        <w:rPr>
          <w:rFonts w:cs="Arial"/>
          <w:sz w:val="22"/>
          <w:szCs w:val="22"/>
          <w:lang w:val="en-US"/>
        </w:rPr>
      </w:pPr>
      <w:r w:rsidRPr="00DC4A74">
        <w:rPr>
          <w:rFonts w:cs="Arial"/>
          <w:sz w:val="22"/>
          <w:szCs w:val="22"/>
          <w:lang w:val="en-US"/>
        </w:rPr>
        <w:t>Billings J, Anderson GM, Newman LS. (1996) “Recent findings on preventable hospitalization.” Health Affairs (Millwood) 15:239-249.</w:t>
      </w:r>
    </w:p>
    <w:p w14:paraId="41B9C0AD" w14:textId="77777777" w:rsidR="00A1159F" w:rsidRPr="00DC4A74" w:rsidRDefault="00A1159F" w:rsidP="00A1159F">
      <w:pPr>
        <w:spacing w:after="240"/>
        <w:rPr>
          <w:rFonts w:cs="Arial"/>
          <w:sz w:val="22"/>
          <w:szCs w:val="22"/>
          <w:lang w:val="en-US"/>
        </w:rPr>
      </w:pPr>
      <w:proofErr w:type="spellStart"/>
      <w:r w:rsidRPr="00DC4A74">
        <w:rPr>
          <w:rFonts w:cs="Arial"/>
          <w:sz w:val="22"/>
          <w:szCs w:val="22"/>
          <w:lang w:val="en-US"/>
        </w:rPr>
        <w:t>Caminal</w:t>
      </w:r>
      <w:proofErr w:type="spellEnd"/>
      <w:r w:rsidRPr="00DC4A74">
        <w:rPr>
          <w:rFonts w:cs="Arial"/>
          <w:sz w:val="22"/>
          <w:szCs w:val="22"/>
          <w:lang w:val="en-US"/>
        </w:rPr>
        <w:t xml:space="preserve"> J, Starfield B, Sánchez E, Casanova C, Morales M. (2004). “The role of primary care in preventing ambulatory care sensitive conditions.” </w:t>
      </w:r>
      <w:r w:rsidRPr="00DC4A74">
        <w:rPr>
          <w:rFonts w:cs="Arial"/>
          <w:i/>
          <w:sz w:val="22"/>
          <w:szCs w:val="22"/>
          <w:lang w:val="en-US"/>
        </w:rPr>
        <w:t>Eur J Public Health</w:t>
      </w:r>
      <w:r w:rsidRPr="00DC4A74">
        <w:rPr>
          <w:rFonts w:cs="Arial"/>
          <w:sz w:val="22"/>
          <w:szCs w:val="22"/>
          <w:lang w:val="en-US"/>
        </w:rPr>
        <w:t>, 14:246-51.</w:t>
      </w:r>
    </w:p>
    <w:p w14:paraId="0E2171DC" w14:textId="77777777" w:rsidR="00A1159F" w:rsidRPr="00DC4A74" w:rsidRDefault="00A1159F" w:rsidP="00A1159F">
      <w:pPr>
        <w:spacing w:after="240"/>
        <w:rPr>
          <w:rFonts w:cs="Arial"/>
          <w:sz w:val="22"/>
          <w:szCs w:val="22"/>
          <w:lang w:val="en-US"/>
        </w:rPr>
      </w:pPr>
      <w:proofErr w:type="spellStart"/>
      <w:r w:rsidRPr="00DC4A74">
        <w:rPr>
          <w:rFonts w:cs="Arial"/>
          <w:sz w:val="22"/>
          <w:szCs w:val="22"/>
          <w:lang w:val="en-US"/>
        </w:rPr>
        <w:t>Frenk</w:t>
      </w:r>
      <w:proofErr w:type="spellEnd"/>
      <w:r w:rsidRPr="00DC4A74">
        <w:rPr>
          <w:rFonts w:cs="Arial"/>
          <w:sz w:val="22"/>
          <w:szCs w:val="22"/>
          <w:lang w:val="en-US"/>
        </w:rPr>
        <w:t xml:space="preserve"> J. (2009). “Reinventing primary health care: the need for systems integration” </w:t>
      </w:r>
      <w:r w:rsidRPr="00DC4A74">
        <w:rPr>
          <w:rFonts w:cs="Arial"/>
          <w:i/>
          <w:sz w:val="22"/>
          <w:szCs w:val="22"/>
          <w:lang w:val="en-US"/>
        </w:rPr>
        <w:t>Lancet</w:t>
      </w:r>
      <w:r w:rsidRPr="00DC4A74">
        <w:rPr>
          <w:rFonts w:cs="Arial"/>
          <w:sz w:val="22"/>
          <w:szCs w:val="22"/>
          <w:lang w:val="en-US"/>
        </w:rPr>
        <w:t>; 374: 170–73.</w:t>
      </w:r>
    </w:p>
    <w:p w14:paraId="3419C390" w14:textId="77777777" w:rsidR="00A1159F" w:rsidRPr="00DC4A74" w:rsidRDefault="00A1159F" w:rsidP="00A1159F">
      <w:pPr>
        <w:spacing w:after="240"/>
        <w:rPr>
          <w:rFonts w:cs="Arial"/>
          <w:sz w:val="22"/>
          <w:szCs w:val="22"/>
          <w:lang w:val="en-US"/>
        </w:rPr>
      </w:pPr>
      <w:r w:rsidRPr="00DC4A74">
        <w:rPr>
          <w:rFonts w:cs="Arial"/>
          <w:sz w:val="22"/>
          <w:szCs w:val="22"/>
          <w:lang w:val="en-US"/>
        </w:rPr>
        <w:t xml:space="preserve">Guanais F (2010). “Health Equity in Brazil” </w:t>
      </w:r>
      <w:r w:rsidRPr="00DC4A74">
        <w:rPr>
          <w:rFonts w:cs="Arial"/>
          <w:i/>
          <w:sz w:val="22"/>
          <w:szCs w:val="22"/>
          <w:lang w:val="en-US"/>
        </w:rPr>
        <w:t>BMJ</w:t>
      </w:r>
      <w:r w:rsidRPr="00DC4A74">
        <w:rPr>
          <w:rFonts w:cs="Arial"/>
          <w:sz w:val="22"/>
          <w:szCs w:val="22"/>
          <w:lang w:val="en-US"/>
        </w:rPr>
        <w:t xml:space="preserve"> 341:c6542.</w:t>
      </w:r>
    </w:p>
    <w:p w14:paraId="5B703F75" w14:textId="77777777" w:rsidR="00A1159F" w:rsidRPr="00DC4A74" w:rsidRDefault="00A1159F" w:rsidP="00A1159F">
      <w:pPr>
        <w:spacing w:after="240"/>
        <w:rPr>
          <w:rFonts w:cs="Arial"/>
          <w:sz w:val="22"/>
          <w:szCs w:val="22"/>
          <w:lang w:val="en-US"/>
        </w:rPr>
      </w:pPr>
      <w:r w:rsidRPr="00DC4A74">
        <w:rPr>
          <w:rFonts w:cs="Arial"/>
          <w:sz w:val="22"/>
          <w:szCs w:val="22"/>
          <w:lang w:val="en-US"/>
        </w:rPr>
        <w:t xml:space="preserve">Guanais F, </w:t>
      </w:r>
      <w:proofErr w:type="spellStart"/>
      <w:r w:rsidRPr="00DC4A74">
        <w:rPr>
          <w:rFonts w:cs="Arial"/>
          <w:sz w:val="22"/>
          <w:szCs w:val="22"/>
          <w:lang w:val="en-US"/>
        </w:rPr>
        <w:t>Macinko</w:t>
      </w:r>
      <w:proofErr w:type="spellEnd"/>
      <w:r w:rsidRPr="00DC4A74">
        <w:rPr>
          <w:rFonts w:cs="Arial"/>
          <w:sz w:val="22"/>
          <w:szCs w:val="22"/>
          <w:lang w:val="en-US"/>
        </w:rPr>
        <w:t xml:space="preserve"> J. (2009). “Primary Care and Avoidable Hospitalizations: Evidence from Brazil.”</w:t>
      </w:r>
      <w:r w:rsidRPr="00DC4A74">
        <w:rPr>
          <w:rFonts w:cs="Arial"/>
          <w:i/>
          <w:sz w:val="22"/>
          <w:szCs w:val="22"/>
          <w:lang w:val="en-US"/>
        </w:rPr>
        <w:t xml:space="preserve"> The Journal of Ambulatory Care Management</w:t>
      </w:r>
      <w:r w:rsidRPr="00DC4A74">
        <w:rPr>
          <w:rFonts w:cs="Arial"/>
          <w:sz w:val="22"/>
          <w:szCs w:val="22"/>
          <w:lang w:val="en-US"/>
        </w:rPr>
        <w:t>, 32(2): 115-122.</w:t>
      </w:r>
    </w:p>
    <w:p w14:paraId="7C3F44AA" w14:textId="77777777" w:rsidR="00A1159F" w:rsidRPr="00DC4A74" w:rsidRDefault="00A1159F" w:rsidP="00A1159F">
      <w:pPr>
        <w:spacing w:after="240"/>
        <w:rPr>
          <w:rFonts w:cs="Arial"/>
          <w:sz w:val="22"/>
          <w:szCs w:val="22"/>
          <w:lang w:val="en-US"/>
        </w:rPr>
      </w:pPr>
      <w:proofErr w:type="spellStart"/>
      <w:r w:rsidRPr="00DC4A74">
        <w:rPr>
          <w:rFonts w:cs="Arial"/>
          <w:sz w:val="22"/>
          <w:szCs w:val="22"/>
          <w:lang w:val="en-US"/>
        </w:rPr>
        <w:t>Macinko</w:t>
      </w:r>
      <w:proofErr w:type="spellEnd"/>
      <w:r w:rsidRPr="00DC4A74">
        <w:rPr>
          <w:rFonts w:cs="Arial"/>
          <w:sz w:val="22"/>
          <w:szCs w:val="22"/>
          <w:lang w:val="en-US"/>
        </w:rPr>
        <w:t xml:space="preserve"> J, Guanais FC, de Fátima M, de Souza M. (2006) “Evaluation of the impact of the Family Health Program on infant mortality in Brazil, 1990-2002.” J Epidemiol Community Health. 2006 Jan;60(1):13-9.</w:t>
      </w:r>
    </w:p>
    <w:p w14:paraId="223A33CF" w14:textId="77777777" w:rsidR="00A1159F" w:rsidRPr="00DC4A74" w:rsidRDefault="00A1159F" w:rsidP="00A1159F">
      <w:pPr>
        <w:spacing w:after="240"/>
        <w:rPr>
          <w:rFonts w:cs="Arial"/>
          <w:sz w:val="22"/>
          <w:szCs w:val="22"/>
          <w:lang w:val="en-US"/>
        </w:rPr>
      </w:pPr>
      <w:proofErr w:type="spellStart"/>
      <w:r w:rsidRPr="00DC4A74">
        <w:rPr>
          <w:rFonts w:cs="Arial"/>
          <w:sz w:val="22"/>
          <w:szCs w:val="22"/>
          <w:lang w:val="en-US"/>
        </w:rPr>
        <w:t>Macinko</w:t>
      </w:r>
      <w:proofErr w:type="spellEnd"/>
      <w:r w:rsidRPr="00DC4A74">
        <w:rPr>
          <w:rFonts w:cs="Arial"/>
          <w:sz w:val="22"/>
          <w:szCs w:val="22"/>
          <w:lang w:val="en-US"/>
        </w:rPr>
        <w:t xml:space="preserve"> J, Oliveira V, </w:t>
      </w:r>
      <w:proofErr w:type="spellStart"/>
      <w:r w:rsidRPr="00DC4A74">
        <w:rPr>
          <w:rFonts w:cs="Arial"/>
          <w:sz w:val="22"/>
          <w:szCs w:val="22"/>
          <w:lang w:val="en-US"/>
        </w:rPr>
        <w:t>Turci</w:t>
      </w:r>
      <w:proofErr w:type="spellEnd"/>
      <w:r w:rsidRPr="00DC4A74">
        <w:rPr>
          <w:rFonts w:cs="Arial"/>
          <w:sz w:val="22"/>
          <w:szCs w:val="22"/>
          <w:lang w:val="en-US"/>
        </w:rPr>
        <w:t xml:space="preserve"> M, Guanais F, </w:t>
      </w:r>
      <w:proofErr w:type="spellStart"/>
      <w:r w:rsidRPr="00DC4A74">
        <w:rPr>
          <w:rFonts w:cs="Arial"/>
          <w:sz w:val="22"/>
          <w:szCs w:val="22"/>
          <w:lang w:val="en-US"/>
        </w:rPr>
        <w:t>Bonolo</w:t>
      </w:r>
      <w:proofErr w:type="spellEnd"/>
      <w:r w:rsidRPr="00DC4A74">
        <w:rPr>
          <w:rFonts w:cs="Arial"/>
          <w:sz w:val="22"/>
          <w:szCs w:val="22"/>
          <w:lang w:val="en-US"/>
        </w:rPr>
        <w:t xml:space="preserve"> P, Lima-Costa M. (2011) “The Influence of Primary Care and Hospital Supply on Ambulatory Care Sensitive Hospitalizations among Adults in Brazil, 1999-2007.” American Journal of Public Health. Feb 17. [</w:t>
      </w:r>
      <w:proofErr w:type="spellStart"/>
      <w:r w:rsidRPr="00DC4A74">
        <w:rPr>
          <w:rFonts w:cs="Arial"/>
          <w:sz w:val="22"/>
          <w:szCs w:val="22"/>
          <w:lang w:val="en-US"/>
        </w:rPr>
        <w:t>Epub</w:t>
      </w:r>
      <w:proofErr w:type="spellEnd"/>
      <w:r w:rsidRPr="00DC4A74">
        <w:rPr>
          <w:rFonts w:cs="Arial"/>
          <w:sz w:val="22"/>
          <w:szCs w:val="22"/>
          <w:lang w:val="en-US"/>
        </w:rPr>
        <w:t xml:space="preserve"> ahead of print]</w:t>
      </w:r>
    </w:p>
    <w:p w14:paraId="2DE23E07" w14:textId="77777777" w:rsidR="00A1159F" w:rsidRPr="00DC4A74" w:rsidRDefault="00A1159F" w:rsidP="00A1159F">
      <w:pPr>
        <w:spacing w:after="240"/>
        <w:rPr>
          <w:rFonts w:cs="Arial"/>
          <w:sz w:val="22"/>
          <w:szCs w:val="22"/>
          <w:lang w:val="en-US"/>
        </w:rPr>
      </w:pPr>
      <w:r w:rsidRPr="00DC4A74">
        <w:rPr>
          <w:rFonts w:cs="Arial"/>
          <w:sz w:val="22"/>
          <w:szCs w:val="22"/>
          <w:lang w:val="en-US"/>
        </w:rPr>
        <w:t xml:space="preserve">Pan American Health Organization (2007).  </w:t>
      </w:r>
      <w:r w:rsidRPr="00DC4A74">
        <w:rPr>
          <w:rFonts w:cs="Arial"/>
          <w:i/>
          <w:sz w:val="22"/>
          <w:szCs w:val="22"/>
          <w:lang w:val="en-US"/>
        </w:rPr>
        <w:t xml:space="preserve">Renewing Primary Health Care in the Americas: A Position Paper of the Pan American Health Organization. </w:t>
      </w:r>
      <w:r w:rsidRPr="00DC4A74">
        <w:rPr>
          <w:rFonts w:cs="Arial"/>
          <w:sz w:val="22"/>
          <w:szCs w:val="22"/>
          <w:lang w:val="en-US"/>
        </w:rPr>
        <w:t>Washington, D.C: PAHO.</w:t>
      </w:r>
    </w:p>
    <w:p w14:paraId="5B72645D" w14:textId="77777777" w:rsidR="00A1159F" w:rsidRPr="00DC4A74" w:rsidRDefault="00A1159F" w:rsidP="00A1159F">
      <w:pPr>
        <w:spacing w:after="240"/>
        <w:rPr>
          <w:rFonts w:cs="Arial"/>
          <w:sz w:val="22"/>
          <w:szCs w:val="22"/>
          <w:lang w:val="en-US"/>
        </w:rPr>
      </w:pPr>
      <w:r w:rsidRPr="00DC4A74">
        <w:rPr>
          <w:rFonts w:cs="Arial"/>
          <w:sz w:val="22"/>
          <w:szCs w:val="22"/>
          <w:lang w:val="en-US"/>
        </w:rPr>
        <w:t xml:space="preserve">Rocha R; Soares R. (2010) “Evaluating the Impact of Community-Based Health Interventions: Evidence from Brazil’s Family Health Program” </w:t>
      </w:r>
      <w:r w:rsidRPr="00DC4A74">
        <w:rPr>
          <w:rFonts w:cs="Arial"/>
          <w:i/>
          <w:sz w:val="22"/>
          <w:szCs w:val="22"/>
          <w:lang w:val="en-US"/>
        </w:rPr>
        <w:t>Health Econ.</w:t>
      </w:r>
      <w:r w:rsidRPr="00DC4A74">
        <w:rPr>
          <w:rFonts w:cs="Arial"/>
          <w:sz w:val="22"/>
          <w:szCs w:val="22"/>
          <w:lang w:val="en-US"/>
        </w:rPr>
        <w:t xml:space="preserve"> 19: 126–158.</w:t>
      </w:r>
    </w:p>
    <w:p w14:paraId="4E812B1C" w14:textId="77777777" w:rsidR="00A1159F" w:rsidRPr="00DC4A74" w:rsidRDefault="00A1159F" w:rsidP="00A1159F">
      <w:pPr>
        <w:spacing w:after="240"/>
        <w:rPr>
          <w:rFonts w:cs="Arial"/>
          <w:sz w:val="22"/>
          <w:szCs w:val="22"/>
          <w:lang w:val="en-US"/>
        </w:rPr>
      </w:pPr>
      <w:r w:rsidRPr="00DC4A74">
        <w:rPr>
          <w:rFonts w:cs="Arial"/>
          <w:sz w:val="22"/>
          <w:szCs w:val="22"/>
          <w:lang w:val="en-US"/>
        </w:rPr>
        <w:t>Starfield B. (2009). “Toward international primary care reform.”</w:t>
      </w:r>
      <w:r w:rsidRPr="00DC4A74">
        <w:rPr>
          <w:rFonts w:cs="Arial"/>
          <w:i/>
          <w:sz w:val="22"/>
          <w:szCs w:val="22"/>
          <w:lang w:val="en-US"/>
        </w:rPr>
        <w:t xml:space="preserve"> CMAJ.</w:t>
      </w:r>
      <w:r w:rsidRPr="00DC4A74">
        <w:rPr>
          <w:rFonts w:cs="Arial"/>
          <w:sz w:val="22"/>
          <w:szCs w:val="22"/>
          <w:lang w:val="en-US"/>
        </w:rPr>
        <w:t xml:space="preserve"> May 26;180(11):1091-2. </w:t>
      </w:r>
    </w:p>
    <w:p w14:paraId="4C5FBD85" w14:textId="77777777" w:rsidR="00A1159F" w:rsidRPr="00D75FE1" w:rsidRDefault="00A1159F" w:rsidP="00A1159F">
      <w:pPr>
        <w:spacing w:after="240"/>
        <w:rPr>
          <w:rFonts w:cs="Arial"/>
          <w:sz w:val="22"/>
          <w:szCs w:val="22"/>
          <w:lang w:val="es-MX"/>
        </w:rPr>
      </w:pPr>
      <w:r w:rsidRPr="00DC4A74">
        <w:rPr>
          <w:rFonts w:cs="Arial"/>
          <w:sz w:val="22"/>
          <w:szCs w:val="22"/>
          <w:lang w:val="en-US"/>
        </w:rPr>
        <w:t xml:space="preserve">Starfield B. (2010). “Reinventing primary care: lessons from Canada for the United States.” </w:t>
      </w:r>
      <w:r w:rsidRPr="00D75FE1">
        <w:rPr>
          <w:rFonts w:cs="Arial"/>
          <w:i/>
          <w:sz w:val="22"/>
          <w:szCs w:val="22"/>
          <w:lang w:val="es-MX"/>
        </w:rPr>
        <w:t xml:space="preserve">Health </w:t>
      </w:r>
      <w:proofErr w:type="spellStart"/>
      <w:r w:rsidRPr="00D75FE1">
        <w:rPr>
          <w:rFonts w:cs="Arial"/>
          <w:i/>
          <w:sz w:val="22"/>
          <w:szCs w:val="22"/>
          <w:lang w:val="es-MX"/>
        </w:rPr>
        <w:t>Aff</w:t>
      </w:r>
      <w:proofErr w:type="spellEnd"/>
      <w:r w:rsidRPr="00D75FE1">
        <w:rPr>
          <w:rFonts w:cs="Arial"/>
          <w:i/>
          <w:sz w:val="22"/>
          <w:szCs w:val="22"/>
          <w:lang w:val="es-MX"/>
        </w:rPr>
        <w:t xml:space="preserve"> (</w:t>
      </w:r>
      <w:proofErr w:type="spellStart"/>
      <w:r w:rsidRPr="00D75FE1">
        <w:rPr>
          <w:rFonts w:cs="Arial"/>
          <w:i/>
          <w:sz w:val="22"/>
          <w:szCs w:val="22"/>
          <w:lang w:val="es-MX"/>
        </w:rPr>
        <w:t>Millwood</w:t>
      </w:r>
      <w:proofErr w:type="spellEnd"/>
      <w:r w:rsidRPr="00D75FE1">
        <w:rPr>
          <w:rFonts w:cs="Arial"/>
          <w:i/>
          <w:sz w:val="22"/>
          <w:szCs w:val="22"/>
          <w:lang w:val="es-MX"/>
        </w:rPr>
        <w:t>).</w:t>
      </w:r>
      <w:r w:rsidRPr="00D75FE1">
        <w:rPr>
          <w:rFonts w:cs="Arial"/>
          <w:sz w:val="22"/>
          <w:szCs w:val="22"/>
          <w:lang w:val="es-MX"/>
        </w:rPr>
        <w:t xml:space="preserve"> May;29(5):1030-6.</w:t>
      </w:r>
    </w:p>
    <w:p w14:paraId="0FF663D2" w14:textId="77777777" w:rsidR="00A1159F" w:rsidRPr="00D75FE1" w:rsidRDefault="00A1159F" w:rsidP="00A1159F">
      <w:pPr>
        <w:rPr>
          <w:lang w:val="es-MX"/>
        </w:rPr>
      </w:pPr>
    </w:p>
    <w:sectPr w:rsidR="00A1159F" w:rsidRPr="00D75FE1" w:rsidSect="00401C3A">
      <w:headerReference w:type="even" r:id="rId26"/>
      <w:headerReference w:type="default" r:id="rId2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63EE1" w14:textId="77777777" w:rsidR="00127259" w:rsidRDefault="00127259" w:rsidP="00A1159F">
      <w:r>
        <w:separator/>
      </w:r>
    </w:p>
  </w:endnote>
  <w:endnote w:type="continuationSeparator" w:id="0">
    <w:p w14:paraId="68D51D2B" w14:textId="77777777" w:rsidR="00127259" w:rsidRDefault="00127259" w:rsidP="00A1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FE1D1" w14:textId="77777777" w:rsidR="00127259" w:rsidRDefault="00127259" w:rsidP="00A1159F">
      <w:r>
        <w:separator/>
      </w:r>
    </w:p>
  </w:footnote>
  <w:footnote w:type="continuationSeparator" w:id="0">
    <w:p w14:paraId="21AD92BE" w14:textId="77777777" w:rsidR="00127259" w:rsidRDefault="00127259" w:rsidP="00A1159F">
      <w:r>
        <w:continuationSeparator/>
      </w:r>
    </w:p>
  </w:footnote>
  <w:footnote w:id="1">
    <w:p w14:paraId="0E80A68E" w14:textId="77777777" w:rsidR="00586A58" w:rsidRPr="00BB54A5" w:rsidRDefault="00586A58" w:rsidP="00A1159F">
      <w:pPr>
        <w:pStyle w:val="FootnoteText"/>
        <w:spacing w:after="0"/>
        <w:ind w:left="270" w:hanging="270"/>
        <w:rPr>
          <w:rFonts w:cs="Arial"/>
          <w:sz w:val="18"/>
          <w:szCs w:val="18"/>
          <w:lang w:val="es-MX"/>
        </w:rPr>
      </w:pPr>
      <w:r w:rsidRPr="00BB54A5">
        <w:rPr>
          <w:rStyle w:val="FootnoteReference"/>
          <w:rFonts w:cs="Arial"/>
          <w:sz w:val="16"/>
          <w:szCs w:val="16"/>
          <w:lang w:val="es-MX"/>
        </w:rPr>
        <w:footnoteRef/>
      </w:r>
      <w:r w:rsidRPr="00BB54A5">
        <w:rPr>
          <w:rFonts w:cs="Arial"/>
          <w:sz w:val="16"/>
          <w:szCs w:val="16"/>
          <w:lang w:val="es-MX"/>
        </w:rPr>
        <w:t xml:space="preserve"> </w:t>
      </w:r>
      <w:r w:rsidRPr="00BB54A5">
        <w:rPr>
          <w:rFonts w:cs="Arial"/>
          <w:sz w:val="16"/>
          <w:szCs w:val="16"/>
          <w:lang w:val="es-MX"/>
        </w:rPr>
        <w:tab/>
      </w:r>
      <w:r w:rsidRPr="00BB54A5">
        <w:rPr>
          <w:rFonts w:cs="Arial"/>
          <w:sz w:val="18"/>
          <w:szCs w:val="18"/>
          <w:lang w:val="es-MX"/>
        </w:rPr>
        <w:t>Esta sección presenta los antecedentes y descripción del programa, y está basada en el documento de propuesta de préstamo. Por tanto, puede si el lector ya revisó la propuesta de préstamo, puede pasar a la sección II.</w:t>
      </w:r>
    </w:p>
  </w:footnote>
  <w:footnote w:id="2">
    <w:p w14:paraId="78825CFD" w14:textId="77777777" w:rsidR="00586A58" w:rsidRPr="00BB54A5" w:rsidRDefault="00586A58" w:rsidP="00BF5B3E">
      <w:pPr>
        <w:pStyle w:val="FootnoteText"/>
        <w:spacing w:after="0"/>
        <w:rPr>
          <w:rFonts w:cs="Arial"/>
          <w:sz w:val="18"/>
          <w:szCs w:val="18"/>
          <w:lang w:val="es-MX"/>
        </w:rPr>
      </w:pPr>
      <w:r w:rsidRPr="00BB54A5">
        <w:rPr>
          <w:rStyle w:val="FootnoteReference"/>
          <w:rFonts w:cs="Arial"/>
          <w:sz w:val="18"/>
          <w:szCs w:val="18"/>
          <w:lang w:val="es-MX"/>
        </w:rPr>
        <w:footnoteRef/>
      </w:r>
      <w:r w:rsidRPr="00BB54A5">
        <w:rPr>
          <w:rFonts w:cs="Arial"/>
          <w:sz w:val="18"/>
          <w:szCs w:val="18"/>
          <w:lang w:val="es-MX"/>
        </w:rPr>
        <w:t xml:space="preserve"> </w:t>
      </w:r>
      <w:r w:rsidRPr="00BB54A5">
        <w:rPr>
          <w:rFonts w:cs="Arial"/>
          <w:sz w:val="18"/>
          <w:szCs w:val="18"/>
          <w:lang w:val="es-MX"/>
        </w:rPr>
        <w:tab/>
        <w:t>Con la reducción de la desnutrición y las enfermedades infecciosas, parasitarias, y respiratorias, principales causas de la mortalidad post-neonatal, se incrementaron relativamente las causas de muertes neonatales, incluyendo la prematuridad, la asfixia durante el parto y las infecciones neonatales.</w:t>
      </w:r>
    </w:p>
  </w:footnote>
  <w:footnote w:id="3">
    <w:p w14:paraId="3C365A16" w14:textId="77777777" w:rsidR="00586A58" w:rsidRPr="00BB54A5" w:rsidRDefault="00586A58" w:rsidP="00BF5B3E">
      <w:pPr>
        <w:pStyle w:val="FootnoteText"/>
        <w:spacing w:after="0"/>
        <w:rPr>
          <w:rFonts w:cs="Arial"/>
          <w:sz w:val="18"/>
          <w:szCs w:val="18"/>
          <w:lang w:val="es-MX"/>
        </w:rPr>
      </w:pPr>
      <w:r w:rsidRPr="00BB54A5">
        <w:rPr>
          <w:rStyle w:val="FootnoteReference"/>
          <w:rFonts w:cs="Arial"/>
          <w:sz w:val="18"/>
          <w:szCs w:val="18"/>
          <w:lang w:val="es-MX"/>
        </w:rPr>
        <w:footnoteRef/>
      </w:r>
      <w:r w:rsidRPr="00BB54A5">
        <w:rPr>
          <w:rFonts w:cs="Arial"/>
          <w:sz w:val="18"/>
          <w:szCs w:val="18"/>
          <w:lang w:val="es-MX"/>
        </w:rPr>
        <w:t xml:space="preserve"> </w:t>
      </w:r>
      <w:r w:rsidRPr="00BB54A5">
        <w:rPr>
          <w:rFonts w:cs="Arial"/>
          <w:sz w:val="18"/>
          <w:szCs w:val="18"/>
          <w:lang w:val="es-MX"/>
        </w:rPr>
        <w:tab/>
        <w:t>Entre las principales causas de la muerte materna están el síndrome hipertensivo (preclamsia) y la hemorragia posparto.</w:t>
      </w:r>
    </w:p>
  </w:footnote>
  <w:footnote w:id="4">
    <w:p w14:paraId="0C2AC15B" w14:textId="77777777" w:rsidR="00586A58" w:rsidRPr="00BB54A5" w:rsidRDefault="00586A58" w:rsidP="00B71549">
      <w:pPr>
        <w:pStyle w:val="FootnoteText"/>
        <w:spacing w:after="0"/>
        <w:rPr>
          <w:rFonts w:cs="Arial"/>
          <w:sz w:val="18"/>
          <w:szCs w:val="18"/>
          <w:lang w:val="es-MX"/>
        </w:rPr>
      </w:pPr>
      <w:r w:rsidRPr="00BB54A5">
        <w:rPr>
          <w:rStyle w:val="FootnoteReference"/>
          <w:rFonts w:cs="Arial"/>
          <w:sz w:val="18"/>
          <w:szCs w:val="18"/>
          <w:lang w:val="es-MX"/>
        </w:rPr>
        <w:footnoteRef/>
      </w:r>
      <w:r w:rsidRPr="00BB54A5">
        <w:rPr>
          <w:rFonts w:cs="Arial"/>
          <w:sz w:val="18"/>
          <w:szCs w:val="18"/>
          <w:lang w:val="es-MX"/>
        </w:rPr>
        <w:t xml:space="preserve"> </w:t>
      </w:r>
      <w:r w:rsidRPr="00BB54A5">
        <w:rPr>
          <w:rFonts w:cs="Arial"/>
          <w:sz w:val="18"/>
          <w:szCs w:val="18"/>
          <w:lang w:val="es-MX"/>
        </w:rPr>
        <w:tab/>
        <w:t>Dengue, Zika, Chikunguña y Leishmaniosis visceral son de mucha importancia desde la perspectiva de la vigilancia de salud y control de las epidemias.</w:t>
      </w:r>
    </w:p>
  </w:footnote>
  <w:footnote w:id="5">
    <w:p w14:paraId="5F487ED9" w14:textId="77777777" w:rsidR="00586A58" w:rsidRPr="00BB54A5" w:rsidRDefault="00586A58" w:rsidP="00B71549">
      <w:pPr>
        <w:pStyle w:val="FootnoteText"/>
        <w:spacing w:after="0"/>
        <w:rPr>
          <w:rFonts w:cs="Arial"/>
          <w:sz w:val="18"/>
          <w:szCs w:val="18"/>
          <w:lang w:val="es-MX"/>
        </w:rPr>
      </w:pPr>
      <w:r w:rsidRPr="00BB54A5">
        <w:rPr>
          <w:rStyle w:val="FootnoteReference"/>
          <w:rFonts w:cs="Arial"/>
          <w:sz w:val="18"/>
          <w:szCs w:val="18"/>
          <w:lang w:val="es-MX"/>
        </w:rPr>
        <w:footnoteRef/>
      </w:r>
      <w:r w:rsidRPr="00BB54A5">
        <w:rPr>
          <w:rFonts w:cs="Arial"/>
          <w:sz w:val="18"/>
          <w:szCs w:val="18"/>
          <w:lang w:val="es-MX"/>
        </w:rPr>
        <w:t xml:space="preserve"> </w:t>
      </w:r>
      <w:r w:rsidRPr="00BB54A5">
        <w:rPr>
          <w:rFonts w:cs="Arial"/>
          <w:sz w:val="18"/>
          <w:szCs w:val="18"/>
          <w:lang w:val="es-MX"/>
        </w:rPr>
        <w:tab/>
        <w:t>La red municipal de atención en salud está compuesta de 152 centros de salud, 9 unidades de atención urgente, 9 centros de especialidades médicas, 5 unidades de referencia secundaria, 29 hospitales, 15 unidades de apoyo, diagnosis y terapia, 13 centros de atención psicosocial, 77 academias de salud, 588 equipos de salud de la familia, y 302 equipos de salud bucal.</w:t>
      </w:r>
    </w:p>
  </w:footnote>
  <w:footnote w:id="6">
    <w:p w14:paraId="7B372CE9" w14:textId="77777777" w:rsidR="00586A58" w:rsidRPr="00BB54A5" w:rsidRDefault="00586A58" w:rsidP="00B71549">
      <w:pPr>
        <w:pStyle w:val="FootnoteText"/>
        <w:spacing w:after="0"/>
        <w:rPr>
          <w:rFonts w:cs="Arial"/>
          <w:sz w:val="18"/>
          <w:szCs w:val="18"/>
          <w:lang w:val="es-MX"/>
        </w:rPr>
      </w:pPr>
      <w:r w:rsidRPr="00BB54A5">
        <w:rPr>
          <w:rStyle w:val="FootnoteReference"/>
          <w:rFonts w:cs="Arial"/>
          <w:sz w:val="18"/>
          <w:szCs w:val="18"/>
          <w:lang w:val="es-MX"/>
        </w:rPr>
        <w:footnoteRef/>
      </w:r>
      <w:r w:rsidRPr="00BB54A5">
        <w:rPr>
          <w:rFonts w:cs="Arial"/>
          <w:sz w:val="18"/>
          <w:szCs w:val="18"/>
          <w:lang w:val="es-MX"/>
        </w:rPr>
        <w:t xml:space="preserve"> </w:t>
      </w:r>
      <w:r w:rsidRPr="00BB54A5">
        <w:rPr>
          <w:rFonts w:cs="Arial"/>
          <w:sz w:val="18"/>
          <w:szCs w:val="18"/>
          <w:lang w:val="es-MX"/>
        </w:rPr>
        <w:tab/>
        <w:t>Entre 2008 y 2017 las hospitalizaciones subieron el 15%, y la producción ambulatoria 53%, mientras que de 2014 a 2017 los recursos financieros aplicados se mantuvieron constantes en términos nominales.</w:t>
      </w:r>
    </w:p>
  </w:footnote>
  <w:footnote w:id="7">
    <w:p w14:paraId="24318981" w14:textId="77777777" w:rsidR="00586A58" w:rsidRPr="008208EC" w:rsidRDefault="00586A58" w:rsidP="0013584A">
      <w:pPr>
        <w:pStyle w:val="FootnoteText"/>
        <w:spacing w:after="0"/>
        <w:rPr>
          <w:rFonts w:cs="Arial"/>
          <w:sz w:val="18"/>
          <w:szCs w:val="18"/>
          <w:lang w:val="es-ES"/>
        </w:rPr>
      </w:pPr>
      <w:r w:rsidRPr="008208EC">
        <w:rPr>
          <w:rStyle w:val="FootnoteReference"/>
          <w:rFonts w:cs="Arial"/>
          <w:sz w:val="18"/>
          <w:szCs w:val="18"/>
        </w:rPr>
        <w:footnoteRef/>
      </w:r>
      <w:r w:rsidRPr="008208EC">
        <w:rPr>
          <w:rFonts w:cs="Arial"/>
          <w:sz w:val="18"/>
          <w:szCs w:val="18"/>
        </w:rPr>
        <w:t xml:space="preserve"> </w:t>
      </w:r>
      <w:r w:rsidRPr="008208EC">
        <w:rPr>
          <w:rFonts w:cs="Arial"/>
          <w:sz w:val="18"/>
          <w:szCs w:val="18"/>
        </w:rPr>
        <w:tab/>
      </w:r>
      <w:r w:rsidRPr="008208EC">
        <w:rPr>
          <w:rFonts w:cs="Arial"/>
          <w:sz w:val="18"/>
          <w:szCs w:val="18"/>
          <w:lang w:val="es-ES"/>
        </w:rPr>
        <w:t>La capacidad de almacenamiento en 2016 fue de 3,8 millones de unidades anuales y se espera duplicarla. Esto deberá mejorar la eficiencia en el manejo de los insumos y sus correspondientes costos.</w:t>
      </w:r>
    </w:p>
  </w:footnote>
  <w:footnote w:id="8">
    <w:p w14:paraId="1B74F2BB" w14:textId="77777777" w:rsidR="00586A58" w:rsidRPr="008208EC" w:rsidRDefault="00586A58" w:rsidP="0013584A">
      <w:pPr>
        <w:pStyle w:val="FootnoteText"/>
        <w:spacing w:after="0"/>
        <w:rPr>
          <w:rFonts w:cs="Arial"/>
          <w:sz w:val="18"/>
          <w:szCs w:val="18"/>
          <w:lang w:val="es-ES"/>
        </w:rPr>
      </w:pPr>
      <w:r w:rsidRPr="008208EC">
        <w:rPr>
          <w:rStyle w:val="FootnoteReference"/>
          <w:rFonts w:cs="Arial"/>
          <w:sz w:val="18"/>
          <w:szCs w:val="18"/>
        </w:rPr>
        <w:footnoteRef/>
      </w:r>
      <w:r w:rsidRPr="008208EC">
        <w:rPr>
          <w:rFonts w:cs="Arial"/>
          <w:sz w:val="18"/>
          <w:szCs w:val="18"/>
        </w:rPr>
        <w:t xml:space="preserve"> </w:t>
      </w:r>
      <w:r w:rsidRPr="008208EC">
        <w:rPr>
          <w:rFonts w:cs="Arial"/>
          <w:sz w:val="18"/>
          <w:szCs w:val="18"/>
        </w:rPr>
        <w:tab/>
      </w:r>
      <w:r w:rsidRPr="008208EC">
        <w:rPr>
          <w:rFonts w:cs="Arial"/>
          <w:sz w:val="18"/>
          <w:szCs w:val="18"/>
          <w:lang w:val="es-ES"/>
        </w:rPr>
        <w:t>La selección de UPA y unidades especializadas fue realizada con base en los criterios de brechas de la oferta de determinados servicios, cobertura poblacional, y grado de necesidad de mejoramiento de infraestructura y equipamiento.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 w:val="18"/>
        <w:szCs w:val="18"/>
      </w:rPr>
      <w:id w:val="-2038412502"/>
      <w:docPartObj>
        <w:docPartGallery w:val="Page Numbers (Top of Page)"/>
        <w:docPartUnique/>
      </w:docPartObj>
    </w:sdtPr>
    <w:sdtEndPr/>
    <w:sdtContent>
      <w:p w14:paraId="6A8B90C2" w14:textId="3C3F04BA" w:rsidR="00401C3A" w:rsidRPr="00401C3A" w:rsidRDefault="00401C3A" w:rsidP="00401C3A">
        <w:pPr>
          <w:pStyle w:val="Header"/>
          <w:jc w:val="right"/>
          <w:rPr>
            <w:rFonts w:cs="Arial"/>
            <w:sz w:val="18"/>
            <w:szCs w:val="18"/>
          </w:rPr>
        </w:pPr>
        <w:r w:rsidRPr="00401C3A">
          <w:rPr>
            <w:rFonts w:cs="Arial"/>
            <w:sz w:val="18"/>
            <w:szCs w:val="18"/>
          </w:rPr>
          <w:t>EER#</w:t>
        </w:r>
        <w:r w:rsidR="00D15118">
          <w:rPr>
            <w:rFonts w:cs="Arial"/>
            <w:sz w:val="18"/>
            <w:szCs w:val="18"/>
          </w:rPr>
          <w:t>3</w:t>
        </w:r>
        <w:r w:rsidRPr="00401C3A">
          <w:rPr>
            <w:rFonts w:cs="Arial"/>
            <w:sz w:val="18"/>
            <w:szCs w:val="18"/>
          </w:rPr>
          <w:t xml:space="preserve"> – BR-L1519</w:t>
        </w:r>
      </w:p>
      <w:p w14:paraId="073D5246" w14:textId="77777777" w:rsidR="00401C3A" w:rsidRPr="00401C3A" w:rsidRDefault="00401C3A" w:rsidP="00401C3A">
        <w:pPr>
          <w:pStyle w:val="Header"/>
          <w:jc w:val="right"/>
          <w:rPr>
            <w:rFonts w:cs="Arial"/>
            <w:sz w:val="18"/>
            <w:szCs w:val="18"/>
          </w:rPr>
        </w:pPr>
        <w:r w:rsidRPr="00401C3A">
          <w:rPr>
            <w:rFonts w:cs="Arial"/>
            <w:sz w:val="18"/>
            <w:szCs w:val="18"/>
          </w:rPr>
          <w:t xml:space="preserve">Página </w:t>
        </w:r>
        <w:r w:rsidRPr="00ED21B6">
          <w:rPr>
            <w:rFonts w:cs="Arial"/>
            <w:bCs/>
            <w:sz w:val="18"/>
            <w:szCs w:val="18"/>
          </w:rPr>
          <w:fldChar w:fldCharType="begin"/>
        </w:r>
        <w:r w:rsidRPr="00401C3A">
          <w:rPr>
            <w:rFonts w:cs="Arial"/>
            <w:bCs/>
            <w:sz w:val="18"/>
            <w:szCs w:val="18"/>
          </w:rPr>
          <w:instrText xml:space="preserve"> PAGE </w:instrText>
        </w:r>
        <w:r w:rsidRPr="00ED21B6">
          <w:rPr>
            <w:rFonts w:cs="Arial"/>
            <w:bCs/>
            <w:sz w:val="18"/>
            <w:szCs w:val="18"/>
          </w:rPr>
          <w:fldChar w:fldCharType="separate"/>
        </w:r>
        <w:r>
          <w:rPr>
            <w:rFonts w:cs="Arial"/>
            <w:bCs/>
            <w:sz w:val="18"/>
            <w:szCs w:val="18"/>
          </w:rPr>
          <w:t>2</w:t>
        </w:r>
        <w:r w:rsidRPr="00ED21B6">
          <w:rPr>
            <w:rFonts w:cs="Arial"/>
            <w:bCs/>
            <w:sz w:val="18"/>
            <w:szCs w:val="18"/>
          </w:rPr>
          <w:fldChar w:fldCharType="end"/>
        </w:r>
        <w:r w:rsidRPr="00401C3A">
          <w:rPr>
            <w:rFonts w:cs="Arial"/>
            <w:sz w:val="18"/>
            <w:szCs w:val="18"/>
          </w:rPr>
          <w:t xml:space="preserve"> de </w:t>
        </w:r>
        <w:r w:rsidRPr="00ED21B6">
          <w:rPr>
            <w:rFonts w:cs="Arial"/>
            <w:bCs/>
            <w:sz w:val="18"/>
            <w:szCs w:val="18"/>
          </w:rPr>
          <w:fldChar w:fldCharType="begin"/>
        </w:r>
        <w:r w:rsidRPr="00401C3A">
          <w:rPr>
            <w:rFonts w:cs="Arial"/>
            <w:bCs/>
            <w:sz w:val="18"/>
            <w:szCs w:val="18"/>
          </w:rPr>
          <w:instrText xml:space="preserve"> NUMPAGES  </w:instrText>
        </w:r>
        <w:r w:rsidRPr="00ED21B6">
          <w:rPr>
            <w:rFonts w:cs="Arial"/>
            <w:bCs/>
            <w:sz w:val="18"/>
            <w:szCs w:val="18"/>
          </w:rPr>
          <w:fldChar w:fldCharType="separate"/>
        </w:r>
        <w:r>
          <w:rPr>
            <w:rFonts w:cs="Arial"/>
            <w:bCs/>
            <w:sz w:val="18"/>
            <w:szCs w:val="18"/>
          </w:rPr>
          <w:t>18</w:t>
        </w:r>
        <w:r w:rsidRPr="00ED21B6">
          <w:rPr>
            <w:rFonts w:cs="Arial"/>
            <w:bCs/>
            <w:sz w:val="18"/>
            <w:szCs w:val="18"/>
          </w:rPr>
          <w:fldChar w:fldCharType="end"/>
        </w:r>
      </w:p>
    </w:sdtContent>
  </w:sdt>
  <w:p w14:paraId="20354070" w14:textId="77777777" w:rsidR="00401C3A" w:rsidRDefault="00401C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 w:val="18"/>
        <w:szCs w:val="18"/>
      </w:rPr>
      <w:id w:val="-1318336367"/>
      <w:docPartObj>
        <w:docPartGallery w:val="Page Numbers (Top of Page)"/>
        <w:docPartUnique/>
      </w:docPartObj>
    </w:sdtPr>
    <w:sdtEndPr/>
    <w:sdtContent>
      <w:p w14:paraId="451FB6FE" w14:textId="67EAADAB" w:rsidR="00401C3A" w:rsidRPr="003631CE" w:rsidRDefault="00401C3A" w:rsidP="00401C3A">
        <w:pPr>
          <w:pStyle w:val="Header"/>
          <w:rPr>
            <w:rFonts w:cs="Arial"/>
            <w:sz w:val="18"/>
            <w:szCs w:val="18"/>
            <w:lang w:val="es-ES"/>
          </w:rPr>
        </w:pPr>
        <w:r w:rsidRPr="003631CE">
          <w:rPr>
            <w:rFonts w:cs="Arial"/>
            <w:sz w:val="18"/>
            <w:szCs w:val="18"/>
            <w:lang w:val="es-ES"/>
          </w:rPr>
          <w:t>EER#</w:t>
        </w:r>
        <w:r w:rsidR="00D15118">
          <w:rPr>
            <w:rFonts w:cs="Arial"/>
            <w:sz w:val="18"/>
            <w:szCs w:val="18"/>
            <w:lang w:val="es-ES"/>
          </w:rPr>
          <w:t>3</w:t>
        </w:r>
        <w:r w:rsidRPr="003631CE">
          <w:rPr>
            <w:rFonts w:cs="Arial"/>
            <w:sz w:val="18"/>
            <w:szCs w:val="18"/>
            <w:lang w:val="es-ES"/>
          </w:rPr>
          <w:t xml:space="preserve"> – BR-L1519</w:t>
        </w:r>
      </w:p>
      <w:p w14:paraId="6CBC07A9" w14:textId="77777777" w:rsidR="00401C3A" w:rsidRPr="003631CE" w:rsidRDefault="00401C3A" w:rsidP="00401C3A">
        <w:pPr>
          <w:pStyle w:val="Header"/>
          <w:rPr>
            <w:rFonts w:cs="Arial"/>
            <w:sz w:val="18"/>
            <w:szCs w:val="18"/>
            <w:lang w:val="es-ES"/>
          </w:rPr>
        </w:pPr>
        <w:r w:rsidRPr="003631CE">
          <w:rPr>
            <w:rFonts w:cs="Arial"/>
            <w:sz w:val="18"/>
            <w:szCs w:val="18"/>
            <w:lang w:val="es-ES"/>
          </w:rPr>
          <w:t xml:space="preserve">Página </w:t>
        </w:r>
        <w:r w:rsidRPr="00ED21B6">
          <w:rPr>
            <w:rFonts w:cs="Arial"/>
            <w:bCs/>
            <w:sz w:val="18"/>
            <w:szCs w:val="18"/>
          </w:rPr>
          <w:fldChar w:fldCharType="begin"/>
        </w:r>
        <w:r w:rsidRPr="003631CE">
          <w:rPr>
            <w:rFonts w:cs="Arial"/>
            <w:bCs/>
            <w:sz w:val="18"/>
            <w:szCs w:val="18"/>
            <w:lang w:val="es-ES"/>
          </w:rPr>
          <w:instrText xml:space="preserve"> PAGE </w:instrText>
        </w:r>
        <w:r w:rsidRPr="00ED21B6">
          <w:rPr>
            <w:rFonts w:cs="Arial"/>
            <w:bCs/>
            <w:sz w:val="18"/>
            <w:szCs w:val="18"/>
          </w:rPr>
          <w:fldChar w:fldCharType="separate"/>
        </w:r>
        <w:r w:rsidRPr="003631CE">
          <w:rPr>
            <w:rFonts w:cs="Arial"/>
            <w:bCs/>
            <w:sz w:val="18"/>
            <w:szCs w:val="18"/>
            <w:lang w:val="es-ES"/>
          </w:rPr>
          <w:t>1</w:t>
        </w:r>
        <w:r w:rsidRPr="00ED21B6">
          <w:rPr>
            <w:rFonts w:cs="Arial"/>
            <w:bCs/>
            <w:sz w:val="18"/>
            <w:szCs w:val="18"/>
          </w:rPr>
          <w:fldChar w:fldCharType="end"/>
        </w:r>
        <w:r w:rsidRPr="003631CE">
          <w:rPr>
            <w:rFonts w:cs="Arial"/>
            <w:sz w:val="18"/>
            <w:szCs w:val="18"/>
            <w:lang w:val="es-ES"/>
          </w:rPr>
          <w:t xml:space="preserve"> de </w:t>
        </w:r>
        <w:r w:rsidRPr="00ED21B6">
          <w:rPr>
            <w:rFonts w:cs="Arial"/>
            <w:bCs/>
            <w:sz w:val="18"/>
            <w:szCs w:val="18"/>
          </w:rPr>
          <w:fldChar w:fldCharType="begin"/>
        </w:r>
        <w:r w:rsidRPr="003631CE">
          <w:rPr>
            <w:rFonts w:cs="Arial"/>
            <w:bCs/>
            <w:sz w:val="18"/>
            <w:szCs w:val="18"/>
            <w:lang w:val="es-ES"/>
          </w:rPr>
          <w:instrText xml:space="preserve"> NUMPAGES  </w:instrText>
        </w:r>
        <w:r w:rsidRPr="00ED21B6">
          <w:rPr>
            <w:rFonts w:cs="Arial"/>
            <w:bCs/>
            <w:sz w:val="18"/>
            <w:szCs w:val="18"/>
          </w:rPr>
          <w:fldChar w:fldCharType="separate"/>
        </w:r>
        <w:r w:rsidRPr="003631CE">
          <w:rPr>
            <w:rFonts w:cs="Arial"/>
            <w:bCs/>
            <w:sz w:val="18"/>
            <w:szCs w:val="18"/>
            <w:lang w:val="es-ES"/>
          </w:rPr>
          <w:t>5</w:t>
        </w:r>
        <w:r w:rsidRPr="00ED21B6">
          <w:rPr>
            <w:rFonts w:cs="Arial"/>
            <w:bCs/>
            <w:sz w:val="18"/>
            <w:szCs w:val="18"/>
          </w:rPr>
          <w:fldChar w:fldCharType="end"/>
        </w:r>
      </w:p>
    </w:sdtContent>
  </w:sdt>
  <w:p w14:paraId="347ECC89" w14:textId="77777777" w:rsidR="00401C3A" w:rsidRPr="003631CE" w:rsidRDefault="00401C3A">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B6921"/>
    <w:multiLevelType w:val="hybridMultilevel"/>
    <w:tmpl w:val="C72A46C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7C373E"/>
    <w:multiLevelType w:val="hybridMultilevel"/>
    <w:tmpl w:val="1AF23BDE"/>
    <w:lvl w:ilvl="0" w:tplc="76541A5C">
      <w:start w:val="3"/>
      <w:numFmt w:val="upperRoman"/>
      <w:lvlText w:val="%1."/>
      <w:lvlJc w:val="left"/>
      <w:pPr>
        <w:ind w:left="810" w:hanging="72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3"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5B9A7602"/>
    <w:multiLevelType w:val="hybridMultilevel"/>
    <w:tmpl w:val="0038B24E"/>
    <w:lvl w:ilvl="0" w:tplc="76541A5C">
      <w:start w:val="1"/>
      <w:numFmt w:val="upperRoman"/>
      <w:lvlText w:val="%1."/>
      <w:lvlJc w:val="left"/>
      <w:pPr>
        <w:ind w:left="1080" w:hanging="720"/>
      </w:pPr>
    </w:lvl>
    <w:lvl w:ilvl="1" w:tplc="75407C58">
      <w:start w:val="1"/>
      <w:numFmt w:val="upperLetter"/>
      <w:lvlText w:val="%2."/>
      <w:lvlJc w:val="left"/>
      <w:pPr>
        <w:ind w:left="1440" w:hanging="360"/>
      </w:pPr>
      <w:rPr>
        <w:rFonts w:ascii="Arial" w:eastAsia="Calibri" w:hAnsi="Arial" w:cs="Arial"/>
      </w:rPr>
    </w:lvl>
    <w:lvl w:ilvl="2" w:tplc="0409001B">
      <w:start w:val="1"/>
      <w:numFmt w:val="lowerRoman"/>
      <w:lvlText w:val="%3)"/>
      <w:lvlJc w:val="left"/>
      <w:pPr>
        <w:ind w:left="2700" w:hanging="72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F266F60"/>
    <w:multiLevelType w:val="hybridMultilevel"/>
    <w:tmpl w:val="DD4C4ED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09923C8"/>
    <w:multiLevelType w:val="multilevel"/>
    <w:tmpl w:val="6AB406E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61CE7320"/>
    <w:multiLevelType w:val="hybridMultilevel"/>
    <w:tmpl w:val="B336A63C"/>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8" w15:restartNumberingAfterBreak="0">
    <w:nsid w:val="72F740D3"/>
    <w:multiLevelType w:val="hybridMultilevel"/>
    <w:tmpl w:val="4D32DC4C"/>
    <w:lvl w:ilvl="0" w:tplc="C6728C9C">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A71205B"/>
    <w:multiLevelType w:val="hybridMultilevel"/>
    <w:tmpl w:val="F092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4"/>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6"/>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9F"/>
    <w:rsid w:val="000050E2"/>
    <w:rsid w:val="0001597C"/>
    <w:rsid w:val="00087D92"/>
    <w:rsid w:val="00094528"/>
    <w:rsid w:val="000B13D0"/>
    <w:rsid w:val="000B2698"/>
    <w:rsid w:val="000F543E"/>
    <w:rsid w:val="000F5EC4"/>
    <w:rsid w:val="001013D3"/>
    <w:rsid w:val="00111EB9"/>
    <w:rsid w:val="0012397B"/>
    <w:rsid w:val="00127259"/>
    <w:rsid w:val="0013584A"/>
    <w:rsid w:val="00142994"/>
    <w:rsid w:val="00142E3A"/>
    <w:rsid w:val="001526D6"/>
    <w:rsid w:val="0016436E"/>
    <w:rsid w:val="00176526"/>
    <w:rsid w:val="001A440C"/>
    <w:rsid w:val="001E0FAC"/>
    <w:rsid w:val="001E497E"/>
    <w:rsid w:val="0020678B"/>
    <w:rsid w:val="00225727"/>
    <w:rsid w:val="00246697"/>
    <w:rsid w:val="00257813"/>
    <w:rsid w:val="00257DAC"/>
    <w:rsid w:val="00262918"/>
    <w:rsid w:val="00271761"/>
    <w:rsid w:val="0029378C"/>
    <w:rsid w:val="002C0784"/>
    <w:rsid w:val="002C0E09"/>
    <w:rsid w:val="002E61EB"/>
    <w:rsid w:val="002E780C"/>
    <w:rsid w:val="0030104E"/>
    <w:rsid w:val="00315343"/>
    <w:rsid w:val="003262F2"/>
    <w:rsid w:val="0034389A"/>
    <w:rsid w:val="00350DB1"/>
    <w:rsid w:val="003631CE"/>
    <w:rsid w:val="003742C6"/>
    <w:rsid w:val="00377621"/>
    <w:rsid w:val="003D6C36"/>
    <w:rsid w:val="003E1D17"/>
    <w:rsid w:val="003F41A8"/>
    <w:rsid w:val="00401C3A"/>
    <w:rsid w:val="00406E1C"/>
    <w:rsid w:val="00420827"/>
    <w:rsid w:val="00430F90"/>
    <w:rsid w:val="004510E0"/>
    <w:rsid w:val="004515E8"/>
    <w:rsid w:val="0047676D"/>
    <w:rsid w:val="00490F9E"/>
    <w:rsid w:val="00492155"/>
    <w:rsid w:val="004B7303"/>
    <w:rsid w:val="004E1B56"/>
    <w:rsid w:val="004E5C89"/>
    <w:rsid w:val="005106A1"/>
    <w:rsid w:val="0051551F"/>
    <w:rsid w:val="00515C7D"/>
    <w:rsid w:val="005560B9"/>
    <w:rsid w:val="00586A58"/>
    <w:rsid w:val="005A395B"/>
    <w:rsid w:val="005A39CC"/>
    <w:rsid w:val="005A487D"/>
    <w:rsid w:val="005D5CEE"/>
    <w:rsid w:val="00611F29"/>
    <w:rsid w:val="0061393C"/>
    <w:rsid w:val="00623D92"/>
    <w:rsid w:val="00633645"/>
    <w:rsid w:val="006839B7"/>
    <w:rsid w:val="006945FE"/>
    <w:rsid w:val="006A0D02"/>
    <w:rsid w:val="006A2895"/>
    <w:rsid w:val="006B6A52"/>
    <w:rsid w:val="006B73B9"/>
    <w:rsid w:val="006C48BE"/>
    <w:rsid w:val="006D406B"/>
    <w:rsid w:val="006F54E5"/>
    <w:rsid w:val="007055CA"/>
    <w:rsid w:val="007309E4"/>
    <w:rsid w:val="00742740"/>
    <w:rsid w:val="00764F9C"/>
    <w:rsid w:val="007704C3"/>
    <w:rsid w:val="0077339D"/>
    <w:rsid w:val="00787D10"/>
    <w:rsid w:val="007A0C2D"/>
    <w:rsid w:val="007A116F"/>
    <w:rsid w:val="007B3A96"/>
    <w:rsid w:val="007B4D90"/>
    <w:rsid w:val="007B6CD8"/>
    <w:rsid w:val="007D4129"/>
    <w:rsid w:val="007F0D6D"/>
    <w:rsid w:val="007F6308"/>
    <w:rsid w:val="007F653B"/>
    <w:rsid w:val="008030F9"/>
    <w:rsid w:val="008353B1"/>
    <w:rsid w:val="0084341A"/>
    <w:rsid w:val="00847A84"/>
    <w:rsid w:val="00850A57"/>
    <w:rsid w:val="00850F6D"/>
    <w:rsid w:val="008524EC"/>
    <w:rsid w:val="00863EA6"/>
    <w:rsid w:val="00871624"/>
    <w:rsid w:val="00872E4C"/>
    <w:rsid w:val="00881FB9"/>
    <w:rsid w:val="00884100"/>
    <w:rsid w:val="008C330A"/>
    <w:rsid w:val="008F0D8F"/>
    <w:rsid w:val="008F2A30"/>
    <w:rsid w:val="008F36B4"/>
    <w:rsid w:val="009207D6"/>
    <w:rsid w:val="0092428D"/>
    <w:rsid w:val="00943092"/>
    <w:rsid w:val="00960273"/>
    <w:rsid w:val="00971053"/>
    <w:rsid w:val="009B454A"/>
    <w:rsid w:val="009D3131"/>
    <w:rsid w:val="00A02685"/>
    <w:rsid w:val="00A1159F"/>
    <w:rsid w:val="00A30FFC"/>
    <w:rsid w:val="00A41C12"/>
    <w:rsid w:val="00A53EF1"/>
    <w:rsid w:val="00A54D08"/>
    <w:rsid w:val="00A72AC8"/>
    <w:rsid w:val="00A75C78"/>
    <w:rsid w:val="00A85D86"/>
    <w:rsid w:val="00A92CE7"/>
    <w:rsid w:val="00A9417F"/>
    <w:rsid w:val="00A972D8"/>
    <w:rsid w:val="00AA2643"/>
    <w:rsid w:val="00AA2776"/>
    <w:rsid w:val="00AA5C93"/>
    <w:rsid w:val="00AB0309"/>
    <w:rsid w:val="00AD7592"/>
    <w:rsid w:val="00AD7BC4"/>
    <w:rsid w:val="00B028DF"/>
    <w:rsid w:val="00B423EC"/>
    <w:rsid w:val="00B50A5D"/>
    <w:rsid w:val="00B5313C"/>
    <w:rsid w:val="00B53824"/>
    <w:rsid w:val="00B63E94"/>
    <w:rsid w:val="00B71549"/>
    <w:rsid w:val="00B77BE1"/>
    <w:rsid w:val="00B84D25"/>
    <w:rsid w:val="00B92893"/>
    <w:rsid w:val="00BB54A5"/>
    <w:rsid w:val="00BC2852"/>
    <w:rsid w:val="00BD0D2B"/>
    <w:rsid w:val="00BD392F"/>
    <w:rsid w:val="00BF5B3E"/>
    <w:rsid w:val="00C23977"/>
    <w:rsid w:val="00C27240"/>
    <w:rsid w:val="00C5482C"/>
    <w:rsid w:val="00C611F5"/>
    <w:rsid w:val="00C85B03"/>
    <w:rsid w:val="00C95853"/>
    <w:rsid w:val="00CA51F8"/>
    <w:rsid w:val="00CC2C73"/>
    <w:rsid w:val="00CC6943"/>
    <w:rsid w:val="00CE625B"/>
    <w:rsid w:val="00CE6489"/>
    <w:rsid w:val="00D060CB"/>
    <w:rsid w:val="00D1056E"/>
    <w:rsid w:val="00D15118"/>
    <w:rsid w:val="00D30E6F"/>
    <w:rsid w:val="00D41D62"/>
    <w:rsid w:val="00D64FFB"/>
    <w:rsid w:val="00D75ED1"/>
    <w:rsid w:val="00D75FE1"/>
    <w:rsid w:val="00D85DC9"/>
    <w:rsid w:val="00D878B4"/>
    <w:rsid w:val="00D93ECE"/>
    <w:rsid w:val="00D95AA9"/>
    <w:rsid w:val="00DA32AF"/>
    <w:rsid w:val="00DB1A3F"/>
    <w:rsid w:val="00DB376B"/>
    <w:rsid w:val="00DB7DF5"/>
    <w:rsid w:val="00DC4A74"/>
    <w:rsid w:val="00DE1A0C"/>
    <w:rsid w:val="00DE64F9"/>
    <w:rsid w:val="00DE764F"/>
    <w:rsid w:val="00E01C89"/>
    <w:rsid w:val="00E03009"/>
    <w:rsid w:val="00E31715"/>
    <w:rsid w:val="00E71809"/>
    <w:rsid w:val="00EA4653"/>
    <w:rsid w:val="00EC481F"/>
    <w:rsid w:val="00F00814"/>
    <w:rsid w:val="00F450AB"/>
    <w:rsid w:val="00F55DC4"/>
    <w:rsid w:val="00F7186A"/>
    <w:rsid w:val="00F85792"/>
    <w:rsid w:val="00FA6EE9"/>
    <w:rsid w:val="00FB279D"/>
    <w:rsid w:val="00FF3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AF0E2"/>
  <w15:chartTrackingRefBased/>
  <w15:docId w15:val="{E0235B60-01AA-4E9D-B896-C9CC36216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59F"/>
    <w:pPr>
      <w:spacing w:after="0" w:line="240" w:lineRule="auto"/>
    </w:pPr>
    <w:rPr>
      <w:rFonts w:ascii="Arial" w:eastAsia="Times New Roman" w:hAnsi="Arial" w:cs="Times New Roman"/>
      <w:spacing w:val="-3"/>
      <w:sz w:val="24"/>
      <w:szCs w:val="20"/>
      <w:lang w:val="es-ES_tradnl"/>
    </w:rPr>
  </w:style>
  <w:style w:type="paragraph" w:styleId="Heading1">
    <w:name w:val="heading 1"/>
    <w:aliases w:val="Heading 1.I"/>
    <w:next w:val="Normal"/>
    <w:link w:val="Heading1Char"/>
    <w:uiPriority w:val="9"/>
    <w:qFormat/>
    <w:rsid w:val="00A1159F"/>
    <w:pPr>
      <w:keepNext/>
      <w:numPr>
        <w:numId w:val="2"/>
      </w:numPr>
      <w:spacing w:before="240" w:after="240" w:line="240" w:lineRule="auto"/>
      <w:jc w:val="center"/>
      <w:outlineLvl w:val="0"/>
    </w:pPr>
    <w:rPr>
      <w:rFonts w:ascii="Times New Roman Bold" w:eastAsia="Times New Roman" w:hAnsi="Times New Roman Bold" w:cs="Times New Roman"/>
      <w:smallCaps/>
      <w:noProof/>
      <w:sz w:val="28"/>
      <w:szCs w:val="20"/>
      <w:lang w:val="es-ES" w:eastAsia="es-ES"/>
    </w:rPr>
  </w:style>
  <w:style w:type="paragraph" w:styleId="Heading2">
    <w:name w:val="heading 2"/>
    <w:aliases w:val="Heading 2.A"/>
    <w:basedOn w:val="Normal"/>
    <w:next w:val="Normal"/>
    <w:link w:val="Heading2Char"/>
    <w:semiHidden/>
    <w:unhideWhenUsed/>
    <w:qFormat/>
    <w:rsid w:val="00A1159F"/>
    <w:pPr>
      <w:keepNext/>
      <w:keepLines/>
      <w:spacing w:before="200"/>
      <w:outlineLvl w:val="1"/>
    </w:pPr>
    <w:rPr>
      <w:rFonts w:asciiTheme="majorHAnsi" w:eastAsiaTheme="majorEastAsia" w:hAnsiTheme="majorHAnsi" w:cstheme="majorBidi"/>
      <w:color w:val="4472C4" w:themeColor="accent1"/>
      <w:sz w:val="26"/>
      <w:szCs w:val="26"/>
    </w:rPr>
  </w:style>
  <w:style w:type="paragraph" w:styleId="Heading4">
    <w:name w:val="heading 4"/>
    <w:aliases w:val="Heading 4.a"/>
    <w:next w:val="Normal"/>
    <w:link w:val="Heading4Char"/>
    <w:uiPriority w:val="9"/>
    <w:unhideWhenUsed/>
    <w:qFormat/>
    <w:rsid w:val="00A1159F"/>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noProof/>
      <w:sz w:val="24"/>
      <w:szCs w:val="20"/>
      <w:lang w:val="es-ES" w:eastAsia="es-ES"/>
    </w:rPr>
  </w:style>
  <w:style w:type="paragraph" w:styleId="Heading5">
    <w:name w:val="heading 5"/>
    <w:aliases w:val="Heading 5.(i)"/>
    <w:next w:val="Normal"/>
    <w:link w:val="Heading5Char"/>
    <w:uiPriority w:val="9"/>
    <w:unhideWhenUsed/>
    <w:qFormat/>
    <w:rsid w:val="00A1159F"/>
    <w:pPr>
      <w:keepNext/>
      <w:numPr>
        <w:ilvl w:val="3"/>
        <w:numId w:val="2"/>
      </w:numPr>
      <w:spacing w:before="120" w:after="120" w:line="240" w:lineRule="auto"/>
      <w:jc w:val="both"/>
      <w:outlineLvl w:val="4"/>
    </w:pPr>
    <w:rPr>
      <w:rFonts w:ascii="Times New Roman Bold" w:eastAsia="Times New Roman" w:hAnsi="Times New Roman Bold" w:cs="Times New Roman"/>
      <w:noProof/>
      <w:sz w:val="24"/>
      <w:szCs w:val="20"/>
      <w:lang w:val="es-ES"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A1159F"/>
    <w:pPr>
      <w:ind w:left="720"/>
      <w:contextualSpacing/>
    </w:pPr>
    <w:rPr>
      <w:rFonts w:ascii="Calibri" w:eastAsia="Calibri" w:hAnsi="Calibri"/>
      <w:spacing w:val="0"/>
      <w:sz w:val="22"/>
      <w:szCs w:val="22"/>
    </w:rPr>
  </w:style>
  <w:style w:type="character" w:customStyle="1" w:styleId="Heading1Char">
    <w:name w:val="Heading 1 Char"/>
    <w:aliases w:val="Heading 1.I Char"/>
    <w:basedOn w:val="DefaultParagraphFont"/>
    <w:link w:val="Heading1"/>
    <w:uiPriority w:val="9"/>
    <w:rsid w:val="00A1159F"/>
    <w:rPr>
      <w:rFonts w:ascii="Times New Roman Bold" w:eastAsia="Times New Roman" w:hAnsi="Times New Roman Bold" w:cs="Times New Roman"/>
      <w:smallCaps/>
      <w:noProof/>
      <w:sz w:val="28"/>
      <w:szCs w:val="20"/>
      <w:lang w:val="es-ES" w:eastAsia="es-ES"/>
    </w:rPr>
  </w:style>
  <w:style w:type="character" w:customStyle="1" w:styleId="Heading2Char">
    <w:name w:val="Heading 2 Char"/>
    <w:aliases w:val="Heading 2.A Char"/>
    <w:basedOn w:val="DefaultParagraphFont"/>
    <w:link w:val="Heading2"/>
    <w:semiHidden/>
    <w:rsid w:val="00A1159F"/>
    <w:rPr>
      <w:rFonts w:asciiTheme="majorHAnsi" w:eastAsiaTheme="majorEastAsia" w:hAnsiTheme="majorHAnsi" w:cstheme="majorBidi"/>
      <w:color w:val="4472C4" w:themeColor="accent1"/>
      <w:spacing w:val="-3"/>
      <w:sz w:val="26"/>
      <w:szCs w:val="26"/>
      <w:lang w:val="es-ES_tradnl"/>
    </w:rPr>
  </w:style>
  <w:style w:type="character" w:customStyle="1" w:styleId="Heading4Char">
    <w:name w:val="Heading 4 Char"/>
    <w:aliases w:val="Heading 4.a Char"/>
    <w:basedOn w:val="DefaultParagraphFont"/>
    <w:link w:val="Heading4"/>
    <w:uiPriority w:val="9"/>
    <w:semiHidden/>
    <w:rsid w:val="00A1159F"/>
    <w:rPr>
      <w:rFonts w:ascii="Times New Roman Bold" w:eastAsia="Times New Roman" w:hAnsi="Times New Roman Bold" w:cs="Times New Roman"/>
      <w:noProof/>
      <w:sz w:val="24"/>
      <w:szCs w:val="20"/>
      <w:lang w:val="es-ES" w:eastAsia="es-ES"/>
    </w:rPr>
  </w:style>
  <w:style w:type="character" w:customStyle="1" w:styleId="Heading5Char">
    <w:name w:val="Heading 5 Char"/>
    <w:aliases w:val="Heading 5.(i) Char"/>
    <w:basedOn w:val="DefaultParagraphFont"/>
    <w:link w:val="Heading5"/>
    <w:uiPriority w:val="9"/>
    <w:semiHidden/>
    <w:rsid w:val="00A1159F"/>
    <w:rPr>
      <w:rFonts w:ascii="Times New Roman Bold" w:eastAsia="Times New Roman" w:hAnsi="Times New Roman Bold" w:cs="Times New Roman"/>
      <w:noProof/>
      <w:sz w:val="24"/>
      <w:szCs w:val="20"/>
      <w:lang w:val="es-ES" w:eastAsia="es-ES"/>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locked/>
    <w:rsid w:val="00A1159F"/>
    <w:rPr>
      <w:rFonts w:ascii="Arial" w:eastAsia="Times New Roman" w:hAnsi="Arial" w:cs="Times New Roman"/>
      <w:spacing w:val="-3"/>
      <w:sz w:val="20"/>
      <w:szCs w:val="20"/>
      <w:lang w:val="es-ES_tradnl" w:eastAsia="x-none"/>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unhideWhenUsed/>
    <w:qFormat/>
    <w:rsid w:val="00A1159F"/>
    <w:pPr>
      <w:keepNext/>
      <w:keepLines/>
      <w:spacing w:after="120"/>
      <w:ind w:left="288" w:hanging="288"/>
      <w:jc w:val="both"/>
    </w:pPr>
    <w:rPr>
      <w:sz w:val="20"/>
      <w:lang w:eastAsia="x-none"/>
    </w:rPr>
  </w:style>
  <w:style w:type="character" w:customStyle="1" w:styleId="FootnoteTextChar1">
    <w:name w:val="Footnote Text Char1"/>
    <w:basedOn w:val="DefaultParagraphFont"/>
    <w:uiPriority w:val="99"/>
    <w:semiHidden/>
    <w:rsid w:val="00A1159F"/>
    <w:rPr>
      <w:rFonts w:ascii="Arial" w:eastAsia="Times New Roman" w:hAnsi="Arial" w:cs="Times New Roman"/>
      <w:spacing w:val="-3"/>
      <w:sz w:val="20"/>
      <w:szCs w:val="20"/>
      <w:lang w:val="es-ES_tradnl"/>
    </w:rPr>
  </w:style>
  <w:style w:type="paragraph" w:customStyle="1" w:styleId="AutoNumpara">
    <w:name w:val="AutoNumpara"/>
    <w:basedOn w:val="BodyTextIndent"/>
    <w:rsid w:val="00A1159F"/>
    <w:pPr>
      <w:numPr>
        <w:ilvl w:val="1"/>
        <w:numId w:val="2"/>
      </w:numPr>
      <w:tabs>
        <w:tab w:val="clear" w:pos="720"/>
        <w:tab w:val="num" w:pos="360"/>
      </w:tabs>
      <w:spacing w:before="120"/>
      <w:ind w:left="360" w:firstLine="0"/>
      <w:jc w:val="both"/>
    </w:pPr>
    <w:rPr>
      <w:noProof/>
      <w:spacing w:val="-2"/>
      <w:lang w:eastAsia="x-none"/>
    </w:rPr>
  </w:style>
  <w:style w:type="character" w:customStyle="1" w:styleId="ParagraphChar">
    <w:name w:val="Paragraph Char"/>
    <w:link w:val="Paragraph"/>
    <w:locked/>
    <w:rsid w:val="00A1159F"/>
    <w:rPr>
      <w:rFonts w:ascii="Times New Roman" w:eastAsia="Calibri" w:hAnsi="Times New Roman" w:cs="Times New Roman"/>
      <w:lang w:val="es-ES"/>
    </w:rPr>
  </w:style>
  <w:style w:type="paragraph" w:customStyle="1" w:styleId="Paragraph">
    <w:name w:val="Paragraph"/>
    <w:aliases w:val="paragraph,p,PARAGRAPH,PG,pa,at"/>
    <w:basedOn w:val="BodyTextIndent"/>
    <w:link w:val="ParagraphChar"/>
    <w:qFormat/>
    <w:rsid w:val="00A1159F"/>
    <w:pPr>
      <w:tabs>
        <w:tab w:val="num" w:pos="720"/>
      </w:tabs>
      <w:spacing w:before="120"/>
      <w:ind w:left="720" w:hanging="720"/>
      <w:jc w:val="both"/>
      <w:outlineLvl w:val="1"/>
    </w:pPr>
    <w:rPr>
      <w:rFonts w:ascii="Times New Roman" w:eastAsia="Calibri" w:hAnsi="Times New Roman"/>
      <w:spacing w:val="0"/>
      <w:sz w:val="22"/>
      <w:szCs w:val="22"/>
      <w:lang w:val="es-ES"/>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Body Text 2 Char1"/>
    <w:unhideWhenUsed/>
    <w:qFormat/>
    <w:rsid w:val="00A1159F"/>
    <w:rPr>
      <w:rFonts w:ascii="Times New Roman" w:hAnsi="Times New Roman" w:cs="Times New Roman" w:hint="default"/>
      <w:sz w:val="20"/>
      <w:vertAlign w:val="superscript"/>
    </w:rPr>
  </w:style>
  <w:style w:type="paragraph" w:styleId="BodyTextIndent">
    <w:name w:val="Body Text Indent"/>
    <w:basedOn w:val="Normal"/>
    <w:link w:val="BodyTextIndentChar"/>
    <w:uiPriority w:val="99"/>
    <w:semiHidden/>
    <w:unhideWhenUsed/>
    <w:rsid w:val="00A1159F"/>
    <w:pPr>
      <w:spacing w:after="120"/>
      <w:ind w:left="360"/>
    </w:pPr>
  </w:style>
  <w:style w:type="character" w:customStyle="1" w:styleId="BodyTextIndentChar">
    <w:name w:val="Body Text Indent Char"/>
    <w:basedOn w:val="DefaultParagraphFont"/>
    <w:link w:val="BodyTextIndent"/>
    <w:uiPriority w:val="99"/>
    <w:semiHidden/>
    <w:rsid w:val="00A1159F"/>
    <w:rPr>
      <w:rFonts w:ascii="Arial" w:eastAsia="Times New Roman" w:hAnsi="Arial" w:cs="Times New Roman"/>
      <w:spacing w:val="-3"/>
      <w:sz w:val="24"/>
      <w:szCs w:val="20"/>
      <w:lang w:val="es-ES_tradnl"/>
    </w:rPr>
  </w:style>
  <w:style w:type="character" w:customStyle="1" w:styleId="ListParagraphChar">
    <w:name w:val="List Paragraph Char"/>
    <w:basedOn w:val="DefaultParagraphFont"/>
    <w:link w:val="ListParagraph"/>
    <w:uiPriority w:val="34"/>
    <w:locked/>
    <w:rsid w:val="00A1159F"/>
    <w:rPr>
      <w:rFonts w:ascii="Arial" w:eastAsia="Times New Roman" w:hAnsi="Arial" w:cs="Times New Roman"/>
      <w:spacing w:val="-3"/>
      <w:szCs w:val="20"/>
      <w:lang w:val="es-ES_tradnl"/>
    </w:rPr>
  </w:style>
  <w:style w:type="paragraph" w:styleId="ListParagraph">
    <w:name w:val="List Paragraph"/>
    <w:basedOn w:val="Normal"/>
    <w:link w:val="ListParagraphChar"/>
    <w:uiPriority w:val="34"/>
    <w:qFormat/>
    <w:rsid w:val="00A1159F"/>
    <w:pPr>
      <w:ind w:left="720"/>
      <w:contextualSpacing/>
    </w:pPr>
    <w:rPr>
      <w:sz w:val="22"/>
    </w:rPr>
  </w:style>
  <w:style w:type="paragraph" w:styleId="BalloonText">
    <w:name w:val="Balloon Text"/>
    <w:basedOn w:val="Normal"/>
    <w:link w:val="BalloonTextChar"/>
    <w:uiPriority w:val="99"/>
    <w:semiHidden/>
    <w:unhideWhenUsed/>
    <w:rsid w:val="00A115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59F"/>
    <w:rPr>
      <w:rFonts w:ascii="Segoe UI" w:eastAsia="Times New Roman" w:hAnsi="Segoe UI" w:cs="Segoe UI"/>
      <w:spacing w:val="-3"/>
      <w:sz w:val="18"/>
      <w:szCs w:val="18"/>
      <w:lang w:val="es-ES_tradnl"/>
    </w:rPr>
  </w:style>
  <w:style w:type="character" w:styleId="Hyperlink">
    <w:name w:val="Hyperlink"/>
    <w:uiPriority w:val="99"/>
    <w:semiHidden/>
    <w:unhideWhenUsed/>
    <w:rsid w:val="00A1159F"/>
    <w:rPr>
      <w:rFonts w:ascii="Times New Roman" w:hAnsi="Times New Roman" w:cs="Times New Roman" w:hint="default"/>
      <w:color w:val="0000FF"/>
      <w:sz w:val="24"/>
      <w:u w:val="single"/>
    </w:rPr>
  </w:style>
  <w:style w:type="paragraph" w:styleId="Caption">
    <w:name w:val="caption"/>
    <w:basedOn w:val="Normal"/>
    <w:next w:val="Normal"/>
    <w:autoRedefine/>
    <w:uiPriority w:val="35"/>
    <w:unhideWhenUsed/>
    <w:qFormat/>
    <w:rsid w:val="00D878B4"/>
    <w:pPr>
      <w:keepNext/>
      <w:jc w:val="center"/>
    </w:pPr>
    <w:rPr>
      <w:b/>
      <w:bCs/>
      <w:sz w:val="18"/>
      <w:szCs w:val="18"/>
      <w:lang w:val="es-MX"/>
    </w:rPr>
  </w:style>
  <w:style w:type="paragraph" w:customStyle="1" w:styleId="Chapter">
    <w:name w:val="Chapter"/>
    <w:basedOn w:val="Normal"/>
    <w:next w:val="Normal"/>
    <w:rsid w:val="00BF5B3E"/>
    <w:pPr>
      <w:keepNext/>
      <w:tabs>
        <w:tab w:val="num" w:pos="648"/>
        <w:tab w:val="left" w:pos="1440"/>
      </w:tabs>
      <w:spacing w:before="240" w:after="240"/>
      <w:ind w:firstLine="288"/>
      <w:jc w:val="center"/>
    </w:pPr>
    <w:rPr>
      <w:rFonts w:ascii="Times New Roman" w:hAnsi="Times New Roman"/>
      <w:b/>
      <w:smallCaps/>
      <w:spacing w:val="0"/>
      <w:lang w:val="es-ES"/>
    </w:rPr>
  </w:style>
  <w:style w:type="paragraph" w:customStyle="1" w:styleId="subpar">
    <w:name w:val="subpar"/>
    <w:basedOn w:val="BodyTextIndent3"/>
    <w:rsid w:val="00BF5B3E"/>
    <w:pPr>
      <w:tabs>
        <w:tab w:val="num" w:pos="360"/>
        <w:tab w:val="num" w:pos="1152"/>
      </w:tabs>
      <w:spacing w:before="120"/>
      <w:ind w:left="1152"/>
      <w:jc w:val="both"/>
      <w:outlineLvl w:val="2"/>
    </w:pPr>
    <w:rPr>
      <w:rFonts w:ascii="Times New Roman" w:hAnsi="Times New Roman"/>
      <w:spacing w:val="0"/>
      <w:sz w:val="24"/>
      <w:szCs w:val="20"/>
    </w:rPr>
  </w:style>
  <w:style w:type="paragraph" w:customStyle="1" w:styleId="SubSubPar">
    <w:name w:val="SubSubPar"/>
    <w:basedOn w:val="subpar"/>
    <w:rsid w:val="00BF5B3E"/>
    <w:pPr>
      <w:tabs>
        <w:tab w:val="left" w:pos="0"/>
        <w:tab w:val="num" w:pos="1296"/>
      </w:tabs>
      <w:ind w:left="1296"/>
    </w:pPr>
  </w:style>
  <w:style w:type="paragraph" w:styleId="BodyTextIndent3">
    <w:name w:val="Body Text Indent 3"/>
    <w:basedOn w:val="Normal"/>
    <w:link w:val="BodyTextIndent3Char"/>
    <w:uiPriority w:val="99"/>
    <w:semiHidden/>
    <w:unhideWhenUsed/>
    <w:rsid w:val="00BF5B3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F5B3E"/>
    <w:rPr>
      <w:rFonts w:ascii="Arial" w:eastAsia="Times New Roman" w:hAnsi="Arial" w:cs="Times New Roman"/>
      <w:spacing w:val="-3"/>
      <w:sz w:val="16"/>
      <w:szCs w:val="16"/>
      <w:lang w:val="es-ES_tradnl"/>
    </w:rPr>
  </w:style>
  <w:style w:type="paragraph" w:styleId="Header">
    <w:name w:val="header"/>
    <w:basedOn w:val="Normal"/>
    <w:link w:val="HeaderChar"/>
    <w:uiPriority w:val="99"/>
    <w:unhideWhenUsed/>
    <w:rsid w:val="007704C3"/>
    <w:pPr>
      <w:tabs>
        <w:tab w:val="center" w:pos="4680"/>
        <w:tab w:val="right" w:pos="9360"/>
      </w:tabs>
    </w:pPr>
  </w:style>
  <w:style w:type="character" w:customStyle="1" w:styleId="HeaderChar">
    <w:name w:val="Header Char"/>
    <w:basedOn w:val="DefaultParagraphFont"/>
    <w:link w:val="Header"/>
    <w:uiPriority w:val="99"/>
    <w:rsid w:val="007704C3"/>
    <w:rPr>
      <w:rFonts w:ascii="Arial" w:eastAsia="Times New Roman" w:hAnsi="Arial" w:cs="Times New Roman"/>
      <w:spacing w:val="-3"/>
      <w:sz w:val="24"/>
      <w:szCs w:val="20"/>
      <w:lang w:val="es-ES_tradnl"/>
    </w:rPr>
  </w:style>
  <w:style w:type="paragraph" w:styleId="Footer">
    <w:name w:val="footer"/>
    <w:basedOn w:val="Normal"/>
    <w:link w:val="FooterChar"/>
    <w:uiPriority w:val="99"/>
    <w:unhideWhenUsed/>
    <w:rsid w:val="007704C3"/>
    <w:pPr>
      <w:tabs>
        <w:tab w:val="center" w:pos="4680"/>
        <w:tab w:val="right" w:pos="9360"/>
      </w:tabs>
    </w:pPr>
  </w:style>
  <w:style w:type="character" w:customStyle="1" w:styleId="FooterChar">
    <w:name w:val="Footer Char"/>
    <w:basedOn w:val="DefaultParagraphFont"/>
    <w:link w:val="Footer"/>
    <w:uiPriority w:val="99"/>
    <w:rsid w:val="007704C3"/>
    <w:rPr>
      <w:rFonts w:ascii="Arial" w:eastAsia="Times New Roman" w:hAnsi="Arial" w:cs="Times New Roman"/>
      <w:spacing w:val="-3"/>
      <w:sz w:val="24"/>
      <w:szCs w:val="20"/>
      <w:lang w:val="es-ES_tradnl"/>
    </w:rPr>
  </w:style>
  <w:style w:type="character" w:styleId="CommentReference">
    <w:name w:val="annotation reference"/>
    <w:basedOn w:val="DefaultParagraphFont"/>
    <w:uiPriority w:val="99"/>
    <w:semiHidden/>
    <w:unhideWhenUsed/>
    <w:rsid w:val="0012397B"/>
    <w:rPr>
      <w:sz w:val="16"/>
      <w:szCs w:val="16"/>
    </w:rPr>
  </w:style>
  <w:style w:type="paragraph" w:styleId="CommentText">
    <w:name w:val="annotation text"/>
    <w:basedOn w:val="Normal"/>
    <w:link w:val="CommentTextChar"/>
    <w:uiPriority w:val="99"/>
    <w:semiHidden/>
    <w:unhideWhenUsed/>
    <w:rsid w:val="0012397B"/>
    <w:rPr>
      <w:sz w:val="20"/>
    </w:rPr>
  </w:style>
  <w:style w:type="character" w:customStyle="1" w:styleId="CommentTextChar">
    <w:name w:val="Comment Text Char"/>
    <w:basedOn w:val="DefaultParagraphFont"/>
    <w:link w:val="CommentText"/>
    <w:uiPriority w:val="99"/>
    <w:semiHidden/>
    <w:rsid w:val="0012397B"/>
    <w:rPr>
      <w:rFonts w:ascii="Arial" w:eastAsia="Times New Roman" w:hAnsi="Arial" w:cs="Times New Roman"/>
      <w:spacing w:val="-3"/>
      <w:sz w:val="20"/>
      <w:szCs w:val="20"/>
      <w:lang w:val="es-ES_tradnl"/>
    </w:rPr>
  </w:style>
  <w:style w:type="paragraph" w:styleId="CommentSubject">
    <w:name w:val="annotation subject"/>
    <w:basedOn w:val="CommentText"/>
    <w:next w:val="CommentText"/>
    <w:link w:val="CommentSubjectChar"/>
    <w:uiPriority w:val="99"/>
    <w:semiHidden/>
    <w:unhideWhenUsed/>
    <w:rsid w:val="0012397B"/>
    <w:rPr>
      <w:b/>
      <w:bCs/>
    </w:rPr>
  </w:style>
  <w:style w:type="character" w:customStyle="1" w:styleId="CommentSubjectChar">
    <w:name w:val="Comment Subject Char"/>
    <w:basedOn w:val="CommentTextChar"/>
    <w:link w:val="CommentSubject"/>
    <w:uiPriority w:val="99"/>
    <w:semiHidden/>
    <w:rsid w:val="0012397B"/>
    <w:rPr>
      <w:rFonts w:ascii="Arial" w:eastAsia="Times New Roman" w:hAnsi="Arial" w:cs="Times New Roman"/>
      <w:b/>
      <w:bCs/>
      <w:spacing w:val="-3"/>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917">
      <w:bodyDiv w:val="1"/>
      <w:marLeft w:val="0"/>
      <w:marRight w:val="0"/>
      <w:marTop w:val="0"/>
      <w:marBottom w:val="0"/>
      <w:divBdr>
        <w:top w:val="none" w:sz="0" w:space="0" w:color="auto"/>
        <w:left w:val="none" w:sz="0" w:space="0" w:color="auto"/>
        <w:bottom w:val="none" w:sz="0" w:space="0" w:color="auto"/>
        <w:right w:val="none" w:sz="0" w:space="0" w:color="auto"/>
      </w:divBdr>
    </w:div>
    <w:div w:id="129173631">
      <w:bodyDiv w:val="1"/>
      <w:marLeft w:val="0"/>
      <w:marRight w:val="0"/>
      <w:marTop w:val="0"/>
      <w:marBottom w:val="0"/>
      <w:divBdr>
        <w:top w:val="none" w:sz="0" w:space="0" w:color="auto"/>
        <w:left w:val="none" w:sz="0" w:space="0" w:color="auto"/>
        <w:bottom w:val="none" w:sz="0" w:space="0" w:color="auto"/>
        <w:right w:val="none" w:sz="0" w:space="0" w:color="auto"/>
      </w:divBdr>
    </w:div>
    <w:div w:id="221140299">
      <w:bodyDiv w:val="1"/>
      <w:marLeft w:val="0"/>
      <w:marRight w:val="0"/>
      <w:marTop w:val="0"/>
      <w:marBottom w:val="0"/>
      <w:divBdr>
        <w:top w:val="none" w:sz="0" w:space="0" w:color="auto"/>
        <w:left w:val="none" w:sz="0" w:space="0" w:color="auto"/>
        <w:bottom w:val="none" w:sz="0" w:space="0" w:color="auto"/>
        <w:right w:val="none" w:sz="0" w:space="0" w:color="auto"/>
      </w:divBdr>
    </w:div>
    <w:div w:id="269901659">
      <w:bodyDiv w:val="1"/>
      <w:marLeft w:val="0"/>
      <w:marRight w:val="0"/>
      <w:marTop w:val="0"/>
      <w:marBottom w:val="0"/>
      <w:divBdr>
        <w:top w:val="none" w:sz="0" w:space="0" w:color="auto"/>
        <w:left w:val="none" w:sz="0" w:space="0" w:color="auto"/>
        <w:bottom w:val="none" w:sz="0" w:space="0" w:color="auto"/>
        <w:right w:val="none" w:sz="0" w:space="0" w:color="auto"/>
      </w:divBdr>
    </w:div>
    <w:div w:id="461994731">
      <w:bodyDiv w:val="1"/>
      <w:marLeft w:val="0"/>
      <w:marRight w:val="0"/>
      <w:marTop w:val="0"/>
      <w:marBottom w:val="0"/>
      <w:divBdr>
        <w:top w:val="none" w:sz="0" w:space="0" w:color="auto"/>
        <w:left w:val="none" w:sz="0" w:space="0" w:color="auto"/>
        <w:bottom w:val="none" w:sz="0" w:space="0" w:color="auto"/>
        <w:right w:val="none" w:sz="0" w:space="0" w:color="auto"/>
      </w:divBdr>
    </w:div>
    <w:div w:id="471017918">
      <w:bodyDiv w:val="1"/>
      <w:marLeft w:val="0"/>
      <w:marRight w:val="0"/>
      <w:marTop w:val="0"/>
      <w:marBottom w:val="0"/>
      <w:divBdr>
        <w:top w:val="none" w:sz="0" w:space="0" w:color="auto"/>
        <w:left w:val="none" w:sz="0" w:space="0" w:color="auto"/>
        <w:bottom w:val="none" w:sz="0" w:space="0" w:color="auto"/>
        <w:right w:val="none" w:sz="0" w:space="0" w:color="auto"/>
      </w:divBdr>
    </w:div>
    <w:div w:id="497382988">
      <w:bodyDiv w:val="1"/>
      <w:marLeft w:val="0"/>
      <w:marRight w:val="0"/>
      <w:marTop w:val="0"/>
      <w:marBottom w:val="0"/>
      <w:divBdr>
        <w:top w:val="none" w:sz="0" w:space="0" w:color="auto"/>
        <w:left w:val="none" w:sz="0" w:space="0" w:color="auto"/>
        <w:bottom w:val="none" w:sz="0" w:space="0" w:color="auto"/>
        <w:right w:val="none" w:sz="0" w:space="0" w:color="auto"/>
      </w:divBdr>
    </w:div>
    <w:div w:id="510950212">
      <w:bodyDiv w:val="1"/>
      <w:marLeft w:val="0"/>
      <w:marRight w:val="0"/>
      <w:marTop w:val="0"/>
      <w:marBottom w:val="0"/>
      <w:divBdr>
        <w:top w:val="none" w:sz="0" w:space="0" w:color="auto"/>
        <w:left w:val="none" w:sz="0" w:space="0" w:color="auto"/>
        <w:bottom w:val="none" w:sz="0" w:space="0" w:color="auto"/>
        <w:right w:val="none" w:sz="0" w:space="0" w:color="auto"/>
      </w:divBdr>
    </w:div>
    <w:div w:id="676881436">
      <w:bodyDiv w:val="1"/>
      <w:marLeft w:val="0"/>
      <w:marRight w:val="0"/>
      <w:marTop w:val="0"/>
      <w:marBottom w:val="0"/>
      <w:divBdr>
        <w:top w:val="none" w:sz="0" w:space="0" w:color="auto"/>
        <w:left w:val="none" w:sz="0" w:space="0" w:color="auto"/>
        <w:bottom w:val="none" w:sz="0" w:space="0" w:color="auto"/>
        <w:right w:val="none" w:sz="0" w:space="0" w:color="auto"/>
      </w:divBdr>
    </w:div>
    <w:div w:id="695694342">
      <w:bodyDiv w:val="1"/>
      <w:marLeft w:val="0"/>
      <w:marRight w:val="0"/>
      <w:marTop w:val="0"/>
      <w:marBottom w:val="0"/>
      <w:divBdr>
        <w:top w:val="none" w:sz="0" w:space="0" w:color="auto"/>
        <w:left w:val="none" w:sz="0" w:space="0" w:color="auto"/>
        <w:bottom w:val="none" w:sz="0" w:space="0" w:color="auto"/>
        <w:right w:val="none" w:sz="0" w:space="0" w:color="auto"/>
      </w:divBdr>
    </w:div>
    <w:div w:id="789518441">
      <w:bodyDiv w:val="1"/>
      <w:marLeft w:val="0"/>
      <w:marRight w:val="0"/>
      <w:marTop w:val="0"/>
      <w:marBottom w:val="0"/>
      <w:divBdr>
        <w:top w:val="none" w:sz="0" w:space="0" w:color="auto"/>
        <w:left w:val="none" w:sz="0" w:space="0" w:color="auto"/>
        <w:bottom w:val="none" w:sz="0" w:space="0" w:color="auto"/>
        <w:right w:val="none" w:sz="0" w:space="0" w:color="auto"/>
      </w:divBdr>
    </w:div>
    <w:div w:id="1173376889">
      <w:bodyDiv w:val="1"/>
      <w:marLeft w:val="0"/>
      <w:marRight w:val="0"/>
      <w:marTop w:val="0"/>
      <w:marBottom w:val="0"/>
      <w:divBdr>
        <w:top w:val="none" w:sz="0" w:space="0" w:color="auto"/>
        <w:left w:val="none" w:sz="0" w:space="0" w:color="auto"/>
        <w:bottom w:val="none" w:sz="0" w:space="0" w:color="auto"/>
        <w:right w:val="none" w:sz="0" w:space="0" w:color="auto"/>
      </w:divBdr>
    </w:div>
    <w:div w:id="1337418803">
      <w:bodyDiv w:val="1"/>
      <w:marLeft w:val="0"/>
      <w:marRight w:val="0"/>
      <w:marTop w:val="0"/>
      <w:marBottom w:val="0"/>
      <w:divBdr>
        <w:top w:val="none" w:sz="0" w:space="0" w:color="auto"/>
        <w:left w:val="none" w:sz="0" w:space="0" w:color="auto"/>
        <w:bottom w:val="none" w:sz="0" w:space="0" w:color="auto"/>
        <w:right w:val="none" w:sz="0" w:space="0" w:color="auto"/>
      </w:divBdr>
    </w:div>
    <w:div w:id="1427190859">
      <w:bodyDiv w:val="1"/>
      <w:marLeft w:val="0"/>
      <w:marRight w:val="0"/>
      <w:marTop w:val="0"/>
      <w:marBottom w:val="0"/>
      <w:divBdr>
        <w:top w:val="none" w:sz="0" w:space="0" w:color="auto"/>
        <w:left w:val="none" w:sz="0" w:space="0" w:color="auto"/>
        <w:bottom w:val="none" w:sz="0" w:space="0" w:color="auto"/>
        <w:right w:val="none" w:sz="0" w:space="0" w:color="auto"/>
      </w:divBdr>
    </w:div>
    <w:div w:id="1460495097">
      <w:bodyDiv w:val="1"/>
      <w:marLeft w:val="0"/>
      <w:marRight w:val="0"/>
      <w:marTop w:val="0"/>
      <w:marBottom w:val="0"/>
      <w:divBdr>
        <w:top w:val="none" w:sz="0" w:space="0" w:color="auto"/>
        <w:left w:val="none" w:sz="0" w:space="0" w:color="auto"/>
        <w:bottom w:val="none" w:sz="0" w:space="0" w:color="auto"/>
        <w:right w:val="none" w:sz="0" w:space="0" w:color="auto"/>
      </w:divBdr>
    </w:div>
    <w:div w:id="1482693607">
      <w:bodyDiv w:val="1"/>
      <w:marLeft w:val="0"/>
      <w:marRight w:val="0"/>
      <w:marTop w:val="0"/>
      <w:marBottom w:val="0"/>
      <w:divBdr>
        <w:top w:val="none" w:sz="0" w:space="0" w:color="auto"/>
        <w:left w:val="none" w:sz="0" w:space="0" w:color="auto"/>
        <w:bottom w:val="none" w:sz="0" w:space="0" w:color="auto"/>
        <w:right w:val="none" w:sz="0" w:space="0" w:color="auto"/>
      </w:divBdr>
    </w:div>
    <w:div w:id="1565985261">
      <w:bodyDiv w:val="1"/>
      <w:marLeft w:val="0"/>
      <w:marRight w:val="0"/>
      <w:marTop w:val="0"/>
      <w:marBottom w:val="0"/>
      <w:divBdr>
        <w:top w:val="none" w:sz="0" w:space="0" w:color="auto"/>
        <w:left w:val="none" w:sz="0" w:space="0" w:color="auto"/>
        <w:bottom w:val="none" w:sz="0" w:space="0" w:color="auto"/>
        <w:right w:val="none" w:sz="0" w:space="0" w:color="auto"/>
      </w:divBdr>
    </w:div>
    <w:div w:id="1665933887">
      <w:bodyDiv w:val="1"/>
      <w:marLeft w:val="0"/>
      <w:marRight w:val="0"/>
      <w:marTop w:val="0"/>
      <w:marBottom w:val="0"/>
      <w:divBdr>
        <w:top w:val="none" w:sz="0" w:space="0" w:color="auto"/>
        <w:left w:val="none" w:sz="0" w:space="0" w:color="auto"/>
        <w:bottom w:val="none" w:sz="0" w:space="0" w:color="auto"/>
        <w:right w:val="none" w:sz="0" w:space="0" w:color="auto"/>
      </w:divBdr>
    </w:div>
    <w:div w:id="1712342448">
      <w:bodyDiv w:val="1"/>
      <w:marLeft w:val="0"/>
      <w:marRight w:val="0"/>
      <w:marTop w:val="0"/>
      <w:marBottom w:val="0"/>
      <w:divBdr>
        <w:top w:val="none" w:sz="0" w:space="0" w:color="auto"/>
        <w:left w:val="none" w:sz="0" w:space="0" w:color="auto"/>
        <w:bottom w:val="none" w:sz="0" w:space="0" w:color="auto"/>
        <w:right w:val="none" w:sz="0" w:space="0" w:color="auto"/>
      </w:divBdr>
    </w:div>
    <w:div w:id="1722172258">
      <w:bodyDiv w:val="1"/>
      <w:marLeft w:val="0"/>
      <w:marRight w:val="0"/>
      <w:marTop w:val="0"/>
      <w:marBottom w:val="0"/>
      <w:divBdr>
        <w:top w:val="none" w:sz="0" w:space="0" w:color="auto"/>
        <w:left w:val="none" w:sz="0" w:space="0" w:color="auto"/>
        <w:bottom w:val="none" w:sz="0" w:space="0" w:color="auto"/>
        <w:right w:val="none" w:sz="0" w:space="0" w:color="auto"/>
      </w:divBdr>
    </w:div>
    <w:div w:id="1750729835">
      <w:bodyDiv w:val="1"/>
      <w:marLeft w:val="0"/>
      <w:marRight w:val="0"/>
      <w:marTop w:val="0"/>
      <w:marBottom w:val="0"/>
      <w:divBdr>
        <w:top w:val="none" w:sz="0" w:space="0" w:color="auto"/>
        <w:left w:val="none" w:sz="0" w:space="0" w:color="auto"/>
        <w:bottom w:val="none" w:sz="0" w:space="0" w:color="auto"/>
        <w:right w:val="none" w:sz="0" w:space="0" w:color="auto"/>
      </w:divBdr>
    </w:div>
    <w:div w:id="1841848876">
      <w:bodyDiv w:val="1"/>
      <w:marLeft w:val="0"/>
      <w:marRight w:val="0"/>
      <w:marTop w:val="0"/>
      <w:marBottom w:val="0"/>
      <w:divBdr>
        <w:top w:val="none" w:sz="0" w:space="0" w:color="auto"/>
        <w:left w:val="none" w:sz="0" w:space="0" w:color="auto"/>
        <w:bottom w:val="none" w:sz="0" w:space="0" w:color="auto"/>
        <w:right w:val="none" w:sz="0" w:space="0" w:color="auto"/>
      </w:divBdr>
    </w:div>
    <w:div w:id="2074698826">
      <w:bodyDiv w:val="1"/>
      <w:marLeft w:val="0"/>
      <w:marRight w:val="0"/>
      <w:marTop w:val="0"/>
      <w:marBottom w:val="0"/>
      <w:divBdr>
        <w:top w:val="none" w:sz="0" w:space="0" w:color="auto"/>
        <w:left w:val="none" w:sz="0" w:space="0" w:color="auto"/>
        <w:bottom w:val="none" w:sz="0" w:space="0" w:color="auto"/>
        <w:right w:val="none" w:sz="0" w:space="0" w:color="auto"/>
      </w:divBdr>
    </w:div>
    <w:div w:id="212349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datasus.gov.br" TargetMode="External"/><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0.png"/><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38AE3B6E8296F4CA2C7A9259CEE66C1" ma:contentTypeVersion="1939" ma:contentTypeDescription="A content type to manage public (operations) IDB documents" ma:contentTypeScope="" ma:versionID="ee1f543fe044143a05b5a232f58da55a">
  <xsd:schema xmlns:xsd="http://www.w3.org/2001/XMLSchema" xmlns:xs="http://www.w3.org/2001/XMLSchema" xmlns:p="http://schemas.microsoft.com/office/2006/metadata/properties" xmlns:ns2="cdc7663a-08f0-4737-9e8c-148ce897a09c" targetNamespace="http://schemas.microsoft.com/office/2006/metadata/properties" ma:root="true" ma:fieldsID="34608d3054a29cdfbb675d358bb87ea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1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Mac Arthur, Ian William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SYSTEM STRENGTHENING</TermName>
          <TermId xmlns="http://schemas.microsoft.com/office/infopath/2007/PartnerControls">98be7628-374e-4ecf-a12c-bb48b439037b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33</Value>
      <Value>39</Value>
      <Value>38</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BR-L1519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R0002802933</Record_x0020_Number>
    <_dlc_DocId xmlns="cdc7663a-08f0-4737-9e8c-148ce897a09c">EZSHARE-1622715344-32</_dlc_DocId>
    <_dlc_DocIdUrl xmlns="cdc7663a-08f0-4737-9e8c-148ce897a09c">
      <Url>https://idbg.sharepoint.com/teams/EZ-BR-LON/BR-L1519/_layouts/15/DocIdRedir.aspx?ID=EZSHARE-1622715344-32</Url>
      <Description>EZSHARE-1622715344-32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513FD-C76C-4340-B33A-CFFD04FA5873}">
  <ds:schemaRefs>
    <ds:schemaRef ds:uri="http://schemas.microsoft.com/sharepoint/events"/>
  </ds:schemaRefs>
</ds:datastoreItem>
</file>

<file path=customXml/itemProps2.xml><?xml version="1.0" encoding="utf-8"?>
<ds:datastoreItem xmlns:ds="http://schemas.openxmlformats.org/officeDocument/2006/customXml" ds:itemID="{0FEAD413-C3E2-4594-B944-053EEE25536A}">
  <ds:schemaRefs>
    <ds:schemaRef ds:uri="http://schemas.microsoft.com/sharepoint/v3/contenttype/forms"/>
  </ds:schemaRefs>
</ds:datastoreItem>
</file>

<file path=customXml/itemProps3.xml><?xml version="1.0" encoding="utf-8"?>
<ds:datastoreItem xmlns:ds="http://schemas.openxmlformats.org/officeDocument/2006/customXml" ds:itemID="{0160951E-C111-4A4E-B703-BDF32B6E2CA3}"/>
</file>

<file path=customXml/itemProps4.xml><?xml version="1.0" encoding="utf-8"?>
<ds:datastoreItem xmlns:ds="http://schemas.openxmlformats.org/officeDocument/2006/customXml" ds:itemID="{92BD561F-332D-4818-B2AF-0BAE38F74B38}">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34FB7B97-5A0E-438D-94B2-5E8B8E6A461E}"/>
</file>

<file path=customXml/itemProps6.xml><?xml version="1.0" encoding="utf-8"?>
<ds:datastoreItem xmlns:ds="http://schemas.openxmlformats.org/officeDocument/2006/customXml" ds:itemID="{7814F71E-24A8-4892-8F95-D10DD4009DAD}"/>
</file>

<file path=customXml/itemProps7.xml><?xml version="1.0" encoding="utf-8"?>
<ds:datastoreItem xmlns:ds="http://schemas.openxmlformats.org/officeDocument/2006/customXml" ds:itemID="{97B59CF4-1AC1-4497-BA56-D028370B8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6846</Words>
  <Characters>39023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Ruiz, Maria del Carmen</dc:creator>
  <cp:keywords/>
  <dc:description/>
  <cp:lastModifiedBy>Mac Arthur, Ian William</cp:lastModifiedBy>
  <cp:revision>50</cp:revision>
  <dcterms:created xsi:type="dcterms:W3CDTF">2018-08-29T17:45:00Z</dcterms:created>
  <dcterms:modified xsi:type="dcterms:W3CDTF">2018-09-25T20:23:00Z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39;#HEALTH SYSTEM STRENGTHENING|98be7628-374e-4ecf-a12c-bb48b439037b</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38;#HEALTH|e15154b4-8fa2-4f19-a924-5a9b44dc8218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ff5be9fe-669b-486d-a479-850f1fab114b</vt:lpwstr>
  </property>
  <property fmtid="{D5CDD505-2E9C-101B-9397-08002B2CF9AE}" pid="12" name="Disclosure Activity">
    <vt:lpwstr>Loan Proposal</vt:lpwstr>
  </property>
  <property fmtid="{D5CDD505-2E9C-101B-9397-08002B2CF9AE}" pid="13" name="ContentTypeId">
    <vt:lpwstr>0x0101001A458A224826124E8B45B1D613300CFC00838AE3B6E8296F4CA2C7A9259CEE66C1</vt:lpwstr>
  </property>
</Properties>
</file>